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0C4266">
      <w:pPr>
        <w:pStyle w:val="14"/>
        <w:jc w:val="center"/>
        <w:outlineLvl w:val="0"/>
        <w:rPr>
          <w:rFonts w:asciiTheme="minorEastAsia" w:hAnsiTheme="minorEastAsia" w:eastAsiaTheme="minorEastAsia"/>
          <w:color w:val="auto"/>
          <w:spacing w:val="30"/>
          <w:kern w:val="52"/>
          <w:sz w:val="64"/>
          <w:szCs w:val="64"/>
          <w:highlight w:val="none"/>
        </w:rPr>
      </w:pPr>
      <w:r>
        <w:rPr>
          <w:rFonts w:asciiTheme="minorEastAsia" w:hAnsiTheme="minorEastAsia" w:eastAsiaTheme="minorEastAsia"/>
          <w:color w:val="auto"/>
          <w:spacing w:val="30"/>
          <w:kern w:val="52"/>
          <w:sz w:val="64"/>
          <w:szCs w:val="64"/>
          <w:highlight w:val="none"/>
        </w:rPr>
        <w:t>广西科文招标有限公司</w:t>
      </w:r>
    </w:p>
    <w:p w14:paraId="335398B7">
      <w:pPr>
        <w:pStyle w:val="14"/>
        <w:ind w:firstLine="1285"/>
        <w:jc w:val="center"/>
        <w:rPr>
          <w:rFonts w:asciiTheme="minorEastAsia" w:hAnsiTheme="minorEastAsia" w:eastAsiaTheme="minorEastAsia"/>
          <w:color w:val="auto"/>
          <w:spacing w:val="28"/>
          <w:sz w:val="64"/>
          <w:szCs w:val="64"/>
          <w:highlight w:val="none"/>
        </w:rPr>
      </w:pPr>
      <w:r>
        <w:rPr>
          <w:rFonts w:asciiTheme="minorEastAsia" w:hAnsiTheme="minorEastAsia" w:eastAsiaTheme="minorEastAsia"/>
          <w:b/>
          <w:color w:val="auto"/>
          <w:spacing w:val="-18"/>
          <w:sz w:val="64"/>
          <w:szCs w:val="64"/>
          <w:highlight w:val="none"/>
        </w:rPr>
        <w:pict>
          <v:line id="Line 2" o:spid="_x0000_s1026" o:spt="20" style="position:absolute;left:0pt;margin-left:0pt;margin-top:0pt;height:1pt;width:432pt;z-index:251660288;mso-width-relative:page;mso-height-relative:page;" filled="t" stroked="t" coordsize="21600,21600" o:gfxdata="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mHQWtMAAAADAQAA&#10;DwAAAAAAAAABACAAAAAiAAAAZHJzL2Rvd25yZXYueG1sUEsBAhQAFAAAAAgAh07iQMlDL3usAQAA&#10;mAMAAA4AAAAAAAAAAQAgAAAAIgEAAGRycy9lMm9Eb2MueG1sUEsFBgAAAAAGAAYAWQEAAEAFAAAA&#10;AA==&#10;">
            <v:path arrowok="t"/>
            <v:fill on="t" focussize="0,0"/>
            <v:stroke weight="1pt" color="#FFFFFF"/>
            <v:imagedata o:title=""/>
            <o:lock v:ext="edit"/>
          </v:line>
        </w:pict>
      </w:r>
    </w:p>
    <w:p w14:paraId="1AFE62B4">
      <w:pPr>
        <w:snapToGrid w:val="0"/>
        <w:spacing w:beforeLines="50" w:line="360" w:lineRule="auto"/>
        <w:jc w:val="center"/>
        <w:rPr>
          <w:rFonts w:asciiTheme="minorEastAsia" w:hAnsiTheme="minorEastAsia" w:eastAsiaTheme="minorEastAsia"/>
          <w:color w:val="auto"/>
          <w:sz w:val="120"/>
          <w:szCs w:val="120"/>
          <w:highlight w:val="none"/>
        </w:rPr>
      </w:pPr>
      <w:r>
        <w:rPr>
          <w:rFonts w:hint="eastAsia" w:asciiTheme="minorEastAsia" w:hAnsiTheme="minorEastAsia" w:eastAsiaTheme="minorEastAsia"/>
          <w:color w:val="auto"/>
          <w:sz w:val="120"/>
          <w:szCs w:val="120"/>
          <w:highlight w:val="none"/>
        </w:rPr>
        <w:t>招 标 文 件</w:t>
      </w:r>
    </w:p>
    <w:p w14:paraId="33622EC9">
      <w:pPr>
        <w:snapToGrid w:val="0"/>
        <w:spacing w:beforeLines="50" w:line="360" w:lineRule="auto"/>
        <w:jc w:val="center"/>
        <w:outlineLvl w:val="0"/>
        <w:rPr>
          <w:rFonts w:asciiTheme="minorEastAsia" w:hAnsiTheme="minorEastAsia" w:eastAsiaTheme="minorEastAsia"/>
          <w:b/>
          <w:color w:val="auto"/>
          <w:sz w:val="48"/>
          <w:szCs w:val="48"/>
          <w:highlight w:val="none"/>
        </w:rPr>
      </w:pPr>
      <w:r>
        <w:rPr>
          <w:rFonts w:hint="eastAsia" w:asciiTheme="minorEastAsia" w:hAnsiTheme="minorEastAsia" w:eastAsiaTheme="minorEastAsia"/>
          <w:b/>
          <w:color w:val="auto"/>
          <w:sz w:val="48"/>
          <w:szCs w:val="48"/>
          <w:highlight w:val="none"/>
        </w:rPr>
        <w:t>（全流程电子化采购）</w:t>
      </w:r>
    </w:p>
    <w:p w14:paraId="3E0BBC2C">
      <w:pPr>
        <w:pStyle w:val="14"/>
        <w:snapToGrid w:val="0"/>
        <w:spacing w:line="360" w:lineRule="auto"/>
        <w:ind w:firstLine="1188" w:firstLineChars="396"/>
        <w:rPr>
          <w:rFonts w:asciiTheme="minorEastAsia" w:hAnsiTheme="minorEastAsia" w:eastAsiaTheme="minorEastAsia"/>
          <w:color w:val="auto"/>
          <w:kern w:val="2"/>
          <w:sz w:val="30"/>
          <w:szCs w:val="72"/>
          <w:highlight w:val="none"/>
        </w:rPr>
      </w:pPr>
    </w:p>
    <w:p w14:paraId="26502413">
      <w:pPr>
        <w:pStyle w:val="14"/>
        <w:snapToGrid w:val="0"/>
        <w:spacing w:line="360" w:lineRule="auto"/>
        <w:ind w:firstLine="1133" w:firstLineChars="396"/>
        <w:rPr>
          <w:rFonts w:asciiTheme="minorEastAsia" w:hAnsiTheme="minorEastAsia" w:eastAsiaTheme="minorEastAsia"/>
          <w:b/>
          <w:bCs/>
          <w:color w:val="auto"/>
          <w:w w:val="95"/>
          <w:sz w:val="30"/>
          <w:szCs w:val="30"/>
          <w:highlight w:val="none"/>
        </w:rPr>
      </w:pPr>
      <w:r>
        <w:rPr>
          <w:rFonts w:hint="eastAsia" w:asciiTheme="minorEastAsia" w:hAnsiTheme="minorEastAsia" w:eastAsiaTheme="minorEastAsia"/>
          <w:b/>
          <w:bCs/>
          <w:color w:val="auto"/>
          <w:w w:val="95"/>
          <w:sz w:val="30"/>
          <w:szCs w:val="30"/>
          <w:highlight w:val="none"/>
        </w:rPr>
        <w:t>项目名称：超声诊断系统、冰冻切片机、胰岛素泵等医疗设备采购</w:t>
      </w:r>
    </w:p>
    <w:p w14:paraId="5FD22FF5">
      <w:pPr>
        <w:pStyle w:val="14"/>
        <w:snapToGrid w:val="0"/>
        <w:spacing w:line="360" w:lineRule="auto"/>
        <w:ind w:firstLine="1125" w:firstLineChars="393"/>
        <w:rPr>
          <w:rFonts w:hint="eastAsia" w:asciiTheme="minorEastAsia" w:hAnsiTheme="minorEastAsia" w:eastAsiaTheme="minorEastAsia"/>
          <w:b/>
          <w:bCs/>
          <w:color w:val="auto"/>
          <w:w w:val="95"/>
          <w:sz w:val="32"/>
          <w:szCs w:val="32"/>
          <w:highlight w:val="none"/>
          <w:lang w:eastAsia="zh-CN"/>
        </w:rPr>
      </w:pPr>
      <w:r>
        <w:rPr>
          <w:rFonts w:hint="eastAsia" w:asciiTheme="minorEastAsia" w:hAnsiTheme="minorEastAsia" w:eastAsiaTheme="minorEastAsia"/>
          <w:b/>
          <w:bCs/>
          <w:color w:val="auto"/>
          <w:w w:val="95"/>
          <w:kern w:val="0"/>
          <w:sz w:val="30"/>
          <w:szCs w:val="30"/>
          <w:highlight w:val="none"/>
        </w:rPr>
        <w:t>项目编号：</w:t>
      </w:r>
      <w:r>
        <w:rPr>
          <w:rFonts w:hint="eastAsia" w:asciiTheme="minorEastAsia" w:hAnsiTheme="minorEastAsia" w:eastAsiaTheme="minorEastAsia"/>
          <w:b/>
          <w:bCs/>
          <w:color w:val="auto"/>
          <w:w w:val="95"/>
          <w:kern w:val="0"/>
          <w:sz w:val="30"/>
          <w:szCs w:val="30"/>
          <w:highlight w:val="none"/>
          <w:lang w:eastAsia="zh-CN"/>
        </w:rPr>
        <w:t>GXZC2025-G1-000589-KWZB</w:t>
      </w:r>
    </w:p>
    <w:p w14:paraId="1AE08317">
      <w:pPr>
        <w:pStyle w:val="14"/>
        <w:snapToGrid w:val="0"/>
        <w:spacing w:line="360" w:lineRule="auto"/>
        <w:ind w:firstLine="1200" w:firstLineChars="393"/>
        <w:rPr>
          <w:rFonts w:asciiTheme="minorEastAsia" w:hAnsiTheme="minorEastAsia" w:eastAsiaTheme="minorEastAsia"/>
          <w:b/>
          <w:bCs/>
          <w:color w:val="auto"/>
          <w:w w:val="95"/>
          <w:sz w:val="32"/>
          <w:szCs w:val="32"/>
          <w:highlight w:val="none"/>
        </w:rPr>
      </w:pPr>
    </w:p>
    <w:p w14:paraId="49331A35">
      <w:pPr>
        <w:pStyle w:val="14"/>
        <w:snapToGrid w:val="0"/>
        <w:spacing w:line="360" w:lineRule="auto"/>
        <w:ind w:firstLine="613"/>
        <w:rPr>
          <w:rFonts w:asciiTheme="minorEastAsia" w:hAnsiTheme="minorEastAsia" w:eastAsiaTheme="minorEastAsia"/>
          <w:b/>
          <w:bCs/>
          <w:color w:val="auto"/>
          <w:w w:val="95"/>
          <w:sz w:val="32"/>
          <w:szCs w:val="32"/>
          <w:highlight w:val="none"/>
        </w:rPr>
      </w:pPr>
    </w:p>
    <w:p w14:paraId="1FF2155D">
      <w:pPr>
        <w:pStyle w:val="14"/>
        <w:snapToGrid w:val="0"/>
        <w:spacing w:line="360" w:lineRule="auto"/>
        <w:ind w:firstLine="2878" w:firstLineChars="896"/>
        <w:rPr>
          <w:rFonts w:asciiTheme="minorEastAsia" w:hAnsiTheme="minorEastAsia" w:eastAsiaTheme="minorEastAsia"/>
          <w:b/>
          <w:bCs/>
          <w:color w:val="auto"/>
          <w:sz w:val="32"/>
          <w:szCs w:val="32"/>
          <w:highlight w:val="none"/>
        </w:rPr>
      </w:pPr>
    </w:p>
    <w:p w14:paraId="6F829F1C">
      <w:pPr>
        <w:pStyle w:val="14"/>
        <w:snapToGrid w:val="0"/>
        <w:spacing w:line="360" w:lineRule="auto"/>
        <w:ind w:firstLine="1977" w:firstLineChars="691"/>
        <w:outlineLvl w:val="0"/>
        <w:rPr>
          <w:rFonts w:asciiTheme="minorEastAsia" w:hAnsiTheme="minorEastAsia" w:eastAsiaTheme="minorEastAsia"/>
          <w:b/>
          <w:bCs/>
          <w:color w:val="auto"/>
          <w:w w:val="95"/>
          <w:sz w:val="30"/>
          <w:szCs w:val="30"/>
          <w:highlight w:val="none"/>
        </w:rPr>
      </w:pPr>
      <w:r>
        <w:rPr>
          <w:rFonts w:hint="eastAsia" w:asciiTheme="minorEastAsia" w:hAnsiTheme="minorEastAsia" w:eastAsiaTheme="minorEastAsia"/>
          <w:b/>
          <w:bCs/>
          <w:color w:val="auto"/>
          <w:w w:val="95"/>
          <w:sz w:val="30"/>
          <w:szCs w:val="30"/>
          <w:highlight w:val="none"/>
        </w:rPr>
        <w:t>采 购 人：右江民族医学院附属医院</w:t>
      </w:r>
    </w:p>
    <w:p w14:paraId="081FB832">
      <w:pPr>
        <w:pStyle w:val="14"/>
        <w:snapToGrid w:val="0"/>
        <w:spacing w:line="360" w:lineRule="auto"/>
        <w:ind w:firstLine="1977" w:firstLineChars="691"/>
        <w:rPr>
          <w:rFonts w:asciiTheme="minorEastAsia" w:hAnsiTheme="minorEastAsia" w:eastAsiaTheme="minorEastAsia"/>
          <w:b/>
          <w:bCs/>
          <w:color w:val="auto"/>
          <w:w w:val="95"/>
          <w:sz w:val="30"/>
          <w:szCs w:val="30"/>
          <w:highlight w:val="none"/>
        </w:rPr>
      </w:pPr>
      <w:r>
        <w:rPr>
          <w:rFonts w:hint="eastAsia" w:asciiTheme="minorEastAsia" w:hAnsiTheme="minorEastAsia" w:eastAsiaTheme="minorEastAsia"/>
          <w:b/>
          <w:bCs/>
          <w:color w:val="auto"/>
          <w:w w:val="95"/>
          <w:sz w:val="30"/>
          <w:szCs w:val="30"/>
          <w:highlight w:val="none"/>
        </w:rPr>
        <w:t>采购代理机构：广西科文招标有限公司</w:t>
      </w:r>
    </w:p>
    <w:p w14:paraId="71FE7AB8">
      <w:pPr>
        <w:pStyle w:val="14"/>
        <w:snapToGrid w:val="0"/>
        <w:spacing w:line="360" w:lineRule="auto"/>
        <w:ind w:firstLine="1200" w:firstLineChars="393"/>
        <w:rPr>
          <w:rFonts w:asciiTheme="minorEastAsia" w:hAnsiTheme="minorEastAsia" w:eastAsiaTheme="minorEastAsia"/>
          <w:b/>
          <w:bCs/>
          <w:color w:val="auto"/>
          <w:w w:val="95"/>
          <w:sz w:val="32"/>
          <w:szCs w:val="32"/>
          <w:highlight w:val="none"/>
        </w:rPr>
      </w:pPr>
    </w:p>
    <w:p w14:paraId="555A6A53">
      <w:pPr>
        <w:pStyle w:val="14"/>
        <w:snapToGrid w:val="0"/>
        <w:spacing w:line="360" w:lineRule="auto"/>
        <w:ind w:firstLine="841" w:firstLineChars="294"/>
        <w:jc w:val="center"/>
        <w:rPr>
          <w:rFonts w:hint="eastAsia" w:asciiTheme="minorEastAsia" w:hAnsiTheme="minorEastAsia" w:eastAsiaTheme="minorEastAsia"/>
          <w:b/>
          <w:bCs/>
          <w:color w:val="auto"/>
          <w:w w:val="95"/>
          <w:sz w:val="30"/>
          <w:szCs w:val="30"/>
          <w:highlight w:val="none"/>
        </w:rPr>
      </w:pPr>
      <w:r>
        <w:rPr>
          <w:rFonts w:hint="eastAsia" w:asciiTheme="minorEastAsia" w:hAnsiTheme="minorEastAsia" w:eastAsiaTheme="minorEastAsia"/>
          <w:b/>
          <w:bCs/>
          <w:color w:val="auto"/>
          <w:w w:val="95"/>
          <w:sz w:val="30"/>
          <w:szCs w:val="30"/>
          <w:highlight w:val="none"/>
        </w:rPr>
        <w:t>2025年</w:t>
      </w:r>
      <w:r>
        <w:rPr>
          <w:rFonts w:hint="eastAsia" w:asciiTheme="minorEastAsia" w:hAnsiTheme="minorEastAsia" w:eastAsiaTheme="minorEastAsia"/>
          <w:b/>
          <w:bCs/>
          <w:color w:val="auto"/>
          <w:w w:val="95"/>
          <w:sz w:val="30"/>
          <w:szCs w:val="30"/>
          <w:highlight w:val="none"/>
          <w:lang w:val="en-US" w:eastAsia="zh-CN"/>
        </w:rPr>
        <w:t>4</w:t>
      </w:r>
      <w:r>
        <w:rPr>
          <w:rFonts w:hint="eastAsia" w:asciiTheme="minorEastAsia" w:hAnsiTheme="minorEastAsia" w:eastAsiaTheme="minorEastAsia"/>
          <w:b/>
          <w:bCs/>
          <w:color w:val="auto"/>
          <w:w w:val="95"/>
          <w:sz w:val="30"/>
          <w:szCs w:val="30"/>
          <w:highlight w:val="none"/>
        </w:rPr>
        <w:t>月</w:t>
      </w:r>
      <w:r>
        <w:rPr>
          <w:rFonts w:hint="eastAsia" w:asciiTheme="minorEastAsia" w:hAnsiTheme="minorEastAsia" w:eastAsiaTheme="minorEastAsia"/>
          <w:b/>
          <w:bCs/>
          <w:color w:val="auto"/>
          <w:w w:val="95"/>
          <w:sz w:val="30"/>
          <w:szCs w:val="30"/>
          <w:highlight w:val="none"/>
          <w:lang w:val="en-US" w:eastAsia="zh-CN"/>
        </w:rPr>
        <w:t>3</w:t>
      </w:r>
      <w:r>
        <w:rPr>
          <w:rFonts w:hint="eastAsia" w:asciiTheme="minorEastAsia" w:hAnsiTheme="minorEastAsia" w:eastAsiaTheme="minorEastAsia"/>
          <w:b/>
          <w:bCs/>
          <w:color w:val="auto"/>
          <w:w w:val="95"/>
          <w:sz w:val="30"/>
          <w:szCs w:val="30"/>
          <w:highlight w:val="none"/>
        </w:rPr>
        <w:t>日</w:t>
      </w:r>
    </w:p>
    <w:p w14:paraId="749D6C87">
      <w:pPr>
        <w:rPr>
          <w:rFonts w:hint="eastAsia" w:asciiTheme="minorEastAsia" w:hAnsiTheme="minorEastAsia" w:eastAsiaTheme="minorEastAsia"/>
          <w:b/>
          <w:bCs/>
          <w:color w:val="auto"/>
          <w:w w:val="95"/>
          <w:sz w:val="30"/>
          <w:szCs w:val="30"/>
          <w:highlight w:val="none"/>
        </w:rPr>
      </w:pPr>
      <w:r>
        <w:rPr>
          <w:rFonts w:hint="eastAsia" w:asciiTheme="minorEastAsia" w:hAnsiTheme="minorEastAsia" w:eastAsiaTheme="minorEastAsia"/>
          <w:b/>
          <w:bCs/>
          <w:color w:val="auto"/>
          <w:w w:val="95"/>
          <w:sz w:val="30"/>
          <w:szCs w:val="30"/>
          <w:highlight w:val="none"/>
        </w:rPr>
        <w:br w:type="page"/>
      </w:r>
    </w:p>
    <w:p w14:paraId="4E36558A">
      <w:pPr>
        <w:pStyle w:val="14"/>
        <w:snapToGrid w:val="0"/>
        <w:spacing w:line="360" w:lineRule="auto"/>
        <w:ind w:firstLine="841" w:firstLineChars="294"/>
        <w:rPr>
          <w:rFonts w:asciiTheme="minorEastAsia" w:hAnsiTheme="minorEastAsia" w:eastAsiaTheme="minorEastAsia"/>
          <w:b/>
          <w:bCs/>
          <w:color w:val="auto"/>
          <w:w w:val="95"/>
          <w:sz w:val="30"/>
          <w:szCs w:val="30"/>
          <w:highlight w:val="none"/>
        </w:rPr>
      </w:pPr>
    </w:p>
    <w:p w14:paraId="6B1EB906">
      <w:pPr>
        <w:spacing w:line="360" w:lineRule="auto"/>
        <w:jc w:val="center"/>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 xml:space="preserve"> 目  录</w:t>
      </w:r>
    </w:p>
    <w:p w14:paraId="32D793C9">
      <w:pPr>
        <w:pStyle w:val="18"/>
        <w:spacing w:line="600" w:lineRule="exact"/>
        <w:rPr>
          <w:rFonts w:asciiTheme="minorEastAsia" w:hAnsiTheme="minorEastAsia" w:eastAsiaTheme="minorEastAsia"/>
          <w:b w:val="0"/>
          <w:bCs w:val="0"/>
          <w:color w:val="auto"/>
          <w:sz w:val="21"/>
          <w:szCs w:val="22"/>
          <w:highlight w:val="none"/>
        </w:rPr>
      </w:pPr>
      <w:r>
        <w:rPr>
          <w:rFonts w:asciiTheme="minorEastAsia" w:hAnsiTheme="minorEastAsia" w:eastAsiaTheme="minorEastAsia"/>
          <w:b w:val="0"/>
          <w:color w:val="auto"/>
          <w:highlight w:val="none"/>
        </w:rPr>
        <w:fldChar w:fldCharType="begin"/>
      </w:r>
      <w:r>
        <w:rPr>
          <w:rFonts w:hint="eastAsia" w:asciiTheme="minorEastAsia" w:hAnsiTheme="minorEastAsia" w:eastAsiaTheme="minorEastAsia"/>
          <w:b w:val="0"/>
          <w:color w:val="auto"/>
          <w:highlight w:val="none"/>
        </w:rPr>
        <w:instrText xml:space="preserve">TOC \o "1-2" \h \z \u</w:instrText>
      </w:r>
      <w:r>
        <w:rPr>
          <w:rFonts w:asciiTheme="minorEastAsia" w:hAnsiTheme="minorEastAsia" w:eastAsiaTheme="minorEastAsia"/>
          <w:b w:val="0"/>
          <w:color w:val="auto"/>
          <w:highlight w:val="none"/>
        </w:rPr>
        <w:fldChar w:fldCharType="separate"/>
      </w:r>
      <w:r>
        <w:rPr>
          <w:color w:val="auto"/>
          <w:highlight w:val="none"/>
        </w:rPr>
        <w:fldChar w:fldCharType="begin"/>
      </w:r>
      <w:r>
        <w:rPr>
          <w:color w:val="auto"/>
          <w:highlight w:val="none"/>
        </w:rPr>
        <w:instrText xml:space="preserve"> HYPERLINK \l "_Toc74320800" </w:instrText>
      </w:r>
      <w:r>
        <w:rPr>
          <w:color w:val="auto"/>
          <w:highlight w:val="none"/>
        </w:rPr>
        <w:fldChar w:fldCharType="separate"/>
      </w:r>
      <w:r>
        <w:rPr>
          <w:rStyle w:val="27"/>
          <w:rFonts w:hint="eastAsia" w:asciiTheme="minorEastAsia" w:hAnsiTheme="minorEastAsia" w:eastAsiaTheme="minorEastAsia"/>
          <w:color w:val="auto"/>
          <w:highlight w:val="none"/>
        </w:rPr>
        <w:t>第一章 招标公告</w:t>
      </w:r>
      <w:r>
        <w:rPr>
          <w:rFonts w:asciiTheme="minorEastAsia" w:hAnsiTheme="minorEastAsia" w:eastAsiaTheme="minorEastAsia"/>
          <w:color w:val="auto"/>
          <w:highlight w:val="none"/>
        </w:rPr>
        <w:tab/>
      </w:r>
      <w:r>
        <w:rPr>
          <w:rFonts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PAGEREF _Toc74320800 \h </w:instrText>
      </w:r>
      <w:r>
        <w:rPr>
          <w:rFonts w:asciiTheme="minorEastAsia" w:hAnsiTheme="minorEastAsia" w:eastAsiaTheme="minorEastAsia"/>
          <w:color w:val="auto"/>
          <w:highlight w:val="none"/>
        </w:rPr>
        <w:fldChar w:fldCharType="separate"/>
      </w:r>
      <w:r>
        <w:rPr>
          <w:rFonts w:asciiTheme="minorEastAsia" w:hAnsiTheme="minorEastAsia" w:eastAsiaTheme="minorEastAsia"/>
          <w:color w:val="auto"/>
          <w:highlight w:val="none"/>
        </w:rPr>
        <w:t>3</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fldChar w:fldCharType="end"/>
      </w:r>
    </w:p>
    <w:p w14:paraId="2B2058CD">
      <w:pPr>
        <w:pStyle w:val="18"/>
        <w:spacing w:line="600" w:lineRule="exact"/>
        <w:ind w:firstLine="241"/>
        <w:rPr>
          <w:rFonts w:asciiTheme="minorEastAsia" w:hAnsiTheme="minorEastAsia" w:eastAsiaTheme="minorEastAsia"/>
          <w:b w:val="0"/>
          <w:bCs w:val="0"/>
          <w:color w:val="auto"/>
          <w:sz w:val="21"/>
          <w:szCs w:val="22"/>
          <w:highlight w:val="none"/>
        </w:rPr>
      </w:pPr>
      <w:r>
        <w:rPr>
          <w:color w:val="auto"/>
          <w:highlight w:val="none"/>
        </w:rPr>
        <w:fldChar w:fldCharType="begin"/>
      </w:r>
      <w:r>
        <w:rPr>
          <w:color w:val="auto"/>
          <w:highlight w:val="none"/>
        </w:rPr>
        <w:instrText xml:space="preserve"> HYPERLINK \l "_Toc74320801" </w:instrText>
      </w:r>
      <w:r>
        <w:rPr>
          <w:color w:val="auto"/>
          <w:highlight w:val="none"/>
        </w:rPr>
        <w:fldChar w:fldCharType="separate"/>
      </w:r>
      <w:r>
        <w:rPr>
          <w:rStyle w:val="27"/>
          <w:rFonts w:hint="eastAsia" w:asciiTheme="minorEastAsia" w:hAnsiTheme="minorEastAsia" w:eastAsiaTheme="minorEastAsia"/>
          <w:color w:val="auto"/>
          <w:highlight w:val="none"/>
        </w:rPr>
        <w:t>第二章采购需求</w:t>
      </w:r>
      <w:r>
        <w:rPr>
          <w:rFonts w:asciiTheme="minorEastAsia" w:hAnsiTheme="minorEastAsia" w:eastAsiaTheme="minorEastAsia"/>
          <w:color w:val="auto"/>
          <w:highlight w:val="none"/>
        </w:rPr>
        <w:tab/>
      </w:r>
      <w:r>
        <w:rPr>
          <w:rFonts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PAGEREF _Toc74320801 \h </w:instrText>
      </w:r>
      <w:r>
        <w:rPr>
          <w:rFonts w:asciiTheme="minorEastAsia" w:hAnsiTheme="minorEastAsia" w:eastAsiaTheme="minorEastAsia"/>
          <w:color w:val="auto"/>
          <w:highlight w:val="none"/>
        </w:rPr>
        <w:fldChar w:fldCharType="separate"/>
      </w:r>
      <w:r>
        <w:rPr>
          <w:rFonts w:asciiTheme="minorEastAsia" w:hAnsiTheme="minorEastAsia" w:eastAsiaTheme="minorEastAsia"/>
          <w:color w:val="auto"/>
          <w:highlight w:val="none"/>
        </w:rPr>
        <w:t>4</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fldChar w:fldCharType="end"/>
      </w:r>
    </w:p>
    <w:p w14:paraId="726DD38C">
      <w:pPr>
        <w:pStyle w:val="18"/>
        <w:spacing w:line="600" w:lineRule="exact"/>
        <w:ind w:firstLine="241"/>
        <w:rPr>
          <w:rFonts w:asciiTheme="minorEastAsia" w:hAnsiTheme="minorEastAsia" w:eastAsiaTheme="minorEastAsia"/>
          <w:b w:val="0"/>
          <w:bCs w:val="0"/>
          <w:color w:val="auto"/>
          <w:sz w:val="21"/>
          <w:szCs w:val="22"/>
          <w:highlight w:val="none"/>
        </w:rPr>
      </w:pPr>
      <w:r>
        <w:rPr>
          <w:color w:val="auto"/>
          <w:highlight w:val="none"/>
        </w:rPr>
        <w:fldChar w:fldCharType="begin"/>
      </w:r>
      <w:r>
        <w:rPr>
          <w:color w:val="auto"/>
          <w:highlight w:val="none"/>
        </w:rPr>
        <w:instrText xml:space="preserve"> HYPERLINK \l "_Toc74320802" </w:instrText>
      </w:r>
      <w:r>
        <w:rPr>
          <w:color w:val="auto"/>
          <w:highlight w:val="none"/>
        </w:rPr>
        <w:fldChar w:fldCharType="separate"/>
      </w:r>
      <w:r>
        <w:rPr>
          <w:rStyle w:val="27"/>
          <w:rFonts w:hint="eastAsia" w:asciiTheme="minorEastAsia" w:hAnsiTheme="minorEastAsia" w:eastAsiaTheme="minorEastAsia"/>
          <w:color w:val="auto"/>
          <w:highlight w:val="none"/>
        </w:rPr>
        <w:t>第三章投标人须知</w:t>
      </w:r>
      <w:r>
        <w:rPr>
          <w:rFonts w:asciiTheme="minorEastAsia" w:hAnsiTheme="minorEastAsia" w:eastAsiaTheme="minorEastAsia"/>
          <w:color w:val="auto"/>
          <w:highlight w:val="none"/>
        </w:rPr>
        <w:tab/>
      </w:r>
      <w:r>
        <w:rPr>
          <w:rFonts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PAGEREF _Toc74320802 \h </w:instrText>
      </w:r>
      <w:r>
        <w:rPr>
          <w:rFonts w:asciiTheme="minorEastAsia" w:hAnsiTheme="minorEastAsia" w:eastAsiaTheme="minorEastAsia"/>
          <w:color w:val="auto"/>
          <w:highlight w:val="none"/>
        </w:rPr>
        <w:fldChar w:fldCharType="separate"/>
      </w:r>
      <w:r>
        <w:rPr>
          <w:rFonts w:asciiTheme="minorEastAsia" w:hAnsiTheme="minorEastAsia" w:eastAsiaTheme="minorEastAsia"/>
          <w:color w:val="auto"/>
          <w:highlight w:val="none"/>
        </w:rPr>
        <w:t>31</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fldChar w:fldCharType="end"/>
      </w:r>
    </w:p>
    <w:p w14:paraId="06E554D1">
      <w:pPr>
        <w:pStyle w:val="18"/>
        <w:spacing w:line="600" w:lineRule="exact"/>
        <w:ind w:firstLine="241"/>
        <w:rPr>
          <w:rFonts w:asciiTheme="minorEastAsia" w:hAnsiTheme="minorEastAsia" w:eastAsiaTheme="minorEastAsia"/>
          <w:b w:val="0"/>
          <w:bCs w:val="0"/>
          <w:color w:val="auto"/>
          <w:sz w:val="21"/>
          <w:szCs w:val="22"/>
          <w:highlight w:val="none"/>
        </w:rPr>
      </w:pPr>
      <w:r>
        <w:rPr>
          <w:color w:val="auto"/>
          <w:highlight w:val="none"/>
        </w:rPr>
        <w:fldChar w:fldCharType="begin"/>
      </w:r>
      <w:r>
        <w:rPr>
          <w:color w:val="auto"/>
          <w:highlight w:val="none"/>
        </w:rPr>
        <w:instrText xml:space="preserve"> HYPERLINK \l "_Toc74320803" </w:instrText>
      </w:r>
      <w:r>
        <w:rPr>
          <w:color w:val="auto"/>
          <w:highlight w:val="none"/>
        </w:rPr>
        <w:fldChar w:fldCharType="separate"/>
      </w:r>
      <w:r>
        <w:rPr>
          <w:rStyle w:val="27"/>
          <w:rFonts w:hint="eastAsia" w:asciiTheme="minorEastAsia" w:hAnsiTheme="minorEastAsia" w:eastAsiaTheme="minorEastAsia"/>
          <w:color w:val="auto"/>
          <w:highlight w:val="none"/>
        </w:rPr>
        <w:t>第四章评标方法及评标标准</w:t>
      </w:r>
      <w:r>
        <w:rPr>
          <w:rFonts w:asciiTheme="minorEastAsia" w:hAnsiTheme="minorEastAsia" w:eastAsiaTheme="minorEastAsia"/>
          <w:color w:val="auto"/>
          <w:highlight w:val="none"/>
        </w:rPr>
        <w:tab/>
      </w:r>
      <w:r>
        <w:rPr>
          <w:rFonts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PAGEREF _Toc74320803 \h </w:instrText>
      </w:r>
      <w:r>
        <w:rPr>
          <w:rFonts w:asciiTheme="minorEastAsia" w:hAnsiTheme="minorEastAsia" w:eastAsiaTheme="minorEastAsia"/>
          <w:color w:val="auto"/>
          <w:highlight w:val="none"/>
        </w:rPr>
        <w:fldChar w:fldCharType="separate"/>
      </w:r>
      <w:r>
        <w:rPr>
          <w:rFonts w:asciiTheme="minorEastAsia" w:hAnsiTheme="minorEastAsia" w:eastAsiaTheme="minorEastAsia"/>
          <w:color w:val="auto"/>
          <w:highlight w:val="none"/>
        </w:rPr>
        <w:t>51</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fldChar w:fldCharType="end"/>
      </w:r>
    </w:p>
    <w:p w14:paraId="52BE0A88">
      <w:pPr>
        <w:pStyle w:val="18"/>
        <w:spacing w:line="600" w:lineRule="exact"/>
        <w:ind w:firstLine="241"/>
        <w:rPr>
          <w:rFonts w:asciiTheme="minorEastAsia" w:hAnsiTheme="minorEastAsia" w:eastAsiaTheme="minorEastAsia"/>
          <w:b w:val="0"/>
          <w:bCs w:val="0"/>
          <w:color w:val="auto"/>
          <w:sz w:val="21"/>
          <w:szCs w:val="22"/>
          <w:highlight w:val="none"/>
        </w:rPr>
      </w:pPr>
      <w:r>
        <w:rPr>
          <w:color w:val="auto"/>
          <w:highlight w:val="none"/>
        </w:rPr>
        <w:fldChar w:fldCharType="begin"/>
      </w:r>
      <w:r>
        <w:rPr>
          <w:color w:val="auto"/>
          <w:highlight w:val="none"/>
        </w:rPr>
        <w:instrText xml:space="preserve"> HYPERLINK \l "_Toc74320804" </w:instrText>
      </w:r>
      <w:r>
        <w:rPr>
          <w:color w:val="auto"/>
          <w:highlight w:val="none"/>
        </w:rPr>
        <w:fldChar w:fldCharType="separate"/>
      </w:r>
      <w:r>
        <w:rPr>
          <w:rStyle w:val="27"/>
          <w:rFonts w:hint="eastAsia" w:asciiTheme="minorEastAsia" w:hAnsiTheme="minorEastAsia" w:eastAsiaTheme="minorEastAsia"/>
          <w:color w:val="auto"/>
          <w:highlight w:val="none"/>
        </w:rPr>
        <w:t>第五章拟签订的合同文本</w:t>
      </w:r>
      <w:r>
        <w:rPr>
          <w:rFonts w:asciiTheme="minorEastAsia" w:hAnsiTheme="minorEastAsia" w:eastAsiaTheme="minorEastAsia"/>
          <w:color w:val="auto"/>
          <w:highlight w:val="none"/>
        </w:rPr>
        <w:tab/>
      </w:r>
      <w:r>
        <w:rPr>
          <w:rFonts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PAGEREF _Toc74320804 \h </w:instrText>
      </w:r>
      <w:r>
        <w:rPr>
          <w:rFonts w:asciiTheme="minorEastAsia" w:hAnsiTheme="minorEastAsia" w:eastAsiaTheme="minorEastAsia"/>
          <w:color w:val="auto"/>
          <w:highlight w:val="none"/>
        </w:rPr>
        <w:fldChar w:fldCharType="separate"/>
      </w:r>
      <w:r>
        <w:rPr>
          <w:rFonts w:asciiTheme="minorEastAsia" w:hAnsiTheme="minorEastAsia" w:eastAsiaTheme="minorEastAsia"/>
          <w:color w:val="auto"/>
          <w:highlight w:val="none"/>
        </w:rPr>
        <w:t>62</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fldChar w:fldCharType="end"/>
      </w:r>
    </w:p>
    <w:p w14:paraId="3FC3CC17">
      <w:pPr>
        <w:pStyle w:val="18"/>
        <w:spacing w:line="600" w:lineRule="exact"/>
        <w:ind w:firstLine="241"/>
        <w:rPr>
          <w:rFonts w:asciiTheme="minorEastAsia" w:hAnsiTheme="minorEastAsia" w:eastAsiaTheme="minorEastAsia"/>
          <w:b w:val="0"/>
          <w:bCs w:val="0"/>
          <w:color w:val="auto"/>
          <w:sz w:val="21"/>
          <w:szCs w:val="22"/>
          <w:highlight w:val="none"/>
        </w:rPr>
      </w:pPr>
      <w:r>
        <w:rPr>
          <w:color w:val="auto"/>
          <w:highlight w:val="none"/>
        </w:rPr>
        <w:fldChar w:fldCharType="begin"/>
      </w:r>
      <w:r>
        <w:rPr>
          <w:color w:val="auto"/>
          <w:highlight w:val="none"/>
        </w:rPr>
        <w:instrText xml:space="preserve"> HYPERLINK \l "_Toc74320805" </w:instrText>
      </w:r>
      <w:r>
        <w:rPr>
          <w:color w:val="auto"/>
          <w:highlight w:val="none"/>
        </w:rPr>
        <w:fldChar w:fldCharType="separate"/>
      </w:r>
      <w:r>
        <w:rPr>
          <w:rStyle w:val="27"/>
          <w:rFonts w:hint="eastAsia" w:asciiTheme="minorEastAsia" w:hAnsiTheme="minorEastAsia" w:eastAsiaTheme="minorEastAsia"/>
          <w:color w:val="auto"/>
          <w:highlight w:val="none"/>
        </w:rPr>
        <w:t>第六章　投标文件格式</w:t>
      </w:r>
      <w:r>
        <w:rPr>
          <w:rFonts w:asciiTheme="minorEastAsia" w:hAnsiTheme="minorEastAsia" w:eastAsiaTheme="minorEastAsia"/>
          <w:color w:val="auto"/>
          <w:highlight w:val="none"/>
        </w:rPr>
        <w:tab/>
      </w:r>
      <w:r>
        <w:rPr>
          <w:rFonts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PAGEREF _Toc74320805 \h </w:instrText>
      </w:r>
      <w:r>
        <w:rPr>
          <w:rFonts w:asciiTheme="minorEastAsia" w:hAnsiTheme="minorEastAsia" w:eastAsiaTheme="minorEastAsia"/>
          <w:color w:val="auto"/>
          <w:highlight w:val="none"/>
        </w:rPr>
        <w:fldChar w:fldCharType="separate"/>
      </w:r>
      <w:r>
        <w:rPr>
          <w:rFonts w:asciiTheme="minorEastAsia" w:hAnsiTheme="minorEastAsia" w:eastAsiaTheme="minorEastAsia"/>
          <w:color w:val="auto"/>
          <w:highlight w:val="none"/>
        </w:rPr>
        <w:t>69</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fldChar w:fldCharType="end"/>
      </w:r>
    </w:p>
    <w:p w14:paraId="722DEB5C">
      <w:pPr>
        <w:spacing w:before="120" w:line="600" w:lineRule="exact"/>
        <w:rPr>
          <w:rFonts w:asciiTheme="minorEastAsia" w:hAnsiTheme="minorEastAsia" w:eastAsiaTheme="minorEastAsia"/>
          <w:color w:val="auto"/>
          <w:sz w:val="24"/>
          <w:highlight w:val="none"/>
        </w:rPr>
      </w:pPr>
      <w:r>
        <w:rPr>
          <w:rFonts w:asciiTheme="minorEastAsia" w:hAnsiTheme="minorEastAsia" w:eastAsiaTheme="minorEastAsia"/>
          <w:b/>
          <w:color w:val="auto"/>
          <w:sz w:val="24"/>
          <w:highlight w:val="none"/>
        </w:rPr>
        <w:fldChar w:fldCharType="end"/>
      </w:r>
    </w:p>
    <w:p w14:paraId="7B7803CC">
      <w:pPr>
        <w:spacing w:beforeLines="50" w:line="480" w:lineRule="exact"/>
        <w:rPr>
          <w:rFonts w:asciiTheme="minorEastAsia" w:hAnsiTheme="minorEastAsia" w:eastAsiaTheme="minorEastAsia"/>
          <w:color w:val="auto"/>
          <w:sz w:val="30"/>
          <w:highlight w:val="none"/>
        </w:rPr>
      </w:pPr>
    </w:p>
    <w:p w14:paraId="64E8B120">
      <w:pPr>
        <w:rPr>
          <w:rFonts w:asciiTheme="minorEastAsia" w:hAnsiTheme="minorEastAsia" w:eastAsiaTheme="minorEastAsia"/>
          <w:color w:val="auto"/>
          <w:highlight w:val="none"/>
        </w:rPr>
      </w:pPr>
    </w:p>
    <w:p w14:paraId="47F1E837">
      <w:pPr>
        <w:spacing w:beforeLines="50" w:line="480" w:lineRule="exact"/>
        <w:rPr>
          <w:rFonts w:asciiTheme="minorEastAsia" w:hAnsiTheme="minorEastAsia" w:eastAsiaTheme="minorEastAsia"/>
          <w:color w:val="auto"/>
          <w:sz w:val="30"/>
          <w:highlight w:val="none"/>
        </w:rPr>
      </w:pPr>
    </w:p>
    <w:p w14:paraId="36CBDDDE">
      <w:pPr>
        <w:spacing w:beforeLines="50" w:line="480" w:lineRule="exact"/>
        <w:rPr>
          <w:rFonts w:asciiTheme="minorEastAsia" w:hAnsiTheme="minorEastAsia" w:eastAsiaTheme="minorEastAsia"/>
          <w:color w:val="auto"/>
          <w:sz w:val="30"/>
          <w:highlight w:val="none"/>
        </w:rPr>
      </w:pPr>
    </w:p>
    <w:p w14:paraId="48DD7762">
      <w:pPr>
        <w:pStyle w:val="10"/>
        <w:rPr>
          <w:rFonts w:cs="宋体" w:asciiTheme="minorEastAsia" w:hAnsiTheme="minorEastAsia" w:eastAsiaTheme="minorEastAsia"/>
          <w:b/>
          <w:bCs/>
          <w:color w:val="auto"/>
          <w:highlight w:val="none"/>
        </w:rPr>
      </w:pPr>
      <w:bookmarkStart w:id="0" w:name="_Toc254970630"/>
      <w:bookmarkStart w:id="1" w:name="_Toc254970489"/>
    </w:p>
    <w:bookmarkEnd w:id="0"/>
    <w:bookmarkEnd w:id="1"/>
    <w:p w14:paraId="0FCD68EF">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Theme="minorEastAsia" w:hAnsiTheme="minorEastAsia" w:eastAsiaTheme="minorEastAsia"/>
          <w:color w:val="auto"/>
          <w:highlight w:val="none"/>
        </w:rPr>
        <w:sectPr>
          <w:footerReference r:id="rId3" w:type="default"/>
          <w:pgSz w:w="11906" w:h="16840"/>
          <w:pgMar w:top="1134" w:right="1134" w:bottom="1134" w:left="1134" w:header="0" w:footer="945" w:gutter="0"/>
          <w:pgNumType w:start="1"/>
          <w:cols w:space="720" w:num="1"/>
        </w:sectPr>
      </w:pPr>
      <w:bookmarkStart w:id="2" w:name="_Toc35393789"/>
      <w:bookmarkEnd w:id="2"/>
      <w:bookmarkStart w:id="3" w:name="_Toc74320800"/>
      <w:bookmarkEnd w:id="3"/>
      <w:bookmarkStart w:id="4" w:name="_Toc28359001"/>
      <w:bookmarkEnd w:id="4"/>
    </w:p>
    <w:p w14:paraId="4CC1B4FB">
      <w:pPr>
        <w:pStyle w:val="2"/>
        <w:keepNext w:val="0"/>
        <w:keepLines w:val="0"/>
        <w:tabs>
          <w:tab w:val="left" w:pos="0"/>
          <w:tab w:val="left" w:pos="3165"/>
          <w:tab w:val="center" w:pos="4153"/>
        </w:tabs>
        <w:autoSpaceDE w:val="0"/>
        <w:autoSpaceDN w:val="0"/>
        <w:adjustRightInd w:val="0"/>
        <w:spacing w:before="0" w:after="0" w:line="360" w:lineRule="auto"/>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第一章 招标公告</w:t>
      </w:r>
    </w:p>
    <w:p w14:paraId="03F571F2">
      <w:pPr>
        <w:spacing w:line="400" w:lineRule="exact"/>
        <w:jc w:val="center"/>
        <w:rPr>
          <w:rFonts w:asciiTheme="minorEastAsia" w:hAnsiTheme="minorEastAsia" w:eastAsiaTheme="minorEastAsia"/>
          <w:b/>
          <w:bCs/>
          <w:color w:val="auto"/>
          <w:w w:val="95"/>
          <w:sz w:val="30"/>
          <w:szCs w:val="30"/>
          <w:highlight w:val="none"/>
        </w:rPr>
      </w:pPr>
      <w:r>
        <w:rPr>
          <w:rFonts w:hint="eastAsia" w:asciiTheme="minorEastAsia" w:hAnsiTheme="minorEastAsia" w:eastAsiaTheme="minorEastAsia"/>
          <w:b/>
          <w:bCs/>
          <w:color w:val="auto"/>
          <w:w w:val="95"/>
          <w:sz w:val="30"/>
          <w:szCs w:val="30"/>
          <w:highlight w:val="none"/>
        </w:rPr>
        <w:t>广西科文招标有限公司关于超声诊断系统、冰冻切片机、胰岛素泵等医疗设备采购（</w:t>
      </w:r>
      <w:r>
        <w:rPr>
          <w:rFonts w:hint="eastAsia" w:asciiTheme="minorEastAsia" w:hAnsiTheme="minorEastAsia" w:eastAsiaTheme="minorEastAsia"/>
          <w:b/>
          <w:bCs/>
          <w:color w:val="auto"/>
          <w:w w:val="95"/>
          <w:sz w:val="30"/>
          <w:szCs w:val="30"/>
          <w:highlight w:val="none"/>
          <w:lang w:eastAsia="zh-CN"/>
        </w:rPr>
        <w:t>GXZC2025-G1-000589-KWZB</w:t>
      </w:r>
      <w:r>
        <w:rPr>
          <w:rFonts w:hint="eastAsia" w:asciiTheme="minorEastAsia" w:hAnsiTheme="minorEastAsia" w:eastAsiaTheme="minorEastAsia"/>
          <w:b/>
          <w:bCs/>
          <w:color w:val="auto"/>
          <w:w w:val="95"/>
          <w:sz w:val="30"/>
          <w:szCs w:val="30"/>
          <w:highlight w:val="none"/>
        </w:rPr>
        <w:t>）的招标公告</w:t>
      </w:r>
    </w:p>
    <w:p w14:paraId="458CD934">
      <w:pPr>
        <w:pBdr>
          <w:top w:val="single" w:color="auto" w:sz="4" w:space="1"/>
          <w:left w:val="single" w:color="auto" w:sz="4" w:space="4"/>
          <w:bottom w:val="single" w:color="auto" w:sz="4" w:space="1"/>
          <w:right w:val="single" w:color="auto" w:sz="4" w:space="3"/>
        </w:pBdr>
        <w:spacing w:line="400" w:lineRule="exact"/>
        <w:ind w:firstLine="420" w:firstLineChars="200"/>
        <w:rPr>
          <w:rFonts w:asciiTheme="minorEastAsia" w:hAnsiTheme="minorEastAsia" w:eastAsiaTheme="minorEastAsia"/>
          <w:color w:val="auto"/>
          <w:szCs w:val="21"/>
          <w:highlight w:val="none"/>
        </w:rPr>
      </w:pPr>
      <w:bookmarkStart w:id="5" w:name="OLE_LINK1"/>
      <w:r>
        <w:rPr>
          <w:rFonts w:hint="eastAsia" w:asciiTheme="minorEastAsia" w:hAnsiTheme="minorEastAsia" w:eastAsiaTheme="minorEastAsia"/>
          <w:color w:val="auto"/>
          <w:szCs w:val="21"/>
          <w:highlight w:val="none"/>
        </w:rPr>
        <w:t>项目概况</w:t>
      </w:r>
    </w:p>
    <w:p w14:paraId="107B6B56">
      <w:pPr>
        <w:pBdr>
          <w:top w:val="single" w:color="auto" w:sz="4" w:space="1"/>
          <w:left w:val="single" w:color="auto" w:sz="4" w:space="4"/>
          <w:bottom w:val="single" w:color="auto" w:sz="4" w:space="1"/>
          <w:right w:val="single" w:color="auto" w:sz="4" w:space="3"/>
        </w:pBdr>
        <w:spacing w:line="400" w:lineRule="exact"/>
        <w:ind w:firstLine="420" w:firstLineChars="200"/>
        <w:rPr>
          <w:rFonts w:asciiTheme="minorEastAsia" w:hAnsiTheme="minorEastAsia" w:eastAsiaTheme="minorEastAsia"/>
          <w:color w:val="auto"/>
          <w:szCs w:val="21"/>
          <w:highlight w:val="none"/>
        </w:rPr>
      </w:pPr>
      <w:bookmarkStart w:id="6" w:name="_Toc28359002"/>
      <w:bookmarkStart w:id="7" w:name="_Toc35393790"/>
      <w:bookmarkStart w:id="8" w:name="_Toc35393621"/>
      <w:bookmarkStart w:id="9" w:name="_Toc28359079"/>
      <w:r>
        <w:rPr>
          <w:rFonts w:hint="eastAsia" w:cs="Arial" w:asciiTheme="minorEastAsia" w:hAnsiTheme="minorEastAsia" w:eastAsiaTheme="minorEastAsia"/>
          <w:bCs/>
          <w:color w:val="auto"/>
          <w:szCs w:val="21"/>
          <w:highlight w:val="none"/>
          <w:u w:val="single"/>
        </w:rPr>
        <w:t>超声诊断系统、冰冻切片机、胰岛素泵等医疗设备采购</w:t>
      </w:r>
      <w:r>
        <w:rPr>
          <w:rFonts w:hint="eastAsia" w:asciiTheme="minorEastAsia" w:hAnsiTheme="minorEastAsia" w:eastAsiaTheme="minorEastAsia"/>
          <w:color w:val="auto"/>
          <w:szCs w:val="21"/>
          <w:highlight w:val="none"/>
        </w:rPr>
        <w:t>招标项目的潜在投标人应在“广西政府采购云平台”平台（</w:t>
      </w:r>
      <w:r>
        <w:rPr>
          <w:color w:val="auto"/>
          <w:highlight w:val="none"/>
        </w:rPr>
        <w:fldChar w:fldCharType="begin"/>
      </w:r>
      <w:r>
        <w:rPr>
          <w:color w:val="auto"/>
          <w:highlight w:val="none"/>
        </w:rPr>
        <w:instrText xml:space="preserve"> HYPERLINK "https://www.zcygov.cn/）获取（下载）招标文件，并于2024年" </w:instrText>
      </w:r>
      <w:r>
        <w:rPr>
          <w:color w:val="auto"/>
          <w:highlight w:val="none"/>
        </w:rPr>
        <w:fldChar w:fldCharType="separate"/>
      </w:r>
      <w:r>
        <w:rPr>
          <w:rStyle w:val="27"/>
          <w:rFonts w:hint="eastAsia" w:asciiTheme="minorEastAsia" w:hAnsiTheme="minorEastAsia" w:eastAsiaTheme="minorEastAsia"/>
          <w:color w:val="auto"/>
          <w:szCs w:val="21"/>
          <w:highlight w:val="none"/>
        </w:rPr>
        <w:t>https://www.gcy.zfcg.gxzf.gov.cn/）获取（下载）招标文件，并于</w:t>
      </w:r>
      <w:r>
        <w:rPr>
          <w:rStyle w:val="27"/>
          <w:rFonts w:hint="eastAsia" w:cs="Arial" w:asciiTheme="minorEastAsia" w:hAnsiTheme="minorEastAsia" w:eastAsiaTheme="minorEastAsia"/>
          <w:bCs/>
          <w:color w:val="auto"/>
          <w:szCs w:val="21"/>
          <w:highlight w:val="none"/>
        </w:rPr>
        <w:t>2025年</w:t>
      </w:r>
      <w:r>
        <w:rPr>
          <w:rStyle w:val="27"/>
          <w:rFonts w:hint="eastAsia" w:cs="Arial" w:asciiTheme="minorEastAsia" w:hAnsiTheme="minorEastAsia" w:eastAsiaTheme="minorEastAsia"/>
          <w:bCs/>
          <w:color w:val="auto"/>
          <w:szCs w:val="21"/>
          <w:highlight w:val="none"/>
        </w:rPr>
        <w:fldChar w:fldCharType="end"/>
      </w:r>
      <w:r>
        <w:rPr>
          <w:rFonts w:hint="eastAsia" w:cs="Arial" w:asciiTheme="minorEastAsia" w:hAnsiTheme="minorEastAsia" w:eastAsiaTheme="minorEastAsia"/>
          <w:bCs/>
          <w:color w:val="auto"/>
          <w:szCs w:val="21"/>
          <w:highlight w:val="none"/>
          <w:u w:val="single"/>
          <w:lang w:val="en-US" w:eastAsia="zh-CN"/>
        </w:rPr>
        <w:t>4</w:t>
      </w:r>
      <w:r>
        <w:rPr>
          <w:rFonts w:hint="eastAsia" w:cs="Arial" w:asciiTheme="minorEastAsia" w:hAnsiTheme="minorEastAsia" w:eastAsiaTheme="minorEastAsia"/>
          <w:bCs/>
          <w:color w:val="auto"/>
          <w:szCs w:val="21"/>
          <w:highlight w:val="none"/>
          <w:u w:val="single"/>
        </w:rPr>
        <w:t>月</w:t>
      </w:r>
      <w:r>
        <w:rPr>
          <w:rFonts w:hint="eastAsia" w:cs="Arial" w:asciiTheme="minorEastAsia" w:hAnsiTheme="minorEastAsia" w:eastAsiaTheme="minorEastAsia"/>
          <w:bCs/>
          <w:color w:val="auto"/>
          <w:szCs w:val="21"/>
          <w:highlight w:val="none"/>
          <w:u w:val="single"/>
          <w:lang w:val="en-US" w:eastAsia="zh-CN"/>
        </w:rPr>
        <w:t>24</w:t>
      </w:r>
      <w:r>
        <w:rPr>
          <w:rFonts w:hint="eastAsia" w:cs="Arial" w:asciiTheme="minorEastAsia" w:hAnsiTheme="minorEastAsia" w:eastAsiaTheme="minorEastAsia"/>
          <w:bCs/>
          <w:color w:val="auto"/>
          <w:szCs w:val="21"/>
          <w:highlight w:val="none"/>
          <w:u w:val="single"/>
        </w:rPr>
        <w:t>日</w:t>
      </w:r>
      <w:bookmarkStart w:id="143" w:name="_GoBack"/>
      <w:r>
        <w:rPr>
          <w:rFonts w:hint="eastAsia" w:cs="Arial" w:asciiTheme="minorEastAsia" w:hAnsiTheme="minorEastAsia" w:eastAsiaTheme="minorEastAsia"/>
          <w:bCs/>
          <w:color w:val="auto"/>
          <w:szCs w:val="21"/>
          <w:highlight w:val="none"/>
          <w:u w:val="single"/>
        </w:rPr>
        <w:t>9时</w:t>
      </w:r>
      <w:bookmarkEnd w:id="143"/>
      <w:r>
        <w:rPr>
          <w:rFonts w:hint="eastAsia" w:cs="Arial" w:asciiTheme="minorEastAsia" w:hAnsiTheme="minorEastAsia" w:eastAsiaTheme="minorEastAsia"/>
          <w:bCs/>
          <w:color w:val="auto"/>
          <w:szCs w:val="21"/>
          <w:highlight w:val="none"/>
          <w:u w:val="single"/>
          <w:lang w:val="en-US" w:eastAsia="zh-CN"/>
        </w:rPr>
        <w:t>0</w:t>
      </w:r>
      <w:r>
        <w:rPr>
          <w:rFonts w:hint="eastAsia" w:cs="Arial" w:asciiTheme="minorEastAsia" w:hAnsiTheme="minorEastAsia" w:eastAsiaTheme="minorEastAsia"/>
          <w:bCs/>
          <w:color w:val="auto"/>
          <w:szCs w:val="21"/>
          <w:highlight w:val="none"/>
          <w:u w:val="single"/>
        </w:rPr>
        <w:t>0分</w:t>
      </w:r>
      <w:r>
        <w:rPr>
          <w:rFonts w:hint="eastAsia" w:cs="Arial" w:asciiTheme="minorEastAsia" w:hAnsiTheme="minorEastAsia" w:eastAsiaTheme="minorEastAsia"/>
          <w:bCs/>
          <w:color w:val="auto"/>
          <w:szCs w:val="21"/>
          <w:highlight w:val="none"/>
        </w:rPr>
        <w:t>（北京时间）</w:t>
      </w:r>
      <w:r>
        <w:rPr>
          <w:rFonts w:hint="eastAsia" w:asciiTheme="minorEastAsia" w:hAnsiTheme="minorEastAsia" w:eastAsiaTheme="minorEastAsia"/>
          <w:bCs/>
          <w:color w:val="auto"/>
          <w:szCs w:val="21"/>
          <w:highlight w:val="none"/>
        </w:rPr>
        <w:t>前递交投标</w:t>
      </w:r>
      <w:r>
        <w:rPr>
          <w:rFonts w:asciiTheme="minorEastAsia" w:hAnsiTheme="minorEastAsia" w:eastAsiaTheme="minorEastAsia"/>
          <w:bCs/>
          <w:color w:val="auto"/>
          <w:szCs w:val="21"/>
          <w:highlight w:val="none"/>
        </w:rPr>
        <w:t>文件</w:t>
      </w:r>
      <w:r>
        <w:rPr>
          <w:rFonts w:hint="eastAsia" w:asciiTheme="minorEastAsia" w:hAnsiTheme="minorEastAsia" w:eastAsiaTheme="minorEastAsia"/>
          <w:color w:val="auto"/>
          <w:szCs w:val="21"/>
          <w:highlight w:val="none"/>
        </w:rPr>
        <w:t>。</w:t>
      </w:r>
    </w:p>
    <w:bookmarkEnd w:id="6"/>
    <w:bookmarkEnd w:id="7"/>
    <w:bookmarkEnd w:id="8"/>
    <w:bookmarkEnd w:id="9"/>
    <w:p w14:paraId="4D4661B1">
      <w:pPr>
        <w:spacing w:line="400" w:lineRule="exact"/>
        <w:outlineLvl w:val="1"/>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一、项目基本情况</w:t>
      </w:r>
    </w:p>
    <w:p w14:paraId="59DF989A">
      <w:pPr>
        <w:spacing w:line="400" w:lineRule="exact"/>
        <w:ind w:firstLine="420" w:firstLineChars="20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rPr>
        <w:t>项目编号：</w:t>
      </w:r>
      <w:r>
        <w:rPr>
          <w:rFonts w:hint="eastAsia" w:asciiTheme="minorEastAsia" w:hAnsiTheme="minorEastAsia" w:eastAsiaTheme="minorEastAsia"/>
          <w:color w:val="auto"/>
          <w:szCs w:val="21"/>
          <w:highlight w:val="none"/>
          <w:lang w:eastAsia="zh-CN"/>
        </w:rPr>
        <w:t>GXZC2025-G1-000589-KWZB</w:t>
      </w:r>
    </w:p>
    <w:p w14:paraId="502131F7">
      <w:pPr>
        <w:spacing w:line="40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项目名称：超声诊断系统、冰冻切片机、胰岛素泵等医疗设备采购</w:t>
      </w:r>
    </w:p>
    <w:p w14:paraId="1FF87E68">
      <w:pPr>
        <w:spacing w:line="400" w:lineRule="exact"/>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预算金额：443</w:t>
      </w:r>
      <w:r>
        <w:rPr>
          <w:rFonts w:hint="eastAsia" w:asciiTheme="minorEastAsia" w:hAnsiTheme="minorEastAsia" w:eastAsiaTheme="minorEastAsia"/>
          <w:color w:val="auto"/>
          <w:szCs w:val="21"/>
          <w:highlight w:val="none"/>
          <w:lang w:val="en-US" w:eastAsia="zh-CN"/>
        </w:rPr>
        <w:t>35</w:t>
      </w:r>
      <w:r>
        <w:rPr>
          <w:rFonts w:hint="eastAsia" w:asciiTheme="minorEastAsia" w:hAnsiTheme="minorEastAsia" w:eastAsiaTheme="minorEastAsia"/>
          <w:color w:val="auto"/>
          <w:szCs w:val="21"/>
          <w:highlight w:val="none"/>
        </w:rPr>
        <w:t>00.00元，其中01分标2209000.00元，02分标789500.00元，03分标835000.00元，04分标600</w:t>
      </w:r>
      <w:r>
        <w:rPr>
          <w:rFonts w:hint="eastAsia" w:asciiTheme="minorEastAsia" w:hAnsiTheme="minorEastAsia" w:eastAsiaTheme="minorEastAsia"/>
          <w:color w:val="auto"/>
          <w:szCs w:val="21"/>
          <w:highlight w:val="none"/>
          <w:lang w:val="en-US" w:eastAsia="zh-CN"/>
        </w:rPr>
        <w:t>0</w:t>
      </w:r>
      <w:r>
        <w:rPr>
          <w:rFonts w:hint="eastAsia" w:asciiTheme="minorEastAsia" w:hAnsiTheme="minorEastAsia" w:eastAsiaTheme="minorEastAsia"/>
          <w:color w:val="auto"/>
          <w:szCs w:val="21"/>
          <w:highlight w:val="none"/>
        </w:rPr>
        <w:t>00.00元</w:t>
      </w:r>
    </w:p>
    <w:p w14:paraId="2BDB0B7D">
      <w:pPr>
        <w:spacing w:line="40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最高限价（如有）：与预算金额一致</w:t>
      </w:r>
    </w:p>
    <w:p w14:paraId="4FF28671">
      <w:pPr>
        <w:spacing w:line="40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采购需求：</w:t>
      </w:r>
    </w:p>
    <w:tbl>
      <w:tblPr>
        <w:tblStyle w:val="23"/>
        <w:tblW w:w="535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74"/>
        <w:gridCol w:w="2876"/>
        <w:gridCol w:w="1362"/>
        <w:gridCol w:w="1609"/>
        <w:gridCol w:w="3837"/>
      </w:tblGrid>
      <w:tr w14:paraId="7220C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C00504A">
            <w:pPr>
              <w:spacing w:line="400" w:lineRule="exact"/>
              <w:jc w:val="left"/>
              <w:rPr>
                <w:rFonts w:cs="宋体" w:asciiTheme="minorEastAsia" w:hAnsiTheme="minorEastAsia" w:eastAsiaTheme="minorEastAsia"/>
                <w:color w:val="auto"/>
                <w:kern w:val="0"/>
                <w:szCs w:val="21"/>
                <w:highlight w:val="none"/>
              </w:rPr>
            </w:pPr>
            <w:r>
              <w:rPr>
                <w:rFonts w:hint="eastAsia" w:asciiTheme="minorEastAsia" w:hAnsiTheme="minorEastAsia" w:eastAsiaTheme="minorEastAsia"/>
                <w:b/>
                <w:color w:val="auto"/>
                <w:szCs w:val="21"/>
                <w:highlight w:val="none"/>
              </w:rPr>
              <w:t>01分标：（预算金额：2209000.00元）</w:t>
            </w:r>
          </w:p>
        </w:tc>
      </w:tr>
      <w:tr w14:paraId="517C4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5358D70C">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序号</w:t>
            </w:r>
          </w:p>
        </w:tc>
        <w:tc>
          <w:tcPr>
            <w:tcW w:w="1362" w:type="pct"/>
            <w:tcBorders>
              <w:top w:val="single" w:color="auto" w:sz="4" w:space="0"/>
              <w:left w:val="single" w:color="auto" w:sz="4" w:space="0"/>
              <w:bottom w:val="single" w:color="auto" w:sz="4" w:space="0"/>
              <w:right w:val="single" w:color="auto" w:sz="4" w:space="0"/>
            </w:tcBorders>
            <w:vAlign w:val="center"/>
          </w:tcPr>
          <w:p w14:paraId="105EA041">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标的名称</w:t>
            </w:r>
          </w:p>
        </w:tc>
        <w:tc>
          <w:tcPr>
            <w:tcW w:w="645" w:type="pct"/>
            <w:tcBorders>
              <w:top w:val="single" w:color="auto" w:sz="4" w:space="0"/>
              <w:left w:val="single" w:color="auto" w:sz="4" w:space="0"/>
              <w:bottom w:val="single" w:color="auto" w:sz="4" w:space="0"/>
              <w:right w:val="single" w:color="auto" w:sz="4" w:space="0"/>
            </w:tcBorders>
            <w:vAlign w:val="center"/>
          </w:tcPr>
          <w:p w14:paraId="79512C51">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数量及单位</w:t>
            </w:r>
          </w:p>
        </w:tc>
        <w:tc>
          <w:tcPr>
            <w:tcW w:w="762" w:type="pct"/>
            <w:tcBorders>
              <w:top w:val="single" w:color="auto" w:sz="4" w:space="0"/>
              <w:left w:val="single" w:color="auto" w:sz="4" w:space="0"/>
              <w:bottom w:val="single" w:color="auto" w:sz="4" w:space="0"/>
              <w:right w:val="single" w:color="auto" w:sz="4" w:space="0"/>
            </w:tcBorders>
            <w:vAlign w:val="center"/>
          </w:tcPr>
          <w:p w14:paraId="626F121F">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预算单价</w:t>
            </w:r>
          </w:p>
          <w:p w14:paraId="01C0657E">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（万元）</w:t>
            </w:r>
          </w:p>
        </w:tc>
        <w:tc>
          <w:tcPr>
            <w:tcW w:w="1814" w:type="pct"/>
            <w:tcBorders>
              <w:top w:val="single" w:color="auto" w:sz="4" w:space="0"/>
              <w:left w:val="single" w:color="auto" w:sz="4" w:space="0"/>
              <w:bottom w:val="single" w:color="auto" w:sz="4" w:space="0"/>
              <w:right w:val="single" w:color="auto" w:sz="4" w:space="0"/>
            </w:tcBorders>
            <w:vAlign w:val="center"/>
          </w:tcPr>
          <w:p w14:paraId="1E0A7915">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简要技术需求或者服务要求</w:t>
            </w:r>
          </w:p>
        </w:tc>
      </w:tr>
      <w:tr w14:paraId="3F8E5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7BBD9F91">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1</w:t>
            </w:r>
          </w:p>
        </w:tc>
        <w:tc>
          <w:tcPr>
            <w:tcW w:w="1362" w:type="pct"/>
            <w:tcBorders>
              <w:top w:val="single" w:color="auto" w:sz="4" w:space="0"/>
              <w:left w:val="single" w:color="auto" w:sz="4" w:space="0"/>
              <w:bottom w:val="single" w:color="auto" w:sz="4" w:space="0"/>
              <w:right w:val="single" w:color="auto" w:sz="4" w:space="0"/>
            </w:tcBorders>
            <w:vAlign w:val="center"/>
          </w:tcPr>
          <w:p w14:paraId="11A03C46">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全数字化彩色多普勒超声诊断系统</w:t>
            </w:r>
          </w:p>
        </w:tc>
        <w:tc>
          <w:tcPr>
            <w:tcW w:w="645" w:type="pct"/>
            <w:tcBorders>
              <w:top w:val="single" w:color="auto" w:sz="4" w:space="0"/>
              <w:left w:val="single" w:color="auto" w:sz="4" w:space="0"/>
              <w:bottom w:val="single" w:color="auto" w:sz="4" w:space="0"/>
              <w:right w:val="single" w:color="auto" w:sz="4" w:space="0"/>
            </w:tcBorders>
            <w:vAlign w:val="center"/>
          </w:tcPr>
          <w:p w14:paraId="411AF05A">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1套</w:t>
            </w:r>
          </w:p>
        </w:tc>
        <w:tc>
          <w:tcPr>
            <w:tcW w:w="762" w:type="pct"/>
            <w:tcBorders>
              <w:top w:val="single" w:color="auto" w:sz="4" w:space="0"/>
              <w:left w:val="single" w:color="auto" w:sz="4" w:space="0"/>
              <w:bottom w:val="single" w:color="auto" w:sz="4" w:space="0"/>
              <w:right w:val="single" w:color="auto" w:sz="4" w:space="0"/>
            </w:tcBorders>
            <w:vAlign w:val="center"/>
          </w:tcPr>
          <w:p w14:paraId="5AA77482">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25.90</w:t>
            </w:r>
          </w:p>
        </w:tc>
        <w:tc>
          <w:tcPr>
            <w:tcW w:w="1814" w:type="pct"/>
            <w:vMerge w:val="restart"/>
            <w:tcBorders>
              <w:top w:val="single" w:color="auto" w:sz="4" w:space="0"/>
              <w:left w:val="single" w:color="auto" w:sz="4" w:space="0"/>
              <w:right w:val="single" w:color="auto" w:sz="4" w:space="0"/>
            </w:tcBorders>
            <w:vAlign w:val="center"/>
          </w:tcPr>
          <w:p w14:paraId="6B7D3BB1">
            <w:pPr>
              <w:tabs>
                <w:tab w:val="left" w:pos="587"/>
              </w:tabs>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具体内容详见招标文件第二章采购需求</w:t>
            </w:r>
          </w:p>
        </w:tc>
      </w:tr>
      <w:tr w14:paraId="110E09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46519E85">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2</w:t>
            </w:r>
          </w:p>
        </w:tc>
        <w:tc>
          <w:tcPr>
            <w:tcW w:w="1362" w:type="pct"/>
            <w:tcBorders>
              <w:top w:val="single" w:color="auto" w:sz="4" w:space="0"/>
              <w:left w:val="single" w:color="auto" w:sz="4" w:space="0"/>
              <w:bottom w:val="single" w:color="auto" w:sz="4" w:space="0"/>
              <w:right w:val="single" w:color="auto" w:sz="4" w:space="0"/>
            </w:tcBorders>
            <w:vAlign w:val="center"/>
          </w:tcPr>
          <w:p w14:paraId="232C0209">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便携式彩色多普勒超声诊断仪</w:t>
            </w:r>
          </w:p>
        </w:tc>
        <w:tc>
          <w:tcPr>
            <w:tcW w:w="645" w:type="pct"/>
            <w:tcBorders>
              <w:top w:val="single" w:color="auto" w:sz="4" w:space="0"/>
              <w:left w:val="single" w:color="auto" w:sz="4" w:space="0"/>
              <w:bottom w:val="single" w:color="auto" w:sz="4" w:space="0"/>
              <w:right w:val="single" w:color="auto" w:sz="4" w:space="0"/>
            </w:tcBorders>
            <w:vAlign w:val="center"/>
          </w:tcPr>
          <w:p w14:paraId="0FD34D37">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1套</w:t>
            </w:r>
          </w:p>
        </w:tc>
        <w:tc>
          <w:tcPr>
            <w:tcW w:w="762" w:type="pct"/>
            <w:tcBorders>
              <w:top w:val="single" w:color="auto" w:sz="4" w:space="0"/>
              <w:left w:val="single" w:color="auto" w:sz="4" w:space="0"/>
              <w:bottom w:val="single" w:color="auto" w:sz="4" w:space="0"/>
              <w:right w:val="single" w:color="auto" w:sz="4" w:space="0"/>
            </w:tcBorders>
            <w:vAlign w:val="center"/>
          </w:tcPr>
          <w:p w14:paraId="6B577AD7">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65.00</w:t>
            </w:r>
          </w:p>
        </w:tc>
        <w:tc>
          <w:tcPr>
            <w:tcW w:w="1814" w:type="pct"/>
            <w:vMerge w:val="continue"/>
            <w:tcBorders>
              <w:left w:val="single" w:color="auto" w:sz="4" w:space="0"/>
              <w:right w:val="single" w:color="auto" w:sz="4" w:space="0"/>
            </w:tcBorders>
            <w:vAlign w:val="center"/>
          </w:tcPr>
          <w:p w14:paraId="34C47BB5">
            <w:pPr>
              <w:spacing w:line="400" w:lineRule="exact"/>
              <w:jc w:val="center"/>
              <w:rPr>
                <w:rFonts w:cs="Arial" w:asciiTheme="minorEastAsia" w:hAnsiTheme="minorEastAsia" w:eastAsiaTheme="minorEastAsia"/>
                <w:color w:val="auto"/>
                <w:szCs w:val="21"/>
                <w:highlight w:val="none"/>
              </w:rPr>
            </w:pPr>
          </w:p>
        </w:tc>
      </w:tr>
      <w:tr w14:paraId="227B1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79F8D26B">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3</w:t>
            </w:r>
          </w:p>
        </w:tc>
        <w:tc>
          <w:tcPr>
            <w:tcW w:w="1362" w:type="pct"/>
            <w:tcBorders>
              <w:top w:val="single" w:color="auto" w:sz="4" w:space="0"/>
              <w:left w:val="single" w:color="auto" w:sz="4" w:space="0"/>
              <w:bottom w:val="single" w:color="auto" w:sz="4" w:space="0"/>
              <w:right w:val="single" w:color="auto" w:sz="4" w:space="0"/>
            </w:tcBorders>
            <w:vAlign w:val="center"/>
          </w:tcPr>
          <w:p w14:paraId="7E028645">
            <w:pPr>
              <w:spacing w:line="400" w:lineRule="exact"/>
              <w:jc w:val="center"/>
              <w:rPr>
                <w:rFonts w:cs="Arial" w:asciiTheme="minorEastAsia" w:hAnsiTheme="minorEastAsia" w:eastAsiaTheme="minorEastAsia"/>
                <w:color w:val="auto"/>
                <w:szCs w:val="21"/>
                <w:highlight w:val="none"/>
              </w:rPr>
            </w:pPr>
            <w:r>
              <w:rPr>
                <w:rFonts w:hint="eastAsia" w:cs="宋体" w:asciiTheme="minorEastAsia" w:hAnsiTheme="minorEastAsia" w:eastAsiaTheme="minorEastAsia"/>
                <w:color w:val="auto"/>
                <w:highlight w:val="none"/>
              </w:rPr>
              <w:t>便携式彩色超声系统</w:t>
            </w:r>
          </w:p>
        </w:tc>
        <w:tc>
          <w:tcPr>
            <w:tcW w:w="645" w:type="pct"/>
            <w:tcBorders>
              <w:top w:val="single" w:color="auto" w:sz="4" w:space="0"/>
              <w:left w:val="single" w:color="auto" w:sz="4" w:space="0"/>
              <w:bottom w:val="single" w:color="auto" w:sz="4" w:space="0"/>
              <w:right w:val="single" w:color="auto" w:sz="4" w:space="0"/>
            </w:tcBorders>
            <w:vAlign w:val="center"/>
          </w:tcPr>
          <w:p w14:paraId="1D16A3AC">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2套</w:t>
            </w:r>
          </w:p>
        </w:tc>
        <w:tc>
          <w:tcPr>
            <w:tcW w:w="762" w:type="pct"/>
            <w:tcBorders>
              <w:top w:val="single" w:color="auto" w:sz="4" w:space="0"/>
              <w:left w:val="single" w:color="auto" w:sz="4" w:space="0"/>
              <w:bottom w:val="single" w:color="auto" w:sz="4" w:space="0"/>
              <w:right w:val="single" w:color="auto" w:sz="4" w:space="0"/>
            </w:tcBorders>
            <w:vAlign w:val="center"/>
          </w:tcPr>
          <w:p w14:paraId="3B5CDDF2">
            <w:pPr>
              <w:tabs>
                <w:tab w:val="left" w:pos="587"/>
              </w:tabs>
              <w:spacing w:line="400" w:lineRule="exact"/>
              <w:jc w:val="center"/>
              <w:rPr>
                <w:rFonts w:asciiTheme="minorEastAsia" w:hAnsiTheme="minorEastAsia" w:eastAsiaTheme="minorEastAsia"/>
                <w:color w:val="auto"/>
                <w:sz w:val="20"/>
                <w:szCs w:val="20"/>
                <w:highlight w:val="none"/>
              </w:rPr>
            </w:pPr>
            <w:r>
              <w:rPr>
                <w:rFonts w:hint="eastAsia" w:asciiTheme="minorEastAsia" w:hAnsiTheme="minorEastAsia" w:eastAsiaTheme="minorEastAsia"/>
                <w:color w:val="auto"/>
                <w:sz w:val="20"/>
                <w:szCs w:val="20"/>
                <w:highlight w:val="none"/>
              </w:rPr>
              <w:t>65.00</w:t>
            </w:r>
          </w:p>
        </w:tc>
        <w:tc>
          <w:tcPr>
            <w:tcW w:w="1814" w:type="pct"/>
            <w:vMerge w:val="continue"/>
            <w:tcBorders>
              <w:left w:val="single" w:color="auto" w:sz="4" w:space="0"/>
              <w:bottom w:val="single" w:color="auto" w:sz="4" w:space="0"/>
              <w:right w:val="single" w:color="auto" w:sz="4" w:space="0"/>
            </w:tcBorders>
            <w:vAlign w:val="center"/>
          </w:tcPr>
          <w:p w14:paraId="28C15E5E">
            <w:pPr>
              <w:tabs>
                <w:tab w:val="left" w:pos="587"/>
              </w:tabs>
              <w:spacing w:line="400" w:lineRule="exact"/>
              <w:rPr>
                <w:rFonts w:asciiTheme="minorEastAsia" w:hAnsiTheme="minorEastAsia" w:eastAsiaTheme="minorEastAsia"/>
                <w:color w:val="auto"/>
                <w:szCs w:val="21"/>
                <w:highlight w:val="none"/>
              </w:rPr>
            </w:pPr>
          </w:p>
        </w:tc>
      </w:tr>
      <w:tr w14:paraId="427607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C91E7D7">
            <w:pPr>
              <w:spacing w:line="400" w:lineRule="exact"/>
              <w:rPr>
                <w:rFonts w:cs="宋体" w:asciiTheme="minorEastAsia" w:hAnsiTheme="minorEastAsia" w:eastAsiaTheme="minorEastAsia"/>
                <w:color w:val="auto"/>
                <w:kern w:val="0"/>
                <w:szCs w:val="21"/>
                <w:highlight w:val="none"/>
              </w:rPr>
            </w:pPr>
            <w:r>
              <w:rPr>
                <w:rFonts w:hint="eastAsia" w:asciiTheme="minorEastAsia" w:hAnsiTheme="minorEastAsia" w:eastAsiaTheme="minorEastAsia"/>
                <w:b/>
                <w:color w:val="auto"/>
                <w:szCs w:val="21"/>
                <w:highlight w:val="none"/>
              </w:rPr>
              <w:t>02分标：（预算金额：</w:t>
            </w:r>
            <w:r>
              <w:rPr>
                <w:rFonts w:hint="eastAsia" w:cs="宋体" w:asciiTheme="minorEastAsia" w:hAnsiTheme="minorEastAsia" w:eastAsiaTheme="minorEastAsia"/>
                <w:b/>
                <w:color w:val="auto"/>
                <w:szCs w:val="21"/>
                <w:highlight w:val="none"/>
              </w:rPr>
              <w:t>789500.00</w:t>
            </w:r>
            <w:r>
              <w:rPr>
                <w:rFonts w:hint="eastAsia" w:asciiTheme="minorEastAsia" w:hAnsiTheme="minorEastAsia" w:eastAsiaTheme="minorEastAsia"/>
                <w:b/>
                <w:color w:val="auto"/>
                <w:szCs w:val="21"/>
                <w:highlight w:val="none"/>
              </w:rPr>
              <w:t>元）</w:t>
            </w:r>
          </w:p>
        </w:tc>
      </w:tr>
      <w:tr w14:paraId="3EF6D5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54BC1D11">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序号</w:t>
            </w:r>
          </w:p>
        </w:tc>
        <w:tc>
          <w:tcPr>
            <w:tcW w:w="1362" w:type="pct"/>
            <w:tcBorders>
              <w:top w:val="single" w:color="auto" w:sz="4" w:space="0"/>
              <w:left w:val="single" w:color="auto" w:sz="4" w:space="0"/>
              <w:bottom w:val="single" w:color="auto" w:sz="4" w:space="0"/>
              <w:right w:val="single" w:color="auto" w:sz="4" w:space="0"/>
            </w:tcBorders>
            <w:vAlign w:val="center"/>
          </w:tcPr>
          <w:p w14:paraId="29DB1938">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标的名称</w:t>
            </w:r>
          </w:p>
        </w:tc>
        <w:tc>
          <w:tcPr>
            <w:tcW w:w="645" w:type="pct"/>
            <w:tcBorders>
              <w:top w:val="single" w:color="auto" w:sz="4" w:space="0"/>
              <w:left w:val="single" w:color="auto" w:sz="4" w:space="0"/>
              <w:bottom w:val="single" w:color="auto" w:sz="4" w:space="0"/>
              <w:right w:val="single" w:color="auto" w:sz="4" w:space="0"/>
            </w:tcBorders>
            <w:vAlign w:val="center"/>
          </w:tcPr>
          <w:p w14:paraId="403F0717">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数量及单位</w:t>
            </w:r>
          </w:p>
        </w:tc>
        <w:tc>
          <w:tcPr>
            <w:tcW w:w="762" w:type="pct"/>
            <w:tcBorders>
              <w:top w:val="single" w:color="auto" w:sz="4" w:space="0"/>
              <w:left w:val="single" w:color="auto" w:sz="4" w:space="0"/>
              <w:bottom w:val="single" w:color="auto" w:sz="4" w:space="0"/>
              <w:right w:val="single" w:color="auto" w:sz="4" w:space="0"/>
            </w:tcBorders>
            <w:vAlign w:val="center"/>
          </w:tcPr>
          <w:p w14:paraId="541B82AB">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预算单价</w:t>
            </w:r>
          </w:p>
          <w:p w14:paraId="33E93ADE">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（万元）</w:t>
            </w:r>
          </w:p>
        </w:tc>
        <w:tc>
          <w:tcPr>
            <w:tcW w:w="1814" w:type="pct"/>
            <w:tcBorders>
              <w:top w:val="single" w:color="auto" w:sz="4" w:space="0"/>
              <w:left w:val="single" w:color="auto" w:sz="4" w:space="0"/>
              <w:bottom w:val="single" w:color="auto" w:sz="4" w:space="0"/>
              <w:right w:val="single" w:color="auto" w:sz="4" w:space="0"/>
            </w:tcBorders>
            <w:vAlign w:val="center"/>
          </w:tcPr>
          <w:p w14:paraId="1BAF3F17">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简要技术需求或者服务要求</w:t>
            </w:r>
          </w:p>
        </w:tc>
      </w:tr>
      <w:tr w14:paraId="4B557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478DE3AC">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1</w:t>
            </w:r>
          </w:p>
        </w:tc>
        <w:tc>
          <w:tcPr>
            <w:tcW w:w="1362" w:type="pct"/>
            <w:tcBorders>
              <w:top w:val="single" w:color="auto" w:sz="4" w:space="0"/>
              <w:left w:val="single" w:color="auto" w:sz="4" w:space="0"/>
              <w:bottom w:val="single" w:color="auto" w:sz="4" w:space="0"/>
              <w:right w:val="single" w:color="auto" w:sz="4" w:space="0"/>
            </w:tcBorders>
            <w:vAlign w:val="center"/>
          </w:tcPr>
          <w:p w14:paraId="04812F1C">
            <w:pPr>
              <w:spacing w:line="40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电动病床（1）</w:t>
            </w:r>
          </w:p>
        </w:tc>
        <w:tc>
          <w:tcPr>
            <w:tcW w:w="645" w:type="pct"/>
            <w:tcBorders>
              <w:top w:val="single" w:color="auto" w:sz="4" w:space="0"/>
              <w:left w:val="single" w:color="auto" w:sz="4" w:space="0"/>
              <w:bottom w:val="single" w:color="auto" w:sz="4" w:space="0"/>
              <w:right w:val="single" w:color="auto" w:sz="4" w:space="0"/>
            </w:tcBorders>
            <w:vAlign w:val="center"/>
          </w:tcPr>
          <w:p w14:paraId="03C2BB90">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11套</w:t>
            </w:r>
          </w:p>
        </w:tc>
        <w:tc>
          <w:tcPr>
            <w:tcW w:w="762" w:type="pct"/>
            <w:tcBorders>
              <w:top w:val="single" w:color="auto" w:sz="4" w:space="0"/>
              <w:left w:val="single" w:color="auto" w:sz="4" w:space="0"/>
              <w:bottom w:val="single" w:color="auto" w:sz="4" w:space="0"/>
              <w:right w:val="single" w:color="auto" w:sz="4" w:space="0"/>
            </w:tcBorders>
            <w:vAlign w:val="center"/>
          </w:tcPr>
          <w:p w14:paraId="6B79F481">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2.30</w:t>
            </w:r>
          </w:p>
        </w:tc>
        <w:tc>
          <w:tcPr>
            <w:tcW w:w="1814" w:type="pct"/>
            <w:vMerge w:val="restart"/>
            <w:tcBorders>
              <w:top w:val="single" w:color="auto" w:sz="4" w:space="0"/>
              <w:left w:val="single" w:color="auto" w:sz="4" w:space="0"/>
              <w:right w:val="single" w:color="auto" w:sz="4" w:space="0"/>
            </w:tcBorders>
            <w:vAlign w:val="center"/>
          </w:tcPr>
          <w:p w14:paraId="3AC02A97">
            <w:pPr>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具体内容详见招标文件第二章采购需求</w:t>
            </w:r>
          </w:p>
        </w:tc>
      </w:tr>
      <w:tr w14:paraId="491D5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4BB2A45F">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2</w:t>
            </w:r>
          </w:p>
        </w:tc>
        <w:tc>
          <w:tcPr>
            <w:tcW w:w="1362" w:type="pct"/>
            <w:tcBorders>
              <w:top w:val="single" w:color="auto" w:sz="4" w:space="0"/>
              <w:left w:val="single" w:color="auto" w:sz="4" w:space="0"/>
              <w:bottom w:val="single" w:color="auto" w:sz="4" w:space="0"/>
              <w:right w:val="single" w:color="auto" w:sz="4" w:space="0"/>
            </w:tcBorders>
            <w:vAlign w:val="center"/>
          </w:tcPr>
          <w:p w14:paraId="6B566EDF">
            <w:pPr>
              <w:spacing w:line="400" w:lineRule="exact"/>
              <w:jc w:val="center"/>
              <w:rPr>
                <w:rFonts w:cs="Arial" w:asciiTheme="minorEastAsia" w:hAnsiTheme="minorEastAsia"/>
                <w:color w:val="auto"/>
                <w:szCs w:val="21"/>
                <w:highlight w:val="none"/>
              </w:rPr>
            </w:pPr>
            <w:r>
              <w:rPr>
                <w:rFonts w:hint="eastAsia" w:ascii="宋体" w:hAnsi="宋体" w:cs="宋体"/>
                <w:color w:val="auto"/>
                <w:kern w:val="0"/>
                <w:sz w:val="22"/>
                <w:szCs w:val="22"/>
                <w:highlight w:val="none"/>
              </w:rPr>
              <w:t>电动病床（2）</w:t>
            </w:r>
          </w:p>
        </w:tc>
        <w:tc>
          <w:tcPr>
            <w:tcW w:w="645" w:type="pct"/>
            <w:tcBorders>
              <w:top w:val="single" w:color="auto" w:sz="4" w:space="0"/>
              <w:left w:val="single" w:color="auto" w:sz="4" w:space="0"/>
              <w:bottom w:val="single" w:color="auto" w:sz="4" w:space="0"/>
              <w:right w:val="single" w:color="auto" w:sz="4" w:space="0"/>
            </w:tcBorders>
            <w:vAlign w:val="center"/>
          </w:tcPr>
          <w:p w14:paraId="484E5A73">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15套</w:t>
            </w:r>
          </w:p>
        </w:tc>
        <w:tc>
          <w:tcPr>
            <w:tcW w:w="762" w:type="pct"/>
            <w:tcBorders>
              <w:top w:val="single" w:color="auto" w:sz="4" w:space="0"/>
              <w:left w:val="single" w:color="auto" w:sz="4" w:space="0"/>
              <w:bottom w:val="single" w:color="auto" w:sz="4" w:space="0"/>
              <w:right w:val="single" w:color="auto" w:sz="4" w:space="0"/>
            </w:tcBorders>
            <w:vAlign w:val="center"/>
          </w:tcPr>
          <w:p w14:paraId="626582F8">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1.80</w:t>
            </w:r>
          </w:p>
        </w:tc>
        <w:tc>
          <w:tcPr>
            <w:tcW w:w="1814" w:type="pct"/>
            <w:vMerge w:val="continue"/>
            <w:tcBorders>
              <w:left w:val="single" w:color="auto" w:sz="4" w:space="0"/>
              <w:right w:val="single" w:color="auto" w:sz="4" w:space="0"/>
            </w:tcBorders>
            <w:vAlign w:val="center"/>
          </w:tcPr>
          <w:p w14:paraId="79D1AAF4">
            <w:pPr>
              <w:spacing w:line="400" w:lineRule="exact"/>
              <w:rPr>
                <w:rFonts w:asciiTheme="minorEastAsia" w:hAnsiTheme="minorEastAsia" w:eastAsiaTheme="minorEastAsia"/>
                <w:color w:val="auto"/>
                <w:szCs w:val="21"/>
                <w:highlight w:val="none"/>
              </w:rPr>
            </w:pPr>
          </w:p>
        </w:tc>
      </w:tr>
      <w:tr w14:paraId="1F4B9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36AEAD21">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3</w:t>
            </w:r>
          </w:p>
        </w:tc>
        <w:tc>
          <w:tcPr>
            <w:tcW w:w="1362" w:type="pct"/>
            <w:tcBorders>
              <w:top w:val="single" w:color="auto" w:sz="4" w:space="0"/>
              <w:left w:val="single" w:color="auto" w:sz="4" w:space="0"/>
              <w:bottom w:val="single" w:color="auto" w:sz="4" w:space="0"/>
              <w:right w:val="single" w:color="auto" w:sz="4" w:space="0"/>
            </w:tcBorders>
            <w:vAlign w:val="center"/>
          </w:tcPr>
          <w:p w14:paraId="64B61459">
            <w:pPr>
              <w:spacing w:line="40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医用控温仪</w:t>
            </w:r>
          </w:p>
        </w:tc>
        <w:tc>
          <w:tcPr>
            <w:tcW w:w="645" w:type="pct"/>
            <w:tcBorders>
              <w:top w:val="single" w:color="auto" w:sz="4" w:space="0"/>
              <w:left w:val="single" w:color="auto" w:sz="4" w:space="0"/>
              <w:bottom w:val="single" w:color="auto" w:sz="4" w:space="0"/>
              <w:right w:val="single" w:color="auto" w:sz="4" w:space="0"/>
            </w:tcBorders>
            <w:vAlign w:val="center"/>
          </w:tcPr>
          <w:p w14:paraId="515F538C">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5套</w:t>
            </w:r>
          </w:p>
        </w:tc>
        <w:tc>
          <w:tcPr>
            <w:tcW w:w="762" w:type="pct"/>
            <w:tcBorders>
              <w:top w:val="single" w:color="auto" w:sz="4" w:space="0"/>
              <w:left w:val="single" w:color="auto" w:sz="4" w:space="0"/>
              <w:bottom w:val="single" w:color="auto" w:sz="4" w:space="0"/>
              <w:right w:val="single" w:color="auto" w:sz="4" w:space="0"/>
            </w:tcBorders>
            <w:vAlign w:val="center"/>
          </w:tcPr>
          <w:p w14:paraId="3B05D5A3">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2.69</w:t>
            </w:r>
          </w:p>
        </w:tc>
        <w:tc>
          <w:tcPr>
            <w:tcW w:w="1814" w:type="pct"/>
            <w:vMerge w:val="continue"/>
            <w:tcBorders>
              <w:left w:val="single" w:color="auto" w:sz="4" w:space="0"/>
              <w:right w:val="single" w:color="auto" w:sz="4" w:space="0"/>
            </w:tcBorders>
            <w:vAlign w:val="center"/>
          </w:tcPr>
          <w:p w14:paraId="20E01829">
            <w:pPr>
              <w:spacing w:line="400" w:lineRule="exact"/>
              <w:rPr>
                <w:rFonts w:asciiTheme="minorEastAsia" w:hAnsiTheme="minorEastAsia" w:eastAsiaTheme="minorEastAsia"/>
                <w:color w:val="auto"/>
                <w:szCs w:val="21"/>
                <w:highlight w:val="none"/>
              </w:rPr>
            </w:pPr>
          </w:p>
        </w:tc>
      </w:tr>
      <w:tr w14:paraId="0BD2C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7DD5475D">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4</w:t>
            </w:r>
          </w:p>
        </w:tc>
        <w:tc>
          <w:tcPr>
            <w:tcW w:w="1362" w:type="pct"/>
            <w:tcBorders>
              <w:top w:val="single" w:color="auto" w:sz="4" w:space="0"/>
              <w:left w:val="single" w:color="auto" w:sz="4" w:space="0"/>
              <w:bottom w:val="single" w:color="auto" w:sz="4" w:space="0"/>
              <w:right w:val="single" w:color="auto" w:sz="4" w:space="0"/>
            </w:tcBorders>
            <w:vAlign w:val="center"/>
          </w:tcPr>
          <w:p w14:paraId="180F5803">
            <w:pPr>
              <w:spacing w:line="40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振动排痰仪</w:t>
            </w:r>
          </w:p>
        </w:tc>
        <w:tc>
          <w:tcPr>
            <w:tcW w:w="645" w:type="pct"/>
            <w:tcBorders>
              <w:top w:val="single" w:color="auto" w:sz="4" w:space="0"/>
              <w:left w:val="single" w:color="auto" w:sz="4" w:space="0"/>
              <w:bottom w:val="single" w:color="auto" w:sz="4" w:space="0"/>
              <w:right w:val="single" w:color="auto" w:sz="4" w:space="0"/>
            </w:tcBorders>
            <w:vAlign w:val="center"/>
          </w:tcPr>
          <w:p w14:paraId="140A5884">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4台</w:t>
            </w:r>
          </w:p>
        </w:tc>
        <w:tc>
          <w:tcPr>
            <w:tcW w:w="762" w:type="pct"/>
            <w:tcBorders>
              <w:top w:val="single" w:color="auto" w:sz="4" w:space="0"/>
              <w:left w:val="single" w:color="auto" w:sz="4" w:space="0"/>
              <w:bottom w:val="single" w:color="auto" w:sz="4" w:space="0"/>
              <w:right w:val="single" w:color="auto" w:sz="4" w:space="0"/>
            </w:tcBorders>
            <w:vAlign w:val="center"/>
          </w:tcPr>
          <w:p w14:paraId="1BE0813B">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3.30</w:t>
            </w:r>
          </w:p>
        </w:tc>
        <w:tc>
          <w:tcPr>
            <w:tcW w:w="1814" w:type="pct"/>
            <w:vMerge w:val="continue"/>
            <w:tcBorders>
              <w:left w:val="single" w:color="auto" w:sz="4" w:space="0"/>
              <w:bottom w:val="single" w:color="auto" w:sz="4" w:space="0"/>
              <w:right w:val="single" w:color="auto" w:sz="4" w:space="0"/>
            </w:tcBorders>
            <w:vAlign w:val="center"/>
          </w:tcPr>
          <w:p w14:paraId="6EA7DFDB">
            <w:pPr>
              <w:spacing w:line="400" w:lineRule="exact"/>
              <w:rPr>
                <w:rFonts w:asciiTheme="minorEastAsia" w:hAnsiTheme="minorEastAsia" w:eastAsiaTheme="minorEastAsia"/>
                <w:color w:val="auto"/>
                <w:szCs w:val="21"/>
                <w:highlight w:val="none"/>
              </w:rPr>
            </w:pPr>
          </w:p>
        </w:tc>
      </w:tr>
      <w:tr w14:paraId="03645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FEDA8BE">
            <w:pPr>
              <w:spacing w:line="40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03分标：（预算金额：</w:t>
            </w:r>
            <w:r>
              <w:rPr>
                <w:rFonts w:hint="eastAsia" w:asciiTheme="minorEastAsia" w:hAnsiTheme="minorEastAsia" w:eastAsiaTheme="minorEastAsia"/>
                <w:b/>
                <w:color w:val="auto"/>
                <w:szCs w:val="21"/>
                <w:highlight w:val="none"/>
              </w:rPr>
              <w:t>835000.00</w:t>
            </w:r>
            <w:r>
              <w:rPr>
                <w:rFonts w:hint="eastAsia" w:cs="宋体" w:asciiTheme="minorEastAsia" w:hAnsiTheme="minorEastAsia" w:eastAsiaTheme="minorEastAsia"/>
                <w:b/>
                <w:color w:val="auto"/>
                <w:szCs w:val="21"/>
                <w:highlight w:val="none"/>
              </w:rPr>
              <w:t>元）</w:t>
            </w:r>
          </w:p>
        </w:tc>
      </w:tr>
      <w:tr w14:paraId="101850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708CBA18">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序号</w:t>
            </w:r>
          </w:p>
        </w:tc>
        <w:tc>
          <w:tcPr>
            <w:tcW w:w="1362" w:type="pct"/>
            <w:tcBorders>
              <w:top w:val="single" w:color="auto" w:sz="4" w:space="0"/>
              <w:left w:val="single" w:color="auto" w:sz="4" w:space="0"/>
              <w:bottom w:val="single" w:color="auto" w:sz="4" w:space="0"/>
              <w:right w:val="single" w:color="auto" w:sz="4" w:space="0"/>
            </w:tcBorders>
            <w:vAlign w:val="center"/>
          </w:tcPr>
          <w:p w14:paraId="28FF2BB1">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标的名称</w:t>
            </w:r>
          </w:p>
        </w:tc>
        <w:tc>
          <w:tcPr>
            <w:tcW w:w="645" w:type="pct"/>
            <w:tcBorders>
              <w:top w:val="single" w:color="auto" w:sz="4" w:space="0"/>
              <w:left w:val="single" w:color="auto" w:sz="4" w:space="0"/>
              <w:bottom w:val="single" w:color="auto" w:sz="4" w:space="0"/>
              <w:right w:val="single" w:color="auto" w:sz="4" w:space="0"/>
            </w:tcBorders>
            <w:vAlign w:val="center"/>
          </w:tcPr>
          <w:p w14:paraId="38B13DCA">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数量及单位</w:t>
            </w:r>
          </w:p>
        </w:tc>
        <w:tc>
          <w:tcPr>
            <w:tcW w:w="762" w:type="pct"/>
            <w:tcBorders>
              <w:top w:val="single" w:color="auto" w:sz="4" w:space="0"/>
              <w:left w:val="single" w:color="auto" w:sz="4" w:space="0"/>
              <w:bottom w:val="single" w:color="auto" w:sz="4" w:space="0"/>
              <w:right w:val="single" w:color="auto" w:sz="4" w:space="0"/>
            </w:tcBorders>
            <w:vAlign w:val="center"/>
          </w:tcPr>
          <w:p w14:paraId="1D4907E5">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预算单价</w:t>
            </w:r>
          </w:p>
          <w:p w14:paraId="7E00D57D">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（万元）</w:t>
            </w:r>
          </w:p>
        </w:tc>
        <w:tc>
          <w:tcPr>
            <w:tcW w:w="1814" w:type="pct"/>
            <w:tcBorders>
              <w:top w:val="single" w:color="auto" w:sz="4" w:space="0"/>
              <w:left w:val="single" w:color="auto" w:sz="4" w:space="0"/>
              <w:bottom w:val="single" w:color="auto" w:sz="4" w:space="0"/>
              <w:right w:val="single" w:color="auto" w:sz="4" w:space="0"/>
            </w:tcBorders>
            <w:vAlign w:val="center"/>
          </w:tcPr>
          <w:p w14:paraId="20D7FD7F">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简要技术需求或者服务要求</w:t>
            </w:r>
          </w:p>
        </w:tc>
      </w:tr>
      <w:tr w14:paraId="60BC54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4849941E">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1</w:t>
            </w:r>
          </w:p>
        </w:tc>
        <w:tc>
          <w:tcPr>
            <w:tcW w:w="1362" w:type="pct"/>
            <w:tcBorders>
              <w:top w:val="single" w:color="auto" w:sz="4" w:space="0"/>
              <w:left w:val="single" w:color="auto" w:sz="4" w:space="0"/>
              <w:bottom w:val="single" w:color="auto" w:sz="4" w:space="0"/>
              <w:right w:val="single" w:color="auto" w:sz="4" w:space="0"/>
            </w:tcBorders>
            <w:vAlign w:val="center"/>
          </w:tcPr>
          <w:p w14:paraId="459D1855">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包埋盒打号机</w:t>
            </w:r>
          </w:p>
        </w:tc>
        <w:tc>
          <w:tcPr>
            <w:tcW w:w="645" w:type="pct"/>
            <w:tcBorders>
              <w:top w:val="single" w:color="auto" w:sz="4" w:space="0"/>
              <w:left w:val="single" w:color="auto" w:sz="4" w:space="0"/>
              <w:bottom w:val="single" w:color="auto" w:sz="4" w:space="0"/>
              <w:right w:val="single" w:color="auto" w:sz="4" w:space="0"/>
            </w:tcBorders>
            <w:vAlign w:val="center"/>
          </w:tcPr>
          <w:p w14:paraId="5D08526D">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2台</w:t>
            </w:r>
          </w:p>
        </w:tc>
        <w:tc>
          <w:tcPr>
            <w:tcW w:w="762" w:type="pct"/>
            <w:tcBorders>
              <w:top w:val="single" w:color="auto" w:sz="4" w:space="0"/>
              <w:left w:val="single" w:color="auto" w:sz="4" w:space="0"/>
              <w:bottom w:val="single" w:color="auto" w:sz="4" w:space="0"/>
              <w:right w:val="single" w:color="auto" w:sz="4" w:space="0"/>
            </w:tcBorders>
            <w:vAlign w:val="center"/>
          </w:tcPr>
          <w:p w14:paraId="3A270C33">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11.70</w:t>
            </w:r>
          </w:p>
        </w:tc>
        <w:tc>
          <w:tcPr>
            <w:tcW w:w="1814" w:type="pct"/>
            <w:vMerge w:val="restart"/>
            <w:tcBorders>
              <w:top w:val="single" w:color="auto" w:sz="4" w:space="0"/>
              <w:left w:val="single" w:color="auto" w:sz="4" w:space="0"/>
              <w:right w:val="single" w:color="auto" w:sz="4" w:space="0"/>
            </w:tcBorders>
            <w:vAlign w:val="center"/>
          </w:tcPr>
          <w:p w14:paraId="18B609AA">
            <w:pPr>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具体内容详见招标文件第二章采购需求</w:t>
            </w:r>
          </w:p>
        </w:tc>
      </w:tr>
      <w:tr w14:paraId="58DD6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26E18D60">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2</w:t>
            </w:r>
          </w:p>
        </w:tc>
        <w:tc>
          <w:tcPr>
            <w:tcW w:w="1362" w:type="pct"/>
            <w:tcBorders>
              <w:top w:val="single" w:color="auto" w:sz="4" w:space="0"/>
              <w:left w:val="single" w:color="auto" w:sz="4" w:space="0"/>
              <w:bottom w:val="single" w:color="auto" w:sz="4" w:space="0"/>
              <w:right w:val="single" w:color="auto" w:sz="4" w:space="0"/>
            </w:tcBorders>
            <w:vAlign w:val="center"/>
          </w:tcPr>
          <w:p w14:paraId="1C6689CA">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冰冻切片机</w:t>
            </w:r>
          </w:p>
        </w:tc>
        <w:tc>
          <w:tcPr>
            <w:tcW w:w="645" w:type="pct"/>
            <w:tcBorders>
              <w:top w:val="single" w:color="auto" w:sz="4" w:space="0"/>
              <w:left w:val="single" w:color="auto" w:sz="4" w:space="0"/>
              <w:bottom w:val="single" w:color="auto" w:sz="4" w:space="0"/>
              <w:right w:val="single" w:color="auto" w:sz="4" w:space="0"/>
            </w:tcBorders>
            <w:vAlign w:val="center"/>
          </w:tcPr>
          <w:p w14:paraId="374B0370">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1台</w:t>
            </w:r>
          </w:p>
        </w:tc>
        <w:tc>
          <w:tcPr>
            <w:tcW w:w="762" w:type="pct"/>
            <w:tcBorders>
              <w:top w:val="single" w:color="auto" w:sz="4" w:space="0"/>
              <w:left w:val="single" w:color="auto" w:sz="4" w:space="0"/>
              <w:bottom w:val="single" w:color="auto" w:sz="4" w:space="0"/>
              <w:right w:val="single" w:color="auto" w:sz="4" w:space="0"/>
            </w:tcBorders>
            <w:vAlign w:val="center"/>
          </w:tcPr>
          <w:p w14:paraId="3014F3CE">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29.50</w:t>
            </w:r>
          </w:p>
        </w:tc>
        <w:tc>
          <w:tcPr>
            <w:tcW w:w="1814" w:type="pct"/>
            <w:vMerge w:val="continue"/>
            <w:tcBorders>
              <w:left w:val="single" w:color="auto" w:sz="4" w:space="0"/>
              <w:right w:val="single" w:color="auto" w:sz="4" w:space="0"/>
            </w:tcBorders>
            <w:vAlign w:val="center"/>
          </w:tcPr>
          <w:p w14:paraId="2D79969D">
            <w:pPr>
              <w:spacing w:line="400" w:lineRule="exact"/>
              <w:rPr>
                <w:rFonts w:asciiTheme="minorEastAsia" w:hAnsiTheme="minorEastAsia" w:eastAsiaTheme="minorEastAsia"/>
                <w:color w:val="auto"/>
                <w:szCs w:val="21"/>
                <w:highlight w:val="none"/>
              </w:rPr>
            </w:pPr>
          </w:p>
        </w:tc>
      </w:tr>
      <w:tr w14:paraId="7B2B7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6DD17E99">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3</w:t>
            </w:r>
          </w:p>
        </w:tc>
        <w:tc>
          <w:tcPr>
            <w:tcW w:w="1362" w:type="pct"/>
            <w:tcBorders>
              <w:top w:val="single" w:color="auto" w:sz="4" w:space="0"/>
              <w:left w:val="single" w:color="auto" w:sz="4" w:space="0"/>
              <w:bottom w:val="single" w:color="auto" w:sz="4" w:space="0"/>
              <w:right w:val="single" w:color="auto" w:sz="4" w:space="0"/>
            </w:tcBorders>
            <w:vAlign w:val="center"/>
          </w:tcPr>
          <w:p w14:paraId="5D8FD830">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玻片打号机</w:t>
            </w:r>
          </w:p>
        </w:tc>
        <w:tc>
          <w:tcPr>
            <w:tcW w:w="645" w:type="pct"/>
            <w:tcBorders>
              <w:top w:val="single" w:color="auto" w:sz="4" w:space="0"/>
              <w:left w:val="single" w:color="auto" w:sz="4" w:space="0"/>
              <w:bottom w:val="single" w:color="auto" w:sz="4" w:space="0"/>
              <w:right w:val="single" w:color="auto" w:sz="4" w:space="0"/>
            </w:tcBorders>
            <w:vAlign w:val="center"/>
          </w:tcPr>
          <w:p w14:paraId="7D665BC6">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2台</w:t>
            </w:r>
          </w:p>
        </w:tc>
        <w:tc>
          <w:tcPr>
            <w:tcW w:w="762" w:type="pct"/>
            <w:tcBorders>
              <w:top w:val="single" w:color="auto" w:sz="4" w:space="0"/>
              <w:left w:val="single" w:color="auto" w:sz="4" w:space="0"/>
              <w:bottom w:val="single" w:color="auto" w:sz="4" w:space="0"/>
              <w:right w:val="single" w:color="auto" w:sz="4" w:space="0"/>
            </w:tcBorders>
            <w:vAlign w:val="center"/>
          </w:tcPr>
          <w:p w14:paraId="4A84E451">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10.80</w:t>
            </w:r>
          </w:p>
        </w:tc>
        <w:tc>
          <w:tcPr>
            <w:tcW w:w="1814" w:type="pct"/>
            <w:vMerge w:val="continue"/>
            <w:tcBorders>
              <w:left w:val="single" w:color="auto" w:sz="4" w:space="0"/>
              <w:right w:val="single" w:color="auto" w:sz="4" w:space="0"/>
            </w:tcBorders>
            <w:vAlign w:val="center"/>
          </w:tcPr>
          <w:p w14:paraId="6B6C11F9">
            <w:pPr>
              <w:spacing w:line="400" w:lineRule="exact"/>
              <w:rPr>
                <w:rFonts w:asciiTheme="minorEastAsia" w:hAnsiTheme="minorEastAsia" w:eastAsiaTheme="minorEastAsia"/>
                <w:color w:val="auto"/>
                <w:szCs w:val="21"/>
                <w:highlight w:val="none"/>
              </w:rPr>
            </w:pPr>
          </w:p>
        </w:tc>
      </w:tr>
      <w:tr w14:paraId="57F595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35C047FB">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4</w:t>
            </w:r>
          </w:p>
        </w:tc>
        <w:tc>
          <w:tcPr>
            <w:tcW w:w="1362" w:type="pct"/>
            <w:tcBorders>
              <w:top w:val="single" w:color="auto" w:sz="4" w:space="0"/>
              <w:left w:val="single" w:color="auto" w:sz="4" w:space="0"/>
              <w:bottom w:val="single" w:color="auto" w:sz="4" w:space="0"/>
              <w:right w:val="single" w:color="auto" w:sz="4" w:space="0"/>
            </w:tcBorders>
            <w:vAlign w:val="center"/>
          </w:tcPr>
          <w:p w14:paraId="14674A10">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显微镜</w:t>
            </w:r>
          </w:p>
        </w:tc>
        <w:tc>
          <w:tcPr>
            <w:tcW w:w="645" w:type="pct"/>
            <w:tcBorders>
              <w:top w:val="single" w:color="auto" w:sz="4" w:space="0"/>
              <w:left w:val="single" w:color="auto" w:sz="4" w:space="0"/>
              <w:bottom w:val="single" w:color="auto" w:sz="4" w:space="0"/>
              <w:right w:val="single" w:color="auto" w:sz="4" w:space="0"/>
            </w:tcBorders>
            <w:vAlign w:val="center"/>
          </w:tcPr>
          <w:p w14:paraId="5EFC3D05">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1台</w:t>
            </w:r>
          </w:p>
        </w:tc>
        <w:tc>
          <w:tcPr>
            <w:tcW w:w="762" w:type="pct"/>
            <w:tcBorders>
              <w:top w:val="single" w:color="auto" w:sz="4" w:space="0"/>
              <w:left w:val="single" w:color="auto" w:sz="4" w:space="0"/>
              <w:bottom w:val="single" w:color="auto" w:sz="4" w:space="0"/>
              <w:right w:val="single" w:color="auto" w:sz="4" w:space="0"/>
            </w:tcBorders>
            <w:vAlign w:val="center"/>
          </w:tcPr>
          <w:p w14:paraId="25235EEF">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6.20</w:t>
            </w:r>
          </w:p>
        </w:tc>
        <w:tc>
          <w:tcPr>
            <w:tcW w:w="1814" w:type="pct"/>
            <w:vMerge w:val="continue"/>
            <w:tcBorders>
              <w:left w:val="single" w:color="auto" w:sz="4" w:space="0"/>
              <w:right w:val="single" w:color="auto" w:sz="4" w:space="0"/>
            </w:tcBorders>
            <w:vAlign w:val="center"/>
          </w:tcPr>
          <w:p w14:paraId="39D6063B">
            <w:pPr>
              <w:spacing w:line="400" w:lineRule="exact"/>
              <w:rPr>
                <w:rFonts w:asciiTheme="minorEastAsia" w:hAnsiTheme="minorEastAsia" w:eastAsiaTheme="minorEastAsia"/>
                <w:color w:val="auto"/>
                <w:szCs w:val="21"/>
                <w:highlight w:val="none"/>
              </w:rPr>
            </w:pPr>
          </w:p>
        </w:tc>
      </w:tr>
      <w:tr w14:paraId="6F577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6F685231">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5</w:t>
            </w:r>
          </w:p>
        </w:tc>
        <w:tc>
          <w:tcPr>
            <w:tcW w:w="1362" w:type="pct"/>
            <w:tcBorders>
              <w:top w:val="single" w:color="auto" w:sz="4" w:space="0"/>
              <w:left w:val="single" w:color="auto" w:sz="4" w:space="0"/>
              <w:bottom w:val="single" w:color="auto" w:sz="4" w:space="0"/>
              <w:right w:val="single" w:color="auto" w:sz="4" w:space="0"/>
            </w:tcBorders>
            <w:vAlign w:val="center"/>
          </w:tcPr>
          <w:p w14:paraId="75B6A0B3">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制片染色一体机</w:t>
            </w:r>
          </w:p>
        </w:tc>
        <w:tc>
          <w:tcPr>
            <w:tcW w:w="645" w:type="pct"/>
            <w:tcBorders>
              <w:top w:val="single" w:color="auto" w:sz="4" w:space="0"/>
              <w:left w:val="single" w:color="auto" w:sz="4" w:space="0"/>
              <w:bottom w:val="single" w:color="auto" w:sz="4" w:space="0"/>
              <w:right w:val="single" w:color="auto" w:sz="4" w:space="0"/>
            </w:tcBorders>
            <w:vAlign w:val="center"/>
          </w:tcPr>
          <w:p w14:paraId="0E9F2604">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1台</w:t>
            </w:r>
          </w:p>
        </w:tc>
        <w:tc>
          <w:tcPr>
            <w:tcW w:w="762" w:type="pct"/>
            <w:tcBorders>
              <w:top w:val="single" w:color="auto" w:sz="4" w:space="0"/>
              <w:left w:val="single" w:color="auto" w:sz="4" w:space="0"/>
              <w:bottom w:val="single" w:color="auto" w:sz="4" w:space="0"/>
              <w:right w:val="single" w:color="auto" w:sz="4" w:space="0"/>
            </w:tcBorders>
            <w:vAlign w:val="center"/>
          </w:tcPr>
          <w:p w14:paraId="6225F16A">
            <w:pPr>
              <w:spacing w:line="40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2.80</w:t>
            </w:r>
          </w:p>
        </w:tc>
        <w:tc>
          <w:tcPr>
            <w:tcW w:w="1814" w:type="pct"/>
            <w:vMerge w:val="continue"/>
            <w:tcBorders>
              <w:left w:val="single" w:color="auto" w:sz="4" w:space="0"/>
              <w:bottom w:val="single" w:color="auto" w:sz="4" w:space="0"/>
              <w:right w:val="single" w:color="auto" w:sz="4" w:space="0"/>
            </w:tcBorders>
            <w:vAlign w:val="center"/>
          </w:tcPr>
          <w:p w14:paraId="6365434A">
            <w:pPr>
              <w:spacing w:line="400" w:lineRule="exact"/>
              <w:rPr>
                <w:rFonts w:asciiTheme="minorEastAsia" w:hAnsiTheme="minorEastAsia" w:eastAsiaTheme="minorEastAsia"/>
                <w:color w:val="auto"/>
                <w:szCs w:val="21"/>
                <w:highlight w:val="none"/>
              </w:rPr>
            </w:pPr>
          </w:p>
        </w:tc>
      </w:tr>
      <w:tr w14:paraId="71C99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EA189B3">
            <w:pPr>
              <w:spacing w:line="40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04分标：（预算金额：</w:t>
            </w:r>
            <w:r>
              <w:rPr>
                <w:rFonts w:hint="eastAsia" w:asciiTheme="minorEastAsia" w:hAnsiTheme="minorEastAsia" w:eastAsiaTheme="minorEastAsia"/>
                <w:b/>
                <w:color w:val="auto"/>
                <w:szCs w:val="21"/>
                <w:highlight w:val="none"/>
              </w:rPr>
              <w:t>600</w:t>
            </w:r>
            <w:r>
              <w:rPr>
                <w:rFonts w:hint="eastAsia" w:asciiTheme="minorEastAsia" w:hAnsiTheme="minorEastAsia" w:eastAsiaTheme="minorEastAsia"/>
                <w:b/>
                <w:color w:val="auto"/>
                <w:szCs w:val="21"/>
                <w:highlight w:val="none"/>
                <w:lang w:val="en-US" w:eastAsia="zh-CN"/>
              </w:rPr>
              <w:t>0</w:t>
            </w:r>
            <w:r>
              <w:rPr>
                <w:rFonts w:hint="eastAsia" w:asciiTheme="minorEastAsia" w:hAnsiTheme="minorEastAsia" w:eastAsiaTheme="minorEastAsia"/>
                <w:b/>
                <w:color w:val="auto"/>
                <w:szCs w:val="21"/>
                <w:highlight w:val="none"/>
              </w:rPr>
              <w:t>00.00元</w:t>
            </w:r>
            <w:r>
              <w:rPr>
                <w:rFonts w:hint="eastAsia" w:cs="宋体" w:asciiTheme="minorEastAsia" w:hAnsiTheme="minorEastAsia" w:eastAsiaTheme="minorEastAsia"/>
                <w:b/>
                <w:color w:val="auto"/>
                <w:szCs w:val="21"/>
                <w:highlight w:val="none"/>
              </w:rPr>
              <w:t>）</w:t>
            </w:r>
          </w:p>
        </w:tc>
      </w:tr>
      <w:tr w14:paraId="77BB8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58AF0E8E">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序号</w:t>
            </w:r>
          </w:p>
        </w:tc>
        <w:tc>
          <w:tcPr>
            <w:tcW w:w="1362" w:type="pct"/>
            <w:tcBorders>
              <w:top w:val="single" w:color="auto" w:sz="4" w:space="0"/>
              <w:left w:val="single" w:color="auto" w:sz="4" w:space="0"/>
              <w:bottom w:val="single" w:color="auto" w:sz="4" w:space="0"/>
              <w:right w:val="single" w:color="auto" w:sz="4" w:space="0"/>
            </w:tcBorders>
            <w:vAlign w:val="center"/>
          </w:tcPr>
          <w:p w14:paraId="2DEADBEA">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标的名称</w:t>
            </w:r>
          </w:p>
        </w:tc>
        <w:tc>
          <w:tcPr>
            <w:tcW w:w="645" w:type="pct"/>
            <w:tcBorders>
              <w:top w:val="single" w:color="auto" w:sz="4" w:space="0"/>
              <w:left w:val="single" w:color="auto" w:sz="4" w:space="0"/>
              <w:bottom w:val="single" w:color="auto" w:sz="4" w:space="0"/>
              <w:right w:val="single" w:color="auto" w:sz="4" w:space="0"/>
            </w:tcBorders>
            <w:vAlign w:val="center"/>
          </w:tcPr>
          <w:p w14:paraId="11E7E618">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数量及单位</w:t>
            </w:r>
          </w:p>
        </w:tc>
        <w:tc>
          <w:tcPr>
            <w:tcW w:w="762" w:type="pct"/>
            <w:tcBorders>
              <w:top w:val="single" w:color="auto" w:sz="4" w:space="0"/>
              <w:left w:val="single" w:color="auto" w:sz="4" w:space="0"/>
              <w:bottom w:val="single" w:color="auto" w:sz="4" w:space="0"/>
              <w:right w:val="single" w:color="auto" w:sz="4" w:space="0"/>
            </w:tcBorders>
            <w:vAlign w:val="center"/>
          </w:tcPr>
          <w:p w14:paraId="1C6F26E8">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预算单价</w:t>
            </w:r>
          </w:p>
          <w:p w14:paraId="52D73086">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（万元）</w:t>
            </w:r>
          </w:p>
        </w:tc>
        <w:tc>
          <w:tcPr>
            <w:tcW w:w="1814" w:type="pct"/>
            <w:tcBorders>
              <w:top w:val="single" w:color="auto" w:sz="4" w:space="0"/>
              <w:left w:val="single" w:color="auto" w:sz="4" w:space="0"/>
              <w:bottom w:val="single" w:color="auto" w:sz="4" w:space="0"/>
              <w:right w:val="single" w:color="auto" w:sz="4" w:space="0"/>
            </w:tcBorders>
            <w:vAlign w:val="center"/>
          </w:tcPr>
          <w:p w14:paraId="4FB12069">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简要技术需求或者服务要求</w:t>
            </w:r>
          </w:p>
        </w:tc>
      </w:tr>
      <w:tr w14:paraId="0BF0A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414" w:type="pct"/>
            <w:tcBorders>
              <w:top w:val="single" w:color="auto" w:sz="4" w:space="0"/>
              <w:left w:val="single" w:color="auto" w:sz="4" w:space="0"/>
              <w:bottom w:val="single" w:color="auto" w:sz="4" w:space="0"/>
              <w:right w:val="single" w:color="auto" w:sz="4" w:space="0"/>
            </w:tcBorders>
            <w:vAlign w:val="center"/>
          </w:tcPr>
          <w:p w14:paraId="31B0AC04">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1</w:t>
            </w:r>
          </w:p>
        </w:tc>
        <w:tc>
          <w:tcPr>
            <w:tcW w:w="1362" w:type="pct"/>
            <w:tcBorders>
              <w:top w:val="single" w:color="auto" w:sz="4" w:space="0"/>
              <w:left w:val="single" w:color="auto" w:sz="4" w:space="0"/>
              <w:bottom w:val="single" w:color="auto" w:sz="4" w:space="0"/>
              <w:right w:val="single" w:color="auto" w:sz="4" w:space="0"/>
            </w:tcBorders>
            <w:vAlign w:val="center"/>
          </w:tcPr>
          <w:p w14:paraId="1B5F83C6">
            <w:pPr>
              <w:spacing w:line="400" w:lineRule="exact"/>
              <w:jc w:val="center"/>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胰岛素泵</w:t>
            </w:r>
          </w:p>
        </w:tc>
        <w:tc>
          <w:tcPr>
            <w:tcW w:w="645" w:type="pct"/>
            <w:tcBorders>
              <w:top w:val="single" w:color="auto" w:sz="4" w:space="0"/>
              <w:left w:val="single" w:color="auto" w:sz="4" w:space="0"/>
              <w:bottom w:val="single" w:color="auto" w:sz="4" w:space="0"/>
              <w:right w:val="single" w:color="auto" w:sz="4" w:space="0"/>
            </w:tcBorders>
            <w:vAlign w:val="center"/>
          </w:tcPr>
          <w:p w14:paraId="225C28A2">
            <w:pPr>
              <w:snapToGrid w:val="0"/>
              <w:spacing w:line="4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20台</w:t>
            </w:r>
          </w:p>
        </w:tc>
        <w:tc>
          <w:tcPr>
            <w:tcW w:w="762" w:type="pct"/>
            <w:tcBorders>
              <w:top w:val="single" w:color="auto" w:sz="4" w:space="0"/>
              <w:left w:val="single" w:color="auto" w:sz="4" w:space="0"/>
              <w:bottom w:val="single" w:color="auto" w:sz="4" w:space="0"/>
              <w:right w:val="single" w:color="auto" w:sz="4" w:space="0"/>
            </w:tcBorders>
            <w:vAlign w:val="center"/>
          </w:tcPr>
          <w:p w14:paraId="5E91F54E">
            <w:pPr>
              <w:spacing w:line="400" w:lineRule="exact"/>
              <w:jc w:val="center"/>
              <w:rPr>
                <w:rFonts w:hint="default" w:cs="宋体" w:asciiTheme="minorEastAsia" w:hAnsiTheme="minorEastAsia" w:eastAsiaTheme="minorEastAsia"/>
                <w:color w:val="auto"/>
                <w:kern w:val="0"/>
                <w:szCs w:val="21"/>
                <w:highlight w:val="none"/>
                <w:lang w:val="en-US" w:eastAsia="zh-CN"/>
              </w:rPr>
            </w:pPr>
            <w:r>
              <w:rPr>
                <w:rFonts w:hint="eastAsia" w:cs="宋体" w:asciiTheme="minorEastAsia" w:hAnsiTheme="minorEastAsia" w:eastAsiaTheme="minorEastAsia"/>
                <w:color w:val="auto"/>
                <w:kern w:val="0"/>
                <w:szCs w:val="21"/>
                <w:highlight w:val="none"/>
                <w:lang w:val="en-US" w:eastAsia="zh-CN"/>
              </w:rPr>
              <w:t>3.00</w:t>
            </w:r>
          </w:p>
        </w:tc>
        <w:tc>
          <w:tcPr>
            <w:tcW w:w="1814" w:type="pct"/>
            <w:tcBorders>
              <w:top w:val="single" w:color="auto" w:sz="4" w:space="0"/>
              <w:left w:val="single" w:color="auto" w:sz="4" w:space="0"/>
              <w:right w:val="single" w:color="auto" w:sz="4" w:space="0"/>
            </w:tcBorders>
            <w:vAlign w:val="center"/>
          </w:tcPr>
          <w:p w14:paraId="5652D8C0">
            <w:pPr>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具体内容详见招标文件第二章采购需求</w:t>
            </w:r>
          </w:p>
        </w:tc>
      </w:tr>
    </w:tbl>
    <w:p w14:paraId="70BEE7EA">
      <w:pPr>
        <w:spacing w:line="40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合同履行期限：交付时间：</w:t>
      </w:r>
      <w:r>
        <w:rPr>
          <w:rFonts w:hint="eastAsia" w:asciiTheme="minorEastAsia" w:hAnsiTheme="minorEastAsia" w:eastAsiaTheme="minorEastAsia"/>
          <w:b/>
          <w:color w:val="auto"/>
          <w:szCs w:val="21"/>
          <w:highlight w:val="none"/>
        </w:rPr>
        <w:t>01分标、02分标、03分标、04分标：自合同签订之日起30天内交货并安装调试合格。</w:t>
      </w:r>
    </w:p>
    <w:p w14:paraId="2CC5EEA5">
      <w:pPr>
        <w:spacing w:line="40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本项目不接受联合体投标。</w:t>
      </w:r>
    </w:p>
    <w:p w14:paraId="77715862">
      <w:pPr>
        <w:spacing w:line="400" w:lineRule="exact"/>
        <w:outlineLvl w:val="1"/>
        <w:rPr>
          <w:rFonts w:asciiTheme="minorEastAsia" w:hAnsiTheme="minorEastAsia" w:eastAsiaTheme="minorEastAsia"/>
          <w:b/>
          <w:bCs/>
          <w:color w:val="auto"/>
          <w:szCs w:val="21"/>
          <w:highlight w:val="none"/>
        </w:rPr>
      </w:pPr>
      <w:bookmarkStart w:id="10" w:name="_Toc35393622"/>
      <w:bookmarkEnd w:id="10"/>
      <w:bookmarkStart w:id="11" w:name="_Toc28359003"/>
      <w:bookmarkEnd w:id="11"/>
      <w:bookmarkStart w:id="12" w:name="_Toc35393791"/>
      <w:bookmarkEnd w:id="12"/>
      <w:bookmarkStart w:id="13" w:name="_Toc28359080"/>
      <w:bookmarkEnd w:id="13"/>
      <w:r>
        <w:rPr>
          <w:rFonts w:hint="eastAsia" w:asciiTheme="minorEastAsia" w:hAnsiTheme="minorEastAsia" w:eastAsiaTheme="minorEastAsia"/>
          <w:b/>
          <w:bCs/>
          <w:color w:val="auto"/>
          <w:szCs w:val="21"/>
          <w:highlight w:val="none"/>
        </w:rPr>
        <w:t>二、申请人的资格要求：</w:t>
      </w:r>
    </w:p>
    <w:p w14:paraId="7D4C1BD5">
      <w:pPr>
        <w:spacing w:line="400" w:lineRule="exact"/>
        <w:ind w:firstLine="420" w:firstLineChars="200"/>
        <w:rPr>
          <w:rFonts w:asciiTheme="minorEastAsia" w:hAnsiTheme="minorEastAsia" w:eastAsiaTheme="minorEastAsia"/>
          <w:color w:val="auto"/>
          <w:szCs w:val="21"/>
          <w:highlight w:val="none"/>
        </w:rPr>
      </w:pPr>
      <w:bookmarkStart w:id="14" w:name="_Hlk51746371"/>
      <w:r>
        <w:rPr>
          <w:rFonts w:hint="eastAsia" w:asciiTheme="minorEastAsia" w:hAnsiTheme="minorEastAsia" w:eastAsiaTheme="minorEastAsia"/>
          <w:color w:val="auto"/>
          <w:szCs w:val="21"/>
          <w:highlight w:val="none"/>
        </w:rPr>
        <w:t>1.满足《中华人民共和国政府采购法》第二十二条规定；</w:t>
      </w:r>
    </w:p>
    <w:p w14:paraId="7B6DC897">
      <w:pPr>
        <w:spacing w:line="400" w:lineRule="exact"/>
        <w:ind w:firstLine="420" w:firstLineChars="200"/>
        <w:rPr>
          <w:rFonts w:asciiTheme="minorEastAsia" w:hAnsiTheme="minorEastAsia" w:eastAsiaTheme="minorEastAsia"/>
          <w:color w:val="auto"/>
          <w:szCs w:val="21"/>
          <w:highlight w:val="none"/>
        </w:rPr>
      </w:pPr>
      <w:bookmarkStart w:id="15" w:name="_Toc28359081"/>
      <w:bookmarkStart w:id="16" w:name="_Toc28359004"/>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.落实政府采购政策需满足的资格要求：无；</w:t>
      </w:r>
    </w:p>
    <w:p w14:paraId="41068325">
      <w:pPr>
        <w:spacing w:line="40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本项目的特定资格要求：01分标、02分标、03分标、04分标：投标人具有有效的医疗器械生产许可证或经营许可证或者备案凭证（按《医疗器械监督管理条例》免于经营备案和无需办理医疗器械经营许可或者备案的情形除外）。</w:t>
      </w:r>
    </w:p>
    <w:bookmarkEnd w:id="14"/>
    <w:bookmarkEnd w:id="15"/>
    <w:bookmarkEnd w:id="16"/>
    <w:p w14:paraId="1078A003">
      <w:pPr>
        <w:spacing w:line="400" w:lineRule="exact"/>
        <w:outlineLvl w:val="1"/>
        <w:rPr>
          <w:rFonts w:asciiTheme="minorEastAsia" w:hAnsiTheme="minorEastAsia" w:eastAsiaTheme="minorEastAsia"/>
          <w:b/>
          <w:bCs/>
          <w:color w:val="auto"/>
          <w:szCs w:val="21"/>
          <w:highlight w:val="none"/>
        </w:rPr>
      </w:pPr>
      <w:bookmarkStart w:id="17" w:name="_Toc35393623"/>
      <w:bookmarkEnd w:id="17"/>
      <w:bookmarkStart w:id="18" w:name="_Toc35393792"/>
      <w:bookmarkEnd w:id="18"/>
      <w:r>
        <w:rPr>
          <w:rFonts w:hint="eastAsia" w:asciiTheme="minorEastAsia" w:hAnsiTheme="minorEastAsia" w:eastAsiaTheme="minorEastAsia"/>
          <w:b/>
          <w:bCs/>
          <w:color w:val="auto"/>
          <w:szCs w:val="21"/>
          <w:highlight w:val="none"/>
        </w:rPr>
        <w:t>三、获取招标文件</w:t>
      </w:r>
    </w:p>
    <w:p w14:paraId="2DDE0B24">
      <w:pPr>
        <w:spacing w:line="400" w:lineRule="exact"/>
        <w:ind w:firstLine="420" w:firstLineChars="200"/>
        <w:rPr>
          <w:rFonts w:cs="宋体" w:asciiTheme="minorEastAsia" w:hAnsiTheme="minorEastAsia" w:eastAsiaTheme="minorEastAsia"/>
          <w:bCs/>
          <w:color w:val="auto"/>
          <w:kern w:val="0"/>
          <w:szCs w:val="21"/>
          <w:highlight w:val="none"/>
        </w:rPr>
      </w:pPr>
      <w:r>
        <w:rPr>
          <w:rFonts w:hint="eastAsia" w:cs="宋体" w:asciiTheme="minorEastAsia" w:hAnsiTheme="minorEastAsia" w:eastAsiaTheme="minorEastAsia"/>
          <w:bCs/>
          <w:color w:val="auto"/>
          <w:kern w:val="0"/>
          <w:szCs w:val="21"/>
          <w:highlight w:val="none"/>
        </w:rPr>
        <w:t>时间：</w:t>
      </w:r>
      <w:r>
        <w:rPr>
          <w:rFonts w:hint="eastAsia" w:cs="Arial" w:asciiTheme="minorEastAsia" w:hAnsiTheme="minorEastAsia" w:eastAsiaTheme="minorEastAsia"/>
          <w:color w:val="auto"/>
          <w:highlight w:val="none"/>
        </w:rPr>
        <w:t>2025年</w:t>
      </w:r>
      <w:r>
        <w:rPr>
          <w:rFonts w:hint="eastAsia" w:cs="Arial" w:asciiTheme="minorEastAsia" w:hAnsiTheme="minorEastAsia" w:eastAsiaTheme="minorEastAsia"/>
          <w:color w:val="auto"/>
          <w:highlight w:val="none"/>
          <w:lang w:val="en-US" w:eastAsia="zh-CN"/>
        </w:rPr>
        <w:t>4</w:t>
      </w:r>
      <w:r>
        <w:rPr>
          <w:rFonts w:hint="eastAsia" w:cs="Arial" w:asciiTheme="minorEastAsia" w:hAnsiTheme="minorEastAsia" w:eastAsiaTheme="minorEastAsia"/>
          <w:color w:val="auto"/>
          <w:highlight w:val="none"/>
        </w:rPr>
        <w:t>月</w:t>
      </w:r>
      <w:r>
        <w:rPr>
          <w:rFonts w:hint="eastAsia" w:cs="Arial" w:asciiTheme="minorEastAsia" w:hAnsiTheme="minorEastAsia" w:eastAsiaTheme="minorEastAsia"/>
          <w:color w:val="auto"/>
          <w:highlight w:val="none"/>
          <w:lang w:val="en-US" w:eastAsia="zh-CN"/>
        </w:rPr>
        <w:t>3</w:t>
      </w:r>
      <w:r>
        <w:rPr>
          <w:rFonts w:hint="eastAsia" w:cs="Arial" w:asciiTheme="minorEastAsia" w:hAnsiTheme="minorEastAsia" w:eastAsiaTheme="minorEastAsia"/>
          <w:color w:val="auto"/>
          <w:highlight w:val="none"/>
        </w:rPr>
        <w:t>日</w:t>
      </w:r>
      <w:r>
        <w:rPr>
          <w:rFonts w:hint="eastAsia" w:cs="Arial" w:asciiTheme="minorEastAsia" w:hAnsiTheme="minorEastAsia" w:eastAsiaTheme="minorEastAsia"/>
          <w:color w:val="auto"/>
          <w:szCs w:val="21"/>
          <w:highlight w:val="none"/>
        </w:rPr>
        <w:t>至</w:t>
      </w:r>
      <w:r>
        <w:rPr>
          <w:rFonts w:hint="eastAsia" w:cs="Arial" w:asciiTheme="minorEastAsia" w:hAnsiTheme="minorEastAsia" w:eastAsiaTheme="minorEastAsia"/>
          <w:color w:val="auto"/>
          <w:highlight w:val="none"/>
        </w:rPr>
        <w:t>2025年</w:t>
      </w:r>
      <w:r>
        <w:rPr>
          <w:rFonts w:hint="eastAsia" w:cs="Arial" w:asciiTheme="minorEastAsia" w:hAnsiTheme="minorEastAsia" w:eastAsiaTheme="minorEastAsia"/>
          <w:color w:val="auto"/>
          <w:highlight w:val="none"/>
          <w:lang w:val="en-US" w:eastAsia="zh-CN"/>
        </w:rPr>
        <w:t>4</w:t>
      </w:r>
      <w:r>
        <w:rPr>
          <w:rFonts w:hint="eastAsia" w:cs="Arial" w:asciiTheme="minorEastAsia" w:hAnsiTheme="minorEastAsia" w:eastAsiaTheme="minorEastAsia"/>
          <w:color w:val="auto"/>
          <w:highlight w:val="none"/>
        </w:rPr>
        <w:t>月</w:t>
      </w:r>
      <w:r>
        <w:rPr>
          <w:rFonts w:hint="eastAsia" w:cs="Arial" w:asciiTheme="minorEastAsia" w:hAnsiTheme="minorEastAsia" w:eastAsiaTheme="minorEastAsia"/>
          <w:color w:val="auto"/>
          <w:highlight w:val="none"/>
          <w:lang w:val="en-US" w:eastAsia="zh-CN"/>
        </w:rPr>
        <w:t>11</w:t>
      </w:r>
      <w:r>
        <w:rPr>
          <w:rFonts w:hint="eastAsia" w:cs="Arial" w:asciiTheme="minorEastAsia" w:hAnsiTheme="minorEastAsia" w:eastAsiaTheme="minorEastAsia"/>
          <w:color w:val="auto"/>
          <w:highlight w:val="none"/>
        </w:rPr>
        <w:t>日</w:t>
      </w:r>
      <w:r>
        <w:rPr>
          <w:rFonts w:hint="eastAsia" w:cs="Arial" w:asciiTheme="minorEastAsia" w:hAnsiTheme="minorEastAsia" w:eastAsiaTheme="minorEastAsia"/>
          <w:color w:val="auto"/>
          <w:szCs w:val="21"/>
          <w:highlight w:val="none"/>
        </w:rPr>
        <w:t>，每天上午0:00-11:59；下午1</w:t>
      </w:r>
      <w:r>
        <w:rPr>
          <w:rFonts w:hint="eastAsia" w:cs="Arial" w:asciiTheme="minorEastAsia" w:hAnsiTheme="minorEastAsia" w:eastAsiaTheme="minorEastAsia"/>
          <w:color w:val="auto"/>
          <w:highlight w:val="none"/>
        </w:rPr>
        <w:t>2</w:t>
      </w:r>
      <w:r>
        <w:rPr>
          <w:rFonts w:hint="eastAsia" w:cs="Arial" w:asciiTheme="minorEastAsia" w:hAnsiTheme="minorEastAsia" w:eastAsiaTheme="minorEastAsia"/>
          <w:color w:val="auto"/>
          <w:szCs w:val="21"/>
          <w:highlight w:val="none"/>
        </w:rPr>
        <w:t>:</w:t>
      </w:r>
      <w:r>
        <w:rPr>
          <w:rFonts w:hint="eastAsia" w:cs="Arial" w:asciiTheme="minorEastAsia" w:hAnsiTheme="minorEastAsia" w:eastAsiaTheme="minorEastAsia"/>
          <w:color w:val="auto"/>
          <w:highlight w:val="none"/>
        </w:rPr>
        <w:t>00</w:t>
      </w:r>
      <w:r>
        <w:rPr>
          <w:rFonts w:hint="eastAsia" w:cs="Arial" w:asciiTheme="minorEastAsia" w:hAnsiTheme="minorEastAsia" w:eastAsiaTheme="minorEastAsia"/>
          <w:color w:val="auto"/>
          <w:szCs w:val="21"/>
          <w:highlight w:val="none"/>
        </w:rPr>
        <w:t>-23:</w:t>
      </w:r>
      <w:r>
        <w:rPr>
          <w:rFonts w:hint="eastAsia" w:cs="Arial" w:asciiTheme="minorEastAsia" w:hAnsiTheme="minorEastAsia" w:eastAsiaTheme="minorEastAsia"/>
          <w:color w:val="auto"/>
          <w:highlight w:val="none"/>
        </w:rPr>
        <w:t>59</w:t>
      </w:r>
      <w:r>
        <w:rPr>
          <w:rFonts w:hint="eastAsia" w:cs="Arial" w:asciiTheme="minorEastAsia" w:hAnsiTheme="minorEastAsia" w:eastAsiaTheme="minorEastAsia"/>
          <w:color w:val="auto"/>
          <w:szCs w:val="21"/>
          <w:highlight w:val="none"/>
        </w:rPr>
        <w:t>（北京时间，</w:t>
      </w:r>
      <w:r>
        <w:rPr>
          <w:rFonts w:cs="Arial" w:asciiTheme="minorEastAsia" w:hAnsiTheme="minorEastAsia" w:eastAsiaTheme="minorEastAsia"/>
          <w:color w:val="auto"/>
          <w:szCs w:val="21"/>
          <w:highlight w:val="none"/>
        </w:rPr>
        <w:t>法定节假日</w:t>
      </w:r>
      <w:r>
        <w:rPr>
          <w:rFonts w:hint="eastAsia" w:cs="Arial" w:asciiTheme="minorEastAsia" w:hAnsiTheme="minorEastAsia" w:eastAsiaTheme="minorEastAsia"/>
          <w:color w:val="auto"/>
          <w:szCs w:val="21"/>
          <w:highlight w:val="none"/>
        </w:rPr>
        <w:t>除外）。</w:t>
      </w:r>
    </w:p>
    <w:p w14:paraId="7C572B37">
      <w:pPr>
        <w:spacing w:line="400" w:lineRule="exact"/>
        <w:ind w:firstLine="420" w:firstLineChars="200"/>
        <w:rPr>
          <w:rFonts w:cs="宋体" w:asciiTheme="minorEastAsia" w:hAnsiTheme="minorEastAsia" w:eastAsiaTheme="minorEastAsia"/>
          <w:bCs/>
          <w:color w:val="auto"/>
          <w:kern w:val="0"/>
          <w:szCs w:val="21"/>
          <w:highlight w:val="none"/>
        </w:rPr>
      </w:pPr>
      <w:r>
        <w:rPr>
          <w:rFonts w:hint="eastAsia" w:cs="宋体" w:asciiTheme="minorEastAsia" w:hAnsiTheme="minorEastAsia" w:eastAsiaTheme="minorEastAsia"/>
          <w:bCs/>
          <w:color w:val="auto"/>
          <w:kern w:val="0"/>
          <w:szCs w:val="21"/>
          <w:highlight w:val="none"/>
        </w:rPr>
        <w:t>地点：“广西政府采购云平台”平台（</w:t>
      </w:r>
      <w:r>
        <w:rPr>
          <w:rFonts w:cs="宋体" w:asciiTheme="minorEastAsia" w:hAnsiTheme="minorEastAsia" w:eastAsiaTheme="minorEastAsia"/>
          <w:bCs/>
          <w:color w:val="auto"/>
          <w:kern w:val="0"/>
          <w:szCs w:val="21"/>
          <w:highlight w:val="none"/>
        </w:rPr>
        <w:t>https://www.gcy.zfcg.gxzf.gov.cn/</w:t>
      </w:r>
      <w:r>
        <w:rPr>
          <w:rFonts w:hint="eastAsia" w:cs="宋体" w:asciiTheme="minorEastAsia" w:hAnsiTheme="minorEastAsia" w:eastAsiaTheme="minorEastAsia"/>
          <w:bCs/>
          <w:color w:val="auto"/>
          <w:kern w:val="0"/>
          <w:szCs w:val="21"/>
          <w:highlight w:val="none"/>
        </w:rPr>
        <w:t>）</w:t>
      </w:r>
    </w:p>
    <w:p w14:paraId="13A22AAB">
      <w:pPr>
        <w:spacing w:line="400" w:lineRule="exact"/>
        <w:ind w:firstLine="420" w:firstLineChars="200"/>
        <w:rPr>
          <w:rFonts w:cs="宋体" w:asciiTheme="minorEastAsia" w:hAnsiTheme="minorEastAsia" w:eastAsiaTheme="minorEastAsia"/>
          <w:bCs/>
          <w:color w:val="auto"/>
          <w:kern w:val="0"/>
          <w:szCs w:val="21"/>
          <w:highlight w:val="none"/>
        </w:rPr>
      </w:pPr>
      <w:r>
        <w:rPr>
          <w:rFonts w:hint="eastAsia" w:cs="宋体" w:asciiTheme="minorEastAsia" w:hAnsiTheme="minorEastAsia" w:eastAsiaTheme="minorEastAsia"/>
          <w:bCs/>
          <w:color w:val="auto"/>
          <w:kern w:val="0"/>
          <w:szCs w:val="21"/>
          <w:highlight w:val="none"/>
        </w:rPr>
        <w:t>方式：网上下载。本项目不发放纸质文件，供应商应自行在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cs="宋体" w:asciiTheme="minorEastAsia" w:hAnsiTheme="minorEastAsia" w:eastAsiaTheme="minorEastAsia"/>
          <w:bCs/>
          <w:color w:val="auto"/>
          <w:kern w:val="0"/>
          <w:szCs w:val="21"/>
          <w:highlight w:val="none"/>
        </w:rPr>
        <w:t>“广西政府采购云平台”平台（</w:t>
      </w:r>
      <w:r>
        <w:rPr>
          <w:rFonts w:cs="宋体" w:asciiTheme="minorEastAsia" w:hAnsiTheme="minorEastAsia" w:eastAsiaTheme="minorEastAsia"/>
          <w:bCs/>
          <w:color w:val="auto"/>
          <w:kern w:val="0"/>
          <w:szCs w:val="21"/>
          <w:highlight w:val="none"/>
        </w:rPr>
        <w:t>https://www.gcy.zfcg.gxzf.gov.cn/</w:t>
      </w:r>
      <w:r>
        <w:rPr>
          <w:rFonts w:hint="eastAsia" w:cs="宋体" w:asciiTheme="minorEastAsia" w:hAnsiTheme="minorEastAsia" w:eastAsiaTheme="minorEastAsia"/>
          <w:bCs/>
          <w:color w:val="auto"/>
          <w:kern w:val="0"/>
          <w:szCs w:val="21"/>
          <w:highlight w:val="none"/>
        </w:rPr>
        <w:t>）下载招标文件（操作路径：登录“广西政府采购云平台” -项目采购-获取采购文件-找到本项目-点击“申请获取采购文件”），电子投标文件制作需要基于“广西政府采购云平台”平台获取的招标文件编制。</w:t>
      </w:r>
    </w:p>
    <w:p w14:paraId="4011F55A">
      <w:pPr>
        <w:spacing w:line="40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bCs/>
          <w:color w:val="auto"/>
          <w:kern w:val="0"/>
          <w:szCs w:val="21"/>
          <w:highlight w:val="none"/>
        </w:rPr>
        <w:t>售价：0元。</w:t>
      </w:r>
    </w:p>
    <w:p w14:paraId="324492D0">
      <w:pPr>
        <w:spacing w:line="400" w:lineRule="exact"/>
        <w:outlineLvl w:val="1"/>
        <w:rPr>
          <w:rFonts w:asciiTheme="minorEastAsia" w:hAnsiTheme="minorEastAsia" w:eastAsiaTheme="minorEastAsia"/>
          <w:b/>
          <w:bCs/>
          <w:color w:val="auto"/>
          <w:sz w:val="24"/>
          <w:highlight w:val="none"/>
        </w:rPr>
      </w:pPr>
      <w:bookmarkStart w:id="19" w:name="_Toc28359005"/>
      <w:bookmarkEnd w:id="19"/>
      <w:bookmarkStart w:id="20" w:name="_Toc35393793"/>
      <w:bookmarkEnd w:id="20"/>
      <w:bookmarkStart w:id="21" w:name="_Toc35393624"/>
      <w:bookmarkEnd w:id="21"/>
      <w:bookmarkStart w:id="22" w:name="_Toc28359082"/>
      <w:bookmarkEnd w:id="22"/>
      <w:r>
        <w:rPr>
          <w:rFonts w:hint="eastAsia" w:asciiTheme="minorEastAsia" w:hAnsiTheme="minorEastAsia" w:eastAsiaTheme="minorEastAsia"/>
          <w:b/>
          <w:bCs/>
          <w:color w:val="auto"/>
          <w:sz w:val="24"/>
          <w:highlight w:val="none"/>
        </w:rPr>
        <w:t>四、提交投标文件截止时间、开标时间和地点</w:t>
      </w:r>
    </w:p>
    <w:p w14:paraId="1FE8FC90">
      <w:pPr>
        <w:spacing w:line="400" w:lineRule="exact"/>
        <w:ind w:firstLine="420" w:firstLineChars="200"/>
        <w:outlineLvl w:val="2"/>
        <w:rPr>
          <w:rFonts w:asciiTheme="minorEastAsia" w:hAnsiTheme="minorEastAsia" w:eastAsiaTheme="minorEastAsia"/>
          <w:color w:val="auto"/>
          <w:szCs w:val="21"/>
          <w:highlight w:val="none"/>
        </w:rPr>
      </w:pPr>
      <w:bookmarkStart w:id="23" w:name="_Toc35393625"/>
      <w:bookmarkStart w:id="24" w:name="_Toc28359084"/>
      <w:bookmarkStart w:id="25" w:name="_Toc35393794"/>
      <w:bookmarkStart w:id="26" w:name="_Toc28359007"/>
      <w:r>
        <w:rPr>
          <w:rFonts w:hint="eastAsia" w:asciiTheme="minorEastAsia" w:hAnsiTheme="minorEastAsia" w:eastAsiaTheme="minorEastAsia"/>
          <w:color w:val="auto"/>
          <w:szCs w:val="21"/>
          <w:highlight w:val="none"/>
        </w:rPr>
        <w:t>1、</w:t>
      </w:r>
      <w:r>
        <w:rPr>
          <w:rFonts w:hint="eastAsia" w:cs="宋体" w:asciiTheme="minorEastAsia" w:hAnsiTheme="minorEastAsia" w:eastAsiaTheme="minorEastAsia"/>
          <w:color w:val="auto"/>
          <w:szCs w:val="21"/>
          <w:highlight w:val="none"/>
        </w:rPr>
        <w:t>截止时间</w:t>
      </w:r>
      <w:r>
        <w:rPr>
          <w:rFonts w:hint="eastAsia" w:asciiTheme="minorEastAsia" w:hAnsiTheme="minorEastAsia" w:eastAsiaTheme="minorEastAsia"/>
          <w:color w:val="auto"/>
          <w:szCs w:val="21"/>
          <w:highlight w:val="none"/>
        </w:rPr>
        <w:t>：</w:t>
      </w:r>
      <w:r>
        <w:rPr>
          <w:rFonts w:hint="eastAsia" w:cs="Arial" w:asciiTheme="minorEastAsia" w:hAnsiTheme="minorEastAsia" w:eastAsiaTheme="minorEastAsia"/>
          <w:color w:val="auto"/>
          <w:highlight w:val="none"/>
        </w:rPr>
        <w:t>2025年</w:t>
      </w:r>
      <w:r>
        <w:rPr>
          <w:rFonts w:hint="eastAsia" w:cs="Arial" w:asciiTheme="minorEastAsia" w:hAnsiTheme="minorEastAsia" w:eastAsiaTheme="minorEastAsia"/>
          <w:color w:val="auto"/>
          <w:highlight w:val="none"/>
          <w:lang w:val="en-US" w:eastAsia="zh-CN"/>
        </w:rPr>
        <w:t>4</w:t>
      </w:r>
      <w:r>
        <w:rPr>
          <w:rFonts w:hint="eastAsia" w:cs="Arial" w:asciiTheme="minorEastAsia" w:hAnsiTheme="minorEastAsia" w:eastAsiaTheme="minorEastAsia"/>
          <w:color w:val="auto"/>
          <w:highlight w:val="none"/>
        </w:rPr>
        <w:t>月</w:t>
      </w:r>
      <w:r>
        <w:rPr>
          <w:rFonts w:hint="eastAsia" w:cs="Arial" w:asciiTheme="minorEastAsia" w:hAnsiTheme="minorEastAsia" w:eastAsiaTheme="minorEastAsia"/>
          <w:color w:val="auto"/>
          <w:highlight w:val="none"/>
          <w:lang w:val="en-US" w:eastAsia="zh-CN"/>
        </w:rPr>
        <w:t>24</w:t>
      </w:r>
      <w:r>
        <w:rPr>
          <w:rFonts w:hint="eastAsia" w:cs="Arial" w:asciiTheme="minorEastAsia" w:hAnsiTheme="minorEastAsia" w:eastAsiaTheme="minorEastAsia"/>
          <w:color w:val="auto"/>
          <w:highlight w:val="none"/>
        </w:rPr>
        <w:t>日9时</w:t>
      </w:r>
      <w:r>
        <w:rPr>
          <w:rFonts w:hint="eastAsia" w:cs="Arial" w:asciiTheme="minorEastAsia" w:hAnsiTheme="minorEastAsia" w:eastAsiaTheme="minorEastAsia"/>
          <w:color w:val="auto"/>
          <w:highlight w:val="none"/>
          <w:lang w:val="en-US" w:eastAsia="zh-CN"/>
        </w:rPr>
        <w:t>00</w:t>
      </w:r>
      <w:r>
        <w:rPr>
          <w:rFonts w:hint="eastAsia" w:cs="Arial" w:asciiTheme="minorEastAsia" w:hAnsiTheme="minorEastAsia" w:eastAsiaTheme="minorEastAsia"/>
          <w:color w:val="auto"/>
          <w:highlight w:val="none"/>
        </w:rPr>
        <w:t>分</w:t>
      </w:r>
      <w:r>
        <w:rPr>
          <w:rFonts w:hint="eastAsia" w:asciiTheme="minorEastAsia" w:hAnsiTheme="minorEastAsia" w:eastAsiaTheme="minorEastAsia"/>
          <w:color w:val="auto"/>
          <w:szCs w:val="21"/>
          <w:highlight w:val="none"/>
        </w:rPr>
        <w:t>（北京时间）</w:t>
      </w:r>
    </w:p>
    <w:p w14:paraId="689683CC">
      <w:pPr>
        <w:spacing w:line="400" w:lineRule="exact"/>
        <w:ind w:firstLine="420" w:firstLineChars="20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2、地点：</w:t>
      </w:r>
      <w:r>
        <w:rPr>
          <w:rFonts w:hint="eastAsia" w:cs="宋体" w:asciiTheme="minorEastAsia" w:hAnsiTheme="minorEastAsia" w:eastAsiaTheme="minorEastAsia"/>
          <w:color w:val="auto"/>
          <w:szCs w:val="21"/>
          <w:highlight w:val="none"/>
        </w:rPr>
        <w:t>本项目将在“广西政府采购云平台”平台电子开标大厅解密、开标。</w:t>
      </w:r>
    </w:p>
    <w:bookmarkEnd w:id="23"/>
    <w:bookmarkEnd w:id="24"/>
    <w:bookmarkEnd w:id="25"/>
    <w:bookmarkEnd w:id="26"/>
    <w:p w14:paraId="4024A4A9">
      <w:pPr>
        <w:spacing w:line="400" w:lineRule="exact"/>
        <w:outlineLvl w:val="1"/>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五、公告期限</w:t>
      </w:r>
    </w:p>
    <w:p w14:paraId="280BDF85">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自本公告发布之日起5个工作日。</w:t>
      </w:r>
    </w:p>
    <w:p w14:paraId="03D2BA1B">
      <w:pPr>
        <w:spacing w:line="400" w:lineRule="exact"/>
        <w:outlineLvl w:val="1"/>
        <w:rPr>
          <w:rFonts w:asciiTheme="minorEastAsia" w:hAnsiTheme="minorEastAsia" w:eastAsiaTheme="minorEastAsia"/>
          <w:b/>
          <w:bCs/>
          <w:color w:val="auto"/>
          <w:sz w:val="24"/>
          <w:highlight w:val="none"/>
        </w:rPr>
      </w:pPr>
      <w:bookmarkStart w:id="27" w:name="_Toc35393626"/>
      <w:bookmarkEnd w:id="27"/>
      <w:bookmarkStart w:id="28" w:name="_Toc35393795"/>
      <w:bookmarkEnd w:id="28"/>
      <w:r>
        <w:rPr>
          <w:rFonts w:hint="eastAsia" w:asciiTheme="minorEastAsia" w:hAnsiTheme="minorEastAsia" w:eastAsiaTheme="minorEastAsia"/>
          <w:b/>
          <w:bCs/>
          <w:color w:val="auto"/>
          <w:sz w:val="24"/>
          <w:highlight w:val="none"/>
        </w:rPr>
        <w:t>六、其他补充事宜</w:t>
      </w:r>
    </w:p>
    <w:p w14:paraId="51CEC8FF">
      <w:pPr>
        <w:spacing w:line="400" w:lineRule="exact"/>
        <w:ind w:firstLine="420" w:firstLineChars="200"/>
        <w:outlineLvl w:val="2"/>
        <w:rPr>
          <w:rFonts w:cs="宋体" w:asciiTheme="minorEastAsia" w:hAnsiTheme="minorEastAsia" w:eastAsiaTheme="minorEastAsia"/>
          <w:color w:val="auto"/>
          <w:kern w:val="0"/>
          <w:szCs w:val="21"/>
          <w:highlight w:val="none"/>
        </w:rPr>
      </w:pPr>
      <w:bookmarkStart w:id="29" w:name="_Hlk37429674"/>
      <w:r>
        <w:rPr>
          <w:rFonts w:hint="eastAsia" w:cs="宋体" w:asciiTheme="minorEastAsia" w:hAnsiTheme="minorEastAsia" w:eastAsiaTheme="minorEastAsia"/>
          <w:color w:val="auto"/>
          <w:kern w:val="0"/>
          <w:szCs w:val="21"/>
          <w:highlight w:val="none"/>
        </w:rPr>
        <w:t>1、投标保证金（人民币）：</w:t>
      </w:r>
      <w:r>
        <w:rPr>
          <w:rFonts w:hint="eastAsia" w:asciiTheme="minorEastAsia" w:hAnsiTheme="minorEastAsia" w:eastAsiaTheme="minorEastAsia"/>
          <w:color w:val="auto"/>
          <w:szCs w:val="21"/>
          <w:highlight w:val="none"/>
        </w:rPr>
        <w:t>无</w:t>
      </w:r>
      <w:r>
        <w:rPr>
          <w:rFonts w:hint="eastAsia" w:cs="宋体" w:asciiTheme="minorEastAsia" w:hAnsiTheme="minorEastAsia" w:eastAsiaTheme="minorEastAsia"/>
          <w:color w:val="auto"/>
          <w:kern w:val="0"/>
          <w:szCs w:val="21"/>
          <w:highlight w:val="none"/>
        </w:rPr>
        <w:t>。</w:t>
      </w:r>
    </w:p>
    <w:p w14:paraId="32661B5D">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EA97F65">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9E88B2F">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4、网上查询地址：中国政府采购网（www.ccgp.gov.cn）、广西政府采购网（zfcg.gxzf.gov.cn）、全国公共资源交易平台（广西百色）（http：//ggzy.jgswj.gxzf.gov.cn/bsggzy）。</w:t>
      </w:r>
    </w:p>
    <w:p w14:paraId="11B3343D">
      <w:pPr>
        <w:spacing w:line="400" w:lineRule="exact"/>
        <w:ind w:firstLine="420" w:firstLineChars="200"/>
        <w:outlineLvl w:val="2"/>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5、本项目需要落实的政府采购政策：</w:t>
      </w:r>
    </w:p>
    <w:p w14:paraId="13CCDDE9">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（1）政府采购促进中小企业发展。</w:t>
      </w:r>
    </w:p>
    <w:p w14:paraId="268817AC">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（2）政府采购支持采用本国产品的政策。</w:t>
      </w:r>
    </w:p>
    <w:p w14:paraId="56770695">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（3）强制采购节能产品；优先采购节能产品、环境标志产品。</w:t>
      </w:r>
    </w:p>
    <w:p w14:paraId="7AC2EEA8">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（4）政府采购促进残疾人就业政策。</w:t>
      </w:r>
    </w:p>
    <w:p w14:paraId="424DB226">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（5）政府采购支持监狱企业发展。</w:t>
      </w:r>
    </w:p>
    <w:p w14:paraId="6BF0A7E1">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（6）扶持不发达地区和少数民族地区政策</w:t>
      </w:r>
    </w:p>
    <w:p w14:paraId="6A40C90D">
      <w:pPr>
        <w:widowControl/>
        <w:spacing w:line="400" w:lineRule="exact"/>
        <w:ind w:firstLine="420" w:firstLineChars="200"/>
        <w:outlineLvl w:val="2"/>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6、投标注意事项：</w:t>
      </w:r>
    </w:p>
    <w:p w14:paraId="1A1E5107">
      <w:pPr>
        <w:widowControl/>
        <w:spacing w:line="400" w:lineRule="exact"/>
        <w:ind w:firstLine="420" w:firstLineChars="200"/>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szCs w:val="21"/>
          <w:highlight w:val="none"/>
        </w:rPr>
        <w:t>（1）投标文件提交方式：本项目为全流程电子化政府采购项目，通过“广西政府采购云平台”平台（</w:t>
      </w:r>
      <w:r>
        <w:rPr>
          <w:rFonts w:cs="宋体" w:asciiTheme="minorEastAsia" w:hAnsiTheme="minorEastAsia" w:eastAsiaTheme="minorEastAsia"/>
          <w:color w:val="auto"/>
          <w:szCs w:val="21"/>
          <w:highlight w:val="none"/>
        </w:rPr>
        <w:t>https://www.gcy.zfcg.gxzf.gov.cn/</w:t>
      </w:r>
      <w:r>
        <w:rPr>
          <w:rFonts w:hint="eastAsia" w:cs="宋体" w:asciiTheme="minorEastAsia" w:hAnsiTheme="minorEastAsia" w:eastAsiaTheme="minorEastAsia"/>
          <w:color w:val="auto"/>
          <w:szCs w:val="21"/>
          <w:highlight w:val="none"/>
        </w:rPr>
        <w:t>）实行在线电子投标，供应商应先安装“广西政府采购云平台电子交易客户端”（请自行前往“广西政府采购云平台”平台进行下载），并按照本项目招标文件和“广西政府采购云平台”平台的要求编制、加密后在投标截止时间前通过网络上传至“广西政府采购云平台”平台，</w:t>
      </w:r>
      <w:r>
        <w:rPr>
          <w:rFonts w:hint="eastAsia" w:cs="宋体" w:asciiTheme="minorEastAsia" w:hAnsiTheme="minorEastAsia" w:eastAsiaTheme="minorEastAsia"/>
          <w:b/>
          <w:color w:val="auto"/>
          <w:szCs w:val="21"/>
          <w:highlight w:val="none"/>
        </w:rPr>
        <w:t>供应商在“广西政府采购云平台”平台提交电子版投标文件时，请填写参加远程开标活动经办人联系方式。</w:t>
      </w:r>
    </w:p>
    <w:p w14:paraId="3C4333EC">
      <w:pPr>
        <w:widowControl/>
        <w:spacing w:line="40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（2）供应商应及时熟悉掌握电子标系统操作指南（见广西政府采购云平台电子卖场首页右上角—服务中心—帮助文档—项目采购）：https://helpcenter.zcygov.cn/document/#/document/dashboard?siteCode=beijing&amp;channel=dt；及时</w:t>
      </w:r>
      <w:r>
        <w:rPr>
          <w:rFonts w:cs="宋体" w:asciiTheme="minorEastAsia" w:hAnsiTheme="minorEastAsia" w:eastAsiaTheme="minorEastAsia"/>
          <w:color w:val="auto"/>
          <w:szCs w:val="21"/>
          <w:highlight w:val="none"/>
        </w:rPr>
        <w:t>完成CA申领和绑定（</w:t>
      </w:r>
      <w:r>
        <w:rPr>
          <w:rFonts w:hint="eastAsia" w:cs="宋体" w:asciiTheme="minorEastAsia" w:hAnsiTheme="minorEastAsia" w:eastAsiaTheme="minorEastAsia"/>
          <w:color w:val="auto"/>
          <w:szCs w:val="21"/>
          <w:highlight w:val="none"/>
        </w:rPr>
        <w:t>供应商通过新平台参与政府采购项目投标需下载使用新版客户端，新版客户端下载路径：广西政府采购网（访问地址http://zfcg.gxzf.gov.cn/）—办事服务—下载专区。原在广西政府采购云平台平台注册的临时供应商需在新平台启用后重新注册登记。</w:t>
      </w:r>
      <w:r>
        <w:rPr>
          <w:rFonts w:cs="宋体" w:asciiTheme="minorEastAsia" w:hAnsiTheme="minorEastAsia" w:eastAsiaTheme="minorEastAsia"/>
          <w:color w:val="auto"/>
          <w:szCs w:val="21"/>
          <w:highlight w:val="none"/>
        </w:rPr>
        <w:t>）。</w:t>
      </w:r>
    </w:p>
    <w:p w14:paraId="7248CB55">
      <w:pPr>
        <w:widowControl/>
        <w:spacing w:line="40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5708B1B">
      <w:pPr>
        <w:widowControl/>
        <w:spacing w:line="40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（4）为确保网上操作合法、有效和安全，请投标人确保在电子投标过程中能够对相关数据电文进行加密和使用电子签章，妥善保管CA数字证书并使用有效的CA数字证书参与整个采购活动。</w:t>
      </w:r>
    </w:p>
    <w:p w14:paraId="76B6CE30">
      <w:pPr>
        <w:spacing w:line="400" w:lineRule="exact"/>
        <w:ind w:firstLine="422" w:firstLineChars="200"/>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平台将予以拒收。</w:t>
      </w:r>
    </w:p>
    <w:p w14:paraId="2C4FA5BE">
      <w:pPr>
        <w:snapToGrid w:val="0"/>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7、CA证书在线解密：供应商投标时，需携带制作投标文件时用来加密的有效数字证书（CA认证）登录“广西政府采购云平台”平台电子开标大厅现场按规定时间对加密的投标文件进行解密，否则后果自负。</w:t>
      </w:r>
    </w:p>
    <w:p w14:paraId="15A1AC9D">
      <w:pPr>
        <w:spacing w:line="400" w:lineRule="exact"/>
        <w:ind w:firstLine="420" w:firstLineChars="20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8、若对项目采购电子交易系统操作有疑问，可登录“广西政府采购云平台”平台（https://www.gcy.zfcg.gxzf.gov.cn/），点击右侧咨询小采，获取采小蜜智能服务管家帮助，或拨打广西政府采购云平台服务热线95763获取热线服务帮助。</w:t>
      </w:r>
    </w:p>
    <w:bookmarkEnd w:id="29"/>
    <w:p w14:paraId="30F568D6">
      <w:pPr>
        <w:spacing w:line="400" w:lineRule="exact"/>
        <w:outlineLvl w:val="1"/>
        <w:rPr>
          <w:rFonts w:asciiTheme="minorEastAsia" w:hAnsiTheme="minorEastAsia" w:eastAsiaTheme="minorEastAsia"/>
          <w:b/>
          <w:bCs/>
          <w:color w:val="auto"/>
          <w:sz w:val="24"/>
          <w:highlight w:val="none"/>
        </w:rPr>
      </w:pPr>
      <w:bookmarkStart w:id="30" w:name="_Toc35393796"/>
      <w:bookmarkEnd w:id="30"/>
      <w:bookmarkStart w:id="31" w:name="_Toc28359008"/>
      <w:bookmarkEnd w:id="31"/>
      <w:bookmarkStart w:id="32" w:name="_Toc28359085"/>
      <w:bookmarkEnd w:id="32"/>
      <w:bookmarkStart w:id="33" w:name="_Toc35393627"/>
      <w:bookmarkEnd w:id="33"/>
      <w:r>
        <w:rPr>
          <w:rFonts w:hint="eastAsia" w:asciiTheme="minorEastAsia" w:hAnsiTheme="minorEastAsia" w:eastAsiaTheme="minorEastAsia"/>
          <w:b/>
          <w:bCs/>
          <w:color w:val="auto"/>
          <w:sz w:val="24"/>
          <w:highlight w:val="none"/>
        </w:rPr>
        <w:t>七、对本次招标提出询问，请按</w:t>
      </w:r>
      <w:r>
        <w:rPr>
          <w:rFonts w:asciiTheme="minorEastAsia" w:hAnsiTheme="minorEastAsia" w:eastAsiaTheme="minorEastAsia"/>
          <w:b/>
          <w:bCs/>
          <w:color w:val="auto"/>
          <w:sz w:val="24"/>
          <w:highlight w:val="none"/>
        </w:rPr>
        <w:t>以下方式</w:t>
      </w:r>
      <w:r>
        <w:rPr>
          <w:rFonts w:hint="eastAsia" w:asciiTheme="minorEastAsia" w:hAnsiTheme="minorEastAsia" w:eastAsiaTheme="minorEastAsia"/>
          <w:b/>
          <w:bCs/>
          <w:color w:val="auto"/>
          <w:sz w:val="24"/>
          <w:highlight w:val="none"/>
        </w:rPr>
        <w:t>联系。</w:t>
      </w:r>
    </w:p>
    <w:p w14:paraId="2066D463">
      <w:pPr>
        <w:widowControl/>
        <w:spacing w:line="400" w:lineRule="exact"/>
        <w:jc w:val="left"/>
        <w:outlineLvl w:val="2"/>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 w:val="24"/>
          <w:highlight w:val="none"/>
        </w:rPr>
        <w:t xml:space="preserve">      </w:t>
      </w:r>
      <w:r>
        <w:rPr>
          <w:rFonts w:hint="eastAsia" w:cs="宋体" w:asciiTheme="minorEastAsia" w:hAnsiTheme="minorEastAsia" w:eastAsiaTheme="minorEastAsia"/>
          <w:color w:val="auto"/>
          <w:szCs w:val="21"/>
          <w:highlight w:val="none"/>
        </w:rPr>
        <w:t>1.采购人信息</w:t>
      </w:r>
    </w:p>
    <w:p w14:paraId="11805D27">
      <w:pPr>
        <w:widowControl/>
        <w:spacing w:line="400" w:lineRule="exact"/>
        <w:ind w:firstLine="630" w:firstLineChars="3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单位名称：右江民族医学院附属医院</w:t>
      </w:r>
    </w:p>
    <w:p w14:paraId="10B13B26">
      <w:pPr>
        <w:widowControl/>
        <w:spacing w:line="400" w:lineRule="exact"/>
        <w:ind w:firstLine="630" w:firstLineChars="3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联系人：覃老师；      联系电话：0776-2831452</w:t>
      </w:r>
    </w:p>
    <w:p w14:paraId="2765D235">
      <w:pPr>
        <w:widowControl/>
        <w:spacing w:line="400" w:lineRule="exact"/>
        <w:ind w:firstLine="630" w:firstLineChars="3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联系地址：百色市右江区中山二路18号</w:t>
      </w:r>
    </w:p>
    <w:p w14:paraId="338F7A15">
      <w:pPr>
        <w:widowControl/>
        <w:spacing w:line="400" w:lineRule="exact"/>
        <w:ind w:firstLine="630" w:firstLineChars="300"/>
        <w:jc w:val="left"/>
        <w:outlineLvl w:val="2"/>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2.采购代理机构信息</w:t>
      </w:r>
    </w:p>
    <w:p w14:paraId="506BD1A0">
      <w:pPr>
        <w:widowControl/>
        <w:spacing w:line="400" w:lineRule="exact"/>
        <w:ind w:firstLine="630" w:firstLineChars="3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名 称：广西科文招标有限公司</w:t>
      </w:r>
    </w:p>
    <w:p w14:paraId="52878B7A">
      <w:pPr>
        <w:widowControl/>
        <w:spacing w:line="400" w:lineRule="exact"/>
        <w:ind w:firstLine="630" w:firstLineChars="3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地　址：南宁市民族大道路141号中鼎万象东方大厦D区五层</w:t>
      </w:r>
    </w:p>
    <w:p w14:paraId="524397FE">
      <w:pPr>
        <w:widowControl/>
        <w:spacing w:line="400" w:lineRule="exact"/>
        <w:ind w:left="315" w:leftChars="150" w:firstLine="315" w:firstLineChars="15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联系人：何静；联系方式：0771-2023902</w:t>
      </w:r>
    </w:p>
    <w:p w14:paraId="04BBCBA8">
      <w:pPr>
        <w:widowControl/>
        <w:spacing w:line="400" w:lineRule="exact"/>
        <w:ind w:left="315" w:leftChars="150" w:firstLine="315" w:firstLineChars="150"/>
        <w:jc w:val="left"/>
        <w:outlineLvl w:val="2"/>
        <w:rPr>
          <w:rFonts w:asciiTheme="minorEastAsia" w:hAnsiTheme="minorEastAsia" w:eastAsiaTheme="minorEastAsia"/>
          <w:color w:val="auto"/>
          <w:szCs w:val="21"/>
          <w:highlight w:val="none"/>
          <w:u w:val="single"/>
        </w:rPr>
      </w:pPr>
      <w:r>
        <w:rPr>
          <w:rFonts w:hint="eastAsia" w:cs="宋体" w:asciiTheme="minorEastAsia" w:hAnsiTheme="minorEastAsia" w:eastAsiaTheme="minorEastAsia"/>
          <w:color w:val="auto"/>
          <w:szCs w:val="21"/>
          <w:highlight w:val="none"/>
        </w:rPr>
        <w:t>3.项目</w:t>
      </w:r>
      <w:r>
        <w:rPr>
          <w:rFonts w:cs="宋体" w:asciiTheme="minorEastAsia" w:hAnsiTheme="minorEastAsia" w:eastAsiaTheme="minorEastAsia"/>
          <w:color w:val="auto"/>
          <w:szCs w:val="21"/>
          <w:highlight w:val="none"/>
        </w:rPr>
        <w:t>联系方式</w:t>
      </w:r>
    </w:p>
    <w:p w14:paraId="7F419B6F">
      <w:pPr>
        <w:spacing w:line="400" w:lineRule="exact"/>
        <w:ind w:firstLine="630" w:firstLineChars="3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项目联系人：</w:t>
      </w:r>
      <w:r>
        <w:rPr>
          <w:rFonts w:hint="eastAsia" w:cs="宋体" w:asciiTheme="minorEastAsia" w:hAnsiTheme="minorEastAsia" w:eastAsiaTheme="minorEastAsia"/>
          <w:color w:val="auto"/>
          <w:szCs w:val="21"/>
          <w:highlight w:val="none"/>
        </w:rPr>
        <w:t>何静</w:t>
      </w:r>
    </w:p>
    <w:p w14:paraId="7BF69450">
      <w:pPr>
        <w:spacing w:line="400" w:lineRule="exact"/>
        <w:ind w:firstLine="630" w:firstLineChars="30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电　话：</w:t>
      </w:r>
      <w:r>
        <w:rPr>
          <w:rFonts w:hint="eastAsia" w:cs="宋体" w:asciiTheme="minorEastAsia" w:hAnsiTheme="minorEastAsia" w:eastAsiaTheme="minorEastAsia"/>
          <w:color w:val="auto"/>
          <w:szCs w:val="21"/>
          <w:highlight w:val="none"/>
        </w:rPr>
        <w:t xml:space="preserve"> 0771-2023902</w:t>
      </w:r>
    </w:p>
    <w:p w14:paraId="20C83AB0">
      <w:pPr>
        <w:spacing w:line="380" w:lineRule="exact"/>
        <w:jc w:val="left"/>
        <w:rPr>
          <w:rFonts w:cs="Arial" w:asciiTheme="minorEastAsia" w:hAnsiTheme="minorEastAsia" w:eastAsiaTheme="minorEastAsia"/>
          <w:color w:val="auto"/>
          <w:szCs w:val="21"/>
          <w:highlight w:val="none"/>
        </w:rPr>
      </w:pPr>
    </w:p>
    <w:p w14:paraId="44850E10">
      <w:pPr>
        <w:spacing w:line="380" w:lineRule="exact"/>
        <w:jc w:val="left"/>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附件：采购需求</w:t>
      </w:r>
    </w:p>
    <w:p w14:paraId="4744EE06">
      <w:pPr>
        <w:spacing w:line="380" w:lineRule="exact"/>
        <w:jc w:val="right"/>
        <w:rPr>
          <w:rFonts w:cs="Arial" w:asciiTheme="minorEastAsia" w:hAnsiTheme="minorEastAsia" w:eastAsiaTheme="minorEastAsia"/>
          <w:color w:val="auto"/>
          <w:szCs w:val="21"/>
          <w:highlight w:val="none"/>
        </w:rPr>
      </w:pPr>
    </w:p>
    <w:p w14:paraId="0AEA10A7">
      <w:pPr>
        <w:spacing w:line="380" w:lineRule="exact"/>
        <w:jc w:val="right"/>
        <w:rPr>
          <w:rFonts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广西科文招标有限公司</w:t>
      </w:r>
    </w:p>
    <w:p w14:paraId="296D7B15">
      <w:pPr>
        <w:snapToGrid w:val="0"/>
        <w:spacing w:line="380" w:lineRule="exact"/>
        <w:ind w:left="238"/>
        <w:jc w:val="right"/>
        <w:rPr>
          <w:rFonts w:cs="Arial" w:asciiTheme="minorEastAsia" w:hAnsiTheme="minorEastAsia" w:eastAsiaTheme="minorEastAsia"/>
          <w:color w:val="auto"/>
          <w:highlight w:val="none"/>
        </w:rPr>
      </w:pPr>
      <w:r>
        <w:rPr>
          <w:rFonts w:hint="eastAsia" w:cs="Arial" w:asciiTheme="minorEastAsia" w:hAnsiTheme="minorEastAsia" w:eastAsiaTheme="minorEastAsia"/>
          <w:color w:val="auto"/>
          <w:szCs w:val="21"/>
          <w:highlight w:val="none"/>
        </w:rPr>
        <w:t>2025年</w:t>
      </w:r>
      <w:r>
        <w:rPr>
          <w:rFonts w:hint="eastAsia" w:cs="Arial" w:asciiTheme="minorEastAsia" w:hAnsiTheme="minorEastAsia" w:eastAsiaTheme="minorEastAsia"/>
          <w:color w:val="auto"/>
          <w:szCs w:val="21"/>
          <w:highlight w:val="none"/>
          <w:lang w:val="en-US" w:eastAsia="zh-CN"/>
        </w:rPr>
        <w:t>4</w:t>
      </w:r>
      <w:r>
        <w:rPr>
          <w:rFonts w:hint="eastAsia" w:cs="Arial" w:asciiTheme="minorEastAsia" w:hAnsiTheme="minorEastAsia" w:eastAsiaTheme="minorEastAsia"/>
          <w:color w:val="auto"/>
          <w:szCs w:val="21"/>
          <w:highlight w:val="none"/>
        </w:rPr>
        <w:t>月</w:t>
      </w:r>
      <w:r>
        <w:rPr>
          <w:rFonts w:hint="eastAsia" w:cs="Arial" w:asciiTheme="minorEastAsia" w:hAnsiTheme="minorEastAsia" w:eastAsiaTheme="minorEastAsia"/>
          <w:color w:val="auto"/>
          <w:szCs w:val="21"/>
          <w:highlight w:val="none"/>
          <w:lang w:val="en-US" w:eastAsia="zh-CN"/>
        </w:rPr>
        <w:t>3</w:t>
      </w:r>
      <w:r>
        <w:rPr>
          <w:rFonts w:hint="eastAsia" w:cs="Arial" w:asciiTheme="minorEastAsia" w:hAnsiTheme="minorEastAsia" w:eastAsiaTheme="minorEastAsia"/>
          <w:color w:val="auto"/>
          <w:szCs w:val="21"/>
          <w:highlight w:val="none"/>
        </w:rPr>
        <w:t>日</w:t>
      </w:r>
    </w:p>
    <w:bookmarkEnd w:id="5"/>
    <w:p w14:paraId="5298C498">
      <w:pPr>
        <w:pStyle w:val="2"/>
        <w:jc w:val="center"/>
        <w:rPr>
          <w:rFonts w:asciiTheme="minorEastAsia" w:hAnsiTheme="minorEastAsia" w:eastAsiaTheme="minorEastAsia"/>
          <w:color w:val="auto"/>
          <w:highlight w:val="none"/>
        </w:rPr>
      </w:pPr>
      <w:bookmarkStart w:id="34" w:name="_Toc74320801"/>
      <w:bookmarkEnd w:id="34"/>
      <w:r>
        <w:rPr>
          <w:rFonts w:asciiTheme="minorEastAsia" w:hAnsiTheme="minorEastAsia" w:eastAsiaTheme="minorEastAsia"/>
          <w:color w:val="auto"/>
          <w:highlight w:val="none"/>
        </w:rPr>
        <w:br w:type="page"/>
      </w:r>
      <w:r>
        <w:rPr>
          <w:rFonts w:hint="eastAsia" w:asciiTheme="minorEastAsia" w:hAnsiTheme="minorEastAsia" w:eastAsiaTheme="minorEastAsia"/>
          <w:color w:val="auto"/>
          <w:highlight w:val="none"/>
        </w:rPr>
        <w:t>第二章  采购需求</w:t>
      </w:r>
    </w:p>
    <w:p w14:paraId="35B05246">
      <w:pPr>
        <w:spacing w:line="360" w:lineRule="exact"/>
        <w:jc w:val="left"/>
        <w:rPr>
          <w:rFonts w:cs="宋体" w:asciiTheme="minorEastAsia" w:hAnsiTheme="minorEastAsia" w:eastAsiaTheme="minorEastAsia"/>
          <w:color w:val="auto"/>
          <w:szCs w:val="21"/>
          <w:highlight w:val="none"/>
        </w:rPr>
      </w:pPr>
      <w:bookmarkStart w:id="35" w:name="_Toc254970631"/>
      <w:bookmarkStart w:id="36" w:name="_Toc254970490"/>
      <w:r>
        <w:rPr>
          <w:rFonts w:hint="eastAsia" w:cs="宋体" w:asciiTheme="minorEastAsia" w:hAnsiTheme="minorEastAsia" w:eastAsiaTheme="minorEastAsia"/>
          <w:color w:val="auto"/>
          <w:szCs w:val="21"/>
          <w:highlight w:val="none"/>
        </w:rPr>
        <w:t>说明：</w:t>
      </w:r>
    </w:p>
    <w:p w14:paraId="2E32E26B">
      <w:pPr>
        <w:spacing w:line="360" w:lineRule="exact"/>
        <w:ind w:left="-10" w:leftChars="-5" w:right="2" w:rightChars="1" w:firstLine="420" w:firstLineChars="200"/>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1.采购需求中如出现品牌、型号或者生产厂家等均仅起参考作用，不属于指定品牌、型号或者</w:t>
      </w:r>
      <w:r>
        <w:rPr>
          <w:rFonts w:hint="eastAsia" w:cs="宋体" w:asciiTheme="minorEastAsia" w:hAnsiTheme="minorEastAsia" w:eastAsiaTheme="minorEastAsia"/>
          <w:color w:val="auto"/>
          <w:highlight w:val="none"/>
        </w:rPr>
        <w:t>生产厂家的情形，投标人可参照或者选用其他相当的品牌、型号或者生产投标人替代。但投标人的产品实质上应相当于或优于本需求中的技术要求。</w:t>
      </w:r>
    </w:p>
    <w:p w14:paraId="0D4936C9">
      <w:pPr>
        <w:spacing w:line="360" w:lineRule="exact"/>
        <w:ind w:left="-10" w:leftChars="-5" w:right="2" w:rightChars="1"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2.凡在“技术要求”中表述为“标配”或“标准配置”的设备，投标人应在投标设备性能配置清单中将其标配参数详细列明。</w:t>
      </w:r>
    </w:p>
    <w:p w14:paraId="0F943369">
      <w:pPr>
        <w:spacing w:line="360" w:lineRule="exact"/>
        <w:ind w:firstLine="424" w:firstLineChars="202"/>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highlight w:val="none"/>
        </w:rPr>
        <w:t xml:space="preserve">3. </w:t>
      </w:r>
      <w:r>
        <w:rPr>
          <w:rFonts w:hint="eastAsia" w:cs="宋体" w:asciiTheme="minorEastAsia" w:hAnsiTheme="minorEastAsia" w:eastAsiaTheme="minorEastAsia"/>
          <w:color w:val="auto"/>
          <w:szCs w:val="21"/>
          <w:highlight w:val="none"/>
        </w:rPr>
        <w:t>根据《财政部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号）的规定，采购需求中的产品属于节能产品政府采购品目清单内标注“★”的（详见本章后附的节能产品政府采购品目清单），投标人的投标货物必须使用政府强制采购的节能产品，否则投标文件作无效处理。</w:t>
      </w:r>
    </w:p>
    <w:p w14:paraId="7B5384B0">
      <w:pPr>
        <w:spacing w:line="360" w:lineRule="exact"/>
        <w:ind w:firstLine="426" w:firstLineChars="202"/>
        <w:jc w:val="lef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4.“实质性要求”是指招标文件中已经指明不满足则投标无效的条款，或者不能负偏离的条款，或者采购需求中带“▲”的条款；</w:t>
      </w:r>
    </w:p>
    <w:p w14:paraId="2A967678">
      <w:pPr>
        <w:spacing w:line="360" w:lineRule="exact"/>
        <w:ind w:firstLine="424" w:firstLineChars="202"/>
        <w:jc w:val="left"/>
        <w:rPr>
          <w:rStyle w:val="28"/>
          <w:rFonts w:asciiTheme="minorEastAsia" w:hAnsiTheme="minorEastAsia" w:eastAsiaTheme="minorEastAsia"/>
          <w:color w:val="auto"/>
          <w:highlight w:val="none"/>
        </w:rPr>
      </w:pPr>
      <w:r>
        <w:rPr>
          <w:rFonts w:hint="eastAsia" w:cs="宋体" w:asciiTheme="minorEastAsia" w:hAnsiTheme="minorEastAsia" w:eastAsiaTheme="minorEastAsia"/>
          <w:color w:val="auto"/>
          <w:szCs w:val="21"/>
          <w:highlight w:val="none"/>
        </w:rPr>
        <w:t>5.</w:t>
      </w:r>
      <w:bookmarkStart w:id="37" w:name="_Hlk65055179"/>
      <w:r>
        <w:rPr>
          <w:rFonts w:hint="eastAsia" w:cs="宋体" w:asciiTheme="minorEastAsia" w:hAnsiTheme="minorEastAsia" w:eastAsiaTheme="minorEastAsia"/>
          <w:color w:val="auto"/>
          <w:szCs w:val="21"/>
          <w:highlight w:val="none"/>
        </w:rPr>
        <w:t xml:space="preserve"> 如投标人投标产品存在侵犯他人的知识产权或者专利成果行为的，由投标人自行承担相应法律责任</w:t>
      </w:r>
      <w:r>
        <w:rPr>
          <w:rFonts w:hint="eastAsia" w:asciiTheme="minorEastAsia" w:hAnsiTheme="minorEastAsia" w:eastAsiaTheme="minorEastAsia"/>
          <w:color w:val="auto"/>
          <w:highlight w:val="none"/>
        </w:rPr>
        <w:t>。</w:t>
      </w:r>
    </w:p>
    <w:p w14:paraId="5C5928F1">
      <w:pPr>
        <w:spacing w:line="360" w:lineRule="exact"/>
        <w:ind w:firstLine="424" w:firstLineChars="202"/>
        <w:jc w:val="left"/>
        <w:rPr>
          <w:rFonts w:asciiTheme="minorEastAsia" w:hAnsiTheme="minorEastAsia" w:eastAsiaTheme="minorEastAsia"/>
          <w:color w:val="auto"/>
          <w:highlight w:val="none"/>
        </w:rPr>
      </w:pPr>
      <w:r>
        <w:rPr>
          <w:rFonts w:hint="eastAsia" w:cs="宋体" w:asciiTheme="minorEastAsia" w:hAnsiTheme="minorEastAsia" w:eastAsiaTheme="minorEastAsia"/>
          <w:color w:val="auto"/>
          <w:szCs w:val="21"/>
          <w:highlight w:val="none"/>
        </w:rPr>
        <w:t>6.</w:t>
      </w:r>
      <w:r>
        <w:rPr>
          <w:rFonts w:hint="eastAsia" w:asciiTheme="minorEastAsia" w:hAnsiTheme="minorEastAsia" w:eastAsiaTheme="minorEastAsia"/>
          <w:color w:val="auto"/>
          <w:highlight w:val="none"/>
        </w:rPr>
        <w:t>投标人针对各细项所作的投标报价不可超过单项最高限价，否则投标无效。</w:t>
      </w:r>
    </w:p>
    <w:p w14:paraId="69ED96FD">
      <w:pPr>
        <w:spacing w:line="360" w:lineRule="exact"/>
        <w:ind w:firstLine="426" w:firstLineChars="202"/>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7.本项目01分标、02分标、03分标、04分标标的所属行业：工业。</w:t>
      </w:r>
    </w:p>
    <w:p w14:paraId="2CE2CDC7">
      <w:pPr>
        <w:spacing w:line="360" w:lineRule="exact"/>
        <w:ind w:firstLine="426" w:firstLineChars="202"/>
        <w:jc w:val="left"/>
        <w:outlineLvl w:val="1"/>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01分标</w:t>
      </w:r>
      <w:bookmarkEnd w:id="37"/>
      <w:r>
        <w:rPr>
          <w:rFonts w:hint="eastAsia" w:asciiTheme="minorEastAsia" w:hAnsiTheme="minorEastAsia" w:eastAsiaTheme="minorEastAsia"/>
          <w:b/>
          <w:color w:val="auto"/>
          <w:szCs w:val="21"/>
          <w:highlight w:val="none"/>
        </w:rPr>
        <w:t>：</w:t>
      </w:r>
    </w:p>
    <w:p w14:paraId="31069987">
      <w:pPr>
        <w:spacing w:line="360" w:lineRule="exact"/>
        <w:ind w:firstLine="426" w:firstLineChars="202"/>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采购预算：2209000.00元。（各项采购预算单价详见招标公告）</w:t>
      </w:r>
    </w:p>
    <w:bookmarkEnd w:id="35"/>
    <w:bookmarkEnd w:id="36"/>
    <w:tbl>
      <w:tblPr>
        <w:tblStyle w:val="23"/>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14:paraId="45893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14:paraId="4447EB1C">
            <w:pPr>
              <w:spacing w:line="360" w:lineRule="exact"/>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一、采购需求</w:t>
            </w:r>
          </w:p>
        </w:tc>
      </w:tr>
      <w:tr w14:paraId="49F1B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6FD8B0AA">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项号</w:t>
            </w:r>
          </w:p>
        </w:tc>
        <w:tc>
          <w:tcPr>
            <w:tcW w:w="1098" w:type="dxa"/>
            <w:tcBorders>
              <w:top w:val="single" w:color="auto" w:sz="4" w:space="0"/>
              <w:left w:val="single" w:color="auto" w:sz="4" w:space="0"/>
              <w:bottom w:val="single" w:color="auto" w:sz="4" w:space="0"/>
              <w:right w:val="single" w:color="auto" w:sz="4" w:space="0"/>
            </w:tcBorders>
            <w:vAlign w:val="center"/>
          </w:tcPr>
          <w:p w14:paraId="3C640DF6">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14:paraId="2AE2FBDF">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w:t>
            </w:r>
          </w:p>
        </w:tc>
        <w:tc>
          <w:tcPr>
            <w:tcW w:w="7094" w:type="dxa"/>
            <w:tcBorders>
              <w:top w:val="single" w:color="auto" w:sz="4" w:space="0"/>
              <w:left w:val="single" w:color="auto" w:sz="4" w:space="0"/>
              <w:bottom w:val="single" w:color="auto" w:sz="4" w:space="0"/>
              <w:right w:val="single" w:color="auto" w:sz="4" w:space="0"/>
            </w:tcBorders>
            <w:vAlign w:val="center"/>
          </w:tcPr>
          <w:p w14:paraId="32A38743">
            <w:pPr>
              <w:spacing w:line="360" w:lineRule="exact"/>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color w:val="auto"/>
                <w:szCs w:val="21"/>
                <w:highlight w:val="none"/>
              </w:rPr>
              <w:t>技术要求</w:t>
            </w:r>
          </w:p>
        </w:tc>
      </w:tr>
      <w:tr w14:paraId="25E8E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464F956B">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1</w:t>
            </w:r>
          </w:p>
        </w:tc>
        <w:tc>
          <w:tcPr>
            <w:tcW w:w="1098" w:type="dxa"/>
            <w:tcBorders>
              <w:top w:val="single" w:color="auto" w:sz="4" w:space="0"/>
              <w:left w:val="single" w:color="auto" w:sz="4" w:space="0"/>
              <w:bottom w:val="single" w:color="auto" w:sz="4" w:space="0"/>
              <w:right w:val="single" w:color="auto" w:sz="4" w:space="0"/>
            </w:tcBorders>
            <w:vAlign w:val="center"/>
          </w:tcPr>
          <w:p w14:paraId="13CC0169">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4"/>
                <w:highlight w:val="none"/>
              </w:rPr>
              <w:t>全数字化彩色多普勒超声诊断系统</w:t>
            </w:r>
          </w:p>
        </w:tc>
        <w:tc>
          <w:tcPr>
            <w:tcW w:w="614" w:type="dxa"/>
            <w:tcBorders>
              <w:top w:val="single" w:color="auto" w:sz="4" w:space="0"/>
              <w:left w:val="single" w:color="auto" w:sz="4" w:space="0"/>
              <w:bottom w:val="single" w:color="auto" w:sz="4" w:space="0"/>
              <w:right w:val="single" w:color="auto" w:sz="4" w:space="0"/>
            </w:tcBorders>
            <w:vAlign w:val="center"/>
          </w:tcPr>
          <w:p w14:paraId="37D3E863">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1套</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51EFAEC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一、基本要求</w:t>
            </w:r>
          </w:p>
          <w:p w14:paraId="770A0E5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主要用于腹部、泌尿科、小器官、浅表脏器、外周血管，穿刺。具备科研教学、各科系病例诊断、疑难病例会诊，能满足开展新的临床应用需求的超声系统。</w:t>
            </w:r>
          </w:p>
          <w:p w14:paraId="6F7DAB6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二、配置要求</w:t>
            </w:r>
          </w:p>
          <w:p w14:paraId="393C103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 腹部，高频探头加台车</w:t>
            </w:r>
          </w:p>
          <w:p w14:paraId="6EA60A0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三、具体规格及主要技术参数</w:t>
            </w:r>
          </w:p>
          <w:p w14:paraId="110B188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1.全数字化彩色多普勒超声诊断系统主机</w:t>
            </w:r>
          </w:p>
          <w:p w14:paraId="7147FE3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▲2.镁铝合金外壳设计，超轻机身，给用户提供真正的便携体验。</w:t>
            </w:r>
          </w:p>
          <w:p w14:paraId="7DDF882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3.整机重量≤4.5KG.</w:t>
            </w:r>
          </w:p>
          <w:p w14:paraId="73E3921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▲4.≥15寸高分辨率彩色液晶显示器，开合倾斜角度: ≥180°</w:t>
            </w:r>
          </w:p>
          <w:p w14:paraId="3041A2E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5.≥10寸高灵敏触摸式操作屏，支持手势控制.</w:t>
            </w:r>
          </w:p>
          <w:p w14:paraId="45B04F2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6.A/D转换率≥12bit</w:t>
            </w:r>
          </w:p>
          <w:p w14:paraId="638ACCF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7.主机内置≥1个探头接口，可接探头扩展器</w:t>
            </w:r>
          </w:p>
          <w:p w14:paraId="60B2CA7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▲8.双电池系统设计可独立供电，可拔插、置换锂电池，屏幕带电池电量图标显示</w:t>
            </w:r>
          </w:p>
          <w:p w14:paraId="337A11E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▲9.屏幕磁吸合设计，无需机械结构锁定屏幕。合上显示器即可进入待机状态，打开显示器，开机≤30s 关机≤4s</w:t>
            </w:r>
          </w:p>
          <w:p w14:paraId="79D97CF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10.组织自适应成像，</w:t>
            </w:r>
          </w:p>
          <w:p w14:paraId="7C23AFE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11. 自适应多普勒成像</w:t>
            </w:r>
          </w:p>
          <w:p w14:paraId="283D39A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12.自适应空间复合成像支持9条偏转线</w:t>
            </w:r>
          </w:p>
          <w:p w14:paraId="7D74751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13. 斑点噪声抑制成像</w:t>
            </w:r>
          </w:p>
          <w:p w14:paraId="09194E7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14.频率复合成像</w:t>
            </w:r>
          </w:p>
          <w:p w14:paraId="56C4248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15.谐波成像模式</w:t>
            </w:r>
          </w:p>
          <w:p w14:paraId="3BA40F1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16.数字多波束合成</w:t>
            </w:r>
          </w:p>
          <w:p w14:paraId="5844957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17.穿刺增强</w:t>
            </w:r>
          </w:p>
          <w:p w14:paraId="5725FD0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18. 彩色多普勒成像（包括彩色、能量、方向能量多普勒模式）</w:t>
            </w:r>
          </w:p>
          <w:p w14:paraId="2748F86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19. 频谱多普勒成像（包括脉冲多普勒、高脉冲重复频率）</w:t>
            </w:r>
          </w:p>
          <w:p w14:paraId="7639383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20.连续波多普勒成像</w:t>
            </w:r>
          </w:p>
          <w:p w14:paraId="53E59B5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 独立角度偏转</w:t>
            </w:r>
          </w:p>
          <w:p w14:paraId="0AA94B2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22.实时三同步（B+C+D）</w:t>
            </w:r>
          </w:p>
          <w:p w14:paraId="3C63E83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▲23. 解剖M型成像：≥3条取样线或支持用户自行编辑采样线</w:t>
            </w:r>
          </w:p>
          <w:p w14:paraId="67381B2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24.组织多普勒</w:t>
            </w:r>
          </w:p>
          <w:p w14:paraId="53652BB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25.自动IMT测量</w:t>
            </w:r>
          </w:p>
          <w:p w14:paraId="3E40479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26.血管直径自动测量，同时显示血管与导管的直径比</w:t>
            </w:r>
          </w:p>
          <w:p w14:paraId="42295D7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27.宽景成像</w:t>
            </w:r>
          </w:p>
          <w:p w14:paraId="02BD187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28.智能图像扫描技术，可支持一键优化</w:t>
            </w:r>
          </w:p>
          <w:p w14:paraId="1BE0871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 xml:space="preserve">29.智能频谱增强技术  </w:t>
            </w:r>
          </w:p>
          <w:p w14:paraId="00B9B9C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30.支持ECG功能</w:t>
            </w:r>
          </w:p>
          <w:p w14:paraId="4CD4031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四、售后服务</w:t>
            </w:r>
          </w:p>
          <w:p w14:paraId="7702225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1.提供设备安装与培训服务：供货方须指派专业技术人员提供仪器的安装、调试服务，并依据合同约定开展操作培训（包含理论教学及设备实际操作指导）。</w:t>
            </w:r>
          </w:p>
          <w:p w14:paraId="09263AD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2.提供定期技术支持与学术交流</w:t>
            </w:r>
          </w:p>
          <w:p w14:paraId="77E9B66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2.1供货方承诺在设备使用期内，每年安排临床应用专家进行用户回访，提供技术指导及优化建议；</w:t>
            </w:r>
          </w:p>
          <w:p w14:paraId="692C250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2.2供货方应提供参与超声领域学术交流活动（包括但不限于讲座、研讨会）及行业技术进展与临床实践动态等培训服务或学习资源。</w:t>
            </w:r>
          </w:p>
          <w:p w14:paraId="04E3151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3.在设备保修期内，供货方按保修协议提供以下服务：</w:t>
            </w:r>
          </w:p>
          <w:p w14:paraId="5E02815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3.1每年开展不少于1次的预防性维护及现场技术指导；</w:t>
            </w:r>
          </w:p>
          <w:p w14:paraId="6CE8FBD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3.2设备性能检测与系统优化服务。</w:t>
            </w:r>
          </w:p>
          <w:p w14:paraId="669D7BF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4.故障响应与维修保障</w:t>
            </w:r>
          </w:p>
          <w:p w14:paraId="2F87AE2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4.1供货方承诺建立标准化服务响应机制，在接到报修通知后，按服务协议约定时限进行处理：</w:t>
            </w:r>
          </w:p>
          <w:p w14:paraId="514A30E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4.1.1电话技术响应：4小时内提供初步解决方案；</w:t>
            </w:r>
          </w:p>
          <w:p w14:paraId="02DD176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4.1.2现场维修支持：24小时内派遣工程师抵达故障现场；</w:t>
            </w:r>
          </w:p>
          <w:p w14:paraId="71EC6DE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4.2保外服务内容及费用标准，以投标人响应文件承诺及双方签订的服务协议为准。</w:t>
            </w:r>
          </w:p>
        </w:tc>
      </w:tr>
      <w:tr w14:paraId="6971F7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6329B6BB">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2</w:t>
            </w:r>
          </w:p>
        </w:tc>
        <w:tc>
          <w:tcPr>
            <w:tcW w:w="1098" w:type="dxa"/>
            <w:tcBorders>
              <w:top w:val="single" w:color="auto" w:sz="4" w:space="0"/>
              <w:left w:val="single" w:color="auto" w:sz="4" w:space="0"/>
              <w:bottom w:val="single" w:color="auto" w:sz="4" w:space="0"/>
              <w:right w:val="single" w:color="auto" w:sz="4" w:space="0"/>
            </w:tcBorders>
            <w:vAlign w:val="center"/>
          </w:tcPr>
          <w:p w14:paraId="16395AD5">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便携式彩色多普勒超声诊断仪</w:t>
            </w:r>
          </w:p>
        </w:tc>
        <w:tc>
          <w:tcPr>
            <w:tcW w:w="614" w:type="dxa"/>
            <w:tcBorders>
              <w:top w:val="single" w:color="auto" w:sz="4" w:space="0"/>
              <w:left w:val="single" w:color="auto" w:sz="4" w:space="0"/>
              <w:bottom w:val="single" w:color="auto" w:sz="4" w:space="0"/>
              <w:right w:val="single" w:color="auto" w:sz="4" w:space="0"/>
            </w:tcBorders>
            <w:vAlign w:val="center"/>
          </w:tcPr>
          <w:p w14:paraId="195DA667">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1套</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63023D8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一、基本要求</w:t>
            </w:r>
          </w:p>
          <w:p w14:paraId="6542BA4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用于穿刺引导，心肺功能监测及血流动力学评估应用，以及介入操作的可视化引导，血管通路搭建，诊断和治疗引导，临床可应用于血管通路手术、血管通路血栓、狭窄及钙化等并发症监测及维护。还可在超声引导下完成透析导管置入，造内瘘，人工血管置入，PICC置管、锁骨下静脉穿刺等的可视化引导。</w:t>
            </w:r>
          </w:p>
          <w:p w14:paraId="6DA2DE0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二、配置要求</w:t>
            </w:r>
          </w:p>
          <w:p w14:paraId="20D879E7">
            <w:pPr>
              <w:keepLines/>
              <w:widowControl/>
              <w:numPr>
                <w:ilvl w:val="0"/>
                <w:numId w:val="2"/>
              </w:num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主机为轻薄设计的笔记本式彩超，配备可移动台车。超声高速带宽、图像高清血流敏感、为行业先进水平，全身应用性能全面。铝镁合金外壳，防设备干扰。</w:t>
            </w:r>
          </w:p>
          <w:p w14:paraId="5035D73C">
            <w:pPr>
              <w:keepLines/>
              <w:widowControl/>
              <w:numPr>
                <w:ilvl w:val="0"/>
                <w:numId w:val="2"/>
              </w:num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强大的ZST+域光平台，可在紧凑的设计中带来优异的图像质量和高级的成像功能。</w:t>
            </w:r>
          </w:p>
          <w:p w14:paraId="28BEC7F8">
            <w:pPr>
              <w:keepLines/>
              <w:widowControl/>
              <w:numPr>
                <w:ilvl w:val="0"/>
                <w:numId w:val="2"/>
              </w:num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所配软件为最新版本，如心功能评估工具AuTo EF,TDI,组织斑点追踪，穿刺针增强，自由解剖M型等。并且具有升级能力。如组织多普勒定量分析，超声腹部、浅表、心腔心肌造影等。</w:t>
            </w:r>
          </w:p>
          <w:p w14:paraId="13899EB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三、具体规格及技术参数</w:t>
            </w:r>
          </w:p>
          <w:p w14:paraId="533E529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1.主要技术参数:设备用途: 用于穿刺引导，心肺功能监测及血流动力学评估应用，以及介入操作的可视化引导，血管通路搭建，诊断和治疗引导等</w:t>
            </w:r>
          </w:p>
          <w:p w14:paraId="334707A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2.主要技术及系统概述：</w:t>
            </w:r>
          </w:p>
          <w:p w14:paraId="046FD46B">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 技术参数及要求：</w:t>
            </w:r>
          </w:p>
          <w:p w14:paraId="5C6F255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 xml:space="preserve">2.1.1显示器≥15英寸高分辨率LED 显示器，显示器可视角度≥170度 </w:t>
            </w:r>
          </w:p>
          <w:p w14:paraId="38EEF92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▲2.1.2≥12英寸触摸操作屏，按键支持自定义设置，包括移动、增加、删除</w:t>
            </w:r>
          </w:p>
          <w:p w14:paraId="6839A63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2.1.3触控面板操作，防泼溅、防尘、防异物;（非轨迹球操作方式）</w:t>
            </w:r>
          </w:p>
          <w:p w14:paraId="24BD13FB">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2.1.4系统启动时间：≤22秒，从电源启动至检查开始（冷启动）</w:t>
            </w:r>
          </w:p>
          <w:p w14:paraId="51B113B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2.1.5可自定义物理按键≥3个</w:t>
            </w:r>
          </w:p>
          <w:p w14:paraId="3F11A71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2.1.6低平的物理按键，完全密封边缘，以最大限度地控制感染</w:t>
            </w:r>
          </w:p>
          <w:p w14:paraId="7D8BFD5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2.1.7机器内置超声教学助手，可用于辅助医生进行神经阻滞的练习、操作，同时也可用于腹部、心脏及小器官的教学指导</w:t>
            </w:r>
          </w:p>
          <w:p w14:paraId="2DFEAF1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2.1.8所配软件为该机型的最新版本，并且具有升级能力，可选配组织多普勒组件、造影组件、弹性成像组件等高级功能，以注册证信息为准</w:t>
            </w:r>
          </w:p>
          <w:p w14:paraId="0BECD0A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 成像模式</w:t>
            </w:r>
          </w:p>
          <w:p w14:paraId="42B3020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2.2.1二维灰阶模式、组织谐波成像技术</w:t>
            </w:r>
          </w:p>
          <w:p w14:paraId="621777A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2.2.2穿刺针显影增强技术</w:t>
            </w:r>
          </w:p>
          <w:p w14:paraId="3910FF0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2.2.3彩色多普勒模式、能量多普勒模式</w:t>
            </w:r>
          </w:p>
          <w:p w14:paraId="36309AE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2.2.4脉冲多普勒模式（PW）、连续多普勒模式（CW）</w:t>
            </w:r>
          </w:p>
          <w:p w14:paraId="6218C46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2.3穿刺针显影增强技术</w:t>
            </w:r>
          </w:p>
          <w:p w14:paraId="1693E7C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▲2.3.1穿刺针显影增强技术支持凸阵探头、线阵探头</w:t>
            </w:r>
          </w:p>
          <w:p w14:paraId="64B6DBE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2.3.2提供最佳角度提示信息</w:t>
            </w:r>
          </w:p>
          <w:p w14:paraId="78850E2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2.3.3.支持双幅对比显示</w:t>
            </w:r>
          </w:p>
          <w:p w14:paraId="27403A4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  B模式成像</w:t>
            </w:r>
          </w:p>
          <w:p w14:paraId="051C712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2.4.1多角度空间复合成像技术，支持≥3条偏转线，多级可调，支持线阵和凸阵探头</w:t>
            </w:r>
          </w:p>
          <w:p w14:paraId="6D7B8AA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2.4.2斑点噪声抑制成像</w:t>
            </w:r>
          </w:p>
          <w:p w14:paraId="5850B5B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2.4.3回波增强技术，提高心脏图像质量</w:t>
            </w:r>
          </w:p>
          <w:p w14:paraId="1CEDA77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▲2.4.4 锐眼技术，增强局部分辨率</w:t>
            </w:r>
          </w:p>
          <w:p w14:paraId="7AE000C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2.5 彩色多普勒成像（包括彩色、能量、方向能量多普勒模式）</w:t>
            </w:r>
          </w:p>
          <w:p w14:paraId="5E10BB7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2.5.1高分辨率血流成像</w:t>
            </w:r>
          </w:p>
          <w:p w14:paraId="4F50F7C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2.5.2 双实时同屏对比显示</w:t>
            </w:r>
          </w:p>
          <w:p w14:paraId="0103D3B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2.5.3 自动调节取样框的角度及位置</w:t>
            </w:r>
          </w:p>
          <w:p w14:paraId="0455BFAB">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2.6 频谱多普勒成像</w:t>
            </w:r>
          </w:p>
          <w:p w14:paraId="46F75BD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2.6.1 脉冲多普勒、高脉冲重复频率</w:t>
            </w:r>
          </w:p>
          <w:p w14:paraId="1CEECF8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2.6.2 连续多普勒</w:t>
            </w:r>
          </w:p>
          <w:p w14:paraId="51D0649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 测量分析和报告</w:t>
            </w:r>
          </w:p>
          <w:p w14:paraId="627E6B9B">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2.7.1常规测量软件包</w:t>
            </w:r>
          </w:p>
          <w:p w14:paraId="637A4DB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▲2.7.2 自动VTI测量，通过PW取样门在左室流出道区域的自动定位与PW频谱自动计算，实现一键获取VTI。同时还输出LVOT VTI（速度时间积分）、SV（每搏量）、CO（心输出量）、SVV（每搏变异度）等（选配）</w:t>
            </w:r>
          </w:p>
          <w:p w14:paraId="28B4B79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▲2.7.3 自动IVC测量：自动快速获取IVC最大内径、最小内径，CI塌陷指数，DI膨胀指数（选配）</w:t>
            </w:r>
          </w:p>
          <w:p w14:paraId="57A2F8B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▲2.7.4 肺部B线自动测量，支持实时与离线检测，可自动快速获取B线计数、B线间距及B线面积比等参数（选配）</w:t>
            </w:r>
          </w:p>
          <w:p w14:paraId="56107EC1">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2.8 连通性和外部数据管理</w:t>
            </w:r>
          </w:p>
          <w:p w14:paraId="710A271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2.8.1 具备DICOM基础功能，可通过网络将图像传输到DICOM服务器</w:t>
            </w:r>
          </w:p>
          <w:p w14:paraId="53B99EB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2.8.2 USB 3.0端口不少于4个</w:t>
            </w:r>
          </w:p>
          <w:p w14:paraId="6BA527E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2.8.3 以太网端口，内置无线网卡，借助网络，可在机器上一键将动态或静态图像传输至移动应用端群组内；超声设备上具备可自行设置的隐私数据脱敏传输开关，用户可选择传输图像是否包含病人信息</w:t>
            </w:r>
          </w:p>
          <w:p w14:paraId="48B4D27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2.8.4 HDMI、S-Video视频输出接口</w:t>
            </w:r>
          </w:p>
          <w:p w14:paraId="2AA9956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2.9 电源供应</w:t>
            </w:r>
          </w:p>
          <w:p w14:paraId="2B7CF40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2.9.1 系统通过电池或交流电源运行</w:t>
            </w:r>
          </w:p>
          <w:p w14:paraId="46F7526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2.9.2 可充电锂电池，连续使用时间≥90分钟</w:t>
            </w:r>
          </w:p>
          <w:p w14:paraId="75AA75A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2.9.3 可选配大容量电池组，并能够嵌入台车面板中，满足全天8小时扫查</w:t>
            </w:r>
          </w:p>
          <w:p w14:paraId="0FCDB2A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2.10 专用台车，支持液压升降，支持交流供电，可收纳纸巾、检查单等</w:t>
            </w:r>
          </w:p>
          <w:p w14:paraId="6DF8B93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四、配置要求</w:t>
            </w:r>
          </w:p>
          <w:p w14:paraId="40CC72F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4.1主机1台</w:t>
            </w:r>
          </w:p>
          <w:p w14:paraId="50ACCE1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4.2凸阵探头1支</w:t>
            </w:r>
          </w:p>
          <w:p w14:paraId="05B06D9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4.3线阵探头1支，探头具备有远程操控机器按键，按键个数≥2个</w:t>
            </w:r>
          </w:p>
          <w:p w14:paraId="146C035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4.4心脏探头1支</w:t>
            </w:r>
          </w:p>
          <w:p w14:paraId="2318F1D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4.5台车1个，多功能收纳箱，可调整位置</w:t>
            </w:r>
          </w:p>
          <w:p w14:paraId="12EE929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4.6三探头扩展器1个</w:t>
            </w:r>
          </w:p>
          <w:p w14:paraId="67B93E9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四、售后服务</w:t>
            </w:r>
          </w:p>
          <w:p w14:paraId="56DAAA2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1.提供售后服务团队，确保产品5年质保。</w:t>
            </w:r>
          </w:p>
          <w:p w14:paraId="483B12F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2.保修期内设备故障，24小时内上门服务。</w:t>
            </w:r>
          </w:p>
          <w:p w14:paraId="2E1ABE8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3.实施主动服务策略，电话回访客户，安排工程师现场访问，收集反馈。为设备提供诊断、校准、维护和保养服务。</w:t>
            </w:r>
          </w:p>
        </w:tc>
      </w:tr>
      <w:tr w14:paraId="2A5D12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08D1C052">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3</w:t>
            </w:r>
          </w:p>
        </w:tc>
        <w:tc>
          <w:tcPr>
            <w:tcW w:w="1098" w:type="dxa"/>
            <w:tcBorders>
              <w:top w:val="single" w:color="auto" w:sz="4" w:space="0"/>
              <w:left w:val="single" w:color="auto" w:sz="4" w:space="0"/>
              <w:bottom w:val="single" w:color="auto" w:sz="4" w:space="0"/>
              <w:right w:val="single" w:color="auto" w:sz="4" w:space="0"/>
            </w:tcBorders>
            <w:vAlign w:val="center"/>
          </w:tcPr>
          <w:p w14:paraId="5CD99CB9">
            <w:pPr>
              <w:pStyle w:val="20"/>
              <w:spacing w:beforeAutospacing="0" w:afterAutospacing="0" w:line="360" w:lineRule="exact"/>
              <w:jc w:val="both"/>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便携式彩色超声系统</w:t>
            </w:r>
          </w:p>
        </w:tc>
        <w:tc>
          <w:tcPr>
            <w:tcW w:w="614" w:type="dxa"/>
            <w:tcBorders>
              <w:top w:val="single" w:color="auto" w:sz="4" w:space="0"/>
              <w:left w:val="single" w:color="auto" w:sz="4" w:space="0"/>
              <w:bottom w:val="single" w:color="auto" w:sz="4" w:space="0"/>
              <w:right w:val="single" w:color="auto" w:sz="4" w:space="0"/>
            </w:tcBorders>
            <w:vAlign w:val="center"/>
          </w:tcPr>
          <w:p w14:paraId="0F478516">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2套</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21472E6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一、基本要求</w:t>
            </w:r>
          </w:p>
          <w:p w14:paraId="4E1FDE2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1.产品极其小巧轻便，方便移动，无需特定场地和特殊操作人员操作，即可实时获取患者的动态图像。</w:t>
            </w:r>
          </w:p>
          <w:p w14:paraId="7B39AA9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2.主要应用于血管通路手术、血管通路血栓、狭窄及钙化等并发症监测及维护。</w:t>
            </w:r>
          </w:p>
          <w:p w14:paraId="347C286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3.可在超声引导下完成透析导管置入，造内瘘，人工血管置入，PICC置管、锁骨下静脉穿刺等的可视化引导。</w:t>
            </w:r>
          </w:p>
          <w:p w14:paraId="7748EF9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二、配置要求</w:t>
            </w:r>
          </w:p>
          <w:p w14:paraId="6DBB35E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1.主机1台</w:t>
            </w:r>
          </w:p>
          <w:p w14:paraId="506EA4D2">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2.凸阵探头1支</w:t>
            </w:r>
          </w:p>
          <w:p w14:paraId="52BECFC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3.线阵探头1支，探头具有按键功能，可远程操控机器</w:t>
            </w:r>
          </w:p>
          <w:p w14:paraId="06F864C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4.台车1个，多功能收纳箱，可调整位置</w:t>
            </w:r>
          </w:p>
          <w:p w14:paraId="1A901CC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5.心脏探头1支</w:t>
            </w:r>
          </w:p>
          <w:p w14:paraId="22AD30B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三、具体规格及技术参数</w:t>
            </w:r>
          </w:p>
          <w:p w14:paraId="5EE7FA9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主要技术参数:</w:t>
            </w:r>
          </w:p>
          <w:p w14:paraId="51EB97E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1.技术参数及要求：</w:t>
            </w:r>
          </w:p>
          <w:p w14:paraId="3E38466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1.1 主机厚度尺寸≤50mm</w:t>
            </w:r>
          </w:p>
          <w:p w14:paraId="3050552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▲1.2 主机重量≤4kg（含电池）</w:t>
            </w:r>
          </w:p>
          <w:p w14:paraId="3AE5F17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1.3 显示器≥15英寸高分辨率LED 显示器</w:t>
            </w:r>
          </w:p>
          <w:p w14:paraId="740EF67B">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1.4 显示器可视角度≥170度 （左/右）</w:t>
            </w:r>
          </w:p>
          <w:p w14:paraId="6EE2640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1.5系统启动时间：≤22秒，从电源启动至检查开始（冷启动）</w:t>
            </w:r>
          </w:p>
          <w:p w14:paraId="3E9134D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1.6触控面板操作，防泼溅、防尘、防异物;（非轨迹球操作方式）</w:t>
            </w:r>
          </w:p>
          <w:p w14:paraId="4F47F32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▲1.7 ≥12英寸触摸操作屏，按键支持自定义设置，包括移动、增加、删除</w:t>
            </w:r>
          </w:p>
          <w:p w14:paraId="4319965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1.8可自定义物理按键≥3个</w:t>
            </w:r>
          </w:p>
          <w:p w14:paraId="105A666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1.9低平的物理按键，完全密封边缘，以最大限度地控制感染</w:t>
            </w:r>
          </w:p>
          <w:p w14:paraId="2C3E0AE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1.10机器内置超声教学助手，可用于辅助医生进行神经阻滞的练习、操作，同时也可用于腹部、心脏及小器官的教学指导</w:t>
            </w:r>
          </w:p>
          <w:p w14:paraId="0CB7F59B">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2.成像模式</w:t>
            </w:r>
          </w:p>
          <w:p w14:paraId="313EA8B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2.1 二维灰阶模式</w:t>
            </w:r>
          </w:p>
          <w:p w14:paraId="0D2323D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2.2组织谐波成像技术</w:t>
            </w:r>
          </w:p>
          <w:p w14:paraId="6DC934D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2.3穿刺针显影增强技术</w:t>
            </w:r>
          </w:p>
          <w:p w14:paraId="7E99AB9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2.4彩色多普勒模式</w:t>
            </w:r>
          </w:p>
          <w:p w14:paraId="3420348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2.5能量多普勒模式</w:t>
            </w:r>
          </w:p>
          <w:p w14:paraId="70E2673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2.6脉冲多普勒模式（PW）</w:t>
            </w:r>
          </w:p>
          <w:p w14:paraId="7522B2CF">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2.7连续多普勒模式（CW）</w:t>
            </w:r>
          </w:p>
          <w:p w14:paraId="63C51FD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3.穿刺针显影增强技术</w:t>
            </w:r>
          </w:p>
          <w:p w14:paraId="7B873144">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3.1支持凸阵探头、线阵探头</w:t>
            </w:r>
          </w:p>
          <w:p w14:paraId="70E5343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3.2提供最佳角度提示信息</w:t>
            </w:r>
          </w:p>
          <w:p w14:paraId="45295B2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3.3支持双幅对比显示</w:t>
            </w:r>
          </w:p>
          <w:p w14:paraId="27B3EA6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4.B模式成像</w:t>
            </w:r>
          </w:p>
          <w:p w14:paraId="26FEADC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4.1组织谐波成像模式</w:t>
            </w:r>
          </w:p>
          <w:p w14:paraId="1D680C2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4.2组织特异性成像</w:t>
            </w:r>
          </w:p>
          <w:p w14:paraId="2C0A131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4.3多角度空间复合成像技术，支持≥3条偏转线，多级可调，支持线阵和凸阵探头</w:t>
            </w:r>
          </w:p>
          <w:p w14:paraId="7861823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4.4斑点噪声抑制成像</w:t>
            </w:r>
          </w:p>
          <w:p w14:paraId="47DA578A">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4.5回波增强技术，提高心脏图像质量</w:t>
            </w:r>
          </w:p>
          <w:p w14:paraId="66FEACF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4.6锐眼技术，增强局部分辨率</w:t>
            </w:r>
          </w:p>
          <w:p w14:paraId="0EB0A9E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5.彩色多普勒成像（包括彩色、能量、方向能量多普勒模式）</w:t>
            </w:r>
          </w:p>
          <w:p w14:paraId="1CCB294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5.1高分辨率血流成像</w:t>
            </w:r>
          </w:p>
          <w:p w14:paraId="0C8691EC">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5.2双实时同屏对比显示</w:t>
            </w:r>
          </w:p>
          <w:p w14:paraId="6FF6D183">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5.3自动调节取样框的角度及位置</w:t>
            </w:r>
          </w:p>
          <w:p w14:paraId="256DA91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6.频谱多普勒成像</w:t>
            </w:r>
          </w:p>
          <w:p w14:paraId="31C84435">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6.1脉冲多普勒、高脉冲重复频率</w:t>
            </w:r>
          </w:p>
          <w:p w14:paraId="0456E31D">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6.2连续多普勒</w:t>
            </w:r>
          </w:p>
          <w:p w14:paraId="0D3DA2C0">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7.测量分析和报告，常规测量软件包</w:t>
            </w:r>
          </w:p>
          <w:p w14:paraId="5BC53776">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8.连通性和外部数据管理</w:t>
            </w:r>
          </w:p>
          <w:p w14:paraId="1FECF54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8.1 具备DICOM基础功能，可通过网络将图像传输到DICOM服务器</w:t>
            </w:r>
          </w:p>
          <w:p w14:paraId="4E8611A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8.2 USB 3.0端口不小于4个</w:t>
            </w:r>
          </w:p>
          <w:p w14:paraId="5FD115F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▲8.3 以太网端口，内置无线网卡，借助网络，可在机器上一键将动态或静态图像传输至移动应用端群组内；超声设备上具备可自行设置的隐私数据脱敏传输开关，用户可选择传输图像是否包含病人信息</w:t>
            </w:r>
          </w:p>
          <w:p w14:paraId="7F6AF337">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8.4 HDMI、S-Video视频输出接口</w:t>
            </w:r>
          </w:p>
          <w:p w14:paraId="4ECEE36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9.电源供应</w:t>
            </w:r>
          </w:p>
          <w:p w14:paraId="76D21409">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9.1 系统通过电池或交流电源运行</w:t>
            </w:r>
          </w:p>
          <w:p w14:paraId="761C156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9.2 可充电锂电池，连续使用时间≥90分钟</w:t>
            </w:r>
          </w:p>
          <w:p w14:paraId="4C835FEE">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10.专用台车，支持液压升降，支持交流供电，可收纳纸巾、检查单等</w:t>
            </w:r>
          </w:p>
          <w:p w14:paraId="0D41EF68">
            <w:pPr>
              <w:keepLines/>
              <w:widowControl/>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四、售后服务</w:t>
            </w:r>
          </w:p>
          <w:p w14:paraId="15952D8D">
            <w:pPr>
              <w:keepLines/>
              <w:widowControl/>
              <w:tabs>
                <w:tab w:val="right" w:pos="4584"/>
              </w:tabs>
              <w:adjustRightInd w:val="0"/>
              <w:snapToGrid w:val="0"/>
              <w:jc w:val="left"/>
              <w:rPr>
                <w:rFonts w:ascii="宋体" w:hAnsi="宋体" w:cs="宋体"/>
                <w:color w:val="auto"/>
                <w:szCs w:val="21"/>
                <w:highlight w:val="none"/>
              </w:rPr>
            </w:pPr>
            <w:r>
              <w:rPr>
                <w:rFonts w:ascii="宋体" w:hAnsi="宋体" w:cs="宋体"/>
                <w:color w:val="auto"/>
                <w:szCs w:val="21"/>
                <w:highlight w:val="none"/>
              </w:rPr>
              <w:t>1.设备安装与调试：由制造商指定的专业工程师负责现场安装与调试工作。</w:t>
            </w:r>
          </w:p>
          <w:p w14:paraId="3C5D2C18">
            <w:pPr>
              <w:keepLines/>
              <w:widowControl/>
              <w:adjustRightInd w:val="0"/>
              <w:jc w:val="left"/>
              <w:rPr>
                <w:rFonts w:ascii="宋体" w:hAnsi="宋体" w:cs="宋体"/>
                <w:color w:val="auto"/>
                <w:szCs w:val="21"/>
                <w:highlight w:val="none"/>
              </w:rPr>
            </w:pPr>
            <w:r>
              <w:rPr>
                <w:rFonts w:ascii="宋体" w:hAnsi="宋体" w:cs="宋体"/>
                <w:color w:val="auto"/>
                <w:szCs w:val="21"/>
                <w:highlight w:val="none"/>
              </w:rPr>
              <w:t>2.保修期限：为设备主机及探头提供为期</w:t>
            </w:r>
            <w:r>
              <w:rPr>
                <w:rFonts w:hint="eastAsia" w:ascii="宋体" w:hAnsi="宋体" w:cs="宋体"/>
                <w:color w:val="auto"/>
                <w:szCs w:val="21"/>
                <w:highlight w:val="none"/>
              </w:rPr>
              <w:t>不少于</w:t>
            </w:r>
            <w:r>
              <w:rPr>
                <w:rFonts w:ascii="宋体" w:hAnsi="宋体" w:cs="宋体"/>
                <w:color w:val="auto"/>
                <w:szCs w:val="21"/>
                <w:highlight w:val="none"/>
              </w:rPr>
              <w:t>五年的保修服务。</w:t>
            </w:r>
            <w:r>
              <w:rPr>
                <w:rFonts w:hint="eastAsia" w:ascii="宋体" w:hAnsi="宋体" w:cs="宋体"/>
                <w:color w:val="auto"/>
                <w:szCs w:val="21"/>
                <w:highlight w:val="none"/>
              </w:rPr>
              <w:tab/>
            </w:r>
          </w:p>
        </w:tc>
      </w:tr>
      <w:tr w14:paraId="3E1223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0FFDBFBE">
            <w:pPr>
              <w:spacing w:line="360" w:lineRule="exact"/>
              <w:textAlignment w:val="center"/>
              <w:rPr>
                <w:rFonts w:ascii="宋体" w:hAnsi="宋体" w:cs="宋体"/>
                <w:color w:val="auto"/>
                <w:szCs w:val="21"/>
                <w:highlight w:val="none"/>
              </w:rPr>
            </w:pPr>
            <w:r>
              <w:rPr>
                <w:rFonts w:hint="eastAsia" w:ascii="宋体" w:hAnsi="宋体" w:cs="宋体"/>
                <w:color w:val="auto"/>
                <w:szCs w:val="21"/>
                <w:highlight w:val="none"/>
              </w:rPr>
              <w:t>▲二、</w:t>
            </w:r>
            <w:r>
              <w:rPr>
                <w:rFonts w:hint="eastAsia" w:ascii="宋体" w:hAnsi="宋体" w:cs="宋体"/>
                <w:b/>
                <w:color w:val="auto"/>
                <w:szCs w:val="21"/>
                <w:highlight w:val="none"/>
              </w:rPr>
              <w:t>商务要求表</w:t>
            </w:r>
          </w:p>
        </w:tc>
      </w:tr>
      <w:tr w14:paraId="4B0818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53F3432A">
            <w:pPr>
              <w:pStyle w:val="54"/>
              <w:spacing w:before="34" w:line="229" w:lineRule="auto"/>
              <w:ind w:left="117"/>
              <w:rPr>
                <w:color w:val="auto"/>
                <w:sz w:val="21"/>
                <w:szCs w:val="21"/>
                <w:highlight w:val="none"/>
              </w:rPr>
            </w:pPr>
            <w:r>
              <w:rPr>
                <w:rFonts w:hint="eastAsia"/>
                <w:color w:val="auto"/>
                <w:spacing w:val="7"/>
                <w:sz w:val="21"/>
                <w:szCs w:val="21"/>
                <w:highlight w:val="none"/>
              </w:rPr>
              <w:t>合同签订期</w:t>
            </w:r>
          </w:p>
        </w:tc>
        <w:tc>
          <w:tcPr>
            <w:tcW w:w="7708" w:type="dxa"/>
            <w:gridSpan w:val="2"/>
            <w:tcBorders>
              <w:top w:val="single" w:color="auto" w:sz="4" w:space="0"/>
              <w:left w:val="single" w:color="auto" w:sz="4" w:space="0"/>
              <w:bottom w:val="single" w:color="auto" w:sz="4" w:space="0"/>
            </w:tcBorders>
          </w:tcPr>
          <w:p w14:paraId="63A4F411">
            <w:pPr>
              <w:pStyle w:val="54"/>
              <w:spacing w:before="34" w:line="233" w:lineRule="auto"/>
              <w:ind w:left="113" w:right="156" w:firstLine="33"/>
              <w:rPr>
                <w:color w:val="auto"/>
                <w:sz w:val="21"/>
                <w:szCs w:val="21"/>
                <w:highlight w:val="none"/>
              </w:rPr>
            </w:pPr>
            <w:r>
              <w:rPr>
                <w:rFonts w:hint="eastAsia"/>
                <w:color w:val="auto"/>
                <w:spacing w:val="6"/>
                <w:sz w:val="21"/>
                <w:szCs w:val="21"/>
                <w:highlight w:val="none"/>
              </w:rPr>
              <w:t>自中标通知书发出之日起25日历日内(注：中标通知书发出之</w:t>
            </w:r>
            <w:r>
              <w:rPr>
                <w:rFonts w:hint="eastAsia"/>
                <w:color w:val="auto"/>
                <w:spacing w:val="5"/>
                <w:sz w:val="21"/>
                <w:szCs w:val="21"/>
                <w:highlight w:val="none"/>
              </w:rPr>
              <w:t>日起25日内必须签订</w:t>
            </w:r>
            <w:r>
              <w:rPr>
                <w:rFonts w:hint="eastAsia"/>
                <w:color w:val="auto"/>
                <w:spacing w:val="7"/>
                <w:sz w:val="21"/>
                <w:szCs w:val="21"/>
                <w:highlight w:val="none"/>
              </w:rPr>
              <w:t>合同。)</w:t>
            </w:r>
          </w:p>
        </w:tc>
      </w:tr>
      <w:tr w14:paraId="6AE5B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3AFD99D8">
            <w:pPr>
              <w:pStyle w:val="54"/>
              <w:spacing w:before="36" w:line="232" w:lineRule="auto"/>
              <w:ind w:left="120" w:right="170"/>
              <w:rPr>
                <w:color w:val="auto"/>
                <w:sz w:val="21"/>
                <w:szCs w:val="21"/>
                <w:highlight w:val="none"/>
              </w:rPr>
            </w:pPr>
            <w:r>
              <w:rPr>
                <w:rFonts w:hint="eastAsia"/>
                <w:color w:val="auto"/>
                <w:spacing w:val="7"/>
                <w:sz w:val="21"/>
                <w:szCs w:val="21"/>
                <w:highlight w:val="none"/>
              </w:rPr>
              <w:t>交付时间及交</w:t>
            </w:r>
            <w:r>
              <w:rPr>
                <w:rFonts w:hint="eastAsia"/>
                <w:color w:val="auto"/>
                <w:spacing w:val="5"/>
                <w:sz w:val="21"/>
                <w:szCs w:val="21"/>
                <w:highlight w:val="none"/>
              </w:rPr>
              <w:t>货地点</w:t>
            </w:r>
          </w:p>
        </w:tc>
        <w:tc>
          <w:tcPr>
            <w:tcW w:w="7708" w:type="dxa"/>
            <w:gridSpan w:val="2"/>
            <w:tcBorders>
              <w:top w:val="single" w:color="auto" w:sz="4" w:space="0"/>
              <w:left w:val="single" w:color="auto" w:sz="4" w:space="0"/>
              <w:bottom w:val="single" w:color="auto" w:sz="4" w:space="0"/>
            </w:tcBorders>
          </w:tcPr>
          <w:p w14:paraId="2B1A3872">
            <w:pPr>
              <w:pStyle w:val="54"/>
              <w:spacing w:before="34" w:line="228" w:lineRule="auto"/>
              <w:ind w:left="117"/>
              <w:rPr>
                <w:color w:val="auto"/>
                <w:sz w:val="21"/>
                <w:szCs w:val="21"/>
                <w:highlight w:val="none"/>
              </w:rPr>
            </w:pPr>
            <w:r>
              <w:rPr>
                <w:rFonts w:hint="eastAsia"/>
                <w:color w:val="auto"/>
                <w:spacing w:val="7"/>
                <w:sz w:val="21"/>
                <w:szCs w:val="21"/>
                <w:highlight w:val="none"/>
              </w:rPr>
              <w:t>交付时间：自合同签订之日起30天内交货并</w:t>
            </w:r>
            <w:r>
              <w:rPr>
                <w:rFonts w:hint="eastAsia"/>
                <w:color w:val="auto"/>
                <w:spacing w:val="6"/>
                <w:sz w:val="21"/>
                <w:szCs w:val="21"/>
                <w:highlight w:val="none"/>
              </w:rPr>
              <w:t>安装调试合格。</w:t>
            </w:r>
          </w:p>
          <w:p w14:paraId="2A81CB73">
            <w:pPr>
              <w:pStyle w:val="54"/>
              <w:spacing w:before="24" w:line="215" w:lineRule="auto"/>
              <w:ind w:left="117"/>
              <w:rPr>
                <w:color w:val="auto"/>
                <w:sz w:val="21"/>
                <w:szCs w:val="21"/>
                <w:highlight w:val="none"/>
              </w:rPr>
            </w:pPr>
            <w:r>
              <w:rPr>
                <w:rFonts w:hint="eastAsia"/>
                <w:color w:val="auto"/>
                <w:spacing w:val="8"/>
                <w:sz w:val="21"/>
                <w:szCs w:val="21"/>
                <w:highlight w:val="none"/>
              </w:rPr>
              <w:t>交货地点：采购人指定地点</w:t>
            </w:r>
          </w:p>
        </w:tc>
      </w:tr>
      <w:tr w14:paraId="721D4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0A4A8B57">
            <w:pPr>
              <w:spacing w:line="286" w:lineRule="auto"/>
              <w:rPr>
                <w:rFonts w:ascii="宋体" w:hAnsi="宋体" w:cs="宋体"/>
                <w:color w:val="auto"/>
                <w:szCs w:val="21"/>
                <w:highlight w:val="none"/>
              </w:rPr>
            </w:pPr>
          </w:p>
          <w:p w14:paraId="5F8036FA">
            <w:pPr>
              <w:spacing w:line="287" w:lineRule="auto"/>
              <w:rPr>
                <w:rFonts w:ascii="宋体" w:hAnsi="宋体" w:cs="宋体"/>
                <w:color w:val="auto"/>
                <w:szCs w:val="21"/>
                <w:highlight w:val="none"/>
              </w:rPr>
            </w:pPr>
          </w:p>
          <w:p w14:paraId="70EACF35">
            <w:pPr>
              <w:spacing w:line="287" w:lineRule="auto"/>
              <w:rPr>
                <w:rFonts w:ascii="宋体" w:hAnsi="宋体" w:cs="宋体"/>
                <w:color w:val="auto"/>
                <w:szCs w:val="21"/>
                <w:highlight w:val="none"/>
              </w:rPr>
            </w:pPr>
          </w:p>
          <w:p w14:paraId="097B0376">
            <w:pPr>
              <w:pStyle w:val="54"/>
              <w:spacing w:before="65" w:line="229" w:lineRule="auto"/>
              <w:ind w:left="117"/>
              <w:rPr>
                <w:color w:val="auto"/>
                <w:sz w:val="21"/>
                <w:szCs w:val="21"/>
                <w:highlight w:val="none"/>
              </w:rPr>
            </w:pPr>
            <w:r>
              <w:rPr>
                <w:rFonts w:hint="eastAsia"/>
                <w:color w:val="auto"/>
                <w:spacing w:val="6"/>
                <w:sz w:val="21"/>
                <w:szCs w:val="21"/>
                <w:highlight w:val="none"/>
              </w:rPr>
              <w:t>质保期</w:t>
            </w:r>
          </w:p>
        </w:tc>
        <w:tc>
          <w:tcPr>
            <w:tcW w:w="7708" w:type="dxa"/>
            <w:gridSpan w:val="2"/>
            <w:tcBorders>
              <w:top w:val="single" w:color="auto" w:sz="4" w:space="0"/>
              <w:left w:val="single" w:color="auto" w:sz="4" w:space="0"/>
              <w:bottom w:val="single" w:color="auto" w:sz="4" w:space="0"/>
            </w:tcBorders>
          </w:tcPr>
          <w:p w14:paraId="3DECDC71">
            <w:pPr>
              <w:pStyle w:val="54"/>
              <w:spacing w:before="34" w:line="247" w:lineRule="auto"/>
              <w:ind w:left="112" w:right="153" w:firstLine="15"/>
              <w:rPr>
                <w:color w:val="auto"/>
                <w:sz w:val="21"/>
                <w:szCs w:val="21"/>
                <w:highlight w:val="none"/>
              </w:rPr>
            </w:pPr>
            <w:r>
              <w:rPr>
                <w:rFonts w:hint="eastAsia"/>
                <w:color w:val="auto"/>
                <w:spacing w:val="8"/>
                <w:sz w:val="21"/>
                <w:szCs w:val="21"/>
                <w:highlight w:val="none"/>
              </w:rPr>
              <w:t>1.所有投标设备必须是具备厂商合法渠道的全新产品，按国家有关产品“三包”规定</w:t>
            </w:r>
            <w:r>
              <w:rPr>
                <w:rFonts w:hint="eastAsia"/>
                <w:color w:val="auto"/>
                <w:spacing w:val="7"/>
                <w:sz w:val="21"/>
                <w:szCs w:val="21"/>
                <w:highlight w:val="none"/>
              </w:rPr>
              <w:t>执行“三包”，自交货安装并验收合格之日起，所有货物提供至少</w:t>
            </w:r>
            <w:r>
              <w:rPr>
                <w:rFonts w:hint="eastAsia"/>
                <w:color w:val="auto"/>
                <w:spacing w:val="7"/>
                <w:sz w:val="21"/>
                <w:szCs w:val="21"/>
                <w:highlight w:val="none"/>
                <w:lang w:eastAsia="zh-CN"/>
              </w:rPr>
              <w:t>5</w:t>
            </w:r>
            <w:r>
              <w:rPr>
                <w:rFonts w:hint="eastAsia"/>
                <w:color w:val="auto"/>
                <w:spacing w:val="7"/>
                <w:sz w:val="21"/>
                <w:szCs w:val="21"/>
                <w:highlight w:val="none"/>
              </w:rPr>
              <w:t>年的免费质保(</w:t>
            </w:r>
            <w:r>
              <w:rPr>
                <w:rFonts w:hint="eastAsia"/>
                <w:color w:val="auto"/>
                <w:spacing w:val="10"/>
                <w:sz w:val="21"/>
                <w:szCs w:val="21"/>
                <w:highlight w:val="none"/>
              </w:rPr>
              <w:t>若生产厂商免费质保期超过此年限的，按生产厂商规</w:t>
            </w:r>
            <w:r>
              <w:rPr>
                <w:rFonts w:hint="eastAsia"/>
                <w:color w:val="auto"/>
                <w:spacing w:val="9"/>
                <w:sz w:val="21"/>
                <w:szCs w:val="21"/>
                <w:highlight w:val="none"/>
              </w:rPr>
              <w:t>定执行)及免费维修服务，质保期</w:t>
            </w:r>
            <w:r>
              <w:rPr>
                <w:rFonts w:hint="eastAsia"/>
                <w:color w:val="auto"/>
                <w:spacing w:val="10"/>
                <w:sz w:val="21"/>
                <w:szCs w:val="21"/>
                <w:highlight w:val="none"/>
              </w:rPr>
              <w:t>内，中标人将负责处理并解决故障，并免费更换有故障的零</w:t>
            </w:r>
            <w:r>
              <w:rPr>
                <w:rFonts w:hint="eastAsia"/>
                <w:color w:val="auto"/>
                <w:spacing w:val="9"/>
                <w:sz w:val="21"/>
                <w:szCs w:val="21"/>
                <w:highlight w:val="none"/>
              </w:rPr>
              <w:t>、部件，一切费用由中标人负责。终身提供维修服务，质保期外维修只收材料成本费。</w:t>
            </w:r>
          </w:p>
          <w:p w14:paraId="3E5EF688">
            <w:pPr>
              <w:pStyle w:val="54"/>
              <w:spacing w:before="24"/>
              <w:ind w:left="136" w:right="152" w:hanging="21"/>
              <w:rPr>
                <w:color w:val="auto"/>
                <w:sz w:val="21"/>
                <w:szCs w:val="21"/>
                <w:highlight w:val="none"/>
              </w:rPr>
            </w:pPr>
            <w:r>
              <w:rPr>
                <w:rFonts w:hint="eastAsia"/>
                <w:color w:val="auto"/>
                <w:spacing w:val="9"/>
                <w:sz w:val="21"/>
                <w:szCs w:val="21"/>
                <w:highlight w:val="none"/>
              </w:rPr>
              <w:t>2.质保内容:质保整机(整台、整套)，质保期内保证设备的合法性使用，国家强制检测由中标人负责，保质期内的质量责任由中标人承担；质保期内保证所保设备全年工作日的开机率至少达到95%，</w:t>
            </w:r>
            <w:r>
              <w:rPr>
                <w:rFonts w:hint="eastAsia"/>
                <w:color w:val="auto"/>
                <w:spacing w:val="9"/>
                <w:sz w:val="21"/>
                <w:szCs w:val="21"/>
                <w:highlight w:val="none"/>
                <w:lang w:eastAsia="zh-CN"/>
              </w:rPr>
              <w:t>全年工作日按照365天计算</w:t>
            </w:r>
            <w:r>
              <w:rPr>
                <w:rFonts w:hint="eastAsia"/>
                <w:color w:val="auto"/>
                <w:spacing w:val="9"/>
                <w:sz w:val="21"/>
                <w:szCs w:val="21"/>
                <w:highlight w:val="none"/>
              </w:rPr>
              <w:t>，未达到的天数，按1:2比例顺延服务期时间。</w:t>
            </w:r>
          </w:p>
        </w:tc>
      </w:tr>
      <w:tr w14:paraId="3D0D7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70948099">
            <w:pPr>
              <w:rPr>
                <w:rFonts w:ascii="宋体" w:hAnsi="宋体" w:cs="宋体"/>
                <w:color w:val="auto"/>
                <w:szCs w:val="21"/>
                <w:highlight w:val="none"/>
              </w:rPr>
            </w:pPr>
          </w:p>
          <w:p w14:paraId="618EFA40">
            <w:pPr>
              <w:rPr>
                <w:rFonts w:ascii="宋体" w:hAnsi="宋体" w:cs="宋体"/>
                <w:color w:val="auto"/>
                <w:szCs w:val="21"/>
                <w:highlight w:val="none"/>
              </w:rPr>
            </w:pPr>
          </w:p>
          <w:p w14:paraId="13C9EFBF">
            <w:pPr>
              <w:rPr>
                <w:rFonts w:ascii="宋体" w:hAnsi="宋体" w:cs="宋体"/>
                <w:color w:val="auto"/>
                <w:szCs w:val="21"/>
                <w:highlight w:val="none"/>
              </w:rPr>
            </w:pPr>
          </w:p>
          <w:p w14:paraId="68DC7727">
            <w:pPr>
              <w:spacing w:line="241" w:lineRule="auto"/>
              <w:rPr>
                <w:rFonts w:ascii="宋体" w:hAnsi="宋体" w:cs="宋体"/>
                <w:color w:val="auto"/>
                <w:szCs w:val="21"/>
                <w:highlight w:val="none"/>
              </w:rPr>
            </w:pPr>
          </w:p>
          <w:p w14:paraId="6A87DECD">
            <w:pPr>
              <w:spacing w:line="241" w:lineRule="auto"/>
              <w:rPr>
                <w:rFonts w:ascii="宋体" w:hAnsi="宋体" w:cs="宋体"/>
                <w:color w:val="auto"/>
                <w:szCs w:val="21"/>
                <w:highlight w:val="none"/>
              </w:rPr>
            </w:pPr>
          </w:p>
          <w:p w14:paraId="44071BFB">
            <w:pPr>
              <w:spacing w:line="241" w:lineRule="auto"/>
              <w:rPr>
                <w:rFonts w:ascii="宋体" w:hAnsi="宋体" w:cs="宋体"/>
                <w:color w:val="auto"/>
                <w:szCs w:val="21"/>
                <w:highlight w:val="none"/>
              </w:rPr>
            </w:pPr>
          </w:p>
          <w:p w14:paraId="0396DDF3">
            <w:pPr>
              <w:spacing w:line="241" w:lineRule="auto"/>
              <w:rPr>
                <w:rFonts w:ascii="宋体" w:hAnsi="宋体" w:cs="宋体"/>
                <w:color w:val="auto"/>
                <w:szCs w:val="21"/>
                <w:highlight w:val="none"/>
              </w:rPr>
            </w:pPr>
          </w:p>
          <w:p w14:paraId="773AE9F3">
            <w:pPr>
              <w:spacing w:line="241" w:lineRule="auto"/>
              <w:rPr>
                <w:rFonts w:ascii="宋体" w:hAnsi="宋体" w:cs="宋体"/>
                <w:color w:val="auto"/>
                <w:szCs w:val="21"/>
                <w:highlight w:val="none"/>
              </w:rPr>
            </w:pPr>
          </w:p>
          <w:p w14:paraId="059B9D27">
            <w:pPr>
              <w:spacing w:line="241" w:lineRule="auto"/>
              <w:rPr>
                <w:rFonts w:ascii="宋体" w:hAnsi="宋体" w:cs="宋体"/>
                <w:color w:val="auto"/>
                <w:szCs w:val="21"/>
                <w:highlight w:val="none"/>
              </w:rPr>
            </w:pPr>
          </w:p>
          <w:p w14:paraId="3C5A7470">
            <w:pPr>
              <w:spacing w:line="241" w:lineRule="auto"/>
              <w:rPr>
                <w:rFonts w:ascii="宋体" w:hAnsi="宋体" w:cs="宋体"/>
                <w:color w:val="auto"/>
                <w:szCs w:val="21"/>
                <w:highlight w:val="none"/>
              </w:rPr>
            </w:pPr>
          </w:p>
          <w:p w14:paraId="7AD2176E">
            <w:pPr>
              <w:pStyle w:val="54"/>
              <w:spacing w:before="65"/>
              <w:ind w:left="115" w:right="171"/>
              <w:rPr>
                <w:color w:val="auto"/>
                <w:sz w:val="21"/>
                <w:szCs w:val="21"/>
                <w:highlight w:val="none"/>
              </w:rPr>
            </w:pPr>
            <w:r>
              <w:rPr>
                <w:rFonts w:hint="eastAsia"/>
                <w:color w:val="auto"/>
                <w:spacing w:val="8"/>
                <w:sz w:val="21"/>
                <w:szCs w:val="21"/>
                <w:highlight w:val="none"/>
              </w:rPr>
              <w:t>售后服务要求及培训要求</w:t>
            </w:r>
          </w:p>
        </w:tc>
        <w:tc>
          <w:tcPr>
            <w:tcW w:w="7708" w:type="dxa"/>
            <w:gridSpan w:val="2"/>
            <w:tcBorders>
              <w:top w:val="single" w:color="auto" w:sz="4" w:space="0"/>
              <w:left w:val="single" w:color="auto" w:sz="4" w:space="0"/>
              <w:bottom w:val="single" w:color="auto" w:sz="4" w:space="0"/>
            </w:tcBorders>
          </w:tcPr>
          <w:p w14:paraId="79F7A1FA">
            <w:pPr>
              <w:pStyle w:val="54"/>
              <w:spacing w:before="37" w:line="239" w:lineRule="auto"/>
              <w:ind w:left="111" w:right="261" w:firstLine="15"/>
              <w:rPr>
                <w:color w:val="auto"/>
                <w:sz w:val="21"/>
                <w:szCs w:val="21"/>
                <w:highlight w:val="none"/>
              </w:rPr>
            </w:pPr>
            <w:r>
              <w:rPr>
                <w:rFonts w:hint="eastAsia"/>
                <w:color w:val="auto"/>
                <w:spacing w:val="9"/>
                <w:sz w:val="21"/>
                <w:szCs w:val="21"/>
                <w:highlight w:val="none"/>
              </w:rPr>
              <w:t>1.</w:t>
            </w:r>
            <w:r>
              <w:rPr>
                <w:rFonts w:hint="eastAsia"/>
                <w:color w:val="auto"/>
                <w:spacing w:val="9"/>
                <w:sz w:val="21"/>
                <w:szCs w:val="21"/>
                <w:highlight w:val="none"/>
                <w:lang w:eastAsia="zh-CN"/>
              </w:rPr>
              <w:t>供应商负责货物运输、保险及卸货至采购人指定地点，提供上门安装调试服务，且不得额外收取运输、安装、调试等任何费用。采购人需要设备开放数据端口接入业务系统时</w:t>
            </w:r>
            <w:r>
              <w:rPr>
                <w:rFonts w:hint="eastAsia"/>
                <w:color w:val="auto"/>
                <w:spacing w:val="9"/>
                <w:sz w:val="21"/>
                <w:szCs w:val="21"/>
                <w:highlight w:val="none"/>
              </w:rPr>
              <w:t>，中标供</w:t>
            </w:r>
            <w:r>
              <w:rPr>
                <w:rFonts w:hint="eastAsia"/>
                <w:color w:val="auto"/>
                <w:spacing w:val="8"/>
                <w:sz w:val="21"/>
                <w:szCs w:val="21"/>
                <w:highlight w:val="none"/>
              </w:rPr>
              <w:t>应商无条件配合并承担相应接口费用。</w:t>
            </w:r>
          </w:p>
          <w:p w14:paraId="31C7C7C6">
            <w:pPr>
              <w:pStyle w:val="54"/>
              <w:spacing w:before="24"/>
              <w:ind w:left="114" w:right="259"/>
              <w:rPr>
                <w:color w:val="auto"/>
                <w:sz w:val="21"/>
                <w:szCs w:val="21"/>
                <w:highlight w:val="none"/>
              </w:rPr>
            </w:pPr>
            <w:r>
              <w:rPr>
                <w:rFonts w:hint="eastAsia"/>
                <w:color w:val="auto"/>
                <w:spacing w:val="11"/>
                <w:sz w:val="21"/>
                <w:szCs w:val="21"/>
                <w:highlight w:val="none"/>
              </w:rPr>
              <w:t>2.如医院有需求，中标公司负责向该产品接入医院的</w:t>
            </w:r>
            <w:r>
              <w:rPr>
                <w:rFonts w:hint="eastAsia"/>
                <w:color w:val="auto"/>
                <w:sz w:val="21"/>
                <w:szCs w:val="21"/>
                <w:highlight w:val="none"/>
              </w:rPr>
              <w:t>HIS</w:t>
            </w:r>
            <w:r>
              <w:rPr>
                <w:rFonts w:hint="eastAsia"/>
                <w:color w:val="auto"/>
                <w:spacing w:val="11"/>
                <w:sz w:val="21"/>
                <w:szCs w:val="21"/>
                <w:highlight w:val="none"/>
              </w:rPr>
              <w:t>系统，</w:t>
            </w:r>
            <w:r>
              <w:rPr>
                <w:rFonts w:hint="eastAsia"/>
                <w:color w:val="auto"/>
                <w:sz w:val="21"/>
                <w:szCs w:val="21"/>
                <w:highlight w:val="none"/>
              </w:rPr>
              <w:t>LIS</w:t>
            </w:r>
            <w:r>
              <w:rPr>
                <w:rFonts w:hint="eastAsia"/>
                <w:color w:val="auto"/>
                <w:spacing w:val="10"/>
                <w:sz w:val="21"/>
                <w:szCs w:val="21"/>
                <w:highlight w:val="none"/>
              </w:rPr>
              <w:t>系统，</w:t>
            </w:r>
            <w:r>
              <w:rPr>
                <w:rFonts w:hint="eastAsia"/>
                <w:color w:val="auto"/>
                <w:sz w:val="21"/>
                <w:szCs w:val="21"/>
                <w:highlight w:val="none"/>
              </w:rPr>
              <w:t>PASS</w:t>
            </w:r>
            <w:r>
              <w:rPr>
                <w:rFonts w:hint="eastAsia"/>
                <w:color w:val="auto"/>
                <w:spacing w:val="10"/>
                <w:sz w:val="21"/>
                <w:szCs w:val="21"/>
                <w:highlight w:val="none"/>
              </w:rPr>
              <w:t>系统的</w:t>
            </w:r>
            <w:r>
              <w:rPr>
                <w:rFonts w:hint="eastAsia"/>
                <w:color w:val="auto"/>
                <w:spacing w:val="8"/>
                <w:sz w:val="21"/>
                <w:szCs w:val="21"/>
                <w:highlight w:val="none"/>
              </w:rPr>
              <w:t>厂家支付接口技术服务费。单向费用8000元/台，双向费用1600</w:t>
            </w:r>
            <w:r>
              <w:rPr>
                <w:rFonts w:hint="eastAsia"/>
                <w:color w:val="auto"/>
                <w:spacing w:val="7"/>
                <w:sz w:val="21"/>
                <w:szCs w:val="21"/>
                <w:highlight w:val="none"/>
              </w:rPr>
              <w:t>0元/台。</w:t>
            </w:r>
          </w:p>
          <w:p w14:paraId="78024525">
            <w:pPr>
              <w:pStyle w:val="54"/>
              <w:spacing w:before="22" w:line="245" w:lineRule="auto"/>
              <w:ind w:left="111" w:right="156" w:firstLine="4"/>
              <w:rPr>
                <w:color w:val="auto"/>
                <w:sz w:val="21"/>
                <w:szCs w:val="21"/>
                <w:highlight w:val="none"/>
              </w:rPr>
            </w:pPr>
            <w:r>
              <w:rPr>
                <w:rFonts w:hint="eastAsia"/>
                <w:color w:val="auto"/>
                <w:spacing w:val="9"/>
                <w:sz w:val="21"/>
                <w:szCs w:val="21"/>
                <w:highlight w:val="none"/>
              </w:rPr>
              <w:t>3.维修响应:</w:t>
            </w:r>
            <w:r>
              <w:rPr>
                <w:color w:val="auto"/>
                <w:spacing w:val="9"/>
                <w:sz w:val="21"/>
                <w:szCs w:val="21"/>
                <w:highlight w:val="none"/>
              </w:rPr>
              <w:t>在设备整个使用期内，投标人应确保设备的正常使用，</w:t>
            </w:r>
            <w:r>
              <w:rPr>
                <w:rFonts w:hint="eastAsia"/>
                <w:color w:val="auto"/>
                <w:spacing w:val="9"/>
                <w:sz w:val="21"/>
                <w:szCs w:val="21"/>
                <w:highlight w:val="none"/>
              </w:rPr>
              <w:t>在接到用户维修要 求后应2小时内作出回应</w:t>
            </w:r>
            <w:r>
              <w:rPr>
                <w:color w:val="auto"/>
                <w:spacing w:val="8"/>
                <w:sz w:val="21"/>
                <w:szCs w:val="21"/>
                <w:highlight w:val="none"/>
              </w:rPr>
              <w:t>，在接到报修通知后12小时内派技术员到达现场维修(</w:t>
            </w:r>
            <w:r>
              <w:rPr>
                <w:rFonts w:hint="eastAsia"/>
                <w:color w:val="auto"/>
                <w:spacing w:val="8"/>
                <w:sz w:val="21"/>
                <w:szCs w:val="21"/>
                <w:highlight w:val="none"/>
                <w:lang w:val="en-US" w:eastAsia="zh-CN"/>
              </w:rPr>
              <w:t>单个设备有特殊要求的或</w:t>
            </w:r>
            <w:r>
              <w:rPr>
                <w:color w:val="auto"/>
                <w:spacing w:val="8"/>
                <w:sz w:val="21"/>
                <w:szCs w:val="21"/>
                <w:highlight w:val="none"/>
              </w:rPr>
              <w:t>不可</w:t>
            </w:r>
            <w:r>
              <w:rPr>
                <w:color w:val="auto"/>
                <w:spacing w:val="9"/>
                <w:sz w:val="21"/>
                <w:szCs w:val="21"/>
                <w:highlight w:val="none"/>
              </w:rPr>
              <w:t>抗力</w:t>
            </w:r>
            <w:r>
              <w:rPr>
                <w:rFonts w:hint="eastAsia"/>
                <w:color w:val="auto"/>
                <w:spacing w:val="9"/>
                <w:sz w:val="21"/>
                <w:szCs w:val="21"/>
                <w:highlight w:val="none"/>
                <w:lang w:val="en-US" w:eastAsia="zh-CN"/>
              </w:rPr>
              <w:t>情形</w:t>
            </w:r>
            <w:r>
              <w:rPr>
                <w:color w:val="auto"/>
                <w:spacing w:val="9"/>
                <w:sz w:val="21"/>
                <w:szCs w:val="21"/>
                <w:highlight w:val="none"/>
              </w:rPr>
              <w:t>除外)，一般故障不超过12小时排除，重大故障</w:t>
            </w:r>
            <w:r>
              <w:rPr>
                <w:color w:val="auto"/>
                <w:spacing w:val="8"/>
                <w:sz w:val="21"/>
                <w:szCs w:val="21"/>
                <w:highlight w:val="none"/>
              </w:rPr>
              <w:t>不超过24个小时排除，特殊</w:t>
            </w:r>
            <w:r>
              <w:rPr>
                <w:color w:val="auto"/>
                <w:spacing w:val="10"/>
                <w:sz w:val="21"/>
                <w:szCs w:val="21"/>
                <w:highlight w:val="none"/>
              </w:rPr>
              <w:t>情况无法修复的，质保期内中标供应商应无条件更换新设备或提</w:t>
            </w:r>
            <w:r>
              <w:rPr>
                <w:color w:val="auto"/>
                <w:spacing w:val="9"/>
                <w:sz w:val="21"/>
                <w:szCs w:val="21"/>
                <w:highlight w:val="none"/>
              </w:rPr>
              <w:t>供代用设备；或采取</w:t>
            </w:r>
            <w:r>
              <w:rPr>
                <w:color w:val="auto"/>
                <w:spacing w:val="8"/>
                <w:sz w:val="21"/>
                <w:szCs w:val="21"/>
                <w:highlight w:val="none"/>
              </w:rPr>
              <w:t>使设备可正常运转的措施</w:t>
            </w:r>
            <w:r>
              <w:rPr>
                <w:rFonts w:hint="eastAsia"/>
                <w:color w:val="auto"/>
                <w:spacing w:val="8"/>
                <w:sz w:val="21"/>
                <w:szCs w:val="21"/>
                <w:highlight w:val="none"/>
              </w:rPr>
              <w:t>。投标人应提供7*24通过远程、上门服务、电话、E-</w:t>
            </w:r>
            <w:r>
              <w:rPr>
                <w:rFonts w:hint="eastAsia"/>
                <w:color w:val="auto"/>
                <w:sz w:val="21"/>
                <w:szCs w:val="21"/>
                <w:highlight w:val="none"/>
              </w:rPr>
              <w:t>mail</w:t>
            </w:r>
            <w:r>
              <w:rPr>
                <w:rFonts w:hint="eastAsia"/>
                <w:color w:val="auto"/>
                <w:spacing w:val="10"/>
                <w:sz w:val="21"/>
                <w:szCs w:val="21"/>
                <w:highlight w:val="none"/>
              </w:rPr>
              <w:t>等方式为用户提供终身完善的售前和售后技术咨询服务。</w:t>
            </w:r>
            <w:r>
              <w:rPr>
                <w:rFonts w:hint="eastAsia"/>
                <w:color w:val="auto"/>
                <w:spacing w:val="9"/>
                <w:sz w:val="21"/>
                <w:szCs w:val="21"/>
                <w:highlight w:val="none"/>
              </w:rPr>
              <w:t>质保期内定期对设备进行免费保养和维护，每季度不少于1次定期回访及对系统进行维护。提供终身有偿维护和</w:t>
            </w:r>
            <w:r>
              <w:rPr>
                <w:rFonts w:hint="eastAsia"/>
                <w:color w:val="auto"/>
                <w:spacing w:val="10"/>
                <w:sz w:val="21"/>
                <w:szCs w:val="21"/>
                <w:highlight w:val="none"/>
              </w:rPr>
              <w:t>保养服务。投标人必须设有针对本项目的售后服务点，保</w:t>
            </w:r>
            <w:r>
              <w:rPr>
                <w:rFonts w:hint="eastAsia"/>
                <w:color w:val="auto"/>
                <w:spacing w:val="9"/>
                <w:sz w:val="21"/>
                <w:szCs w:val="21"/>
                <w:highlight w:val="none"/>
              </w:rPr>
              <w:t>证长期良好的售后服务，并列出售后服务点的详细地址、联系电话及技术服务人员。</w:t>
            </w:r>
          </w:p>
          <w:p w14:paraId="01BC7A52">
            <w:pPr>
              <w:pStyle w:val="54"/>
              <w:spacing w:before="26" w:line="244" w:lineRule="auto"/>
              <w:ind w:left="112" w:right="258" w:hanging="1"/>
              <w:rPr>
                <w:color w:val="auto"/>
                <w:sz w:val="21"/>
                <w:szCs w:val="21"/>
                <w:highlight w:val="none"/>
              </w:rPr>
            </w:pPr>
            <w:r>
              <w:rPr>
                <w:rFonts w:hint="eastAsia"/>
                <w:color w:val="auto"/>
                <w:spacing w:val="7"/>
                <w:sz w:val="21"/>
                <w:szCs w:val="21"/>
                <w:highlight w:val="none"/>
              </w:rPr>
              <w:t>4.保修期要求为至少</w:t>
            </w:r>
            <w:r>
              <w:rPr>
                <w:rFonts w:hint="eastAsia"/>
                <w:color w:val="auto"/>
                <w:spacing w:val="7"/>
                <w:sz w:val="21"/>
                <w:szCs w:val="21"/>
                <w:highlight w:val="none"/>
                <w:lang w:eastAsia="zh-CN"/>
              </w:rPr>
              <w:t>5</w:t>
            </w:r>
            <w:r>
              <w:rPr>
                <w:rFonts w:hint="eastAsia"/>
                <w:color w:val="auto"/>
                <w:spacing w:val="7"/>
                <w:sz w:val="21"/>
                <w:szCs w:val="21"/>
                <w:highlight w:val="none"/>
              </w:rPr>
              <w:t>年，生产厂商有承诺的按生产厂商承诺执行(但不低于</w:t>
            </w:r>
            <w:r>
              <w:rPr>
                <w:rFonts w:hint="eastAsia"/>
                <w:color w:val="auto"/>
                <w:spacing w:val="7"/>
                <w:sz w:val="21"/>
                <w:szCs w:val="21"/>
                <w:highlight w:val="none"/>
                <w:lang w:eastAsia="zh-CN"/>
              </w:rPr>
              <w:t>5</w:t>
            </w:r>
            <w:r>
              <w:rPr>
                <w:rFonts w:hint="eastAsia"/>
                <w:color w:val="auto"/>
                <w:spacing w:val="7"/>
                <w:sz w:val="21"/>
                <w:szCs w:val="21"/>
                <w:highlight w:val="none"/>
              </w:rPr>
              <w:t>年,</w:t>
            </w:r>
            <w:r>
              <w:rPr>
                <w:rFonts w:hint="eastAsia"/>
                <w:color w:val="auto"/>
                <w:spacing w:val="10"/>
                <w:sz w:val="21"/>
                <w:szCs w:val="21"/>
                <w:highlight w:val="none"/>
              </w:rPr>
              <w:t>保修期过后，须定期上门回访，对设备提供终身维修、维</w:t>
            </w:r>
            <w:r>
              <w:rPr>
                <w:rFonts w:hint="eastAsia"/>
                <w:color w:val="auto"/>
                <w:spacing w:val="9"/>
                <w:sz w:val="21"/>
                <w:szCs w:val="21"/>
                <w:highlight w:val="none"/>
              </w:rPr>
              <w:t>护服务，维修只收材料成本</w:t>
            </w:r>
            <w:r>
              <w:rPr>
                <w:rFonts w:hint="eastAsia"/>
                <w:color w:val="auto"/>
                <w:sz w:val="21"/>
                <w:szCs w:val="21"/>
                <w:highlight w:val="none"/>
              </w:rPr>
              <w:t>费。</w:t>
            </w:r>
          </w:p>
          <w:p w14:paraId="7DE8D0F8">
            <w:pPr>
              <w:pStyle w:val="54"/>
              <w:spacing w:before="23" w:line="229" w:lineRule="auto"/>
              <w:ind w:left="116"/>
              <w:rPr>
                <w:color w:val="auto"/>
                <w:sz w:val="21"/>
                <w:szCs w:val="21"/>
                <w:highlight w:val="none"/>
              </w:rPr>
            </w:pPr>
            <w:r>
              <w:rPr>
                <w:rFonts w:hint="eastAsia"/>
                <w:color w:val="auto"/>
                <w:spacing w:val="4"/>
                <w:sz w:val="21"/>
                <w:szCs w:val="21"/>
                <w:highlight w:val="none"/>
              </w:rPr>
              <w:t>5.人员培训：</w:t>
            </w:r>
          </w:p>
          <w:p w14:paraId="2461ED35">
            <w:pPr>
              <w:pStyle w:val="54"/>
              <w:spacing w:before="21" w:line="245" w:lineRule="auto"/>
              <w:ind w:left="111" w:right="259" w:firstLine="36"/>
              <w:rPr>
                <w:color w:val="auto"/>
                <w:sz w:val="21"/>
                <w:szCs w:val="21"/>
                <w:highlight w:val="none"/>
              </w:rPr>
            </w:pPr>
            <w:r>
              <w:rPr>
                <w:rFonts w:hint="eastAsia"/>
                <w:color w:val="auto"/>
                <w:spacing w:val="8"/>
                <w:sz w:val="21"/>
                <w:szCs w:val="21"/>
                <w:highlight w:val="none"/>
              </w:rPr>
              <w:t>(1)交货时由生产厂商工程技术人员为用户提供使用技术培训，并使操作人员达到能</w:t>
            </w:r>
            <w:r>
              <w:rPr>
                <w:rFonts w:hint="eastAsia"/>
                <w:color w:val="auto"/>
                <w:spacing w:val="10"/>
                <w:sz w:val="21"/>
                <w:szCs w:val="21"/>
                <w:highlight w:val="none"/>
              </w:rPr>
              <w:t>独立、熟练操作及维护仪器的程度。使用培训为验收要件之</w:t>
            </w:r>
            <w:r>
              <w:rPr>
                <w:rFonts w:hint="eastAsia"/>
                <w:color w:val="auto"/>
                <w:spacing w:val="9"/>
                <w:sz w:val="21"/>
                <w:szCs w:val="21"/>
                <w:highlight w:val="none"/>
              </w:rPr>
              <w:t>一，没有经过培训，视为</w:t>
            </w:r>
            <w:r>
              <w:rPr>
                <w:rFonts w:hint="eastAsia"/>
                <w:color w:val="auto"/>
                <w:spacing w:val="7"/>
                <w:sz w:val="21"/>
                <w:szCs w:val="21"/>
                <w:highlight w:val="none"/>
              </w:rPr>
              <w:t>没能完成验收。</w:t>
            </w:r>
          </w:p>
          <w:p w14:paraId="02D77EED">
            <w:pPr>
              <w:pStyle w:val="54"/>
              <w:spacing w:before="25" w:line="228" w:lineRule="auto"/>
              <w:ind w:left="148"/>
              <w:rPr>
                <w:color w:val="auto"/>
                <w:sz w:val="21"/>
                <w:szCs w:val="21"/>
                <w:highlight w:val="none"/>
              </w:rPr>
            </w:pPr>
            <w:r>
              <w:rPr>
                <w:rFonts w:hint="eastAsia"/>
                <w:color w:val="auto"/>
                <w:spacing w:val="7"/>
                <w:sz w:val="21"/>
                <w:szCs w:val="21"/>
                <w:highlight w:val="none"/>
              </w:rPr>
              <w:t>(2)培训对象：使用单位的设备使用人员及维修人员。</w:t>
            </w:r>
          </w:p>
          <w:p w14:paraId="5935ECB3">
            <w:pPr>
              <w:pStyle w:val="54"/>
              <w:spacing w:before="26" w:line="239" w:lineRule="auto"/>
              <w:ind w:left="113" w:right="153" w:firstLine="35"/>
              <w:rPr>
                <w:color w:val="auto"/>
                <w:sz w:val="21"/>
                <w:szCs w:val="21"/>
                <w:highlight w:val="none"/>
              </w:rPr>
            </w:pPr>
            <w:r>
              <w:rPr>
                <w:rFonts w:hint="eastAsia"/>
                <w:color w:val="auto"/>
                <w:spacing w:val="8"/>
                <w:sz w:val="21"/>
                <w:szCs w:val="21"/>
                <w:highlight w:val="none"/>
              </w:rPr>
              <w:t>(3)培训形式：现场使用培训方式，安装调试结束后，供方培训工程师对机器正确使</w:t>
            </w:r>
            <w:r>
              <w:rPr>
                <w:rFonts w:hint="eastAsia"/>
                <w:color w:val="auto"/>
                <w:spacing w:val="9"/>
                <w:sz w:val="21"/>
                <w:szCs w:val="21"/>
                <w:highlight w:val="none"/>
              </w:rPr>
              <w:t>用方法进行示范操作，保证教会使用人员能正确使用设备。</w:t>
            </w:r>
          </w:p>
          <w:p w14:paraId="43A3901D">
            <w:pPr>
              <w:pStyle w:val="54"/>
              <w:spacing w:before="25" w:line="234" w:lineRule="auto"/>
              <w:ind w:left="111" w:right="261" w:firstLine="2"/>
              <w:rPr>
                <w:color w:val="auto"/>
                <w:sz w:val="21"/>
                <w:szCs w:val="21"/>
                <w:highlight w:val="none"/>
              </w:rPr>
            </w:pPr>
            <w:r>
              <w:rPr>
                <w:rFonts w:hint="eastAsia"/>
                <w:color w:val="auto"/>
                <w:spacing w:val="9"/>
                <w:sz w:val="21"/>
                <w:szCs w:val="21"/>
                <w:highlight w:val="none"/>
              </w:rPr>
              <w:t>6.中标供应商供货时每一个产品必须提供详细参数说明书各壹套给采购人存档。否则采购人有权拒绝货物进场，造成的损失由中标人负责。</w:t>
            </w:r>
          </w:p>
        </w:tc>
      </w:tr>
      <w:tr w14:paraId="1C72AA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499C2593">
            <w:pPr>
              <w:spacing w:line="260" w:lineRule="auto"/>
              <w:rPr>
                <w:rFonts w:ascii="宋体" w:hAnsi="宋体" w:cs="宋体"/>
                <w:color w:val="auto"/>
                <w:szCs w:val="21"/>
                <w:highlight w:val="none"/>
              </w:rPr>
            </w:pPr>
          </w:p>
          <w:p w14:paraId="7E44A041">
            <w:pPr>
              <w:spacing w:line="260" w:lineRule="auto"/>
              <w:rPr>
                <w:rFonts w:ascii="宋体" w:hAnsi="宋体" w:cs="宋体"/>
                <w:color w:val="auto"/>
                <w:szCs w:val="21"/>
                <w:highlight w:val="none"/>
              </w:rPr>
            </w:pPr>
          </w:p>
          <w:p w14:paraId="64122754">
            <w:pPr>
              <w:spacing w:line="261" w:lineRule="auto"/>
              <w:rPr>
                <w:rFonts w:ascii="宋体" w:hAnsi="宋体" w:cs="宋体"/>
                <w:color w:val="auto"/>
                <w:szCs w:val="21"/>
                <w:highlight w:val="none"/>
              </w:rPr>
            </w:pPr>
          </w:p>
          <w:p w14:paraId="64428A56">
            <w:pPr>
              <w:pStyle w:val="54"/>
              <w:spacing w:before="65" w:line="228" w:lineRule="auto"/>
              <w:ind w:left="115"/>
              <w:rPr>
                <w:color w:val="auto"/>
                <w:sz w:val="21"/>
                <w:szCs w:val="21"/>
                <w:highlight w:val="none"/>
              </w:rPr>
            </w:pPr>
            <w:r>
              <w:rPr>
                <w:rFonts w:hint="eastAsia"/>
                <w:color w:val="auto"/>
                <w:spacing w:val="7"/>
                <w:sz w:val="21"/>
                <w:szCs w:val="21"/>
                <w:highlight w:val="none"/>
              </w:rPr>
              <w:t>验收要求</w:t>
            </w:r>
          </w:p>
        </w:tc>
        <w:tc>
          <w:tcPr>
            <w:tcW w:w="7708" w:type="dxa"/>
            <w:gridSpan w:val="2"/>
            <w:tcBorders>
              <w:top w:val="single" w:color="auto" w:sz="4" w:space="0"/>
              <w:left w:val="single" w:color="auto" w:sz="4" w:space="0"/>
              <w:bottom w:val="single" w:color="auto" w:sz="4" w:space="0"/>
            </w:tcBorders>
          </w:tcPr>
          <w:p w14:paraId="541E8D52">
            <w:pPr>
              <w:pStyle w:val="54"/>
              <w:spacing w:before="33" w:line="243" w:lineRule="auto"/>
              <w:ind w:left="111" w:right="259" w:firstLine="15"/>
              <w:rPr>
                <w:color w:val="auto"/>
                <w:sz w:val="21"/>
                <w:szCs w:val="21"/>
                <w:highlight w:val="none"/>
              </w:rPr>
            </w:pPr>
            <w:r>
              <w:rPr>
                <w:rFonts w:hint="eastAsia"/>
                <w:color w:val="auto"/>
                <w:spacing w:val="9"/>
                <w:sz w:val="21"/>
                <w:szCs w:val="21"/>
                <w:highlight w:val="none"/>
              </w:rPr>
              <w:t>1.中标供应商交货时，所有产品均严格按签订的采购合同、响应和承诺的技术参数及</w:t>
            </w:r>
            <w:r>
              <w:rPr>
                <w:rFonts w:hint="eastAsia"/>
                <w:color w:val="auto"/>
                <w:spacing w:val="10"/>
                <w:sz w:val="21"/>
                <w:szCs w:val="21"/>
                <w:highlight w:val="none"/>
              </w:rPr>
              <w:t>性能和国家有关标准进行验收，达不到要求的不予验收，视</w:t>
            </w:r>
            <w:r>
              <w:rPr>
                <w:rFonts w:hint="eastAsia"/>
                <w:color w:val="auto"/>
                <w:spacing w:val="9"/>
                <w:sz w:val="21"/>
                <w:szCs w:val="21"/>
                <w:highlight w:val="none"/>
              </w:rPr>
              <w:t>为产品验收不合格，采购</w:t>
            </w:r>
            <w:r>
              <w:rPr>
                <w:rFonts w:hint="eastAsia"/>
                <w:color w:val="auto"/>
                <w:spacing w:val="8"/>
                <w:sz w:val="21"/>
                <w:szCs w:val="21"/>
                <w:highlight w:val="none"/>
              </w:rPr>
              <w:t>单位可解除双方的供货合同。</w:t>
            </w:r>
          </w:p>
          <w:p w14:paraId="15FF64E1">
            <w:pPr>
              <w:pStyle w:val="54"/>
              <w:spacing w:before="26" w:line="228" w:lineRule="auto"/>
              <w:ind w:left="114"/>
              <w:rPr>
                <w:color w:val="auto"/>
                <w:highlight w:val="none"/>
              </w:rPr>
            </w:pPr>
            <w:r>
              <w:rPr>
                <w:rFonts w:hint="eastAsia"/>
                <w:color w:val="auto"/>
                <w:spacing w:val="9"/>
                <w:sz w:val="21"/>
                <w:szCs w:val="21"/>
                <w:highlight w:val="none"/>
              </w:rPr>
              <w:t>2.</w:t>
            </w:r>
            <w:r>
              <w:rPr>
                <w:rFonts w:hint="eastAsia"/>
                <w:color w:val="auto"/>
                <w:highlight w:val="none"/>
              </w:rPr>
              <w:t>中标供应商所提供的所有设备必须是签订合同之日前</w:t>
            </w:r>
            <w:r>
              <w:rPr>
                <w:rFonts w:hint="eastAsia"/>
                <w:color w:val="auto"/>
                <w:highlight w:val="none"/>
                <w:lang w:eastAsia="zh-CN"/>
              </w:rPr>
              <w:t>1</w:t>
            </w:r>
            <w:r>
              <w:rPr>
                <w:rFonts w:hint="eastAsia"/>
                <w:color w:val="auto"/>
                <w:highlight w:val="none"/>
              </w:rPr>
              <w:t>年内生产的机型。</w:t>
            </w:r>
          </w:p>
          <w:p w14:paraId="4B43E265">
            <w:pPr>
              <w:pStyle w:val="54"/>
              <w:spacing w:before="26" w:line="228" w:lineRule="auto"/>
              <w:ind w:left="114"/>
              <w:rPr>
                <w:color w:val="auto"/>
                <w:sz w:val="21"/>
                <w:szCs w:val="21"/>
                <w:highlight w:val="none"/>
              </w:rPr>
            </w:pPr>
            <w:r>
              <w:rPr>
                <w:rFonts w:hint="eastAsia"/>
                <w:color w:val="auto"/>
                <w:highlight w:val="none"/>
                <w:lang w:eastAsia="zh-CN"/>
              </w:rPr>
              <w:t>3.中标供应商所</w:t>
            </w:r>
            <w:r>
              <w:rPr>
                <w:rFonts w:hint="eastAsia"/>
                <w:color w:val="auto"/>
                <w:spacing w:val="9"/>
                <w:sz w:val="21"/>
                <w:szCs w:val="21"/>
                <w:highlight w:val="none"/>
              </w:rPr>
              <w:t>提供的产品必须是具备厂商合法渠道的全新的、完整的、未使用过的产品。</w:t>
            </w:r>
          </w:p>
          <w:p w14:paraId="27F093A3">
            <w:pPr>
              <w:pStyle w:val="54"/>
              <w:spacing w:before="23" w:line="244" w:lineRule="auto"/>
              <w:ind w:left="114" w:right="259" w:firstLine="1"/>
              <w:rPr>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.所提供产品，如有质量监督、环保等部门要求对产品进行检测、检验时，必须派出</w:t>
            </w:r>
            <w:r>
              <w:rPr>
                <w:rFonts w:hint="eastAsia"/>
                <w:color w:val="auto"/>
                <w:spacing w:val="10"/>
                <w:sz w:val="21"/>
                <w:szCs w:val="21"/>
                <w:highlight w:val="none"/>
              </w:rPr>
              <w:t>厂方代表协助检查，发现产品如有质量问题，供货方和</w:t>
            </w:r>
            <w:r>
              <w:rPr>
                <w:rFonts w:hint="eastAsia"/>
                <w:color w:val="auto"/>
                <w:spacing w:val="9"/>
                <w:sz w:val="21"/>
                <w:szCs w:val="21"/>
                <w:highlight w:val="none"/>
              </w:rPr>
              <w:t>制造商应承担全部费用及相应</w:t>
            </w:r>
            <w:r>
              <w:rPr>
                <w:rFonts w:hint="eastAsia"/>
                <w:color w:val="auto"/>
                <w:spacing w:val="4"/>
                <w:sz w:val="21"/>
                <w:szCs w:val="21"/>
                <w:highlight w:val="none"/>
              </w:rPr>
              <w:t>的责任。</w:t>
            </w:r>
          </w:p>
        </w:tc>
      </w:tr>
      <w:tr w14:paraId="4D313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6144DE39">
            <w:pPr>
              <w:spacing w:line="241" w:lineRule="auto"/>
              <w:rPr>
                <w:rFonts w:ascii="宋体" w:hAnsi="宋体" w:cs="宋体"/>
                <w:color w:val="auto"/>
                <w:szCs w:val="21"/>
                <w:highlight w:val="none"/>
              </w:rPr>
            </w:pPr>
          </w:p>
          <w:p w14:paraId="3A7BB535">
            <w:pPr>
              <w:pStyle w:val="54"/>
              <w:spacing w:before="65" w:line="228" w:lineRule="auto"/>
              <w:ind w:left="325"/>
              <w:rPr>
                <w:color w:val="auto"/>
                <w:sz w:val="21"/>
                <w:szCs w:val="21"/>
                <w:highlight w:val="none"/>
              </w:rPr>
            </w:pPr>
            <w:r>
              <w:rPr>
                <w:rFonts w:hint="eastAsia"/>
                <w:color w:val="auto"/>
                <w:spacing w:val="7"/>
                <w:sz w:val="21"/>
                <w:szCs w:val="21"/>
                <w:highlight w:val="none"/>
              </w:rPr>
              <w:t>付款条件</w:t>
            </w:r>
          </w:p>
        </w:tc>
        <w:tc>
          <w:tcPr>
            <w:tcW w:w="7708" w:type="dxa"/>
            <w:gridSpan w:val="2"/>
            <w:tcBorders>
              <w:top w:val="single" w:color="auto" w:sz="4" w:space="0"/>
              <w:left w:val="single" w:color="auto" w:sz="4" w:space="0"/>
              <w:bottom w:val="single" w:color="auto" w:sz="4" w:space="0"/>
            </w:tcBorders>
          </w:tcPr>
          <w:p w14:paraId="6782316D">
            <w:pPr>
              <w:pStyle w:val="54"/>
              <w:spacing w:before="36" w:line="242" w:lineRule="auto"/>
              <w:ind w:left="111" w:right="153" w:firstLine="421"/>
              <w:rPr>
                <w:color w:val="auto"/>
                <w:sz w:val="21"/>
                <w:szCs w:val="21"/>
                <w:highlight w:val="none"/>
              </w:rPr>
            </w:pPr>
            <w:r>
              <w:rPr>
                <w:rFonts w:hint="eastAsia"/>
                <w:color w:val="auto"/>
                <w:spacing w:val="9"/>
                <w:sz w:val="21"/>
                <w:szCs w:val="21"/>
                <w:highlight w:val="none"/>
              </w:rPr>
              <w:t>本分标项目无预付款,项目验收合格交付使用后30日内支付第</w:t>
            </w:r>
            <w:r>
              <w:rPr>
                <w:rFonts w:hint="eastAsia"/>
                <w:color w:val="auto"/>
                <w:spacing w:val="8"/>
                <w:sz w:val="21"/>
                <w:szCs w:val="21"/>
                <w:highlight w:val="none"/>
              </w:rPr>
              <w:t>一笔合同款的50%,</w:t>
            </w:r>
            <w:r>
              <w:rPr>
                <w:rFonts w:hint="eastAsia"/>
                <w:color w:val="auto"/>
                <w:spacing w:val="9"/>
                <w:sz w:val="21"/>
                <w:szCs w:val="21"/>
                <w:highlight w:val="none"/>
              </w:rPr>
              <w:t>第二笔合同款在验收合格交付使用6个月后的15个工作日内支付合同款</w:t>
            </w:r>
            <w:r>
              <w:rPr>
                <w:rFonts w:hint="eastAsia"/>
                <w:color w:val="auto"/>
                <w:spacing w:val="8"/>
                <w:sz w:val="21"/>
                <w:szCs w:val="21"/>
                <w:highlight w:val="none"/>
              </w:rPr>
              <w:t>的45%,第三笔</w:t>
            </w:r>
            <w:r>
              <w:rPr>
                <w:rFonts w:hint="eastAsia"/>
                <w:color w:val="auto"/>
                <w:spacing w:val="9"/>
                <w:sz w:val="21"/>
                <w:szCs w:val="21"/>
                <w:highlight w:val="none"/>
              </w:rPr>
              <w:t>剩余5%的合同款,在验收合格交付使用12个月后的15个工作日</w:t>
            </w:r>
            <w:r>
              <w:rPr>
                <w:rFonts w:hint="eastAsia"/>
                <w:color w:val="auto"/>
                <w:spacing w:val="8"/>
                <w:sz w:val="21"/>
                <w:szCs w:val="21"/>
                <w:highlight w:val="none"/>
              </w:rPr>
              <w:t>内支付(无息)。中标人在采购人付款前开具完税发票给采购人。</w:t>
            </w:r>
          </w:p>
        </w:tc>
      </w:tr>
      <w:tr w14:paraId="663911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79078376">
            <w:pPr>
              <w:spacing w:line="269" w:lineRule="auto"/>
              <w:rPr>
                <w:rFonts w:ascii="宋体" w:hAnsi="宋体" w:cs="宋体"/>
                <w:color w:val="auto"/>
                <w:szCs w:val="21"/>
                <w:highlight w:val="none"/>
              </w:rPr>
            </w:pPr>
          </w:p>
          <w:p w14:paraId="61B77776">
            <w:pPr>
              <w:pStyle w:val="54"/>
              <w:spacing w:before="65" w:line="229" w:lineRule="auto"/>
              <w:ind w:left="326"/>
              <w:rPr>
                <w:color w:val="auto"/>
                <w:sz w:val="21"/>
                <w:szCs w:val="21"/>
                <w:highlight w:val="none"/>
              </w:rPr>
            </w:pPr>
            <w:r>
              <w:rPr>
                <w:rFonts w:hint="eastAsia"/>
                <w:color w:val="auto"/>
                <w:spacing w:val="7"/>
                <w:sz w:val="21"/>
                <w:szCs w:val="21"/>
                <w:highlight w:val="none"/>
              </w:rPr>
              <w:t>其他要求</w:t>
            </w:r>
          </w:p>
        </w:tc>
        <w:tc>
          <w:tcPr>
            <w:tcW w:w="7708" w:type="dxa"/>
            <w:gridSpan w:val="2"/>
            <w:tcBorders>
              <w:top w:val="single" w:color="auto" w:sz="4" w:space="0"/>
              <w:left w:val="single" w:color="auto" w:sz="4" w:space="0"/>
              <w:bottom w:val="single" w:color="auto" w:sz="4" w:space="0"/>
            </w:tcBorders>
          </w:tcPr>
          <w:p w14:paraId="1C319458">
            <w:pPr>
              <w:pStyle w:val="54"/>
              <w:spacing w:before="34" w:line="228" w:lineRule="auto"/>
              <w:ind w:left="127"/>
              <w:rPr>
                <w:color w:val="auto"/>
                <w:sz w:val="21"/>
                <w:szCs w:val="21"/>
                <w:highlight w:val="none"/>
              </w:rPr>
            </w:pPr>
            <w:r>
              <w:rPr>
                <w:rFonts w:hint="eastAsia"/>
                <w:color w:val="auto"/>
                <w:spacing w:val="9"/>
                <w:sz w:val="21"/>
                <w:szCs w:val="21"/>
                <w:highlight w:val="none"/>
              </w:rPr>
              <w:t>1</w:t>
            </w:r>
            <w:r>
              <w:rPr>
                <w:rFonts w:hint="eastAsia"/>
                <w:color w:val="auto"/>
                <w:spacing w:val="9"/>
                <w:sz w:val="21"/>
                <w:szCs w:val="21"/>
                <w:highlight w:val="none"/>
                <w:lang w:eastAsia="zh-CN"/>
              </w:rPr>
              <w:t>.</w:t>
            </w:r>
            <w:r>
              <w:rPr>
                <w:rFonts w:hint="eastAsia"/>
                <w:color w:val="auto"/>
                <w:spacing w:val="9"/>
                <w:sz w:val="21"/>
                <w:szCs w:val="21"/>
                <w:highlight w:val="none"/>
              </w:rPr>
              <w:t>投标时提供投标产品彩色图片或说明书（标明</w:t>
            </w:r>
            <w:r>
              <w:rPr>
                <w:rFonts w:hint="eastAsia"/>
                <w:color w:val="auto"/>
                <w:spacing w:val="8"/>
                <w:sz w:val="21"/>
                <w:szCs w:val="21"/>
                <w:highlight w:val="none"/>
              </w:rPr>
              <w:t>主要技术参数）。</w:t>
            </w:r>
          </w:p>
          <w:p w14:paraId="686432ED">
            <w:pPr>
              <w:pStyle w:val="54"/>
              <w:spacing w:before="24"/>
              <w:ind w:left="115" w:right="153"/>
              <w:rPr>
                <w:color w:val="auto"/>
                <w:sz w:val="21"/>
                <w:szCs w:val="21"/>
                <w:highlight w:val="none"/>
              </w:rPr>
            </w:pPr>
            <w:r>
              <w:rPr>
                <w:rFonts w:hint="eastAsia"/>
                <w:color w:val="auto"/>
                <w:spacing w:val="9"/>
                <w:sz w:val="21"/>
                <w:szCs w:val="21"/>
                <w:highlight w:val="none"/>
                <w:lang w:eastAsia="zh-CN"/>
              </w:rPr>
              <w:t>2.</w:t>
            </w:r>
            <w:r>
              <w:rPr>
                <w:rFonts w:hint="eastAsia"/>
                <w:color w:val="auto"/>
                <w:spacing w:val="9"/>
                <w:sz w:val="21"/>
                <w:szCs w:val="21"/>
                <w:highlight w:val="none"/>
              </w:rPr>
              <w:t>采购人设备主管科室对本合同质保服务内容进行全程对接和监督，并对服务情况进</w:t>
            </w:r>
            <w:r>
              <w:rPr>
                <w:rFonts w:hint="eastAsia"/>
                <w:color w:val="auto"/>
                <w:spacing w:val="8"/>
                <w:sz w:val="21"/>
                <w:szCs w:val="21"/>
                <w:highlight w:val="none"/>
              </w:rPr>
              <w:t>行客观记录，在每个合同年度期结束时，由设备主管科室根据合同约定的服务内容、</w:t>
            </w:r>
            <w:r>
              <w:rPr>
                <w:rFonts w:hint="eastAsia"/>
                <w:color w:val="auto"/>
                <w:spacing w:val="7"/>
                <w:sz w:val="21"/>
                <w:szCs w:val="21"/>
                <w:highlight w:val="none"/>
              </w:rPr>
              <w:t>响应情况、服务态度及过程记录。</w:t>
            </w:r>
          </w:p>
          <w:p w14:paraId="6FC6130D">
            <w:pPr>
              <w:pStyle w:val="54"/>
              <w:spacing w:before="26" w:line="243" w:lineRule="auto"/>
              <w:ind w:left="113" w:right="153" w:hanging="2"/>
              <w:rPr>
                <w:color w:val="auto"/>
                <w:sz w:val="21"/>
                <w:szCs w:val="21"/>
                <w:highlight w:val="none"/>
              </w:rPr>
            </w:pPr>
            <w:r>
              <w:rPr>
                <w:rFonts w:hint="eastAsia"/>
                <w:color w:val="auto"/>
                <w:spacing w:val="10"/>
                <w:sz w:val="21"/>
                <w:szCs w:val="21"/>
                <w:highlight w:val="none"/>
                <w:lang w:eastAsia="zh-CN"/>
              </w:rPr>
              <w:t>3.</w:t>
            </w:r>
            <w:r>
              <w:rPr>
                <w:rFonts w:hint="eastAsia"/>
                <w:color w:val="auto"/>
                <w:spacing w:val="10"/>
                <w:sz w:val="21"/>
                <w:szCs w:val="21"/>
                <w:highlight w:val="none"/>
              </w:rPr>
              <w:t>采购人在货物交货验收阶段发现货物的技术参数指</w:t>
            </w:r>
            <w:r>
              <w:rPr>
                <w:rFonts w:hint="eastAsia"/>
                <w:color w:val="auto"/>
                <w:spacing w:val="9"/>
                <w:sz w:val="21"/>
                <w:szCs w:val="21"/>
                <w:highlight w:val="none"/>
              </w:rPr>
              <w:t>标达不到采购文件该货物技术参</w:t>
            </w:r>
            <w:r>
              <w:rPr>
                <w:rFonts w:hint="eastAsia"/>
                <w:color w:val="auto"/>
                <w:spacing w:val="10"/>
                <w:sz w:val="21"/>
                <w:szCs w:val="21"/>
                <w:highlight w:val="none"/>
              </w:rPr>
              <w:t>数要求的，属虚假应标行为，采购人将终止合同拒收货</w:t>
            </w:r>
            <w:r>
              <w:rPr>
                <w:rFonts w:hint="eastAsia"/>
                <w:color w:val="auto"/>
                <w:spacing w:val="9"/>
                <w:sz w:val="21"/>
                <w:szCs w:val="21"/>
                <w:highlight w:val="none"/>
              </w:rPr>
              <w:t>物，追究该成交单位违约责任</w:t>
            </w:r>
            <w:r>
              <w:rPr>
                <w:rFonts w:hint="eastAsia"/>
                <w:color w:val="auto"/>
                <w:spacing w:val="7"/>
                <w:sz w:val="21"/>
                <w:szCs w:val="21"/>
                <w:highlight w:val="none"/>
              </w:rPr>
              <w:t>,赔偿采购人因采购时间延长造成采购人经济等方面损</w:t>
            </w:r>
            <w:r>
              <w:rPr>
                <w:rFonts w:hint="eastAsia"/>
                <w:color w:val="auto"/>
                <w:spacing w:val="6"/>
                <w:sz w:val="21"/>
                <w:szCs w:val="21"/>
                <w:highlight w:val="none"/>
              </w:rPr>
              <w:t>失。</w:t>
            </w:r>
          </w:p>
          <w:p w14:paraId="6C123760">
            <w:pPr>
              <w:pStyle w:val="54"/>
              <w:spacing w:before="27" w:line="215" w:lineRule="auto"/>
              <w:ind w:left="116"/>
              <w:rPr>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中标供应商经营第二类医疗器械的须提供《第二类医疗器械经营备案凭</w:t>
            </w:r>
            <w:r>
              <w:rPr>
                <w:rFonts w:hint="eastAsia"/>
                <w:color w:val="auto"/>
                <w:spacing w:val="8"/>
                <w:sz w:val="21"/>
                <w:szCs w:val="21"/>
                <w:highlight w:val="none"/>
              </w:rPr>
              <w:t>证》。</w:t>
            </w:r>
          </w:p>
        </w:tc>
      </w:tr>
      <w:tr w14:paraId="018B2D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14:paraId="2C24D315">
            <w:pPr>
              <w:snapToGrid w:val="0"/>
              <w:spacing w:line="360" w:lineRule="exact"/>
              <w:jc w:val="center"/>
              <w:rPr>
                <w:rFonts w:ascii="宋体" w:hAnsi="宋体" w:cs="宋体"/>
                <w:color w:val="auto"/>
                <w:spacing w:val="7"/>
                <w:szCs w:val="21"/>
                <w:highlight w:val="none"/>
              </w:rPr>
            </w:pPr>
            <w:r>
              <w:rPr>
                <w:rFonts w:hint="eastAsia" w:ascii="宋体" w:hAnsi="宋体" w:cs="宋体"/>
                <w:color w:val="auto"/>
                <w:szCs w:val="21"/>
                <w:highlight w:val="none"/>
              </w:rPr>
              <w:t>核心产品</w:t>
            </w:r>
          </w:p>
        </w:tc>
        <w:tc>
          <w:tcPr>
            <w:tcW w:w="7708" w:type="dxa"/>
            <w:gridSpan w:val="2"/>
            <w:tcBorders>
              <w:top w:val="single" w:color="auto" w:sz="4" w:space="0"/>
              <w:left w:val="single" w:color="auto" w:sz="4" w:space="0"/>
              <w:bottom w:val="single" w:color="auto" w:sz="4" w:space="0"/>
            </w:tcBorders>
            <w:vAlign w:val="center"/>
          </w:tcPr>
          <w:p w14:paraId="58C0A78F">
            <w:pPr>
              <w:snapToGrid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本项目第</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项设备“</w:t>
            </w:r>
            <w:r>
              <w:rPr>
                <w:rFonts w:hint="eastAsia" w:ascii="宋体" w:hAnsi="宋体" w:cs="宋体"/>
                <w:color w:val="auto"/>
                <w:szCs w:val="21"/>
                <w:highlight w:val="none"/>
                <w:u w:val="single"/>
              </w:rPr>
              <w:t xml:space="preserve">  便携式彩色超声系统 </w:t>
            </w:r>
            <w:r>
              <w:rPr>
                <w:rFonts w:hint="eastAsia" w:ascii="宋体" w:hAnsi="宋体" w:cs="宋体"/>
                <w:color w:val="auto"/>
                <w:szCs w:val="21"/>
                <w:highlight w:val="none"/>
              </w:rPr>
              <w:t>”为本次采购的核心产品。</w:t>
            </w:r>
          </w:p>
          <w:p w14:paraId="4ED52BFC">
            <w:pPr>
              <w:spacing w:line="360" w:lineRule="exact"/>
              <w:jc w:val="left"/>
              <w:rPr>
                <w:rFonts w:ascii="宋体" w:hAnsi="宋体" w:cs="宋体"/>
                <w:color w:val="auto"/>
                <w:spacing w:val="9"/>
                <w:szCs w:val="21"/>
                <w:highlight w:val="none"/>
              </w:rPr>
            </w:pPr>
            <w:r>
              <w:rPr>
                <w:rFonts w:hint="eastAsia" w:ascii="宋体" w:hAnsi="宋体" w:cs="宋体"/>
                <w:color w:val="auto"/>
                <w:szCs w:val="21"/>
                <w:highlight w:val="none"/>
              </w:rPr>
              <w:t xml:space="preserve">   </w:t>
            </w:r>
            <w:r>
              <w:rPr>
                <w:rFonts w:hint="eastAsia" w:ascii="宋体" w:hAnsi="宋体" w:cs="宋体"/>
                <w:color w:val="auto"/>
                <w:spacing w:val="10"/>
                <w:szCs w:val="21"/>
                <w:highlight w:val="none"/>
                <w:lang w:eastAsia="en-US"/>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tc>
      </w:tr>
      <w:tr w14:paraId="6E977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2A19AF65">
            <w:pPr>
              <w:pStyle w:val="54"/>
              <w:spacing w:before="306" w:line="246" w:lineRule="auto"/>
              <w:ind w:left="116" w:right="171" w:firstLine="9"/>
              <w:rPr>
                <w:color w:val="auto"/>
                <w:sz w:val="21"/>
                <w:szCs w:val="21"/>
                <w:highlight w:val="none"/>
              </w:rPr>
            </w:pPr>
            <w:r>
              <w:rPr>
                <w:rFonts w:hint="eastAsia"/>
                <w:color w:val="auto"/>
                <w:spacing w:val="6"/>
                <w:sz w:val="21"/>
                <w:szCs w:val="21"/>
                <w:highlight w:val="none"/>
              </w:rPr>
              <w:t>医疗器械注册</w:t>
            </w:r>
            <w:r>
              <w:rPr>
                <w:rFonts w:hint="eastAsia"/>
                <w:color w:val="auto"/>
                <w:sz w:val="21"/>
                <w:szCs w:val="21"/>
                <w:highlight w:val="none"/>
              </w:rPr>
              <w:t>证</w:t>
            </w:r>
          </w:p>
        </w:tc>
        <w:tc>
          <w:tcPr>
            <w:tcW w:w="7708" w:type="dxa"/>
            <w:gridSpan w:val="2"/>
            <w:tcBorders>
              <w:top w:val="single" w:color="auto" w:sz="4" w:space="0"/>
              <w:left w:val="single" w:color="auto" w:sz="4" w:space="0"/>
              <w:bottom w:val="single" w:color="auto" w:sz="4" w:space="0"/>
            </w:tcBorders>
          </w:tcPr>
          <w:p w14:paraId="08902043">
            <w:pPr>
              <w:pStyle w:val="54"/>
              <w:spacing w:before="35" w:line="245" w:lineRule="auto"/>
              <w:ind w:left="111" w:right="259" w:firstLine="422"/>
              <w:rPr>
                <w:color w:val="auto"/>
                <w:sz w:val="21"/>
                <w:szCs w:val="21"/>
                <w:highlight w:val="none"/>
              </w:rPr>
            </w:pPr>
            <w:r>
              <w:rPr>
                <w:rFonts w:hint="eastAsia"/>
                <w:color w:val="auto"/>
                <w:spacing w:val="10"/>
                <w:sz w:val="21"/>
                <w:szCs w:val="21"/>
                <w:highlight w:val="none"/>
              </w:rPr>
              <w:t>投标产品属第一类医疗器械产品的，投标文件中须</w:t>
            </w:r>
            <w:r>
              <w:rPr>
                <w:rFonts w:hint="eastAsia"/>
                <w:color w:val="auto"/>
                <w:spacing w:val="9"/>
                <w:sz w:val="21"/>
                <w:szCs w:val="21"/>
                <w:highlight w:val="none"/>
              </w:rPr>
              <w:t>按《医疗器械注册与备案管理办法》（国家市场监督管理总局令第47号）提供该设备在负责药品监督管理的部门提</w:t>
            </w:r>
            <w:r>
              <w:rPr>
                <w:rFonts w:hint="eastAsia"/>
                <w:color w:val="auto"/>
                <w:spacing w:val="10"/>
                <w:sz w:val="21"/>
                <w:szCs w:val="21"/>
                <w:highlight w:val="none"/>
              </w:rPr>
              <w:t>交备案资料证明材料复印件（或扫描件）加盖投标人电子签</w:t>
            </w:r>
            <w:r>
              <w:rPr>
                <w:rFonts w:hint="eastAsia"/>
                <w:color w:val="auto"/>
                <w:spacing w:val="9"/>
                <w:sz w:val="21"/>
                <w:szCs w:val="21"/>
                <w:highlight w:val="none"/>
              </w:rPr>
              <w:t>章；投标产品属第二、三</w:t>
            </w:r>
            <w:r>
              <w:rPr>
                <w:rFonts w:hint="eastAsia"/>
                <w:color w:val="auto"/>
                <w:spacing w:val="10"/>
                <w:sz w:val="21"/>
                <w:szCs w:val="21"/>
                <w:highlight w:val="none"/>
              </w:rPr>
              <w:t>类医疗器械产品的，投标文件中须按《医疗器械注册与备案</w:t>
            </w:r>
            <w:r>
              <w:rPr>
                <w:rFonts w:hint="eastAsia"/>
                <w:color w:val="auto"/>
                <w:spacing w:val="9"/>
                <w:sz w:val="21"/>
                <w:szCs w:val="21"/>
                <w:highlight w:val="none"/>
              </w:rPr>
              <w:t>管理办法》（国家市场监督管理总局令第47号）提供该设备有效的药品监督管理部门出具的医疗器械注册证复印件（或扫描件）加盖投标人电子签章，否则投标无效。</w:t>
            </w:r>
          </w:p>
        </w:tc>
      </w:tr>
      <w:tr w14:paraId="20A45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14:paraId="7B7A9EB9">
            <w:pPr>
              <w:snapToGrid w:val="0"/>
              <w:spacing w:line="360" w:lineRule="exact"/>
              <w:jc w:val="center"/>
              <w:rPr>
                <w:rFonts w:ascii="宋体" w:hAnsi="宋体" w:cs="宋体"/>
                <w:color w:val="auto"/>
                <w:szCs w:val="21"/>
                <w:highlight w:val="none"/>
              </w:rPr>
            </w:pPr>
            <w:r>
              <w:rPr>
                <w:rFonts w:hint="eastAsia" w:ascii="宋体" w:hAnsi="宋体" w:cs="宋体"/>
                <w:color w:val="auto"/>
                <w:spacing w:val="5"/>
                <w:szCs w:val="21"/>
                <w:highlight w:val="none"/>
              </w:rPr>
              <w:t>资料要求</w:t>
            </w:r>
          </w:p>
        </w:tc>
        <w:tc>
          <w:tcPr>
            <w:tcW w:w="7708" w:type="dxa"/>
            <w:gridSpan w:val="2"/>
            <w:tcBorders>
              <w:top w:val="single" w:color="auto" w:sz="4" w:space="0"/>
              <w:left w:val="single" w:color="auto" w:sz="4" w:space="0"/>
              <w:bottom w:val="single" w:color="auto" w:sz="4" w:space="0"/>
            </w:tcBorders>
            <w:vAlign w:val="center"/>
          </w:tcPr>
          <w:p w14:paraId="251ADAD1">
            <w:pPr>
              <w:widowControl/>
              <w:snapToGrid w:val="0"/>
              <w:spacing w:line="360" w:lineRule="exact"/>
              <w:jc w:val="left"/>
              <w:rPr>
                <w:rFonts w:ascii="宋体" w:hAnsi="宋体" w:cs="宋体"/>
                <w:color w:val="auto"/>
                <w:szCs w:val="21"/>
                <w:highlight w:val="none"/>
              </w:rPr>
            </w:pPr>
            <w:r>
              <w:rPr>
                <w:rFonts w:hint="eastAsia" w:ascii="宋体" w:hAnsi="宋体" w:cs="宋体"/>
                <w:color w:val="auto"/>
                <w:spacing w:val="9"/>
                <w:szCs w:val="21"/>
                <w:highlight w:val="none"/>
              </w:rPr>
              <w:t>当响应文件提供的设备性能参数与该生产商提供的性能参数不符合时，以生产商资料</w:t>
            </w:r>
            <w:r>
              <w:rPr>
                <w:rFonts w:hint="eastAsia" w:ascii="宋体" w:hAnsi="宋体" w:cs="宋体"/>
                <w:color w:val="auto"/>
                <w:spacing w:val="5"/>
                <w:szCs w:val="21"/>
                <w:highlight w:val="none"/>
              </w:rPr>
              <w:t>为准。</w:t>
            </w:r>
            <w:r>
              <w:rPr>
                <w:rFonts w:hint="eastAsia" w:ascii="宋体" w:hAnsi="宋体" w:cs="宋体"/>
                <w:b/>
                <w:bCs/>
                <w:color w:val="auto"/>
                <w:spacing w:val="5"/>
                <w:szCs w:val="21"/>
                <w:highlight w:val="none"/>
              </w:rPr>
              <w:t>（</w:t>
            </w:r>
            <w:r>
              <w:rPr>
                <w:rFonts w:hint="eastAsia" w:ascii="宋体" w:hAnsi="宋体" w:cs="宋体"/>
                <w:color w:val="auto"/>
                <w:spacing w:val="-59"/>
                <w:szCs w:val="21"/>
                <w:highlight w:val="none"/>
              </w:rPr>
              <w:t xml:space="preserve"> </w:t>
            </w:r>
            <w:r>
              <w:rPr>
                <w:rFonts w:hint="eastAsia" w:ascii="宋体" w:hAnsi="宋体" w:cs="宋体"/>
                <w:b/>
                <w:bCs/>
                <w:color w:val="auto"/>
                <w:spacing w:val="5"/>
                <w:szCs w:val="21"/>
                <w:highlight w:val="none"/>
              </w:rPr>
              <w:t>“项目需要及技术需求</w:t>
            </w:r>
            <w:r>
              <w:rPr>
                <w:rFonts w:hint="eastAsia" w:ascii="宋体" w:hAnsi="宋体" w:cs="宋体"/>
                <w:color w:val="auto"/>
                <w:spacing w:val="-70"/>
                <w:szCs w:val="21"/>
                <w:highlight w:val="none"/>
              </w:rPr>
              <w:t xml:space="preserve"> </w:t>
            </w:r>
            <w:r>
              <w:rPr>
                <w:rFonts w:hint="eastAsia" w:ascii="宋体" w:hAnsi="宋体" w:cs="宋体"/>
                <w:b/>
                <w:bCs/>
                <w:color w:val="auto"/>
                <w:spacing w:val="5"/>
                <w:szCs w:val="21"/>
                <w:highlight w:val="none"/>
              </w:rPr>
              <w:t>”有要求的则按其要求）</w:t>
            </w:r>
          </w:p>
        </w:tc>
      </w:tr>
      <w:tr w14:paraId="49875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21FF5EEB">
            <w:pPr>
              <w:widowControl/>
              <w:snapToGrid w:val="0"/>
              <w:spacing w:line="360" w:lineRule="exact"/>
              <w:rPr>
                <w:rFonts w:ascii="宋体" w:hAnsi="宋体" w:cs="宋体"/>
                <w:color w:val="auto"/>
                <w:szCs w:val="21"/>
                <w:highlight w:val="none"/>
              </w:rPr>
            </w:pPr>
            <w:r>
              <w:rPr>
                <w:rFonts w:hint="eastAsia" w:ascii="宋体" w:hAnsi="宋体" w:cs="宋体"/>
                <w:b/>
                <w:bCs/>
                <w:color w:val="auto"/>
                <w:spacing w:val="7"/>
                <w:szCs w:val="21"/>
                <w:highlight w:val="none"/>
              </w:rPr>
              <w:t>三、进口产品说明</w:t>
            </w:r>
          </w:p>
        </w:tc>
      </w:tr>
      <w:tr w14:paraId="4B4F3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389C0085">
            <w:pPr>
              <w:widowControl/>
              <w:snapToGrid w:val="0"/>
              <w:spacing w:line="36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本分标货物不接受进口产品投标（即通过中国海关报关验放进入中国境内且产自关境外的产品），如有此类产品参与投标的作无效投标处理。</w:t>
            </w:r>
          </w:p>
        </w:tc>
      </w:tr>
    </w:tbl>
    <w:p w14:paraId="7F30698B">
      <w:pPr>
        <w:spacing w:line="360" w:lineRule="auto"/>
        <w:ind w:firstLine="420" w:firstLineChars="200"/>
        <w:jc w:val="left"/>
        <w:rPr>
          <w:rFonts w:cs="Arial" w:asciiTheme="minorEastAsia" w:hAnsiTheme="minorEastAsia" w:eastAsiaTheme="minorEastAsia"/>
          <w:bCs/>
          <w:color w:val="auto"/>
          <w:szCs w:val="21"/>
          <w:highlight w:val="none"/>
          <w:u w:val="single"/>
        </w:rPr>
      </w:pPr>
    </w:p>
    <w:p w14:paraId="3BCFCC19">
      <w:pPr>
        <w:pStyle w:val="12"/>
        <w:ind w:firstLine="482" w:firstLineChars="200"/>
        <w:rPr>
          <w:rFonts w:asciiTheme="minorEastAsia" w:hAnsiTheme="minorEastAsia" w:eastAsiaTheme="minorEastAsia"/>
          <w:b/>
          <w:color w:val="auto"/>
          <w:highlight w:val="none"/>
        </w:rPr>
      </w:pPr>
    </w:p>
    <w:p w14:paraId="37EC9DF8">
      <w:pPr>
        <w:spacing w:line="360" w:lineRule="exact"/>
        <w:ind w:firstLine="426" w:firstLineChars="202"/>
        <w:jc w:val="left"/>
        <w:outlineLvl w:val="1"/>
        <w:rPr>
          <w:rFonts w:asciiTheme="minorEastAsia" w:hAnsiTheme="minorEastAsia" w:eastAsiaTheme="minorEastAsia"/>
          <w:b/>
          <w:color w:val="auto"/>
          <w:szCs w:val="21"/>
          <w:highlight w:val="none"/>
        </w:rPr>
      </w:pPr>
      <w:r>
        <w:rPr>
          <w:rFonts w:asciiTheme="minorEastAsia" w:hAnsiTheme="minorEastAsia" w:eastAsiaTheme="minorEastAsia"/>
          <w:b/>
          <w:color w:val="auto"/>
          <w:highlight w:val="none"/>
        </w:rPr>
        <w:br w:type="page"/>
      </w:r>
      <w:r>
        <w:rPr>
          <w:rFonts w:hint="eastAsia" w:asciiTheme="minorEastAsia" w:hAnsiTheme="minorEastAsia" w:eastAsiaTheme="minorEastAsia"/>
          <w:b/>
          <w:color w:val="auto"/>
          <w:szCs w:val="21"/>
          <w:highlight w:val="none"/>
        </w:rPr>
        <w:t>02分标：</w:t>
      </w:r>
    </w:p>
    <w:p w14:paraId="22D54829">
      <w:pPr>
        <w:spacing w:line="360" w:lineRule="exact"/>
        <w:ind w:firstLine="426" w:firstLineChars="202"/>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采购预算：789500.00元。（各项采购预算单价详见招标公告）</w:t>
      </w:r>
    </w:p>
    <w:tbl>
      <w:tblPr>
        <w:tblStyle w:val="23"/>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970"/>
        <w:gridCol w:w="742"/>
        <w:gridCol w:w="7094"/>
      </w:tblGrid>
      <w:tr w14:paraId="2DEB4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14:paraId="684D7808">
            <w:pPr>
              <w:spacing w:line="360" w:lineRule="exact"/>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一、采购需求</w:t>
            </w:r>
          </w:p>
        </w:tc>
      </w:tr>
      <w:tr w14:paraId="21CBF0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1BA69023">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项号</w:t>
            </w:r>
          </w:p>
        </w:tc>
        <w:tc>
          <w:tcPr>
            <w:tcW w:w="970" w:type="dxa"/>
            <w:tcBorders>
              <w:top w:val="single" w:color="auto" w:sz="4" w:space="0"/>
              <w:left w:val="single" w:color="auto" w:sz="4" w:space="0"/>
              <w:bottom w:val="single" w:color="auto" w:sz="4" w:space="0"/>
              <w:right w:val="single" w:color="auto" w:sz="4" w:space="0"/>
            </w:tcBorders>
            <w:vAlign w:val="center"/>
          </w:tcPr>
          <w:p w14:paraId="33BD98B2">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w:t>
            </w:r>
          </w:p>
          <w:p w14:paraId="1638A034">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内容</w:t>
            </w:r>
          </w:p>
        </w:tc>
        <w:tc>
          <w:tcPr>
            <w:tcW w:w="742" w:type="dxa"/>
            <w:tcBorders>
              <w:top w:val="single" w:color="auto" w:sz="4" w:space="0"/>
              <w:left w:val="single" w:color="auto" w:sz="4" w:space="0"/>
              <w:bottom w:val="single" w:color="auto" w:sz="4" w:space="0"/>
              <w:right w:val="single" w:color="auto" w:sz="4" w:space="0"/>
            </w:tcBorders>
            <w:vAlign w:val="center"/>
          </w:tcPr>
          <w:p w14:paraId="4D282E17">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w:t>
            </w:r>
          </w:p>
        </w:tc>
        <w:tc>
          <w:tcPr>
            <w:tcW w:w="7094" w:type="dxa"/>
            <w:tcBorders>
              <w:top w:val="single" w:color="auto" w:sz="4" w:space="0"/>
              <w:left w:val="single" w:color="auto" w:sz="4" w:space="0"/>
              <w:bottom w:val="single" w:color="auto" w:sz="4" w:space="0"/>
              <w:right w:val="single" w:color="auto" w:sz="4" w:space="0"/>
            </w:tcBorders>
            <w:vAlign w:val="center"/>
          </w:tcPr>
          <w:p w14:paraId="6B188EAD">
            <w:pPr>
              <w:spacing w:line="360" w:lineRule="exact"/>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color w:val="auto"/>
                <w:szCs w:val="21"/>
                <w:highlight w:val="none"/>
              </w:rPr>
              <w:t>技术要求</w:t>
            </w:r>
          </w:p>
        </w:tc>
      </w:tr>
      <w:tr w14:paraId="3F403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1C5C3B86">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1</w:t>
            </w:r>
          </w:p>
        </w:tc>
        <w:tc>
          <w:tcPr>
            <w:tcW w:w="970" w:type="dxa"/>
            <w:tcBorders>
              <w:top w:val="single" w:color="auto" w:sz="4" w:space="0"/>
              <w:left w:val="single" w:color="auto" w:sz="4" w:space="0"/>
              <w:bottom w:val="single" w:color="auto" w:sz="4" w:space="0"/>
              <w:right w:val="single" w:color="auto" w:sz="4" w:space="0"/>
            </w:tcBorders>
            <w:vAlign w:val="center"/>
          </w:tcPr>
          <w:p w14:paraId="31D3ABBD">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电动病床（1）</w:t>
            </w:r>
          </w:p>
        </w:tc>
        <w:tc>
          <w:tcPr>
            <w:tcW w:w="742" w:type="dxa"/>
            <w:tcBorders>
              <w:top w:val="single" w:color="auto" w:sz="4" w:space="0"/>
              <w:left w:val="single" w:color="auto" w:sz="4" w:space="0"/>
              <w:bottom w:val="single" w:color="auto" w:sz="4" w:space="0"/>
              <w:right w:val="single" w:color="auto" w:sz="4" w:space="0"/>
            </w:tcBorders>
            <w:vAlign w:val="center"/>
          </w:tcPr>
          <w:p w14:paraId="6F00D580">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11套</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353570C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一、床体参数：</w:t>
            </w:r>
          </w:p>
          <w:p w14:paraId="490D74B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1．床面尺寸：长≥</w:t>
            </w:r>
            <w:r>
              <w:rPr>
                <w:rFonts w:hint="eastAsia" w:ascii="宋体" w:hAnsi="宋体" w:cs="微软雅黑"/>
                <w:color w:val="auto"/>
                <w:szCs w:val="21"/>
                <w:highlight w:val="none"/>
                <w:lang w:val="en-US" w:eastAsia="zh-CN"/>
              </w:rPr>
              <w:t>1900mm</w:t>
            </w:r>
            <w:r>
              <w:rPr>
                <w:rFonts w:hint="eastAsia" w:ascii="宋体" w:hAnsi="宋体" w:cs="微软雅黑"/>
                <w:color w:val="auto"/>
                <w:szCs w:val="21"/>
                <w:highlight w:val="none"/>
              </w:rPr>
              <w:t>，宽≥800mm；床体尺寸：长度≤2200mm，宽度≤1000mm；</w:t>
            </w:r>
          </w:p>
          <w:p w14:paraId="7695113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2．床面最低高度＜450mm，升降范围≥405mm；安全工作负载≥225Kg；</w:t>
            </w:r>
          </w:p>
          <w:p w14:paraId="07E1F78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▲3．验收型号必须与所投型号一致；</w:t>
            </w:r>
          </w:p>
          <w:p w14:paraId="657C682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4．所投型号符合行业标准YY-9706.252-2021；</w:t>
            </w:r>
          </w:p>
          <w:p w14:paraId="30EC89D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电动控制功能：</w:t>
            </w:r>
          </w:p>
          <w:p w14:paraId="312B2BD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▲5．采用国际进口知名品牌电机，电机数量≥4个，具有电动控制背板、腿板升降，电动整体升降，电动控制整头倾、脚倾重症病床五功能；安全、恒速、静音、无静电；</w:t>
            </w:r>
          </w:p>
          <w:p w14:paraId="7DA2F1B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6．床体电动调节头倾与脚倾角度≥15°；</w:t>
            </w:r>
          </w:p>
          <w:p w14:paraId="2534F58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7．背靠板电动抬升倾角度≥65°；</w:t>
            </w:r>
          </w:p>
          <w:p w14:paraId="570AB7E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8．大腿板电动抬升倾角度≥30°；</w:t>
            </w:r>
          </w:p>
          <w:p w14:paraId="628CFDF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二、专业重症设计：</w:t>
            </w:r>
          </w:p>
          <w:p w14:paraId="347B448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▲1.床面为四段设计，符合人体工程学，床面不留孔洞，易于清洁打理；</w:t>
            </w:r>
          </w:p>
          <w:p w14:paraId="513DADE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2.采用分体式护拦，护栏具备气动缓释，背板护栏与坐板护栏之间距离≤50mm，坐板护栏尾端与床尾板之间空隙≥400mm，有效防止患者夹伤头部或腿部；（提供实物测量图用于佐证）</w:t>
            </w:r>
          </w:p>
          <w:p w14:paraId="6CCDB3B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3.具有背板和整床倾斜角度显示器各2个，方便医护人员确认床面角度；</w:t>
            </w:r>
          </w:p>
          <w:p w14:paraId="721A6FB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▲4.快卸床头板、床尾板，无需操作开关装置，上提式快卸结构，保证床头操作从容性；（无锁扣开关设计需提供实物图片用于佐证）</w:t>
            </w:r>
          </w:p>
          <w:p w14:paraId="4D72F03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5.引流挂钩≥10个；</w:t>
            </w:r>
          </w:p>
          <w:p w14:paraId="2735BCC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6.单个引流挂钩承重2kg；（承重需提供第三方检测证明文件）</w:t>
            </w:r>
          </w:p>
          <w:p w14:paraId="25D3D2B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7.具有4个缓冲防撞装置；</w:t>
            </w:r>
          </w:p>
          <w:p w14:paraId="3F0B6E4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8.具有4个输液杆插孔；</w:t>
            </w:r>
          </w:p>
          <w:p w14:paraId="1BF629C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9.上床架具有8个约束环；符合人体工程学，可用于上半身、手腕、膝盖、脚踝固定，更好保护病人，防止坠床；（护栏约束环不能统计于本参数，提供实物照片证明）</w:t>
            </w:r>
          </w:p>
          <w:p w14:paraId="6EF4724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10.配伸缩式输液杆1支，单个挂钩承重≥1.5kg；（承重需提供第三方检测证明文件）</w:t>
            </w:r>
          </w:p>
          <w:p w14:paraId="4FFDFA4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需同时具备以下重症9功能：重症基础5功能（背板升降、脚板升降、整体升降、头倾脚倾、背腿联动）+4个一键体位（一键心脏椅位、一键Fowler位、一键电动CPR位、一键检查位）；（提供控制面板实物图片用于佐证）</w:t>
            </w:r>
          </w:p>
          <w:p w14:paraId="1106E35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三、一键式体位模式：</w:t>
            </w:r>
          </w:p>
          <w:p w14:paraId="7F2EB00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▲1.具备重症电动一键式体位设计，一键体位≥4个；</w:t>
            </w:r>
          </w:p>
          <w:p w14:paraId="0560D94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2.具有一键式心脏椅体位功能，此体位能减少静脉回心血量，减轻心脏前负荷；</w:t>
            </w:r>
          </w:p>
          <w:p w14:paraId="5D9D8E7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3.具有一键式Fowler位，非背腿联动，使病人膈肌下降，改善病人通气；</w:t>
            </w:r>
          </w:p>
          <w:p w14:paraId="1AD23F6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4.具有一键式电动CPR位，紧急情况下，可迅速把背板与腿板放至于水平位，床面将至最低位，为病人抢救；</w:t>
            </w:r>
          </w:p>
          <w:p w14:paraId="45FE10D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5.具有一键式检查位，一键使病人处于方便医护人员检查的体位，减轻医护人员身体疲劳；</w:t>
            </w:r>
          </w:p>
          <w:p w14:paraId="07112BE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四、脚轮及刹车系统：</w:t>
            </w:r>
          </w:p>
          <w:p w14:paraId="63946B5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1.采用医用防静电脚轮，脚轮直径≥120mm，易推、耐蚀、耐磨、静音</w:t>
            </w:r>
          </w:p>
          <w:p w14:paraId="1DD048E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▲2.具有四轮联动脚轮锁定装置：四轮均有刹车，且刹车为联动，锁定一轮，即对所有脚轮锁定，减少操作人员工作量；</w:t>
            </w:r>
          </w:p>
          <w:p w14:paraId="1989E3A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床体控制器：</w:t>
            </w:r>
          </w:p>
          <w:p w14:paraId="491509B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3.具有多功能中央控制器，集成电动调节与一键式体位功能，方便医护人员操作；</w:t>
            </w:r>
          </w:p>
          <w:p w14:paraId="2CEDE58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4.中央控制器有电源提示功能，准确显示内置电源供电状态；</w:t>
            </w:r>
          </w:p>
        </w:tc>
      </w:tr>
      <w:tr w14:paraId="3CBDA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542822C7">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2</w:t>
            </w:r>
          </w:p>
        </w:tc>
        <w:tc>
          <w:tcPr>
            <w:tcW w:w="970" w:type="dxa"/>
            <w:tcBorders>
              <w:top w:val="single" w:color="auto" w:sz="4" w:space="0"/>
              <w:left w:val="single" w:color="auto" w:sz="4" w:space="0"/>
              <w:bottom w:val="single" w:color="auto" w:sz="4" w:space="0"/>
              <w:right w:val="single" w:color="auto" w:sz="4" w:space="0"/>
            </w:tcBorders>
            <w:vAlign w:val="center"/>
          </w:tcPr>
          <w:p w14:paraId="6C1954D3">
            <w:pPr>
              <w:keepLines/>
              <w:widowControl/>
              <w:adjustRightInd w:val="0"/>
              <w:snapToGrid w:val="0"/>
              <w:jc w:val="left"/>
              <w:rPr>
                <w:rFonts w:asciiTheme="minorEastAsia" w:hAnsiTheme="minorEastAsia" w:eastAsiaTheme="minorEastAsia"/>
                <w:color w:val="auto"/>
                <w:szCs w:val="21"/>
                <w:highlight w:val="none"/>
              </w:rPr>
            </w:pPr>
            <w:r>
              <w:rPr>
                <w:rFonts w:hint="eastAsia" w:ascii="宋体" w:hAnsi="宋体" w:cs="微软雅黑"/>
                <w:color w:val="auto"/>
                <w:szCs w:val="21"/>
                <w:highlight w:val="none"/>
              </w:rPr>
              <w:t>电动病床（2）</w:t>
            </w:r>
          </w:p>
        </w:tc>
        <w:tc>
          <w:tcPr>
            <w:tcW w:w="742" w:type="dxa"/>
            <w:tcBorders>
              <w:top w:val="single" w:color="auto" w:sz="4" w:space="0"/>
              <w:left w:val="single" w:color="auto" w:sz="4" w:space="0"/>
              <w:bottom w:val="single" w:color="auto" w:sz="4" w:space="0"/>
              <w:right w:val="single" w:color="auto" w:sz="4" w:space="0"/>
            </w:tcBorders>
            <w:vAlign w:val="center"/>
          </w:tcPr>
          <w:p w14:paraId="43929CA4">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15套</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68CBA3D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一、基本要求及用途</w:t>
            </w:r>
          </w:p>
          <w:p w14:paraId="7ABA8AA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1.重症监护室属于重点病人照护区域，电动床靠着电动驱动升降和护士控制面板，能够实现各种体位，使得医护人员有更多的时间去照顾病人，使得病人能够快速的康复；</w:t>
            </w:r>
          </w:p>
          <w:p w14:paraId="523C898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2.电动病床在临床使用中反馈良好，操作便捷，使用安全，不仅为病人提供舒适的治疗环境，更加缓解了医护的负担。采用四片可拆卸式ABS床板，不生锈不导电，易清洁维护，方便医院的感染管控进行。</w:t>
            </w:r>
          </w:p>
          <w:p w14:paraId="007B866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二、配置要求</w:t>
            </w:r>
          </w:p>
          <w:p w14:paraId="5214EB4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电动病床数量：1     床垫数量：1     输液架数量：1</w:t>
            </w:r>
          </w:p>
          <w:p w14:paraId="4B622A6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三、具体规格及技术参数</w:t>
            </w:r>
          </w:p>
          <w:p w14:paraId="2E499CE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317BBDD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1.床体尺寸(最外缘)：长度≥2160mm，护栏升起宽度≥1070mm，护栏放下宽度≤960mm；</w:t>
            </w:r>
          </w:p>
          <w:p w14:paraId="6F1CAC2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2.床面尺寸：长度≥1940mm，宽度≥910mm；</w:t>
            </w:r>
          </w:p>
          <w:p w14:paraId="60EEE47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3.升降功能：</w:t>
            </w:r>
          </w:p>
          <w:p w14:paraId="4ED0166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整床高低升降―升降由最低点430mm±20mm，至最高点730mm±20mm；</w:t>
            </w:r>
          </w:p>
          <w:p w14:paraId="48904E5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背部升降―升降角度0-70°±2°，腿部升降―升降角度0-30°±2°；</w:t>
            </w:r>
          </w:p>
          <w:p w14:paraId="37E23BB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 电动前后倾斜≥12°；</w:t>
            </w:r>
          </w:p>
          <w:p w14:paraId="57736F9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(4) 脚部七段式手动抬高功能，遇下肢水肿病患，可使病患小腿部放平； </w:t>
            </w:r>
          </w:p>
          <w:p w14:paraId="22BCC31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4.升降控制组：</w:t>
            </w:r>
          </w:p>
          <w:p w14:paraId="3AB0AF4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电源：交流电220V/50Hz，输出电压：DC24V；</w:t>
            </w:r>
          </w:p>
          <w:p w14:paraId="4A1F852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电机马达：采用进口品牌医用马达，床台、背部、腿部升降电动马达共4组；</w:t>
            </w:r>
          </w:p>
          <w:p w14:paraId="07DBBF0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▲(3)升降控制器：4组，内嵌于左右护栏内外侧，控制器按键采用微动开关，非薄膜式；</w:t>
            </w:r>
          </w:p>
          <w:p w14:paraId="08EF12C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▲(4)床尾升降锁控器：内嵌于床尾板下方。拆卸床尾板后，床尾升降锁控器可正常操作使用。具有床体各升降调整锁定功能，可分别管制床台、背部、腿部升降功能。4组以上按键式按钮，可操作升降功能；</w:t>
            </w:r>
          </w:p>
          <w:p w14:paraId="527C64B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 标配蓄电池，市电断电后可照常进行电动操作；</w:t>
            </w:r>
          </w:p>
          <w:p w14:paraId="0C3E9FA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 电动CPR功能：床体两侧下方具备电动CPR按键，单键操作即可将整床快速放平；</w:t>
            </w:r>
          </w:p>
          <w:p w14:paraId="57E3DDA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5.床    板：</w:t>
            </w:r>
          </w:p>
          <w:p w14:paraId="404700C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采ABS材质注塑成型，床板板材厚度≥4mm，可承重230kg，耐腐蚀，永不生锈；</w:t>
            </w:r>
          </w:p>
          <w:p w14:paraId="1BDB54A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四片床板可徒手拆卸，背部床板透气孔洞≥20个，提高病患卧床通气性；</w:t>
            </w:r>
          </w:p>
          <w:p w14:paraId="75FD9EC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 床板原生具有手部、腹部、膝部、脚部、胸部等≥10个束缚带固定孔；</w:t>
            </w:r>
          </w:p>
          <w:p w14:paraId="58844D6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  (4) 床面四角具原生一体集成床垫止滑垫，为扇形弧状非后加工，防止床垫滑动；</w:t>
            </w:r>
          </w:p>
          <w:p w14:paraId="0C1946B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6.护   栏：</w:t>
            </w:r>
          </w:p>
          <w:p w14:paraId="0D935D5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四片分体式护栏，采用ABS塑钢材质注塑成型制作。提供塑料抗菌检测报告（需为中国科学院权威研究所出具），包括大肠杆菌及金黄色葡萄球菌等检测；</w:t>
            </w:r>
          </w:p>
          <w:p w14:paraId="3E23F83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背部及腿部两护栏拉上之间距离小于60mm，防止病患滑落之危险；</w:t>
            </w:r>
          </w:p>
          <w:p w14:paraId="0935FF5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 护栏升降采用往床头或者床尾方向钟摆式旋转操作，节省操作空间；</w:t>
            </w:r>
          </w:p>
          <w:p w14:paraId="5F34670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7.床头尾板：采用ABS注塑成型，卡锁式固定，推动时无晃动，且遇急救时可快速拆卸；</w:t>
            </w:r>
          </w:p>
          <w:p w14:paraId="7BA7B3B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8.防撞护角：采用ABS注塑成型。外型圆滑平顺，减缓推动中与物体或墙面的碰撞；</w:t>
            </w:r>
          </w:p>
          <w:p w14:paraId="4F5CCC2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9.脚轮：采用≥125mm进口高性能医用脚轮，采四角刹车系统操作，灵活推送；</w:t>
            </w:r>
          </w:p>
          <w:p w14:paraId="107D0FD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10.床体：</w:t>
            </w:r>
          </w:p>
          <w:p w14:paraId="290EE94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整体床架采用钢骨结构设计，钢管厚度≥2mm，提供相关证明。</w:t>
            </w:r>
          </w:p>
          <w:p w14:paraId="266ACE5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整体床架采先进的烤漆工艺，涂层厚度≥75um，提供烤漆抗菌检测报告（需为中国科学院权威研究所出具），包括大肠杆菌及金黄色葡萄球菌等检测；</w:t>
            </w:r>
          </w:p>
          <w:p w14:paraId="304D488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 床体两侧各装设≥3个污物袋挂钩，圆钢条制。床体四角具输液架插座≥4个；</w:t>
            </w:r>
          </w:p>
          <w:p w14:paraId="528FB10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11.配件：</w:t>
            </w:r>
          </w:p>
          <w:p w14:paraId="178FA99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（1）标准医用床垫：1片/床。外罩为防水材质，易清洁，耐消毒。内芯为高密度海绵，一面为多点块状切割透气层，一面为平面。厚度≥12cm。</w:t>
            </w:r>
          </w:p>
          <w:p w14:paraId="75299E8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（2）输液架：1支/床，可伸缩式，收纳方便，采用不锈钢材制作，伸缩杆为实心不锈钢。</w:t>
            </w:r>
          </w:p>
          <w:p w14:paraId="52EB0FB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四、售后服务</w:t>
            </w:r>
          </w:p>
          <w:p w14:paraId="5C2414DE">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1.上门安装服务：提供送货、安装调试及操作培训等，遵守国家三包规定。</w:t>
            </w:r>
          </w:p>
          <w:p w14:paraId="2B92C2BE">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2.保修政策：提供终身保修服务，包括上门维修和寄送配件维修。</w:t>
            </w:r>
          </w:p>
          <w:p w14:paraId="26B33646">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3.主机保修期：不少于12个月，自终端签收之日起计算。</w:t>
            </w:r>
          </w:p>
          <w:p w14:paraId="3ECEB678">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4.换货政策：若产品存在质量问题，厂家将在15天内无条件更换全新产品，自终端签收之日起计算。</w:t>
            </w:r>
          </w:p>
        </w:tc>
      </w:tr>
      <w:tr w14:paraId="26FBFF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409E8D5E">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3</w:t>
            </w:r>
          </w:p>
        </w:tc>
        <w:tc>
          <w:tcPr>
            <w:tcW w:w="970" w:type="dxa"/>
            <w:tcBorders>
              <w:top w:val="single" w:color="auto" w:sz="4" w:space="0"/>
              <w:left w:val="single" w:color="auto" w:sz="4" w:space="0"/>
              <w:bottom w:val="single" w:color="auto" w:sz="4" w:space="0"/>
              <w:right w:val="single" w:color="auto" w:sz="4" w:space="0"/>
            </w:tcBorders>
            <w:vAlign w:val="center"/>
          </w:tcPr>
          <w:p w14:paraId="1A72703E">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医用控温仪</w:t>
            </w:r>
          </w:p>
        </w:tc>
        <w:tc>
          <w:tcPr>
            <w:tcW w:w="742" w:type="dxa"/>
            <w:tcBorders>
              <w:top w:val="single" w:color="auto" w:sz="4" w:space="0"/>
              <w:left w:val="single" w:color="auto" w:sz="4" w:space="0"/>
              <w:bottom w:val="single" w:color="auto" w:sz="4" w:space="0"/>
              <w:right w:val="single" w:color="auto" w:sz="4" w:space="0"/>
            </w:tcBorders>
            <w:vAlign w:val="center"/>
          </w:tcPr>
          <w:p w14:paraId="58F5E62E">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5套</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6269CA8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一、基本要求及用途</w:t>
            </w:r>
          </w:p>
          <w:p w14:paraId="1671B5F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1.颅脑手术后实施亚低温保护防止颅内压增高、脑水肿、中枢神经损伤、脑血管意外、脑炎等。</w:t>
            </w:r>
          </w:p>
          <w:p w14:paraId="04EF4C8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2.可降低脑损耗氧量及脑代谢率，增加对缺氧的耐受力；保护血脑屏障，减轻脑水肿；</w:t>
            </w:r>
          </w:p>
          <w:p w14:paraId="6296F4F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3.可降低脑细胞的代谢，提高脑组织对缺氧的耐受性，减少脑细胞损害。</w:t>
            </w:r>
          </w:p>
          <w:p w14:paraId="0C8DFD1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4.头部使用冰帽可降低头部温度，以防治脑水肿</w:t>
            </w:r>
          </w:p>
          <w:p w14:paraId="3DB6802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5.可抑制内源性毒性物质对脑细胞的损害作用；</w:t>
            </w:r>
          </w:p>
          <w:p w14:paraId="1ACFFD7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6.减少钙离子内流，减轻脑损伤后的钙超载；</w:t>
            </w:r>
          </w:p>
          <w:p w14:paraId="79691B6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7.抑制脑内脂质过氧化反应，保护脑组织自身的抗氧能力，有利于脑功能恢复；</w:t>
            </w:r>
          </w:p>
          <w:p w14:paraId="7F09B90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8.改善脑组织酸中毒症状，减少神经细胞结构蛋白破坏；减轻神经细胞死亡。</w:t>
            </w:r>
          </w:p>
          <w:p w14:paraId="6679F6D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二、配置要求</w:t>
            </w:r>
          </w:p>
          <w:p w14:paraId="2CD870B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主机1个，电源线1条，冰毯，冰帽(含包套、连接管8条），冰毯2套，冰帽2套，体温传感器4条，保修卡1份，使用说明书1份，挂篮2个，防尘罩1个，保险管2个，冰毯冰帽外套4套，注水口1个</w:t>
            </w:r>
          </w:p>
          <w:p w14:paraId="7458C1A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三、具体规格及技术参数</w:t>
            </w:r>
          </w:p>
          <w:p w14:paraId="1FDC0E4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21DD06C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1.供电电源：220VAC，50Hz；额定功率：650VA；</w:t>
            </w:r>
          </w:p>
          <w:p w14:paraId="7E3ADF9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2.水温温度控制范围：4-40℃；</w:t>
            </w:r>
          </w:p>
          <w:p w14:paraId="4866499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3.升温/降温双重功能：具备升温（26-40℃）与降温（4-25℃）双重功能；</w:t>
            </w:r>
          </w:p>
          <w:p w14:paraId="297837B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4.空载平均降温速度与升温速度：平均降温速度≥1.3℃/分钟；平均升温速度≥0.8℃/分钟；</w:t>
            </w:r>
          </w:p>
          <w:p w14:paraId="0498ECE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5.负载最大平均降温速度与升温速度：平均降温速度≥2.0℃/h；平均升温速度≥1.0℃/h；</w:t>
            </w:r>
          </w:p>
          <w:p w14:paraId="5E7C82C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6.体温监测：具有体表温度和体腔温度两种专用探头，目标温度设置范围30-45℃，监测精度±0.2℃；</w:t>
            </w:r>
          </w:p>
          <w:p w14:paraId="0E45DE9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7.体温监测报警：双路体温监测报警均可同时独立设置体温下限和（或）体温上限，体温超限时报警并停止输出；</w:t>
            </w:r>
          </w:p>
          <w:p w14:paraId="53FD8EF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8.输出控制方式：四路两组输出，同一侧两路为一组，左右分别控制，双毯双帽可同时工作；</w:t>
            </w:r>
          </w:p>
          <w:p w14:paraId="23CD859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9.定时范围：1-99小时或长期运行，可自动计时（包括倒计时）；</w:t>
            </w:r>
          </w:p>
          <w:p w14:paraId="28B78BD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10.人机交互方式：高亮度LCD中文及图标显示，简洁明确，方便夜间及紧急情况下使用；</w:t>
            </w:r>
          </w:p>
          <w:p w14:paraId="7FE92AE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11.固化程序：内置10个常用固化程序，方便紧急时使用，也可用户自定义设置；</w:t>
            </w:r>
          </w:p>
          <w:p w14:paraId="783D6BB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12.断电保护功能：具备断电保护功能，断电时再通电开机后，仪器自动运行断电前的程序；</w:t>
            </w:r>
          </w:p>
          <w:p w14:paraId="3E84015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13.患者治疗信息存储：采用SD卡装置，可无限量存储患者处方等信息，方便日常治疗管理和开展科研项目，也可帮助避免医疗纠纷；</w:t>
            </w:r>
          </w:p>
          <w:p w14:paraId="2126796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14.噪声控制：正常工作噪声≤55dB；</w:t>
            </w:r>
          </w:p>
          <w:p w14:paraId="6FFC6A0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15.毯/帽设计：TPU材质毯/帽采用蜂窝设计，保证液体流动性，降温快且均匀；冰帽为贴敷式设计，低温时柔软，贴近患者皮肤，体感舒适；</w:t>
            </w:r>
          </w:p>
          <w:p w14:paraId="33C28EC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16.快速接头设计：采用进口双向快速液压接头，密封性好，无液体喷溅，方便操作；</w:t>
            </w:r>
          </w:p>
          <w:p w14:paraId="6598BBD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17.故障智能诊断：具有水量不足、传感器松脱等智能提示功能；</w:t>
            </w:r>
          </w:p>
          <w:p w14:paraId="3ED8463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18.外壳材质与工艺：外壳采用优质钣金一次成型，并做防锈喷漆处理；</w:t>
            </w:r>
          </w:p>
          <w:p w14:paraId="023D5AC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19.毯帽存储便捷性：主机附带毯帽存储篮，方便毯帽的收纳管理，提高毯帽的使用寿命；</w:t>
            </w:r>
          </w:p>
          <w:p w14:paraId="65FDE69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20.整机重量≤40Kg，整机尺寸（长×宽×高）≤500mm×320mm×920mm。</w:t>
            </w:r>
          </w:p>
          <w:p w14:paraId="316E74C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四、售后服务</w:t>
            </w:r>
          </w:p>
          <w:p w14:paraId="1CB569F6">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1.上门安装服务：提供送货、安装调试及操作培训等，遵守国家三包规定。</w:t>
            </w:r>
          </w:p>
          <w:p w14:paraId="021D4DC4">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2.保修政策：提供终身保修服务，包括上门维修和寄送配件维修。</w:t>
            </w:r>
          </w:p>
          <w:p w14:paraId="236611D7">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3.主机保修期：不少于12个月，自终端签收之日起计算。</w:t>
            </w:r>
          </w:p>
          <w:p w14:paraId="7ACB436F">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4.换货政策：若产品存在质量问题，厂家将在15天内无条件更换全新产品，自终端签收之日起计算。</w:t>
            </w:r>
          </w:p>
        </w:tc>
      </w:tr>
      <w:tr w14:paraId="6BC043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41AFEA42">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4</w:t>
            </w:r>
          </w:p>
        </w:tc>
        <w:tc>
          <w:tcPr>
            <w:tcW w:w="970" w:type="dxa"/>
            <w:tcBorders>
              <w:top w:val="single" w:color="auto" w:sz="4" w:space="0"/>
              <w:left w:val="single" w:color="auto" w:sz="4" w:space="0"/>
              <w:bottom w:val="single" w:color="auto" w:sz="4" w:space="0"/>
              <w:right w:val="single" w:color="auto" w:sz="4" w:space="0"/>
            </w:tcBorders>
            <w:vAlign w:val="center"/>
          </w:tcPr>
          <w:p w14:paraId="69C55DEA">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振动排痰仪</w:t>
            </w:r>
          </w:p>
        </w:tc>
        <w:tc>
          <w:tcPr>
            <w:tcW w:w="742" w:type="dxa"/>
            <w:tcBorders>
              <w:top w:val="single" w:color="auto" w:sz="4" w:space="0"/>
              <w:left w:val="single" w:color="auto" w:sz="4" w:space="0"/>
              <w:bottom w:val="single" w:color="auto" w:sz="4" w:space="0"/>
              <w:right w:val="single" w:color="auto" w:sz="4" w:space="0"/>
            </w:tcBorders>
            <w:vAlign w:val="center"/>
          </w:tcPr>
          <w:p w14:paraId="459BAD1C">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4台</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640EE7A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1.供电电源：100-240V~，50/60Hz</w:t>
            </w:r>
          </w:p>
          <w:p w14:paraId="07B77F8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2.振动频率：≤13Hz，控制精度±15%，调节步长1Hz，长按可以连续调节</w:t>
            </w:r>
          </w:p>
          <w:p w14:paraId="26C977F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▲3.振动压力：≥0.4-4kPa，≥1-10级可调，调节步长1级，长按可以连续调节</w:t>
            </w:r>
          </w:p>
          <w:p w14:paraId="7DDD5D6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4.振动压力控制精度：输出值与设置值的误差不超过±0.2kPa</w:t>
            </w:r>
          </w:p>
          <w:p w14:paraId="55D6409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5.定时时间：1-60分钟可调，调节步长1分钟，长按可以连续调节</w:t>
            </w:r>
          </w:p>
          <w:p w14:paraId="7CA648B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6.人机交互界面：10.7寸操作界面，内嵌4.3寸单色高清LCD显示，中文导航式操作指引，多参数显示及可调（频率、压力、时间等）</w:t>
            </w:r>
          </w:p>
          <w:p w14:paraId="2B8F9DF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7.患者紧急停止保护：通过手持开关实现患者自主的紧急停止保护</w:t>
            </w:r>
          </w:p>
          <w:p w14:paraId="5C3748A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8.空气脉冲发生器：采用直流无刷电机和鼓风机，能量输出稳定，整机设计使用期≥10年</w:t>
            </w:r>
          </w:p>
          <w:p w14:paraId="6E39184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▲9.背心设计：全胸充气背心采用倒V式设计，在确保患者有效咳嗽、咳痰时，避免对胃脘部的振荡；</w:t>
            </w:r>
          </w:p>
          <w:p w14:paraId="16CA9CC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10.背心类型：背心式或胸带式气囊可选，耐用型或非耐用型可选，儿童型大中小号、标准型大中小号可选（具有检测报告）</w:t>
            </w:r>
          </w:p>
          <w:p w14:paraId="0CE0CC5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11.背心内衬：具有可拆卸内衬设计，满足单人单用，避免交叉感染</w:t>
            </w:r>
          </w:p>
          <w:p w14:paraId="7781848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12.信息存储：可选配≥4G内存卡存储仪器运行信息，方便日常治疗管理及科研工作</w:t>
            </w:r>
          </w:p>
          <w:p w14:paraId="50B65073">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13.主机重量≤15Kg，主机尺寸（长×宽×高）≤390mm×260mm×260mm</w:t>
            </w:r>
          </w:p>
        </w:tc>
      </w:tr>
      <w:tr w14:paraId="5ED8D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26A0B3C7">
            <w:pPr>
              <w:spacing w:line="360" w:lineRule="exact"/>
              <w:textAlignment w:val="center"/>
              <w:rPr>
                <w:rFonts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rPr>
              <w:t>二、</w:t>
            </w:r>
            <w:r>
              <w:rPr>
                <w:rFonts w:hint="eastAsia" w:asciiTheme="minorEastAsia" w:hAnsiTheme="minorEastAsia" w:eastAsiaTheme="minorEastAsia"/>
                <w:b/>
                <w:color w:val="auto"/>
                <w:szCs w:val="21"/>
                <w:highlight w:val="none"/>
              </w:rPr>
              <w:t>商务要求表</w:t>
            </w:r>
          </w:p>
        </w:tc>
      </w:tr>
      <w:tr w14:paraId="50D37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7AB5D669">
            <w:pPr>
              <w:pStyle w:val="54"/>
              <w:spacing w:before="34" w:line="229" w:lineRule="auto"/>
              <w:ind w:left="117"/>
              <w:rPr>
                <w:rFonts w:asciiTheme="minorEastAsia" w:hAnsiTheme="minorEastAsia" w:eastAsiaTheme="minorEastAsia"/>
                <w:color w:val="auto"/>
                <w:sz w:val="21"/>
                <w:szCs w:val="21"/>
                <w:highlight w:val="none"/>
              </w:rPr>
            </w:pPr>
            <w:r>
              <w:rPr>
                <w:color w:val="auto"/>
                <w:spacing w:val="7"/>
                <w:sz w:val="21"/>
                <w:szCs w:val="21"/>
                <w:highlight w:val="none"/>
              </w:rPr>
              <w:t>合同签订期</w:t>
            </w:r>
          </w:p>
        </w:tc>
        <w:tc>
          <w:tcPr>
            <w:tcW w:w="7836" w:type="dxa"/>
            <w:gridSpan w:val="2"/>
            <w:tcBorders>
              <w:top w:val="single" w:color="auto" w:sz="4" w:space="0"/>
              <w:left w:val="single" w:color="auto" w:sz="4" w:space="0"/>
              <w:bottom w:val="single" w:color="auto" w:sz="4" w:space="0"/>
            </w:tcBorders>
          </w:tcPr>
          <w:p w14:paraId="5501C8CC">
            <w:pPr>
              <w:pStyle w:val="54"/>
              <w:spacing w:before="34" w:line="233" w:lineRule="auto"/>
              <w:ind w:left="113" w:right="156" w:firstLine="33"/>
              <w:rPr>
                <w:rFonts w:cs="Courier New" w:asciiTheme="minorEastAsia" w:hAnsiTheme="minorEastAsia" w:eastAsiaTheme="minorEastAsia"/>
                <w:color w:val="auto"/>
                <w:sz w:val="21"/>
                <w:szCs w:val="21"/>
                <w:highlight w:val="none"/>
              </w:rPr>
            </w:pPr>
            <w:r>
              <w:rPr>
                <w:color w:val="auto"/>
                <w:spacing w:val="6"/>
                <w:sz w:val="21"/>
                <w:szCs w:val="21"/>
                <w:highlight w:val="none"/>
              </w:rPr>
              <w:t>自中标通知书发出之日起25日历日内(注：中标通知书发出之</w:t>
            </w:r>
            <w:r>
              <w:rPr>
                <w:color w:val="auto"/>
                <w:spacing w:val="5"/>
                <w:sz w:val="21"/>
                <w:szCs w:val="21"/>
                <w:highlight w:val="none"/>
              </w:rPr>
              <w:t>日起25日内必须签订</w:t>
            </w:r>
            <w:r>
              <w:rPr>
                <w:color w:val="auto"/>
                <w:spacing w:val="7"/>
                <w:sz w:val="21"/>
                <w:szCs w:val="21"/>
                <w:highlight w:val="none"/>
              </w:rPr>
              <w:t>合同。)</w:t>
            </w:r>
          </w:p>
        </w:tc>
      </w:tr>
      <w:tr w14:paraId="232F9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5B772E2E">
            <w:pPr>
              <w:pStyle w:val="54"/>
              <w:spacing w:before="36" w:line="232" w:lineRule="auto"/>
              <w:ind w:left="120" w:right="170"/>
              <w:rPr>
                <w:rFonts w:asciiTheme="minorEastAsia" w:hAnsiTheme="minorEastAsia" w:eastAsiaTheme="minorEastAsia"/>
                <w:color w:val="auto"/>
                <w:sz w:val="21"/>
                <w:szCs w:val="21"/>
                <w:highlight w:val="none"/>
              </w:rPr>
            </w:pPr>
            <w:r>
              <w:rPr>
                <w:color w:val="auto"/>
                <w:spacing w:val="7"/>
                <w:sz w:val="21"/>
                <w:szCs w:val="21"/>
                <w:highlight w:val="none"/>
              </w:rPr>
              <w:t>交付时间及交</w:t>
            </w:r>
            <w:r>
              <w:rPr>
                <w:color w:val="auto"/>
                <w:spacing w:val="5"/>
                <w:sz w:val="21"/>
                <w:szCs w:val="21"/>
                <w:highlight w:val="none"/>
              </w:rPr>
              <w:t>货地点</w:t>
            </w:r>
          </w:p>
        </w:tc>
        <w:tc>
          <w:tcPr>
            <w:tcW w:w="7836" w:type="dxa"/>
            <w:gridSpan w:val="2"/>
            <w:tcBorders>
              <w:top w:val="single" w:color="auto" w:sz="4" w:space="0"/>
              <w:left w:val="single" w:color="auto" w:sz="4" w:space="0"/>
              <w:bottom w:val="single" w:color="auto" w:sz="4" w:space="0"/>
            </w:tcBorders>
          </w:tcPr>
          <w:p w14:paraId="73077EB0">
            <w:pPr>
              <w:pStyle w:val="54"/>
              <w:spacing w:before="34" w:line="228" w:lineRule="auto"/>
              <w:ind w:left="117"/>
              <w:rPr>
                <w:color w:val="auto"/>
                <w:sz w:val="21"/>
                <w:szCs w:val="21"/>
                <w:highlight w:val="none"/>
              </w:rPr>
            </w:pPr>
            <w:r>
              <w:rPr>
                <w:color w:val="auto"/>
                <w:spacing w:val="7"/>
                <w:sz w:val="21"/>
                <w:szCs w:val="21"/>
                <w:highlight w:val="none"/>
              </w:rPr>
              <w:t>交付时间：自合同签订之日起30天内交货并</w:t>
            </w:r>
            <w:r>
              <w:rPr>
                <w:color w:val="auto"/>
                <w:spacing w:val="6"/>
                <w:sz w:val="21"/>
                <w:szCs w:val="21"/>
                <w:highlight w:val="none"/>
              </w:rPr>
              <w:t>安装调试合格。</w:t>
            </w:r>
          </w:p>
          <w:p w14:paraId="4D0F793E">
            <w:pPr>
              <w:pStyle w:val="54"/>
              <w:spacing w:before="24" w:line="215" w:lineRule="auto"/>
              <w:ind w:left="117"/>
              <w:rPr>
                <w:rFonts w:asciiTheme="minorEastAsia" w:hAnsiTheme="minorEastAsia" w:eastAsiaTheme="minorEastAsia"/>
                <w:color w:val="auto"/>
                <w:sz w:val="21"/>
                <w:szCs w:val="21"/>
                <w:highlight w:val="none"/>
              </w:rPr>
            </w:pPr>
            <w:r>
              <w:rPr>
                <w:color w:val="auto"/>
                <w:spacing w:val="8"/>
                <w:sz w:val="21"/>
                <w:szCs w:val="21"/>
                <w:highlight w:val="none"/>
              </w:rPr>
              <w:t>交货地点：采购人指定地点</w:t>
            </w:r>
          </w:p>
        </w:tc>
      </w:tr>
      <w:tr w14:paraId="380596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157D272A">
            <w:pPr>
              <w:spacing w:line="286" w:lineRule="auto"/>
              <w:rPr>
                <w:rFonts w:ascii="Arial"/>
                <w:color w:val="auto"/>
                <w:szCs w:val="21"/>
                <w:highlight w:val="none"/>
              </w:rPr>
            </w:pPr>
          </w:p>
          <w:p w14:paraId="7C82DE40">
            <w:pPr>
              <w:spacing w:line="287" w:lineRule="auto"/>
              <w:rPr>
                <w:rFonts w:ascii="Arial"/>
                <w:color w:val="auto"/>
                <w:szCs w:val="21"/>
                <w:highlight w:val="none"/>
              </w:rPr>
            </w:pPr>
          </w:p>
          <w:p w14:paraId="1EAD1852">
            <w:pPr>
              <w:spacing w:line="287" w:lineRule="auto"/>
              <w:rPr>
                <w:rFonts w:ascii="Arial"/>
                <w:color w:val="auto"/>
                <w:szCs w:val="21"/>
                <w:highlight w:val="none"/>
              </w:rPr>
            </w:pPr>
          </w:p>
          <w:p w14:paraId="336FFD2B">
            <w:pPr>
              <w:pStyle w:val="54"/>
              <w:spacing w:before="65" w:line="229" w:lineRule="auto"/>
              <w:ind w:left="117"/>
              <w:rPr>
                <w:rFonts w:asciiTheme="minorEastAsia" w:hAnsiTheme="minorEastAsia" w:eastAsiaTheme="minorEastAsia"/>
                <w:color w:val="auto"/>
                <w:sz w:val="21"/>
                <w:szCs w:val="21"/>
                <w:highlight w:val="none"/>
              </w:rPr>
            </w:pPr>
            <w:r>
              <w:rPr>
                <w:color w:val="auto"/>
                <w:spacing w:val="6"/>
                <w:sz w:val="21"/>
                <w:szCs w:val="21"/>
                <w:highlight w:val="none"/>
              </w:rPr>
              <w:t>质保期</w:t>
            </w:r>
          </w:p>
        </w:tc>
        <w:tc>
          <w:tcPr>
            <w:tcW w:w="7836" w:type="dxa"/>
            <w:gridSpan w:val="2"/>
            <w:tcBorders>
              <w:top w:val="single" w:color="auto" w:sz="4" w:space="0"/>
              <w:left w:val="single" w:color="auto" w:sz="4" w:space="0"/>
              <w:bottom w:val="single" w:color="auto" w:sz="4" w:space="0"/>
            </w:tcBorders>
          </w:tcPr>
          <w:p w14:paraId="25AE8C26">
            <w:pPr>
              <w:pStyle w:val="54"/>
              <w:spacing w:before="34" w:line="247" w:lineRule="auto"/>
              <w:ind w:left="112" w:right="153" w:firstLine="15"/>
              <w:rPr>
                <w:color w:val="auto"/>
                <w:sz w:val="21"/>
                <w:szCs w:val="21"/>
                <w:highlight w:val="none"/>
              </w:rPr>
            </w:pPr>
            <w:r>
              <w:rPr>
                <w:color w:val="auto"/>
                <w:spacing w:val="8"/>
                <w:sz w:val="21"/>
                <w:szCs w:val="21"/>
                <w:highlight w:val="none"/>
              </w:rPr>
              <w:t>1.所有投标设备必须是具备厂商合法渠道的全新产品，按国家有关产品“三包”规定</w:t>
            </w:r>
            <w:r>
              <w:rPr>
                <w:color w:val="auto"/>
                <w:spacing w:val="7"/>
                <w:sz w:val="21"/>
                <w:szCs w:val="21"/>
                <w:highlight w:val="none"/>
              </w:rPr>
              <w:t>执行“三包”，自交货安装并验收合格之日起，所有货物提供至少1年的免费质保(</w:t>
            </w:r>
            <w:r>
              <w:rPr>
                <w:color w:val="auto"/>
                <w:spacing w:val="10"/>
                <w:sz w:val="21"/>
                <w:szCs w:val="21"/>
                <w:highlight w:val="none"/>
              </w:rPr>
              <w:t>若生产厂商免费质保期超过此年限的，按生产厂商规</w:t>
            </w:r>
            <w:r>
              <w:rPr>
                <w:color w:val="auto"/>
                <w:spacing w:val="9"/>
                <w:sz w:val="21"/>
                <w:szCs w:val="21"/>
                <w:highlight w:val="none"/>
              </w:rPr>
              <w:t>定执行)及免费维修服务，质保期</w:t>
            </w:r>
            <w:r>
              <w:rPr>
                <w:color w:val="auto"/>
                <w:spacing w:val="10"/>
                <w:sz w:val="21"/>
                <w:szCs w:val="21"/>
                <w:highlight w:val="none"/>
              </w:rPr>
              <w:t>内，中标人将负责处理并解决故障，并免费更换有故障的零</w:t>
            </w:r>
            <w:r>
              <w:rPr>
                <w:color w:val="auto"/>
                <w:spacing w:val="9"/>
                <w:sz w:val="21"/>
                <w:szCs w:val="21"/>
                <w:highlight w:val="none"/>
              </w:rPr>
              <w:t>、部件，一切费用由中标人负责。终身提供维修服务</w:t>
            </w:r>
            <w:r>
              <w:rPr>
                <w:rFonts w:hint="eastAsia"/>
                <w:color w:val="auto"/>
                <w:spacing w:val="9"/>
                <w:sz w:val="21"/>
                <w:szCs w:val="21"/>
                <w:highlight w:val="none"/>
                <w:lang w:eastAsia="zh-CN"/>
              </w:rPr>
              <w:t>的</w:t>
            </w:r>
            <w:r>
              <w:rPr>
                <w:color w:val="auto"/>
                <w:spacing w:val="9"/>
                <w:sz w:val="21"/>
                <w:szCs w:val="21"/>
                <w:highlight w:val="none"/>
              </w:rPr>
              <w:t>，质保期外维修只收材料成本费。</w:t>
            </w:r>
          </w:p>
          <w:p w14:paraId="7435A927">
            <w:pPr>
              <w:pStyle w:val="54"/>
              <w:spacing w:before="24"/>
              <w:ind w:left="136" w:right="152" w:hanging="21"/>
              <w:rPr>
                <w:rFonts w:asciiTheme="minorEastAsia" w:hAnsiTheme="minorEastAsia"/>
                <w:color w:val="auto"/>
                <w:sz w:val="21"/>
                <w:szCs w:val="21"/>
                <w:highlight w:val="none"/>
                <w:lang w:eastAsia="zh-CN"/>
              </w:rPr>
            </w:pPr>
            <w:r>
              <w:rPr>
                <w:color w:val="auto"/>
                <w:spacing w:val="9"/>
                <w:sz w:val="21"/>
                <w:szCs w:val="21"/>
                <w:highlight w:val="none"/>
              </w:rPr>
              <w:t>2.质保内容:质保整机(整台、整套)，质保期内保证设备的合法性使用，国家强制检测由中标人负责，保质期内的质量责任由中标人承担；</w:t>
            </w:r>
            <w:r>
              <w:rPr>
                <w:rFonts w:hint="eastAsia"/>
                <w:color w:val="auto"/>
                <w:spacing w:val="9"/>
                <w:sz w:val="21"/>
                <w:szCs w:val="21"/>
                <w:highlight w:val="none"/>
                <w:lang w:eastAsia="zh-CN"/>
              </w:rPr>
              <w:t>质保期内保证所保设备全年工作日的开机率至少达到95%，全年工作日按照365天计算，未达到的天数，按1:2比例顺延服务期时间。</w:t>
            </w:r>
          </w:p>
        </w:tc>
      </w:tr>
      <w:tr w14:paraId="424E31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57D5D4C8">
            <w:pPr>
              <w:rPr>
                <w:rFonts w:ascii="Arial"/>
                <w:color w:val="auto"/>
                <w:szCs w:val="21"/>
                <w:highlight w:val="none"/>
              </w:rPr>
            </w:pPr>
          </w:p>
          <w:p w14:paraId="7A57EEF1">
            <w:pPr>
              <w:rPr>
                <w:rFonts w:ascii="Arial"/>
                <w:color w:val="auto"/>
                <w:szCs w:val="21"/>
                <w:highlight w:val="none"/>
              </w:rPr>
            </w:pPr>
          </w:p>
          <w:p w14:paraId="5FBBB1E4">
            <w:pPr>
              <w:rPr>
                <w:rFonts w:ascii="Arial"/>
                <w:color w:val="auto"/>
                <w:szCs w:val="21"/>
                <w:highlight w:val="none"/>
              </w:rPr>
            </w:pPr>
          </w:p>
          <w:p w14:paraId="3677B87B">
            <w:pPr>
              <w:spacing w:line="241" w:lineRule="auto"/>
              <w:rPr>
                <w:rFonts w:ascii="Arial"/>
                <w:color w:val="auto"/>
                <w:szCs w:val="21"/>
                <w:highlight w:val="none"/>
              </w:rPr>
            </w:pPr>
          </w:p>
          <w:p w14:paraId="42C45CFA">
            <w:pPr>
              <w:spacing w:line="241" w:lineRule="auto"/>
              <w:rPr>
                <w:rFonts w:ascii="Arial"/>
                <w:color w:val="auto"/>
                <w:szCs w:val="21"/>
                <w:highlight w:val="none"/>
              </w:rPr>
            </w:pPr>
          </w:p>
          <w:p w14:paraId="613D6162">
            <w:pPr>
              <w:spacing w:line="241" w:lineRule="auto"/>
              <w:rPr>
                <w:rFonts w:ascii="Arial"/>
                <w:color w:val="auto"/>
                <w:szCs w:val="21"/>
                <w:highlight w:val="none"/>
              </w:rPr>
            </w:pPr>
          </w:p>
          <w:p w14:paraId="13F6514D">
            <w:pPr>
              <w:spacing w:line="241" w:lineRule="auto"/>
              <w:rPr>
                <w:rFonts w:ascii="Arial"/>
                <w:color w:val="auto"/>
                <w:szCs w:val="21"/>
                <w:highlight w:val="none"/>
              </w:rPr>
            </w:pPr>
          </w:p>
          <w:p w14:paraId="1DD4C963">
            <w:pPr>
              <w:spacing w:line="241" w:lineRule="auto"/>
              <w:rPr>
                <w:rFonts w:ascii="Arial"/>
                <w:color w:val="auto"/>
                <w:szCs w:val="21"/>
                <w:highlight w:val="none"/>
              </w:rPr>
            </w:pPr>
          </w:p>
          <w:p w14:paraId="60E76463">
            <w:pPr>
              <w:spacing w:line="241" w:lineRule="auto"/>
              <w:rPr>
                <w:rFonts w:ascii="Arial"/>
                <w:color w:val="auto"/>
                <w:szCs w:val="21"/>
                <w:highlight w:val="none"/>
              </w:rPr>
            </w:pPr>
          </w:p>
          <w:p w14:paraId="207DE1A3">
            <w:pPr>
              <w:spacing w:line="241" w:lineRule="auto"/>
              <w:rPr>
                <w:rFonts w:ascii="Arial"/>
                <w:color w:val="auto"/>
                <w:szCs w:val="21"/>
                <w:highlight w:val="none"/>
              </w:rPr>
            </w:pPr>
          </w:p>
          <w:p w14:paraId="6E939A42">
            <w:pPr>
              <w:pStyle w:val="54"/>
              <w:spacing w:before="65"/>
              <w:ind w:left="115" w:right="171"/>
              <w:rPr>
                <w:rFonts w:asciiTheme="minorEastAsia" w:hAnsiTheme="minorEastAsia" w:eastAsiaTheme="minorEastAsia"/>
                <w:color w:val="auto"/>
                <w:sz w:val="21"/>
                <w:szCs w:val="21"/>
                <w:highlight w:val="none"/>
              </w:rPr>
            </w:pPr>
            <w:r>
              <w:rPr>
                <w:color w:val="auto"/>
                <w:spacing w:val="8"/>
                <w:sz w:val="21"/>
                <w:szCs w:val="21"/>
                <w:highlight w:val="none"/>
              </w:rPr>
              <w:t>售后服务要求及培训要求</w:t>
            </w:r>
          </w:p>
        </w:tc>
        <w:tc>
          <w:tcPr>
            <w:tcW w:w="7836" w:type="dxa"/>
            <w:gridSpan w:val="2"/>
            <w:tcBorders>
              <w:top w:val="single" w:color="auto" w:sz="4" w:space="0"/>
              <w:left w:val="single" w:color="auto" w:sz="4" w:space="0"/>
              <w:bottom w:val="single" w:color="auto" w:sz="4" w:space="0"/>
            </w:tcBorders>
          </w:tcPr>
          <w:p w14:paraId="382BAC6B">
            <w:pPr>
              <w:pStyle w:val="54"/>
              <w:spacing w:before="37" w:line="239" w:lineRule="auto"/>
              <w:ind w:left="111" w:right="261" w:firstLine="15"/>
              <w:rPr>
                <w:color w:val="auto"/>
                <w:sz w:val="21"/>
                <w:szCs w:val="21"/>
                <w:highlight w:val="none"/>
              </w:rPr>
            </w:pPr>
            <w:r>
              <w:rPr>
                <w:color w:val="auto"/>
                <w:spacing w:val="9"/>
                <w:sz w:val="21"/>
                <w:szCs w:val="21"/>
                <w:highlight w:val="none"/>
              </w:rPr>
              <w:t>1.</w:t>
            </w:r>
            <w:r>
              <w:rPr>
                <w:rFonts w:hint="eastAsia"/>
                <w:color w:val="auto"/>
                <w:spacing w:val="9"/>
                <w:sz w:val="21"/>
                <w:szCs w:val="21"/>
                <w:highlight w:val="none"/>
                <w:lang w:eastAsia="zh-CN"/>
              </w:rPr>
              <w:t>供应商负责货物运输、保险及卸货至采购人指定地点，提供上门安装调试服务，且不得额外收取运输、安装、调试等任何费用。采购人需要设备开放数据端口接入业务系统时</w:t>
            </w:r>
            <w:r>
              <w:rPr>
                <w:color w:val="auto"/>
                <w:spacing w:val="9"/>
                <w:sz w:val="21"/>
                <w:szCs w:val="21"/>
                <w:highlight w:val="none"/>
              </w:rPr>
              <w:t>，中标供</w:t>
            </w:r>
            <w:r>
              <w:rPr>
                <w:color w:val="auto"/>
                <w:spacing w:val="8"/>
                <w:sz w:val="21"/>
                <w:szCs w:val="21"/>
                <w:highlight w:val="none"/>
              </w:rPr>
              <w:t>应商无条件配合并承担相应接口费用。</w:t>
            </w:r>
          </w:p>
          <w:p w14:paraId="04ABCEBE">
            <w:pPr>
              <w:pStyle w:val="54"/>
              <w:spacing w:before="24"/>
              <w:ind w:left="114" w:right="259"/>
              <w:rPr>
                <w:color w:val="auto"/>
                <w:sz w:val="21"/>
                <w:szCs w:val="21"/>
                <w:highlight w:val="none"/>
              </w:rPr>
            </w:pPr>
            <w:r>
              <w:rPr>
                <w:color w:val="auto"/>
                <w:spacing w:val="11"/>
                <w:sz w:val="21"/>
                <w:szCs w:val="21"/>
                <w:highlight w:val="none"/>
              </w:rPr>
              <w:t>2.如医院有需求，中标公司负责向该产品接入医院的</w:t>
            </w:r>
            <w:r>
              <w:rPr>
                <w:color w:val="auto"/>
                <w:sz w:val="21"/>
                <w:szCs w:val="21"/>
                <w:highlight w:val="none"/>
              </w:rPr>
              <w:t>HIS</w:t>
            </w:r>
            <w:r>
              <w:rPr>
                <w:color w:val="auto"/>
                <w:spacing w:val="11"/>
                <w:sz w:val="21"/>
                <w:szCs w:val="21"/>
                <w:highlight w:val="none"/>
              </w:rPr>
              <w:t>系统，</w:t>
            </w:r>
            <w:r>
              <w:rPr>
                <w:color w:val="auto"/>
                <w:sz w:val="21"/>
                <w:szCs w:val="21"/>
                <w:highlight w:val="none"/>
              </w:rPr>
              <w:t>LIS</w:t>
            </w:r>
            <w:r>
              <w:rPr>
                <w:color w:val="auto"/>
                <w:spacing w:val="10"/>
                <w:sz w:val="21"/>
                <w:szCs w:val="21"/>
                <w:highlight w:val="none"/>
              </w:rPr>
              <w:t>系统，</w:t>
            </w:r>
            <w:r>
              <w:rPr>
                <w:color w:val="auto"/>
                <w:sz w:val="21"/>
                <w:szCs w:val="21"/>
                <w:highlight w:val="none"/>
              </w:rPr>
              <w:t>PASS</w:t>
            </w:r>
            <w:r>
              <w:rPr>
                <w:color w:val="auto"/>
                <w:spacing w:val="10"/>
                <w:sz w:val="21"/>
                <w:szCs w:val="21"/>
                <w:highlight w:val="none"/>
              </w:rPr>
              <w:t>系统的</w:t>
            </w:r>
            <w:r>
              <w:rPr>
                <w:color w:val="auto"/>
                <w:spacing w:val="8"/>
                <w:sz w:val="21"/>
                <w:szCs w:val="21"/>
                <w:highlight w:val="none"/>
              </w:rPr>
              <w:t>厂家支付接口技术服务费。单向费用8000元/台，双向费用1600</w:t>
            </w:r>
            <w:r>
              <w:rPr>
                <w:color w:val="auto"/>
                <w:spacing w:val="7"/>
                <w:sz w:val="21"/>
                <w:szCs w:val="21"/>
                <w:highlight w:val="none"/>
              </w:rPr>
              <w:t>0元/台。</w:t>
            </w:r>
          </w:p>
          <w:p w14:paraId="3D5500B8">
            <w:pPr>
              <w:pStyle w:val="54"/>
              <w:spacing w:before="22" w:line="245" w:lineRule="auto"/>
              <w:ind w:left="111" w:right="156" w:firstLine="4"/>
              <w:rPr>
                <w:color w:val="auto"/>
                <w:sz w:val="21"/>
                <w:szCs w:val="21"/>
                <w:highlight w:val="none"/>
              </w:rPr>
            </w:pPr>
            <w:r>
              <w:rPr>
                <w:color w:val="auto"/>
                <w:spacing w:val="9"/>
                <w:sz w:val="21"/>
                <w:szCs w:val="21"/>
                <w:highlight w:val="none"/>
              </w:rPr>
              <w:t>3.维修响应:在设备整个使用期内，投标人应确保设备的正常使用，</w:t>
            </w:r>
            <w:r>
              <w:rPr>
                <w:rFonts w:hint="eastAsia"/>
                <w:color w:val="auto"/>
                <w:spacing w:val="9"/>
                <w:sz w:val="21"/>
                <w:szCs w:val="21"/>
                <w:highlight w:val="none"/>
              </w:rPr>
              <w:t>在接到用户维修要 求后应2小时内作出回应</w:t>
            </w:r>
            <w:r>
              <w:rPr>
                <w:color w:val="auto"/>
                <w:spacing w:val="8"/>
                <w:sz w:val="21"/>
                <w:szCs w:val="21"/>
                <w:highlight w:val="none"/>
              </w:rPr>
              <w:t>，在接到报修通知后12小时内派技术员到达现场维修(</w:t>
            </w:r>
            <w:r>
              <w:rPr>
                <w:rFonts w:hint="eastAsia"/>
                <w:color w:val="auto"/>
                <w:spacing w:val="8"/>
                <w:sz w:val="21"/>
                <w:szCs w:val="21"/>
                <w:highlight w:val="none"/>
                <w:lang w:eastAsia="zh-CN"/>
              </w:rPr>
              <w:t>单个设备有特殊要求的或不可抗力情形除外</w:t>
            </w:r>
            <w:r>
              <w:rPr>
                <w:color w:val="auto"/>
                <w:spacing w:val="9"/>
                <w:sz w:val="21"/>
                <w:szCs w:val="21"/>
                <w:highlight w:val="none"/>
              </w:rPr>
              <w:t>)，一般故障不超过12小时排除，重大故障</w:t>
            </w:r>
            <w:r>
              <w:rPr>
                <w:color w:val="auto"/>
                <w:spacing w:val="8"/>
                <w:sz w:val="21"/>
                <w:szCs w:val="21"/>
                <w:highlight w:val="none"/>
              </w:rPr>
              <w:t>不超过24个小时排除，特殊</w:t>
            </w:r>
            <w:r>
              <w:rPr>
                <w:color w:val="auto"/>
                <w:spacing w:val="10"/>
                <w:sz w:val="21"/>
                <w:szCs w:val="21"/>
                <w:highlight w:val="none"/>
              </w:rPr>
              <w:t>情况无法修复的，质保期内中标供应商应无条件更换新设备或提</w:t>
            </w:r>
            <w:r>
              <w:rPr>
                <w:color w:val="auto"/>
                <w:spacing w:val="9"/>
                <w:sz w:val="21"/>
                <w:szCs w:val="21"/>
                <w:highlight w:val="none"/>
              </w:rPr>
              <w:t>供代用设备；或采取</w:t>
            </w:r>
            <w:r>
              <w:rPr>
                <w:color w:val="auto"/>
                <w:spacing w:val="8"/>
                <w:sz w:val="21"/>
                <w:szCs w:val="21"/>
                <w:highlight w:val="none"/>
              </w:rPr>
              <w:t>使设备可正常运转的措施。投标人应提供7*24通过远程、上门服务、电话、E-</w:t>
            </w:r>
            <w:r>
              <w:rPr>
                <w:color w:val="auto"/>
                <w:sz w:val="21"/>
                <w:szCs w:val="21"/>
                <w:highlight w:val="none"/>
              </w:rPr>
              <w:t>mail</w:t>
            </w:r>
            <w:r>
              <w:rPr>
                <w:color w:val="auto"/>
                <w:spacing w:val="10"/>
                <w:sz w:val="21"/>
                <w:szCs w:val="21"/>
                <w:highlight w:val="none"/>
              </w:rPr>
              <w:t>等方式为用户提供终身完善的售前和售后技术咨询服务。</w:t>
            </w:r>
            <w:r>
              <w:rPr>
                <w:color w:val="auto"/>
                <w:spacing w:val="9"/>
                <w:sz w:val="21"/>
                <w:szCs w:val="21"/>
                <w:highlight w:val="none"/>
              </w:rPr>
              <w:t>质保期内定期对设备进行免费保养和维护，每季度不少于1次定期回访及对系统进行维护。提供终身有偿维护和</w:t>
            </w:r>
            <w:r>
              <w:rPr>
                <w:color w:val="auto"/>
                <w:spacing w:val="10"/>
                <w:sz w:val="21"/>
                <w:szCs w:val="21"/>
                <w:highlight w:val="none"/>
              </w:rPr>
              <w:t>保养服务。投标人必须设有针对本项目的售后服务点，保</w:t>
            </w:r>
            <w:r>
              <w:rPr>
                <w:color w:val="auto"/>
                <w:spacing w:val="9"/>
                <w:sz w:val="21"/>
                <w:szCs w:val="21"/>
                <w:highlight w:val="none"/>
              </w:rPr>
              <w:t>证长期良好的售后服务，并列出售后服务点的详细地址、联系电话及技术服务人员。</w:t>
            </w:r>
          </w:p>
          <w:p w14:paraId="45E8F11C">
            <w:pPr>
              <w:pStyle w:val="54"/>
              <w:spacing w:before="26" w:line="244" w:lineRule="auto"/>
              <w:ind w:left="112" w:right="258" w:hanging="1"/>
              <w:rPr>
                <w:color w:val="auto"/>
                <w:sz w:val="21"/>
                <w:szCs w:val="21"/>
                <w:highlight w:val="none"/>
              </w:rPr>
            </w:pPr>
            <w:r>
              <w:rPr>
                <w:color w:val="auto"/>
                <w:spacing w:val="7"/>
                <w:sz w:val="21"/>
                <w:szCs w:val="21"/>
                <w:highlight w:val="none"/>
              </w:rPr>
              <w:t>4.保修期要求为至少1年，生产厂商有承诺的按生产厂商承诺执行(但不低于1年,</w:t>
            </w:r>
            <w:r>
              <w:rPr>
                <w:color w:val="auto"/>
                <w:spacing w:val="10"/>
                <w:sz w:val="21"/>
                <w:szCs w:val="21"/>
                <w:highlight w:val="none"/>
              </w:rPr>
              <w:t>保修期过后，须定期上门回访，对设备提供终身维修、维</w:t>
            </w:r>
            <w:r>
              <w:rPr>
                <w:color w:val="auto"/>
                <w:spacing w:val="9"/>
                <w:sz w:val="21"/>
                <w:szCs w:val="21"/>
                <w:highlight w:val="none"/>
              </w:rPr>
              <w:t>护服务，维修只收材料成本</w:t>
            </w:r>
            <w:r>
              <w:rPr>
                <w:color w:val="auto"/>
                <w:sz w:val="21"/>
                <w:szCs w:val="21"/>
                <w:highlight w:val="none"/>
              </w:rPr>
              <w:t>费。</w:t>
            </w:r>
          </w:p>
          <w:p w14:paraId="10A6CB56">
            <w:pPr>
              <w:pStyle w:val="54"/>
              <w:spacing w:before="23" w:line="229" w:lineRule="auto"/>
              <w:ind w:left="116"/>
              <w:rPr>
                <w:color w:val="auto"/>
                <w:sz w:val="21"/>
                <w:szCs w:val="21"/>
                <w:highlight w:val="none"/>
              </w:rPr>
            </w:pPr>
            <w:r>
              <w:rPr>
                <w:color w:val="auto"/>
                <w:spacing w:val="4"/>
                <w:sz w:val="21"/>
                <w:szCs w:val="21"/>
                <w:highlight w:val="none"/>
              </w:rPr>
              <w:t>5.人员培训：</w:t>
            </w:r>
          </w:p>
          <w:p w14:paraId="3442014A">
            <w:pPr>
              <w:pStyle w:val="54"/>
              <w:spacing w:before="21" w:line="245" w:lineRule="auto"/>
              <w:ind w:left="111" w:right="259" w:firstLine="36"/>
              <w:rPr>
                <w:color w:val="auto"/>
                <w:sz w:val="21"/>
                <w:szCs w:val="21"/>
                <w:highlight w:val="none"/>
              </w:rPr>
            </w:pPr>
            <w:r>
              <w:rPr>
                <w:color w:val="auto"/>
                <w:spacing w:val="8"/>
                <w:sz w:val="21"/>
                <w:szCs w:val="21"/>
                <w:highlight w:val="none"/>
              </w:rPr>
              <w:t>(1)交货时由生产厂商工程技术人员为用户提供使用技术培训，并使操作人员达到能</w:t>
            </w:r>
            <w:r>
              <w:rPr>
                <w:color w:val="auto"/>
                <w:spacing w:val="10"/>
                <w:sz w:val="21"/>
                <w:szCs w:val="21"/>
                <w:highlight w:val="none"/>
              </w:rPr>
              <w:t>独立、熟练操作及维护仪器的程度。使用培训为验收要件之</w:t>
            </w:r>
            <w:r>
              <w:rPr>
                <w:color w:val="auto"/>
                <w:spacing w:val="9"/>
                <w:sz w:val="21"/>
                <w:szCs w:val="21"/>
                <w:highlight w:val="none"/>
              </w:rPr>
              <w:t>一，没有经过培训，视为</w:t>
            </w:r>
            <w:r>
              <w:rPr>
                <w:color w:val="auto"/>
                <w:spacing w:val="7"/>
                <w:sz w:val="21"/>
                <w:szCs w:val="21"/>
                <w:highlight w:val="none"/>
              </w:rPr>
              <w:t>没能完成验收。</w:t>
            </w:r>
          </w:p>
          <w:p w14:paraId="6526E1AF">
            <w:pPr>
              <w:pStyle w:val="54"/>
              <w:spacing w:before="25" w:line="228" w:lineRule="auto"/>
              <w:ind w:left="148"/>
              <w:rPr>
                <w:color w:val="auto"/>
                <w:sz w:val="21"/>
                <w:szCs w:val="21"/>
                <w:highlight w:val="none"/>
              </w:rPr>
            </w:pPr>
            <w:r>
              <w:rPr>
                <w:color w:val="auto"/>
                <w:spacing w:val="7"/>
                <w:sz w:val="21"/>
                <w:szCs w:val="21"/>
                <w:highlight w:val="none"/>
              </w:rPr>
              <w:t>(2)培训对象：使用单位的设备使用人员及维修人员。</w:t>
            </w:r>
          </w:p>
          <w:p w14:paraId="50A0EEF7">
            <w:pPr>
              <w:pStyle w:val="54"/>
              <w:spacing w:before="26" w:line="239" w:lineRule="auto"/>
              <w:ind w:left="113" w:right="153" w:firstLine="35"/>
              <w:rPr>
                <w:color w:val="auto"/>
                <w:sz w:val="21"/>
                <w:szCs w:val="21"/>
                <w:highlight w:val="none"/>
              </w:rPr>
            </w:pPr>
            <w:r>
              <w:rPr>
                <w:color w:val="auto"/>
                <w:spacing w:val="8"/>
                <w:sz w:val="21"/>
                <w:szCs w:val="21"/>
                <w:highlight w:val="none"/>
              </w:rPr>
              <w:t>(3)培训形式：现场使用培训方式，安装调试结束后，供方培训工程师对机器正确使</w:t>
            </w:r>
            <w:r>
              <w:rPr>
                <w:color w:val="auto"/>
                <w:spacing w:val="9"/>
                <w:sz w:val="21"/>
                <w:szCs w:val="21"/>
                <w:highlight w:val="none"/>
              </w:rPr>
              <w:t>用方法进行示范操作，保证教会使用人员能正确使用设备。</w:t>
            </w:r>
          </w:p>
          <w:p w14:paraId="4BFC7503">
            <w:pPr>
              <w:pStyle w:val="54"/>
              <w:spacing w:before="25" w:line="234" w:lineRule="auto"/>
              <w:ind w:left="111" w:right="261" w:firstLine="2"/>
              <w:rPr>
                <w:rFonts w:asciiTheme="minorEastAsia" w:hAnsiTheme="minorEastAsia" w:eastAsiaTheme="minorEastAsia"/>
                <w:color w:val="auto"/>
                <w:sz w:val="21"/>
                <w:szCs w:val="21"/>
                <w:highlight w:val="none"/>
              </w:rPr>
            </w:pPr>
            <w:r>
              <w:rPr>
                <w:color w:val="auto"/>
                <w:spacing w:val="9"/>
                <w:sz w:val="21"/>
                <w:szCs w:val="21"/>
                <w:highlight w:val="none"/>
              </w:rPr>
              <w:t>6.中标供应商供货时每一个产品必须提供详细参数说明书各壹套给采购人存档。否则采购人有权拒绝货物进场，造成的损失由中标人负责。</w:t>
            </w:r>
          </w:p>
        </w:tc>
      </w:tr>
      <w:tr w14:paraId="0A287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242AAC6D">
            <w:pPr>
              <w:spacing w:line="260" w:lineRule="auto"/>
              <w:rPr>
                <w:rFonts w:ascii="Arial"/>
                <w:color w:val="auto"/>
                <w:szCs w:val="21"/>
                <w:highlight w:val="none"/>
              </w:rPr>
            </w:pPr>
          </w:p>
          <w:p w14:paraId="4C1F0463">
            <w:pPr>
              <w:spacing w:line="260" w:lineRule="auto"/>
              <w:rPr>
                <w:rFonts w:ascii="Arial"/>
                <w:color w:val="auto"/>
                <w:szCs w:val="21"/>
                <w:highlight w:val="none"/>
              </w:rPr>
            </w:pPr>
          </w:p>
          <w:p w14:paraId="4BCA1952">
            <w:pPr>
              <w:spacing w:line="261" w:lineRule="auto"/>
              <w:rPr>
                <w:rFonts w:ascii="Arial"/>
                <w:color w:val="auto"/>
                <w:szCs w:val="21"/>
                <w:highlight w:val="none"/>
              </w:rPr>
            </w:pPr>
          </w:p>
          <w:p w14:paraId="31B2C8DA">
            <w:pPr>
              <w:pStyle w:val="54"/>
              <w:spacing w:before="65" w:line="228" w:lineRule="auto"/>
              <w:ind w:left="115"/>
              <w:rPr>
                <w:rFonts w:asciiTheme="minorEastAsia" w:hAnsiTheme="minorEastAsia" w:eastAsiaTheme="minorEastAsia"/>
                <w:color w:val="auto"/>
                <w:sz w:val="21"/>
                <w:szCs w:val="21"/>
                <w:highlight w:val="none"/>
              </w:rPr>
            </w:pPr>
            <w:r>
              <w:rPr>
                <w:color w:val="auto"/>
                <w:spacing w:val="7"/>
                <w:sz w:val="21"/>
                <w:szCs w:val="21"/>
                <w:highlight w:val="none"/>
              </w:rPr>
              <w:t>验收要求</w:t>
            </w:r>
          </w:p>
        </w:tc>
        <w:tc>
          <w:tcPr>
            <w:tcW w:w="7836" w:type="dxa"/>
            <w:gridSpan w:val="2"/>
            <w:tcBorders>
              <w:top w:val="single" w:color="auto" w:sz="4" w:space="0"/>
              <w:left w:val="single" w:color="auto" w:sz="4" w:space="0"/>
              <w:bottom w:val="single" w:color="auto" w:sz="4" w:space="0"/>
            </w:tcBorders>
          </w:tcPr>
          <w:p w14:paraId="591963CE">
            <w:pPr>
              <w:pStyle w:val="54"/>
              <w:spacing w:before="33" w:line="243" w:lineRule="auto"/>
              <w:ind w:left="111" w:right="259" w:firstLine="15"/>
              <w:rPr>
                <w:color w:val="auto"/>
                <w:sz w:val="21"/>
                <w:szCs w:val="21"/>
                <w:highlight w:val="none"/>
              </w:rPr>
            </w:pPr>
            <w:r>
              <w:rPr>
                <w:color w:val="auto"/>
                <w:spacing w:val="9"/>
                <w:sz w:val="21"/>
                <w:szCs w:val="21"/>
                <w:highlight w:val="none"/>
              </w:rPr>
              <w:t>1.中标供应商交货时，所有产品均严格按签订的采购合同、响应和承诺的技术参数及</w:t>
            </w:r>
            <w:r>
              <w:rPr>
                <w:color w:val="auto"/>
                <w:spacing w:val="10"/>
                <w:sz w:val="21"/>
                <w:szCs w:val="21"/>
                <w:highlight w:val="none"/>
              </w:rPr>
              <w:t>性能和国家有关标准进行验收，达不到要求的不予验收，视</w:t>
            </w:r>
            <w:r>
              <w:rPr>
                <w:color w:val="auto"/>
                <w:spacing w:val="9"/>
                <w:sz w:val="21"/>
                <w:szCs w:val="21"/>
                <w:highlight w:val="none"/>
              </w:rPr>
              <w:t>为产品验收不合格，采购</w:t>
            </w:r>
            <w:r>
              <w:rPr>
                <w:color w:val="auto"/>
                <w:spacing w:val="8"/>
                <w:sz w:val="21"/>
                <w:szCs w:val="21"/>
                <w:highlight w:val="none"/>
              </w:rPr>
              <w:t>单位可解除双方的供货合同。</w:t>
            </w:r>
          </w:p>
          <w:p w14:paraId="36DA717E">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rPr>
              <w:t>2.中标供应商所提供的所有设备必须是签订合同之日前</w:t>
            </w:r>
            <w:r>
              <w:rPr>
                <w:rFonts w:hint="eastAsia"/>
                <w:color w:val="auto"/>
                <w:spacing w:val="9"/>
                <w:sz w:val="21"/>
                <w:szCs w:val="21"/>
                <w:highlight w:val="none"/>
                <w:lang w:eastAsia="zh-CN"/>
              </w:rPr>
              <w:t>1</w:t>
            </w:r>
            <w:r>
              <w:rPr>
                <w:rFonts w:hint="eastAsia"/>
                <w:color w:val="auto"/>
                <w:spacing w:val="9"/>
                <w:sz w:val="21"/>
                <w:szCs w:val="21"/>
                <w:highlight w:val="none"/>
              </w:rPr>
              <w:t>年内生产的机型。</w:t>
            </w:r>
          </w:p>
          <w:p w14:paraId="235E7B47">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lang w:eastAsia="zh-CN"/>
              </w:rPr>
              <w:t>3.中标供应商所</w:t>
            </w:r>
            <w:r>
              <w:rPr>
                <w:rFonts w:hint="eastAsia"/>
                <w:color w:val="auto"/>
                <w:spacing w:val="9"/>
                <w:sz w:val="21"/>
                <w:szCs w:val="21"/>
                <w:highlight w:val="none"/>
              </w:rPr>
              <w:t>提供的产品必须是具备厂商合法渠道的全新的、完整的、未使用过的产品。</w:t>
            </w:r>
          </w:p>
          <w:p w14:paraId="7106B9B6">
            <w:pPr>
              <w:pStyle w:val="54"/>
              <w:spacing w:before="23" w:line="244" w:lineRule="auto"/>
              <w:ind w:left="114" w:right="259" w:firstLine="1"/>
              <w:rPr>
                <w:rFonts w:asciiTheme="minorEastAsia" w:hAnsiTheme="minorEastAsia" w:eastAsiaTheme="minorEastAsia"/>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.所提供产品，如有质量监督、环保等部门要求对产品进行检测、检验时，必须派出厂方代表协助检查，发现产品如有质量问题，供货方和制造商应承担全部费用及相应的责任。</w:t>
            </w:r>
          </w:p>
        </w:tc>
      </w:tr>
      <w:tr w14:paraId="3493B7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5D76ADD3">
            <w:pPr>
              <w:spacing w:line="241" w:lineRule="auto"/>
              <w:rPr>
                <w:rFonts w:ascii="Arial"/>
                <w:color w:val="auto"/>
                <w:szCs w:val="21"/>
                <w:highlight w:val="none"/>
              </w:rPr>
            </w:pPr>
          </w:p>
          <w:p w14:paraId="7A97C645">
            <w:pPr>
              <w:pStyle w:val="54"/>
              <w:spacing w:before="65" w:line="228" w:lineRule="auto"/>
              <w:ind w:left="325"/>
              <w:rPr>
                <w:rFonts w:asciiTheme="minorEastAsia" w:hAnsiTheme="minorEastAsia" w:eastAsiaTheme="minorEastAsia"/>
                <w:color w:val="auto"/>
                <w:sz w:val="21"/>
                <w:szCs w:val="21"/>
                <w:highlight w:val="none"/>
              </w:rPr>
            </w:pPr>
            <w:r>
              <w:rPr>
                <w:color w:val="auto"/>
                <w:spacing w:val="7"/>
                <w:sz w:val="21"/>
                <w:szCs w:val="21"/>
                <w:highlight w:val="none"/>
              </w:rPr>
              <w:t>付款条件</w:t>
            </w:r>
          </w:p>
        </w:tc>
        <w:tc>
          <w:tcPr>
            <w:tcW w:w="7836" w:type="dxa"/>
            <w:gridSpan w:val="2"/>
            <w:tcBorders>
              <w:top w:val="single" w:color="auto" w:sz="4" w:space="0"/>
              <w:left w:val="single" w:color="auto" w:sz="4" w:space="0"/>
              <w:bottom w:val="single" w:color="auto" w:sz="4" w:space="0"/>
            </w:tcBorders>
          </w:tcPr>
          <w:p w14:paraId="2DF9B6DF">
            <w:pPr>
              <w:pStyle w:val="54"/>
              <w:spacing w:before="36" w:line="242" w:lineRule="auto"/>
              <w:ind w:left="111" w:right="153" w:firstLine="421"/>
              <w:rPr>
                <w:rFonts w:asciiTheme="minorEastAsia" w:hAnsiTheme="minorEastAsia" w:eastAsiaTheme="minorEastAsia"/>
                <w:color w:val="auto"/>
                <w:sz w:val="21"/>
                <w:szCs w:val="21"/>
                <w:highlight w:val="none"/>
              </w:rPr>
            </w:pPr>
            <w:r>
              <w:rPr>
                <w:color w:val="auto"/>
                <w:spacing w:val="9"/>
                <w:sz w:val="21"/>
                <w:szCs w:val="21"/>
                <w:highlight w:val="none"/>
              </w:rPr>
              <w:t>本分标项目无预付款,项目验收合格交付使用后30日内支付第</w:t>
            </w:r>
            <w:r>
              <w:rPr>
                <w:color w:val="auto"/>
                <w:spacing w:val="8"/>
                <w:sz w:val="21"/>
                <w:szCs w:val="21"/>
                <w:highlight w:val="none"/>
              </w:rPr>
              <w:t>一笔合同款的50%,</w:t>
            </w:r>
            <w:r>
              <w:rPr>
                <w:color w:val="auto"/>
                <w:spacing w:val="9"/>
                <w:sz w:val="21"/>
                <w:szCs w:val="21"/>
                <w:highlight w:val="none"/>
              </w:rPr>
              <w:t>第二笔合同款在验收合格交付使用6个月后的15个工作日内支付合同款</w:t>
            </w:r>
            <w:r>
              <w:rPr>
                <w:color w:val="auto"/>
                <w:spacing w:val="8"/>
                <w:sz w:val="21"/>
                <w:szCs w:val="21"/>
                <w:highlight w:val="none"/>
              </w:rPr>
              <w:t>的45%,第三笔</w:t>
            </w:r>
            <w:r>
              <w:rPr>
                <w:color w:val="auto"/>
                <w:spacing w:val="9"/>
                <w:sz w:val="21"/>
                <w:szCs w:val="21"/>
                <w:highlight w:val="none"/>
              </w:rPr>
              <w:t>剩余5%的合同款,在验收合格交付使用12个月后的15个工作日</w:t>
            </w:r>
            <w:r>
              <w:rPr>
                <w:color w:val="auto"/>
                <w:spacing w:val="8"/>
                <w:sz w:val="21"/>
                <w:szCs w:val="21"/>
                <w:highlight w:val="none"/>
              </w:rPr>
              <w:t>内支付(无息)。中标人在采购人付款前开具完税发票给采购人。</w:t>
            </w:r>
          </w:p>
        </w:tc>
      </w:tr>
      <w:tr w14:paraId="130AE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5592D390">
            <w:pPr>
              <w:spacing w:line="269" w:lineRule="auto"/>
              <w:rPr>
                <w:rFonts w:ascii="Arial"/>
                <w:color w:val="auto"/>
                <w:szCs w:val="21"/>
                <w:highlight w:val="none"/>
              </w:rPr>
            </w:pPr>
          </w:p>
          <w:p w14:paraId="7BFCF57F">
            <w:pPr>
              <w:pStyle w:val="54"/>
              <w:spacing w:before="65" w:line="229" w:lineRule="auto"/>
              <w:ind w:left="326"/>
              <w:rPr>
                <w:rFonts w:asciiTheme="minorEastAsia" w:hAnsiTheme="minorEastAsia" w:eastAsiaTheme="minorEastAsia"/>
                <w:color w:val="auto"/>
                <w:sz w:val="21"/>
                <w:szCs w:val="21"/>
                <w:highlight w:val="none"/>
              </w:rPr>
            </w:pPr>
            <w:r>
              <w:rPr>
                <w:color w:val="auto"/>
                <w:spacing w:val="7"/>
                <w:sz w:val="21"/>
                <w:szCs w:val="21"/>
                <w:highlight w:val="none"/>
              </w:rPr>
              <w:t>其他要求</w:t>
            </w:r>
          </w:p>
        </w:tc>
        <w:tc>
          <w:tcPr>
            <w:tcW w:w="7836" w:type="dxa"/>
            <w:gridSpan w:val="2"/>
            <w:tcBorders>
              <w:top w:val="single" w:color="auto" w:sz="4" w:space="0"/>
              <w:left w:val="single" w:color="auto" w:sz="4" w:space="0"/>
              <w:bottom w:val="single" w:color="auto" w:sz="4" w:space="0"/>
            </w:tcBorders>
          </w:tcPr>
          <w:p w14:paraId="43879BF8">
            <w:pPr>
              <w:pStyle w:val="54"/>
              <w:spacing w:before="27" w:line="215" w:lineRule="auto"/>
              <w:ind w:left="116"/>
              <w:rPr>
                <w:color w:val="auto"/>
                <w:spacing w:val="9"/>
                <w:sz w:val="21"/>
                <w:szCs w:val="21"/>
                <w:highlight w:val="none"/>
              </w:rPr>
            </w:pPr>
            <w:r>
              <w:rPr>
                <w:rFonts w:hint="eastAsia"/>
                <w:color w:val="auto"/>
                <w:spacing w:val="9"/>
                <w:sz w:val="21"/>
                <w:szCs w:val="21"/>
                <w:highlight w:val="none"/>
              </w:rPr>
              <w:t>1</w:t>
            </w:r>
            <w:r>
              <w:rPr>
                <w:rFonts w:hint="eastAsia"/>
                <w:color w:val="auto"/>
                <w:spacing w:val="9"/>
                <w:sz w:val="21"/>
                <w:szCs w:val="21"/>
                <w:highlight w:val="none"/>
                <w:lang w:eastAsia="zh-CN"/>
              </w:rPr>
              <w:t>.</w:t>
            </w:r>
            <w:r>
              <w:rPr>
                <w:rFonts w:hint="eastAsia"/>
                <w:color w:val="auto"/>
                <w:spacing w:val="9"/>
                <w:sz w:val="21"/>
                <w:szCs w:val="21"/>
                <w:highlight w:val="none"/>
              </w:rPr>
              <w:t>投标时提供投标产品彩色图片或说明书（标明主要技术参数）。</w:t>
            </w:r>
          </w:p>
          <w:p w14:paraId="224BF18F">
            <w:pPr>
              <w:pStyle w:val="54"/>
              <w:spacing w:before="27" w:line="215" w:lineRule="auto"/>
              <w:ind w:left="116"/>
              <w:rPr>
                <w:color w:val="auto"/>
                <w:spacing w:val="9"/>
                <w:sz w:val="21"/>
                <w:szCs w:val="21"/>
                <w:highlight w:val="none"/>
              </w:rPr>
            </w:pPr>
            <w:r>
              <w:rPr>
                <w:rFonts w:hint="eastAsia"/>
                <w:color w:val="auto"/>
                <w:spacing w:val="9"/>
                <w:sz w:val="21"/>
                <w:szCs w:val="21"/>
                <w:highlight w:val="none"/>
                <w:lang w:eastAsia="zh-CN"/>
              </w:rPr>
              <w:t>2.</w:t>
            </w:r>
            <w:r>
              <w:rPr>
                <w:rFonts w:hint="eastAsia"/>
                <w:color w:val="auto"/>
                <w:spacing w:val="9"/>
                <w:sz w:val="21"/>
                <w:szCs w:val="21"/>
                <w:highlight w:val="none"/>
              </w:rPr>
              <w:t>采购人设备主管科室对本合同质保服务内容进行全程对接和监督，并对服务情况进行客观记录，在每个合同年度期结束时，由设备主管科室根据合同约定的服务内容、响应情况、服务态度及过程记录。</w:t>
            </w:r>
          </w:p>
          <w:p w14:paraId="4D80E50F">
            <w:pPr>
              <w:pStyle w:val="54"/>
              <w:spacing w:before="27" w:line="215" w:lineRule="auto"/>
              <w:ind w:left="116"/>
              <w:rPr>
                <w:color w:val="auto"/>
                <w:spacing w:val="9"/>
                <w:sz w:val="21"/>
                <w:szCs w:val="21"/>
                <w:highlight w:val="none"/>
              </w:rPr>
            </w:pPr>
            <w:r>
              <w:rPr>
                <w:rFonts w:hint="eastAsia"/>
                <w:color w:val="auto"/>
                <w:spacing w:val="9"/>
                <w:sz w:val="21"/>
                <w:szCs w:val="21"/>
                <w:highlight w:val="none"/>
                <w:lang w:eastAsia="zh-CN"/>
              </w:rPr>
              <w:t>3.</w:t>
            </w:r>
            <w:r>
              <w:rPr>
                <w:rFonts w:hint="eastAsia"/>
                <w:color w:val="auto"/>
                <w:spacing w:val="9"/>
                <w:sz w:val="21"/>
                <w:szCs w:val="21"/>
                <w:highlight w:val="none"/>
              </w:rPr>
              <w:t>采购人在货物交货验收阶段发现货物的技术参数指标达不到采购文件该货物技术参数要求的，属虚假应标行为，采购人将终止合同拒收货物，追究该成交单位违约责任,赔偿采购人因采购时间延长造成采购人经济等方面损失。</w:t>
            </w:r>
          </w:p>
          <w:p w14:paraId="3C53CC26">
            <w:pPr>
              <w:pStyle w:val="54"/>
              <w:spacing w:before="27" w:line="215" w:lineRule="auto"/>
              <w:ind w:left="116"/>
              <w:rPr>
                <w:rFonts w:asciiTheme="minorEastAsia" w:hAnsiTheme="minorEastAsia" w:eastAsiaTheme="minorEastAsia"/>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中标供应商经营第二类医疗器械的须提供《第二类医疗器械经营备案凭证》。</w:t>
            </w:r>
          </w:p>
        </w:tc>
      </w:tr>
      <w:tr w14:paraId="7549B7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vAlign w:val="center"/>
          </w:tcPr>
          <w:p w14:paraId="7156AAB7">
            <w:pPr>
              <w:snapToGrid w:val="0"/>
              <w:spacing w:line="360" w:lineRule="exact"/>
              <w:jc w:val="center"/>
              <w:rPr>
                <w:b/>
                <w:bCs/>
                <w:color w:val="auto"/>
                <w:spacing w:val="7"/>
                <w:szCs w:val="21"/>
                <w:highlight w:val="none"/>
              </w:rPr>
            </w:pPr>
            <w:r>
              <w:rPr>
                <w:rFonts w:hint="eastAsia" w:ascii="宋体" w:hAnsi="宋体" w:cs="宋体"/>
                <w:color w:val="auto"/>
                <w:szCs w:val="21"/>
                <w:highlight w:val="none"/>
              </w:rPr>
              <w:t>核心产品</w:t>
            </w:r>
          </w:p>
        </w:tc>
        <w:tc>
          <w:tcPr>
            <w:tcW w:w="7836" w:type="dxa"/>
            <w:gridSpan w:val="2"/>
            <w:tcBorders>
              <w:top w:val="single" w:color="auto" w:sz="4" w:space="0"/>
              <w:left w:val="single" w:color="auto" w:sz="4" w:space="0"/>
              <w:bottom w:val="single" w:color="auto" w:sz="4" w:space="0"/>
            </w:tcBorders>
            <w:vAlign w:val="center"/>
          </w:tcPr>
          <w:p w14:paraId="7E86F264">
            <w:pPr>
              <w:snapToGrid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项设备“</w:t>
            </w:r>
            <w:r>
              <w:rPr>
                <w:rFonts w:hint="eastAsia" w:ascii="宋体" w:hAnsi="宋体" w:cs="宋体"/>
                <w:color w:val="auto"/>
                <w:szCs w:val="21"/>
                <w:highlight w:val="none"/>
                <w:u w:val="single"/>
              </w:rPr>
              <w:t xml:space="preserve"> 电动病床（1）</w:t>
            </w:r>
            <w:r>
              <w:rPr>
                <w:rFonts w:hint="eastAsia" w:ascii="宋体" w:hAnsi="宋体" w:cs="宋体"/>
                <w:color w:val="auto"/>
                <w:szCs w:val="21"/>
                <w:highlight w:val="none"/>
              </w:rPr>
              <w:t>”为本次采购的核心产品。</w:t>
            </w:r>
          </w:p>
          <w:p w14:paraId="267FD021">
            <w:pPr>
              <w:spacing w:line="360" w:lineRule="exact"/>
              <w:jc w:val="left"/>
              <w:rPr>
                <w:b/>
                <w:bCs/>
                <w:color w:val="auto"/>
                <w:spacing w:val="9"/>
                <w:szCs w:val="21"/>
                <w:highlight w:val="none"/>
              </w:rPr>
            </w:pPr>
            <w:r>
              <w:rPr>
                <w:rFonts w:hint="eastAsia" w:ascii="宋体" w:hAnsi="宋体" w:cs="宋体"/>
                <w:color w:val="auto"/>
                <w:szCs w:val="21"/>
                <w:highlight w:val="none"/>
              </w:rPr>
              <w:t xml:space="preserve">   </w:t>
            </w:r>
            <w:r>
              <w:rPr>
                <w:rFonts w:hint="eastAsia" w:ascii="宋体" w:hAnsi="宋体" w:cs="宋体"/>
                <w:color w:val="auto"/>
                <w:spacing w:val="10"/>
                <w:szCs w:val="21"/>
                <w:highlight w:val="none"/>
                <w:lang w:eastAsia="en-US"/>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tc>
      </w:tr>
      <w:tr w14:paraId="64AA3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tcPr>
          <w:p w14:paraId="1B225035">
            <w:pPr>
              <w:pStyle w:val="54"/>
              <w:spacing w:before="306" w:line="246" w:lineRule="auto"/>
              <w:ind w:left="116" w:right="171" w:firstLine="9"/>
              <w:rPr>
                <w:rFonts w:asciiTheme="minorEastAsia" w:hAnsiTheme="minorEastAsia" w:eastAsiaTheme="minorEastAsia"/>
                <w:color w:val="auto"/>
                <w:sz w:val="21"/>
                <w:szCs w:val="21"/>
                <w:highlight w:val="none"/>
              </w:rPr>
            </w:pPr>
            <w:r>
              <w:rPr>
                <w:color w:val="auto"/>
                <w:spacing w:val="6"/>
                <w:sz w:val="21"/>
                <w:szCs w:val="21"/>
                <w:highlight w:val="none"/>
              </w:rPr>
              <w:t>医疗器械注册</w:t>
            </w:r>
            <w:r>
              <w:rPr>
                <w:color w:val="auto"/>
                <w:sz w:val="21"/>
                <w:szCs w:val="21"/>
                <w:highlight w:val="none"/>
              </w:rPr>
              <w:t>证</w:t>
            </w:r>
          </w:p>
        </w:tc>
        <w:tc>
          <w:tcPr>
            <w:tcW w:w="7836" w:type="dxa"/>
            <w:gridSpan w:val="2"/>
            <w:tcBorders>
              <w:top w:val="single" w:color="auto" w:sz="4" w:space="0"/>
              <w:left w:val="single" w:color="auto" w:sz="4" w:space="0"/>
              <w:bottom w:val="single" w:color="auto" w:sz="4" w:space="0"/>
            </w:tcBorders>
          </w:tcPr>
          <w:p w14:paraId="62535AE5">
            <w:pPr>
              <w:pStyle w:val="54"/>
              <w:spacing w:before="35" w:line="245" w:lineRule="auto"/>
              <w:ind w:left="111" w:right="259" w:firstLine="422"/>
              <w:rPr>
                <w:rFonts w:asciiTheme="minorEastAsia" w:hAnsiTheme="minorEastAsia" w:eastAsiaTheme="minorEastAsia"/>
                <w:color w:val="auto"/>
                <w:sz w:val="21"/>
                <w:szCs w:val="21"/>
                <w:highlight w:val="none"/>
              </w:rPr>
            </w:pPr>
            <w:r>
              <w:rPr>
                <w:color w:val="auto"/>
                <w:spacing w:val="10"/>
                <w:sz w:val="21"/>
                <w:szCs w:val="21"/>
                <w:highlight w:val="none"/>
              </w:rPr>
              <w:t>投标产品属第一类医疗器械产品的，投标文件中须</w:t>
            </w:r>
            <w:r>
              <w:rPr>
                <w:color w:val="auto"/>
                <w:spacing w:val="9"/>
                <w:sz w:val="21"/>
                <w:szCs w:val="21"/>
                <w:highlight w:val="none"/>
              </w:rPr>
              <w:t>按《医疗器械注册与备案管理办法》（国家市场监督管理总局令第47号）提供该设备在负责药品监督管理的部门提</w:t>
            </w:r>
            <w:r>
              <w:rPr>
                <w:color w:val="auto"/>
                <w:spacing w:val="10"/>
                <w:sz w:val="21"/>
                <w:szCs w:val="21"/>
                <w:highlight w:val="none"/>
              </w:rPr>
              <w:t>交备案资料证明材料复印件（或扫描件）加盖投标人电子签</w:t>
            </w:r>
            <w:r>
              <w:rPr>
                <w:color w:val="auto"/>
                <w:spacing w:val="9"/>
                <w:sz w:val="21"/>
                <w:szCs w:val="21"/>
                <w:highlight w:val="none"/>
              </w:rPr>
              <w:t>章；投标产品属第二、三</w:t>
            </w:r>
            <w:r>
              <w:rPr>
                <w:color w:val="auto"/>
                <w:spacing w:val="10"/>
                <w:sz w:val="21"/>
                <w:szCs w:val="21"/>
                <w:highlight w:val="none"/>
              </w:rPr>
              <w:t>类医疗器械产品的，投标文件中须按《医疗器械注册与备案</w:t>
            </w:r>
            <w:r>
              <w:rPr>
                <w:color w:val="auto"/>
                <w:spacing w:val="9"/>
                <w:sz w:val="21"/>
                <w:szCs w:val="21"/>
                <w:highlight w:val="none"/>
              </w:rPr>
              <w:t>管理办法》（国家市场监督管理总局令第47号）提供该设备有效的药品监督管理部门出具的医疗器械注册证复印件（或扫描件）加盖投标人电子签章，否则投标无效。</w:t>
            </w:r>
          </w:p>
        </w:tc>
      </w:tr>
      <w:tr w14:paraId="6E1A2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74" w:type="dxa"/>
            <w:gridSpan w:val="2"/>
            <w:tcBorders>
              <w:top w:val="single" w:color="auto" w:sz="4" w:space="0"/>
              <w:bottom w:val="single" w:color="auto" w:sz="4" w:space="0"/>
              <w:right w:val="single" w:color="auto" w:sz="4" w:space="0"/>
            </w:tcBorders>
            <w:vAlign w:val="center"/>
          </w:tcPr>
          <w:p w14:paraId="09C9CD3F">
            <w:pPr>
              <w:snapToGrid w:val="0"/>
              <w:spacing w:line="360" w:lineRule="exact"/>
              <w:jc w:val="center"/>
              <w:rPr>
                <w:rFonts w:asciiTheme="minorEastAsia" w:hAnsiTheme="minorEastAsia" w:eastAsiaTheme="minorEastAsia"/>
                <w:color w:val="auto"/>
                <w:szCs w:val="21"/>
                <w:highlight w:val="none"/>
              </w:rPr>
            </w:pPr>
            <w:r>
              <w:rPr>
                <w:color w:val="auto"/>
                <w:spacing w:val="5"/>
                <w:szCs w:val="21"/>
                <w:highlight w:val="none"/>
              </w:rPr>
              <w:t>资料要求</w:t>
            </w:r>
          </w:p>
        </w:tc>
        <w:tc>
          <w:tcPr>
            <w:tcW w:w="7836" w:type="dxa"/>
            <w:gridSpan w:val="2"/>
            <w:tcBorders>
              <w:top w:val="single" w:color="auto" w:sz="4" w:space="0"/>
              <w:left w:val="single" w:color="auto" w:sz="4" w:space="0"/>
              <w:bottom w:val="single" w:color="auto" w:sz="4" w:space="0"/>
            </w:tcBorders>
            <w:vAlign w:val="center"/>
          </w:tcPr>
          <w:p w14:paraId="0F25396A">
            <w:pPr>
              <w:widowControl/>
              <w:snapToGrid w:val="0"/>
              <w:spacing w:line="360" w:lineRule="exact"/>
              <w:jc w:val="left"/>
              <w:rPr>
                <w:rFonts w:asciiTheme="minorEastAsia" w:hAnsiTheme="minorEastAsia" w:eastAsiaTheme="minorEastAsia"/>
                <w:color w:val="auto"/>
                <w:szCs w:val="21"/>
                <w:highlight w:val="none"/>
              </w:rPr>
            </w:pPr>
            <w:r>
              <w:rPr>
                <w:color w:val="auto"/>
                <w:spacing w:val="9"/>
                <w:szCs w:val="21"/>
                <w:highlight w:val="none"/>
              </w:rPr>
              <w:t>当响应文件提供的设备性能参数与该生产商提供的性能参数不符合时，以生产商资料</w:t>
            </w:r>
            <w:r>
              <w:rPr>
                <w:color w:val="auto"/>
                <w:spacing w:val="5"/>
                <w:szCs w:val="21"/>
                <w:highlight w:val="none"/>
              </w:rPr>
              <w:t>为准。</w:t>
            </w:r>
            <w:r>
              <w:rPr>
                <w:b/>
                <w:bCs/>
                <w:color w:val="auto"/>
                <w:spacing w:val="5"/>
                <w:szCs w:val="21"/>
                <w:highlight w:val="none"/>
              </w:rPr>
              <w:t>（</w:t>
            </w:r>
            <w:r>
              <w:rPr>
                <w:color w:val="auto"/>
                <w:spacing w:val="-59"/>
                <w:szCs w:val="21"/>
                <w:highlight w:val="none"/>
              </w:rPr>
              <w:t xml:space="preserve"> </w:t>
            </w:r>
            <w:r>
              <w:rPr>
                <w:b/>
                <w:bCs/>
                <w:color w:val="auto"/>
                <w:spacing w:val="5"/>
                <w:szCs w:val="21"/>
                <w:highlight w:val="none"/>
              </w:rPr>
              <w:t>“项目需要及技术需求</w:t>
            </w:r>
            <w:r>
              <w:rPr>
                <w:color w:val="auto"/>
                <w:spacing w:val="-70"/>
                <w:szCs w:val="21"/>
                <w:highlight w:val="none"/>
              </w:rPr>
              <w:t xml:space="preserve"> </w:t>
            </w:r>
            <w:r>
              <w:rPr>
                <w:b/>
                <w:bCs/>
                <w:color w:val="auto"/>
                <w:spacing w:val="5"/>
                <w:szCs w:val="21"/>
                <w:highlight w:val="none"/>
              </w:rPr>
              <w:t>”有要求的则按其要求）</w:t>
            </w:r>
          </w:p>
        </w:tc>
      </w:tr>
      <w:tr w14:paraId="41EFC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58A3D830">
            <w:pPr>
              <w:widowControl/>
              <w:snapToGrid w:val="0"/>
              <w:spacing w:line="360" w:lineRule="exact"/>
              <w:rPr>
                <w:rFonts w:asciiTheme="minorEastAsia" w:hAnsiTheme="minorEastAsia" w:eastAsiaTheme="minorEastAsia"/>
                <w:color w:val="auto"/>
                <w:szCs w:val="21"/>
                <w:highlight w:val="none"/>
              </w:rPr>
            </w:pPr>
            <w:r>
              <w:rPr>
                <w:b/>
                <w:bCs/>
                <w:color w:val="auto"/>
                <w:spacing w:val="7"/>
                <w:sz w:val="20"/>
                <w:szCs w:val="20"/>
                <w:highlight w:val="none"/>
              </w:rPr>
              <w:t>三、进口产品说明</w:t>
            </w:r>
          </w:p>
        </w:tc>
      </w:tr>
      <w:tr w14:paraId="3D572D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2C1BA121">
            <w:pPr>
              <w:widowControl/>
              <w:snapToGrid w:val="0"/>
              <w:spacing w:line="360" w:lineRule="exact"/>
              <w:ind w:firstLine="422"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本分标货物不接受进口产品投标（即通过中国海关报关验放进入中国境内且产自关境外的产品），如有此类产品参与投标的作无效投标处理。</w:t>
            </w:r>
          </w:p>
        </w:tc>
      </w:tr>
    </w:tbl>
    <w:p w14:paraId="02D5587D">
      <w:pPr>
        <w:widowControl/>
        <w:jc w:val="left"/>
        <w:rPr>
          <w:rFonts w:asciiTheme="minorEastAsia" w:hAnsiTheme="minorEastAsia" w:eastAsiaTheme="minorEastAsia"/>
          <w:b/>
          <w:color w:val="auto"/>
          <w:kern w:val="0"/>
          <w:sz w:val="24"/>
          <w:highlight w:val="none"/>
        </w:rPr>
      </w:pPr>
      <w:r>
        <w:rPr>
          <w:rFonts w:asciiTheme="minorEastAsia" w:hAnsiTheme="minorEastAsia" w:eastAsiaTheme="minorEastAsia"/>
          <w:b/>
          <w:color w:val="auto"/>
          <w:kern w:val="0"/>
          <w:sz w:val="24"/>
          <w:highlight w:val="none"/>
        </w:rPr>
        <w:br w:type="page"/>
      </w:r>
    </w:p>
    <w:p w14:paraId="48835AA3">
      <w:pPr>
        <w:spacing w:line="360" w:lineRule="exact"/>
        <w:ind w:firstLine="426" w:firstLineChars="202"/>
        <w:jc w:val="left"/>
        <w:outlineLvl w:val="1"/>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03分标：</w:t>
      </w:r>
    </w:p>
    <w:p w14:paraId="749CC729">
      <w:pPr>
        <w:spacing w:line="360" w:lineRule="exact"/>
        <w:ind w:firstLine="426" w:firstLineChars="202"/>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采购预算：835000.00元。（各项采购预算单价详见招标公告）</w:t>
      </w:r>
    </w:p>
    <w:tbl>
      <w:tblPr>
        <w:tblStyle w:val="23"/>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14:paraId="1C4E5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14:paraId="6F79D098">
            <w:pPr>
              <w:spacing w:line="360" w:lineRule="exact"/>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一、采购需求</w:t>
            </w:r>
          </w:p>
        </w:tc>
      </w:tr>
      <w:tr w14:paraId="5BE76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74C62076">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项号</w:t>
            </w:r>
          </w:p>
        </w:tc>
        <w:tc>
          <w:tcPr>
            <w:tcW w:w="1098" w:type="dxa"/>
            <w:tcBorders>
              <w:top w:val="single" w:color="auto" w:sz="4" w:space="0"/>
              <w:left w:val="single" w:color="auto" w:sz="4" w:space="0"/>
              <w:bottom w:val="single" w:color="auto" w:sz="4" w:space="0"/>
              <w:right w:val="single" w:color="auto" w:sz="4" w:space="0"/>
            </w:tcBorders>
            <w:vAlign w:val="center"/>
          </w:tcPr>
          <w:p w14:paraId="6164AA86">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14:paraId="7E8A2D62">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w:t>
            </w:r>
          </w:p>
        </w:tc>
        <w:tc>
          <w:tcPr>
            <w:tcW w:w="7094" w:type="dxa"/>
            <w:tcBorders>
              <w:top w:val="single" w:color="auto" w:sz="4" w:space="0"/>
              <w:left w:val="single" w:color="auto" w:sz="4" w:space="0"/>
              <w:bottom w:val="single" w:color="auto" w:sz="4" w:space="0"/>
              <w:right w:val="single" w:color="auto" w:sz="4" w:space="0"/>
            </w:tcBorders>
            <w:vAlign w:val="center"/>
          </w:tcPr>
          <w:p w14:paraId="0A217142">
            <w:pPr>
              <w:spacing w:line="360" w:lineRule="exact"/>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color w:val="auto"/>
                <w:szCs w:val="21"/>
                <w:highlight w:val="none"/>
              </w:rPr>
              <w:t>技术要求</w:t>
            </w:r>
          </w:p>
        </w:tc>
      </w:tr>
      <w:tr w14:paraId="63733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14E32117">
            <w:pPr>
              <w:spacing w:line="360" w:lineRule="exact"/>
              <w:jc w:val="center"/>
              <w:rPr>
                <w:rFonts w:cs="Tahoma" w:asciiTheme="minorEastAsia" w:hAnsiTheme="minorEastAsia" w:eastAsiaTheme="minorEastAsia"/>
                <w:color w:val="auto"/>
                <w:szCs w:val="21"/>
                <w:highlight w:val="none"/>
              </w:rPr>
            </w:pPr>
            <w:r>
              <w:rPr>
                <w:rFonts w:cs="Tahoma" w:asciiTheme="minorEastAsia" w:hAnsiTheme="minorEastAsia" w:eastAsiaTheme="minorEastAsia"/>
                <w:color w:val="auto"/>
                <w:szCs w:val="21"/>
                <w:highlight w:val="none"/>
              </w:rPr>
              <w:t>1</w:t>
            </w:r>
          </w:p>
        </w:tc>
        <w:tc>
          <w:tcPr>
            <w:tcW w:w="1098" w:type="dxa"/>
            <w:tcBorders>
              <w:top w:val="single" w:color="auto" w:sz="4" w:space="0"/>
              <w:left w:val="single" w:color="auto" w:sz="4" w:space="0"/>
              <w:bottom w:val="single" w:color="auto" w:sz="4" w:space="0"/>
              <w:right w:val="single" w:color="auto" w:sz="4" w:space="0"/>
            </w:tcBorders>
            <w:vAlign w:val="center"/>
          </w:tcPr>
          <w:p w14:paraId="2C015470">
            <w:pPr>
              <w:pStyle w:val="20"/>
              <w:spacing w:beforeAutospacing="0" w:afterAutospacing="0" w:line="360" w:lineRule="exact"/>
              <w:jc w:val="both"/>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包埋盒打号机</w:t>
            </w:r>
          </w:p>
        </w:tc>
        <w:tc>
          <w:tcPr>
            <w:tcW w:w="614" w:type="dxa"/>
            <w:tcBorders>
              <w:top w:val="single" w:color="auto" w:sz="4" w:space="0"/>
              <w:left w:val="single" w:color="auto" w:sz="4" w:space="0"/>
              <w:bottom w:val="single" w:color="auto" w:sz="4" w:space="0"/>
              <w:right w:val="single" w:color="auto" w:sz="4" w:space="0"/>
            </w:tcBorders>
            <w:vAlign w:val="center"/>
          </w:tcPr>
          <w:p w14:paraId="3DEF5B99">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2台</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524DA45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一、基本要求</w:t>
            </w:r>
          </w:p>
          <w:p w14:paraId="2079B7F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采用非接触式激光标刻技术原理实现对包埋盒打标，无需墨盒和色带，不需要打印耗材。</w:t>
            </w:r>
          </w:p>
          <w:p w14:paraId="287FCF6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二、配置要求</w:t>
            </w:r>
          </w:p>
          <w:p w14:paraId="01CDEBD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1.主机            1台</w:t>
            </w:r>
          </w:p>
          <w:p w14:paraId="40D2052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2.装料装置        6个</w:t>
            </w:r>
          </w:p>
          <w:p w14:paraId="1C96FA1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3.USB数据线       1根</w:t>
            </w:r>
          </w:p>
          <w:p w14:paraId="05CE937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4.合格证         有</w:t>
            </w:r>
          </w:p>
          <w:p w14:paraId="17DD36B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5.说明书          1本</w:t>
            </w:r>
          </w:p>
          <w:p w14:paraId="19EF099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三、具体规格及技术参数</w:t>
            </w:r>
          </w:p>
          <w:p w14:paraId="3A1A560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4718F92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1.采用非接触式激光标刻技术原理实现对包埋盒打标，无需墨盒和色带，不需要打印耗材。</w:t>
            </w:r>
          </w:p>
          <w:p w14:paraId="140A31D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2.自主研发的控制系统软件，全中文界面，简洁实用，与现行医院所有的LIS或HIS兼容，可标识各种中西文字、字母、符号、图形及二维码等。</w:t>
            </w:r>
          </w:p>
          <w:p w14:paraId="37B4079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3.无需预热开机即可打标，标识字迹清晰精细，永不褪色和掉色。</w:t>
            </w:r>
          </w:p>
          <w:p w14:paraId="5B014F6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4.打印后无须光固化处理； </w:t>
            </w:r>
          </w:p>
          <w:p w14:paraId="398DA95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▲5.低能耗紫外激光器，输出功率≦2W，很少烧灼气味和粉尘。</w:t>
            </w:r>
          </w:p>
          <w:p w14:paraId="24DAB9E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6.激光器脉冲宽度：4.6±0.2ns</w:t>
            </w:r>
          </w:p>
          <w:p w14:paraId="171733B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7.激光器重复频率:25±1kHz</w:t>
            </w:r>
          </w:p>
          <w:p w14:paraId="3682252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8.激光器中心波长≤380nm</w:t>
            </w:r>
          </w:p>
          <w:p w14:paraId="6A07E93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9.激光器出光高度21.5mm。</w:t>
            </w:r>
          </w:p>
          <w:p w14:paraId="1490CF2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10.六工位的自动旋转装料装置，实现一次上料可以上料6*75个包埋盒。</w:t>
            </w:r>
          </w:p>
          <w:p w14:paraId="13B9530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▲11.可以同时适用打印带盖和不带盖包埋盒。</w:t>
            </w:r>
          </w:p>
          <w:p w14:paraId="5125970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▲12.可以打印带激光粉和</w:t>
            </w:r>
            <w:r>
              <w:rPr>
                <w:rFonts w:hint="eastAsia" w:ascii="宋体" w:hAnsi="宋体" w:cs="微软雅黑"/>
                <w:color w:val="auto"/>
                <w:szCs w:val="21"/>
                <w:highlight w:val="none"/>
                <w:lang w:val="en-US" w:eastAsia="zh-CN"/>
              </w:rPr>
              <w:t>不带</w:t>
            </w:r>
            <w:r>
              <w:rPr>
                <w:rFonts w:hint="eastAsia" w:ascii="宋体" w:hAnsi="宋体" w:cs="微软雅黑"/>
                <w:color w:val="auto"/>
                <w:szCs w:val="21"/>
                <w:highlight w:val="none"/>
              </w:rPr>
              <w:t>激光粉包埋盒。</w:t>
            </w:r>
          </w:p>
          <w:p w14:paraId="68AEB8B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13.6个上料装置都可拆卸，可替换。</w:t>
            </w:r>
          </w:p>
          <w:p w14:paraId="74B6BC5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14.包埋盒装料配备专用料管，可使用厂家配套包埋盒，也可以自选包埋盒。</w:t>
            </w:r>
          </w:p>
          <w:p w14:paraId="6270E97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▲15.仪器尺寸：长x宽x高≤510x300x370mm。</w:t>
            </w:r>
          </w:p>
          <w:p w14:paraId="651B213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▲16.可连续不间断打印8个包埋盒，出料收集器满了以后自动停止打印。</w:t>
            </w:r>
          </w:p>
          <w:p w14:paraId="757235C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17.打印好包埋盒按顺序直立排列，便于拿取。</w:t>
            </w:r>
          </w:p>
          <w:p w14:paraId="558D86B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18.打标速度：3秒/包埋盒</w:t>
            </w:r>
          </w:p>
          <w:p w14:paraId="1C12797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19.仪器内部结构使用高密度铝合金材质，稳定耐用。</w:t>
            </w:r>
          </w:p>
          <w:p w14:paraId="7660BC3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20.打印清晰度高，可确保打印出的二维码能可靠扫描</w:t>
            </w:r>
          </w:p>
          <w:p w14:paraId="73450CB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21.长期提供预先装填好的包埋盒条，节省用户手动装填的麻烦，保证打印质量</w:t>
            </w:r>
          </w:p>
          <w:p w14:paraId="7139A2E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22.具有可开闭的半透明观察窗。</w:t>
            </w:r>
          </w:p>
          <w:p w14:paraId="7E766ED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▲23.可实现按自定义的条件自动选择不同颜色的包埋盒进行打印，最多可以自定义6种颜色包埋盒。</w:t>
            </w:r>
          </w:p>
          <w:p w14:paraId="4A46DF8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24.支持一台电脑控制多个打码机，多进程同时打印功能，软件可分配不同任务给打印机</w:t>
            </w:r>
          </w:p>
          <w:p w14:paraId="7C46DCD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25.软件可控制打码机暂停、重启、继续打印等功能</w:t>
            </w:r>
          </w:p>
          <w:p w14:paraId="44D78DC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26.可自定义打印格式和模板</w:t>
            </w:r>
          </w:p>
          <w:p w14:paraId="44B00EC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27.支持单双小号打印和指定号打印</w:t>
            </w:r>
          </w:p>
          <w:p w14:paraId="1F15254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28.打码信息支持用户自定义录入并打印</w:t>
            </w:r>
          </w:p>
          <w:p w14:paraId="1F62CDF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29.支持用户字典定义功能</w:t>
            </w:r>
          </w:p>
          <w:p w14:paraId="0B0501B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30.支持用户查询功能：未打印、正在打印、已打印数据显示</w:t>
            </w:r>
          </w:p>
          <w:p w14:paraId="107E2CB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31.支持HIS、LIS、PACS等系统接口，实现数据共享功能</w:t>
            </w:r>
          </w:p>
          <w:p w14:paraId="7F541F0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32.支持自动打印功能：增加数据同时自动打印，各系统接口获得数据自动打印</w:t>
            </w:r>
          </w:p>
          <w:p w14:paraId="724948B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33.支持用户打印小号可自定义将数字自动转换为字母打印</w:t>
            </w:r>
          </w:p>
          <w:p w14:paraId="4F974B3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34.支持用户自定义病理号和小号之间的分符</w:t>
            </w:r>
          </w:p>
          <w:p w14:paraId="6226574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35.支持用户打印窗口更改打印模板、支持多种模板切换打印</w:t>
            </w:r>
          </w:p>
          <w:p w14:paraId="1302169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36.支持用户打印窗口更改打码机</w:t>
            </w:r>
          </w:p>
          <w:p w14:paraId="5533BF6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37.支持用户增加、修改病理号前缀</w:t>
            </w:r>
          </w:p>
          <w:p w14:paraId="16E4093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38.支持用户增加数据时，病理号自动递增功能</w:t>
            </w:r>
          </w:p>
          <w:p w14:paraId="355723A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39.支持用户批量增加病理号并自动打印功能</w:t>
            </w:r>
          </w:p>
          <w:p w14:paraId="3C304C4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40.支持数据打印实时信息显示，可取消、暂停打印</w:t>
            </w:r>
          </w:p>
          <w:p w14:paraId="75F911B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41.支持打印数据追溯功能，回查以往打印的内容、时间、操作人员等信息</w:t>
            </w:r>
          </w:p>
          <w:p w14:paraId="5C2A1E0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42.打印软件可实现批量打印和单独打印。</w:t>
            </w:r>
          </w:p>
          <w:p w14:paraId="2D772DA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四、售后服务</w:t>
            </w:r>
          </w:p>
          <w:p w14:paraId="58287F19">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 xml:space="preserve"> 保修1年 </w:t>
            </w:r>
          </w:p>
        </w:tc>
      </w:tr>
      <w:tr w14:paraId="12BE9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085A5F0F">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2</w:t>
            </w:r>
          </w:p>
        </w:tc>
        <w:tc>
          <w:tcPr>
            <w:tcW w:w="1098" w:type="dxa"/>
            <w:tcBorders>
              <w:top w:val="single" w:color="auto" w:sz="4" w:space="0"/>
              <w:left w:val="single" w:color="auto" w:sz="4" w:space="0"/>
              <w:bottom w:val="single" w:color="auto" w:sz="4" w:space="0"/>
              <w:right w:val="single" w:color="auto" w:sz="4" w:space="0"/>
            </w:tcBorders>
            <w:vAlign w:val="center"/>
          </w:tcPr>
          <w:p w14:paraId="6EAADE64">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冰冻切片机</w:t>
            </w:r>
          </w:p>
        </w:tc>
        <w:tc>
          <w:tcPr>
            <w:tcW w:w="614" w:type="dxa"/>
            <w:tcBorders>
              <w:top w:val="single" w:color="auto" w:sz="4" w:space="0"/>
              <w:left w:val="single" w:color="auto" w:sz="4" w:space="0"/>
              <w:bottom w:val="single" w:color="auto" w:sz="4" w:space="0"/>
              <w:right w:val="single" w:color="auto" w:sz="4" w:space="0"/>
            </w:tcBorders>
            <w:vAlign w:val="center"/>
          </w:tcPr>
          <w:p w14:paraId="1EEC464E">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1</w:t>
            </w:r>
            <w:r>
              <w:rPr>
                <w:rFonts w:hint="eastAsia" w:asciiTheme="minorEastAsia" w:hAnsiTheme="minorEastAsia" w:eastAsiaTheme="minorEastAsia"/>
                <w:color w:val="auto"/>
                <w:szCs w:val="21"/>
                <w:highlight w:val="none"/>
              </w:rPr>
              <w:t>台</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18864C6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 基本要求</w:t>
            </w:r>
          </w:p>
          <w:p w14:paraId="44B5A80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冰冻切片机， 用于手术中新鲜组织作病理快速诊断,确定病变的性质,肿瘤有无转移,切除残端有无病变,为手术治疗提供可靠的依据。</w:t>
            </w:r>
          </w:p>
          <w:p w14:paraId="21D00A5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 配置要求</w:t>
            </w:r>
          </w:p>
          <w:p w14:paraId="6AD4861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1.冰冻切片机主机一台</w:t>
            </w:r>
          </w:p>
          <w:p w14:paraId="47D9377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2.刀架一套</w:t>
            </w:r>
          </w:p>
          <w:p w14:paraId="582A299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3.冷冻头 12 个</w:t>
            </w:r>
          </w:p>
          <w:p w14:paraId="744D392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4.说明书一本</w:t>
            </w:r>
          </w:p>
          <w:p w14:paraId="25698E3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5.电源线一根</w:t>
            </w:r>
          </w:p>
          <w:p w14:paraId="54199FA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6.冷冻锤一个</w:t>
            </w:r>
          </w:p>
          <w:p w14:paraId="67FE0B4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 具体规格及技术参数</w:t>
            </w:r>
          </w:p>
          <w:p w14:paraId="248CD71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6C6D034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1.防溅水设计冰冻切片机</w:t>
            </w:r>
          </w:p>
          <w:p w14:paraId="19E6442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双压缩机制冷： 压缩机数量 2 个。</w:t>
            </w:r>
          </w:p>
          <w:p w14:paraId="65E8E31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3.冷冻箱制冷温度： 0℃～-35℃</w:t>
            </w:r>
          </w:p>
          <w:p w14:paraId="713A588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4.冷冻箱自动除霜功能： 每 24 小时≥一次</w:t>
            </w:r>
          </w:p>
          <w:p w14:paraId="019D45A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5.带冷冻箱手动除霜功能</w:t>
            </w:r>
          </w:p>
          <w:p w14:paraId="708EF52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6.速冻架冷冻位点： ≥15+2 个</w:t>
            </w:r>
          </w:p>
          <w:p w14:paraId="31ACB30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7.Peltier 位点：≥ 2 个</w:t>
            </w:r>
          </w:p>
          <w:p w14:paraId="2BFBB35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▲8.速冷架制冷温度最低达： ≤-42℃</w:t>
            </w:r>
          </w:p>
          <w:p w14:paraId="6D9326D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▲9.切片厚度范围： 1-100 um</w:t>
            </w:r>
          </w:p>
          <w:p w14:paraId="7088C8D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 修片厚度： ≥1-600μ m</w:t>
            </w:r>
          </w:p>
          <w:p w14:paraId="2376ECA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11.切片厚度调节： 箱体外部， 保护操作者安全</w:t>
            </w:r>
          </w:p>
          <w:p w14:paraId="2FF9D03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12.电动粗进速度：至少2档； 有快慢档位</w:t>
            </w:r>
          </w:p>
          <w:p w14:paraId="0C9F932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▲13. 简明的图形化按键操作控制温度调节、Peltier 位点开关、 第二个压缩机开关、 除霜、消毒， 非触摸屏， 避免失误的发生；</w:t>
            </w:r>
          </w:p>
          <w:p w14:paraId="682BEA3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▲14.样品定位： 8° 定位及 360°旋转， 自动中心定位和精确 0 位指示确保样本定位顺利进行</w:t>
            </w:r>
          </w:p>
          <w:p w14:paraId="3E7C1C0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15. 抗菌银表面涂层有效组织感染性物质在仪器外部的繁殖</w:t>
            </w:r>
          </w:p>
          <w:p w14:paraId="3CF070A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16. 空气循环系统让冷空气从蒸发器上直接向下吹到刀片架/刀架上实现对样品间接制冷。</w:t>
            </w:r>
          </w:p>
          <w:p w14:paraId="6B00331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▲17.刀片都适用的一次性刀片架。 刀架燕尾槽固定系统进一步增加稳定性并延长工作距离。</w:t>
            </w:r>
          </w:p>
          <w:p w14:paraId="7ABAE52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18. 密封的不锈钢材质高精度冷冻切片机防溅设计， 易清洗， 消毒时无需要从冷冻室取出</w:t>
            </w:r>
          </w:p>
          <w:p w14:paraId="14C543E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四、 售后服务</w:t>
            </w:r>
          </w:p>
          <w:p w14:paraId="0B64340C">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1.上门安装服务：提供送货、安装调试及操作培训等，遵守国家三包规定。</w:t>
            </w:r>
          </w:p>
          <w:p w14:paraId="53259508">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2.保修政策：提供终身保修服务，包括上门维修和寄送配件维修。</w:t>
            </w:r>
          </w:p>
          <w:p w14:paraId="0C582FC7">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3.主机保修期：不少于12个月，自终端签收之日起计算。</w:t>
            </w:r>
          </w:p>
          <w:p w14:paraId="2CF75295">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4.换货政策：若产品存在质量问题，厂家将在15天内无条件更换全新产品，自终端签收之日起计算。</w:t>
            </w:r>
          </w:p>
        </w:tc>
      </w:tr>
      <w:tr w14:paraId="67A17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632E0F35">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3</w:t>
            </w:r>
          </w:p>
        </w:tc>
        <w:tc>
          <w:tcPr>
            <w:tcW w:w="1098" w:type="dxa"/>
            <w:tcBorders>
              <w:top w:val="single" w:color="auto" w:sz="4" w:space="0"/>
              <w:left w:val="single" w:color="auto" w:sz="4" w:space="0"/>
              <w:bottom w:val="single" w:color="auto" w:sz="4" w:space="0"/>
              <w:right w:val="single" w:color="auto" w:sz="4" w:space="0"/>
            </w:tcBorders>
            <w:vAlign w:val="center"/>
          </w:tcPr>
          <w:p w14:paraId="222A7626">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玻片打号机</w:t>
            </w:r>
          </w:p>
        </w:tc>
        <w:tc>
          <w:tcPr>
            <w:tcW w:w="614" w:type="dxa"/>
            <w:tcBorders>
              <w:top w:val="single" w:color="auto" w:sz="4" w:space="0"/>
              <w:left w:val="single" w:color="auto" w:sz="4" w:space="0"/>
              <w:bottom w:val="single" w:color="auto" w:sz="4" w:space="0"/>
              <w:right w:val="single" w:color="auto" w:sz="4" w:space="0"/>
            </w:tcBorders>
            <w:vAlign w:val="center"/>
          </w:tcPr>
          <w:p w14:paraId="007481F3">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2</w:t>
            </w:r>
            <w:r>
              <w:rPr>
                <w:rFonts w:hint="eastAsia" w:asciiTheme="minorEastAsia" w:hAnsiTheme="minorEastAsia" w:eastAsiaTheme="minorEastAsia"/>
                <w:color w:val="auto"/>
                <w:szCs w:val="21"/>
                <w:highlight w:val="none"/>
              </w:rPr>
              <w:t>台</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04B6F13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一、基本要求</w:t>
            </w:r>
          </w:p>
          <w:p w14:paraId="2835663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采用非接触式激光标刻技术，玻片打号机直接在玻片上打号码及二维码，采用耐化学试剂腐蚀的特殊色带，确保字迹清晰且长久保存，二维码扫出率高.</w:t>
            </w:r>
          </w:p>
          <w:p w14:paraId="64A1720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二、配置要求</w:t>
            </w:r>
          </w:p>
          <w:p w14:paraId="1343541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主机                  1台</w:t>
            </w:r>
          </w:p>
          <w:p w14:paraId="79ACEBD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玻片弹匣盒            2个</w:t>
            </w:r>
          </w:p>
          <w:p w14:paraId="532BD32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 玻片收集盒            2个</w:t>
            </w:r>
          </w:p>
          <w:p w14:paraId="3412B9E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 收集托盘              1个</w:t>
            </w:r>
          </w:p>
          <w:p w14:paraId="694E208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 打码软件              1套</w:t>
            </w:r>
          </w:p>
          <w:p w14:paraId="4F59A54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 USB数据线             1根</w:t>
            </w:r>
          </w:p>
          <w:p w14:paraId="5BF1569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 合格证                1张</w:t>
            </w:r>
          </w:p>
          <w:p w14:paraId="380017C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 说明书                1本</w:t>
            </w:r>
          </w:p>
          <w:p w14:paraId="569F58E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三、具体规格及技术参数</w:t>
            </w:r>
          </w:p>
          <w:p w14:paraId="735298D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70AE92D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1.采用非接触式激光标刻技术。</w:t>
            </w:r>
          </w:p>
          <w:p w14:paraId="508E34C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2.采用对物质分子的分离技术，对玻片表面无灼烧、不产生加热或变形。</w:t>
            </w:r>
          </w:p>
          <w:p w14:paraId="5703ACE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3.字迹表面光洁度≥6.5μm，打印分辩率≥2500dpi。</w:t>
            </w:r>
          </w:p>
          <w:p w14:paraId="26493F3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4.扫码效果：用玻片批量扫描仪和扫码枪1秒内识别其二维码。</w:t>
            </w:r>
          </w:p>
          <w:p w14:paraId="6EDC134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5.采用低能耗冷光源激光器，激光器中心波长≤380nm，输出功率≤3W。</w:t>
            </w:r>
          </w:p>
          <w:p w14:paraId="5B834AC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6.采用弹匣式预包装玻片装料盒。</w:t>
            </w:r>
          </w:p>
          <w:p w14:paraId="3AE2D3B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7.采用侧翻、弹匣式可互换上料装置。</w:t>
            </w:r>
          </w:p>
          <w:p w14:paraId="2B3841E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8.采用弹顶复位结构推料装置，推料回程推板与载玻片不接触；</w:t>
            </w:r>
          </w:p>
          <w:p w14:paraId="2AC2F4E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9.下料装置：载玻片出料输送通过独立的C3级精密丝杆电机（应用于切片机）驱动，采用高精密丝杆传动+线性导轨支撑传送。</w:t>
            </w:r>
          </w:p>
          <w:p w14:paraId="07B5786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采用弹珠式卡位可抽拔出料收集盒，收集盒装置中托料机构为弹性自动升降机构,且具有感应装置。标配具有一次成型的ABS材料的托盘，且有22个唯一坐标，每个坐标对应30张玻片直立排放，并与智能病理标本管理系统兼容，可提供说明书。</w:t>
            </w:r>
          </w:p>
          <w:p w14:paraId="0C7D848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11.具有半透明拆卸式观察窗。</w:t>
            </w:r>
          </w:p>
          <w:p w14:paraId="0AB9B23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▲12.打码速度：≤3s/玻片，并提供第三方检测报告。</w:t>
            </w:r>
          </w:p>
          <w:p w14:paraId="4511AB8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13.耐腐蚀性：耐二甲苯、酒精，经HE染色、特染或免疫组化染色后均不出现晕染现象，1秒内扫描识别。</w:t>
            </w:r>
          </w:p>
          <w:p w14:paraId="3F22621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14.可打印含激光粉和不含激光粉漆面玻片、免疫组化玻片，且漆面不打透。</w:t>
            </w:r>
          </w:p>
          <w:p w14:paraId="4A2E9DF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15.可外置扫码枪，实现扫包埋盒条码自动打印玻片信息。</w:t>
            </w:r>
          </w:p>
          <w:p w14:paraId="1E516CA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16.采用化学滤料空气净化系统。</w:t>
            </w:r>
          </w:p>
          <w:p w14:paraId="20D09C3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17.打印位置有带磁性吸附可移动不锈钢防护罩，收集异味和灰尘，导入净化系统。</w:t>
            </w:r>
          </w:p>
          <w:p w14:paraId="59CF0D1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18.具有语音控制功能。</w:t>
            </w:r>
          </w:p>
          <w:p w14:paraId="284F262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19.全中文界面，可与医院现行系统兼容，可标识各种中西文字、字母、符号、图形及二维码等。</w:t>
            </w:r>
          </w:p>
          <w:p w14:paraId="4E6851F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20.具有软件个性化定制功能：</w:t>
            </w:r>
          </w:p>
          <w:p w14:paraId="4C6BB3B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 支持打印各种文字、符号、图案；</w:t>
            </w:r>
          </w:p>
          <w:p w14:paraId="47ED585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20.2 支持权限管理功能；</w:t>
            </w:r>
          </w:p>
          <w:p w14:paraId="3037867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20.3 采用数据加密功能，防止患者个人信息泄密；</w:t>
            </w:r>
          </w:p>
          <w:p w14:paraId="05A332A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20.4 支持病理号+小号打印，且具有数字自动转字母打印功能；</w:t>
            </w:r>
          </w:p>
          <w:p w14:paraId="2328D0F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20.5 具有暂停、重启、取消、继续、优先打印功能，工作状态实时显示；</w:t>
            </w:r>
          </w:p>
          <w:p w14:paraId="04387A2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20.6 支持单连续号打印、指定号打印和多个小号打印</w:t>
            </w:r>
          </w:p>
          <w:p w14:paraId="378E16C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20.7 可自定义字段与字段之间的分隔符；</w:t>
            </w:r>
          </w:p>
          <w:p w14:paraId="3B53ED1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20.8 支持扫码打印，且打印内容可自定义；</w:t>
            </w:r>
          </w:p>
          <w:p w14:paraId="79CF3CB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20.9 支持与HIS、LIS、PACS等系统接口联接，实现数据共享功能，获取数据后自动打印；</w:t>
            </w:r>
          </w:p>
          <w:p w14:paraId="418E17B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20.10 支持用户打印窗口更改打印模板、支持多种模板切换打印</w:t>
            </w:r>
          </w:p>
          <w:p w14:paraId="3C051B8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20.11 软件界面文字描述可根据需要自定义；</w:t>
            </w:r>
          </w:p>
          <w:p w14:paraId="7396A1D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20.12 支持病理号自动递增功能；</w:t>
            </w:r>
          </w:p>
          <w:p w14:paraId="21C9D16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20.13 支持历史数据查询并重新打印功能</w:t>
            </w:r>
          </w:p>
          <w:p w14:paraId="37FF928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20.14 实时显示打印进度；</w:t>
            </w:r>
          </w:p>
          <w:p w14:paraId="45258F7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20.15 支持一台主控制台控制多台设备或多台控制台控制一台设备</w:t>
            </w:r>
          </w:p>
          <w:p w14:paraId="0549E2A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20.16 软件界面所有功能可在字典设置内开启或关闭。</w:t>
            </w:r>
          </w:p>
          <w:p w14:paraId="697471E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四、售后服务</w:t>
            </w:r>
          </w:p>
          <w:p w14:paraId="68F9F8CA">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 xml:space="preserve"> 保修1年 </w:t>
            </w:r>
          </w:p>
        </w:tc>
      </w:tr>
      <w:tr w14:paraId="71EC6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5F10CC21">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4</w:t>
            </w:r>
          </w:p>
        </w:tc>
        <w:tc>
          <w:tcPr>
            <w:tcW w:w="1098" w:type="dxa"/>
            <w:tcBorders>
              <w:top w:val="single" w:color="auto" w:sz="4" w:space="0"/>
              <w:left w:val="single" w:color="auto" w:sz="4" w:space="0"/>
              <w:bottom w:val="single" w:color="auto" w:sz="4" w:space="0"/>
              <w:right w:val="single" w:color="auto" w:sz="4" w:space="0"/>
            </w:tcBorders>
            <w:vAlign w:val="center"/>
          </w:tcPr>
          <w:p w14:paraId="1B411EC0">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显微镜</w:t>
            </w:r>
          </w:p>
        </w:tc>
        <w:tc>
          <w:tcPr>
            <w:tcW w:w="614" w:type="dxa"/>
            <w:tcBorders>
              <w:top w:val="single" w:color="auto" w:sz="4" w:space="0"/>
              <w:left w:val="single" w:color="auto" w:sz="4" w:space="0"/>
              <w:bottom w:val="single" w:color="auto" w:sz="4" w:space="0"/>
              <w:right w:val="single" w:color="auto" w:sz="4" w:space="0"/>
            </w:tcBorders>
            <w:vAlign w:val="center"/>
          </w:tcPr>
          <w:p w14:paraId="17908CC4">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1</w:t>
            </w:r>
            <w:r>
              <w:rPr>
                <w:rFonts w:hint="eastAsia" w:asciiTheme="minorEastAsia" w:hAnsiTheme="minorEastAsia" w:eastAsiaTheme="minorEastAsia"/>
                <w:color w:val="auto"/>
                <w:szCs w:val="21"/>
                <w:highlight w:val="none"/>
              </w:rPr>
              <w:t>台</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0B1DB189">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一、 基本要求</w:t>
            </w:r>
          </w:p>
          <w:p w14:paraId="2D562CF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用于细胞和组织的高分辨率观察与分析， 切片的明场观察。</w:t>
            </w:r>
          </w:p>
          <w:p w14:paraId="6C9A4E1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二、 配置要求</w:t>
            </w:r>
          </w:p>
          <w:p w14:paraId="4490EA9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 主机              1 台</w:t>
            </w:r>
          </w:p>
          <w:p w14:paraId="31718A8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 5孔编码物镜转盘   1 个</w:t>
            </w:r>
          </w:p>
          <w:p w14:paraId="163744C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 4倍物镜           1 个</w:t>
            </w:r>
          </w:p>
          <w:p w14:paraId="7507EEA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 10倍物镜          1 个</w:t>
            </w:r>
          </w:p>
          <w:p w14:paraId="31DD1FB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 20倍物镜          1 个</w:t>
            </w:r>
          </w:p>
          <w:p w14:paraId="41CB2E7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 40倍物镜          1 个</w:t>
            </w:r>
          </w:p>
          <w:p w14:paraId="5A29DE2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 目镜              2 个</w:t>
            </w:r>
          </w:p>
          <w:p w14:paraId="7C2A15F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 聚光镜            1 个</w:t>
            </w:r>
          </w:p>
          <w:p w14:paraId="0EB1A94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三、 具体规格及技术参数</w:t>
            </w:r>
          </w:p>
          <w:p w14:paraId="40D5DAF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01F5DF8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1.研究级正置显微镜</w:t>
            </w:r>
          </w:p>
          <w:p w14:paraId="72D314D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 研究级万能正置显微镜，可作明场（BF）观察方式的观察。</w:t>
            </w:r>
          </w:p>
          <w:p w14:paraId="3E47057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 正置显微镜镜体：</w:t>
            </w:r>
          </w:p>
          <w:p w14:paraId="6B26E3C0">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1.2.1 光学系统：采用无限远校正光学系统，齐焦距离≤45mm</w:t>
            </w:r>
          </w:p>
          <w:p w14:paraId="7C03FE9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1.2.2 调焦：载物台垂直移动，行程不小于25mm，带聚焦粗调限位器，粗调旋钮扭矩可调，最小调节精度≤1微米。</w:t>
            </w:r>
          </w:p>
          <w:p w14:paraId="4FC6B44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▲1.2.3 照明装置：内置透射光柯勒照明器，长效白光LED光源，寿命≥20000 小时。具有光强管理（LIM）功能，能够在转换不同物镜时，根据预设光强进行自动光亮度调节。</w:t>
            </w:r>
          </w:p>
          <w:p w14:paraId="5B3F88F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1.3 物镜转盘：5孔编码物镜转盘。</w:t>
            </w:r>
          </w:p>
          <w:p w14:paraId="0BDC29E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▲1.4 观察镜筒：宽视野三目观察筒，屈光度可调，视场数≥22，倾角30度，瞳间距调节范围50-76mm。</w:t>
            </w:r>
          </w:p>
          <w:p w14:paraId="365C470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▲1.5 物镜：平场消色差物镜</w:t>
            </w:r>
          </w:p>
          <w:p w14:paraId="46F31CA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4X（N.A≥0.1，W.D≥18.5）</w:t>
            </w:r>
          </w:p>
          <w:p w14:paraId="6C59529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10X（N.A≥0.25，W.D≥10.6）</w:t>
            </w:r>
          </w:p>
          <w:p w14:paraId="04AAE4A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20X（N.A≥0.40，W.D≥1.2 spring）</w:t>
            </w:r>
          </w:p>
          <w:p w14:paraId="76E91A80">
            <w:pPr>
              <w:keepLines/>
              <w:widowControl/>
              <w:adjustRightInd w:val="0"/>
              <w:snapToGrid w:val="0"/>
              <w:jc w:val="left"/>
              <w:rPr>
                <w:rFonts w:asciiTheme="minorEastAsia" w:hAnsiTheme="minorEastAsia" w:eastAsiaTheme="minorEastAsia" w:cstheme="minorEastAsia"/>
                <w:color w:val="auto"/>
                <w:szCs w:val="21"/>
                <w:highlight w:val="none"/>
              </w:rPr>
            </w:pPr>
            <w:r>
              <w:rPr>
                <w:rFonts w:hint="eastAsia" w:ascii="宋体" w:hAnsi="宋体" w:cs="微软雅黑"/>
                <w:color w:val="auto"/>
                <w:szCs w:val="21"/>
                <w:highlight w:val="none"/>
              </w:rPr>
              <w:t>40</w:t>
            </w:r>
            <w:r>
              <w:rPr>
                <w:rFonts w:hint="eastAsia" w:asciiTheme="minorEastAsia" w:hAnsiTheme="minorEastAsia" w:eastAsiaTheme="minorEastAsia" w:cstheme="minorEastAsia"/>
                <w:color w:val="auto"/>
                <w:szCs w:val="21"/>
                <w:highlight w:val="none"/>
              </w:rPr>
              <w:t>X（N.A≥0.65，W.D≥0.6）</w:t>
            </w:r>
          </w:p>
          <w:p w14:paraId="62C39C9F">
            <w:pPr>
              <w:keepLines/>
              <w:widowControl/>
              <w:adjustRightInd w:val="0"/>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 目镜：10X 宽视场目镜，带屈光度校准，视场数≥22。</w:t>
            </w:r>
          </w:p>
          <w:p w14:paraId="79ED2A0D">
            <w:pPr>
              <w:keepLines/>
              <w:widowControl/>
              <w:adjustRightInd w:val="0"/>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 载物台：右手低位驱动载物台，带有旋转装置和扭矩调节装置，高抗磨损性陶瓷覆盖层载物台。</w:t>
            </w:r>
          </w:p>
          <w:p w14:paraId="4C70BC7B">
            <w:pPr>
              <w:keepLines/>
              <w:widowControl/>
              <w:adjustRightInd w:val="0"/>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 聚光镜：阿贝聚光镜，适合4-100X物镜，N.A.≥1.1。</w:t>
            </w:r>
          </w:p>
          <w:p w14:paraId="41FB9C77">
            <w:pPr>
              <w:keepLines/>
              <w:widowControl/>
              <w:adjustRightInd w:val="0"/>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四、售后服务</w:t>
            </w:r>
          </w:p>
          <w:p w14:paraId="7DE6E4D6">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1.培训服务：提供安装调试服务，对使用人员和维修人员进行培训直至熟练掌握。</w:t>
            </w:r>
          </w:p>
          <w:p w14:paraId="7565D4D6">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2.故障处理：在接到故障通知后30分钟内响应，8小时内派遣维修工程师上门服务，确保故障得到及时处理。若故障在7天内未修复，将提供备用仪器。</w:t>
            </w:r>
          </w:p>
          <w:p w14:paraId="53B46330">
            <w:pPr>
              <w:rPr>
                <w:color w:val="auto"/>
                <w:highlight w:val="none"/>
              </w:rPr>
            </w:pPr>
            <w:r>
              <w:rPr>
                <w:rFonts w:hint="eastAsia" w:asciiTheme="minorEastAsia" w:hAnsiTheme="minorEastAsia" w:eastAsiaTheme="minorEastAsia" w:cstheme="minorEastAsia"/>
                <w:color w:val="auto"/>
                <w:highlight w:val="none"/>
              </w:rPr>
              <w:t>3.在保修期内，若因供货方提供</w:t>
            </w:r>
            <w:r>
              <w:rPr>
                <w:rFonts w:hint="eastAsia"/>
                <w:color w:val="auto"/>
                <w:highlight w:val="none"/>
              </w:rPr>
              <w:t>的部件质量问题导致设备维修后三个月内再次出现相同故障，供货方应无偿提供维修服务并更换相同部件，相关费用由供货方承担。</w:t>
            </w:r>
          </w:p>
          <w:p w14:paraId="2E04A59A">
            <w:pPr>
              <w:rPr>
                <w:rFonts w:ascii="宋体" w:hAnsi="宋体" w:cs="微软雅黑"/>
                <w:color w:val="auto"/>
                <w:szCs w:val="21"/>
                <w:highlight w:val="none"/>
              </w:rPr>
            </w:pPr>
            <w:r>
              <w:rPr>
                <w:rFonts w:hint="eastAsia" w:asciiTheme="minorEastAsia" w:hAnsiTheme="minorEastAsia" w:eastAsiaTheme="minorEastAsia" w:cstheme="minorEastAsia"/>
                <w:color w:val="auto"/>
                <w:highlight w:val="none"/>
              </w:rPr>
              <w:t>4.提供客户回访服务</w:t>
            </w:r>
          </w:p>
        </w:tc>
      </w:tr>
      <w:tr w14:paraId="46C37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0F5C4D46">
            <w:pPr>
              <w:spacing w:line="360" w:lineRule="exact"/>
              <w:jc w:val="center"/>
              <w:rPr>
                <w:rFonts w:cs="Tahoma" w:asciiTheme="minorEastAsia" w:hAnsiTheme="minorEastAsia" w:eastAsiaTheme="minorEastAsia"/>
                <w:color w:val="auto"/>
                <w:szCs w:val="21"/>
                <w:highlight w:val="none"/>
              </w:rPr>
            </w:pPr>
            <w:r>
              <w:rPr>
                <w:rFonts w:hint="eastAsia" w:cs="Tahoma" w:asciiTheme="minorEastAsia" w:hAnsiTheme="minorEastAsia" w:eastAsiaTheme="minorEastAsia"/>
                <w:color w:val="auto"/>
                <w:szCs w:val="21"/>
                <w:highlight w:val="none"/>
              </w:rPr>
              <w:t>5</w:t>
            </w:r>
          </w:p>
        </w:tc>
        <w:tc>
          <w:tcPr>
            <w:tcW w:w="1098" w:type="dxa"/>
            <w:tcBorders>
              <w:top w:val="single" w:color="auto" w:sz="4" w:space="0"/>
              <w:left w:val="single" w:color="auto" w:sz="4" w:space="0"/>
              <w:bottom w:val="single" w:color="auto" w:sz="4" w:space="0"/>
              <w:right w:val="single" w:color="auto" w:sz="4" w:space="0"/>
            </w:tcBorders>
            <w:vAlign w:val="center"/>
          </w:tcPr>
          <w:p w14:paraId="369802AD">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制片染色一体机</w:t>
            </w:r>
          </w:p>
        </w:tc>
        <w:tc>
          <w:tcPr>
            <w:tcW w:w="614" w:type="dxa"/>
            <w:tcBorders>
              <w:top w:val="single" w:color="auto" w:sz="4" w:space="0"/>
              <w:left w:val="single" w:color="auto" w:sz="4" w:space="0"/>
              <w:bottom w:val="single" w:color="auto" w:sz="4" w:space="0"/>
              <w:right w:val="single" w:color="auto" w:sz="4" w:space="0"/>
            </w:tcBorders>
            <w:vAlign w:val="center"/>
          </w:tcPr>
          <w:p w14:paraId="36B10874">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1</w:t>
            </w:r>
            <w:r>
              <w:rPr>
                <w:rFonts w:hint="eastAsia" w:asciiTheme="minorEastAsia" w:hAnsiTheme="minorEastAsia" w:eastAsiaTheme="minorEastAsia"/>
                <w:color w:val="auto"/>
                <w:szCs w:val="21"/>
                <w:highlight w:val="none"/>
              </w:rPr>
              <w:t>台</w:t>
            </w:r>
          </w:p>
        </w:tc>
        <w:tc>
          <w:tcPr>
            <w:tcW w:w="7094" w:type="dxa"/>
            <w:tcBorders>
              <w:top w:val="single" w:color="auto" w:sz="4" w:space="0"/>
              <w:left w:val="single" w:color="auto" w:sz="4" w:space="0"/>
              <w:bottom w:val="single" w:color="auto" w:sz="4" w:space="0"/>
              <w:right w:val="single" w:color="auto" w:sz="4" w:space="0"/>
            </w:tcBorders>
            <w:shd w:val="clear" w:color="auto" w:fill="auto"/>
            <w:vAlign w:val="center"/>
          </w:tcPr>
          <w:p w14:paraId="1BD7B50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制片染色一体机技术参数</w:t>
            </w:r>
          </w:p>
          <w:p w14:paraId="4239276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1.制片技术原理：沉降式技术。制片过程中利用细胞自身重力，在没有外力的作用下细胞自然沉降与玻片相粘附。病变细胞核浆比增大，沉降速度快，可被优先捕获，提高检测阳性率。</w:t>
            </w:r>
          </w:p>
          <w:p w14:paraId="77EF2EA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2.阅片效率：制成的薄片诊断面积为直径13mm的圆，可根据需要调整面积内细胞数量。 </w:t>
            </w:r>
          </w:p>
          <w:p w14:paraId="676CDEDF">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3.采用10.1寸彩色触摸屏监控，无需外置电脑，节约空间。</w:t>
            </w:r>
          </w:p>
          <w:p w14:paraId="1EF45A04">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4.制片通量：1-32片/批。</w:t>
            </w:r>
          </w:p>
          <w:p w14:paraId="30503CB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5.制片效率：≤36分钟/32片。</w:t>
            </w:r>
          </w:p>
          <w:p w14:paraId="7027E1A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6.设备采用双转盘模块化设计：两个实验模块可独立工作也可同时工作，以实现不同实验参数同时运行和循环上机，满足客户不同样本参数同时上机运行的需求，并提升工作效率。</w:t>
            </w:r>
          </w:p>
          <w:p w14:paraId="38D34DA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7.通过转盘快速旋转产生离心力的方式将制片染色仓中的废液排除，废液不经过泵阀及钢针，独特的排液设计可完全避免废液管路堵塞的问题。</w:t>
            </w:r>
          </w:p>
          <w:p w14:paraId="3920DA3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8.采用独立滴染技术：每个标本的制片染色都在独立的制片染色仓中进行，染液一次性使用，避免标本间交叉污染。染液一次性使用，染色效果稳定，无批间差。</w:t>
            </w:r>
          </w:p>
          <w:p w14:paraId="4822D158">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9.设备内置6个常用实验程序，程序参数可自定义编辑并保存。</w:t>
            </w:r>
          </w:p>
          <w:p w14:paraId="4C8051DB">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10.设备稳定：使用一次性吸嘴滴加染液，染液不经过管道，无需排空动作，染液消耗量＜250ul/片，既可避免管道堵塞现象，也大量减少废液排放，日常维护简便。</w:t>
            </w:r>
          </w:p>
          <w:p w14:paraId="59159C3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11.自动制片染色一体化：制片染色全过程通过触摸屏监控，采用图形化引导界面，可实时显示当前实验运行步骤及进度，程序可设置分步运行，能根据需要选择制片染色/仅制片/仅染色/仅离心功能。</w:t>
            </w:r>
          </w:p>
          <w:p w14:paraId="610E17D6">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12.维护简便：设备具有管路自动清洗功能，节省日常维护的时间；</w:t>
            </w:r>
          </w:p>
          <w:p w14:paraId="7F621B1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13.智能化设计：具备吸嘴检测、试剂余量检测、废液上限检测等报警提示功能，有效防止人为错误。</w:t>
            </w:r>
          </w:p>
          <w:p w14:paraId="106355A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14.具有预约运行功能，以便充分利用时间。</w:t>
            </w:r>
          </w:p>
          <w:p w14:paraId="51EA7A2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15.中文TBS报告系统，具备多机联网功能。</w:t>
            </w:r>
          </w:p>
          <w:p w14:paraId="2D155B3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16.适用范围：(1)宫颈细胞系列；(2)痰细胞/内窥镜刷取细胞/灌洗液细胞系列；(3)浆膜腔积液细胞；(4)尿液细胞；(5)针吸细胞系列。</w:t>
            </w:r>
          </w:p>
          <w:p w14:paraId="6EFD3285">
            <w:pPr>
              <w:keepLines/>
              <w:widowControl/>
              <w:adjustRightInd w:val="0"/>
              <w:snapToGrid w:val="0"/>
              <w:jc w:val="left"/>
              <w:rPr>
                <w:rFonts w:ascii="宋体" w:hAnsi="宋体" w:cs="微软雅黑"/>
                <w:b/>
                <w:bCs/>
                <w:color w:val="auto"/>
                <w:szCs w:val="21"/>
                <w:highlight w:val="none"/>
              </w:rPr>
            </w:pPr>
            <w:r>
              <w:rPr>
                <w:rFonts w:hint="eastAsia" w:ascii="宋体" w:hAnsi="宋体" w:cs="微软雅黑"/>
                <w:b/>
                <w:bCs/>
                <w:color w:val="auto"/>
                <w:szCs w:val="21"/>
                <w:highlight w:val="none"/>
              </w:rPr>
              <w:t>17.设备配置清单</w:t>
            </w:r>
          </w:p>
          <w:p w14:paraId="20CDFDA1">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17.1 制片染色一体机（DC-4032） 1台 </w:t>
            </w:r>
          </w:p>
          <w:p w14:paraId="7E401153">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17.2 自动样本转移机（DC-2801） 2台 </w:t>
            </w:r>
          </w:p>
          <w:p w14:paraId="5E5A9D2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17.3 真空废液装置，含真空泵+废液瓶+8头废液吸头+管道（4000ml/套） 1套 </w:t>
            </w:r>
          </w:p>
          <w:p w14:paraId="73D7AA8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17.4 低速离心机（JW-1032）    1台 </w:t>
            </w:r>
          </w:p>
          <w:p w14:paraId="304BC6B2">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17.5 漩涡振荡器（X0-01）      1个 </w:t>
            </w:r>
          </w:p>
          <w:p w14:paraId="3FEA3E0D">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17.6 液基振荡器（TL-2000）    1个 </w:t>
            </w:r>
          </w:p>
          <w:p w14:paraId="374147A5">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17.7 定量加液器（5ml）        1个 </w:t>
            </w:r>
          </w:p>
          <w:p w14:paraId="082BFC4C">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17.8 耐高温塑料染色架（24片） 2个 </w:t>
            </w:r>
          </w:p>
          <w:p w14:paraId="3FACA6CA">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17.9 塑料染色盒（24片装/缸） 2个 </w:t>
            </w:r>
          </w:p>
          <w:p w14:paraId="17BCBDCE">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17.10 塑料试管架（50孔）     1个 </w:t>
            </w:r>
          </w:p>
          <w:p w14:paraId="26F1F807">
            <w:pPr>
              <w:keepLines/>
              <w:widowControl/>
              <w:adjustRightInd w:val="0"/>
              <w:snapToGri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17.11 塑料洗瓶（500ml）       2个 </w:t>
            </w:r>
          </w:p>
          <w:p w14:paraId="57368723">
            <w:pPr>
              <w:keepLines/>
              <w:widowControl/>
              <w:jc w:val="left"/>
              <w:textAlignment w:val="center"/>
              <w:rPr>
                <w:rFonts w:ascii="宋体" w:hAnsi="宋体" w:cs="微软雅黑"/>
                <w:color w:val="auto"/>
                <w:szCs w:val="21"/>
                <w:highlight w:val="none"/>
              </w:rPr>
            </w:pPr>
            <w:r>
              <w:rPr>
                <w:rFonts w:hint="eastAsia" w:ascii="宋体" w:hAnsi="宋体" w:cs="微软雅黑"/>
                <w:color w:val="auto"/>
                <w:szCs w:val="21"/>
                <w:highlight w:val="none"/>
              </w:rPr>
              <w:t>17.12 TBS报告系统软件        1套</w:t>
            </w:r>
          </w:p>
          <w:p w14:paraId="0F721966">
            <w:pPr>
              <w:keepLines/>
              <w:widowControl/>
              <w:adjustRightInd w:val="0"/>
              <w:rPr>
                <w:rFonts w:ascii="宋体" w:hAnsi="宋体" w:cs="微软雅黑"/>
                <w:color w:val="auto"/>
                <w:szCs w:val="21"/>
                <w:highlight w:val="none"/>
              </w:rPr>
            </w:pPr>
            <w:r>
              <w:rPr>
                <w:rFonts w:hint="eastAsia" w:ascii="宋体" w:hAnsi="宋体" w:cs="微软雅黑"/>
                <w:color w:val="auto"/>
                <w:szCs w:val="21"/>
                <w:highlight w:val="none"/>
              </w:rPr>
              <w:t>18.设备耗材</w:t>
            </w:r>
          </w:p>
          <w:p w14:paraId="72915722">
            <w:pPr>
              <w:keepLines/>
              <w:widowControl/>
              <w:adjustRightInd w:val="0"/>
              <w:rPr>
                <w:rFonts w:ascii="宋体" w:hAnsi="宋体" w:cs="微软雅黑"/>
                <w:color w:val="auto"/>
                <w:szCs w:val="21"/>
                <w:highlight w:val="none"/>
              </w:rPr>
            </w:pPr>
            <w:r>
              <w:rPr>
                <w:rFonts w:hint="eastAsia" w:ascii="宋体" w:hAnsi="宋体" w:cs="微软雅黑"/>
                <w:color w:val="auto"/>
                <w:szCs w:val="21"/>
                <w:highlight w:val="none"/>
              </w:rPr>
              <w:t xml:space="preserve">18.1 </w:t>
            </w:r>
            <w:r>
              <w:rPr>
                <w:rFonts w:ascii="宋体" w:hAnsi="宋体" w:cs="微软雅黑"/>
                <w:color w:val="auto"/>
                <w:szCs w:val="21"/>
                <w:highlight w:val="none"/>
              </w:rPr>
              <w:t>若设备必须使用专机专用耗材，供应商所提供的设备注册证/说明书应明确标注耗材与设备具有强制配套性，或提供由设备制造商出具的《专用耗材技术说明函》。</w:t>
            </w:r>
          </w:p>
          <w:p w14:paraId="1B994DF7">
            <w:pPr>
              <w:keepLines/>
              <w:widowControl/>
              <w:adjustRightInd w:val="0"/>
              <w:rPr>
                <w:color w:val="auto"/>
                <w:highlight w:val="none"/>
              </w:rPr>
            </w:pPr>
            <w:r>
              <w:rPr>
                <w:rFonts w:hint="eastAsia" w:ascii="宋体" w:hAnsi="宋体" w:cs="微软雅黑"/>
                <w:color w:val="auto"/>
                <w:szCs w:val="21"/>
                <w:highlight w:val="none"/>
              </w:rPr>
              <w:t xml:space="preserve">18.2 </w:t>
            </w:r>
            <w:r>
              <w:rPr>
                <w:rFonts w:ascii="宋体" w:hAnsi="宋体" w:cs="微软雅黑"/>
                <w:color w:val="auto"/>
                <w:szCs w:val="21"/>
                <w:highlight w:val="none"/>
              </w:rPr>
              <w:t>若设备兼容多品牌耗材，供应商应在设备注册证/说明书中明确标注“允许使用第三方耗材”，并需提供《兼容性验证报告》，以确保所支持的耗材与设备兼容性测试结果满足设备制造商的技术标准。</w:t>
            </w:r>
          </w:p>
          <w:p w14:paraId="7F32D57C">
            <w:pPr>
              <w:pStyle w:val="16"/>
              <w:rPr>
                <w:color w:val="auto"/>
                <w:highlight w:val="none"/>
              </w:rPr>
            </w:pPr>
          </w:p>
        </w:tc>
      </w:tr>
      <w:tr w14:paraId="7D821F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072E1966">
            <w:pPr>
              <w:spacing w:line="360" w:lineRule="exact"/>
              <w:textAlignment w:val="center"/>
              <w:rPr>
                <w:rFonts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rPr>
              <w:t>二、</w:t>
            </w:r>
            <w:r>
              <w:rPr>
                <w:rFonts w:hint="eastAsia" w:asciiTheme="minorEastAsia" w:hAnsiTheme="minorEastAsia" w:eastAsiaTheme="minorEastAsia"/>
                <w:b/>
                <w:color w:val="auto"/>
                <w:szCs w:val="21"/>
                <w:highlight w:val="none"/>
              </w:rPr>
              <w:t>商务要求表</w:t>
            </w:r>
          </w:p>
        </w:tc>
      </w:tr>
      <w:tr w14:paraId="49A1A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37D7EC24">
            <w:pPr>
              <w:pStyle w:val="54"/>
              <w:spacing w:before="34" w:line="229" w:lineRule="auto"/>
              <w:ind w:left="117"/>
              <w:rPr>
                <w:rFonts w:asciiTheme="minorEastAsia" w:hAnsiTheme="minorEastAsia" w:eastAsiaTheme="minorEastAsia"/>
                <w:color w:val="auto"/>
                <w:sz w:val="21"/>
                <w:szCs w:val="21"/>
                <w:highlight w:val="none"/>
              </w:rPr>
            </w:pPr>
            <w:r>
              <w:rPr>
                <w:color w:val="auto"/>
                <w:spacing w:val="7"/>
                <w:sz w:val="21"/>
                <w:szCs w:val="21"/>
                <w:highlight w:val="none"/>
              </w:rPr>
              <w:t>合同签订期</w:t>
            </w:r>
          </w:p>
        </w:tc>
        <w:tc>
          <w:tcPr>
            <w:tcW w:w="7708" w:type="dxa"/>
            <w:gridSpan w:val="2"/>
            <w:tcBorders>
              <w:top w:val="single" w:color="auto" w:sz="4" w:space="0"/>
              <w:left w:val="single" w:color="auto" w:sz="4" w:space="0"/>
              <w:bottom w:val="single" w:color="auto" w:sz="4" w:space="0"/>
            </w:tcBorders>
          </w:tcPr>
          <w:p w14:paraId="3BD87617">
            <w:pPr>
              <w:pStyle w:val="54"/>
              <w:spacing w:before="34" w:line="233" w:lineRule="auto"/>
              <w:ind w:left="113" w:right="156" w:firstLine="33"/>
              <w:rPr>
                <w:rFonts w:cs="Courier New" w:asciiTheme="minorEastAsia" w:hAnsiTheme="minorEastAsia" w:eastAsiaTheme="minorEastAsia"/>
                <w:color w:val="auto"/>
                <w:sz w:val="21"/>
                <w:szCs w:val="21"/>
                <w:highlight w:val="none"/>
              </w:rPr>
            </w:pPr>
            <w:r>
              <w:rPr>
                <w:color w:val="auto"/>
                <w:spacing w:val="6"/>
                <w:sz w:val="21"/>
                <w:szCs w:val="21"/>
                <w:highlight w:val="none"/>
              </w:rPr>
              <w:t>自中标通知书发出之日起25日历日内(注：中标通知书发出之</w:t>
            </w:r>
            <w:r>
              <w:rPr>
                <w:color w:val="auto"/>
                <w:spacing w:val="5"/>
                <w:sz w:val="21"/>
                <w:szCs w:val="21"/>
                <w:highlight w:val="none"/>
              </w:rPr>
              <w:t>日起25日内必须签订</w:t>
            </w:r>
            <w:r>
              <w:rPr>
                <w:color w:val="auto"/>
                <w:spacing w:val="7"/>
                <w:sz w:val="21"/>
                <w:szCs w:val="21"/>
                <w:highlight w:val="none"/>
              </w:rPr>
              <w:t>合同。)</w:t>
            </w:r>
          </w:p>
        </w:tc>
      </w:tr>
      <w:tr w14:paraId="5C6F3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7145216E">
            <w:pPr>
              <w:pStyle w:val="54"/>
              <w:spacing w:before="36" w:line="232" w:lineRule="auto"/>
              <w:ind w:left="120" w:right="170"/>
              <w:rPr>
                <w:rFonts w:asciiTheme="minorEastAsia" w:hAnsiTheme="minorEastAsia" w:eastAsiaTheme="minorEastAsia"/>
                <w:color w:val="auto"/>
                <w:sz w:val="21"/>
                <w:szCs w:val="21"/>
                <w:highlight w:val="none"/>
              </w:rPr>
            </w:pPr>
            <w:r>
              <w:rPr>
                <w:color w:val="auto"/>
                <w:spacing w:val="7"/>
                <w:sz w:val="21"/>
                <w:szCs w:val="21"/>
                <w:highlight w:val="none"/>
              </w:rPr>
              <w:t>交付时间及交</w:t>
            </w:r>
            <w:r>
              <w:rPr>
                <w:color w:val="auto"/>
                <w:spacing w:val="5"/>
                <w:sz w:val="21"/>
                <w:szCs w:val="21"/>
                <w:highlight w:val="none"/>
              </w:rPr>
              <w:t>货地点</w:t>
            </w:r>
          </w:p>
        </w:tc>
        <w:tc>
          <w:tcPr>
            <w:tcW w:w="7708" w:type="dxa"/>
            <w:gridSpan w:val="2"/>
            <w:tcBorders>
              <w:top w:val="single" w:color="auto" w:sz="4" w:space="0"/>
              <w:left w:val="single" w:color="auto" w:sz="4" w:space="0"/>
              <w:bottom w:val="single" w:color="auto" w:sz="4" w:space="0"/>
            </w:tcBorders>
          </w:tcPr>
          <w:p w14:paraId="2E9F2255">
            <w:pPr>
              <w:pStyle w:val="54"/>
              <w:spacing w:before="34" w:line="228" w:lineRule="auto"/>
              <w:ind w:left="117"/>
              <w:rPr>
                <w:color w:val="auto"/>
                <w:sz w:val="21"/>
                <w:szCs w:val="21"/>
                <w:highlight w:val="none"/>
              </w:rPr>
            </w:pPr>
            <w:r>
              <w:rPr>
                <w:color w:val="auto"/>
                <w:spacing w:val="7"/>
                <w:sz w:val="21"/>
                <w:szCs w:val="21"/>
                <w:highlight w:val="none"/>
              </w:rPr>
              <w:t>交付时间：自合同签订之日起30天内交货并</w:t>
            </w:r>
            <w:r>
              <w:rPr>
                <w:color w:val="auto"/>
                <w:spacing w:val="6"/>
                <w:sz w:val="21"/>
                <w:szCs w:val="21"/>
                <w:highlight w:val="none"/>
              </w:rPr>
              <w:t>安装调试合格。</w:t>
            </w:r>
          </w:p>
          <w:p w14:paraId="34760FDE">
            <w:pPr>
              <w:pStyle w:val="54"/>
              <w:spacing w:before="24" w:line="215" w:lineRule="auto"/>
              <w:ind w:left="117"/>
              <w:rPr>
                <w:rFonts w:asciiTheme="minorEastAsia" w:hAnsiTheme="minorEastAsia" w:eastAsiaTheme="minorEastAsia"/>
                <w:color w:val="auto"/>
                <w:sz w:val="21"/>
                <w:szCs w:val="21"/>
                <w:highlight w:val="none"/>
              </w:rPr>
            </w:pPr>
            <w:r>
              <w:rPr>
                <w:color w:val="auto"/>
                <w:spacing w:val="8"/>
                <w:sz w:val="21"/>
                <w:szCs w:val="21"/>
                <w:highlight w:val="none"/>
              </w:rPr>
              <w:t>交货地点：采购人指定地点</w:t>
            </w:r>
          </w:p>
        </w:tc>
      </w:tr>
      <w:tr w14:paraId="416843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4A016C6A">
            <w:pPr>
              <w:spacing w:line="286" w:lineRule="auto"/>
              <w:rPr>
                <w:rFonts w:ascii="Arial"/>
                <w:color w:val="auto"/>
                <w:szCs w:val="21"/>
                <w:highlight w:val="none"/>
              </w:rPr>
            </w:pPr>
          </w:p>
          <w:p w14:paraId="7EDF17F9">
            <w:pPr>
              <w:spacing w:line="287" w:lineRule="auto"/>
              <w:rPr>
                <w:rFonts w:ascii="Arial"/>
                <w:color w:val="auto"/>
                <w:szCs w:val="21"/>
                <w:highlight w:val="none"/>
              </w:rPr>
            </w:pPr>
          </w:p>
          <w:p w14:paraId="7EFC1551">
            <w:pPr>
              <w:spacing w:line="287" w:lineRule="auto"/>
              <w:rPr>
                <w:rFonts w:ascii="Arial"/>
                <w:color w:val="auto"/>
                <w:szCs w:val="21"/>
                <w:highlight w:val="none"/>
              </w:rPr>
            </w:pPr>
          </w:p>
          <w:p w14:paraId="35F1DE62">
            <w:pPr>
              <w:pStyle w:val="54"/>
              <w:spacing w:before="65" w:line="229" w:lineRule="auto"/>
              <w:ind w:left="117"/>
              <w:rPr>
                <w:rFonts w:asciiTheme="minorEastAsia" w:hAnsiTheme="minorEastAsia" w:eastAsiaTheme="minorEastAsia"/>
                <w:color w:val="auto"/>
                <w:sz w:val="21"/>
                <w:szCs w:val="21"/>
                <w:highlight w:val="none"/>
              </w:rPr>
            </w:pPr>
            <w:r>
              <w:rPr>
                <w:color w:val="auto"/>
                <w:spacing w:val="6"/>
                <w:sz w:val="21"/>
                <w:szCs w:val="21"/>
                <w:highlight w:val="none"/>
              </w:rPr>
              <w:t>质保期</w:t>
            </w:r>
          </w:p>
        </w:tc>
        <w:tc>
          <w:tcPr>
            <w:tcW w:w="7708" w:type="dxa"/>
            <w:gridSpan w:val="2"/>
            <w:tcBorders>
              <w:top w:val="single" w:color="auto" w:sz="4" w:space="0"/>
              <w:left w:val="single" w:color="auto" w:sz="4" w:space="0"/>
              <w:bottom w:val="single" w:color="auto" w:sz="4" w:space="0"/>
            </w:tcBorders>
          </w:tcPr>
          <w:p w14:paraId="07EE8ECA">
            <w:pPr>
              <w:pStyle w:val="54"/>
              <w:spacing w:before="34" w:line="247" w:lineRule="auto"/>
              <w:ind w:left="112" w:right="153" w:firstLine="15"/>
              <w:rPr>
                <w:color w:val="auto"/>
                <w:sz w:val="21"/>
                <w:szCs w:val="21"/>
                <w:highlight w:val="none"/>
              </w:rPr>
            </w:pPr>
            <w:r>
              <w:rPr>
                <w:color w:val="auto"/>
                <w:spacing w:val="8"/>
                <w:sz w:val="21"/>
                <w:szCs w:val="21"/>
                <w:highlight w:val="none"/>
              </w:rPr>
              <w:t>1.所有投标设备必须是具备厂商合法渠道的全新产品，按国家有关产品“三包”规定</w:t>
            </w:r>
            <w:r>
              <w:rPr>
                <w:color w:val="auto"/>
                <w:spacing w:val="7"/>
                <w:sz w:val="21"/>
                <w:szCs w:val="21"/>
                <w:highlight w:val="none"/>
              </w:rPr>
              <w:t>执行“三包”，自交货安装并验收合格之日起，所有货物提供至少1年的免费质保(</w:t>
            </w:r>
            <w:r>
              <w:rPr>
                <w:color w:val="auto"/>
                <w:spacing w:val="10"/>
                <w:sz w:val="21"/>
                <w:szCs w:val="21"/>
                <w:highlight w:val="none"/>
              </w:rPr>
              <w:t>若生产厂商免费质保期超过此年限的，按生产厂商规</w:t>
            </w:r>
            <w:r>
              <w:rPr>
                <w:color w:val="auto"/>
                <w:spacing w:val="9"/>
                <w:sz w:val="21"/>
                <w:szCs w:val="21"/>
                <w:highlight w:val="none"/>
              </w:rPr>
              <w:t>定执行)及免费维修服务，质保期</w:t>
            </w:r>
            <w:r>
              <w:rPr>
                <w:color w:val="auto"/>
                <w:spacing w:val="10"/>
                <w:sz w:val="21"/>
                <w:szCs w:val="21"/>
                <w:highlight w:val="none"/>
              </w:rPr>
              <w:t>内，中标人将负责处理并解决故障，并免费更换有故障的零</w:t>
            </w:r>
            <w:r>
              <w:rPr>
                <w:color w:val="auto"/>
                <w:spacing w:val="9"/>
                <w:sz w:val="21"/>
                <w:szCs w:val="21"/>
                <w:highlight w:val="none"/>
              </w:rPr>
              <w:t>、部件，一切费用由中标人负责。终身提供维修服务，质保期外维修只收材料成本费。</w:t>
            </w:r>
          </w:p>
          <w:p w14:paraId="68F3A215">
            <w:pPr>
              <w:pStyle w:val="54"/>
              <w:spacing w:before="24"/>
              <w:ind w:left="136" w:right="152" w:hanging="21"/>
              <w:rPr>
                <w:rFonts w:asciiTheme="minorEastAsia" w:hAnsiTheme="minorEastAsia"/>
                <w:color w:val="auto"/>
                <w:sz w:val="21"/>
                <w:szCs w:val="21"/>
                <w:highlight w:val="none"/>
                <w:lang w:eastAsia="zh-CN"/>
              </w:rPr>
            </w:pPr>
            <w:r>
              <w:rPr>
                <w:color w:val="auto"/>
                <w:spacing w:val="9"/>
                <w:sz w:val="21"/>
                <w:szCs w:val="21"/>
                <w:highlight w:val="none"/>
              </w:rPr>
              <w:t>2.质保内容:质保整机(整台、整套)，质保期内保证设备的合法性使用，国家强制检测由中标人负责，保质期内的质量责任由中标人承担；</w:t>
            </w:r>
            <w:r>
              <w:rPr>
                <w:rFonts w:hint="eastAsia"/>
                <w:color w:val="auto"/>
                <w:spacing w:val="9"/>
                <w:sz w:val="21"/>
                <w:szCs w:val="21"/>
                <w:highlight w:val="none"/>
                <w:lang w:eastAsia="zh-CN"/>
              </w:rPr>
              <w:t>质保期内保证所保设备全年工作日的开机率至少达到95%，全年工作日按照365天计算，未达到的天数，按1:2比例顺延服务期时间。</w:t>
            </w:r>
          </w:p>
        </w:tc>
      </w:tr>
      <w:tr w14:paraId="4AE35C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228BEF4E">
            <w:pPr>
              <w:rPr>
                <w:rFonts w:ascii="Arial"/>
                <w:color w:val="auto"/>
                <w:szCs w:val="21"/>
                <w:highlight w:val="none"/>
              </w:rPr>
            </w:pPr>
          </w:p>
          <w:p w14:paraId="638A8C00">
            <w:pPr>
              <w:rPr>
                <w:rFonts w:ascii="Arial"/>
                <w:color w:val="auto"/>
                <w:szCs w:val="21"/>
                <w:highlight w:val="none"/>
              </w:rPr>
            </w:pPr>
          </w:p>
          <w:p w14:paraId="6A3B0ABA">
            <w:pPr>
              <w:rPr>
                <w:rFonts w:ascii="Arial"/>
                <w:color w:val="auto"/>
                <w:szCs w:val="21"/>
                <w:highlight w:val="none"/>
              </w:rPr>
            </w:pPr>
          </w:p>
          <w:p w14:paraId="7AC16FEA">
            <w:pPr>
              <w:spacing w:line="241" w:lineRule="auto"/>
              <w:rPr>
                <w:rFonts w:ascii="Arial"/>
                <w:color w:val="auto"/>
                <w:szCs w:val="21"/>
                <w:highlight w:val="none"/>
              </w:rPr>
            </w:pPr>
          </w:p>
          <w:p w14:paraId="79E5F641">
            <w:pPr>
              <w:spacing w:line="241" w:lineRule="auto"/>
              <w:rPr>
                <w:rFonts w:ascii="Arial"/>
                <w:color w:val="auto"/>
                <w:szCs w:val="21"/>
                <w:highlight w:val="none"/>
              </w:rPr>
            </w:pPr>
          </w:p>
          <w:p w14:paraId="0755D2E8">
            <w:pPr>
              <w:spacing w:line="241" w:lineRule="auto"/>
              <w:rPr>
                <w:rFonts w:ascii="Arial"/>
                <w:color w:val="auto"/>
                <w:szCs w:val="21"/>
                <w:highlight w:val="none"/>
              </w:rPr>
            </w:pPr>
          </w:p>
          <w:p w14:paraId="5F5099C4">
            <w:pPr>
              <w:spacing w:line="241" w:lineRule="auto"/>
              <w:rPr>
                <w:rFonts w:ascii="Arial"/>
                <w:color w:val="auto"/>
                <w:szCs w:val="21"/>
                <w:highlight w:val="none"/>
              </w:rPr>
            </w:pPr>
          </w:p>
          <w:p w14:paraId="2405B601">
            <w:pPr>
              <w:spacing w:line="241" w:lineRule="auto"/>
              <w:rPr>
                <w:rFonts w:ascii="Arial"/>
                <w:color w:val="auto"/>
                <w:szCs w:val="21"/>
                <w:highlight w:val="none"/>
              </w:rPr>
            </w:pPr>
          </w:p>
          <w:p w14:paraId="59168672">
            <w:pPr>
              <w:spacing w:line="241" w:lineRule="auto"/>
              <w:rPr>
                <w:rFonts w:ascii="Arial"/>
                <w:color w:val="auto"/>
                <w:szCs w:val="21"/>
                <w:highlight w:val="none"/>
              </w:rPr>
            </w:pPr>
          </w:p>
          <w:p w14:paraId="033BE552">
            <w:pPr>
              <w:spacing w:line="241" w:lineRule="auto"/>
              <w:rPr>
                <w:rFonts w:ascii="Arial"/>
                <w:color w:val="auto"/>
                <w:szCs w:val="21"/>
                <w:highlight w:val="none"/>
              </w:rPr>
            </w:pPr>
          </w:p>
          <w:p w14:paraId="2E4B1BEE">
            <w:pPr>
              <w:pStyle w:val="54"/>
              <w:spacing w:before="65"/>
              <w:ind w:left="115" w:right="171"/>
              <w:rPr>
                <w:rFonts w:asciiTheme="minorEastAsia" w:hAnsiTheme="minorEastAsia" w:eastAsiaTheme="minorEastAsia"/>
                <w:color w:val="auto"/>
                <w:sz w:val="21"/>
                <w:szCs w:val="21"/>
                <w:highlight w:val="none"/>
              </w:rPr>
            </w:pPr>
            <w:r>
              <w:rPr>
                <w:color w:val="auto"/>
                <w:spacing w:val="8"/>
                <w:sz w:val="21"/>
                <w:szCs w:val="21"/>
                <w:highlight w:val="none"/>
              </w:rPr>
              <w:t>售后服务要求及培训要求</w:t>
            </w:r>
          </w:p>
        </w:tc>
        <w:tc>
          <w:tcPr>
            <w:tcW w:w="7708" w:type="dxa"/>
            <w:gridSpan w:val="2"/>
            <w:tcBorders>
              <w:top w:val="single" w:color="auto" w:sz="4" w:space="0"/>
              <w:left w:val="single" w:color="auto" w:sz="4" w:space="0"/>
              <w:bottom w:val="single" w:color="auto" w:sz="4" w:space="0"/>
            </w:tcBorders>
          </w:tcPr>
          <w:p w14:paraId="4C1D484A">
            <w:pPr>
              <w:pStyle w:val="54"/>
              <w:spacing w:before="37" w:line="239" w:lineRule="auto"/>
              <w:ind w:left="111" w:right="261" w:firstLine="15"/>
              <w:rPr>
                <w:color w:val="auto"/>
                <w:sz w:val="21"/>
                <w:szCs w:val="21"/>
                <w:highlight w:val="none"/>
              </w:rPr>
            </w:pPr>
            <w:r>
              <w:rPr>
                <w:color w:val="auto"/>
                <w:spacing w:val="9"/>
                <w:sz w:val="21"/>
                <w:szCs w:val="21"/>
                <w:highlight w:val="none"/>
              </w:rPr>
              <w:t>1.</w:t>
            </w:r>
            <w:r>
              <w:rPr>
                <w:rFonts w:hint="eastAsia"/>
                <w:color w:val="auto"/>
                <w:spacing w:val="9"/>
                <w:sz w:val="21"/>
                <w:szCs w:val="21"/>
                <w:highlight w:val="none"/>
                <w:lang w:eastAsia="zh-CN"/>
              </w:rPr>
              <w:t>供应商负责货物运输、保险及卸货至采购人指定地点，提供上门安装调试服务，且不得额外收取运输、安装、调试等任何费用。采购人需要设备开放数据端口接入业务系统时</w:t>
            </w:r>
            <w:r>
              <w:rPr>
                <w:color w:val="auto"/>
                <w:spacing w:val="9"/>
                <w:sz w:val="21"/>
                <w:szCs w:val="21"/>
                <w:highlight w:val="none"/>
              </w:rPr>
              <w:t>，中标供</w:t>
            </w:r>
            <w:r>
              <w:rPr>
                <w:color w:val="auto"/>
                <w:spacing w:val="8"/>
                <w:sz w:val="21"/>
                <w:szCs w:val="21"/>
                <w:highlight w:val="none"/>
              </w:rPr>
              <w:t>应商无条件配合并承担相应接口费用。</w:t>
            </w:r>
          </w:p>
          <w:p w14:paraId="7A52F432">
            <w:pPr>
              <w:pStyle w:val="54"/>
              <w:spacing w:before="24"/>
              <w:ind w:left="114" w:right="259"/>
              <w:rPr>
                <w:color w:val="auto"/>
                <w:sz w:val="21"/>
                <w:szCs w:val="21"/>
                <w:highlight w:val="none"/>
              </w:rPr>
            </w:pPr>
            <w:r>
              <w:rPr>
                <w:color w:val="auto"/>
                <w:spacing w:val="11"/>
                <w:sz w:val="21"/>
                <w:szCs w:val="21"/>
                <w:highlight w:val="none"/>
              </w:rPr>
              <w:t>2.如医院有需求，中标公司负责向该产品接入医院的</w:t>
            </w:r>
            <w:r>
              <w:rPr>
                <w:color w:val="auto"/>
                <w:sz w:val="21"/>
                <w:szCs w:val="21"/>
                <w:highlight w:val="none"/>
              </w:rPr>
              <w:t>HIS</w:t>
            </w:r>
            <w:r>
              <w:rPr>
                <w:color w:val="auto"/>
                <w:spacing w:val="11"/>
                <w:sz w:val="21"/>
                <w:szCs w:val="21"/>
                <w:highlight w:val="none"/>
              </w:rPr>
              <w:t>系统，</w:t>
            </w:r>
            <w:r>
              <w:rPr>
                <w:color w:val="auto"/>
                <w:sz w:val="21"/>
                <w:szCs w:val="21"/>
                <w:highlight w:val="none"/>
              </w:rPr>
              <w:t>LIS</w:t>
            </w:r>
            <w:r>
              <w:rPr>
                <w:color w:val="auto"/>
                <w:spacing w:val="10"/>
                <w:sz w:val="21"/>
                <w:szCs w:val="21"/>
                <w:highlight w:val="none"/>
              </w:rPr>
              <w:t>系统，</w:t>
            </w:r>
            <w:r>
              <w:rPr>
                <w:color w:val="auto"/>
                <w:sz w:val="21"/>
                <w:szCs w:val="21"/>
                <w:highlight w:val="none"/>
              </w:rPr>
              <w:t>PASS</w:t>
            </w:r>
            <w:r>
              <w:rPr>
                <w:color w:val="auto"/>
                <w:spacing w:val="10"/>
                <w:sz w:val="21"/>
                <w:szCs w:val="21"/>
                <w:highlight w:val="none"/>
              </w:rPr>
              <w:t>系统的</w:t>
            </w:r>
            <w:r>
              <w:rPr>
                <w:color w:val="auto"/>
                <w:spacing w:val="8"/>
                <w:sz w:val="21"/>
                <w:szCs w:val="21"/>
                <w:highlight w:val="none"/>
              </w:rPr>
              <w:t>厂家支付接口技术服务费。单向费用8000元/台，双向费用1600</w:t>
            </w:r>
            <w:r>
              <w:rPr>
                <w:color w:val="auto"/>
                <w:spacing w:val="7"/>
                <w:sz w:val="21"/>
                <w:szCs w:val="21"/>
                <w:highlight w:val="none"/>
              </w:rPr>
              <w:t>0元/台。</w:t>
            </w:r>
          </w:p>
          <w:p w14:paraId="66DBC7F1">
            <w:pPr>
              <w:pStyle w:val="54"/>
              <w:spacing w:before="22" w:line="245" w:lineRule="auto"/>
              <w:ind w:left="111" w:right="156" w:firstLine="4"/>
              <w:rPr>
                <w:color w:val="auto"/>
                <w:sz w:val="21"/>
                <w:szCs w:val="21"/>
                <w:highlight w:val="none"/>
              </w:rPr>
            </w:pPr>
            <w:r>
              <w:rPr>
                <w:color w:val="auto"/>
                <w:spacing w:val="9"/>
                <w:sz w:val="21"/>
                <w:szCs w:val="21"/>
                <w:highlight w:val="none"/>
              </w:rPr>
              <w:t>3.维修响应:在设备整个使用期内，投标人应确保设备的正常使用，</w:t>
            </w:r>
            <w:r>
              <w:rPr>
                <w:rFonts w:hint="eastAsia"/>
                <w:color w:val="auto"/>
                <w:spacing w:val="9"/>
                <w:sz w:val="21"/>
                <w:szCs w:val="21"/>
                <w:highlight w:val="none"/>
              </w:rPr>
              <w:t>在接到用户维修要 求后应2小时内作出回应</w:t>
            </w:r>
            <w:r>
              <w:rPr>
                <w:color w:val="auto"/>
                <w:spacing w:val="8"/>
                <w:sz w:val="21"/>
                <w:szCs w:val="21"/>
                <w:highlight w:val="none"/>
              </w:rPr>
              <w:t>，在接到报修通知后12小时内派技术员到达现场维修(</w:t>
            </w:r>
            <w:r>
              <w:rPr>
                <w:rFonts w:hint="eastAsia"/>
                <w:color w:val="auto"/>
                <w:spacing w:val="8"/>
                <w:sz w:val="21"/>
                <w:szCs w:val="21"/>
                <w:highlight w:val="none"/>
                <w:lang w:eastAsia="zh-CN"/>
              </w:rPr>
              <w:t>单个设备有特殊要求的或不可抗力情形除外</w:t>
            </w:r>
            <w:r>
              <w:rPr>
                <w:color w:val="auto"/>
                <w:spacing w:val="9"/>
                <w:sz w:val="21"/>
                <w:szCs w:val="21"/>
                <w:highlight w:val="none"/>
              </w:rPr>
              <w:t>)，一般故障不超过12小时排除，重大故障</w:t>
            </w:r>
            <w:r>
              <w:rPr>
                <w:color w:val="auto"/>
                <w:spacing w:val="8"/>
                <w:sz w:val="21"/>
                <w:szCs w:val="21"/>
                <w:highlight w:val="none"/>
              </w:rPr>
              <w:t>不超过24个小时排除，特殊</w:t>
            </w:r>
            <w:r>
              <w:rPr>
                <w:color w:val="auto"/>
                <w:spacing w:val="10"/>
                <w:sz w:val="21"/>
                <w:szCs w:val="21"/>
                <w:highlight w:val="none"/>
              </w:rPr>
              <w:t>情况无法修复的，质保期内中标供应商应无条件更换新设备或提</w:t>
            </w:r>
            <w:r>
              <w:rPr>
                <w:color w:val="auto"/>
                <w:spacing w:val="9"/>
                <w:sz w:val="21"/>
                <w:szCs w:val="21"/>
                <w:highlight w:val="none"/>
              </w:rPr>
              <w:t>供代用设备；或采取</w:t>
            </w:r>
            <w:r>
              <w:rPr>
                <w:color w:val="auto"/>
                <w:spacing w:val="8"/>
                <w:sz w:val="21"/>
                <w:szCs w:val="21"/>
                <w:highlight w:val="none"/>
              </w:rPr>
              <w:t>使设备可正常运转的措施。投标人应提供7*24通过远程、上门服务、电话、E-</w:t>
            </w:r>
            <w:r>
              <w:rPr>
                <w:color w:val="auto"/>
                <w:sz w:val="21"/>
                <w:szCs w:val="21"/>
                <w:highlight w:val="none"/>
              </w:rPr>
              <w:t>mail</w:t>
            </w:r>
            <w:r>
              <w:rPr>
                <w:color w:val="auto"/>
                <w:spacing w:val="10"/>
                <w:sz w:val="21"/>
                <w:szCs w:val="21"/>
                <w:highlight w:val="none"/>
              </w:rPr>
              <w:t>等方式为用户提供终身完善的售前和售后技术咨询服务。</w:t>
            </w:r>
            <w:r>
              <w:rPr>
                <w:color w:val="auto"/>
                <w:spacing w:val="9"/>
                <w:sz w:val="21"/>
                <w:szCs w:val="21"/>
                <w:highlight w:val="none"/>
              </w:rPr>
              <w:t>质保期内定期对设备进行免费保养和维护，每季度不少于1次定期回访及对系统进行维护。提供终身有偿维护和</w:t>
            </w:r>
            <w:r>
              <w:rPr>
                <w:color w:val="auto"/>
                <w:spacing w:val="10"/>
                <w:sz w:val="21"/>
                <w:szCs w:val="21"/>
                <w:highlight w:val="none"/>
              </w:rPr>
              <w:t>保养服务。投标人必须设有针对本项目的售后服务点，保</w:t>
            </w:r>
            <w:r>
              <w:rPr>
                <w:color w:val="auto"/>
                <w:spacing w:val="9"/>
                <w:sz w:val="21"/>
                <w:szCs w:val="21"/>
                <w:highlight w:val="none"/>
              </w:rPr>
              <w:t>证长期良好的售后服务，并列出售后服务点的详细地址、联系电话及技术服务人员。</w:t>
            </w:r>
          </w:p>
          <w:p w14:paraId="3640CF4F">
            <w:pPr>
              <w:pStyle w:val="54"/>
              <w:spacing w:before="26" w:line="244" w:lineRule="auto"/>
              <w:ind w:left="112" w:right="258" w:hanging="1"/>
              <w:rPr>
                <w:color w:val="auto"/>
                <w:sz w:val="21"/>
                <w:szCs w:val="21"/>
                <w:highlight w:val="none"/>
              </w:rPr>
            </w:pPr>
            <w:r>
              <w:rPr>
                <w:color w:val="auto"/>
                <w:spacing w:val="7"/>
                <w:sz w:val="21"/>
                <w:szCs w:val="21"/>
                <w:highlight w:val="none"/>
              </w:rPr>
              <w:t>4.保修期要求为至少1年，生产厂商有承诺的按生产厂商承诺执行(但不低于1年,</w:t>
            </w:r>
            <w:r>
              <w:rPr>
                <w:color w:val="auto"/>
                <w:spacing w:val="10"/>
                <w:sz w:val="21"/>
                <w:szCs w:val="21"/>
                <w:highlight w:val="none"/>
              </w:rPr>
              <w:t>保修期过后，须定期上门回访，对设备提供终身维修、维</w:t>
            </w:r>
            <w:r>
              <w:rPr>
                <w:color w:val="auto"/>
                <w:spacing w:val="9"/>
                <w:sz w:val="21"/>
                <w:szCs w:val="21"/>
                <w:highlight w:val="none"/>
              </w:rPr>
              <w:t>护服务，维修只收材料成本</w:t>
            </w:r>
            <w:r>
              <w:rPr>
                <w:color w:val="auto"/>
                <w:sz w:val="21"/>
                <w:szCs w:val="21"/>
                <w:highlight w:val="none"/>
              </w:rPr>
              <w:t>费。</w:t>
            </w:r>
          </w:p>
          <w:p w14:paraId="4B990EF8">
            <w:pPr>
              <w:pStyle w:val="54"/>
              <w:spacing w:before="23" w:line="229" w:lineRule="auto"/>
              <w:ind w:left="116"/>
              <w:rPr>
                <w:color w:val="auto"/>
                <w:sz w:val="21"/>
                <w:szCs w:val="21"/>
                <w:highlight w:val="none"/>
              </w:rPr>
            </w:pPr>
            <w:r>
              <w:rPr>
                <w:color w:val="auto"/>
                <w:spacing w:val="4"/>
                <w:sz w:val="21"/>
                <w:szCs w:val="21"/>
                <w:highlight w:val="none"/>
              </w:rPr>
              <w:t>5.人员培训：</w:t>
            </w:r>
          </w:p>
          <w:p w14:paraId="23513626">
            <w:pPr>
              <w:pStyle w:val="54"/>
              <w:spacing w:before="21" w:line="245" w:lineRule="auto"/>
              <w:ind w:left="111" w:right="259" w:firstLine="36"/>
              <w:rPr>
                <w:color w:val="auto"/>
                <w:sz w:val="21"/>
                <w:szCs w:val="21"/>
                <w:highlight w:val="none"/>
              </w:rPr>
            </w:pPr>
            <w:r>
              <w:rPr>
                <w:color w:val="auto"/>
                <w:spacing w:val="8"/>
                <w:sz w:val="21"/>
                <w:szCs w:val="21"/>
                <w:highlight w:val="none"/>
              </w:rPr>
              <w:t>(1)交货时由生产厂商工程技术人员为用户提供使用技术培训，并使操作人员达到能</w:t>
            </w:r>
            <w:r>
              <w:rPr>
                <w:color w:val="auto"/>
                <w:spacing w:val="10"/>
                <w:sz w:val="21"/>
                <w:szCs w:val="21"/>
                <w:highlight w:val="none"/>
              </w:rPr>
              <w:t>独立、熟练操作及维护仪器的程度。使用培训为验收要件之</w:t>
            </w:r>
            <w:r>
              <w:rPr>
                <w:color w:val="auto"/>
                <w:spacing w:val="9"/>
                <w:sz w:val="21"/>
                <w:szCs w:val="21"/>
                <w:highlight w:val="none"/>
              </w:rPr>
              <w:t>一，没有经过培训，视为</w:t>
            </w:r>
            <w:r>
              <w:rPr>
                <w:color w:val="auto"/>
                <w:spacing w:val="7"/>
                <w:sz w:val="21"/>
                <w:szCs w:val="21"/>
                <w:highlight w:val="none"/>
              </w:rPr>
              <w:t>没能完成验收。</w:t>
            </w:r>
          </w:p>
          <w:p w14:paraId="630B0514">
            <w:pPr>
              <w:pStyle w:val="54"/>
              <w:spacing w:before="25" w:line="228" w:lineRule="auto"/>
              <w:ind w:left="148"/>
              <w:rPr>
                <w:color w:val="auto"/>
                <w:sz w:val="21"/>
                <w:szCs w:val="21"/>
                <w:highlight w:val="none"/>
              </w:rPr>
            </w:pPr>
            <w:r>
              <w:rPr>
                <w:color w:val="auto"/>
                <w:spacing w:val="7"/>
                <w:sz w:val="21"/>
                <w:szCs w:val="21"/>
                <w:highlight w:val="none"/>
              </w:rPr>
              <w:t>(2)培训对象：使用单位的设备使用人员及维修人员。</w:t>
            </w:r>
          </w:p>
          <w:p w14:paraId="4E6C1E23">
            <w:pPr>
              <w:pStyle w:val="54"/>
              <w:spacing w:before="26" w:line="239" w:lineRule="auto"/>
              <w:ind w:left="113" w:right="153" w:firstLine="35"/>
              <w:rPr>
                <w:color w:val="auto"/>
                <w:sz w:val="21"/>
                <w:szCs w:val="21"/>
                <w:highlight w:val="none"/>
              </w:rPr>
            </w:pPr>
            <w:r>
              <w:rPr>
                <w:color w:val="auto"/>
                <w:spacing w:val="8"/>
                <w:sz w:val="21"/>
                <w:szCs w:val="21"/>
                <w:highlight w:val="none"/>
              </w:rPr>
              <w:t>(3)培训形式：现场使用培训方式，安装调试结束后，供方培训工程师对机器正确使</w:t>
            </w:r>
            <w:r>
              <w:rPr>
                <w:color w:val="auto"/>
                <w:spacing w:val="9"/>
                <w:sz w:val="21"/>
                <w:szCs w:val="21"/>
                <w:highlight w:val="none"/>
              </w:rPr>
              <w:t>用方法进行示范操作，保证教会使用人员能正确使用设备。</w:t>
            </w:r>
          </w:p>
          <w:p w14:paraId="14865107">
            <w:pPr>
              <w:pStyle w:val="54"/>
              <w:spacing w:before="25" w:line="234" w:lineRule="auto"/>
              <w:ind w:left="111" w:right="261" w:firstLine="2"/>
              <w:rPr>
                <w:color w:val="auto"/>
                <w:spacing w:val="9"/>
                <w:sz w:val="21"/>
                <w:szCs w:val="21"/>
                <w:highlight w:val="none"/>
              </w:rPr>
            </w:pPr>
            <w:r>
              <w:rPr>
                <w:color w:val="auto"/>
                <w:spacing w:val="9"/>
                <w:sz w:val="21"/>
                <w:szCs w:val="21"/>
                <w:highlight w:val="none"/>
              </w:rPr>
              <w:t>6.中标供应商供货时每一个产品必须提供详细参数说明书各壹套给采购人存档。否则采购人有权拒绝货物进场，造成的损失由中标人负责。</w:t>
            </w:r>
          </w:p>
          <w:p w14:paraId="1E014A7C">
            <w:pPr>
              <w:pStyle w:val="54"/>
              <w:spacing w:before="25" w:line="234" w:lineRule="auto"/>
              <w:ind w:left="111" w:right="261" w:firstLine="2"/>
              <w:rPr>
                <w:color w:val="auto"/>
                <w:spacing w:val="9"/>
                <w:sz w:val="21"/>
                <w:szCs w:val="21"/>
                <w:highlight w:val="none"/>
                <w:lang w:eastAsia="zh-CN"/>
              </w:rPr>
            </w:pPr>
            <w:r>
              <w:rPr>
                <w:color w:val="auto"/>
                <w:spacing w:val="9"/>
                <w:sz w:val="21"/>
                <w:szCs w:val="21"/>
                <w:highlight w:val="none"/>
                <w:lang w:eastAsia="zh-CN"/>
              </w:rPr>
              <w:t>7.若第5项设备“制片染色一体机”必须</w:t>
            </w:r>
            <w:r>
              <w:rPr>
                <w:rFonts w:hint="eastAsia"/>
                <w:color w:val="auto"/>
                <w:spacing w:val="9"/>
                <w:sz w:val="21"/>
                <w:szCs w:val="21"/>
                <w:highlight w:val="none"/>
                <w:lang w:eastAsia="zh-CN"/>
              </w:rPr>
              <w:t>使用</w:t>
            </w:r>
            <w:r>
              <w:rPr>
                <w:color w:val="auto"/>
                <w:spacing w:val="9"/>
                <w:sz w:val="21"/>
                <w:szCs w:val="21"/>
                <w:highlight w:val="none"/>
                <w:lang w:eastAsia="zh-CN"/>
              </w:rPr>
              <w:t>专机专用耗材，按照投标报价将专机专用耗材同步上架至广西阳光采购网。</w:t>
            </w:r>
          </w:p>
          <w:p w14:paraId="3173544F">
            <w:pPr>
              <w:pStyle w:val="54"/>
              <w:spacing w:before="25" w:line="234" w:lineRule="auto"/>
              <w:ind w:left="111" w:right="261" w:firstLine="2"/>
              <w:rPr>
                <w:color w:val="auto"/>
                <w:spacing w:val="9"/>
                <w:sz w:val="21"/>
                <w:szCs w:val="21"/>
                <w:highlight w:val="none"/>
                <w:lang w:eastAsia="zh-CN"/>
              </w:rPr>
            </w:pPr>
            <w:r>
              <w:rPr>
                <w:color w:val="auto"/>
                <w:spacing w:val="9"/>
                <w:sz w:val="21"/>
                <w:szCs w:val="21"/>
                <w:highlight w:val="none"/>
                <w:lang w:eastAsia="zh-CN"/>
              </w:rPr>
              <w:t>8.若耗材市场普遍降价，同类同质产品耗材价格低于原竞标报价，采购人有权要求供应商同步下调专机专用耗材价格进行供货。</w:t>
            </w:r>
          </w:p>
          <w:p w14:paraId="696C52A0">
            <w:pPr>
              <w:pStyle w:val="54"/>
              <w:spacing w:before="25" w:line="234" w:lineRule="auto"/>
              <w:ind w:left="111" w:right="261" w:firstLine="2"/>
              <w:rPr>
                <w:color w:val="auto"/>
                <w:spacing w:val="9"/>
                <w:sz w:val="21"/>
                <w:szCs w:val="21"/>
                <w:highlight w:val="none"/>
                <w:lang w:eastAsia="zh-CN"/>
              </w:rPr>
            </w:pPr>
            <w:r>
              <w:rPr>
                <w:color w:val="auto"/>
                <w:spacing w:val="9"/>
                <w:sz w:val="21"/>
                <w:szCs w:val="21"/>
                <w:highlight w:val="none"/>
                <w:lang w:eastAsia="zh-CN"/>
              </w:rPr>
              <w:t>9.若专机专用耗材，供应商或产品制造商需承诺在停产前12个月，书面通知采购方，并提供替代方案或设备升级补偿措施。</w:t>
            </w:r>
          </w:p>
        </w:tc>
      </w:tr>
      <w:tr w14:paraId="2670A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7AE2317A">
            <w:pPr>
              <w:spacing w:line="260" w:lineRule="auto"/>
              <w:rPr>
                <w:rFonts w:ascii="Arial"/>
                <w:color w:val="auto"/>
                <w:szCs w:val="21"/>
                <w:highlight w:val="none"/>
              </w:rPr>
            </w:pPr>
          </w:p>
          <w:p w14:paraId="6C19F1A5">
            <w:pPr>
              <w:spacing w:line="260" w:lineRule="auto"/>
              <w:rPr>
                <w:rFonts w:ascii="Arial"/>
                <w:color w:val="auto"/>
                <w:szCs w:val="21"/>
                <w:highlight w:val="none"/>
              </w:rPr>
            </w:pPr>
          </w:p>
          <w:p w14:paraId="5BDA04CE">
            <w:pPr>
              <w:spacing w:line="261" w:lineRule="auto"/>
              <w:rPr>
                <w:rFonts w:ascii="Arial"/>
                <w:color w:val="auto"/>
                <w:szCs w:val="21"/>
                <w:highlight w:val="none"/>
              </w:rPr>
            </w:pPr>
          </w:p>
          <w:p w14:paraId="7E90B2E3">
            <w:pPr>
              <w:pStyle w:val="54"/>
              <w:spacing w:before="65" w:line="228" w:lineRule="auto"/>
              <w:ind w:left="115"/>
              <w:rPr>
                <w:rFonts w:asciiTheme="minorEastAsia" w:hAnsiTheme="minorEastAsia" w:eastAsiaTheme="minorEastAsia"/>
                <w:color w:val="auto"/>
                <w:sz w:val="21"/>
                <w:szCs w:val="21"/>
                <w:highlight w:val="none"/>
              </w:rPr>
            </w:pPr>
            <w:r>
              <w:rPr>
                <w:color w:val="auto"/>
                <w:spacing w:val="7"/>
                <w:sz w:val="21"/>
                <w:szCs w:val="21"/>
                <w:highlight w:val="none"/>
              </w:rPr>
              <w:t>验收要求</w:t>
            </w:r>
          </w:p>
        </w:tc>
        <w:tc>
          <w:tcPr>
            <w:tcW w:w="7708" w:type="dxa"/>
            <w:gridSpan w:val="2"/>
            <w:tcBorders>
              <w:top w:val="single" w:color="auto" w:sz="4" w:space="0"/>
              <w:left w:val="single" w:color="auto" w:sz="4" w:space="0"/>
              <w:bottom w:val="single" w:color="auto" w:sz="4" w:space="0"/>
            </w:tcBorders>
          </w:tcPr>
          <w:p w14:paraId="0BAAD85E">
            <w:pPr>
              <w:pStyle w:val="54"/>
              <w:spacing w:before="33" w:line="243" w:lineRule="auto"/>
              <w:ind w:left="111" w:right="259" w:firstLine="15"/>
              <w:rPr>
                <w:color w:val="auto"/>
                <w:sz w:val="21"/>
                <w:szCs w:val="21"/>
                <w:highlight w:val="none"/>
              </w:rPr>
            </w:pPr>
            <w:r>
              <w:rPr>
                <w:color w:val="auto"/>
                <w:spacing w:val="9"/>
                <w:sz w:val="21"/>
                <w:szCs w:val="21"/>
                <w:highlight w:val="none"/>
              </w:rPr>
              <w:t>1.中标供应商交货时，所有产品均严格按签订的采购合同、响应和承诺的技术参数及</w:t>
            </w:r>
            <w:r>
              <w:rPr>
                <w:color w:val="auto"/>
                <w:spacing w:val="10"/>
                <w:sz w:val="21"/>
                <w:szCs w:val="21"/>
                <w:highlight w:val="none"/>
              </w:rPr>
              <w:t>性能和国家有关标准进行验收，达不到要求的不予验收，视</w:t>
            </w:r>
            <w:r>
              <w:rPr>
                <w:color w:val="auto"/>
                <w:spacing w:val="9"/>
                <w:sz w:val="21"/>
                <w:szCs w:val="21"/>
                <w:highlight w:val="none"/>
              </w:rPr>
              <w:t>为产品验收不合格，采购</w:t>
            </w:r>
            <w:r>
              <w:rPr>
                <w:color w:val="auto"/>
                <w:spacing w:val="8"/>
                <w:sz w:val="21"/>
                <w:szCs w:val="21"/>
                <w:highlight w:val="none"/>
              </w:rPr>
              <w:t>单位可解除双方的供货合同。</w:t>
            </w:r>
          </w:p>
          <w:p w14:paraId="79C305CB">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rPr>
              <w:t>2.中标供应商所提供的所有设备必须是签订合同之日前</w:t>
            </w:r>
            <w:r>
              <w:rPr>
                <w:rFonts w:hint="eastAsia"/>
                <w:color w:val="auto"/>
                <w:spacing w:val="9"/>
                <w:sz w:val="21"/>
                <w:szCs w:val="21"/>
                <w:highlight w:val="none"/>
                <w:lang w:eastAsia="zh-CN"/>
              </w:rPr>
              <w:t>1</w:t>
            </w:r>
            <w:r>
              <w:rPr>
                <w:rFonts w:hint="eastAsia"/>
                <w:color w:val="auto"/>
                <w:spacing w:val="9"/>
                <w:sz w:val="21"/>
                <w:szCs w:val="21"/>
                <w:highlight w:val="none"/>
              </w:rPr>
              <w:t>年内生产的机型。</w:t>
            </w:r>
          </w:p>
          <w:p w14:paraId="16F81251">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lang w:eastAsia="zh-CN"/>
              </w:rPr>
              <w:t>3.中标供应商所</w:t>
            </w:r>
            <w:r>
              <w:rPr>
                <w:rFonts w:hint="eastAsia"/>
                <w:color w:val="auto"/>
                <w:spacing w:val="9"/>
                <w:sz w:val="21"/>
                <w:szCs w:val="21"/>
                <w:highlight w:val="none"/>
              </w:rPr>
              <w:t>提供的产品必须是具备厂商合法渠道的全新的、完整的、未使用过的产品。</w:t>
            </w:r>
          </w:p>
          <w:p w14:paraId="26CF9F84">
            <w:pPr>
              <w:pStyle w:val="54"/>
              <w:spacing w:before="23" w:line="244" w:lineRule="auto"/>
              <w:ind w:left="114" w:right="259" w:firstLine="1"/>
              <w:rPr>
                <w:rFonts w:asciiTheme="minorEastAsia" w:hAnsiTheme="minorEastAsia" w:eastAsiaTheme="minorEastAsia"/>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.所提供产品，如有质量监督、环保等部门要求对产品进行检测、检验时，必须派出厂方代表协助检查，发现产品如有质量问题，供货方和制造商应承担全部费用及相应的责任。</w:t>
            </w:r>
          </w:p>
        </w:tc>
      </w:tr>
      <w:tr w14:paraId="581DD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61E43D6A">
            <w:pPr>
              <w:spacing w:line="241" w:lineRule="auto"/>
              <w:rPr>
                <w:rFonts w:ascii="Arial"/>
                <w:color w:val="auto"/>
                <w:szCs w:val="21"/>
                <w:highlight w:val="none"/>
              </w:rPr>
            </w:pPr>
          </w:p>
          <w:p w14:paraId="614200DE">
            <w:pPr>
              <w:pStyle w:val="54"/>
              <w:spacing w:before="65" w:line="228" w:lineRule="auto"/>
              <w:ind w:left="325"/>
              <w:rPr>
                <w:rFonts w:asciiTheme="minorEastAsia" w:hAnsiTheme="minorEastAsia" w:eastAsiaTheme="minorEastAsia"/>
                <w:color w:val="auto"/>
                <w:sz w:val="21"/>
                <w:szCs w:val="21"/>
                <w:highlight w:val="none"/>
              </w:rPr>
            </w:pPr>
            <w:r>
              <w:rPr>
                <w:color w:val="auto"/>
                <w:spacing w:val="7"/>
                <w:sz w:val="21"/>
                <w:szCs w:val="21"/>
                <w:highlight w:val="none"/>
              </w:rPr>
              <w:t>付款条件</w:t>
            </w:r>
          </w:p>
        </w:tc>
        <w:tc>
          <w:tcPr>
            <w:tcW w:w="7708" w:type="dxa"/>
            <w:gridSpan w:val="2"/>
            <w:tcBorders>
              <w:top w:val="single" w:color="auto" w:sz="4" w:space="0"/>
              <w:left w:val="single" w:color="auto" w:sz="4" w:space="0"/>
              <w:bottom w:val="single" w:color="auto" w:sz="4" w:space="0"/>
            </w:tcBorders>
          </w:tcPr>
          <w:p w14:paraId="3B1B52A4">
            <w:pPr>
              <w:pStyle w:val="54"/>
              <w:spacing w:before="36" w:line="242" w:lineRule="auto"/>
              <w:ind w:left="111" w:right="153" w:firstLine="421"/>
              <w:rPr>
                <w:rFonts w:asciiTheme="minorEastAsia" w:hAnsiTheme="minorEastAsia" w:eastAsiaTheme="minorEastAsia"/>
                <w:color w:val="auto"/>
                <w:sz w:val="21"/>
                <w:szCs w:val="21"/>
                <w:highlight w:val="none"/>
              </w:rPr>
            </w:pPr>
            <w:r>
              <w:rPr>
                <w:color w:val="auto"/>
                <w:spacing w:val="9"/>
                <w:sz w:val="21"/>
                <w:szCs w:val="21"/>
                <w:highlight w:val="none"/>
              </w:rPr>
              <w:t>本分标项目无预付款,项目验收合格交付使用后30日内支付第</w:t>
            </w:r>
            <w:r>
              <w:rPr>
                <w:color w:val="auto"/>
                <w:spacing w:val="8"/>
                <w:sz w:val="21"/>
                <w:szCs w:val="21"/>
                <w:highlight w:val="none"/>
              </w:rPr>
              <w:t>一笔合同款的50%,</w:t>
            </w:r>
            <w:r>
              <w:rPr>
                <w:color w:val="auto"/>
                <w:spacing w:val="9"/>
                <w:sz w:val="21"/>
                <w:szCs w:val="21"/>
                <w:highlight w:val="none"/>
              </w:rPr>
              <w:t>第二笔合同款在验收合格交付使用6个月后的15个工作日内支付合同款</w:t>
            </w:r>
            <w:r>
              <w:rPr>
                <w:color w:val="auto"/>
                <w:spacing w:val="8"/>
                <w:sz w:val="21"/>
                <w:szCs w:val="21"/>
                <w:highlight w:val="none"/>
              </w:rPr>
              <w:t>的45%,第三笔</w:t>
            </w:r>
            <w:r>
              <w:rPr>
                <w:color w:val="auto"/>
                <w:spacing w:val="9"/>
                <w:sz w:val="21"/>
                <w:szCs w:val="21"/>
                <w:highlight w:val="none"/>
              </w:rPr>
              <w:t>剩余5%的合同款,在验收合格交付使用12个月后的15个工作日</w:t>
            </w:r>
            <w:r>
              <w:rPr>
                <w:color w:val="auto"/>
                <w:spacing w:val="8"/>
                <w:sz w:val="21"/>
                <w:szCs w:val="21"/>
                <w:highlight w:val="none"/>
              </w:rPr>
              <w:t>内支付(无息)。中标人在采购人付款前开具完税发票给采购人。</w:t>
            </w:r>
          </w:p>
        </w:tc>
      </w:tr>
      <w:tr w14:paraId="5C416C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02E2A531">
            <w:pPr>
              <w:spacing w:line="269" w:lineRule="auto"/>
              <w:rPr>
                <w:rFonts w:ascii="Arial"/>
                <w:color w:val="auto"/>
                <w:szCs w:val="21"/>
                <w:highlight w:val="none"/>
              </w:rPr>
            </w:pPr>
          </w:p>
          <w:p w14:paraId="5E1EFC04">
            <w:pPr>
              <w:pStyle w:val="54"/>
              <w:spacing w:before="65" w:line="229" w:lineRule="auto"/>
              <w:ind w:left="326"/>
              <w:rPr>
                <w:rFonts w:asciiTheme="minorEastAsia" w:hAnsiTheme="minorEastAsia" w:eastAsiaTheme="minorEastAsia"/>
                <w:color w:val="auto"/>
                <w:sz w:val="21"/>
                <w:szCs w:val="21"/>
                <w:highlight w:val="none"/>
              </w:rPr>
            </w:pPr>
            <w:r>
              <w:rPr>
                <w:color w:val="auto"/>
                <w:spacing w:val="7"/>
                <w:sz w:val="21"/>
                <w:szCs w:val="21"/>
                <w:highlight w:val="none"/>
              </w:rPr>
              <w:t>其他要求</w:t>
            </w:r>
          </w:p>
        </w:tc>
        <w:tc>
          <w:tcPr>
            <w:tcW w:w="7708" w:type="dxa"/>
            <w:gridSpan w:val="2"/>
            <w:tcBorders>
              <w:top w:val="single" w:color="auto" w:sz="4" w:space="0"/>
              <w:left w:val="single" w:color="auto" w:sz="4" w:space="0"/>
              <w:bottom w:val="single" w:color="auto" w:sz="4" w:space="0"/>
            </w:tcBorders>
          </w:tcPr>
          <w:p w14:paraId="05AFDF82">
            <w:pPr>
              <w:pStyle w:val="54"/>
              <w:spacing w:before="27" w:line="215" w:lineRule="auto"/>
              <w:ind w:left="116"/>
              <w:rPr>
                <w:color w:val="auto"/>
                <w:spacing w:val="9"/>
                <w:sz w:val="21"/>
                <w:szCs w:val="21"/>
                <w:highlight w:val="none"/>
              </w:rPr>
            </w:pPr>
            <w:r>
              <w:rPr>
                <w:rFonts w:hint="eastAsia"/>
                <w:color w:val="auto"/>
                <w:spacing w:val="9"/>
                <w:sz w:val="21"/>
                <w:szCs w:val="21"/>
                <w:highlight w:val="none"/>
              </w:rPr>
              <w:t>1</w:t>
            </w:r>
            <w:r>
              <w:rPr>
                <w:rFonts w:hint="eastAsia"/>
                <w:color w:val="auto"/>
                <w:spacing w:val="9"/>
                <w:sz w:val="21"/>
                <w:szCs w:val="21"/>
                <w:highlight w:val="none"/>
                <w:lang w:eastAsia="zh-CN"/>
              </w:rPr>
              <w:t>.</w:t>
            </w:r>
            <w:r>
              <w:rPr>
                <w:rFonts w:hint="eastAsia"/>
                <w:color w:val="auto"/>
                <w:spacing w:val="9"/>
                <w:sz w:val="21"/>
                <w:szCs w:val="21"/>
                <w:highlight w:val="none"/>
              </w:rPr>
              <w:t>投标时提供投标产品彩色图片或说明书（标明主要技术参数）。</w:t>
            </w:r>
          </w:p>
          <w:p w14:paraId="64E12F1D">
            <w:pPr>
              <w:pStyle w:val="54"/>
              <w:spacing w:before="27" w:line="215" w:lineRule="auto"/>
              <w:ind w:left="116"/>
              <w:rPr>
                <w:color w:val="auto"/>
                <w:spacing w:val="9"/>
                <w:sz w:val="21"/>
                <w:szCs w:val="21"/>
                <w:highlight w:val="none"/>
              </w:rPr>
            </w:pPr>
            <w:r>
              <w:rPr>
                <w:rFonts w:hint="eastAsia"/>
                <w:color w:val="auto"/>
                <w:spacing w:val="9"/>
                <w:sz w:val="21"/>
                <w:szCs w:val="21"/>
                <w:highlight w:val="none"/>
                <w:lang w:eastAsia="zh-CN"/>
              </w:rPr>
              <w:t>2.</w:t>
            </w:r>
            <w:r>
              <w:rPr>
                <w:rFonts w:hint="eastAsia"/>
                <w:color w:val="auto"/>
                <w:spacing w:val="9"/>
                <w:sz w:val="21"/>
                <w:szCs w:val="21"/>
                <w:highlight w:val="none"/>
              </w:rPr>
              <w:t>采购人设备主管科室对本合同质保服务内容进行全程对接和监督，并对服务情况进行客观记录，在每个合同年度期结束时，由设备主管科室根据合同约定的服务内容、响应情况、服务态度及过程记录。</w:t>
            </w:r>
          </w:p>
          <w:p w14:paraId="07107237">
            <w:pPr>
              <w:pStyle w:val="54"/>
              <w:spacing w:before="27" w:line="215" w:lineRule="auto"/>
              <w:ind w:left="116"/>
              <w:rPr>
                <w:color w:val="auto"/>
                <w:spacing w:val="9"/>
                <w:sz w:val="21"/>
                <w:szCs w:val="21"/>
                <w:highlight w:val="none"/>
              </w:rPr>
            </w:pPr>
            <w:r>
              <w:rPr>
                <w:rFonts w:hint="eastAsia"/>
                <w:color w:val="auto"/>
                <w:spacing w:val="9"/>
                <w:sz w:val="21"/>
                <w:szCs w:val="21"/>
                <w:highlight w:val="none"/>
                <w:lang w:eastAsia="zh-CN"/>
              </w:rPr>
              <w:t>3.</w:t>
            </w:r>
            <w:r>
              <w:rPr>
                <w:rFonts w:hint="eastAsia"/>
                <w:color w:val="auto"/>
                <w:spacing w:val="9"/>
                <w:sz w:val="21"/>
                <w:szCs w:val="21"/>
                <w:highlight w:val="none"/>
              </w:rPr>
              <w:t>采购人在货物交货验收阶段发现货物的技术参数指标达不到采购文件该货物技术参数要求的，属虚假应标行为，采购人将终止合同拒收货物，追究该成交单位违约责任,赔偿采购人因采购时间延长造成采购人经济等方面损失。</w:t>
            </w:r>
          </w:p>
          <w:p w14:paraId="101967C1">
            <w:pPr>
              <w:pStyle w:val="54"/>
              <w:spacing w:before="27" w:line="215" w:lineRule="auto"/>
              <w:ind w:left="116"/>
              <w:rPr>
                <w:rFonts w:asciiTheme="minorEastAsia" w:hAnsiTheme="minorEastAsia" w:eastAsiaTheme="minorEastAsia"/>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中标供应商经营第二类医疗器械的须提供《第二类医疗器械经营备案凭证》。</w:t>
            </w:r>
          </w:p>
        </w:tc>
      </w:tr>
      <w:tr w14:paraId="6C24F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14:paraId="2BEFE90E">
            <w:pPr>
              <w:snapToGrid w:val="0"/>
              <w:spacing w:line="360" w:lineRule="exact"/>
              <w:jc w:val="center"/>
              <w:rPr>
                <w:color w:val="auto"/>
                <w:spacing w:val="7"/>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核心产品</w:t>
            </w:r>
          </w:p>
        </w:tc>
        <w:tc>
          <w:tcPr>
            <w:tcW w:w="7708" w:type="dxa"/>
            <w:gridSpan w:val="2"/>
            <w:tcBorders>
              <w:top w:val="single" w:color="auto" w:sz="4" w:space="0"/>
              <w:left w:val="single" w:color="auto" w:sz="4" w:space="0"/>
              <w:bottom w:val="single" w:color="auto" w:sz="4" w:space="0"/>
            </w:tcBorders>
            <w:vAlign w:val="center"/>
          </w:tcPr>
          <w:p w14:paraId="64AD70CD">
            <w:pPr>
              <w:snapToGrid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项设备“</w:t>
            </w:r>
            <w:r>
              <w:rPr>
                <w:rFonts w:hint="eastAsia" w:ascii="宋体" w:hAnsi="宋体" w:cs="宋体"/>
                <w:color w:val="auto"/>
                <w:szCs w:val="21"/>
                <w:highlight w:val="none"/>
                <w:u w:val="single"/>
              </w:rPr>
              <w:t xml:space="preserve"> 冰冻切片机 </w:t>
            </w:r>
            <w:r>
              <w:rPr>
                <w:rFonts w:hint="eastAsia" w:ascii="宋体" w:hAnsi="宋体" w:cs="宋体"/>
                <w:color w:val="auto"/>
                <w:szCs w:val="21"/>
                <w:highlight w:val="none"/>
              </w:rPr>
              <w:t>”为本次采购的核心产品。</w:t>
            </w:r>
          </w:p>
          <w:p w14:paraId="18425619">
            <w:pPr>
              <w:spacing w:line="360" w:lineRule="exact"/>
              <w:jc w:val="left"/>
              <w:rPr>
                <w:color w:val="auto"/>
                <w:spacing w:val="9"/>
                <w:szCs w:val="21"/>
                <w:highlight w:val="none"/>
              </w:rPr>
            </w:pPr>
            <w:r>
              <w:rPr>
                <w:rFonts w:hint="eastAsia" w:ascii="宋体" w:hAnsi="宋体" w:cs="宋体"/>
                <w:color w:val="auto"/>
                <w:szCs w:val="21"/>
                <w:highlight w:val="none"/>
              </w:rPr>
              <w:t xml:space="preserve">   </w:t>
            </w:r>
            <w:r>
              <w:rPr>
                <w:rFonts w:hint="eastAsia" w:ascii="宋体" w:hAnsi="宋体" w:cs="宋体"/>
                <w:color w:val="auto"/>
                <w:spacing w:val="10"/>
                <w:szCs w:val="21"/>
                <w:highlight w:val="none"/>
                <w:lang w:eastAsia="en-US"/>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tc>
      </w:tr>
      <w:tr w14:paraId="72C74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tcPr>
          <w:p w14:paraId="0551DE2C">
            <w:pPr>
              <w:pStyle w:val="54"/>
              <w:spacing w:before="306" w:line="246" w:lineRule="auto"/>
              <w:ind w:left="116" w:right="171" w:firstLine="9"/>
              <w:rPr>
                <w:rFonts w:asciiTheme="minorEastAsia" w:hAnsiTheme="minorEastAsia" w:eastAsiaTheme="minorEastAsia"/>
                <w:color w:val="auto"/>
                <w:sz w:val="21"/>
                <w:szCs w:val="21"/>
                <w:highlight w:val="none"/>
              </w:rPr>
            </w:pPr>
            <w:r>
              <w:rPr>
                <w:color w:val="auto"/>
                <w:spacing w:val="6"/>
                <w:sz w:val="21"/>
                <w:szCs w:val="21"/>
                <w:highlight w:val="none"/>
              </w:rPr>
              <w:t>医疗器械注册</w:t>
            </w:r>
            <w:r>
              <w:rPr>
                <w:color w:val="auto"/>
                <w:sz w:val="21"/>
                <w:szCs w:val="21"/>
                <w:highlight w:val="none"/>
              </w:rPr>
              <w:t>证</w:t>
            </w:r>
          </w:p>
        </w:tc>
        <w:tc>
          <w:tcPr>
            <w:tcW w:w="7708" w:type="dxa"/>
            <w:gridSpan w:val="2"/>
            <w:tcBorders>
              <w:top w:val="single" w:color="auto" w:sz="4" w:space="0"/>
              <w:left w:val="single" w:color="auto" w:sz="4" w:space="0"/>
              <w:bottom w:val="single" w:color="auto" w:sz="4" w:space="0"/>
            </w:tcBorders>
          </w:tcPr>
          <w:p w14:paraId="599F1FFA">
            <w:pPr>
              <w:pStyle w:val="54"/>
              <w:spacing w:before="35" w:line="245" w:lineRule="auto"/>
              <w:ind w:left="111" w:right="259" w:firstLine="422"/>
              <w:rPr>
                <w:rFonts w:asciiTheme="minorEastAsia" w:hAnsiTheme="minorEastAsia" w:eastAsiaTheme="minorEastAsia"/>
                <w:color w:val="auto"/>
                <w:sz w:val="21"/>
                <w:szCs w:val="21"/>
                <w:highlight w:val="none"/>
              </w:rPr>
            </w:pPr>
            <w:r>
              <w:rPr>
                <w:color w:val="auto"/>
                <w:spacing w:val="10"/>
                <w:sz w:val="21"/>
                <w:szCs w:val="21"/>
                <w:highlight w:val="none"/>
              </w:rPr>
              <w:t>投标产品属第一类医疗器械产品的，投标文件中须</w:t>
            </w:r>
            <w:r>
              <w:rPr>
                <w:color w:val="auto"/>
                <w:spacing w:val="9"/>
                <w:sz w:val="21"/>
                <w:szCs w:val="21"/>
                <w:highlight w:val="none"/>
              </w:rPr>
              <w:t>按《医疗器械注册与备案管理办法》（国家市场监督管理总局令第47号）提供该设备在负责药品监督管理的部门提</w:t>
            </w:r>
            <w:r>
              <w:rPr>
                <w:color w:val="auto"/>
                <w:spacing w:val="10"/>
                <w:sz w:val="21"/>
                <w:szCs w:val="21"/>
                <w:highlight w:val="none"/>
              </w:rPr>
              <w:t>交备案资料证明材料复印件（或扫描件）加盖投标人电子签</w:t>
            </w:r>
            <w:r>
              <w:rPr>
                <w:color w:val="auto"/>
                <w:spacing w:val="9"/>
                <w:sz w:val="21"/>
                <w:szCs w:val="21"/>
                <w:highlight w:val="none"/>
              </w:rPr>
              <w:t>章；投标产品属第二、三</w:t>
            </w:r>
            <w:r>
              <w:rPr>
                <w:color w:val="auto"/>
                <w:spacing w:val="10"/>
                <w:sz w:val="21"/>
                <w:szCs w:val="21"/>
                <w:highlight w:val="none"/>
              </w:rPr>
              <w:t>类医疗器械产品的，投标文件中须按《医疗器械注册与备案</w:t>
            </w:r>
            <w:r>
              <w:rPr>
                <w:color w:val="auto"/>
                <w:spacing w:val="9"/>
                <w:sz w:val="21"/>
                <w:szCs w:val="21"/>
                <w:highlight w:val="none"/>
              </w:rPr>
              <w:t>管理办法》（国家市场监督管理总局令第47号）提供该设备有效的药品监督管理部门出具的医疗器械注册证复印件（或扫描件）加盖投标人电子签章，否则投标无效。</w:t>
            </w:r>
          </w:p>
        </w:tc>
      </w:tr>
      <w:tr w14:paraId="4FD0B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14:paraId="6F5B8362">
            <w:pPr>
              <w:snapToGrid w:val="0"/>
              <w:spacing w:line="360" w:lineRule="exact"/>
              <w:jc w:val="center"/>
              <w:rPr>
                <w:rFonts w:asciiTheme="minorEastAsia" w:hAnsiTheme="minorEastAsia" w:eastAsiaTheme="minorEastAsia"/>
                <w:color w:val="auto"/>
                <w:szCs w:val="21"/>
                <w:highlight w:val="none"/>
              </w:rPr>
            </w:pPr>
            <w:r>
              <w:rPr>
                <w:color w:val="auto"/>
                <w:spacing w:val="5"/>
                <w:szCs w:val="21"/>
                <w:highlight w:val="none"/>
              </w:rPr>
              <w:t>资料要求</w:t>
            </w:r>
          </w:p>
        </w:tc>
        <w:tc>
          <w:tcPr>
            <w:tcW w:w="7708" w:type="dxa"/>
            <w:gridSpan w:val="2"/>
            <w:tcBorders>
              <w:top w:val="single" w:color="auto" w:sz="4" w:space="0"/>
              <w:left w:val="single" w:color="auto" w:sz="4" w:space="0"/>
              <w:bottom w:val="single" w:color="auto" w:sz="4" w:space="0"/>
            </w:tcBorders>
            <w:vAlign w:val="center"/>
          </w:tcPr>
          <w:p w14:paraId="46EEA556">
            <w:pPr>
              <w:widowControl/>
              <w:snapToGrid w:val="0"/>
              <w:spacing w:line="360" w:lineRule="exact"/>
              <w:jc w:val="left"/>
              <w:rPr>
                <w:rFonts w:asciiTheme="minorEastAsia" w:hAnsiTheme="minorEastAsia" w:eastAsiaTheme="minorEastAsia"/>
                <w:color w:val="auto"/>
                <w:szCs w:val="21"/>
                <w:highlight w:val="none"/>
              </w:rPr>
            </w:pPr>
            <w:r>
              <w:rPr>
                <w:color w:val="auto"/>
                <w:spacing w:val="9"/>
                <w:szCs w:val="21"/>
                <w:highlight w:val="none"/>
              </w:rPr>
              <w:t>当响应文件提供的设备性能参数与该生产商提供的性能参数不符合时，以生产商资料</w:t>
            </w:r>
            <w:r>
              <w:rPr>
                <w:color w:val="auto"/>
                <w:spacing w:val="5"/>
                <w:szCs w:val="21"/>
                <w:highlight w:val="none"/>
              </w:rPr>
              <w:t>为准。</w:t>
            </w:r>
            <w:r>
              <w:rPr>
                <w:b/>
                <w:bCs/>
                <w:color w:val="auto"/>
                <w:spacing w:val="5"/>
                <w:szCs w:val="21"/>
                <w:highlight w:val="none"/>
              </w:rPr>
              <w:t>（</w:t>
            </w:r>
            <w:r>
              <w:rPr>
                <w:color w:val="auto"/>
                <w:spacing w:val="-59"/>
                <w:szCs w:val="21"/>
                <w:highlight w:val="none"/>
              </w:rPr>
              <w:t xml:space="preserve"> </w:t>
            </w:r>
            <w:r>
              <w:rPr>
                <w:b/>
                <w:bCs/>
                <w:color w:val="auto"/>
                <w:spacing w:val="5"/>
                <w:szCs w:val="21"/>
                <w:highlight w:val="none"/>
              </w:rPr>
              <w:t>“项目需要及技术需求</w:t>
            </w:r>
            <w:r>
              <w:rPr>
                <w:color w:val="auto"/>
                <w:spacing w:val="-70"/>
                <w:szCs w:val="21"/>
                <w:highlight w:val="none"/>
              </w:rPr>
              <w:t xml:space="preserve"> </w:t>
            </w:r>
            <w:r>
              <w:rPr>
                <w:b/>
                <w:bCs/>
                <w:color w:val="auto"/>
                <w:spacing w:val="5"/>
                <w:szCs w:val="21"/>
                <w:highlight w:val="none"/>
              </w:rPr>
              <w:t>”有要求的则按其要求）</w:t>
            </w:r>
          </w:p>
        </w:tc>
      </w:tr>
      <w:tr w14:paraId="1ECC2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651F028E">
            <w:pPr>
              <w:widowControl/>
              <w:snapToGrid w:val="0"/>
              <w:spacing w:line="360" w:lineRule="exact"/>
              <w:rPr>
                <w:rFonts w:asciiTheme="minorEastAsia" w:hAnsiTheme="minorEastAsia" w:eastAsiaTheme="minorEastAsia"/>
                <w:color w:val="auto"/>
                <w:szCs w:val="21"/>
                <w:highlight w:val="none"/>
              </w:rPr>
            </w:pPr>
            <w:r>
              <w:rPr>
                <w:b/>
                <w:bCs/>
                <w:color w:val="auto"/>
                <w:spacing w:val="7"/>
                <w:szCs w:val="21"/>
                <w:highlight w:val="none"/>
              </w:rPr>
              <w:t>三、进口产品说明</w:t>
            </w:r>
          </w:p>
        </w:tc>
      </w:tr>
      <w:tr w14:paraId="31EB2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2CA14A75">
            <w:pPr>
              <w:widowControl/>
              <w:snapToGrid w:val="0"/>
              <w:spacing w:line="360" w:lineRule="exact"/>
              <w:ind w:firstLine="422"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本分标货物不接受进口产品投标（即通过中国海关报关验放进入中国境内且产自关境外的产品），如有此类产品参与投标的作无效投标处理。</w:t>
            </w:r>
          </w:p>
        </w:tc>
      </w:tr>
    </w:tbl>
    <w:p w14:paraId="39B98407">
      <w:pPr>
        <w:widowControl/>
        <w:jc w:val="left"/>
        <w:rPr>
          <w:rFonts w:asciiTheme="minorEastAsia" w:hAnsiTheme="minorEastAsia" w:eastAsiaTheme="minorEastAsia"/>
          <w:b/>
          <w:color w:val="auto"/>
          <w:kern w:val="0"/>
          <w:sz w:val="24"/>
          <w:highlight w:val="none"/>
        </w:rPr>
      </w:pPr>
      <w:r>
        <w:rPr>
          <w:rFonts w:asciiTheme="minorEastAsia" w:hAnsiTheme="minorEastAsia" w:eastAsiaTheme="minorEastAsia"/>
          <w:b/>
          <w:color w:val="auto"/>
          <w:kern w:val="0"/>
          <w:sz w:val="24"/>
          <w:highlight w:val="none"/>
        </w:rPr>
        <w:br w:type="page"/>
      </w:r>
    </w:p>
    <w:p w14:paraId="20BFEC6F">
      <w:pPr>
        <w:spacing w:line="360" w:lineRule="exact"/>
        <w:ind w:firstLine="426" w:firstLineChars="202"/>
        <w:jc w:val="left"/>
        <w:outlineLvl w:val="1"/>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04分标：</w:t>
      </w:r>
    </w:p>
    <w:p w14:paraId="5434993E">
      <w:pPr>
        <w:spacing w:line="360" w:lineRule="exact"/>
        <w:ind w:firstLine="426" w:firstLineChars="202"/>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采购预算：600500.00元。（各项采购预算单价详见招标公告）</w:t>
      </w:r>
    </w:p>
    <w:tbl>
      <w:tblPr>
        <w:tblStyle w:val="23"/>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285"/>
        <w:gridCol w:w="930"/>
        <w:gridCol w:w="6591"/>
      </w:tblGrid>
      <w:tr w14:paraId="2F381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14:paraId="0294709B">
            <w:pPr>
              <w:spacing w:line="360" w:lineRule="exact"/>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一、采购需求</w:t>
            </w:r>
          </w:p>
        </w:tc>
      </w:tr>
      <w:tr w14:paraId="6E95B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6C500D93">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项号</w:t>
            </w:r>
          </w:p>
        </w:tc>
        <w:tc>
          <w:tcPr>
            <w:tcW w:w="1285" w:type="dxa"/>
            <w:tcBorders>
              <w:top w:val="single" w:color="auto" w:sz="4" w:space="0"/>
              <w:left w:val="single" w:color="auto" w:sz="4" w:space="0"/>
              <w:bottom w:val="single" w:color="auto" w:sz="4" w:space="0"/>
              <w:right w:val="single" w:color="auto" w:sz="4" w:space="0"/>
            </w:tcBorders>
            <w:vAlign w:val="center"/>
          </w:tcPr>
          <w:p w14:paraId="01610341">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采购内容</w:t>
            </w:r>
          </w:p>
        </w:tc>
        <w:tc>
          <w:tcPr>
            <w:tcW w:w="930" w:type="dxa"/>
            <w:tcBorders>
              <w:top w:val="single" w:color="auto" w:sz="4" w:space="0"/>
              <w:left w:val="single" w:color="auto" w:sz="4" w:space="0"/>
              <w:bottom w:val="single" w:color="auto" w:sz="4" w:space="0"/>
              <w:right w:val="single" w:color="auto" w:sz="4" w:space="0"/>
            </w:tcBorders>
            <w:vAlign w:val="center"/>
          </w:tcPr>
          <w:p w14:paraId="39C0E7C5">
            <w:pPr>
              <w:spacing w:line="36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w:t>
            </w:r>
          </w:p>
        </w:tc>
        <w:tc>
          <w:tcPr>
            <w:tcW w:w="6591" w:type="dxa"/>
            <w:tcBorders>
              <w:top w:val="single" w:color="auto" w:sz="4" w:space="0"/>
              <w:left w:val="single" w:color="auto" w:sz="4" w:space="0"/>
              <w:bottom w:val="single" w:color="auto" w:sz="4" w:space="0"/>
              <w:right w:val="single" w:color="auto" w:sz="4" w:space="0"/>
            </w:tcBorders>
            <w:vAlign w:val="center"/>
          </w:tcPr>
          <w:p w14:paraId="7099985A">
            <w:pPr>
              <w:spacing w:line="360" w:lineRule="exact"/>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color w:val="auto"/>
                <w:szCs w:val="21"/>
                <w:highlight w:val="none"/>
              </w:rPr>
              <w:t>技术要求</w:t>
            </w:r>
          </w:p>
        </w:tc>
      </w:tr>
      <w:tr w14:paraId="7AE13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5A583A02">
            <w:pPr>
              <w:spacing w:line="360" w:lineRule="exact"/>
              <w:jc w:val="center"/>
              <w:rPr>
                <w:rFonts w:cs="Tahoma" w:asciiTheme="minorEastAsia" w:hAnsiTheme="minorEastAsia" w:eastAsiaTheme="minorEastAsia"/>
                <w:color w:val="auto"/>
                <w:szCs w:val="21"/>
                <w:highlight w:val="none"/>
              </w:rPr>
            </w:pPr>
            <w:r>
              <w:rPr>
                <w:rFonts w:cs="Tahoma" w:asciiTheme="minorEastAsia" w:hAnsiTheme="minorEastAsia" w:eastAsiaTheme="minorEastAsia"/>
                <w:color w:val="auto"/>
                <w:szCs w:val="21"/>
                <w:highlight w:val="none"/>
              </w:rPr>
              <w:t>1</w:t>
            </w:r>
          </w:p>
        </w:tc>
        <w:tc>
          <w:tcPr>
            <w:tcW w:w="1285" w:type="dxa"/>
            <w:tcBorders>
              <w:top w:val="single" w:color="auto" w:sz="4" w:space="0"/>
              <w:left w:val="single" w:color="auto" w:sz="4" w:space="0"/>
              <w:bottom w:val="single" w:color="auto" w:sz="4" w:space="0"/>
              <w:right w:val="single" w:color="auto" w:sz="4" w:space="0"/>
            </w:tcBorders>
            <w:vAlign w:val="center"/>
          </w:tcPr>
          <w:p w14:paraId="7CA4AFC2">
            <w:pPr>
              <w:widowControl/>
              <w:jc w:val="center"/>
              <w:textAlignment w:val="center"/>
              <w:rPr>
                <w:rFonts w:asciiTheme="minorEastAsia" w:hAnsiTheme="minorEastAsia" w:eastAsiaTheme="minorEastAsia"/>
                <w:color w:val="auto"/>
                <w:szCs w:val="21"/>
                <w:highlight w:val="none"/>
              </w:rPr>
            </w:pPr>
            <w:r>
              <w:rPr>
                <w:rFonts w:hint="eastAsia" w:ascii="宋体" w:hAnsi="宋体" w:cs="宋体"/>
                <w:color w:val="auto"/>
                <w:kern w:val="0"/>
                <w:sz w:val="22"/>
                <w:szCs w:val="22"/>
                <w:highlight w:val="none"/>
              </w:rPr>
              <w:t>胰岛素泵</w:t>
            </w:r>
          </w:p>
        </w:tc>
        <w:tc>
          <w:tcPr>
            <w:tcW w:w="930" w:type="dxa"/>
            <w:tcBorders>
              <w:top w:val="single" w:color="auto" w:sz="4" w:space="0"/>
              <w:left w:val="single" w:color="auto" w:sz="4" w:space="0"/>
              <w:bottom w:val="single" w:color="auto" w:sz="4" w:space="0"/>
              <w:right w:val="single" w:color="auto" w:sz="4" w:space="0"/>
            </w:tcBorders>
            <w:vAlign w:val="center"/>
          </w:tcPr>
          <w:p w14:paraId="4442D496">
            <w:pPr>
              <w:pStyle w:val="20"/>
              <w:spacing w:beforeAutospacing="0" w:afterAutospacing="0" w:line="360" w:lineRule="exact"/>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20台</w:t>
            </w:r>
          </w:p>
        </w:tc>
        <w:tc>
          <w:tcPr>
            <w:tcW w:w="6591" w:type="dxa"/>
            <w:tcBorders>
              <w:top w:val="single" w:color="auto" w:sz="4" w:space="0"/>
              <w:left w:val="single" w:color="auto" w:sz="4" w:space="0"/>
              <w:bottom w:val="single" w:color="auto" w:sz="4" w:space="0"/>
              <w:right w:val="single" w:color="auto" w:sz="4" w:space="0"/>
            </w:tcBorders>
            <w:shd w:val="clear" w:color="auto" w:fill="auto"/>
            <w:vAlign w:val="center"/>
          </w:tcPr>
          <w:p w14:paraId="13238FD1">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一、配置要求</w:t>
            </w:r>
          </w:p>
          <w:p w14:paraId="5B486ACC">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具备互联网远程调泵功能</w:t>
            </w:r>
          </w:p>
          <w:p w14:paraId="7806D0E2">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二、具体规格及技术参数</w:t>
            </w:r>
          </w:p>
          <w:p w14:paraId="4A4F1DDA">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主要技术参数:</w:t>
            </w:r>
          </w:p>
          <w:p w14:paraId="7782A57C">
            <w:pPr>
              <w:keepLines/>
              <w:widowControl/>
              <w:tabs>
                <w:tab w:val="left" w:pos="312"/>
              </w:tabs>
              <w:adjustRightInd w:val="0"/>
              <w:jc w:val="left"/>
              <w:rPr>
                <w:rFonts w:ascii="宋体" w:hAnsi="宋体" w:cs="微软雅黑"/>
                <w:color w:val="auto"/>
                <w:szCs w:val="21"/>
                <w:highlight w:val="none"/>
              </w:rPr>
            </w:pPr>
            <w:r>
              <w:rPr>
                <w:rFonts w:hint="eastAsia" w:ascii="宋体" w:hAnsi="宋体" w:cs="宋体"/>
                <w:color w:val="auto"/>
                <w:kern w:val="0"/>
                <w:szCs w:val="21"/>
                <w:highlight w:val="none"/>
              </w:rPr>
              <w:t>▲</w:t>
            </w:r>
            <w:r>
              <w:rPr>
                <w:rFonts w:hint="eastAsia" w:ascii="宋体" w:hAnsi="宋体" w:cs="微软雅黑"/>
                <w:color w:val="auto"/>
                <w:szCs w:val="21"/>
                <w:highlight w:val="none"/>
              </w:rPr>
              <w:t>1.泵管理系统：可以配合泵管理软件，软件有远程暂停泵功能，可开展全院泵远程管理；管理系统有扩展血糖仪、电子胰岛素注射笔接口；</w:t>
            </w:r>
          </w:p>
          <w:p w14:paraId="0D42F812">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2.胰岛素泵手持端1个或多个，1个手持端可以控制不少于100台胰岛素泵；</w:t>
            </w:r>
          </w:p>
          <w:p w14:paraId="33B5E566">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3.泵管理软件有AI估算、AI剂量、泵转笔辅助计算工具模块；</w:t>
            </w:r>
          </w:p>
          <w:p w14:paraId="6F2E7FC5">
            <w:pPr>
              <w:keepLines/>
              <w:widowControl/>
              <w:tabs>
                <w:tab w:val="left" w:pos="312"/>
              </w:tabs>
              <w:adjustRightInd w:val="0"/>
              <w:jc w:val="left"/>
              <w:rPr>
                <w:rFonts w:ascii="宋体" w:hAnsi="宋体" w:cs="微软雅黑"/>
                <w:color w:val="auto"/>
                <w:szCs w:val="21"/>
                <w:highlight w:val="none"/>
              </w:rPr>
            </w:pPr>
            <w:r>
              <w:rPr>
                <w:rFonts w:hint="eastAsia" w:ascii="宋体" w:hAnsi="宋体" w:cs="宋体"/>
                <w:color w:val="auto"/>
                <w:kern w:val="0"/>
                <w:szCs w:val="21"/>
                <w:highlight w:val="none"/>
              </w:rPr>
              <w:t>▲4</w:t>
            </w:r>
            <w:r>
              <w:rPr>
                <w:rFonts w:hint="eastAsia" w:ascii="宋体" w:hAnsi="宋体" w:cs="微软雅黑"/>
                <w:color w:val="auto"/>
                <w:szCs w:val="21"/>
                <w:highlight w:val="none"/>
              </w:rPr>
              <w:t>.胰岛素泵工作台，有输注导管使用时长提示功能；</w:t>
            </w:r>
          </w:p>
          <w:p w14:paraId="5A8B9B3F">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5.胰岛素泵工作台，有阻塞、低电、低药、无药实时报警功能；</w:t>
            </w:r>
          </w:p>
          <w:p w14:paraId="22B04DF7">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6.胰岛素泵工作台，有大剂量、基础率、日总量、剩余药量提示功能；</w:t>
            </w:r>
          </w:p>
          <w:p w14:paraId="1AFB1BB0">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7.胰岛素泵工作台，有血糖显示功能；</w:t>
            </w:r>
          </w:p>
          <w:p w14:paraId="7322AE41">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8.全中文菜单显示，易用易懂</w:t>
            </w:r>
          </w:p>
          <w:p w14:paraId="01690492">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9.胰岛素种类：U-100和U-40两种可选，两种浓度胰岛素可以智能换算；短效和速效可选 </w:t>
            </w:r>
          </w:p>
          <w:p w14:paraId="62902446">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10.基础率分段：24段、48段 </w:t>
            </w:r>
          </w:p>
          <w:p w14:paraId="69BEEA63">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11.基础率设置：自动分配基础率、个性化设置基础率</w:t>
            </w:r>
          </w:p>
          <w:p w14:paraId="4CECC7D2">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12.数据库：速效数据库、短效数据库</w:t>
            </w:r>
          </w:p>
          <w:p w14:paraId="5F7D4426">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13.基础率设置范围：常规范围 0.01～35 U/h，速度设置范围为基础率设置值的0～250%，时间设置范围0～24小时</w:t>
            </w:r>
          </w:p>
          <w:p w14:paraId="22BC59D6">
            <w:pPr>
              <w:keepLines/>
              <w:widowControl/>
              <w:tabs>
                <w:tab w:val="left" w:pos="312"/>
              </w:tabs>
              <w:adjustRightInd w:val="0"/>
              <w:jc w:val="left"/>
              <w:rPr>
                <w:rFonts w:ascii="宋体" w:hAnsi="宋体" w:cs="微软雅黑"/>
                <w:color w:val="auto"/>
                <w:szCs w:val="21"/>
                <w:highlight w:val="none"/>
              </w:rPr>
            </w:pPr>
            <w:r>
              <w:rPr>
                <w:rFonts w:hint="eastAsia" w:ascii="宋体" w:hAnsi="宋体" w:cs="宋体"/>
                <w:color w:val="auto"/>
                <w:kern w:val="0"/>
                <w:szCs w:val="21"/>
                <w:highlight w:val="none"/>
              </w:rPr>
              <w:t>▲</w:t>
            </w:r>
            <w:r>
              <w:rPr>
                <w:rFonts w:hint="eastAsia" w:ascii="宋体" w:hAnsi="宋体" w:cs="微软雅黑"/>
                <w:color w:val="auto"/>
                <w:szCs w:val="21"/>
                <w:highlight w:val="none"/>
              </w:rPr>
              <w:t>14.基础率增幅：默认值0.05 U（1U等于0.01毫升）,0.01U（0-0.2U）、0.05U（0.2-2U）、0.1U（大于2U）,根据患者胰岛素用量自动切换；</w:t>
            </w:r>
          </w:p>
          <w:p w14:paraId="1BBD596F">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15.立即输注：快速一键注射</w:t>
            </w:r>
          </w:p>
          <w:p w14:paraId="773C1D5C">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16.长餐模式：方波输注，双波输注</w:t>
            </w:r>
          </w:p>
          <w:p w14:paraId="5610DAA3">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17.大剂量设置范围：0.1～88U</w:t>
            </w:r>
          </w:p>
          <w:p w14:paraId="17F099AB">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18.大剂量增幅：0.1U</w:t>
            </w:r>
          </w:p>
          <w:p w14:paraId="3AB9BE18">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19.大剂量输注速度：可调</w:t>
            </w:r>
          </w:p>
          <w:p w14:paraId="1933AAD9">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20.螺杆复位形式：自动复位，电机驱动</w:t>
            </w:r>
          </w:p>
          <w:p w14:paraId="0C8D0441">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21.最大装药量：≥3.0毫升(300U)</w:t>
            </w:r>
          </w:p>
          <w:p w14:paraId="779D4EB5">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22.剂量限制功能：每次大剂量限制、每小时基础量限制、日总量限制</w:t>
            </w:r>
          </w:p>
          <w:p w14:paraId="65208D74">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23.保护功能：按键自动上锁、儿童锁防止误操作、医生凭密码设置、工程师凭密码设置</w:t>
            </w:r>
          </w:p>
          <w:p w14:paraId="5AF6E13D">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24.警示项目：蜂鸣报警（阻塞，低电量，低药量，无输注，药完）、按键声音、用餐提示、测血糖提示；报警项目可选。</w:t>
            </w:r>
          </w:p>
          <w:p w14:paraId="37D1A8BE">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 xml:space="preserve">25.堵塞剂量可调 </w:t>
            </w:r>
          </w:p>
          <w:p w14:paraId="1DEFB3BA">
            <w:pPr>
              <w:keepLines/>
              <w:widowControl/>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26.低药量报警阈值可设</w:t>
            </w:r>
          </w:p>
          <w:p w14:paraId="72D81365">
            <w:pPr>
              <w:keepLines/>
              <w:widowControl/>
              <w:tabs>
                <w:tab w:val="left" w:pos="312"/>
              </w:tabs>
              <w:adjustRightInd w:val="0"/>
              <w:jc w:val="left"/>
              <w:rPr>
                <w:rFonts w:ascii="宋体" w:hAnsi="宋体" w:cs="微软雅黑"/>
                <w:color w:val="auto"/>
                <w:szCs w:val="21"/>
                <w:highlight w:val="none"/>
              </w:rPr>
            </w:pPr>
            <w:r>
              <w:rPr>
                <w:rFonts w:hint="eastAsia" w:ascii="宋体" w:hAnsi="宋体" w:cs="宋体"/>
                <w:color w:val="auto"/>
                <w:kern w:val="0"/>
                <w:szCs w:val="21"/>
                <w:highlight w:val="none"/>
              </w:rPr>
              <w:t>▲</w:t>
            </w:r>
            <w:r>
              <w:rPr>
                <w:rFonts w:hint="eastAsia" w:ascii="宋体" w:hAnsi="宋体" w:cs="微软雅黑"/>
                <w:color w:val="auto"/>
                <w:szCs w:val="21"/>
                <w:highlight w:val="none"/>
              </w:rPr>
              <w:t>27.电池型号： Type-C快速内置电池</w:t>
            </w:r>
          </w:p>
          <w:p w14:paraId="4DF67BD5">
            <w:pPr>
              <w:keepLines/>
              <w:widowControl/>
              <w:numPr>
                <w:ilvl w:val="255"/>
                <w:numId w:val="0"/>
              </w:numPr>
              <w:tabs>
                <w:tab w:val="left" w:pos="312"/>
              </w:tabs>
              <w:adjustRightInd w:val="0"/>
              <w:jc w:val="left"/>
              <w:rPr>
                <w:rFonts w:ascii="宋体" w:hAnsi="宋体" w:cs="微软雅黑"/>
                <w:color w:val="auto"/>
                <w:szCs w:val="21"/>
                <w:highlight w:val="none"/>
              </w:rPr>
            </w:pPr>
            <w:r>
              <w:rPr>
                <w:rFonts w:hint="eastAsia" w:ascii="宋体" w:hAnsi="宋体" w:cs="微软雅黑"/>
                <w:color w:val="auto"/>
                <w:szCs w:val="21"/>
                <w:highlight w:val="none"/>
              </w:rPr>
              <w:t>泵使用年限不少于10年</w:t>
            </w:r>
          </w:p>
          <w:p w14:paraId="1B27E3B4">
            <w:pPr>
              <w:keepLines/>
              <w:widowControl/>
              <w:tabs>
                <w:tab w:val="left" w:pos="312"/>
              </w:tabs>
              <w:adjustRightInd w:val="0"/>
              <w:rPr>
                <w:color w:val="auto"/>
                <w:highlight w:val="none"/>
              </w:rPr>
            </w:pPr>
            <w:r>
              <w:rPr>
                <w:rFonts w:hint="eastAsia"/>
                <w:color w:val="auto"/>
                <w:highlight w:val="none"/>
              </w:rPr>
              <w:t>29.设备耗材</w:t>
            </w:r>
          </w:p>
          <w:p w14:paraId="79385FA6">
            <w:pPr>
              <w:keepLines/>
              <w:widowControl/>
              <w:tabs>
                <w:tab w:val="left" w:pos="312"/>
              </w:tabs>
              <w:adjustRightInd w:val="0"/>
              <w:rPr>
                <w:rFonts w:hint="default" w:eastAsia="宋体"/>
                <w:color w:val="auto"/>
                <w:highlight w:val="none"/>
                <w:lang w:val="en-US" w:eastAsia="zh-CN"/>
              </w:rPr>
            </w:pPr>
            <w:r>
              <w:rPr>
                <w:rFonts w:hint="eastAsia"/>
                <w:color w:val="auto"/>
                <w:highlight w:val="none"/>
              </w:rPr>
              <w:t xml:space="preserve">29.1 </w:t>
            </w:r>
            <w:r>
              <w:rPr>
                <w:rFonts w:hint="eastAsia"/>
                <w:color w:val="auto"/>
                <w:highlight w:val="none"/>
                <w:lang w:val="en-US" w:eastAsia="zh-CN"/>
              </w:rPr>
              <w:t>包含胰岛素泵的专机专用耗材贮药器600支、输注器600支，耗材</w:t>
            </w:r>
            <w:r>
              <w:rPr>
                <w:rFonts w:hint="eastAsia" w:ascii="宋体" w:hAnsi="宋体" w:cs="宋体"/>
                <w:color w:val="auto"/>
                <w:szCs w:val="21"/>
                <w:highlight w:val="none"/>
              </w:rPr>
              <w:t>应与胰岛素泵为同一品牌，可配套使用。</w:t>
            </w:r>
          </w:p>
          <w:p w14:paraId="75A927B8">
            <w:pPr>
              <w:keepLines/>
              <w:widowControl/>
              <w:tabs>
                <w:tab w:val="left" w:pos="312"/>
              </w:tabs>
              <w:adjustRightInd w:val="0"/>
              <w:rPr>
                <w:color w:val="auto"/>
                <w:highlight w:val="none"/>
              </w:rPr>
            </w:pPr>
            <w:r>
              <w:rPr>
                <w:rFonts w:hint="eastAsia"/>
                <w:color w:val="auto"/>
                <w:highlight w:val="none"/>
                <w:lang w:val="en-US" w:eastAsia="zh-CN"/>
              </w:rPr>
              <w:t xml:space="preserve">29.2 </w:t>
            </w:r>
            <w:r>
              <w:rPr>
                <w:rFonts w:hint="eastAsia"/>
                <w:color w:val="auto"/>
                <w:highlight w:val="none"/>
              </w:rPr>
              <w:t>若设备必须使用专机专用耗材，供应商所提供的设备注册证/说明书应明确标注耗材与设备具有强制配套性，或提供由设备制造商出具的《专用耗材技术说明函》。</w:t>
            </w:r>
          </w:p>
          <w:p w14:paraId="4A5BA06F">
            <w:pPr>
              <w:keepLines/>
              <w:widowControl/>
              <w:tabs>
                <w:tab w:val="left" w:pos="312"/>
              </w:tabs>
              <w:adjustRightInd w:val="0"/>
              <w:rPr>
                <w:color w:val="auto"/>
                <w:highlight w:val="none"/>
              </w:rPr>
            </w:pPr>
            <w:r>
              <w:rPr>
                <w:rFonts w:hint="eastAsia"/>
                <w:color w:val="auto"/>
                <w:highlight w:val="none"/>
              </w:rPr>
              <w:t>29.</w:t>
            </w:r>
            <w:r>
              <w:rPr>
                <w:rFonts w:hint="eastAsia"/>
                <w:color w:val="auto"/>
                <w:highlight w:val="none"/>
                <w:lang w:val="en-US" w:eastAsia="zh-CN"/>
              </w:rPr>
              <w:t>3</w:t>
            </w:r>
            <w:r>
              <w:rPr>
                <w:rFonts w:hint="eastAsia"/>
                <w:color w:val="auto"/>
                <w:highlight w:val="none"/>
              </w:rPr>
              <w:t xml:space="preserve"> 若设备兼容多品牌耗材，供应商应在设备注册证/说明书中明确标注“允许使用第三方耗材”，并需提供《兼容性验证报告》，以确保所支持的耗材与设备兼容性测试结果满足设备制造商的技术标准。</w:t>
            </w:r>
          </w:p>
        </w:tc>
      </w:tr>
      <w:tr w14:paraId="4AE8F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9410" w:type="dxa"/>
            <w:gridSpan w:val="4"/>
            <w:tcBorders>
              <w:top w:val="single" w:color="auto" w:sz="4" w:space="0"/>
              <w:bottom w:val="single" w:color="auto" w:sz="4" w:space="0"/>
            </w:tcBorders>
            <w:vAlign w:val="center"/>
          </w:tcPr>
          <w:p w14:paraId="2243FA54">
            <w:pPr>
              <w:spacing w:line="360" w:lineRule="exact"/>
              <w:textAlignment w:val="center"/>
              <w:rPr>
                <w:rFonts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rPr>
              <w:t>二、</w:t>
            </w:r>
            <w:r>
              <w:rPr>
                <w:rFonts w:hint="eastAsia" w:asciiTheme="minorEastAsia" w:hAnsiTheme="minorEastAsia" w:eastAsiaTheme="minorEastAsia"/>
                <w:b/>
                <w:color w:val="auto"/>
                <w:szCs w:val="21"/>
                <w:highlight w:val="none"/>
              </w:rPr>
              <w:t>商务要求表</w:t>
            </w:r>
          </w:p>
        </w:tc>
      </w:tr>
      <w:tr w14:paraId="2C2B6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1889" w:type="dxa"/>
            <w:gridSpan w:val="2"/>
            <w:tcBorders>
              <w:top w:val="single" w:color="auto" w:sz="4" w:space="0"/>
              <w:bottom w:val="single" w:color="auto" w:sz="4" w:space="0"/>
              <w:right w:val="single" w:color="auto" w:sz="4" w:space="0"/>
            </w:tcBorders>
          </w:tcPr>
          <w:p w14:paraId="57CAA050">
            <w:pPr>
              <w:pStyle w:val="54"/>
              <w:spacing w:before="34" w:line="229" w:lineRule="auto"/>
              <w:ind w:left="117"/>
              <w:rPr>
                <w:rFonts w:asciiTheme="minorEastAsia" w:hAnsiTheme="minorEastAsia" w:eastAsiaTheme="minorEastAsia"/>
                <w:color w:val="auto"/>
                <w:sz w:val="21"/>
                <w:szCs w:val="21"/>
                <w:highlight w:val="none"/>
              </w:rPr>
            </w:pPr>
            <w:r>
              <w:rPr>
                <w:color w:val="auto"/>
                <w:spacing w:val="7"/>
                <w:sz w:val="21"/>
                <w:szCs w:val="21"/>
                <w:highlight w:val="none"/>
              </w:rPr>
              <w:t>合同签订期</w:t>
            </w:r>
          </w:p>
        </w:tc>
        <w:tc>
          <w:tcPr>
            <w:tcW w:w="7521" w:type="dxa"/>
            <w:gridSpan w:val="2"/>
            <w:tcBorders>
              <w:top w:val="single" w:color="auto" w:sz="4" w:space="0"/>
              <w:left w:val="single" w:color="auto" w:sz="4" w:space="0"/>
              <w:bottom w:val="single" w:color="auto" w:sz="4" w:space="0"/>
            </w:tcBorders>
          </w:tcPr>
          <w:p w14:paraId="1D92EA45">
            <w:pPr>
              <w:pStyle w:val="54"/>
              <w:spacing w:before="34" w:line="233" w:lineRule="auto"/>
              <w:ind w:left="113" w:right="156" w:firstLine="33"/>
              <w:rPr>
                <w:rFonts w:cs="Courier New" w:asciiTheme="minorEastAsia" w:hAnsiTheme="minorEastAsia" w:eastAsiaTheme="minorEastAsia"/>
                <w:color w:val="auto"/>
                <w:sz w:val="21"/>
                <w:szCs w:val="21"/>
                <w:highlight w:val="none"/>
              </w:rPr>
            </w:pPr>
            <w:r>
              <w:rPr>
                <w:color w:val="auto"/>
                <w:spacing w:val="6"/>
                <w:sz w:val="21"/>
                <w:szCs w:val="21"/>
                <w:highlight w:val="none"/>
              </w:rPr>
              <w:t>自中标通知书发出之日起25日历日内(注：中标通知书发出之</w:t>
            </w:r>
            <w:r>
              <w:rPr>
                <w:color w:val="auto"/>
                <w:spacing w:val="5"/>
                <w:sz w:val="21"/>
                <w:szCs w:val="21"/>
                <w:highlight w:val="none"/>
              </w:rPr>
              <w:t>日起25日内必须签订</w:t>
            </w:r>
            <w:r>
              <w:rPr>
                <w:color w:val="auto"/>
                <w:spacing w:val="7"/>
                <w:sz w:val="21"/>
                <w:szCs w:val="21"/>
                <w:highlight w:val="none"/>
              </w:rPr>
              <w:t>合同。)</w:t>
            </w:r>
          </w:p>
        </w:tc>
      </w:tr>
      <w:tr w14:paraId="2F329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889" w:type="dxa"/>
            <w:gridSpan w:val="2"/>
            <w:tcBorders>
              <w:top w:val="single" w:color="auto" w:sz="4" w:space="0"/>
              <w:bottom w:val="single" w:color="auto" w:sz="4" w:space="0"/>
              <w:right w:val="single" w:color="auto" w:sz="4" w:space="0"/>
            </w:tcBorders>
          </w:tcPr>
          <w:p w14:paraId="6316699E">
            <w:pPr>
              <w:pStyle w:val="54"/>
              <w:spacing w:before="36" w:line="232" w:lineRule="auto"/>
              <w:ind w:left="120" w:right="170"/>
              <w:rPr>
                <w:rFonts w:asciiTheme="minorEastAsia" w:hAnsiTheme="minorEastAsia" w:eastAsiaTheme="minorEastAsia"/>
                <w:color w:val="auto"/>
                <w:sz w:val="21"/>
                <w:szCs w:val="21"/>
                <w:highlight w:val="none"/>
              </w:rPr>
            </w:pPr>
            <w:r>
              <w:rPr>
                <w:color w:val="auto"/>
                <w:spacing w:val="7"/>
                <w:sz w:val="21"/>
                <w:szCs w:val="21"/>
                <w:highlight w:val="none"/>
              </w:rPr>
              <w:t>交付时间及交</w:t>
            </w:r>
            <w:r>
              <w:rPr>
                <w:color w:val="auto"/>
                <w:spacing w:val="5"/>
                <w:sz w:val="21"/>
                <w:szCs w:val="21"/>
                <w:highlight w:val="none"/>
              </w:rPr>
              <w:t>货地点</w:t>
            </w:r>
          </w:p>
        </w:tc>
        <w:tc>
          <w:tcPr>
            <w:tcW w:w="7521" w:type="dxa"/>
            <w:gridSpan w:val="2"/>
            <w:tcBorders>
              <w:top w:val="single" w:color="auto" w:sz="4" w:space="0"/>
              <w:left w:val="single" w:color="auto" w:sz="4" w:space="0"/>
              <w:bottom w:val="single" w:color="auto" w:sz="4" w:space="0"/>
            </w:tcBorders>
          </w:tcPr>
          <w:p w14:paraId="7DCCC161">
            <w:pPr>
              <w:pStyle w:val="54"/>
              <w:spacing w:before="34" w:line="228" w:lineRule="auto"/>
              <w:ind w:left="117"/>
              <w:rPr>
                <w:color w:val="auto"/>
                <w:sz w:val="21"/>
                <w:szCs w:val="21"/>
                <w:highlight w:val="none"/>
              </w:rPr>
            </w:pPr>
            <w:r>
              <w:rPr>
                <w:color w:val="auto"/>
                <w:spacing w:val="7"/>
                <w:sz w:val="21"/>
                <w:szCs w:val="21"/>
                <w:highlight w:val="none"/>
              </w:rPr>
              <w:t>交付时间：自合同签订之日起30天内交货并</w:t>
            </w:r>
            <w:r>
              <w:rPr>
                <w:color w:val="auto"/>
                <w:spacing w:val="6"/>
                <w:sz w:val="21"/>
                <w:szCs w:val="21"/>
                <w:highlight w:val="none"/>
              </w:rPr>
              <w:t>安装调试合格。</w:t>
            </w:r>
          </w:p>
          <w:p w14:paraId="39B89C59">
            <w:pPr>
              <w:pStyle w:val="54"/>
              <w:spacing w:before="24" w:line="215" w:lineRule="auto"/>
              <w:ind w:left="117"/>
              <w:rPr>
                <w:rFonts w:asciiTheme="minorEastAsia" w:hAnsiTheme="minorEastAsia" w:eastAsiaTheme="minorEastAsia"/>
                <w:color w:val="auto"/>
                <w:sz w:val="21"/>
                <w:szCs w:val="21"/>
                <w:highlight w:val="none"/>
              </w:rPr>
            </w:pPr>
            <w:r>
              <w:rPr>
                <w:color w:val="auto"/>
                <w:spacing w:val="8"/>
                <w:sz w:val="21"/>
                <w:szCs w:val="21"/>
                <w:highlight w:val="none"/>
              </w:rPr>
              <w:t>交货地点：采购人指定地点</w:t>
            </w:r>
          </w:p>
        </w:tc>
      </w:tr>
      <w:tr w14:paraId="5B550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tcPr>
          <w:p w14:paraId="52F51273">
            <w:pPr>
              <w:spacing w:line="286" w:lineRule="auto"/>
              <w:rPr>
                <w:rFonts w:ascii="Arial"/>
                <w:color w:val="auto"/>
                <w:szCs w:val="21"/>
                <w:highlight w:val="none"/>
              </w:rPr>
            </w:pPr>
          </w:p>
          <w:p w14:paraId="2BA00B96">
            <w:pPr>
              <w:spacing w:line="287" w:lineRule="auto"/>
              <w:rPr>
                <w:rFonts w:ascii="Arial"/>
                <w:color w:val="auto"/>
                <w:szCs w:val="21"/>
                <w:highlight w:val="none"/>
              </w:rPr>
            </w:pPr>
          </w:p>
          <w:p w14:paraId="2A24E922">
            <w:pPr>
              <w:spacing w:line="287" w:lineRule="auto"/>
              <w:rPr>
                <w:rFonts w:ascii="Arial"/>
                <w:color w:val="auto"/>
                <w:szCs w:val="21"/>
                <w:highlight w:val="none"/>
              </w:rPr>
            </w:pPr>
          </w:p>
          <w:p w14:paraId="56E36C5C">
            <w:pPr>
              <w:pStyle w:val="54"/>
              <w:spacing w:before="65" w:line="229" w:lineRule="auto"/>
              <w:ind w:left="117"/>
              <w:rPr>
                <w:rFonts w:asciiTheme="minorEastAsia" w:hAnsiTheme="minorEastAsia" w:eastAsiaTheme="minorEastAsia"/>
                <w:color w:val="auto"/>
                <w:sz w:val="21"/>
                <w:szCs w:val="21"/>
                <w:highlight w:val="none"/>
              </w:rPr>
            </w:pPr>
            <w:r>
              <w:rPr>
                <w:color w:val="auto"/>
                <w:spacing w:val="6"/>
                <w:sz w:val="21"/>
                <w:szCs w:val="21"/>
                <w:highlight w:val="none"/>
              </w:rPr>
              <w:t>质保期</w:t>
            </w:r>
          </w:p>
        </w:tc>
        <w:tc>
          <w:tcPr>
            <w:tcW w:w="7521" w:type="dxa"/>
            <w:gridSpan w:val="2"/>
            <w:tcBorders>
              <w:top w:val="single" w:color="auto" w:sz="4" w:space="0"/>
              <w:left w:val="single" w:color="auto" w:sz="4" w:space="0"/>
              <w:bottom w:val="single" w:color="auto" w:sz="4" w:space="0"/>
            </w:tcBorders>
          </w:tcPr>
          <w:p w14:paraId="6E5F057D">
            <w:pPr>
              <w:pStyle w:val="54"/>
              <w:spacing w:before="34" w:line="247" w:lineRule="auto"/>
              <w:ind w:left="112" w:right="153" w:firstLine="15"/>
              <w:rPr>
                <w:color w:val="auto"/>
                <w:sz w:val="21"/>
                <w:szCs w:val="21"/>
                <w:highlight w:val="none"/>
              </w:rPr>
            </w:pPr>
            <w:r>
              <w:rPr>
                <w:color w:val="auto"/>
                <w:spacing w:val="8"/>
                <w:sz w:val="21"/>
                <w:szCs w:val="21"/>
                <w:highlight w:val="none"/>
              </w:rPr>
              <w:t>1.所有投标设备必须是具备厂商合法渠道的全新产品，按国家有关产品“三包”规定</w:t>
            </w:r>
            <w:r>
              <w:rPr>
                <w:color w:val="auto"/>
                <w:spacing w:val="7"/>
                <w:sz w:val="21"/>
                <w:szCs w:val="21"/>
                <w:highlight w:val="none"/>
              </w:rPr>
              <w:t>执行“三包”，自交货安装并验收合格之日起，</w:t>
            </w:r>
            <w:r>
              <w:rPr>
                <w:rFonts w:hint="eastAsia"/>
                <w:color w:val="auto"/>
                <w:spacing w:val="7"/>
                <w:sz w:val="21"/>
                <w:szCs w:val="21"/>
                <w:highlight w:val="none"/>
                <w:lang w:eastAsia="zh-CN"/>
              </w:rPr>
              <w:t>第一项</w:t>
            </w:r>
            <w:r>
              <w:rPr>
                <w:color w:val="auto"/>
                <w:spacing w:val="7"/>
                <w:sz w:val="21"/>
                <w:szCs w:val="21"/>
                <w:highlight w:val="none"/>
              </w:rPr>
              <w:t>货物</w:t>
            </w:r>
            <w:r>
              <w:rPr>
                <w:rFonts w:hint="eastAsia"/>
                <w:color w:val="auto"/>
                <w:spacing w:val="7"/>
                <w:sz w:val="21"/>
                <w:szCs w:val="21"/>
                <w:highlight w:val="none"/>
                <w:lang w:eastAsia="zh-CN"/>
              </w:rPr>
              <w:t>（胰岛素泵）</w:t>
            </w:r>
            <w:r>
              <w:rPr>
                <w:color w:val="auto"/>
                <w:spacing w:val="7"/>
                <w:sz w:val="21"/>
                <w:szCs w:val="21"/>
                <w:highlight w:val="none"/>
              </w:rPr>
              <w:t>提供至少1年的免费质保(</w:t>
            </w:r>
            <w:r>
              <w:rPr>
                <w:color w:val="auto"/>
                <w:spacing w:val="10"/>
                <w:sz w:val="21"/>
                <w:szCs w:val="21"/>
                <w:highlight w:val="none"/>
              </w:rPr>
              <w:t>若生产厂商免费质保期超过此年限的，按生产厂商规</w:t>
            </w:r>
            <w:r>
              <w:rPr>
                <w:color w:val="auto"/>
                <w:spacing w:val="9"/>
                <w:sz w:val="21"/>
                <w:szCs w:val="21"/>
                <w:highlight w:val="none"/>
              </w:rPr>
              <w:t>定执行)及免费维修服务，质保期</w:t>
            </w:r>
            <w:r>
              <w:rPr>
                <w:color w:val="auto"/>
                <w:spacing w:val="10"/>
                <w:sz w:val="21"/>
                <w:szCs w:val="21"/>
                <w:highlight w:val="none"/>
              </w:rPr>
              <w:t>内，中标人将负责处理并解决故障，并免费更换有故障的零</w:t>
            </w:r>
            <w:r>
              <w:rPr>
                <w:color w:val="auto"/>
                <w:spacing w:val="9"/>
                <w:sz w:val="21"/>
                <w:szCs w:val="21"/>
                <w:highlight w:val="none"/>
              </w:rPr>
              <w:t>、部件，一切费用由中标人负责。终身提供维修服务，质保期外维修只收材料成本费。</w:t>
            </w:r>
          </w:p>
          <w:p w14:paraId="05F2846D">
            <w:pPr>
              <w:pStyle w:val="54"/>
              <w:spacing w:before="24"/>
              <w:ind w:left="136" w:right="152" w:hanging="21"/>
              <w:rPr>
                <w:rFonts w:asciiTheme="minorEastAsia" w:hAnsiTheme="minorEastAsia"/>
                <w:color w:val="auto"/>
                <w:sz w:val="21"/>
                <w:szCs w:val="21"/>
                <w:highlight w:val="none"/>
                <w:lang w:eastAsia="zh-CN"/>
              </w:rPr>
            </w:pPr>
            <w:r>
              <w:rPr>
                <w:color w:val="auto"/>
                <w:spacing w:val="9"/>
                <w:sz w:val="21"/>
                <w:szCs w:val="21"/>
                <w:highlight w:val="none"/>
              </w:rPr>
              <w:t>2.质保内容:质保整机(整台、整套)，质保期内保证设备的合法性使用，国家强制检测由中标人负责，保质期内的质量责任由中标人承担；</w:t>
            </w:r>
            <w:r>
              <w:rPr>
                <w:rFonts w:hint="eastAsia"/>
                <w:color w:val="auto"/>
                <w:spacing w:val="9"/>
                <w:sz w:val="21"/>
                <w:szCs w:val="21"/>
                <w:highlight w:val="none"/>
                <w:lang w:eastAsia="zh-CN"/>
              </w:rPr>
              <w:t>质保期内保证所保设备全年工作日的开机率至少达到95%，全年工作日按照365天计算，未达到的天数，按1:2比例顺延服务期时间。</w:t>
            </w:r>
          </w:p>
        </w:tc>
      </w:tr>
      <w:tr w14:paraId="116E6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tcPr>
          <w:p w14:paraId="1245C82F">
            <w:pPr>
              <w:rPr>
                <w:rFonts w:ascii="Arial"/>
                <w:color w:val="auto"/>
                <w:szCs w:val="21"/>
                <w:highlight w:val="none"/>
              </w:rPr>
            </w:pPr>
          </w:p>
          <w:p w14:paraId="7C8183E3">
            <w:pPr>
              <w:rPr>
                <w:rFonts w:ascii="Arial"/>
                <w:color w:val="auto"/>
                <w:szCs w:val="21"/>
                <w:highlight w:val="none"/>
              </w:rPr>
            </w:pPr>
          </w:p>
          <w:p w14:paraId="794A9DC4">
            <w:pPr>
              <w:rPr>
                <w:rFonts w:ascii="Arial"/>
                <w:color w:val="auto"/>
                <w:szCs w:val="21"/>
                <w:highlight w:val="none"/>
              </w:rPr>
            </w:pPr>
          </w:p>
          <w:p w14:paraId="2BFA8C9E">
            <w:pPr>
              <w:spacing w:line="241" w:lineRule="auto"/>
              <w:rPr>
                <w:rFonts w:ascii="Arial"/>
                <w:color w:val="auto"/>
                <w:szCs w:val="21"/>
                <w:highlight w:val="none"/>
              </w:rPr>
            </w:pPr>
          </w:p>
          <w:p w14:paraId="45A554BF">
            <w:pPr>
              <w:spacing w:line="241" w:lineRule="auto"/>
              <w:rPr>
                <w:rFonts w:ascii="Arial"/>
                <w:color w:val="auto"/>
                <w:szCs w:val="21"/>
                <w:highlight w:val="none"/>
              </w:rPr>
            </w:pPr>
          </w:p>
          <w:p w14:paraId="540FD403">
            <w:pPr>
              <w:spacing w:line="241" w:lineRule="auto"/>
              <w:rPr>
                <w:rFonts w:ascii="Arial"/>
                <w:color w:val="auto"/>
                <w:szCs w:val="21"/>
                <w:highlight w:val="none"/>
              </w:rPr>
            </w:pPr>
          </w:p>
          <w:p w14:paraId="026973F4">
            <w:pPr>
              <w:spacing w:line="241" w:lineRule="auto"/>
              <w:rPr>
                <w:rFonts w:ascii="Arial"/>
                <w:color w:val="auto"/>
                <w:szCs w:val="21"/>
                <w:highlight w:val="none"/>
              </w:rPr>
            </w:pPr>
          </w:p>
          <w:p w14:paraId="0C42C7E7">
            <w:pPr>
              <w:spacing w:line="241" w:lineRule="auto"/>
              <w:rPr>
                <w:rFonts w:ascii="Arial"/>
                <w:color w:val="auto"/>
                <w:szCs w:val="21"/>
                <w:highlight w:val="none"/>
              </w:rPr>
            </w:pPr>
          </w:p>
          <w:p w14:paraId="08F31F79">
            <w:pPr>
              <w:spacing w:line="241" w:lineRule="auto"/>
              <w:rPr>
                <w:rFonts w:ascii="Arial"/>
                <w:color w:val="auto"/>
                <w:szCs w:val="21"/>
                <w:highlight w:val="none"/>
              </w:rPr>
            </w:pPr>
          </w:p>
          <w:p w14:paraId="3A16046F">
            <w:pPr>
              <w:spacing w:line="241" w:lineRule="auto"/>
              <w:rPr>
                <w:rFonts w:ascii="Arial"/>
                <w:color w:val="auto"/>
                <w:szCs w:val="21"/>
                <w:highlight w:val="none"/>
              </w:rPr>
            </w:pPr>
          </w:p>
          <w:p w14:paraId="478A391E">
            <w:pPr>
              <w:pStyle w:val="54"/>
              <w:spacing w:before="65"/>
              <w:ind w:left="115" w:right="171"/>
              <w:rPr>
                <w:rFonts w:asciiTheme="minorEastAsia" w:hAnsiTheme="minorEastAsia" w:eastAsiaTheme="minorEastAsia"/>
                <w:color w:val="auto"/>
                <w:sz w:val="21"/>
                <w:szCs w:val="21"/>
                <w:highlight w:val="none"/>
              </w:rPr>
            </w:pPr>
            <w:r>
              <w:rPr>
                <w:color w:val="auto"/>
                <w:spacing w:val="8"/>
                <w:sz w:val="21"/>
                <w:szCs w:val="21"/>
                <w:highlight w:val="none"/>
              </w:rPr>
              <w:t>售后服务要求及培训要求</w:t>
            </w:r>
          </w:p>
        </w:tc>
        <w:tc>
          <w:tcPr>
            <w:tcW w:w="7521" w:type="dxa"/>
            <w:gridSpan w:val="2"/>
            <w:tcBorders>
              <w:top w:val="single" w:color="auto" w:sz="4" w:space="0"/>
              <w:left w:val="single" w:color="auto" w:sz="4" w:space="0"/>
              <w:bottom w:val="single" w:color="auto" w:sz="4" w:space="0"/>
            </w:tcBorders>
          </w:tcPr>
          <w:p w14:paraId="2789E329">
            <w:pPr>
              <w:pStyle w:val="54"/>
              <w:spacing w:before="37" w:line="239" w:lineRule="auto"/>
              <w:ind w:left="111" w:right="261" w:firstLine="15"/>
              <w:rPr>
                <w:color w:val="auto"/>
                <w:sz w:val="21"/>
                <w:szCs w:val="21"/>
                <w:highlight w:val="none"/>
              </w:rPr>
            </w:pPr>
            <w:r>
              <w:rPr>
                <w:color w:val="auto"/>
                <w:spacing w:val="9"/>
                <w:sz w:val="21"/>
                <w:szCs w:val="21"/>
                <w:highlight w:val="none"/>
              </w:rPr>
              <w:t>1.</w:t>
            </w:r>
            <w:r>
              <w:rPr>
                <w:rFonts w:hint="eastAsia"/>
                <w:color w:val="auto"/>
                <w:spacing w:val="9"/>
                <w:sz w:val="21"/>
                <w:szCs w:val="21"/>
                <w:highlight w:val="none"/>
                <w:lang w:eastAsia="zh-CN"/>
              </w:rPr>
              <w:t>供应商负责货物运输、保险及卸货至采购人指定地点，提供上门安装调试服务，且不得额外收取运输、安装、调试等任何费用。采购人需要设备开放数据端口接入业务系统时</w:t>
            </w:r>
            <w:r>
              <w:rPr>
                <w:color w:val="auto"/>
                <w:spacing w:val="9"/>
                <w:sz w:val="21"/>
                <w:szCs w:val="21"/>
                <w:highlight w:val="none"/>
              </w:rPr>
              <w:t>，中标供</w:t>
            </w:r>
            <w:r>
              <w:rPr>
                <w:color w:val="auto"/>
                <w:spacing w:val="8"/>
                <w:sz w:val="21"/>
                <w:szCs w:val="21"/>
                <w:highlight w:val="none"/>
              </w:rPr>
              <w:t>应商无条件配合并承担相应接口费用。</w:t>
            </w:r>
          </w:p>
          <w:p w14:paraId="33E04B85">
            <w:pPr>
              <w:pStyle w:val="54"/>
              <w:spacing w:before="24"/>
              <w:ind w:left="114" w:right="259"/>
              <w:rPr>
                <w:color w:val="auto"/>
                <w:sz w:val="21"/>
                <w:szCs w:val="21"/>
                <w:highlight w:val="none"/>
              </w:rPr>
            </w:pPr>
            <w:r>
              <w:rPr>
                <w:color w:val="auto"/>
                <w:spacing w:val="11"/>
                <w:sz w:val="21"/>
                <w:szCs w:val="21"/>
                <w:highlight w:val="none"/>
              </w:rPr>
              <w:t>2.如医院有需求，中标公司负责向该产品接入医院的</w:t>
            </w:r>
            <w:r>
              <w:rPr>
                <w:color w:val="auto"/>
                <w:sz w:val="21"/>
                <w:szCs w:val="21"/>
                <w:highlight w:val="none"/>
              </w:rPr>
              <w:t>HIS</w:t>
            </w:r>
            <w:r>
              <w:rPr>
                <w:color w:val="auto"/>
                <w:spacing w:val="11"/>
                <w:sz w:val="21"/>
                <w:szCs w:val="21"/>
                <w:highlight w:val="none"/>
              </w:rPr>
              <w:t>系统，</w:t>
            </w:r>
            <w:r>
              <w:rPr>
                <w:color w:val="auto"/>
                <w:sz w:val="21"/>
                <w:szCs w:val="21"/>
                <w:highlight w:val="none"/>
              </w:rPr>
              <w:t>LIS</w:t>
            </w:r>
            <w:r>
              <w:rPr>
                <w:color w:val="auto"/>
                <w:spacing w:val="10"/>
                <w:sz w:val="21"/>
                <w:szCs w:val="21"/>
                <w:highlight w:val="none"/>
              </w:rPr>
              <w:t>系统，</w:t>
            </w:r>
            <w:r>
              <w:rPr>
                <w:color w:val="auto"/>
                <w:sz w:val="21"/>
                <w:szCs w:val="21"/>
                <w:highlight w:val="none"/>
              </w:rPr>
              <w:t>PASS</w:t>
            </w:r>
            <w:r>
              <w:rPr>
                <w:color w:val="auto"/>
                <w:spacing w:val="10"/>
                <w:sz w:val="21"/>
                <w:szCs w:val="21"/>
                <w:highlight w:val="none"/>
              </w:rPr>
              <w:t>系统的</w:t>
            </w:r>
            <w:r>
              <w:rPr>
                <w:color w:val="auto"/>
                <w:spacing w:val="8"/>
                <w:sz w:val="21"/>
                <w:szCs w:val="21"/>
                <w:highlight w:val="none"/>
              </w:rPr>
              <w:t>厂家支付接口技术服务费。单向费用8000元/台，双向费用1600</w:t>
            </w:r>
            <w:r>
              <w:rPr>
                <w:color w:val="auto"/>
                <w:spacing w:val="7"/>
                <w:sz w:val="21"/>
                <w:szCs w:val="21"/>
                <w:highlight w:val="none"/>
              </w:rPr>
              <w:t>0元/台。</w:t>
            </w:r>
          </w:p>
          <w:p w14:paraId="0C0BF9E6">
            <w:pPr>
              <w:pStyle w:val="54"/>
              <w:spacing w:before="22" w:line="245" w:lineRule="auto"/>
              <w:ind w:left="111" w:right="156" w:firstLine="4"/>
              <w:rPr>
                <w:color w:val="auto"/>
                <w:sz w:val="21"/>
                <w:szCs w:val="21"/>
                <w:highlight w:val="none"/>
              </w:rPr>
            </w:pPr>
            <w:r>
              <w:rPr>
                <w:color w:val="auto"/>
                <w:spacing w:val="9"/>
                <w:sz w:val="21"/>
                <w:szCs w:val="21"/>
                <w:highlight w:val="none"/>
              </w:rPr>
              <w:t>3.维修响应:在设备整个使用期内，投标人应确保设备的正常使用，</w:t>
            </w:r>
            <w:r>
              <w:rPr>
                <w:rFonts w:hint="eastAsia"/>
                <w:color w:val="auto"/>
                <w:spacing w:val="9"/>
                <w:sz w:val="21"/>
                <w:szCs w:val="21"/>
                <w:highlight w:val="none"/>
              </w:rPr>
              <w:t>在接到用户维修要求后应2小时内作出回应</w:t>
            </w:r>
            <w:r>
              <w:rPr>
                <w:color w:val="auto"/>
                <w:spacing w:val="8"/>
                <w:sz w:val="21"/>
                <w:szCs w:val="21"/>
                <w:highlight w:val="none"/>
              </w:rPr>
              <w:t>，在接到报修通知后12小时内派技术员到达现场维修(</w:t>
            </w:r>
            <w:r>
              <w:rPr>
                <w:rFonts w:hint="eastAsia"/>
                <w:color w:val="auto"/>
                <w:spacing w:val="8"/>
                <w:sz w:val="21"/>
                <w:szCs w:val="21"/>
                <w:highlight w:val="none"/>
                <w:lang w:eastAsia="zh-CN"/>
              </w:rPr>
              <w:t>单个设备有特殊要求的或不可抗力情形除外</w:t>
            </w:r>
            <w:r>
              <w:rPr>
                <w:color w:val="auto"/>
                <w:spacing w:val="9"/>
                <w:sz w:val="21"/>
                <w:szCs w:val="21"/>
                <w:highlight w:val="none"/>
              </w:rPr>
              <w:t>)，一般故障不超过12小时排除，重大故障</w:t>
            </w:r>
            <w:r>
              <w:rPr>
                <w:color w:val="auto"/>
                <w:spacing w:val="8"/>
                <w:sz w:val="21"/>
                <w:szCs w:val="21"/>
                <w:highlight w:val="none"/>
              </w:rPr>
              <w:t>不超过24个小时排除，特殊</w:t>
            </w:r>
            <w:r>
              <w:rPr>
                <w:color w:val="auto"/>
                <w:spacing w:val="10"/>
                <w:sz w:val="21"/>
                <w:szCs w:val="21"/>
                <w:highlight w:val="none"/>
              </w:rPr>
              <w:t>情况无法修复的，质保期内中标供应商应无条件更换新设备或提</w:t>
            </w:r>
            <w:r>
              <w:rPr>
                <w:color w:val="auto"/>
                <w:spacing w:val="9"/>
                <w:sz w:val="21"/>
                <w:szCs w:val="21"/>
                <w:highlight w:val="none"/>
              </w:rPr>
              <w:t>供代用设备；或采取</w:t>
            </w:r>
            <w:r>
              <w:rPr>
                <w:color w:val="auto"/>
                <w:spacing w:val="8"/>
                <w:sz w:val="21"/>
                <w:szCs w:val="21"/>
                <w:highlight w:val="none"/>
              </w:rPr>
              <w:t>使设备可正常运转的措施。投标人应提供7*24通过远程、上门服务、电话、E-</w:t>
            </w:r>
            <w:r>
              <w:rPr>
                <w:color w:val="auto"/>
                <w:sz w:val="21"/>
                <w:szCs w:val="21"/>
                <w:highlight w:val="none"/>
              </w:rPr>
              <w:t>mail</w:t>
            </w:r>
            <w:r>
              <w:rPr>
                <w:color w:val="auto"/>
                <w:spacing w:val="10"/>
                <w:sz w:val="21"/>
                <w:szCs w:val="21"/>
                <w:highlight w:val="none"/>
              </w:rPr>
              <w:t>等方式为用户提供终身完善的售前和售后技术咨询服务。</w:t>
            </w:r>
            <w:r>
              <w:rPr>
                <w:color w:val="auto"/>
                <w:spacing w:val="9"/>
                <w:sz w:val="21"/>
                <w:szCs w:val="21"/>
                <w:highlight w:val="none"/>
              </w:rPr>
              <w:t>质保期内定期对设备进行免费保养和维护，每季度不少于1次定期回访及对系统进行维护。提供终身有偿维护和</w:t>
            </w:r>
            <w:r>
              <w:rPr>
                <w:color w:val="auto"/>
                <w:spacing w:val="10"/>
                <w:sz w:val="21"/>
                <w:szCs w:val="21"/>
                <w:highlight w:val="none"/>
              </w:rPr>
              <w:t>保养服务。投标人必须设有针对本项目的售后服务点，保</w:t>
            </w:r>
            <w:r>
              <w:rPr>
                <w:color w:val="auto"/>
                <w:spacing w:val="9"/>
                <w:sz w:val="21"/>
                <w:szCs w:val="21"/>
                <w:highlight w:val="none"/>
              </w:rPr>
              <w:t>证长期良好的售后服务，并列出售后服务点的详细地址、联系电话及技术服务人员。</w:t>
            </w:r>
          </w:p>
          <w:p w14:paraId="1A3FAD4C">
            <w:pPr>
              <w:pStyle w:val="54"/>
              <w:spacing w:before="26" w:line="244" w:lineRule="auto"/>
              <w:ind w:left="112" w:right="258" w:hanging="1"/>
              <w:rPr>
                <w:color w:val="auto"/>
                <w:sz w:val="21"/>
                <w:szCs w:val="21"/>
                <w:highlight w:val="none"/>
              </w:rPr>
            </w:pPr>
            <w:r>
              <w:rPr>
                <w:color w:val="auto"/>
                <w:spacing w:val="7"/>
                <w:sz w:val="21"/>
                <w:szCs w:val="21"/>
                <w:highlight w:val="none"/>
              </w:rPr>
              <w:t>4.保修期要求为至少1年，生产厂商有承诺的按生产厂商承诺执行(但不低于1年,</w:t>
            </w:r>
            <w:r>
              <w:rPr>
                <w:color w:val="auto"/>
                <w:spacing w:val="10"/>
                <w:sz w:val="21"/>
                <w:szCs w:val="21"/>
                <w:highlight w:val="none"/>
              </w:rPr>
              <w:t>保修期过后，须定期上门回访，对设备提供终身维修、维</w:t>
            </w:r>
            <w:r>
              <w:rPr>
                <w:color w:val="auto"/>
                <w:spacing w:val="9"/>
                <w:sz w:val="21"/>
                <w:szCs w:val="21"/>
                <w:highlight w:val="none"/>
              </w:rPr>
              <w:t>护服务，维修只收材料成本</w:t>
            </w:r>
            <w:r>
              <w:rPr>
                <w:color w:val="auto"/>
                <w:sz w:val="21"/>
                <w:szCs w:val="21"/>
                <w:highlight w:val="none"/>
              </w:rPr>
              <w:t>费。</w:t>
            </w:r>
          </w:p>
          <w:p w14:paraId="5C3F2701">
            <w:pPr>
              <w:pStyle w:val="54"/>
              <w:spacing w:before="23" w:line="229" w:lineRule="auto"/>
              <w:ind w:left="116"/>
              <w:rPr>
                <w:color w:val="auto"/>
                <w:sz w:val="21"/>
                <w:szCs w:val="21"/>
                <w:highlight w:val="none"/>
              </w:rPr>
            </w:pPr>
            <w:r>
              <w:rPr>
                <w:color w:val="auto"/>
                <w:spacing w:val="4"/>
                <w:sz w:val="21"/>
                <w:szCs w:val="21"/>
                <w:highlight w:val="none"/>
              </w:rPr>
              <w:t>5.人员培训：</w:t>
            </w:r>
          </w:p>
          <w:p w14:paraId="10DFD253">
            <w:pPr>
              <w:pStyle w:val="54"/>
              <w:spacing w:before="21" w:line="245" w:lineRule="auto"/>
              <w:ind w:left="111" w:right="259" w:firstLine="36"/>
              <w:rPr>
                <w:color w:val="auto"/>
                <w:sz w:val="21"/>
                <w:szCs w:val="21"/>
                <w:highlight w:val="none"/>
              </w:rPr>
            </w:pPr>
            <w:r>
              <w:rPr>
                <w:color w:val="auto"/>
                <w:spacing w:val="8"/>
                <w:sz w:val="21"/>
                <w:szCs w:val="21"/>
                <w:highlight w:val="none"/>
              </w:rPr>
              <w:t>(1)交货时由生产厂商工程技术人员为用户提供使用技术培训，并使操作人员达到能</w:t>
            </w:r>
            <w:r>
              <w:rPr>
                <w:color w:val="auto"/>
                <w:spacing w:val="10"/>
                <w:sz w:val="21"/>
                <w:szCs w:val="21"/>
                <w:highlight w:val="none"/>
              </w:rPr>
              <w:t>独立、熟练操作及维护仪器的程度。使用培训为验收要件之</w:t>
            </w:r>
            <w:r>
              <w:rPr>
                <w:color w:val="auto"/>
                <w:spacing w:val="9"/>
                <w:sz w:val="21"/>
                <w:szCs w:val="21"/>
                <w:highlight w:val="none"/>
              </w:rPr>
              <w:t>一，没有经过培训，视为</w:t>
            </w:r>
            <w:r>
              <w:rPr>
                <w:color w:val="auto"/>
                <w:spacing w:val="7"/>
                <w:sz w:val="21"/>
                <w:szCs w:val="21"/>
                <w:highlight w:val="none"/>
              </w:rPr>
              <w:t>没能完成验收。</w:t>
            </w:r>
          </w:p>
          <w:p w14:paraId="7CE651C4">
            <w:pPr>
              <w:pStyle w:val="54"/>
              <w:spacing w:before="25" w:line="228" w:lineRule="auto"/>
              <w:ind w:left="148"/>
              <w:rPr>
                <w:color w:val="auto"/>
                <w:sz w:val="21"/>
                <w:szCs w:val="21"/>
                <w:highlight w:val="none"/>
              </w:rPr>
            </w:pPr>
            <w:r>
              <w:rPr>
                <w:color w:val="auto"/>
                <w:spacing w:val="7"/>
                <w:sz w:val="21"/>
                <w:szCs w:val="21"/>
                <w:highlight w:val="none"/>
              </w:rPr>
              <w:t>(2)培训对象：使用单位的设备使用人员及维修人员。</w:t>
            </w:r>
          </w:p>
          <w:p w14:paraId="7F8950BC">
            <w:pPr>
              <w:pStyle w:val="54"/>
              <w:spacing w:before="26" w:line="239" w:lineRule="auto"/>
              <w:ind w:left="113" w:right="153" w:firstLine="35"/>
              <w:rPr>
                <w:color w:val="auto"/>
                <w:sz w:val="21"/>
                <w:szCs w:val="21"/>
                <w:highlight w:val="none"/>
              </w:rPr>
            </w:pPr>
            <w:r>
              <w:rPr>
                <w:color w:val="auto"/>
                <w:spacing w:val="8"/>
                <w:sz w:val="21"/>
                <w:szCs w:val="21"/>
                <w:highlight w:val="none"/>
              </w:rPr>
              <w:t>(3)培训形式：现场使用培训方式，安装调试结束后，供方培训工程师对机器正确使</w:t>
            </w:r>
            <w:r>
              <w:rPr>
                <w:color w:val="auto"/>
                <w:spacing w:val="9"/>
                <w:sz w:val="21"/>
                <w:szCs w:val="21"/>
                <w:highlight w:val="none"/>
              </w:rPr>
              <w:t>用方法进行示范操作，保证教会使用人员能正确使用设备。</w:t>
            </w:r>
          </w:p>
          <w:p w14:paraId="2D8D61BE">
            <w:pPr>
              <w:pStyle w:val="54"/>
              <w:spacing w:before="25" w:line="234" w:lineRule="auto"/>
              <w:ind w:left="111" w:right="261" w:firstLine="2"/>
              <w:rPr>
                <w:color w:val="auto"/>
                <w:spacing w:val="9"/>
                <w:sz w:val="21"/>
                <w:szCs w:val="21"/>
                <w:highlight w:val="none"/>
              </w:rPr>
            </w:pPr>
            <w:r>
              <w:rPr>
                <w:color w:val="auto"/>
                <w:spacing w:val="9"/>
                <w:sz w:val="21"/>
                <w:szCs w:val="21"/>
                <w:highlight w:val="none"/>
              </w:rPr>
              <w:t>6.中标供应商供货时每一个产品必须提供详细参数说明书各壹套给采购人存档。否则采购人有权拒绝货物进场，造成的损失由中标人负责。</w:t>
            </w:r>
          </w:p>
          <w:p w14:paraId="5CCC945B">
            <w:pPr>
              <w:pStyle w:val="54"/>
              <w:spacing w:before="25" w:line="234" w:lineRule="auto"/>
              <w:ind w:left="111" w:right="261" w:firstLine="2"/>
              <w:rPr>
                <w:color w:val="auto"/>
                <w:spacing w:val="9"/>
                <w:sz w:val="21"/>
                <w:szCs w:val="21"/>
                <w:highlight w:val="none"/>
                <w:lang w:eastAsia="zh-CN"/>
              </w:rPr>
            </w:pPr>
            <w:r>
              <w:rPr>
                <w:color w:val="auto"/>
                <w:spacing w:val="9"/>
                <w:sz w:val="21"/>
                <w:szCs w:val="21"/>
                <w:highlight w:val="none"/>
                <w:lang w:eastAsia="zh-CN"/>
              </w:rPr>
              <w:t>7.若第</w:t>
            </w:r>
            <w:r>
              <w:rPr>
                <w:rFonts w:hint="eastAsia"/>
                <w:color w:val="auto"/>
                <w:spacing w:val="9"/>
                <w:sz w:val="21"/>
                <w:szCs w:val="21"/>
                <w:highlight w:val="none"/>
                <w:lang w:eastAsia="zh-CN"/>
              </w:rPr>
              <w:t>1</w:t>
            </w:r>
            <w:r>
              <w:rPr>
                <w:color w:val="auto"/>
                <w:spacing w:val="9"/>
                <w:sz w:val="21"/>
                <w:szCs w:val="21"/>
                <w:highlight w:val="none"/>
                <w:lang w:eastAsia="zh-CN"/>
              </w:rPr>
              <w:t>项设备“</w:t>
            </w:r>
            <w:r>
              <w:rPr>
                <w:rFonts w:hint="eastAsia"/>
                <w:color w:val="auto"/>
                <w:spacing w:val="9"/>
                <w:sz w:val="21"/>
                <w:szCs w:val="21"/>
                <w:highlight w:val="none"/>
                <w:lang w:eastAsia="zh-CN"/>
              </w:rPr>
              <w:t>胰岛素泵</w:t>
            </w:r>
            <w:r>
              <w:rPr>
                <w:color w:val="auto"/>
                <w:spacing w:val="9"/>
                <w:sz w:val="21"/>
                <w:szCs w:val="21"/>
                <w:highlight w:val="none"/>
                <w:lang w:eastAsia="zh-CN"/>
              </w:rPr>
              <w:t>”必须</w:t>
            </w:r>
            <w:r>
              <w:rPr>
                <w:rFonts w:hint="eastAsia"/>
                <w:color w:val="auto"/>
                <w:spacing w:val="9"/>
                <w:sz w:val="21"/>
                <w:szCs w:val="21"/>
                <w:highlight w:val="none"/>
                <w:lang w:eastAsia="zh-CN"/>
              </w:rPr>
              <w:t>使用</w:t>
            </w:r>
            <w:r>
              <w:rPr>
                <w:color w:val="auto"/>
                <w:spacing w:val="9"/>
                <w:sz w:val="21"/>
                <w:szCs w:val="21"/>
                <w:highlight w:val="none"/>
                <w:lang w:eastAsia="zh-CN"/>
              </w:rPr>
              <w:t>专机专用耗材，</w:t>
            </w:r>
            <w:r>
              <w:rPr>
                <w:rFonts w:hint="eastAsia"/>
                <w:color w:val="auto"/>
                <w:spacing w:val="9"/>
                <w:sz w:val="21"/>
                <w:szCs w:val="21"/>
                <w:highlight w:val="none"/>
                <w:lang w:eastAsia="zh-CN"/>
              </w:rPr>
              <w:t>供应商需</w:t>
            </w:r>
            <w:r>
              <w:rPr>
                <w:color w:val="auto"/>
                <w:spacing w:val="9"/>
                <w:sz w:val="21"/>
                <w:szCs w:val="21"/>
                <w:highlight w:val="none"/>
                <w:lang w:eastAsia="zh-CN"/>
              </w:rPr>
              <w:t>按投标报价将专机专用耗材同步上架至广西阳光采购网。</w:t>
            </w:r>
          </w:p>
          <w:p w14:paraId="6A34DC7D">
            <w:pPr>
              <w:pStyle w:val="54"/>
              <w:spacing w:before="25" w:line="234" w:lineRule="auto"/>
              <w:ind w:left="111" w:right="261" w:firstLine="2"/>
              <w:rPr>
                <w:color w:val="auto"/>
                <w:spacing w:val="9"/>
                <w:sz w:val="21"/>
                <w:szCs w:val="21"/>
                <w:highlight w:val="none"/>
                <w:lang w:eastAsia="zh-CN"/>
              </w:rPr>
            </w:pPr>
            <w:r>
              <w:rPr>
                <w:color w:val="auto"/>
                <w:spacing w:val="9"/>
                <w:sz w:val="21"/>
                <w:szCs w:val="21"/>
                <w:highlight w:val="none"/>
                <w:lang w:eastAsia="zh-CN"/>
              </w:rPr>
              <w:t>8.若耗材市场普遍降价，同类同质产品耗材价格低于原竞标报价，采购人有权要求</w:t>
            </w:r>
            <w:r>
              <w:rPr>
                <w:rFonts w:hint="eastAsia"/>
                <w:color w:val="auto"/>
                <w:spacing w:val="9"/>
                <w:sz w:val="21"/>
                <w:szCs w:val="21"/>
                <w:highlight w:val="none"/>
                <w:lang w:eastAsia="zh-CN"/>
              </w:rPr>
              <w:t>供应商</w:t>
            </w:r>
            <w:r>
              <w:rPr>
                <w:color w:val="auto"/>
                <w:spacing w:val="9"/>
                <w:sz w:val="21"/>
                <w:szCs w:val="21"/>
                <w:highlight w:val="none"/>
                <w:lang w:eastAsia="zh-CN"/>
              </w:rPr>
              <w:t>同步下调专机专用耗材价格进行供货。</w:t>
            </w:r>
          </w:p>
          <w:p w14:paraId="647AFE11">
            <w:pPr>
              <w:pStyle w:val="54"/>
              <w:spacing w:before="25" w:line="234" w:lineRule="auto"/>
              <w:ind w:left="111" w:right="261" w:firstLine="2"/>
              <w:rPr>
                <w:color w:val="auto"/>
                <w:spacing w:val="9"/>
                <w:sz w:val="21"/>
                <w:szCs w:val="21"/>
                <w:highlight w:val="none"/>
              </w:rPr>
            </w:pPr>
            <w:r>
              <w:rPr>
                <w:color w:val="auto"/>
                <w:spacing w:val="9"/>
                <w:sz w:val="21"/>
                <w:szCs w:val="21"/>
                <w:highlight w:val="none"/>
                <w:lang w:eastAsia="zh-CN"/>
              </w:rPr>
              <w:t>9.</w:t>
            </w:r>
            <w:r>
              <w:rPr>
                <w:rFonts w:hint="eastAsia"/>
                <w:color w:val="auto"/>
                <w:spacing w:val="9"/>
                <w:sz w:val="21"/>
                <w:szCs w:val="21"/>
                <w:highlight w:val="none"/>
                <w:lang w:eastAsia="zh-CN"/>
              </w:rPr>
              <w:t>若专机专用</w:t>
            </w:r>
            <w:r>
              <w:rPr>
                <w:color w:val="auto"/>
                <w:spacing w:val="9"/>
                <w:sz w:val="21"/>
                <w:szCs w:val="21"/>
                <w:highlight w:val="none"/>
                <w:lang w:eastAsia="zh-CN"/>
              </w:rPr>
              <w:t>耗材</w:t>
            </w:r>
            <w:r>
              <w:rPr>
                <w:rFonts w:hint="eastAsia"/>
                <w:color w:val="auto"/>
                <w:spacing w:val="9"/>
                <w:sz w:val="21"/>
                <w:szCs w:val="21"/>
                <w:highlight w:val="none"/>
                <w:lang w:eastAsia="zh-CN"/>
              </w:rPr>
              <w:t>，供应商或产品制造商需承诺在</w:t>
            </w:r>
            <w:r>
              <w:rPr>
                <w:color w:val="auto"/>
                <w:spacing w:val="9"/>
                <w:sz w:val="21"/>
                <w:szCs w:val="21"/>
                <w:highlight w:val="none"/>
                <w:lang w:eastAsia="zh-CN"/>
              </w:rPr>
              <w:t>停产前12个月</w:t>
            </w:r>
            <w:r>
              <w:rPr>
                <w:rFonts w:hint="eastAsia"/>
                <w:color w:val="auto"/>
                <w:spacing w:val="9"/>
                <w:sz w:val="21"/>
                <w:szCs w:val="21"/>
                <w:highlight w:val="none"/>
                <w:lang w:eastAsia="zh-CN"/>
              </w:rPr>
              <w:t>，</w:t>
            </w:r>
            <w:r>
              <w:rPr>
                <w:color w:val="auto"/>
                <w:spacing w:val="9"/>
                <w:sz w:val="21"/>
                <w:szCs w:val="21"/>
                <w:highlight w:val="none"/>
                <w:lang w:eastAsia="zh-CN"/>
              </w:rPr>
              <w:t>书面通知采购方，并提供替代方案或设备升级补偿措施。</w:t>
            </w:r>
          </w:p>
        </w:tc>
      </w:tr>
      <w:tr w14:paraId="127EB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tcPr>
          <w:p w14:paraId="1D31BCAC">
            <w:pPr>
              <w:spacing w:line="260" w:lineRule="auto"/>
              <w:rPr>
                <w:rFonts w:ascii="Arial"/>
                <w:color w:val="auto"/>
                <w:szCs w:val="21"/>
                <w:highlight w:val="none"/>
              </w:rPr>
            </w:pPr>
          </w:p>
          <w:p w14:paraId="519F876C">
            <w:pPr>
              <w:spacing w:line="260" w:lineRule="auto"/>
              <w:rPr>
                <w:rFonts w:ascii="Arial"/>
                <w:color w:val="auto"/>
                <w:szCs w:val="21"/>
                <w:highlight w:val="none"/>
              </w:rPr>
            </w:pPr>
          </w:p>
          <w:p w14:paraId="79A9A53C">
            <w:pPr>
              <w:spacing w:line="261" w:lineRule="auto"/>
              <w:rPr>
                <w:rFonts w:ascii="Arial"/>
                <w:color w:val="auto"/>
                <w:szCs w:val="21"/>
                <w:highlight w:val="none"/>
              </w:rPr>
            </w:pPr>
          </w:p>
          <w:p w14:paraId="215A09A5">
            <w:pPr>
              <w:pStyle w:val="54"/>
              <w:spacing w:before="65" w:line="228" w:lineRule="auto"/>
              <w:ind w:left="115"/>
              <w:rPr>
                <w:rFonts w:asciiTheme="minorEastAsia" w:hAnsiTheme="minorEastAsia" w:eastAsiaTheme="minorEastAsia"/>
                <w:color w:val="auto"/>
                <w:sz w:val="21"/>
                <w:szCs w:val="21"/>
                <w:highlight w:val="none"/>
              </w:rPr>
            </w:pPr>
            <w:r>
              <w:rPr>
                <w:color w:val="auto"/>
                <w:spacing w:val="7"/>
                <w:sz w:val="21"/>
                <w:szCs w:val="21"/>
                <w:highlight w:val="none"/>
              </w:rPr>
              <w:t>验收要求</w:t>
            </w:r>
          </w:p>
        </w:tc>
        <w:tc>
          <w:tcPr>
            <w:tcW w:w="7521" w:type="dxa"/>
            <w:gridSpan w:val="2"/>
            <w:tcBorders>
              <w:top w:val="single" w:color="auto" w:sz="4" w:space="0"/>
              <w:left w:val="single" w:color="auto" w:sz="4" w:space="0"/>
              <w:bottom w:val="single" w:color="auto" w:sz="4" w:space="0"/>
            </w:tcBorders>
          </w:tcPr>
          <w:p w14:paraId="4363897F">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rPr>
              <w:t>1.中标供应商交货时，所有产品均严格按签订的采购合同、响应和承诺的技术参数及性能和国家有关标准进行验收，达不到要求的不予验收，视为产品验收不合格，采购单位可解除双方的供货合同。</w:t>
            </w:r>
          </w:p>
          <w:p w14:paraId="7E6A26A3">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rPr>
              <w:t>2.中标供应商所提供的所有设备必须是签订合同之日前</w:t>
            </w:r>
            <w:r>
              <w:rPr>
                <w:rFonts w:hint="eastAsia"/>
                <w:color w:val="auto"/>
                <w:spacing w:val="9"/>
                <w:sz w:val="21"/>
                <w:szCs w:val="21"/>
                <w:highlight w:val="none"/>
                <w:lang w:eastAsia="zh-CN"/>
              </w:rPr>
              <w:t>1</w:t>
            </w:r>
            <w:r>
              <w:rPr>
                <w:rFonts w:hint="eastAsia"/>
                <w:color w:val="auto"/>
                <w:spacing w:val="9"/>
                <w:sz w:val="21"/>
                <w:szCs w:val="21"/>
                <w:highlight w:val="none"/>
              </w:rPr>
              <w:t>年内生产的机型。</w:t>
            </w:r>
          </w:p>
          <w:p w14:paraId="78AF72EF">
            <w:pPr>
              <w:pStyle w:val="54"/>
              <w:spacing w:before="23" w:line="244" w:lineRule="auto"/>
              <w:ind w:left="114" w:right="259" w:firstLine="1"/>
              <w:rPr>
                <w:color w:val="auto"/>
                <w:spacing w:val="9"/>
                <w:sz w:val="21"/>
                <w:szCs w:val="21"/>
                <w:highlight w:val="none"/>
              </w:rPr>
            </w:pPr>
            <w:r>
              <w:rPr>
                <w:rFonts w:hint="eastAsia"/>
                <w:color w:val="auto"/>
                <w:spacing w:val="9"/>
                <w:sz w:val="21"/>
                <w:szCs w:val="21"/>
                <w:highlight w:val="none"/>
                <w:lang w:eastAsia="zh-CN"/>
              </w:rPr>
              <w:t>3.中标供应商所</w:t>
            </w:r>
            <w:r>
              <w:rPr>
                <w:rFonts w:hint="eastAsia"/>
                <w:color w:val="auto"/>
                <w:spacing w:val="9"/>
                <w:sz w:val="21"/>
                <w:szCs w:val="21"/>
                <w:highlight w:val="none"/>
              </w:rPr>
              <w:t>提供的产品必须是具备厂商合法渠道的全新的、完整的、未使用过的产品。</w:t>
            </w:r>
          </w:p>
          <w:p w14:paraId="01C154EC">
            <w:pPr>
              <w:pStyle w:val="54"/>
              <w:spacing w:before="23" w:line="244" w:lineRule="auto"/>
              <w:ind w:left="114" w:right="259" w:firstLine="1"/>
              <w:rPr>
                <w:rFonts w:asciiTheme="minorEastAsia" w:hAnsiTheme="minorEastAsia" w:eastAsiaTheme="minorEastAsia"/>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.所提供产品，如有质量监督、环保等部门要求对产品进行检测、检验时，必须派出厂方代表协助检查，发现产品如有质量问题，供货方和制造商应承担全部费用及相应的责任。</w:t>
            </w:r>
          </w:p>
        </w:tc>
      </w:tr>
      <w:tr w14:paraId="17B01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tcPr>
          <w:p w14:paraId="26C9BA90">
            <w:pPr>
              <w:spacing w:line="241" w:lineRule="auto"/>
              <w:rPr>
                <w:rFonts w:ascii="Arial"/>
                <w:color w:val="auto"/>
                <w:szCs w:val="21"/>
                <w:highlight w:val="none"/>
              </w:rPr>
            </w:pPr>
          </w:p>
          <w:p w14:paraId="02FA398D">
            <w:pPr>
              <w:pStyle w:val="54"/>
              <w:spacing w:before="65" w:line="228" w:lineRule="auto"/>
              <w:ind w:left="325"/>
              <w:rPr>
                <w:rFonts w:asciiTheme="minorEastAsia" w:hAnsiTheme="minorEastAsia" w:eastAsiaTheme="minorEastAsia"/>
                <w:color w:val="auto"/>
                <w:sz w:val="21"/>
                <w:szCs w:val="21"/>
                <w:highlight w:val="none"/>
              </w:rPr>
            </w:pPr>
            <w:r>
              <w:rPr>
                <w:color w:val="auto"/>
                <w:spacing w:val="7"/>
                <w:sz w:val="21"/>
                <w:szCs w:val="21"/>
                <w:highlight w:val="none"/>
              </w:rPr>
              <w:t>付款条件</w:t>
            </w:r>
          </w:p>
        </w:tc>
        <w:tc>
          <w:tcPr>
            <w:tcW w:w="7521" w:type="dxa"/>
            <w:gridSpan w:val="2"/>
            <w:tcBorders>
              <w:top w:val="single" w:color="auto" w:sz="4" w:space="0"/>
              <w:left w:val="single" w:color="auto" w:sz="4" w:space="0"/>
              <w:bottom w:val="single" w:color="auto" w:sz="4" w:space="0"/>
            </w:tcBorders>
          </w:tcPr>
          <w:p w14:paraId="64ECA0DF">
            <w:pPr>
              <w:pStyle w:val="54"/>
              <w:spacing w:before="36" w:line="242" w:lineRule="auto"/>
              <w:ind w:left="111" w:right="153" w:firstLine="421"/>
              <w:rPr>
                <w:rFonts w:asciiTheme="minorEastAsia" w:hAnsiTheme="minorEastAsia" w:eastAsiaTheme="minorEastAsia"/>
                <w:color w:val="auto"/>
                <w:sz w:val="21"/>
                <w:szCs w:val="21"/>
                <w:highlight w:val="none"/>
              </w:rPr>
            </w:pPr>
            <w:r>
              <w:rPr>
                <w:color w:val="auto"/>
                <w:spacing w:val="9"/>
                <w:sz w:val="21"/>
                <w:szCs w:val="21"/>
                <w:highlight w:val="none"/>
              </w:rPr>
              <w:t>本分标项目无预付款,项目验收合格交付使用后30日内支付第</w:t>
            </w:r>
            <w:r>
              <w:rPr>
                <w:color w:val="auto"/>
                <w:spacing w:val="8"/>
                <w:sz w:val="21"/>
                <w:szCs w:val="21"/>
                <w:highlight w:val="none"/>
              </w:rPr>
              <w:t>一笔合同款的50%,</w:t>
            </w:r>
            <w:r>
              <w:rPr>
                <w:color w:val="auto"/>
                <w:spacing w:val="9"/>
                <w:sz w:val="21"/>
                <w:szCs w:val="21"/>
                <w:highlight w:val="none"/>
              </w:rPr>
              <w:t>第二笔合同款在验收合格交付使用6个月后的15个工作日内支付合同款</w:t>
            </w:r>
            <w:r>
              <w:rPr>
                <w:color w:val="auto"/>
                <w:spacing w:val="8"/>
                <w:sz w:val="21"/>
                <w:szCs w:val="21"/>
                <w:highlight w:val="none"/>
              </w:rPr>
              <w:t>的45%,第三笔</w:t>
            </w:r>
            <w:r>
              <w:rPr>
                <w:color w:val="auto"/>
                <w:spacing w:val="9"/>
                <w:sz w:val="21"/>
                <w:szCs w:val="21"/>
                <w:highlight w:val="none"/>
              </w:rPr>
              <w:t>剩余5%的合同款,在验收合格交付使用12个月后的15个工作日</w:t>
            </w:r>
            <w:r>
              <w:rPr>
                <w:color w:val="auto"/>
                <w:spacing w:val="8"/>
                <w:sz w:val="21"/>
                <w:szCs w:val="21"/>
                <w:highlight w:val="none"/>
              </w:rPr>
              <w:t>内支付(无息)。中标人在采购人付款前开具完税发票给采购人。</w:t>
            </w:r>
          </w:p>
        </w:tc>
      </w:tr>
      <w:tr w14:paraId="5AB89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tcPr>
          <w:p w14:paraId="46F1EE27">
            <w:pPr>
              <w:spacing w:line="269" w:lineRule="auto"/>
              <w:rPr>
                <w:rFonts w:ascii="Arial"/>
                <w:color w:val="auto"/>
                <w:szCs w:val="21"/>
                <w:highlight w:val="none"/>
              </w:rPr>
            </w:pPr>
          </w:p>
          <w:p w14:paraId="676C878F">
            <w:pPr>
              <w:pStyle w:val="54"/>
              <w:spacing w:before="65" w:line="229" w:lineRule="auto"/>
              <w:ind w:left="326"/>
              <w:rPr>
                <w:rFonts w:asciiTheme="minorEastAsia" w:hAnsiTheme="minorEastAsia" w:eastAsiaTheme="minorEastAsia"/>
                <w:color w:val="auto"/>
                <w:sz w:val="21"/>
                <w:szCs w:val="21"/>
                <w:highlight w:val="none"/>
              </w:rPr>
            </w:pPr>
            <w:r>
              <w:rPr>
                <w:color w:val="auto"/>
                <w:spacing w:val="7"/>
                <w:sz w:val="21"/>
                <w:szCs w:val="21"/>
                <w:highlight w:val="none"/>
              </w:rPr>
              <w:t>其他要求</w:t>
            </w:r>
          </w:p>
        </w:tc>
        <w:tc>
          <w:tcPr>
            <w:tcW w:w="7521" w:type="dxa"/>
            <w:gridSpan w:val="2"/>
            <w:tcBorders>
              <w:top w:val="single" w:color="auto" w:sz="4" w:space="0"/>
              <w:left w:val="single" w:color="auto" w:sz="4" w:space="0"/>
              <w:bottom w:val="single" w:color="auto" w:sz="4" w:space="0"/>
            </w:tcBorders>
          </w:tcPr>
          <w:p w14:paraId="4F211A0A">
            <w:pPr>
              <w:pStyle w:val="54"/>
              <w:spacing w:before="27" w:line="215" w:lineRule="auto"/>
              <w:ind w:left="116"/>
              <w:rPr>
                <w:color w:val="auto"/>
                <w:spacing w:val="9"/>
                <w:sz w:val="21"/>
                <w:szCs w:val="21"/>
                <w:highlight w:val="none"/>
              </w:rPr>
            </w:pPr>
            <w:r>
              <w:rPr>
                <w:rFonts w:hint="eastAsia"/>
                <w:color w:val="auto"/>
                <w:spacing w:val="9"/>
                <w:sz w:val="21"/>
                <w:szCs w:val="21"/>
                <w:highlight w:val="none"/>
              </w:rPr>
              <w:t>1</w:t>
            </w:r>
            <w:r>
              <w:rPr>
                <w:rFonts w:hint="eastAsia"/>
                <w:color w:val="auto"/>
                <w:spacing w:val="9"/>
                <w:sz w:val="21"/>
                <w:szCs w:val="21"/>
                <w:highlight w:val="none"/>
                <w:lang w:eastAsia="zh-CN"/>
              </w:rPr>
              <w:t>.</w:t>
            </w:r>
            <w:r>
              <w:rPr>
                <w:rFonts w:hint="eastAsia"/>
                <w:color w:val="auto"/>
                <w:spacing w:val="9"/>
                <w:sz w:val="21"/>
                <w:szCs w:val="21"/>
                <w:highlight w:val="none"/>
              </w:rPr>
              <w:t>投标时提供投标产品彩色图片或说明书（标明主要技术参数）。</w:t>
            </w:r>
          </w:p>
          <w:p w14:paraId="15690408">
            <w:pPr>
              <w:pStyle w:val="54"/>
              <w:spacing w:before="27" w:line="215" w:lineRule="auto"/>
              <w:ind w:left="116"/>
              <w:rPr>
                <w:color w:val="auto"/>
                <w:spacing w:val="9"/>
                <w:sz w:val="21"/>
                <w:szCs w:val="21"/>
                <w:highlight w:val="none"/>
              </w:rPr>
            </w:pPr>
            <w:r>
              <w:rPr>
                <w:rFonts w:hint="eastAsia"/>
                <w:color w:val="auto"/>
                <w:spacing w:val="9"/>
                <w:sz w:val="21"/>
                <w:szCs w:val="21"/>
                <w:highlight w:val="none"/>
                <w:lang w:eastAsia="zh-CN"/>
              </w:rPr>
              <w:t>2.</w:t>
            </w:r>
            <w:r>
              <w:rPr>
                <w:rFonts w:hint="eastAsia"/>
                <w:color w:val="auto"/>
                <w:spacing w:val="9"/>
                <w:sz w:val="21"/>
                <w:szCs w:val="21"/>
                <w:highlight w:val="none"/>
              </w:rPr>
              <w:t>采购人设备主管科室对本合同质保服务内容进行全程对接和监督，并对服务情况进行客观记录，在每个合同年度期结束时，由设备主管科室根据合同约定的服务内容、响应情况、服务态度及过程记录。</w:t>
            </w:r>
          </w:p>
          <w:p w14:paraId="076E7DCA">
            <w:pPr>
              <w:pStyle w:val="54"/>
              <w:spacing w:before="27" w:line="215" w:lineRule="auto"/>
              <w:ind w:left="116"/>
              <w:rPr>
                <w:color w:val="auto"/>
                <w:spacing w:val="9"/>
                <w:sz w:val="21"/>
                <w:szCs w:val="21"/>
                <w:highlight w:val="none"/>
              </w:rPr>
            </w:pPr>
            <w:r>
              <w:rPr>
                <w:rFonts w:hint="eastAsia"/>
                <w:color w:val="auto"/>
                <w:spacing w:val="9"/>
                <w:sz w:val="21"/>
                <w:szCs w:val="21"/>
                <w:highlight w:val="none"/>
                <w:lang w:eastAsia="zh-CN"/>
              </w:rPr>
              <w:t>3.</w:t>
            </w:r>
            <w:r>
              <w:rPr>
                <w:rFonts w:hint="eastAsia"/>
                <w:color w:val="auto"/>
                <w:spacing w:val="9"/>
                <w:sz w:val="21"/>
                <w:szCs w:val="21"/>
                <w:highlight w:val="none"/>
              </w:rPr>
              <w:t>采购人在货物交货验收阶段发现货物的技术参数指标达不到采购文件该货物技术参数要求的，属虚假应标行为，采购人将终止合同拒收货物，追究该成交单位违约责任,赔偿采购人因采购时间延长造成采购人经济等方面损失。</w:t>
            </w:r>
          </w:p>
          <w:p w14:paraId="27E79348">
            <w:pPr>
              <w:pStyle w:val="54"/>
              <w:spacing w:before="27" w:line="215" w:lineRule="auto"/>
              <w:ind w:left="116"/>
              <w:rPr>
                <w:rFonts w:asciiTheme="minorEastAsia" w:hAnsiTheme="minorEastAsia" w:eastAsiaTheme="minorEastAsia"/>
                <w:color w:val="auto"/>
                <w:sz w:val="21"/>
                <w:szCs w:val="21"/>
                <w:highlight w:val="none"/>
              </w:rPr>
            </w:pPr>
            <w:r>
              <w:rPr>
                <w:rFonts w:hint="eastAsia"/>
                <w:color w:val="auto"/>
                <w:spacing w:val="9"/>
                <w:sz w:val="21"/>
                <w:szCs w:val="21"/>
                <w:highlight w:val="none"/>
                <w:lang w:eastAsia="zh-CN"/>
              </w:rPr>
              <w:t>4.</w:t>
            </w:r>
            <w:r>
              <w:rPr>
                <w:rFonts w:hint="eastAsia"/>
                <w:color w:val="auto"/>
                <w:spacing w:val="9"/>
                <w:sz w:val="21"/>
                <w:szCs w:val="21"/>
                <w:highlight w:val="none"/>
              </w:rPr>
              <w:t>中标供应商经营第二类医疗器械的须提供《第二类医疗器械经营备案凭证》。</w:t>
            </w:r>
          </w:p>
        </w:tc>
      </w:tr>
      <w:tr w14:paraId="17BFA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vAlign w:val="center"/>
          </w:tcPr>
          <w:p w14:paraId="5698FC0B">
            <w:pPr>
              <w:snapToGrid w:val="0"/>
              <w:spacing w:line="360" w:lineRule="exact"/>
              <w:jc w:val="center"/>
              <w:rPr>
                <w:color w:val="auto"/>
                <w:spacing w:val="7"/>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核心产品</w:t>
            </w:r>
          </w:p>
        </w:tc>
        <w:tc>
          <w:tcPr>
            <w:tcW w:w="7521" w:type="dxa"/>
            <w:gridSpan w:val="2"/>
            <w:tcBorders>
              <w:top w:val="single" w:color="auto" w:sz="4" w:space="0"/>
              <w:left w:val="single" w:color="auto" w:sz="4" w:space="0"/>
              <w:bottom w:val="single" w:color="auto" w:sz="4" w:space="0"/>
            </w:tcBorders>
            <w:vAlign w:val="center"/>
          </w:tcPr>
          <w:p w14:paraId="7B04DCDB">
            <w:pPr>
              <w:snapToGrid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项设备“</w:t>
            </w:r>
            <w:r>
              <w:rPr>
                <w:rFonts w:hint="eastAsia" w:ascii="宋体" w:hAnsi="宋体" w:cs="宋体"/>
                <w:color w:val="auto"/>
                <w:szCs w:val="21"/>
                <w:highlight w:val="none"/>
                <w:u w:val="single"/>
              </w:rPr>
              <w:t>胰岛素泵</w:t>
            </w:r>
            <w:r>
              <w:rPr>
                <w:rFonts w:hint="eastAsia" w:ascii="宋体" w:hAnsi="宋体" w:cs="宋体"/>
                <w:color w:val="auto"/>
                <w:szCs w:val="21"/>
                <w:highlight w:val="none"/>
              </w:rPr>
              <w:t>”为本次采购的核心产品。</w:t>
            </w:r>
          </w:p>
          <w:p w14:paraId="28749C09">
            <w:pPr>
              <w:spacing w:line="360" w:lineRule="exact"/>
              <w:jc w:val="left"/>
              <w:rPr>
                <w:color w:val="auto"/>
                <w:spacing w:val="9"/>
                <w:szCs w:val="21"/>
                <w:highlight w:val="none"/>
              </w:rPr>
            </w:pPr>
            <w:r>
              <w:rPr>
                <w:rFonts w:hint="eastAsia" w:ascii="宋体" w:hAnsi="宋体" w:cs="宋体"/>
                <w:color w:val="auto"/>
                <w:szCs w:val="21"/>
                <w:highlight w:val="none"/>
              </w:rPr>
              <w:t xml:space="preserve">   </w:t>
            </w:r>
            <w:r>
              <w:rPr>
                <w:rFonts w:hint="eastAsia" w:ascii="宋体" w:hAnsi="宋体" w:cs="宋体"/>
                <w:color w:val="auto"/>
                <w:spacing w:val="10"/>
                <w:szCs w:val="21"/>
                <w:highlight w:val="none"/>
                <w:lang w:eastAsia="en-US"/>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tc>
      </w:tr>
      <w:tr w14:paraId="4F48C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tcPr>
          <w:p w14:paraId="322CA6F7">
            <w:pPr>
              <w:pStyle w:val="54"/>
              <w:spacing w:before="306" w:line="246" w:lineRule="auto"/>
              <w:ind w:left="116" w:right="171" w:firstLine="9"/>
              <w:rPr>
                <w:rFonts w:asciiTheme="minorEastAsia" w:hAnsiTheme="minorEastAsia" w:eastAsiaTheme="minorEastAsia"/>
                <w:color w:val="auto"/>
                <w:sz w:val="21"/>
                <w:szCs w:val="21"/>
                <w:highlight w:val="none"/>
              </w:rPr>
            </w:pPr>
            <w:r>
              <w:rPr>
                <w:color w:val="auto"/>
                <w:spacing w:val="6"/>
                <w:sz w:val="21"/>
                <w:szCs w:val="21"/>
                <w:highlight w:val="none"/>
              </w:rPr>
              <w:t>医疗器械注册</w:t>
            </w:r>
            <w:r>
              <w:rPr>
                <w:color w:val="auto"/>
                <w:sz w:val="21"/>
                <w:szCs w:val="21"/>
                <w:highlight w:val="none"/>
              </w:rPr>
              <w:t>证</w:t>
            </w:r>
          </w:p>
        </w:tc>
        <w:tc>
          <w:tcPr>
            <w:tcW w:w="7521" w:type="dxa"/>
            <w:gridSpan w:val="2"/>
            <w:tcBorders>
              <w:top w:val="single" w:color="auto" w:sz="4" w:space="0"/>
              <w:left w:val="single" w:color="auto" w:sz="4" w:space="0"/>
              <w:bottom w:val="single" w:color="auto" w:sz="4" w:space="0"/>
            </w:tcBorders>
          </w:tcPr>
          <w:p w14:paraId="5B9AF307">
            <w:pPr>
              <w:pStyle w:val="54"/>
              <w:spacing w:before="35" w:line="245" w:lineRule="auto"/>
              <w:ind w:left="111" w:right="259" w:firstLine="422"/>
              <w:rPr>
                <w:rFonts w:asciiTheme="minorEastAsia" w:hAnsiTheme="minorEastAsia" w:eastAsiaTheme="minorEastAsia"/>
                <w:color w:val="auto"/>
                <w:sz w:val="21"/>
                <w:szCs w:val="21"/>
                <w:highlight w:val="none"/>
              </w:rPr>
            </w:pPr>
            <w:r>
              <w:rPr>
                <w:color w:val="auto"/>
                <w:spacing w:val="10"/>
                <w:sz w:val="21"/>
                <w:szCs w:val="21"/>
                <w:highlight w:val="none"/>
              </w:rPr>
              <w:t>投标产品属第一类医疗器械产品的，投标文件中须</w:t>
            </w:r>
            <w:r>
              <w:rPr>
                <w:color w:val="auto"/>
                <w:spacing w:val="9"/>
                <w:sz w:val="21"/>
                <w:szCs w:val="21"/>
                <w:highlight w:val="none"/>
              </w:rPr>
              <w:t>按《医疗器械注册与备案管理办法》（国家市场监督管理总局令第47号）提供该设备在负责药品监督管理的部门提</w:t>
            </w:r>
            <w:r>
              <w:rPr>
                <w:color w:val="auto"/>
                <w:spacing w:val="10"/>
                <w:sz w:val="21"/>
                <w:szCs w:val="21"/>
                <w:highlight w:val="none"/>
              </w:rPr>
              <w:t>交备案资料证明材料复印件（或扫描件）加盖投标人电子签</w:t>
            </w:r>
            <w:r>
              <w:rPr>
                <w:color w:val="auto"/>
                <w:spacing w:val="9"/>
                <w:sz w:val="21"/>
                <w:szCs w:val="21"/>
                <w:highlight w:val="none"/>
              </w:rPr>
              <w:t>章；投标产品属第二、三</w:t>
            </w:r>
            <w:r>
              <w:rPr>
                <w:color w:val="auto"/>
                <w:spacing w:val="10"/>
                <w:sz w:val="21"/>
                <w:szCs w:val="21"/>
                <w:highlight w:val="none"/>
              </w:rPr>
              <w:t>类医疗器械产品的，投标文件中须按《医疗器械注册与备案</w:t>
            </w:r>
            <w:r>
              <w:rPr>
                <w:color w:val="auto"/>
                <w:spacing w:val="9"/>
                <w:sz w:val="21"/>
                <w:szCs w:val="21"/>
                <w:highlight w:val="none"/>
              </w:rPr>
              <w:t>管理办法》（国家市场监督管理总局令第47号）提供该设备有效的药品监督管理部门出具的医疗器械注册证复印件（或扫描件）加盖投标人电子签章，否则投标无效。</w:t>
            </w:r>
          </w:p>
        </w:tc>
      </w:tr>
      <w:tr w14:paraId="66CC2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889" w:type="dxa"/>
            <w:gridSpan w:val="2"/>
            <w:tcBorders>
              <w:top w:val="single" w:color="auto" w:sz="4" w:space="0"/>
              <w:bottom w:val="single" w:color="auto" w:sz="4" w:space="0"/>
              <w:right w:val="single" w:color="auto" w:sz="4" w:space="0"/>
            </w:tcBorders>
            <w:vAlign w:val="center"/>
          </w:tcPr>
          <w:p w14:paraId="32177100">
            <w:pPr>
              <w:snapToGrid w:val="0"/>
              <w:spacing w:line="360" w:lineRule="exact"/>
              <w:jc w:val="center"/>
              <w:rPr>
                <w:rFonts w:asciiTheme="minorEastAsia" w:hAnsiTheme="minorEastAsia" w:eastAsiaTheme="minorEastAsia"/>
                <w:color w:val="auto"/>
                <w:szCs w:val="21"/>
                <w:highlight w:val="none"/>
              </w:rPr>
            </w:pPr>
            <w:r>
              <w:rPr>
                <w:color w:val="auto"/>
                <w:spacing w:val="5"/>
                <w:szCs w:val="21"/>
                <w:highlight w:val="none"/>
              </w:rPr>
              <w:t>资料要求</w:t>
            </w:r>
          </w:p>
        </w:tc>
        <w:tc>
          <w:tcPr>
            <w:tcW w:w="7521" w:type="dxa"/>
            <w:gridSpan w:val="2"/>
            <w:tcBorders>
              <w:top w:val="single" w:color="auto" w:sz="4" w:space="0"/>
              <w:left w:val="single" w:color="auto" w:sz="4" w:space="0"/>
              <w:bottom w:val="single" w:color="auto" w:sz="4" w:space="0"/>
            </w:tcBorders>
            <w:vAlign w:val="center"/>
          </w:tcPr>
          <w:p w14:paraId="4365C9D6">
            <w:pPr>
              <w:widowControl/>
              <w:snapToGrid w:val="0"/>
              <w:spacing w:line="360" w:lineRule="exact"/>
              <w:jc w:val="left"/>
              <w:rPr>
                <w:rFonts w:asciiTheme="minorEastAsia" w:hAnsiTheme="minorEastAsia" w:eastAsiaTheme="minorEastAsia"/>
                <w:color w:val="auto"/>
                <w:szCs w:val="21"/>
                <w:highlight w:val="none"/>
              </w:rPr>
            </w:pPr>
            <w:r>
              <w:rPr>
                <w:color w:val="auto"/>
                <w:spacing w:val="9"/>
                <w:szCs w:val="21"/>
                <w:highlight w:val="none"/>
              </w:rPr>
              <w:t>当响应文件提供的设备性能参数与该生产商提供的性能参数不符合时，以生产商资料</w:t>
            </w:r>
            <w:r>
              <w:rPr>
                <w:color w:val="auto"/>
                <w:spacing w:val="5"/>
                <w:szCs w:val="21"/>
                <w:highlight w:val="none"/>
              </w:rPr>
              <w:t>为准。</w:t>
            </w:r>
            <w:r>
              <w:rPr>
                <w:b/>
                <w:bCs/>
                <w:color w:val="auto"/>
                <w:spacing w:val="5"/>
                <w:szCs w:val="21"/>
                <w:highlight w:val="none"/>
              </w:rPr>
              <w:t>（</w:t>
            </w:r>
            <w:r>
              <w:rPr>
                <w:color w:val="auto"/>
                <w:spacing w:val="-59"/>
                <w:szCs w:val="21"/>
                <w:highlight w:val="none"/>
              </w:rPr>
              <w:t xml:space="preserve"> </w:t>
            </w:r>
            <w:r>
              <w:rPr>
                <w:b/>
                <w:bCs/>
                <w:color w:val="auto"/>
                <w:spacing w:val="5"/>
                <w:szCs w:val="21"/>
                <w:highlight w:val="none"/>
              </w:rPr>
              <w:t>“项目需要及技术需求</w:t>
            </w:r>
            <w:r>
              <w:rPr>
                <w:color w:val="auto"/>
                <w:spacing w:val="-70"/>
                <w:szCs w:val="21"/>
                <w:highlight w:val="none"/>
              </w:rPr>
              <w:t xml:space="preserve"> </w:t>
            </w:r>
            <w:r>
              <w:rPr>
                <w:b/>
                <w:bCs/>
                <w:color w:val="auto"/>
                <w:spacing w:val="5"/>
                <w:szCs w:val="21"/>
                <w:highlight w:val="none"/>
              </w:rPr>
              <w:t>”有要求的则按其要求）</w:t>
            </w:r>
          </w:p>
        </w:tc>
      </w:tr>
      <w:tr w14:paraId="1CD0B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0D0D10E7">
            <w:pPr>
              <w:widowControl/>
              <w:snapToGrid w:val="0"/>
              <w:spacing w:line="360" w:lineRule="exact"/>
              <w:rPr>
                <w:rFonts w:asciiTheme="minorEastAsia" w:hAnsiTheme="minorEastAsia" w:eastAsiaTheme="minorEastAsia"/>
                <w:color w:val="auto"/>
                <w:szCs w:val="21"/>
                <w:highlight w:val="none"/>
              </w:rPr>
            </w:pPr>
            <w:r>
              <w:rPr>
                <w:b/>
                <w:bCs/>
                <w:color w:val="auto"/>
                <w:spacing w:val="7"/>
                <w:szCs w:val="21"/>
                <w:highlight w:val="none"/>
              </w:rPr>
              <w:t>三、进口产品说明</w:t>
            </w:r>
          </w:p>
        </w:tc>
      </w:tr>
      <w:tr w14:paraId="1E7D8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14:paraId="0F541C4A">
            <w:pPr>
              <w:widowControl/>
              <w:snapToGrid w:val="0"/>
              <w:spacing w:line="360" w:lineRule="exact"/>
              <w:ind w:firstLine="422"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本分标货物不接受进口产品投标（即通过中国海关报关验放进入中国境内且产自关境外的产品），如有此类产品参与投标的作无效投标处理。</w:t>
            </w:r>
          </w:p>
        </w:tc>
      </w:tr>
    </w:tbl>
    <w:p w14:paraId="547A6DFA">
      <w:pPr>
        <w:widowControl/>
        <w:jc w:val="left"/>
        <w:rPr>
          <w:rFonts w:asciiTheme="minorEastAsia" w:hAnsiTheme="minorEastAsia" w:eastAsiaTheme="minorEastAsia"/>
          <w:b/>
          <w:color w:val="auto"/>
          <w:kern w:val="0"/>
          <w:sz w:val="24"/>
          <w:highlight w:val="none"/>
        </w:rPr>
      </w:pPr>
    </w:p>
    <w:p w14:paraId="5C6A99CD">
      <w:pPr>
        <w:spacing w:line="360" w:lineRule="auto"/>
        <w:ind w:firstLine="308" w:firstLineChars="147"/>
        <w:jc w:val="left"/>
        <w:rPr>
          <w:rFonts w:cs="Arial" w:asciiTheme="minorEastAsia" w:hAnsiTheme="minorEastAsia" w:eastAsiaTheme="minorEastAsia"/>
          <w:bCs/>
          <w:color w:val="auto"/>
          <w:szCs w:val="21"/>
          <w:highlight w:val="none"/>
          <w:u w:val="single"/>
        </w:rPr>
      </w:pPr>
    </w:p>
    <w:p w14:paraId="0D7DBDBC">
      <w:pPr>
        <w:widowControl/>
        <w:jc w:val="left"/>
        <w:rPr>
          <w:rFonts w:cs="黑体" w:asciiTheme="minorEastAsia" w:hAnsiTheme="minorEastAsia" w:eastAsiaTheme="minorEastAsia"/>
          <w:color w:val="auto"/>
          <w:sz w:val="32"/>
          <w:szCs w:val="32"/>
          <w:highlight w:val="none"/>
        </w:rPr>
      </w:pPr>
      <w:r>
        <w:rPr>
          <w:rFonts w:cs="黑体" w:asciiTheme="minorEastAsia" w:hAnsiTheme="minorEastAsia" w:eastAsiaTheme="minorEastAsia"/>
          <w:color w:val="auto"/>
          <w:sz w:val="32"/>
          <w:szCs w:val="32"/>
          <w:highlight w:val="none"/>
        </w:rPr>
        <w:br w:type="page"/>
      </w:r>
    </w:p>
    <w:p w14:paraId="521E9B77">
      <w:pPr>
        <w:spacing w:line="428" w:lineRule="exact"/>
        <w:ind w:left="119"/>
        <w:rPr>
          <w:rFonts w:cs="Arial Unicode MS" w:asciiTheme="minorEastAsia" w:hAnsiTheme="minorEastAsia" w:eastAsiaTheme="minorEastAsia"/>
          <w:color w:val="auto"/>
          <w:sz w:val="32"/>
          <w:szCs w:val="32"/>
          <w:highlight w:val="none"/>
        </w:rPr>
      </w:pPr>
      <w:r>
        <w:rPr>
          <w:rFonts w:hint="eastAsia" w:cs="黑体" w:asciiTheme="minorEastAsia" w:hAnsiTheme="minorEastAsia" w:eastAsiaTheme="minorEastAsia"/>
          <w:color w:val="auto"/>
          <w:sz w:val="32"/>
          <w:szCs w:val="32"/>
          <w:highlight w:val="none"/>
        </w:rPr>
        <w:t>附件：</w:t>
      </w:r>
    </w:p>
    <w:p w14:paraId="05689A6B">
      <w:pPr>
        <w:spacing w:before="7"/>
        <w:rPr>
          <w:rFonts w:cs="Arial Unicode MS" w:asciiTheme="minorEastAsia" w:hAnsiTheme="minorEastAsia" w:eastAsiaTheme="minorEastAsia"/>
          <w:color w:val="auto"/>
          <w:sz w:val="17"/>
          <w:szCs w:val="17"/>
          <w:highlight w:val="none"/>
        </w:rPr>
      </w:pPr>
    </w:p>
    <w:p w14:paraId="390414A0">
      <w:pPr>
        <w:spacing w:line="528" w:lineRule="exact"/>
        <w:jc w:val="center"/>
        <w:outlineLvl w:val="2"/>
        <w:rPr>
          <w:rFonts w:cs="宋体" w:asciiTheme="minorEastAsia" w:hAnsiTheme="minorEastAsia" w:eastAsiaTheme="minorEastAsia"/>
          <w:color w:val="auto"/>
          <w:sz w:val="32"/>
          <w:szCs w:val="32"/>
          <w:highlight w:val="none"/>
        </w:rPr>
      </w:pPr>
      <w:r>
        <w:rPr>
          <w:rFonts w:hint="eastAsia" w:cs="宋体" w:asciiTheme="minorEastAsia" w:hAnsiTheme="minorEastAsia" w:eastAsiaTheme="minorEastAsia"/>
          <w:color w:val="auto"/>
          <w:sz w:val="32"/>
          <w:szCs w:val="32"/>
          <w:highlight w:val="none"/>
        </w:rPr>
        <w:t>节能产品政府采购品目清单</w:t>
      </w:r>
    </w:p>
    <w:tbl>
      <w:tblPr>
        <w:tblStyle w:val="23"/>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015"/>
        <w:gridCol w:w="1554"/>
        <w:gridCol w:w="1769"/>
        <w:gridCol w:w="3904"/>
        <w:gridCol w:w="6"/>
      </w:tblGrid>
      <w:tr w14:paraId="100D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6" w:type="dxa"/>
            <w:vAlign w:val="center"/>
          </w:tcPr>
          <w:p w14:paraId="4A046AE7">
            <w:pPr>
              <w:pStyle w:val="29"/>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品目序号</w:t>
            </w:r>
          </w:p>
        </w:tc>
        <w:tc>
          <w:tcPr>
            <w:tcW w:w="4338" w:type="dxa"/>
            <w:gridSpan w:val="3"/>
            <w:vAlign w:val="center"/>
          </w:tcPr>
          <w:p w14:paraId="42758BB7">
            <w:pPr>
              <w:pStyle w:val="29"/>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名称</w:t>
            </w:r>
          </w:p>
        </w:tc>
        <w:tc>
          <w:tcPr>
            <w:tcW w:w="3910" w:type="dxa"/>
            <w:gridSpan w:val="2"/>
            <w:vAlign w:val="center"/>
          </w:tcPr>
          <w:p w14:paraId="5A162E9D">
            <w:pPr>
              <w:pStyle w:val="29"/>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依据的标准</w:t>
            </w:r>
          </w:p>
        </w:tc>
      </w:tr>
      <w:tr w14:paraId="01C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232AF45A">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p>
        </w:tc>
        <w:tc>
          <w:tcPr>
            <w:tcW w:w="1015" w:type="dxa"/>
            <w:vMerge w:val="restart"/>
            <w:vAlign w:val="center"/>
          </w:tcPr>
          <w:p w14:paraId="2B1DB672">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A020101计算机设备</w:t>
            </w:r>
          </w:p>
        </w:tc>
        <w:tc>
          <w:tcPr>
            <w:tcW w:w="1554" w:type="dxa"/>
            <w:vAlign w:val="center"/>
          </w:tcPr>
          <w:p w14:paraId="1D67A156">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★A02010104台式计算机</w:t>
            </w:r>
          </w:p>
        </w:tc>
        <w:tc>
          <w:tcPr>
            <w:tcW w:w="1769" w:type="dxa"/>
            <w:vAlign w:val="center"/>
          </w:tcPr>
          <w:p w14:paraId="3781B4BE">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5BB32980">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44B9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626DC55">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A8A1857">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558AC916">
            <w:pPr>
              <w:pStyle w:val="29"/>
              <w:spacing w:before="44" w:line="283" w:lineRule="auto"/>
              <w:ind w:left="7"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★A02010105便携式计算机</w:t>
            </w:r>
          </w:p>
        </w:tc>
        <w:tc>
          <w:tcPr>
            <w:tcW w:w="1769" w:type="dxa"/>
            <w:vAlign w:val="center"/>
          </w:tcPr>
          <w:p w14:paraId="67D32DB5">
            <w:pPr>
              <w:jc w:val="center"/>
              <w:rPr>
                <w:rFonts w:cs="宋体" w:asciiTheme="minorEastAsia" w:hAnsiTheme="minorEastAsia" w:eastAsiaTheme="minorEastAsia"/>
                <w:color w:val="auto"/>
                <w:kern w:val="0"/>
                <w:szCs w:val="21"/>
                <w:highlight w:val="none"/>
                <w:lang w:eastAsia="en-US"/>
              </w:rPr>
            </w:pPr>
          </w:p>
        </w:tc>
        <w:tc>
          <w:tcPr>
            <w:tcW w:w="3910" w:type="dxa"/>
            <w:gridSpan w:val="2"/>
            <w:vAlign w:val="center"/>
          </w:tcPr>
          <w:p w14:paraId="119167D2">
            <w:pPr>
              <w:pStyle w:val="29"/>
              <w:spacing w:before="4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7A65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7848F70E">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02168A6">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5850FA31">
            <w:pPr>
              <w:pStyle w:val="29"/>
              <w:spacing w:before="64" w:line="283" w:lineRule="auto"/>
              <w:ind w:left="7" w:right="5"/>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★A02010107平板式微型计算机</w:t>
            </w:r>
          </w:p>
        </w:tc>
        <w:tc>
          <w:tcPr>
            <w:tcW w:w="1769" w:type="dxa"/>
            <w:vAlign w:val="center"/>
          </w:tcPr>
          <w:p w14:paraId="428382E5">
            <w:pPr>
              <w:jc w:val="center"/>
              <w:rPr>
                <w:rFonts w:cs="宋体" w:asciiTheme="minorEastAsia" w:hAnsiTheme="minorEastAsia" w:eastAsiaTheme="minorEastAsia"/>
                <w:color w:val="auto"/>
                <w:kern w:val="0"/>
                <w:szCs w:val="21"/>
                <w:highlight w:val="none"/>
              </w:rPr>
            </w:pPr>
          </w:p>
        </w:tc>
        <w:tc>
          <w:tcPr>
            <w:tcW w:w="3910" w:type="dxa"/>
            <w:gridSpan w:val="2"/>
            <w:vAlign w:val="center"/>
          </w:tcPr>
          <w:p w14:paraId="47AB192D">
            <w:pPr>
              <w:pStyle w:val="29"/>
              <w:spacing w:before="6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75DA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0C1F8086">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w:t>
            </w:r>
          </w:p>
        </w:tc>
        <w:tc>
          <w:tcPr>
            <w:tcW w:w="1015" w:type="dxa"/>
            <w:vMerge w:val="restart"/>
            <w:vAlign w:val="center"/>
          </w:tcPr>
          <w:p w14:paraId="22D0C9B7">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A020106输入输出设备</w:t>
            </w:r>
          </w:p>
        </w:tc>
        <w:tc>
          <w:tcPr>
            <w:tcW w:w="1554" w:type="dxa"/>
            <w:vMerge w:val="restart"/>
            <w:vAlign w:val="center"/>
          </w:tcPr>
          <w:p w14:paraId="4701CFB9">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A02010601打印设备</w:t>
            </w:r>
          </w:p>
        </w:tc>
        <w:tc>
          <w:tcPr>
            <w:tcW w:w="1769" w:type="dxa"/>
            <w:vAlign w:val="center"/>
          </w:tcPr>
          <w:p w14:paraId="624A2E36">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A0201060101喷墨打</w:t>
            </w:r>
          </w:p>
          <w:p w14:paraId="047628E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印机</w:t>
            </w:r>
          </w:p>
        </w:tc>
        <w:tc>
          <w:tcPr>
            <w:tcW w:w="3910" w:type="dxa"/>
            <w:gridSpan w:val="2"/>
            <w:vAlign w:val="center"/>
          </w:tcPr>
          <w:p w14:paraId="0C39E1EF">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11E8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1A0D3DF9">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040872F">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5EE6160A">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48308D1F">
            <w:pPr>
              <w:pStyle w:val="29"/>
              <w:spacing w:before="5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★A0201060102激光</w:t>
            </w:r>
          </w:p>
          <w:p w14:paraId="5E79E018">
            <w:pPr>
              <w:pStyle w:val="29"/>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打印机</w:t>
            </w:r>
          </w:p>
        </w:tc>
        <w:tc>
          <w:tcPr>
            <w:tcW w:w="3910" w:type="dxa"/>
            <w:gridSpan w:val="2"/>
            <w:vAlign w:val="center"/>
          </w:tcPr>
          <w:p w14:paraId="3C55EE9F">
            <w:pPr>
              <w:pStyle w:val="29"/>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0720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D09E66A">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4D0F7C6">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042324E5">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2BA2D7D4">
            <w:pPr>
              <w:pStyle w:val="29"/>
              <w:spacing w:before="5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★A0201060104针式</w:t>
            </w:r>
          </w:p>
          <w:p w14:paraId="02584BD1">
            <w:pPr>
              <w:pStyle w:val="29"/>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打印机</w:t>
            </w:r>
          </w:p>
        </w:tc>
        <w:tc>
          <w:tcPr>
            <w:tcW w:w="3910" w:type="dxa"/>
            <w:gridSpan w:val="2"/>
            <w:vAlign w:val="center"/>
          </w:tcPr>
          <w:p w14:paraId="41E5EE31">
            <w:pPr>
              <w:pStyle w:val="29"/>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19BD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E917DF9">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AC95FA6">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0F3CE277">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A02010604显示设备</w:t>
            </w:r>
          </w:p>
        </w:tc>
        <w:tc>
          <w:tcPr>
            <w:tcW w:w="1769" w:type="dxa"/>
            <w:vAlign w:val="center"/>
          </w:tcPr>
          <w:p w14:paraId="4ED84DB9">
            <w:pPr>
              <w:pStyle w:val="29"/>
              <w:spacing w:before="68"/>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★A0201060401液晶</w:t>
            </w:r>
          </w:p>
          <w:p w14:paraId="6D99BB7B">
            <w:pPr>
              <w:pStyle w:val="29"/>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显示器</w:t>
            </w:r>
          </w:p>
        </w:tc>
        <w:tc>
          <w:tcPr>
            <w:tcW w:w="3910" w:type="dxa"/>
            <w:gridSpan w:val="2"/>
            <w:vAlign w:val="center"/>
          </w:tcPr>
          <w:p w14:paraId="65B9AEFF">
            <w:pPr>
              <w:pStyle w:val="29"/>
              <w:spacing w:before="68"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《计算机显示器能效限定值及能效等级》（GB21520）</w:t>
            </w:r>
          </w:p>
        </w:tc>
      </w:tr>
      <w:tr w14:paraId="6CE8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1EBA3367">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7C38A6C">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05E1AC69">
            <w:pPr>
              <w:pStyle w:val="29"/>
              <w:spacing w:line="283" w:lineRule="auto"/>
              <w:ind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A02010609图形图像输入设备</w:t>
            </w:r>
          </w:p>
        </w:tc>
        <w:tc>
          <w:tcPr>
            <w:tcW w:w="1769" w:type="dxa"/>
            <w:vAlign w:val="center"/>
          </w:tcPr>
          <w:p w14:paraId="28FC907F">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A0201060901扫描仪</w:t>
            </w:r>
          </w:p>
        </w:tc>
        <w:tc>
          <w:tcPr>
            <w:tcW w:w="3910" w:type="dxa"/>
            <w:gridSpan w:val="2"/>
            <w:vAlign w:val="center"/>
          </w:tcPr>
          <w:p w14:paraId="5F2CAEA0">
            <w:pPr>
              <w:pStyle w:val="29"/>
              <w:spacing w:before="49"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参照《复印机、打印机和传真机能效限定值及能效等级》（GB21521</w:t>
            </w:r>
          </w:p>
          <w:p w14:paraId="59BD3D2D">
            <w:pPr>
              <w:pStyle w:val="29"/>
              <w:spacing w:before="12" w:line="283" w:lineRule="auto"/>
              <w:ind w:left="7" w:right="5"/>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中打印速度为15页/分的针式打印机相关要求</w:t>
            </w:r>
          </w:p>
        </w:tc>
      </w:tr>
      <w:tr w14:paraId="71F6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1823540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w:t>
            </w:r>
          </w:p>
        </w:tc>
        <w:tc>
          <w:tcPr>
            <w:tcW w:w="1015" w:type="dxa"/>
            <w:vAlign w:val="center"/>
          </w:tcPr>
          <w:p w14:paraId="3C824C0B">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A020202投影仪</w:t>
            </w:r>
          </w:p>
        </w:tc>
        <w:tc>
          <w:tcPr>
            <w:tcW w:w="1554" w:type="dxa"/>
            <w:vAlign w:val="center"/>
          </w:tcPr>
          <w:p w14:paraId="7CB12E5F">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300B348A">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312E6D91">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《投影机能效限定值及能效等级</w:t>
            </w:r>
          </w:p>
          <w:p w14:paraId="322FD3D0">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（GB32028）</w:t>
            </w:r>
          </w:p>
        </w:tc>
      </w:tr>
      <w:tr w14:paraId="19AC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7D834EB7">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w:t>
            </w:r>
          </w:p>
        </w:tc>
        <w:tc>
          <w:tcPr>
            <w:tcW w:w="1015" w:type="dxa"/>
            <w:vAlign w:val="center"/>
          </w:tcPr>
          <w:p w14:paraId="4C30DDD7">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A020204多功能一体机</w:t>
            </w:r>
          </w:p>
        </w:tc>
        <w:tc>
          <w:tcPr>
            <w:tcW w:w="1554" w:type="dxa"/>
            <w:vAlign w:val="center"/>
          </w:tcPr>
          <w:p w14:paraId="1F2302C4">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654728BF">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405C96AF">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6341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01C1165D">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w:t>
            </w:r>
          </w:p>
        </w:tc>
        <w:tc>
          <w:tcPr>
            <w:tcW w:w="1015" w:type="dxa"/>
            <w:vAlign w:val="center"/>
          </w:tcPr>
          <w:p w14:paraId="25563001">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A020519泵</w:t>
            </w:r>
          </w:p>
        </w:tc>
        <w:tc>
          <w:tcPr>
            <w:tcW w:w="1554" w:type="dxa"/>
            <w:vAlign w:val="center"/>
          </w:tcPr>
          <w:p w14:paraId="13AFF190">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A02051901离心泵</w:t>
            </w:r>
          </w:p>
        </w:tc>
        <w:tc>
          <w:tcPr>
            <w:tcW w:w="1769" w:type="dxa"/>
            <w:vAlign w:val="center"/>
          </w:tcPr>
          <w:p w14:paraId="79C4DD7B">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5B635A5F">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《清水离心泵能效限定值及节能评价值》（GB19762）</w:t>
            </w:r>
          </w:p>
        </w:tc>
      </w:tr>
      <w:tr w14:paraId="5335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628EDC27">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1015" w:type="dxa"/>
            <w:vMerge w:val="restart"/>
            <w:vAlign w:val="center"/>
          </w:tcPr>
          <w:p w14:paraId="3F336E1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A020523制冷空调设备</w:t>
            </w:r>
          </w:p>
        </w:tc>
        <w:tc>
          <w:tcPr>
            <w:tcW w:w="1554" w:type="dxa"/>
            <w:vMerge w:val="restart"/>
            <w:vAlign w:val="center"/>
          </w:tcPr>
          <w:p w14:paraId="1609BCD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★A02052301制冷压缩机</w:t>
            </w:r>
          </w:p>
        </w:tc>
        <w:tc>
          <w:tcPr>
            <w:tcW w:w="1769" w:type="dxa"/>
            <w:vAlign w:val="center"/>
          </w:tcPr>
          <w:p w14:paraId="78534C80">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冷水机组</w:t>
            </w:r>
          </w:p>
        </w:tc>
        <w:tc>
          <w:tcPr>
            <w:tcW w:w="3910" w:type="dxa"/>
            <w:gridSpan w:val="2"/>
            <w:vAlign w:val="center"/>
          </w:tcPr>
          <w:p w14:paraId="2BF8F1D4">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《冷水机组能效限定值及能效等级》（GB19577），《低环境温度空气源热泵（冷水）机组能效限定值及能效等级》（GB37480）</w:t>
            </w:r>
          </w:p>
        </w:tc>
      </w:tr>
      <w:tr w14:paraId="1D6D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660730BA">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579104C">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5F0DBA49">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4F4B5CEC">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水源热泵机组</w:t>
            </w:r>
          </w:p>
        </w:tc>
        <w:tc>
          <w:tcPr>
            <w:tcW w:w="3910" w:type="dxa"/>
            <w:gridSpan w:val="2"/>
            <w:vAlign w:val="center"/>
          </w:tcPr>
          <w:p w14:paraId="05DFF016">
            <w:pPr>
              <w:pStyle w:val="29"/>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《水（地）源热泵机组能效限定值及能效等级》（GB30721）</w:t>
            </w:r>
          </w:p>
        </w:tc>
      </w:tr>
      <w:tr w14:paraId="3982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716" w:type="dxa"/>
            <w:vMerge w:val="continue"/>
            <w:vAlign w:val="center"/>
          </w:tcPr>
          <w:p w14:paraId="38DCEDBB">
            <w:pP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A68CD44">
            <w:pP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293EDBE9">
            <w:pPr>
              <w:jc w:val="center"/>
              <w:rPr>
                <w:rFonts w:cs="宋体" w:asciiTheme="minorEastAsia" w:hAnsiTheme="minorEastAsia" w:eastAsiaTheme="minorEastAsia"/>
                <w:color w:val="auto"/>
                <w:kern w:val="0"/>
                <w:szCs w:val="21"/>
                <w:highlight w:val="none"/>
              </w:rPr>
            </w:pPr>
          </w:p>
        </w:tc>
        <w:tc>
          <w:tcPr>
            <w:tcW w:w="1769" w:type="dxa"/>
            <w:vAlign w:val="center"/>
          </w:tcPr>
          <w:p w14:paraId="2AD6775C">
            <w:pPr>
              <w:pStyle w:val="29"/>
              <w:spacing w:before="9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溴化锂吸收式冷水机组</w:t>
            </w:r>
          </w:p>
        </w:tc>
        <w:tc>
          <w:tcPr>
            <w:tcW w:w="3910" w:type="dxa"/>
            <w:gridSpan w:val="2"/>
            <w:vAlign w:val="center"/>
          </w:tcPr>
          <w:p w14:paraId="2AD158D5">
            <w:pPr>
              <w:pStyle w:val="29"/>
              <w:spacing w:before="9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《溴化锂吸收式冷水机组能效限定值及能效等级》（GB29540）</w:t>
            </w:r>
          </w:p>
        </w:tc>
      </w:tr>
      <w:tr w14:paraId="13F5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66265B2A">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358BE7B">
            <w:pPr>
              <w:widowControl/>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38F373BA">
            <w:pPr>
              <w:pStyle w:val="29"/>
              <w:spacing w:line="283" w:lineRule="auto"/>
              <w:ind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★A02052305空调机组</w:t>
            </w:r>
          </w:p>
        </w:tc>
        <w:tc>
          <w:tcPr>
            <w:tcW w:w="1769" w:type="dxa"/>
            <w:vAlign w:val="center"/>
          </w:tcPr>
          <w:p w14:paraId="32F469D5">
            <w:pPr>
              <w:pStyle w:val="29"/>
              <w:spacing w:before="4"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多联式空调（热泵）机组(制冷量&gt;14000W)</w:t>
            </w:r>
          </w:p>
        </w:tc>
        <w:tc>
          <w:tcPr>
            <w:tcW w:w="3910" w:type="dxa"/>
            <w:gridSpan w:val="2"/>
            <w:vAlign w:val="center"/>
          </w:tcPr>
          <w:p w14:paraId="3C135C86">
            <w:pPr>
              <w:pStyle w:val="29"/>
              <w:spacing w:before="160"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《多联式空调（热泵）机组能效限定值及能源效率等级》（GB21454</w:t>
            </w:r>
          </w:p>
        </w:tc>
      </w:tr>
      <w:tr w14:paraId="4EFA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16" w:type="dxa"/>
            <w:vMerge w:val="continue"/>
            <w:vAlign w:val="center"/>
          </w:tcPr>
          <w:p w14:paraId="6801388E">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DF551CC">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18F0DDC1">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06770646">
            <w:pPr>
              <w:pStyle w:val="29"/>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w:t>
            </w:r>
          </w:p>
          <w:p w14:paraId="2B0A363F">
            <w:pPr>
              <w:pStyle w:val="29"/>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(制冷量&gt;14000W)</w:t>
            </w:r>
          </w:p>
        </w:tc>
        <w:tc>
          <w:tcPr>
            <w:tcW w:w="3910" w:type="dxa"/>
            <w:gridSpan w:val="2"/>
            <w:vAlign w:val="center"/>
          </w:tcPr>
          <w:p w14:paraId="10EDF465">
            <w:pPr>
              <w:pStyle w:val="29"/>
              <w:spacing w:before="9"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《单元式空气调节机能效限定值及能效等级》（GB19576）《风管送风式空调机组能效限定值及能效等级》（GB37479）</w:t>
            </w:r>
          </w:p>
        </w:tc>
      </w:tr>
      <w:tr w14:paraId="1E5C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716" w:type="dxa"/>
            <w:vMerge w:val="continue"/>
            <w:vAlign w:val="center"/>
          </w:tcPr>
          <w:p w14:paraId="67579A37">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FD59A91">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2CF3602E">
            <w:pPr>
              <w:pStyle w:val="29"/>
              <w:spacing w:before="8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★A02052309专用制冷、空调设备</w:t>
            </w:r>
          </w:p>
        </w:tc>
        <w:tc>
          <w:tcPr>
            <w:tcW w:w="1769" w:type="dxa"/>
            <w:vAlign w:val="center"/>
          </w:tcPr>
          <w:p w14:paraId="2611A925">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机房空调</w:t>
            </w:r>
          </w:p>
        </w:tc>
        <w:tc>
          <w:tcPr>
            <w:tcW w:w="3910" w:type="dxa"/>
            <w:gridSpan w:val="2"/>
            <w:vAlign w:val="center"/>
          </w:tcPr>
          <w:p w14:paraId="15C0F4D1">
            <w:pPr>
              <w:pStyle w:val="29"/>
              <w:spacing w:before="8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《单元式空气调节机能效限定值及能效等级》（GB19576）</w:t>
            </w:r>
          </w:p>
        </w:tc>
      </w:tr>
      <w:tr w14:paraId="7816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716" w:type="dxa"/>
            <w:vMerge w:val="continue"/>
            <w:vAlign w:val="center"/>
          </w:tcPr>
          <w:p w14:paraId="62D1D436">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6AA2C86">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60BABFA4">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A02052399其他制冷空调设备</w:t>
            </w:r>
          </w:p>
        </w:tc>
        <w:tc>
          <w:tcPr>
            <w:tcW w:w="1769" w:type="dxa"/>
            <w:vAlign w:val="center"/>
          </w:tcPr>
          <w:p w14:paraId="692BEAEF">
            <w:pPr>
              <w:pStyle w:val="29"/>
              <w:spacing w:before="16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冷却塔</w:t>
            </w:r>
          </w:p>
        </w:tc>
        <w:tc>
          <w:tcPr>
            <w:tcW w:w="3910" w:type="dxa"/>
            <w:gridSpan w:val="2"/>
            <w:vAlign w:val="center"/>
          </w:tcPr>
          <w:p w14:paraId="7882A5AE">
            <w:pPr>
              <w:pStyle w:val="29"/>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《机械通风冷却塔第1部分：中小型开式冷却塔》（GB/T7190.1）</w:t>
            </w:r>
          </w:p>
          <w:p w14:paraId="09DCD14A">
            <w:pPr>
              <w:pStyle w:val="29"/>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《机械通风冷却塔第2部分：大型开式冷却塔》（GB/T7190.2</w:t>
            </w:r>
          </w:p>
        </w:tc>
      </w:tr>
      <w:tr w14:paraId="345D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6B1851D6">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7</w:t>
            </w:r>
          </w:p>
        </w:tc>
        <w:tc>
          <w:tcPr>
            <w:tcW w:w="1015" w:type="dxa"/>
            <w:vAlign w:val="center"/>
          </w:tcPr>
          <w:p w14:paraId="0FC8BD04">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A020601电机</w:t>
            </w:r>
          </w:p>
        </w:tc>
        <w:tc>
          <w:tcPr>
            <w:tcW w:w="1554" w:type="dxa"/>
            <w:vAlign w:val="center"/>
          </w:tcPr>
          <w:p w14:paraId="35C49703">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28BC94E9">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52A4AC79">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《中小型三相异步电动机能效限定值及能效等级》（GB18613）</w:t>
            </w:r>
          </w:p>
        </w:tc>
      </w:tr>
      <w:tr w14:paraId="5994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716" w:type="dxa"/>
            <w:vAlign w:val="center"/>
          </w:tcPr>
          <w:p w14:paraId="225076B5">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w:t>
            </w:r>
          </w:p>
        </w:tc>
        <w:tc>
          <w:tcPr>
            <w:tcW w:w="1015" w:type="dxa"/>
            <w:vAlign w:val="center"/>
          </w:tcPr>
          <w:p w14:paraId="4BFC317A">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A020602变压器</w:t>
            </w:r>
          </w:p>
        </w:tc>
        <w:tc>
          <w:tcPr>
            <w:tcW w:w="1554" w:type="dxa"/>
            <w:vAlign w:val="center"/>
          </w:tcPr>
          <w:p w14:paraId="4414A3E6">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配电变压器</w:t>
            </w:r>
          </w:p>
        </w:tc>
        <w:tc>
          <w:tcPr>
            <w:tcW w:w="1769" w:type="dxa"/>
            <w:vAlign w:val="center"/>
          </w:tcPr>
          <w:p w14:paraId="1CD103E0">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09FA326D">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《三相配电变压器能效限定值及能效等级》（GB20052）</w:t>
            </w:r>
          </w:p>
        </w:tc>
      </w:tr>
      <w:tr w14:paraId="57AF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16" w:type="dxa"/>
            <w:vAlign w:val="center"/>
          </w:tcPr>
          <w:p w14:paraId="32225084">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9</w:t>
            </w:r>
          </w:p>
        </w:tc>
        <w:tc>
          <w:tcPr>
            <w:tcW w:w="1015" w:type="dxa"/>
            <w:vAlign w:val="center"/>
          </w:tcPr>
          <w:p w14:paraId="5702BF97">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★A020609镇流器</w:t>
            </w:r>
          </w:p>
        </w:tc>
        <w:tc>
          <w:tcPr>
            <w:tcW w:w="1554" w:type="dxa"/>
            <w:vAlign w:val="center"/>
          </w:tcPr>
          <w:p w14:paraId="1C08960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管型荧光灯镇流器</w:t>
            </w:r>
          </w:p>
        </w:tc>
        <w:tc>
          <w:tcPr>
            <w:tcW w:w="1769" w:type="dxa"/>
            <w:vAlign w:val="center"/>
          </w:tcPr>
          <w:p w14:paraId="08F192A4">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6735818A">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《管形荧光灯镇流器能效限定值及能效等级》（GB17896）</w:t>
            </w:r>
          </w:p>
        </w:tc>
      </w:tr>
      <w:tr w14:paraId="100A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716" w:type="dxa"/>
            <w:vMerge w:val="restart"/>
            <w:vAlign w:val="center"/>
          </w:tcPr>
          <w:p w14:paraId="7A92A980">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w:t>
            </w:r>
          </w:p>
        </w:tc>
        <w:tc>
          <w:tcPr>
            <w:tcW w:w="1015" w:type="dxa"/>
            <w:vMerge w:val="restart"/>
            <w:vAlign w:val="center"/>
          </w:tcPr>
          <w:p w14:paraId="4DD263C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A020618生活用电器</w:t>
            </w:r>
          </w:p>
        </w:tc>
        <w:tc>
          <w:tcPr>
            <w:tcW w:w="1554" w:type="dxa"/>
            <w:vAlign w:val="center"/>
          </w:tcPr>
          <w:p w14:paraId="2266861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A0206180101电冰箱</w:t>
            </w:r>
          </w:p>
        </w:tc>
        <w:tc>
          <w:tcPr>
            <w:tcW w:w="1769" w:type="dxa"/>
            <w:vAlign w:val="center"/>
          </w:tcPr>
          <w:p w14:paraId="67056119">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566D6F6A">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《家用电冰箱耗电量限定值及能效等级》（GB12021.2）</w:t>
            </w:r>
          </w:p>
        </w:tc>
      </w:tr>
      <w:tr w14:paraId="242F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6" w:hRule="atLeast"/>
          <w:jc w:val="center"/>
        </w:trPr>
        <w:tc>
          <w:tcPr>
            <w:tcW w:w="716" w:type="dxa"/>
            <w:vMerge w:val="continue"/>
            <w:vAlign w:val="center"/>
          </w:tcPr>
          <w:p w14:paraId="63513572">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BEABE14">
            <w:pPr>
              <w:widowControl/>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6BCBBB57">
            <w:pPr>
              <w:pStyle w:val="29"/>
              <w:spacing w:before="171"/>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★A0206180203空调</w:t>
            </w:r>
          </w:p>
          <w:p w14:paraId="289921A6">
            <w:pPr>
              <w:pStyle w:val="29"/>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机</w:t>
            </w:r>
          </w:p>
        </w:tc>
        <w:tc>
          <w:tcPr>
            <w:tcW w:w="1769" w:type="dxa"/>
            <w:vAlign w:val="center"/>
          </w:tcPr>
          <w:p w14:paraId="17A59B95">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房间空气调节器</w:t>
            </w:r>
          </w:p>
        </w:tc>
        <w:tc>
          <w:tcPr>
            <w:tcW w:w="3910" w:type="dxa"/>
            <w:gridSpan w:val="2"/>
            <w:vAlign w:val="center"/>
          </w:tcPr>
          <w:p w14:paraId="151D29C9">
            <w:pPr>
              <w:pStyle w:val="29"/>
              <w:spacing w:before="4"/>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284C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74E0752C">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8F269DF">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76D641A">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0FDAB2FC">
            <w:pPr>
              <w:pStyle w:val="29"/>
              <w:spacing w:before="4"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多联式空调（热泵）机组（制冷量≤14000W）</w:t>
            </w:r>
          </w:p>
        </w:tc>
        <w:tc>
          <w:tcPr>
            <w:tcW w:w="3910" w:type="dxa"/>
            <w:gridSpan w:val="2"/>
            <w:vAlign w:val="center"/>
          </w:tcPr>
          <w:p w14:paraId="48BFDB84">
            <w:pPr>
              <w:pStyle w:val="29"/>
              <w:spacing w:before="160"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《多联式空调（热泵）机组能效限定值及能源效率等级》（GB21454</w:t>
            </w:r>
          </w:p>
        </w:tc>
      </w:tr>
      <w:tr w14:paraId="2076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716" w:type="dxa"/>
            <w:vMerge w:val="continue"/>
            <w:vAlign w:val="center"/>
          </w:tcPr>
          <w:p w14:paraId="6AA3204F">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35A876AE">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72409AA7">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6946547E">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单元式空气调节机</w:t>
            </w:r>
          </w:p>
        </w:tc>
        <w:tc>
          <w:tcPr>
            <w:tcW w:w="3910" w:type="dxa"/>
            <w:gridSpan w:val="2"/>
            <w:vAlign w:val="center"/>
          </w:tcPr>
          <w:p w14:paraId="1E0B9744">
            <w:pPr>
              <w:pStyle w:val="29"/>
              <w:spacing w:before="4"/>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《单元式空气调节机能效限定值及能源效率等级》（GB19576）《风</w:t>
            </w:r>
          </w:p>
        </w:tc>
      </w:tr>
      <w:tr w14:paraId="796C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716" w:type="dxa"/>
            <w:vMerge w:val="continue"/>
            <w:vAlign w:val="center"/>
          </w:tcPr>
          <w:p w14:paraId="34A798F3">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CAF97A3">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038D2048">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331C0E49">
            <w:pPr>
              <w:pStyle w:val="29"/>
              <w:spacing w:line="256" w:lineRule="exact"/>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(制冷量≤14000W)</w:t>
            </w:r>
          </w:p>
        </w:tc>
        <w:tc>
          <w:tcPr>
            <w:tcW w:w="3910" w:type="dxa"/>
            <w:gridSpan w:val="2"/>
            <w:vAlign w:val="center"/>
          </w:tcPr>
          <w:p w14:paraId="5516EA9D">
            <w:pPr>
              <w:pStyle w:val="29"/>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管送风式空调机组能效限定值及能效等级》（GB37479）</w:t>
            </w:r>
          </w:p>
        </w:tc>
      </w:tr>
      <w:tr w14:paraId="3132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A3A2986">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3D1495A9">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43FD4DD8">
            <w:pPr>
              <w:pStyle w:val="29"/>
              <w:spacing w:before="16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A0206180301洗衣机</w:t>
            </w:r>
          </w:p>
        </w:tc>
        <w:tc>
          <w:tcPr>
            <w:tcW w:w="1769" w:type="dxa"/>
            <w:vAlign w:val="center"/>
          </w:tcPr>
          <w:p w14:paraId="52F41C15">
            <w:pPr>
              <w:jc w:val="center"/>
              <w:rPr>
                <w:rFonts w:cs="宋体" w:asciiTheme="minorEastAsia" w:hAnsiTheme="minorEastAsia" w:eastAsiaTheme="minorEastAsia"/>
                <w:color w:val="auto"/>
                <w:kern w:val="0"/>
                <w:szCs w:val="21"/>
                <w:highlight w:val="none"/>
                <w:lang w:eastAsia="en-US"/>
              </w:rPr>
            </w:pPr>
          </w:p>
        </w:tc>
        <w:tc>
          <w:tcPr>
            <w:tcW w:w="3910" w:type="dxa"/>
            <w:gridSpan w:val="2"/>
            <w:vAlign w:val="center"/>
          </w:tcPr>
          <w:p w14:paraId="4B593B0A">
            <w:pPr>
              <w:pStyle w:val="29"/>
              <w:spacing w:before="6"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《电动洗衣机能效水效限定值及等级》（GB12021.4）</w:t>
            </w:r>
          </w:p>
        </w:tc>
      </w:tr>
      <w:tr w14:paraId="276D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280D900D">
            <w:pP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B45B77B">
            <w:pP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37BAB4E1">
            <w:pPr>
              <w:pStyle w:val="29"/>
              <w:spacing w:before="161"/>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A02061808热水器</w:t>
            </w:r>
          </w:p>
        </w:tc>
        <w:tc>
          <w:tcPr>
            <w:tcW w:w="1769" w:type="dxa"/>
            <w:vAlign w:val="center"/>
          </w:tcPr>
          <w:p w14:paraId="2DDD9B54">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★电热水器</w:t>
            </w:r>
          </w:p>
        </w:tc>
        <w:tc>
          <w:tcPr>
            <w:tcW w:w="3904" w:type="dxa"/>
            <w:vAlign w:val="center"/>
          </w:tcPr>
          <w:p w14:paraId="77B3163C">
            <w:pPr>
              <w:pStyle w:val="29"/>
              <w:tabs>
                <w:tab w:val="left" w:pos="1608"/>
              </w:tabs>
              <w:spacing w:before="52"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《储水式电热水器能效限定值及能效等级》（GB21519）</w:t>
            </w:r>
          </w:p>
        </w:tc>
      </w:tr>
      <w:tr w14:paraId="36B5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05BC30C0">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90F4D6C">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03DA32D6">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19670756">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燃气热水器</w:t>
            </w:r>
          </w:p>
        </w:tc>
        <w:tc>
          <w:tcPr>
            <w:tcW w:w="3904" w:type="dxa"/>
            <w:vAlign w:val="center"/>
          </w:tcPr>
          <w:p w14:paraId="3AB3FAF1">
            <w:pPr>
              <w:pStyle w:val="29"/>
              <w:spacing w:before="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《家用燃气快速热水器和燃气采暖热水炉能效限定值及能效等级》</w:t>
            </w:r>
          </w:p>
          <w:p w14:paraId="06CA8C2A">
            <w:pPr>
              <w:pStyle w:val="29"/>
              <w:spacing w:before="1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（GB20665）</w:t>
            </w:r>
          </w:p>
        </w:tc>
      </w:tr>
      <w:tr w14:paraId="39FB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0ACA5B4A">
            <w:pPr>
              <w:widowControl/>
              <w:jc w:val="center"/>
              <w:rPr>
                <w:rFonts w:cs="宋体" w:asciiTheme="minorEastAsia" w:hAnsiTheme="minorEastAsia" w:eastAsiaTheme="minorEastAsia"/>
                <w:color w:val="auto"/>
                <w:kern w:val="0"/>
                <w:szCs w:val="21"/>
                <w:highlight w:val="none"/>
                <w:lang w:eastAsia="en-US"/>
              </w:rPr>
            </w:pPr>
          </w:p>
        </w:tc>
        <w:tc>
          <w:tcPr>
            <w:tcW w:w="1015" w:type="dxa"/>
            <w:vMerge w:val="continue"/>
            <w:vAlign w:val="center"/>
          </w:tcPr>
          <w:p w14:paraId="2BF29D4D">
            <w:pPr>
              <w:widowControl/>
              <w:jc w:val="center"/>
              <w:rPr>
                <w:rFonts w:cs="宋体" w:asciiTheme="minorEastAsia" w:hAnsiTheme="minorEastAsia" w:eastAsiaTheme="minorEastAsia"/>
                <w:color w:val="auto"/>
                <w:kern w:val="0"/>
                <w:szCs w:val="21"/>
                <w:highlight w:val="none"/>
                <w:lang w:eastAsia="en-US"/>
              </w:rPr>
            </w:pPr>
          </w:p>
        </w:tc>
        <w:tc>
          <w:tcPr>
            <w:tcW w:w="1554" w:type="dxa"/>
            <w:vMerge w:val="continue"/>
            <w:vAlign w:val="center"/>
          </w:tcPr>
          <w:p w14:paraId="732BEDC6">
            <w:pPr>
              <w:widowControl/>
              <w:jc w:val="center"/>
              <w:rPr>
                <w:rFonts w:cs="宋体" w:asciiTheme="minorEastAsia" w:hAnsiTheme="minorEastAsia" w:eastAsiaTheme="minorEastAsia"/>
                <w:color w:val="auto"/>
                <w:kern w:val="0"/>
                <w:szCs w:val="21"/>
                <w:highlight w:val="none"/>
                <w:lang w:eastAsia="en-US"/>
              </w:rPr>
            </w:pPr>
          </w:p>
        </w:tc>
        <w:tc>
          <w:tcPr>
            <w:tcW w:w="1769" w:type="dxa"/>
            <w:vAlign w:val="center"/>
          </w:tcPr>
          <w:p w14:paraId="509AF319">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热泵热水器</w:t>
            </w:r>
          </w:p>
        </w:tc>
        <w:tc>
          <w:tcPr>
            <w:tcW w:w="3904" w:type="dxa"/>
            <w:vAlign w:val="center"/>
          </w:tcPr>
          <w:p w14:paraId="2EE72B32">
            <w:pPr>
              <w:pStyle w:val="29"/>
              <w:spacing w:before="93"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《热泵热水机（器）能效限定值及能效等级》（GB29541）</w:t>
            </w:r>
          </w:p>
        </w:tc>
      </w:tr>
      <w:tr w14:paraId="72BB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C0B1775">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9C8F056">
            <w:pPr>
              <w:widowControl/>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D5EDB0B">
            <w:pPr>
              <w:widowControl/>
              <w:jc w:val="center"/>
              <w:rPr>
                <w:rFonts w:cs="宋体" w:asciiTheme="minorEastAsia" w:hAnsiTheme="minorEastAsia" w:eastAsiaTheme="minorEastAsia"/>
                <w:color w:val="auto"/>
                <w:kern w:val="0"/>
                <w:szCs w:val="21"/>
                <w:highlight w:val="none"/>
              </w:rPr>
            </w:pPr>
          </w:p>
        </w:tc>
        <w:tc>
          <w:tcPr>
            <w:tcW w:w="1769" w:type="dxa"/>
            <w:vAlign w:val="center"/>
          </w:tcPr>
          <w:p w14:paraId="1D68B52E">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太阳能热水系统</w:t>
            </w:r>
          </w:p>
        </w:tc>
        <w:tc>
          <w:tcPr>
            <w:tcW w:w="3904" w:type="dxa"/>
            <w:vAlign w:val="center"/>
          </w:tcPr>
          <w:p w14:paraId="3AF5D9CA">
            <w:pPr>
              <w:pStyle w:val="29"/>
              <w:spacing w:before="52"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《家用太阳能热水系统能效限定值及能效等级》（GB26969）</w:t>
            </w:r>
          </w:p>
        </w:tc>
      </w:tr>
      <w:tr w14:paraId="3319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14:paraId="62EEA4E2">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11</w:t>
            </w:r>
          </w:p>
        </w:tc>
        <w:tc>
          <w:tcPr>
            <w:tcW w:w="1015" w:type="dxa"/>
            <w:vMerge w:val="restart"/>
            <w:vAlign w:val="center"/>
          </w:tcPr>
          <w:p w14:paraId="3C0F02FC">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A020619照明设备</w:t>
            </w:r>
          </w:p>
        </w:tc>
        <w:tc>
          <w:tcPr>
            <w:tcW w:w="1554" w:type="dxa"/>
            <w:vAlign w:val="center"/>
          </w:tcPr>
          <w:p w14:paraId="73AEECA4">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★普通照明用双端荧光灯</w:t>
            </w:r>
          </w:p>
        </w:tc>
        <w:tc>
          <w:tcPr>
            <w:tcW w:w="1769" w:type="dxa"/>
            <w:vAlign w:val="center"/>
          </w:tcPr>
          <w:p w14:paraId="636DE407">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3904" w:type="dxa"/>
            <w:vAlign w:val="center"/>
          </w:tcPr>
          <w:p w14:paraId="132C4828">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《普通照明用双端荧光灯能效限定值及能效等级》（GB19043）</w:t>
            </w:r>
          </w:p>
        </w:tc>
      </w:tr>
      <w:tr w14:paraId="06D3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67B7701">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D25F5BC">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54877108">
            <w:pPr>
              <w:pStyle w:val="29"/>
              <w:spacing w:before="92" w:line="283" w:lineRule="auto"/>
              <w:ind w:left="7" w:right="2"/>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LED道路/隧道照明产品</w:t>
            </w:r>
          </w:p>
        </w:tc>
        <w:tc>
          <w:tcPr>
            <w:tcW w:w="1769" w:type="dxa"/>
            <w:vAlign w:val="center"/>
          </w:tcPr>
          <w:p w14:paraId="15223872">
            <w:pP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610A5B07">
            <w:pPr>
              <w:pStyle w:val="29"/>
              <w:spacing w:before="9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《道路和隧道照明用LED灯具能效限定值及能效等级》（GB37478</w:t>
            </w:r>
          </w:p>
        </w:tc>
      </w:tr>
      <w:tr w14:paraId="2341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6409E43F">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6750124">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1B0CB4A4">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LED筒灯</w:t>
            </w:r>
          </w:p>
        </w:tc>
        <w:tc>
          <w:tcPr>
            <w:tcW w:w="1769" w:type="dxa"/>
            <w:vAlign w:val="center"/>
          </w:tcPr>
          <w:p w14:paraId="7EFAB3F2">
            <w:pP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29B89AC7">
            <w:pPr>
              <w:pStyle w:val="29"/>
              <w:spacing w:before="83"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《室内照明用LED产品能效限定值及能效等级》（GB30255）</w:t>
            </w:r>
          </w:p>
        </w:tc>
      </w:tr>
      <w:tr w14:paraId="2F40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2AFD736">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77EDB30">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705DBB9A">
            <w:pPr>
              <w:pStyle w:val="29"/>
              <w:spacing w:line="283" w:lineRule="auto"/>
              <w:ind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普通照明用非定向自镇流LED灯</w:t>
            </w:r>
          </w:p>
        </w:tc>
        <w:tc>
          <w:tcPr>
            <w:tcW w:w="1769" w:type="dxa"/>
            <w:vAlign w:val="center"/>
          </w:tcPr>
          <w:p w14:paraId="0FE19DD9">
            <w:pPr>
              <w:jc w:val="center"/>
              <w:rPr>
                <w:rFonts w:cs="宋体" w:asciiTheme="minorEastAsia" w:hAnsiTheme="minorEastAsia" w:eastAsiaTheme="minorEastAsia"/>
                <w:color w:val="auto"/>
                <w:kern w:val="0"/>
                <w:szCs w:val="21"/>
                <w:highlight w:val="none"/>
              </w:rPr>
            </w:pPr>
          </w:p>
        </w:tc>
        <w:tc>
          <w:tcPr>
            <w:tcW w:w="3904" w:type="dxa"/>
            <w:vAlign w:val="center"/>
          </w:tcPr>
          <w:p w14:paraId="0F64AF0E">
            <w:pPr>
              <w:pStyle w:val="29"/>
              <w:spacing w:line="283" w:lineRule="auto"/>
              <w:ind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《室内照明用LED产品能效限定值及能效等级》（GB30255）</w:t>
            </w:r>
          </w:p>
        </w:tc>
      </w:tr>
      <w:tr w14:paraId="56D7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691A826B">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w:t>
            </w:r>
          </w:p>
        </w:tc>
        <w:tc>
          <w:tcPr>
            <w:tcW w:w="1015" w:type="dxa"/>
            <w:vAlign w:val="center"/>
          </w:tcPr>
          <w:p w14:paraId="7E23C1AB">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★A020910电视设备</w:t>
            </w:r>
          </w:p>
        </w:tc>
        <w:tc>
          <w:tcPr>
            <w:tcW w:w="1554" w:type="dxa"/>
            <w:vAlign w:val="center"/>
          </w:tcPr>
          <w:p w14:paraId="3E1BEF4A">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A02091001普通电视设备（电视机）</w:t>
            </w:r>
          </w:p>
        </w:tc>
        <w:tc>
          <w:tcPr>
            <w:tcW w:w="1769" w:type="dxa"/>
            <w:vAlign w:val="center"/>
          </w:tcPr>
          <w:p w14:paraId="720618AC">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3904" w:type="dxa"/>
            <w:vAlign w:val="center"/>
          </w:tcPr>
          <w:p w14:paraId="54D59AEA">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《平板电视能效限定值及能效等级》（GB24850）</w:t>
            </w:r>
          </w:p>
        </w:tc>
      </w:tr>
      <w:tr w14:paraId="0768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0332C28B">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13</w:t>
            </w:r>
          </w:p>
        </w:tc>
        <w:tc>
          <w:tcPr>
            <w:tcW w:w="1015" w:type="dxa"/>
            <w:vAlign w:val="center"/>
          </w:tcPr>
          <w:p w14:paraId="45C959E4">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★A020911视频设备</w:t>
            </w:r>
          </w:p>
        </w:tc>
        <w:tc>
          <w:tcPr>
            <w:tcW w:w="1554" w:type="dxa"/>
            <w:vAlign w:val="center"/>
          </w:tcPr>
          <w:p w14:paraId="5889FCC9">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A02091107视频监控设备</w:t>
            </w:r>
          </w:p>
        </w:tc>
        <w:tc>
          <w:tcPr>
            <w:tcW w:w="1769" w:type="dxa"/>
            <w:vAlign w:val="center"/>
          </w:tcPr>
          <w:p w14:paraId="157167C9">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监视器</w:t>
            </w:r>
          </w:p>
        </w:tc>
        <w:tc>
          <w:tcPr>
            <w:tcW w:w="3904" w:type="dxa"/>
            <w:vAlign w:val="center"/>
          </w:tcPr>
          <w:p w14:paraId="7B484CD6">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680C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7445B96E">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w:t>
            </w:r>
          </w:p>
        </w:tc>
        <w:tc>
          <w:tcPr>
            <w:tcW w:w="1015" w:type="dxa"/>
            <w:vAlign w:val="center"/>
          </w:tcPr>
          <w:p w14:paraId="29137C7C">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A031210饮食炊事机械</w:t>
            </w:r>
          </w:p>
        </w:tc>
        <w:tc>
          <w:tcPr>
            <w:tcW w:w="1554" w:type="dxa"/>
            <w:vAlign w:val="center"/>
          </w:tcPr>
          <w:p w14:paraId="1035DFC0">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商用燃气灶具</w:t>
            </w:r>
          </w:p>
        </w:tc>
        <w:tc>
          <w:tcPr>
            <w:tcW w:w="1769" w:type="dxa"/>
            <w:vAlign w:val="center"/>
          </w:tcPr>
          <w:p w14:paraId="13766175">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792BAD3B">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《商用燃气灶具能效限定值及能效等级》（GB30531）</w:t>
            </w:r>
          </w:p>
        </w:tc>
      </w:tr>
      <w:tr w14:paraId="7024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14:paraId="41094527">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15</w:t>
            </w:r>
          </w:p>
        </w:tc>
        <w:tc>
          <w:tcPr>
            <w:tcW w:w="1015" w:type="dxa"/>
            <w:vMerge w:val="restart"/>
            <w:vAlign w:val="center"/>
          </w:tcPr>
          <w:p w14:paraId="523C3E9F">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★A060805便器</w:t>
            </w:r>
          </w:p>
        </w:tc>
        <w:tc>
          <w:tcPr>
            <w:tcW w:w="1554" w:type="dxa"/>
            <w:vAlign w:val="center"/>
          </w:tcPr>
          <w:p w14:paraId="3300F36A">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坐便器</w:t>
            </w:r>
          </w:p>
        </w:tc>
        <w:tc>
          <w:tcPr>
            <w:tcW w:w="1769" w:type="dxa"/>
            <w:vAlign w:val="center"/>
          </w:tcPr>
          <w:p w14:paraId="546F357C">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4383595E">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《坐便器水效限定值及水效等级》</w:t>
            </w:r>
          </w:p>
          <w:p w14:paraId="6643CB9D">
            <w:pPr>
              <w:pStyle w:val="29"/>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（GB25502）</w:t>
            </w:r>
          </w:p>
        </w:tc>
      </w:tr>
      <w:tr w14:paraId="0610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7706685A">
            <w:pPr>
              <w:widowControl/>
              <w:jc w:val="center"/>
              <w:rPr>
                <w:rFonts w:cs="宋体" w:asciiTheme="minorEastAsia" w:hAnsiTheme="minorEastAsia" w:eastAsiaTheme="minorEastAsia"/>
                <w:color w:val="auto"/>
                <w:kern w:val="0"/>
                <w:szCs w:val="21"/>
                <w:highlight w:val="none"/>
                <w:lang w:eastAsia="en-US"/>
              </w:rPr>
            </w:pPr>
          </w:p>
        </w:tc>
        <w:tc>
          <w:tcPr>
            <w:tcW w:w="1015" w:type="dxa"/>
            <w:vMerge w:val="continue"/>
            <w:vAlign w:val="center"/>
          </w:tcPr>
          <w:p w14:paraId="4B4673D5">
            <w:pPr>
              <w:widowControl/>
              <w:jc w:val="center"/>
              <w:rPr>
                <w:rFonts w:cs="宋体" w:asciiTheme="minorEastAsia" w:hAnsiTheme="minorEastAsia" w:eastAsiaTheme="minorEastAsia"/>
                <w:color w:val="auto"/>
                <w:kern w:val="0"/>
                <w:szCs w:val="21"/>
                <w:highlight w:val="none"/>
                <w:lang w:eastAsia="en-US"/>
              </w:rPr>
            </w:pPr>
          </w:p>
        </w:tc>
        <w:tc>
          <w:tcPr>
            <w:tcW w:w="1554" w:type="dxa"/>
            <w:vAlign w:val="center"/>
          </w:tcPr>
          <w:p w14:paraId="29E431CC">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蹲便器</w:t>
            </w:r>
          </w:p>
        </w:tc>
        <w:tc>
          <w:tcPr>
            <w:tcW w:w="1769" w:type="dxa"/>
            <w:vAlign w:val="center"/>
          </w:tcPr>
          <w:p w14:paraId="15CAF155">
            <w:pP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1079232C">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《蹲便器用水效率限定值及用水效率等级》（GB30717）</w:t>
            </w:r>
          </w:p>
        </w:tc>
      </w:tr>
      <w:tr w14:paraId="7A3D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06034E02">
            <w:pPr>
              <w:widowControl/>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3F529CF">
            <w:pPr>
              <w:widowControl/>
              <w:jc w:val="center"/>
              <w:rPr>
                <w:rFonts w:cs="宋体" w:asciiTheme="minorEastAsia" w:hAnsiTheme="minorEastAsia" w:eastAsiaTheme="minorEastAsia"/>
                <w:color w:val="auto"/>
                <w:kern w:val="0"/>
                <w:szCs w:val="21"/>
                <w:highlight w:val="none"/>
              </w:rPr>
            </w:pPr>
          </w:p>
        </w:tc>
        <w:tc>
          <w:tcPr>
            <w:tcW w:w="1554" w:type="dxa"/>
            <w:vAlign w:val="center"/>
          </w:tcPr>
          <w:p w14:paraId="6DFD2540">
            <w:pPr>
              <w:pStyle w:val="29"/>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小便器</w:t>
            </w:r>
          </w:p>
        </w:tc>
        <w:tc>
          <w:tcPr>
            <w:tcW w:w="1769" w:type="dxa"/>
            <w:vAlign w:val="center"/>
          </w:tcPr>
          <w:p w14:paraId="1A780DDC">
            <w:pP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03C2A249">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《小便器用水效率限定值及用水效率等级》（GB28377）</w:t>
            </w:r>
          </w:p>
        </w:tc>
      </w:tr>
      <w:tr w14:paraId="57B4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21DAAE2E">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16</w:t>
            </w:r>
          </w:p>
        </w:tc>
        <w:tc>
          <w:tcPr>
            <w:tcW w:w="1015" w:type="dxa"/>
            <w:vAlign w:val="center"/>
          </w:tcPr>
          <w:p w14:paraId="26B29852">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★A060806水嘴</w:t>
            </w:r>
          </w:p>
        </w:tc>
        <w:tc>
          <w:tcPr>
            <w:tcW w:w="1554" w:type="dxa"/>
            <w:vAlign w:val="center"/>
          </w:tcPr>
          <w:p w14:paraId="620F6E1F">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3BF47531">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626FC7CB">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《水嘴用水效率限定值及用水效率等级》（GB 25501）</w:t>
            </w:r>
          </w:p>
        </w:tc>
      </w:tr>
      <w:tr w14:paraId="0C83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jc w:val="center"/>
        </w:trPr>
        <w:tc>
          <w:tcPr>
            <w:tcW w:w="716" w:type="dxa"/>
            <w:vAlign w:val="center"/>
          </w:tcPr>
          <w:p w14:paraId="3ADEC3BE">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17</w:t>
            </w:r>
          </w:p>
        </w:tc>
        <w:tc>
          <w:tcPr>
            <w:tcW w:w="1015" w:type="dxa"/>
            <w:vAlign w:val="center"/>
          </w:tcPr>
          <w:p w14:paraId="00C65523">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A060807便器冲洗阀</w:t>
            </w:r>
          </w:p>
        </w:tc>
        <w:tc>
          <w:tcPr>
            <w:tcW w:w="1554" w:type="dxa"/>
            <w:vAlign w:val="center"/>
          </w:tcPr>
          <w:p w14:paraId="534B5756">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2B239833">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2AAD654A">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《便器冲洗阀用水效率限定值及用水效率等级》（GB28379）</w:t>
            </w:r>
          </w:p>
        </w:tc>
      </w:tr>
      <w:tr w14:paraId="7D66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2" w:hRule="exact"/>
          <w:jc w:val="center"/>
        </w:trPr>
        <w:tc>
          <w:tcPr>
            <w:tcW w:w="716" w:type="dxa"/>
            <w:vAlign w:val="center"/>
          </w:tcPr>
          <w:p w14:paraId="5BAC45B6">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18</w:t>
            </w:r>
          </w:p>
        </w:tc>
        <w:tc>
          <w:tcPr>
            <w:tcW w:w="1015" w:type="dxa"/>
            <w:vAlign w:val="center"/>
          </w:tcPr>
          <w:p w14:paraId="64A68579">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A060810淋浴器</w:t>
            </w:r>
          </w:p>
        </w:tc>
        <w:tc>
          <w:tcPr>
            <w:tcW w:w="1554" w:type="dxa"/>
            <w:vAlign w:val="center"/>
          </w:tcPr>
          <w:p w14:paraId="02E60C2F">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1769" w:type="dxa"/>
            <w:vAlign w:val="center"/>
          </w:tcPr>
          <w:p w14:paraId="1E38DBB0">
            <w:pPr>
              <w:pStyle w:val="29"/>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3A0A404B">
            <w:pPr>
              <w:pStyle w:val="29"/>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《淋浴器用水效率限定值及用水效率等级》（GB28378）</w:t>
            </w:r>
          </w:p>
        </w:tc>
      </w:tr>
    </w:tbl>
    <w:p w14:paraId="64B4F929">
      <w:pPr>
        <w:pStyle w:val="12"/>
        <w:spacing w:line="24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pacing w:val="-3"/>
          <w:sz w:val="21"/>
          <w:szCs w:val="21"/>
          <w:highlight w:val="none"/>
        </w:rPr>
        <w:t>注：1.节能产品认证应依据相关国家标准的最新版本，依据国家标准中二级能效（水效）</w:t>
      </w:r>
      <w:r>
        <w:rPr>
          <w:rFonts w:hint="eastAsia" w:cs="宋体" w:asciiTheme="minorEastAsia" w:hAnsiTheme="minorEastAsia" w:eastAsiaTheme="minorEastAsia"/>
          <w:color w:val="auto"/>
          <w:sz w:val="21"/>
          <w:szCs w:val="21"/>
          <w:highlight w:val="none"/>
        </w:rPr>
        <w:t>指标。</w:t>
      </w:r>
    </w:p>
    <w:p w14:paraId="4CB62240">
      <w:pPr>
        <w:snapToGrid w:val="0"/>
        <w:jc w:val="left"/>
        <w:outlineLvl w:val="1"/>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    2.以“★”标注的为政府强制采购产品。</w:t>
      </w:r>
    </w:p>
    <w:p w14:paraId="7BCB2412">
      <w:pPr>
        <w:rPr>
          <w:rFonts w:cs="Arial Unicode MS" w:asciiTheme="minorEastAsia" w:hAnsiTheme="minorEastAsia" w:eastAsiaTheme="minorEastAsia"/>
          <w:color w:val="auto"/>
          <w:sz w:val="20"/>
          <w:szCs w:val="20"/>
          <w:highlight w:val="none"/>
        </w:rPr>
      </w:pPr>
    </w:p>
    <w:p w14:paraId="79290755">
      <w:pPr>
        <w:rPr>
          <w:rFonts w:cs="Arial Unicode MS" w:asciiTheme="minorEastAsia" w:hAnsiTheme="minorEastAsia" w:eastAsiaTheme="minorEastAsia"/>
          <w:color w:val="auto"/>
          <w:sz w:val="20"/>
          <w:szCs w:val="20"/>
          <w:highlight w:val="none"/>
        </w:rPr>
      </w:pPr>
    </w:p>
    <w:p w14:paraId="324610DD">
      <w:pPr>
        <w:rPr>
          <w:rFonts w:cs="Arial Unicode MS" w:asciiTheme="minorEastAsia" w:hAnsiTheme="minorEastAsia" w:eastAsiaTheme="minorEastAsia"/>
          <w:color w:val="auto"/>
          <w:sz w:val="20"/>
          <w:szCs w:val="20"/>
          <w:highlight w:val="none"/>
        </w:rPr>
      </w:pPr>
    </w:p>
    <w:p w14:paraId="611F3D19">
      <w:pPr>
        <w:widowControl/>
        <w:jc w:val="left"/>
        <w:rPr>
          <w:rFonts w:cs="宋体" w:asciiTheme="minorEastAsia" w:hAnsiTheme="minorEastAsia" w:eastAsiaTheme="minorEastAsia"/>
          <w:color w:val="auto"/>
          <w:sz w:val="20"/>
          <w:szCs w:val="20"/>
          <w:highlight w:val="none"/>
        </w:rPr>
      </w:pPr>
    </w:p>
    <w:p w14:paraId="06C92D05">
      <w:pPr>
        <w:widowControl/>
        <w:jc w:val="left"/>
        <w:rPr>
          <w:rFonts w:cs="宋体" w:asciiTheme="minorEastAsia" w:hAnsiTheme="minorEastAsia" w:eastAsiaTheme="minorEastAsia"/>
          <w:color w:val="auto"/>
          <w:sz w:val="20"/>
          <w:szCs w:val="20"/>
          <w:highlight w:val="none"/>
        </w:rPr>
      </w:pPr>
    </w:p>
    <w:p w14:paraId="7F6D7B19">
      <w:pPr>
        <w:widowControl/>
        <w:jc w:val="left"/>
        <w:rPr>
          <w:rFonts w:cs="宋体" w:asciiTheme="minorEastAsia" w:hAnsiTheme="minorEastAsia" w:eastAsiaTheme="minorEastAsia"/>
          <w:color w:val="auto"/>
          <w:sz w:val="20"/>
          <w:szCs w:val="20"/>
          <w:highlight w:val="none"/>
        </w:rPr>
      </w:pPr>
    </w:p>
    <w:p w14:paraId="022F7258">
      <w:pPr>
        <w:pStyle w:val="2"/>
        <w:spacing w:before="0" w:after="0" w:line="360" w:lineRule="auto"/>
        <w:jc w:val="center"/>
        <w:rPr>
          <w:rFonts w:asciiTheme="minorEastAsia" w:hAnsiTheme="minorEastAsia" w:eastAsiaTheme="minorEastAsia"/>
          <w:color w:val="auto"/>
          <w:highlight w:val="none"/>
        </w:rPr>
      </w:pPr>
      <w:bookmarkStart w:id="38" w:name="_Toc74320802"/>
      <w:bookmarkEnd w:id="38"/>
      <w:r>
        <w:rPr>
          <w:rFonts w:asciiTheme="minorEastAsia" w:hAnsiTheme="minorEastAsia" w:eastAsiaTheme="minorEastAsia"/>
          <w:color w:val="auto"/>
          <w:highlight w:val="none"/>
        </w:rPr>
        <w:br w:type="page"/>
      </w:r>
      <w:r>
        <w:rPr>
          <w:rFonts w:hint="eastAsia" w:asciiTheme="minorEastAsia" w:hAnsiTheme="minorEastAsia" w:eastAsiaTheme="minorEastAsia"/>
          <w:color w:val="auto"/>
          <w:highlight w:val="none"/>
        </w:rPr>
        <w:t>第三章  投标人须知</w:t>
      </w:r>
    </w:p>
    <w:p w14:paraId="05C00541">
      <w:pPr>
        <w:jc w:val="center"/>
        <w:outlineLvl w:val="1"/>
        <w:rPr>
          <w:rFonts w:asciiTheme="minorEastAsia" w:hAnsiTheme="minorEastAsia" w:eastAsiaTheme="minorEastAsia"/>
          <w:color w:val="auto"/>
          <w:sz w:val="36"/>
          <w:szCs w:val="36"/>
          <w:highlight w:val="none"/>
        </w:rPr>
      </w:pPr>
      <w:bookmarkStart w:id="39" w:name="_Toc254970526"/>
      <w:bookmarkEnd w:id="39"/>
      <w:bookmarkStart w:id="40" w:name="_Toc254970667"/>
      <w:bookmarkEnd w:id="40"/>
      <w:r>
        <w:rPr>
          <w:rFonts w:hint="eastAsia" w:asciiTheme="minorEastAsia" w:hAnsiTheme="minorEastAsia" w:eastAsiaTheme="minorEastAsia"/>
          <w:color w:val="auto"/>
          <w:sz w:val="36"/>
          <w:szCs w:val="36"/>
          <w:highlight w:val="none"/>
        </w:rPr>
        <w:t>投标人须知前附表</w:t>
      </w:r>
    </w:p>
    <w:tbl>
      <w:tblPr>
        <w:tblStyle w:val="23"/>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96"/>
        <w:gridCol w:w="8756"/>
      </w:tblGrid>
      <w:tr w14:paraId="1C43F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6FAC9A15">
            <w:pPr>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条款号</w:t>
            </w:r>
          </w:p>
        </w:tc>
        <w:tc>
          <w:tcPr>
            <w:tcW w:w="4443" w:type="pct"/>
            <w:tcBorders>
              <w:top w:val="single" w:color="auto" w:sz="4" w:space="0"/>
              <w:left w:val="single" w:color="auto" w:sz="4" w:space="0"/>
              <w:bottom w:val="single" w:color="auto" w:sz="4" w:space="0"/>
              <w:right w:val="single" w:color="auto" w:sz="4" w:space="0"/>
            </w:tcBorders>
            <w:vAlign w:val="center"/>
          </w:tcPr>
          <w:p w14:paraId="70AFE95A">
            <w:pPr>
              <w:snapToGrid w:val="0"/>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编列内容</w:t>
            </w:r>
          </w:p>
        </w:tc>
      </w:tr>
      <w:tr w14:paraId="6003F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61D4BA3C">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w:t>
            </w:r>
          </w:p>
        </w:tc>
        <w:tc>
          <w:tcPr>
            <w:tcW w:w="4443" w:type="pct"/>
            <w:tcBorders>
              <w:top w:val="single" w:color="auto" w:sz="4" w:space="0"/>
              <w:left w:val="single" w:color="auto" w:sz="4" w:space="0"/>
              <w:bottom w:val="single" w:color="auto" w:sz="4" w:space="0"/>
              <w:right w:val="single" w:color="auto" w:sz="4" w:space="0"/>
            </w:tcBorders>
            <w:vAlign w:val="center"/>
          </w:tcPr>
          <w:p w14:paraId="42E09799">
            <w:pPr>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投标人的资格要求详见招标公告。</w:t>
            </w:r>
          </w:p>
          <w:p w14:paraId="5AF9CC44">
            <w:pPr>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投标人出现下列情形之一的，不得参加政府采购活动：</w:t>
            </w:r>
          </w:p>
          <w:p w14:paraId="4AECE2B5">
            <w:pPr>
              <w:snapToGrid w:val="0"/>
              <w:spacing w:line="400" w:lineRule="exact"/>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2.1</w:t>
            </w:r>
            <w:r>
              <w:rPr>
                <w:rFonts w:hint="eastAsia" w:asciiTheme="minorEastAsia" w:hAnsiTheme="minorEastAsia" w:eastAsiaTheme="minorEastAsia"/>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5FBE431">
            <w:pPr>
              <w:snapToGrid w:val="0"/>
              <w:spacing w:line="400" w:lineRule="exact"/>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2.2</w:t>
            </w:r>
            <w:r>
              <w:rPr>
                <w:rFonts w:hint="eastAsia" w:asciiTheme="minorEastAsia" w:hAnsiTheme="minorEastAsia" w:eastAsiaTheme="minorEastAsia"/>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3D7901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09583CFD">
            <w:pPr>
              <w:spacing w:line="400" w:lineRule="exact"/>
              <w:jc w:val="center"/>
              <w:rPr>
                <w:rFonts w:asciiTheme="minorEastAsia" w:hAnsiTheme="minorEastAsia" w:eastAsiaTheme="minorEastAsia"/>
                <w:color w:val="auto"/>
                <w:szCs w:val="21"/>
                <w:highlight w:val="none"/>
              </w:rPr>
            </w:pPr>
            <w:bookmarkStart w:id="41" w:name="_9.2"/>
            <w:bookmarkEnd w:id="41"/>
            <w:bookmarkStart w:id="42" w:name="_8.1"/>
            <w:bookmarkEnd w:id="42"/>
            <w:bookmarkStart w:id="43" w:name="_5"/>
            <w:bookmarkEnd w:id="43"/>
            <w:r>
              <w:rPr>
                <w:rFonts w:hint="eastAsia" w:asciiTheme="minorEastAsia" w:hAnsiTheme="minorEastAsia" w:eastAsiaTheme="minorEastAsia"/>
                <w:color w:val="auto"/>
                <w:szCs w:val="21"/>
                <w:highlight w:val="none"/>
              </w:rPr>
              <w:t>6.1</w:t>
            </w:r>
          </w:p>
        </w:tc>
        <w:tc>
          <w:tcPr>
            <w:tcW w:w="4443" w:type="pct"/>
            <w:tcBorders>
              <w:top w:val="single" w:color="auto" w:sz="4" w:space="0"/>
              <w:left w:val="single" w:color="auto" w:sz="4" w:space="0"/>
              <w:bottom w:val="single" w:color="auto" w:sz="4" w:space="0"/>
              <w:right w:val="single" w:color="auto" w:sz="4" w:space="0"/>
            </w:tcBorders>
            <w:vAlign w:val="center"/>
          </w:tcPr>
          <w:p w14:paraId="65C7915A">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本项目是否接受联合体投标：详见招标公告。</w:t>
            </w:r>
          </w:p>
        </w:tc>
      </w:tr>
      <w:tr w14:paraId="642BD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74162A0C">
            <w:pPr>
              <w:spacing w:line="40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6.2</w:t>
            </w:r>
          </w:p>
        </w:tc>
        <w:tc>
          <w:tcPr>
            <w:tcW w:w="4443" w:type="pct"/>
            <w:tcBorders>
              <w:top w:val="single" w:color="auto" w:sz="4" w:space="0"/>
              <w:left w:val="single" w:color="auto" w:sz="4" w:space="0"/>
              <w:bottom w:val="single" w:color="auto" w:sz="4" w:space="0"/>
              <w:right w:val="single" w:color="auto" w:sz="4" w:space="0"/>
            </w:tcBorders>
            <w:vAlign w:val="center"/>
          </w:tcPr>
          <w:p w14:paraId="54C016A8">
            <w:pPr>
              <w:pStyle w:val="10"/>
              <w:spacing w:line="400" w:lineRule="exact"/>
              <w:rPr>
                <w:rFonts w:asciiTheme="minorEastAsia" w:hAnsiTheme="minorEastAsia" w:eastAsiaTheme="minorEastAsia"/>
                <w:color w:val="auto"/>
                <w:szCs w:val="21"/>
                <w:highlight w:val="none"/>
              </w:rPr>
            </w:pPr>
            <w:bookmarkStart w:id="44" w:name="_Hlk54105293"/>
            <w:bookmarkEnd w:id="44"/>
            <w:r>
              <w:rPr>
                <w:rFonts w:hint="eastAsia" w:asciiTheme="minorEastAsia" w:hAnsiTheme="minorEastAsia" w:eastAsiaTheme="minorEastAsia"/>
                <w:color w:val="auto"/>
                <w:szCs w:val="21"/>
                <w:highlight w:val="none"/>
              </w:rPr>
              <w:t>如接受联合体投标，联合体投标要求如下：</w:t>
            </w:r>
          </w:p>
          <w:p w14:paraId="2F25F1F1">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两个以上投标人可以组成一个投标联合体，以一个投标人的身份共同参加投标。联合体投标的，须提供《联合体投标协议书》（格式后附）。</w:t>
            </w:r>
          </w:p>
          <w:p w14:paraId="61F2F2AB">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5678F78C">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联合体各方之间必须签订联合投标协议，协议书必须明确主体方（或者牵头方）并明确约定联合体各方承担的工作和相应的责任（各方承担责任与义务的分工必须符合采购需求，否则，</w:t>
            </w:r>
            <w:r>
              <w:rPr>
                <w:rFonts w:hint="eastAsia" w:asciiTheme="minorEastAsia" w:hAnsiTheme="minorEastAsia" w:eastAsiaTheme="minorEastAsia"/>
                <w:b/>
                <w:bCs/>
                <w:color w:val="auto"/>
                <w:szCs w:val="21"/>
                <w:highlight w:val="none"/>
              </w:rPr>
              <w:t>联合体投标无效</w:t>
            </w:r>
            <w:r>
              <w:rPr>
                <w:rFonts w:hint="eastAsia" w:asciiTheme="minorEastAsia" w:hAnsiTheme="minorEastAsia" w:eastAsiaTheme="minorEastAsia"/>
                <w:color w:val="auto"/>
                <w:szCs w:val="21"/>
                <w:highlight w:val="none"/>
              </w:rPr>
              <w:t>），并将联合投标协议放入投标文件。联合体各方必须共同与采购人签订采购合同，就采购合同约定的事项对采购人承担连带责任。</w:t>
            </w:r>
          </w:p>
          <w:p w14:paraId="5141AB91">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4</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以联合体形式参加政府采购活动的，联合体各方不得再单独参加或者与其他投标人另外组成联合体参加同一合同项下的政府采购活动。</w:t>
            </w:r>
          </w:p>
          <w:p w14:paraId="3A19EA21">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联合体中有同类资质的投标人按照联合体分工承担相同工作的，应当按照资质等级较低的投标人确定资质等级。</w:t>
            </w:r>
          </w:p>
          <w:p w14:paraId="0CEA8F67">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6</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联合体投标业绩、履约能力按照联合体各方其中较高的一方认定并计算（招标文件另有规定的除外）。</w:t>
            </w:r>
          </w:p>
          <w:p w14:paraId="024A47B3">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投标人为联合体的，可以由联合体中的一方或者多方共同交纳投标保证金，其交纳的保证金对联合体各方均具有约束力。</w:t>
            </w:r>
          </w:p>
          <w:p w14:paraId="613AF855">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8</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联合体各方均应按照招标文件的规定提交资格证明文件。</w:t>
            </w:r>
          </w:p>
        </w:tc>
      </w:tr>
      <w:tr w14:paraId="10AC8E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67460397">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7.2</w:t>
            </w:r>
          </w:p>
        </w:tc>
        <w:tc>
          <w:tcPr>
            <w:tcW w:w="4443" w:type="pct"/>
            <w:tcBorders>
              <w:top w:val="single" w:color="auto" w:sz="4" w:space="0"/>
              <w:left w:val="single" w:color="auto" w:sz="4" w:space="0"/>
              <w:bottom w:val="single" w:color="auto" w:sz="4" w:space="0"/>
              <w:right w:val="single" w:color="auto" w:sz="4" w:space="0"/>
            </w:tcBorders>
            <w:vAlign w:val="center"/>
          </w:tcPr>
          <w:p w14:paraId="7D53B847">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不允许分包</w:t>
            </w:r>
          </w:p>
          <w:p w14:paraId="4A4EEC07">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□允许分包</w:t>
            </w:r>
          </w:p>
          <w:p w14:paraId="69485AEC">
            <w:pPr>
              <w:pStyle w:val="10"/>
              <w:spacing w:line="400" w:lineRule="exact"/>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分包内容：</w:t>
            </w:r>
            <w:r>
              <w:rPr>
                <w:rFonts w:hint="eastAsia" w:asciiTheme="minorEastAsia" w:hAnsiTheme="minorEastAsia" w:eastAsiaTheme="minorEastAsia"/>
                <w:color w:val="auto"/>
                <w:szCs w:val="21"/>
                <w:highlight w:val="none"/>
                <w:u w:val="single"/>
              </w:rPr>
              <w:t xml:space="preserve">                                     。</w:t>
            </w:r>
          </w:p>
          <w:p w14:paraId="2767EE96">
            <w:pPr>
              <w:pStyle w:val="10"/>
              <w:spacing w:line="400" w:lineRule="exact"/>
              <w:jc w:val="both"/>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分包金额或者比例：</w:t>
            </w:r>
            <w:r>
              <w:rPr>
                <w:rFonts w:hint="eastAsia" w:asciiTheme="minorEastAsia" w:hAnsiTheme="minorEastAsia" w:eastAsiaTheme="minorEastAsia"/>
                <w:color w:val="auto"/>
                <w:szCs w:val="21"/>
                <w:highlight w:val="none"/>
                <w:u w:val="single"/>
              </w:rPr>
              <w:t xml:space="preserve">                                     。</w:t>
            </w:r>
          </w:p>
        </w:tc>
      </w:tr>
      <w:tr w14:paraId="7182A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4DA5F432">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8.1</w:t>
            </w:r>
          </w:p>
        </w:tc>
        <w:tc>
          <w:tcPr>
            <w:tcW w:w="4443" w:type="pct"/>
            <w:tcBorders>
              <w:top w:val="single" w:color="auto" w:sz="4" w:space="0"/>
              <w:left w:val="single" w:color="auto" w:sz="4" w:space="0"/>
              <w:bottom w:val="single" w:color="auto" w:sz="4" w:space="0"/>
              <w:right w:val="single" w:color="auto" w:sz="4" w:space="0"/>
            </w:tcBorders>
            <w:vAlign w:val="center"/>
          </w:tcPr>
          <w:p w14:paraId="79D13AA6">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采用综合评分法的采购项目，提供相同品牌产品（非单一产品采购项目的，指核心产品）的不同投标人评审得分相同时，按照下列方式确定一个投标人获得中标人推荐资格：</w:t>
            </w:r>
          </w:p>
          <w:p w14:paraId="2F5270F6">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依次按投标报价低的优先、政策分得分高的优先、技术评分高的优先、商务评分高的优先、保修期长优先、交货期短优先、故障响应时间短优先的顺序推荐；</w:t>
            </w:r>
          </w:p>
          <w:p w14:paraId="6E631ECB">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□随机抽取；</w:t>
            </w:r>
          </w:p>
        </w:tc>
      </w:tr>
      <w:tr w14:paraId="22D4C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556" w:type="pct"/>
            <w:vMerge w:val="restart"/>
            <w:tcBorders>
              <w:top w:val="single" w:color="auto" w:sz="4" w:space="0"/>
              <w:left w:val="single" w:color="auto" w:sz="4" w:space="0"/>
              <w:right w:val="single" w:color="auto" w:sz="4" w:space="0"/>
            </w:tcBorders>
            <w:vAlign w:val="center"/>
          </w:tcPr>
          <w:p w14:paraId="0112D959">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1.2</w:t>
            </w:r>
          </w:p>
        </w:tc>
        <w:tc>
          <w:tcPr>
            <w:tcW w:w="4443" w:type="pct"/>
            <w:tcBorders>
              <w:top w:val="single" w:color="auto" w:sz="4" w:space="0"/>
              <w:left w:val="single" w:color="auto" w:sz="4" w:space="0"/>
              <w:bottom w:val="single" w:color="auto" w:sz="4" w:space="0"/>
              <w:right w:val="single" w:color="auto" w:sz="4" w:space="0"/>
            </w:tcBorders>
            <w:vAlign w:val="center"/>
          </w:tcPr>
          <w:p w14:paraId="2379B4EA">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不组织现场踏勘</w:t>
            </w:r>
          </w:p>
          <w:p w14:paraId="3EA8DAF4">
            <w:pPr>
              <w:snapToGrid w:val="0"/>
              <w:spacing w:line="400" w:lineRule="exact"/>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□组织现场踏勘：</w:t>
            </w:r>
            <w:r>
              <w:rPr>
                <w:rFonts w:hint="eastAsia" w:asciiTheme="minorEastAsia" w:hAnsiTheme="minorEastAsia" w:eastAsiaTheme="minorEastAsia"/>
                <w:color w:val="auto"/>
                <w:szCs w:val="21"/>
                <w:highlight w:val="none"/>
                <w:u w:val="single"/>
              </w:rPr>
              <w:t xml:space="preserve">                    </w:t>
            </w:r>
          </w:p>
        </w:tc>
      </w:tr>
      <w:tr w14:paraId="1F9CE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556" w:type="pct"/>
            <w:vMerge w:val="continue"/>
            <w:tcBorders>
              <w:left w:val="single" w:color="auto" w:sz="4" w:space="0"/>
              <w:bottom w:val="single" w:color="auto" w:sz="4" w:space="0"/>
              <w:right w:val="single" w:color="auto" w:sz="4" w:space="0"/>
            </w:tcBorders>
            <w:vAlign w:val="center"/>
          </w:tcPr>
          <w:p w14:paraId="03E5869D">
            <w:pPr>
              <w:spacing w:line="400" w:lineRule="exact"/>
              <w:jc w:val="center"/>
              <w:rPr>
                <w:rFonts w:asciiTheme="minorEastAsia" w:hAnsiTheme="minorEastAsia" w:eastAsiaTheme="minorEastAsia"/>
                <w:color w:val="auto"/>
                <w:szCs w:val="21"/>
                <w:highlight w:val="none"/>
              </w:rPr>
            </w:pPr>
          </w:p>
        </w:tc>
        <w:tc>
          <w:tcPr>
            <w:tcW w:w="4443" w:type="pct"/>
            <w:tcBorders>
              <w:top w:val="single" w:color="auto" w:sz="4" w:space="0"/>
              <w:left w:val="single" w:color="auto" w:sz="4" w:space="0"/>
              <w:bottom w:val="single" w:color="auto" w:sz="4" w:space="0"/>
              <w:right w:val="single" w:color="auto" w:sz="4" w:space="0"/>
            </w:tcBorders>
            <w:vAlign w:val="center"/>
          </w:tcPr>
          <w:p w14:paraId="781234E6">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不组织召开开标前答疑会</w:t>
            </w:r>
          </w:p>
          <w:p w14:paraId="53633038">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□组织召开开标前答疑会</w:t>
            </w:r>
          </w:p>
          <w:p w14:paraId="4896DDC2">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会议开始时间：年月日 时</w:t>
            </w:r>
            <w:r>
              <w:rPr>
                <w:rFonts w:hint="eastAsia" w:asciiTheme="minorEastAsia" w:hAnsiTheme="minorEastAsia" w:eastAsiaTheme="minorEastAsia"/>
                <w:color w:val="auto"/>
                <w:szCs w:val="21"/>
                <w:highlight w:val="none"/>
                <w:u w:val="single"/>
              </w:rPr>
              <w:t xml:space="preserve">  分</w:t>
            </w:r>
            <w:r>
              <w:rPr>
                <w:rFonts w:hint="eastAsia" w:asciiTheme="minorEastAsia" w:hAnsiTheme="minorEastAsia" w:eastAsiaTheme="minorEastAsia"/>
                <w:color w:val="auto"/>
                <w:szCs w:val="21"/>
                <w:highlight w:val="none"/>
              </w:rPr>
              <w:t>，逾期后果自负。会议地点：</w:t>
            </w:r>
          </w:p>
        </w:tc>
      </w:tr>
      <w:tr w14:paraId="0D0D9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vMerge w:val="restart"/>
            <w:tcBorders>
              <w:top w:val="single" w:color="auto" w:sz="4" w:space="0"/>
              <w:left w:val="single" w:color="auto" w:sz="4" w:space="0"/>
              <w:right w:val="single" w:color="auto" w:sz="4" w:space="0"/>
            </w:tcBorders>
            <w:vAlign w:val="center"/>
          </w:tcPr>
          <w:p w14:paraId="500E45B4">
            <w:pPr>
              <w:spacing w:line="400" w:lineRule="exact"/>
              <w:jc w:val="center"/>
              <w:rPr>
                <w:rFonts w:asciiTheme="minorEastAsia" w:hAnsiTheme="minorEastAsia" w:eastAsiaTheme="minorEastAsia"/>
                <w:color w:val="auto"/>
                <w:szCs w:val="21"/>
                <w:highlight w:val="none"/>
              </w:rPr>
            </w:pPr>
            <w:bookmarkStart w:id="45" w:name="_13.1"/>
            <w:bookmarkEnd w:id="45"/>
            <w:r>
              <w:rPr>
                <w:rFonts w:hint="eastAsia" w:asciiTheme="minorEastAsia" w:hAnsiTheme="minorEastAsia" w:eastAsiaTheme="minorEastAsia"/>
                <w:color w:val="auto"/>
                <w:szCs w:val="21"/>
                <w:highlight w:val="none"/>
              </w:rPr>
              <w:t>13</w:t>
            </w:r>
          </w:p>
        </w:tc>
        <w:tc>
          <w:tcPr>
            <w:tcW w:w="4443" w:type="pct"/>
            <w:tcBorders>
              <w:top w:val="single" w:color="auto" w:sz="4" w:space="0"/>
              <w:left w:val="single" w:color="auto" w:sz="4" w:space="0"/>
              <w:bottom w:val="single" w:color="auto" w:sz="4" w:space="0"/>
              <w:right w:val="single" w:color="auto" w:sz="4" w:space="0"/>
            </w:tcBorders>
            <w:vAlign w:val="center"/>
          </w:tcPr>
          <w:p w14:paraId="240ACC7F">
            <w:pPr>
              <w:snapToGrid w:val="0"/>
              <w:spacing w:line="400" w:lineRule="exact"/>
              <w:jc w:val="left"/>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报价文件：</w:t>
            </w:r>
          </w:p>
          <w:p w14:paraId="3BB9D3EA">
            <w:pPr>
              <w:numPr>
                <w:ilvl w:val="-1"/>
                <w:numId w:val="0"/>
              </w:numPr>
              <w:tabs>
                <w:tab w:val="left" w:pos="34"/>
              </w:tabs>
              <w:snapToGrid w:val="0"/>
              <w:spacing w:line="400" w:lineRule="exact"/>
              <w:ind w:left="0" w:firstLine="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val="en-US" w:eastAsia="zh-CN"/>
              </w:rPr>
              <w:t>1.</w:t>
            </w:r>
            <w:r>
              <w:rPr>
                <w:rFonts w:hint="eastAsia" w:asciiTheme="minorEastAsia" w:hAnsiTheme="minorEastAsia" w:eastAsiaTheme="minorEastAsia"/>
                <w:color w:val="auto"/>
                <w:szCs w:val="21"/>
                <w:highlight w:val="none"/>
              </w:rPr>
              <w:t>投标函（格式后附）；</w:t>
            </w:r>
            <w:r>
              <w:rPr>
                <w:rFonts w:hint="eastAsia" w:asciiTheme="minorEastAsia" w:hAnsiTheme="minorEastAsia" w:eastAsiaTheme="minorEastAsia"/>
                <w:b/>
                <w:color w:val="auto"/>
                <w:szCs w:val="21"/>
                <w:highlight w:val="none"/>
              </w:rPr>
              <w:t>（必须提供，否则按无效投标处理）</w:t>
            </w:r>
          </w:p>
          <w:p w14:paraId="6669F54F">
            <w:pPr>
              <w:numPr>
                <w:ilvl w:val="-1"/>
                <w:numId w:val="0"/>
              </w:numPr>
              <w:tabs>
                <w:tab w:val="left" w:pos="34"/>
              </w:tabs>
              <w:snapToGrid w:val="0"/>
              <w:spacing w:line="400" w:lineRule="exact"/>
              <w:ind w:left="0" w:firstLine="0"/>
              <w:jc w:val="left"/>
              <w:rPr>
                <w:rFonts w:asciiTheme="minorEastAsia" w:hAnsiTheme="minorEastAsia" w:eastAsiaTheme="minorEastAsia"/>
                <w:color w:val="auto"/>
                <w:szCs w:val="21"/>
                <w:highlight w:val="none"/>
              </w:rPr>
            </w:pPr>
            <w:bookmarkStart w:id="46" w:name="_Hlk71299233"/>
            <w:bookmarkEnd w:id="46"/>
            <w:r>
              <w:rPr>
                <w:rFonts w:hint="eastAsia" w:asciiTheme="minorEastAsia" w:hAnsiTheme="minorEastAsia" w:eastAsiaTheme="minorEastAsia"/>
                <w:color w:val="auto"/>
                <w:szCs w:val="21"/>
                <w:highlight w:val="none"/>
                <w:lang w:val="en-US" w:eastAsia="zh-CN"/>
              </w:rPr>
              <w:t>2.</w:t>
            </w:r>
            <w:r>
              <w:rPr>
                <w:rFonts w:hint="eastAsia" w:asciiTheme="minorEastAsia" w:hAnsiTheme="minorEastAsia" w:eastAsiaTheme="minorEastAsia"/>
                <w:color w:val="auto"/>
                <w:szCs w:val="21"/>
                <w:highlight w:val="none"/>
              </w:rPr>
              <w:t>开标一览表（格式后附）； （</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58CCECB1">
            <w:pPr>
              <w:pStyle w:val="16"/>
              <w:rPr>
                <w:rFonts w:hint="default"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3.中小企业声明函（如有，请提供）</w:t>
            </w:r>
          </w:p>
          <w:p w14:paraId="3ED589DE">
            <w:pPr>
              <w:numPr>
                <w:ilvl w:val="-1"/>
                <w:numId w:val="0"/>
              </w:numPr>
              <w:tabs>
                <w:tab w:val="left" w:pos="34"/>
              </w:tabs>
              <w:snapToGrid w:val="0"/>
              <w:spacing w:line="400" w:lineRule="exact"/>
              <w:ind w:left="0" w:firstLine="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投标人针对报价需要说明的其他文件和说明（格式自拟）。</w:t>
            </w:r>
          </w:p>
          <w:p w14:paraId="6C9F7A75">
            <w:pPr>
              <w:tabs>
                <w:tab w:val="left" w:pos="34"/>
              </w:tabs>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注：投标函、开标一览表必须由法定代表人或者委托代理人在规定签章处逐一签字或者电子签名并加盖投标人公章，否则按无效投标</w:t>
            </w:r>
            <w:r>
              <w:rPr>
                <w:rFonts w:hint="eastAsia" w:cs="Courier New" w:asciiTheme="minorEastAsia" w:hAnsiTheme="minorEastAsia" w:eastAsiaTheme="minorEastAsia"/>
                <w:b/>
                <w:color w:val="auto"/>
                <w:szCs w:val="21"/>
                <w:highlight w:val="none"/>
              </w:rPr>
              <w:t>处理</w:t>
            </w:r>
            <w:r>
              <w:rPr>
                <w:rFonts w:hint="eastAsia" w:asciiTheme="minorEastAsia" w:hAnsiTheme="minorEastAsia" w:eastAsiaTheme="minorEastAsia"/>
                <w:b/>
                <w:bCs/>
                <w:color w:val="auto"/>
                <w:szCs w:val="21"/>
                <w:highlight w:val="none"/>
              </w:rPr>
              <w:t>。</w:t>
            </w:r>
          </w:p>
        </w:tc>
      </w:tr>
      <w:tr w14:paraId="164ADA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vMerge w:val="continue"/>
            <w:tcBorders>
              <w:left w:val="single" w:color="auto" w:sz="4" w:space="0"/>
              <w:right w:val="single" w:color="auto" w:sz="4" w:space="0"/>
            </w:tcBorders>
            <w:vAlign w:val="center"/>
          </w:tcPr>
          <w:p w14:paraId="295C0482">
            <w:pPr>
              <w:spacing w:line="400" w:lineRule="exact"/>
              <w:rPr>
                <w:rFonts w:asciiTheme="minorEastAsia" w:hAnsiTheme="minorEastAsia" w:eastAsiaTheme="minorEastAsia"/>
                <w:color w:val="auto"/>
                <w:szCs w:val="21"/>
                <w:highlight w:val="none"/>
              </w:rPr>
            </w:pPr>
            <w:bookmarkStart w:id="47" w:name="_13.2"/>
            <w:bookmarkEnd w:id="47"/>
          </w:p>
        </w:tc>
        <w:tc>
          <w:tcPr>
            <w:tcW w:w="4443" w:type="pct"/>
            <w:tcBorders>
              <w:top w:val="single" w:color="auto" w:sz="4" w:space="0"/>
              <w:left w:val="single" w:color="auto" w:sz="4" w:space="0"/>
              <w:bottom w:val="single" w:color="auto" w:sz="4" w:space="0"/>
              <w:right w:val="single" w:color="auto" w:sz="4" w:space="0"/>
            </w:tcBorders>
            <w:vAlign w:val="center"/>
          </w:tcPr>
          <w:p w14:paraId="278473D9">
            <w:pPr>
              <w:snapToGrid w:val="0"/>
              <w:spacing w:line="400" w:lineRule="exact"/>
              <w:jc w:val="left"/>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资格证明文件</w:t>
            </w:r>
          </w:p>
          <w:p w14:paraId="5262957C">
            <w:pPr>
              <w:snapToGrid w:val="0"/>
              <w:spacing w:line="400" w:lineRule="exact"/>
              <w:jc w:val="left"/>
              <w:rPr>
                <w:rFonts w:cs="Courier New"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1.投标人为法人或者其他组织的，提供营业执照等证明文件</w:t>
            </w:r>
            <w:r>
              <w:rPr>
                <w:rFonts w:hint="eastAsia" w:cs="宋体" w:asciiTheme="minorEastAsia" w:hAnsiTheme="minorEastAsia" w:eastAsiaTheme="minorEastAsia"/>
                <w:color w:val="auto"/>
                <w:szCs w:val="21"/>
                <w:highlight w:val="none"/>
              </w:rPr>
              <w:t>（如营业执照或者事业单位法人证书或者</w:t>
            </w:r>
            <w:r>
              <w:rPr>
                <w:rStyle w:val="30"/>
                <w:rFonts w:asciiTheme="minorEastAsia" w:hAnsiTheme="minorEastAsia" w:eastAsiaTheme="minorEastAsia"/>
                <w:color w:val="auto"/>
                <w:sz w:val="21"/>
                <w:szCs w:val="21"/>
                <w:highlight w:val="none"/>
              </w:rPr>
              <w:t>执业许可证</w:t>
            </w:r>
            <w:r>
              <w:rPr>
                <w:rFonts w:hint="eastAsia" w:cs="宋体" w:asciiTheme="minorEastAsia" w:hAnsiTheme="minorEastAsia" w:eastAsiaTheme="minorEastAsia"/>
                <w:color w:val="auto"/>
                <w:szCs w:val="21"/>
                <w:highlight w:val="none"/>
              </w:rPr>
              <w:t>或者登记证书等）</w:t>
            </w:r>
            <w:r>
              <w:rPr>
                <w:rFonts w:hint="eastAsia" w:asciiTheme="minorEastAsia" w:hAnsiTheme="minorEastAsia" w:eastAsiaTheme="minorEastAsia"/>
                <w:color w:val="auto"/>
                <w:szCs w:val="21"/>
                <w:highlight w:val="none"/>
              </w:rPr>
              <w:t>，投标人为自然人的，提供身份证</w:t>
            </w:r>
            <w:r>
              <w:rPr>
                <w:rFonts w:hint="eastAsia" w:cs="宋体" w:asciiTheme="minorEastAsia" w:hAnsiTheme="minorEastAsia" w:eastAsiaTheme="minorEastAsia"/>
                <w:color w:val="auto"/>
                <w:szCs w:val="21"/>
                <w:highlight w:val="none"/>
              </w:rPr>
              <w:t>复印件</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6353AB08">
            <w:pPr>
              <w:snapToGrid w:val="0"/>
              <w:spacing w:line="400" w:lineRule="exact"/>
              <w:jc w:val="left"/>
              <w:rPr>
                <w:rFonts w:cs="Courier New"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rPr>
              <w:t>2.投标人依法缴纳税收的相关材料（2024年7月至2024年12月内任意连续</w:t>
            </w:r>
            <w:r>
              <w:rPr>
                <w:rFonts w:hint="eastAsia" w:cs="宋体" w:asciiTheme="minorEastAsia" w:hAnsiTheme="minorEastAsia" w:eastAsiaTheme="minorEastAsia"/>
                <w:color w:val="auto"/>
                <w:szCs w:val="21"/>
                <w:highlight w:val="none"/>
                <w:u w:val="single"/>
              </w:rPr>
              <w:t xml:space="preserve"> 3</w:t>
            </w:r>
            <w:r>
              <w:rPr>
                <w:rFonts w:hint="eastAsia" w:cs="宋体" w:asciiTheme="minorEastAsia" w:hAnsiTheme="minorEastAsia" w:eastAsiaTheme="minorEastAsia"/>
                <w:color w:val="auto"/>
                <w:szCs w:val="21"/>
                <w:highlight w:val="none"/>
              </w:rPr>
              <w:t>个月的依法缴纳税收的凭据复印件；</w:t>
            </w:r>
            <w:r>
              <w:rPr>
                <w:rFonts w:hint="eastAsia" w:asciiTheme="minorEastAsia" w:hAnsiTheme="minorEastAsia" w:eastAsiaTheme="minorEastAsia"/>
                <w:color w:val="auto"/>
                <w:szCs w:val="21"/>
                <w:highlight w:val="none"/>
              </w:rPr>
              <w:t>依法免税的供应商，必须提供相应文件证明其依法免税。</w:t>
            </w:r>
            <w:r>
              <w:rPr>
                <w:rFonts w:hint="eastAsia" w:cs="宋体" w:asciiTheme="minorEastAsia" w:hAnsiTheme="minorEastAsia" w:eastAsiaTheme="minorEastAsia"/>
                <w:color w:val="auto"/>
                <w:szCs w:val="21"/>
                <w:highlight w:val="none"/>
              </w:rPr>
              <w:t>从</w:t>
            </w:r>
            <w:r>
              <w:rPr>
                <w:rFonts w:hint="eastAsia" w:asciiTheme="minorEastAsia" w:hAnsiTheme="minorEastAsia" w:eastAsiaTheme="minorEastAsia"/>
                <w:color w:val="auto"/>
                <w:szCs w:val="21"/>
                <w:highlight w:val="none"/>
              </w:rPr>
              <w:t>成立之日</w:t>
            </w:r>
            <w:r>
              <w:rPr>
                <w:rFonts w:hint="eastAsia" w:cs="宋体" w:asciiTheme="minorEastAsia" w:hAnsiTheme="minorEastAsia" w:eastAsiaTheme="minorEastAsia"/>
                <w:color w:val="auto"/>
                <w:szCs w:val="21"/>
                <w:highlight w:val="none"/>
              </w:rPr>
              <w:t>起到投标文件提交截止时间止不足要求月数的，只需提供从</w:t>
            </w:r>
            <w:r>
              <w:rPr>
                <w:rFonts w:hint="eastAsia" w:asciiTheme="minorEastAsia" w:hAnsiTheme="minorEastAsia" w:eastAsiaTheme="minorEastAsia"/>
                <w:color w:val="auto"/>
                <w:szCs w:val="21"/>
                <w:highlight w:val="none"/>
              </w:rPr>
              <w:t>成立之日起</w:t>
            </w:r>
            <w:r>
              <w:rPr>
                <w:rFonts w:hint="eastAsia" w:cs="宋体" w:asciiTheme="minorEastAsia" w:hAnsiTheme="minorEastAsia" w:eastAsiaTheme="minorEastAsia"/>
                <w:color w:val="auto"/>
                <w:szCs w:val="21"/>
                <w:highlight w:val="none"/>
              </w:rPr>
              <w:t>的依法缴纳税收</w:t>
            </w:r>
            <w:r>
              <w:rPr>
                <w:rFonts w:hint="eastAsia" w:asciiTheme="minorEastAsia" w:hAnsiTheme="minorEastAsia" w:eastAsiaTheme="minorEastAsia"/>
                <w:color w:val="auto"/>
                <w:szCs w:val="21"/>
                <w:highlight w:val="none"/>
              </w:rPr>
              <w:t>相应证明文件</w:t>
            </w:r>
            <w:r>
              <w:rPr>
                <w:rFonts w:hint="eastAsia" w:cs="宋体"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743429F0">
            <w:pPr>
              <w:snapToGrid w:val="0"/>
              <w:spacing w:line="400" w:lineRule="exact"/>
              <w:jc w:val="left"/>
              <w:rPr>
                <w:rFonts w:cs="Courier New"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rPr>
              <w:t>3.投标人依法缴纳社会保障资金的相关材料2024年7月至2024年12月内任意连续</w:t>
            </w:r>
            <w:r>
              <w:rPr>
                <w:rFonts w:hint="eastAsia" w:cs="宋体" w:asciiTheme="minorEastAsia" w:hAnsiTheme="minorEastAsia" w:eastAsiaTheme="minorEastAsia"/>
                <w:color w:val="auto"/>
                <w:szCs w:val="21"/>
                <w:highlight w:val="none"/>
                <w:u w:val="single"/>
              </w:rPr>
              <w:t>3</w:t>
            </w:r>
            <w:r>
              <w:rPr>
                <w:rFonts w:hint="eastAsia" w:cs="宋体" w:asciiTheme="minorEastAsia" w:hAnsiTheme="minorEastAsia" w:eastAsiaTheme="minorEastAsia"/>
                <w:color w:val="auto"/>
                <w:szCs w:val="21"/>
                <w:highlight w:val="none"/>
              </w:rPr>
              <w:t>个月的依法缴纳社会保障资金的缴费凭证（专用收据或者社会保险缴纳清单）复印件；</w:t>
            </w:r>
            <w:r>
              <w:rPr>
                <w:rFonts w:hint="eastAsia" w:asciiTheme="minorEastAsia" w:hAnsiTheme="minorEastAsia" w:eastAsiaTheme="minorEastAsia"/>
                <w:color w:val="auto"/>
                <w:szCs w:val="21"/>
                <w:highlight w:val="none"/>
              </w:rPr>
              <w:t>依法不需要缴纳社会保障资金的供应商，必须提供相应文件证明不需要缴纳社会保障资金。</w:t>
            </w:r>
            <w:r>
              <w:rPr>
                <w:rFonts w:hint="eastAsia" w:cs="宋体" w:asciiTheme="minorEastAsia" w:hAnsiTheme="minorEastAsia" w:eastAsiaTheme="minorEastAsia"/>
                <w:color w:val="auto"/>
                <w:szCs w:val="21"/>
                <w:highlight w:val="none"/>
              </w:rPr>
              <w:t>从</w:t>
            </w:r>
            <w:r>
              <w:rPr>
                <w:rFonts w:hint="eastAsia" w:asciiTheme="minorEastAsia" w:hAnsiTheme="minorEastAsia" w:eastAsiaTheme="minorEastAsia"/>
                <w:color w:val="auto"/>
                <w:szCs w:val="21"/>
                <w:highlight w:val="none"/>
              </w:rPr>
              <w:t>成立之日起</w:t>
            </w:r>
            <w:r>
              <w:rPr>
                <w:rFonts w:hint="eastAsia" w:cs="宋体" w:asciiTheme="minorEastAsia" w:hAnsiTheme="minorEastAsia" w:eastAsiaTheme="minorEastAsia"/>
                <w:color w:val="auto"/>
                <w:szCs w:val="21"/>
                <w:highlight w:val="none"/>
              </w:rPr>
              <w:t>到投标文件提交截止时间止不足要求月数的只需提供从</w:t>
            </w:r>
            <w:r>
              <w:rPr>
                <w:rFonts w:hint="eastAsia" w:asciiTheme="minorEastAsia" w:hAnsiTheme="minorEastAsia" w:eastAsiaTheme="minorEastAsia"/>
                <w:color w:val="auto"/>
                <w:szCs w:val="21"/>
                <w:highlight w:val="none"/>
              </w:rPr>
              <w:t>成立之日起</w:t>
            </w:r>
            <w:r>
              <w:rPr>
                <w:rFonts w:hint="eastAsia" w:cs="宋体" w:asciiTheme="minorEastAsia" w:hAnsiTheme="minorEastAsia" w:eastAsiaTheme="minorEastAsia"/>
                <w:color w:val="auto"/>
                <w:szCs w:val="21"/>
                <w:highlight w:val="none"/>
              </w:rPr>
              <w:t>的依法缴纳社会保障资金的</w:t>
            </w:r>
            <w:r>
              <w:rPr>
                <w:rFonts w:hint="eastAsia" w:asciiTheme="minorEastAsia" w:hAnsiTheme="minorEastAsia" w:eastAsiaTheme="minorEastAsia"/>
                <w:color w:val="auto"/>
                <w:szCs w:val="21"/>
                <w:highlight w:val="none"/>
              </w:rPr>
              <w:t>相应证明文件</w:t>
            </w:r>
            <w:r>
              <w:rPr>
                <w:rFonts w:hint="eastAsia" w:cs="宋体"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49512344">
            <w:pPr>
              <w:snapToGrid w:val="0"/>
              <w:spacing w:line="400" w:lineRule="exact"/>
              <w:jc w:val="left"/>
              <w:rPr>
                <w:rFonts w:cs="Courier New"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rPr>
              <w:t>4.投标人</w:t>
            </w:r>
            <w:r>
              <w:rPr>
                <w:rFonts w:hint="eastAsia" w:asciiTheme="minorEastAsia" w:hAnsiTheme="minorEastAsia" w:eastAsiaTheme="minorEastAsia"/>
                <w:color w:val="auto"/>
                <w:szCs w:val="21"/>
                <w:highlight w:val="none"/>
              </w:rPr>
              <w:t>财务状况报告（</w:t>
            </w:r>
            <w:r>
              <w:rPr>
                <w:rFonts w:ascii="宋体" w:hAnsi="宋体"/>
                <w:color w:val="auto"/>
                <w:szCs w:val="21"/>
                <w:highlight w:val="none"/>
              </w:rPr>
              <w:t>在投标截止日期前12个月内任一季度或年度的财务状况报告复印件，</w:t>
            </w:r>
            <w:r>
              <w:rPr>
                <w:rFonts w:hint="eastAsia" w:ascii="宋体" w:hAnsi="宋体"/>
                <w:color w:val="auto"/>
                <w:szCs w:val="21"/>
                <w:highlight w:val="none"/>
              </w:rPr>
              <w:t>或者提供</w:t>
            </w:r>
            <w:r>
              <w:rPr>
                <w:rFonts w:ascii="宋体" w:hAnsi="宋体"/>
                <w:color w:val="auto"/>
                <w:szCs w:val="21"/>
                <w:highlight w:val="none"/>
              </w:rPr>
              <w:t>银行出具的资信证明；</w:t>
            </w:r>
            <w:r>
              <w:rPr>
                <w:rFonts w:hint="eastAsia" w:ascii="宋体" w:hAnsi="宋体"/>
                <w:color w:val="auto"/>
                <w:szCs w:val="21"/>
                <w:highlight w:val="none"/>
              </w:rPr>
              <w:t>投标人属于成立时间在规定年度之后的法人或其他组织，需提供成立之日起至投标截止时间前的月报表或银行出具的资信证明；</w:t>
            </w:r>
            <w:r>
              <w:rPr>
                <w:rFonts w:hint="eastAsia" w:asciiTheme="minorEastAsia" w:hAnsiTheme="minorEastAsia" w:eastAsiaTheme="minorEastAsia"/>
                <w:color w:val="auto"/>
                <w:szCs w:val="21"/>
                <w:highlight w:val="none"/>
              </w:rPr>
              <w:t>资信证明应在有效期内，未注明有效期的，银行出具时间至投标截止时间不超过一年）；（</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0B8E1B0F">
            <w:pPr>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5.投标人直接控股、管理关系信息表（格式后附）；（</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697DD20A">
            <w:pPr>
              <w:snapToGrid w:val="0"/>
              <w:spacing w:line="400" w:lineRule="exact"/>
              <w:jc w:val="left"/>
              <w:rPr>
                <w:rFonts w:cs="Courier New"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6.投标声明（格式后附）；（</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6194F855">
            <w:pPr>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7.联合体协议书（格式后附）；（</w:t>
            </w:r>
            <w:r>
              <w:rPr>
                <w:rFonts w:hint="eastAsia" w:asciiTheme="minorEastAsia" w:hAnsiTheme="minorEastAsia" w:eastAsiaTheme="minorEastAsia"/>
                <w:b/>
                <w:color w:val="auto"/>
                <w:szCs w:val="21"/>
                <w:highlight w:val="none"/>
              </w:rPr>
              <w:t>联合体投标时必须提供，否则按无效投标处理</w:t>
            </w:r>
            <w:r>
              <w:rPr>
                <w:rFonts w:hint="eastAsia" w:asciiTheme="minorEastAsia" w:hAnsiTheme="minorEastAsia" w:eastAsiaTheme="minorEastAsia"/>
                <w:color w:val="auto"/>
                <w:szCs w:val="21"/>
                <w:highlight w:val="none"/>
              </w:rPr>
              <w:t>）</w:t>
            </w:r>
          </w:p>
          <w:p w14:paraId="2C400959">
            <w:pPr>
              <w:snapToGrid w:val="0"/>
              <w:spacing w:line="360" w:lineRule="exact"/>
              <w:jc w:val="left"/>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8.本项目的特定资格要求：</w:t>
            </w:r>
            <w:r>
              <w:rPr>
                <w:rFonts w:hint="eastAsia" w:asciiTheme="minorEastAsia" w:hAnsiTheme="minorEastAsia" w:eastAsiaTheme="minorEastAsia"/>
                <w:color w:val="auto"/>
                <w:szCs w:val="21"/>
                <w:highlight w:val="none"/>
                <w:u w:val="single"/>
              </w:rPr>
              <w:t>01分标、02分标、03分标、04分标：投标人具有有效的医疗器械生产许可证或经营许可证或者备案凭证（按《医疗器械监督管理条例》免于经营备案和无需办理医疗器械经营许可或者备案的情形除外）</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717D066C">
            <w:pPr>
              <w:snapToGrid w:val="0"/>
              <w:spacing w:line="36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9.除招标文件规定必须提供以外，投标人认为需要提供的其他证明材料。</w:t>
            </w:r>
          </w:p>
          <w:p w14:paraId="41719F4B">
            <w:pPr>
              <w:tabs>
                <w:tab w:val="left" w:pos="0"/>
              </w:tabs>
              <w:snapToGrid w:val="0"/>
              <w:spacing w:line="400" w:lineRule="exact"/>
              <w:jc w:val="left"/>
              <w:rPr>
                <w:rFonts w:cs="Courier New" w:asciiTheme="minorEastAsia" w:hAnsiTheme="minorEastAsia" w:eastAsiaTheme="minorEastAsia"/>
                <w:b/>
                <w:color w:val="auto"/>
                <w:szCs w:val="21"/>
                <w:highlight w:val="none"/>
              </w:rPr>
            </w:pPr>
            <w:r>
              <w:rPr>
                <w:rFonts w:hint="eastAsia" w:asciiTheme="minorEastAsia" w:hAnsiTheme="minorEastAsia" w:eastAsiaTheme="minorEastAsia"/>
                <w:b/>
                <w:bCs/>
                <w:color w:val="auto"/>
                <w:szCs w:val="21"/>
                <w:highlight w:val="none"/>
              </w:rPr>
              <w:t>注：1.以上标明“必须提供”的材料属于复印件的，必须加盖投标人公章，否则按无效投标</w:t>
            </w:r>
            <w:r>
              <w:rPr>
                <w:rFonts w:hint="eastAsia" w:cs="Courier New" w:asciiTheme="minorEastAsia" w:hAnsiTheme="minorEastAsia" w:eastAsiaTheme="minorEastAsia"/>
                <w:b/>
                <w:color w:val="auto"/>
                <w:szCs w:val="21"/>
                <w:highlight w:val="none"/>
              </w:rPr>
              <w:t>处理。</w:t>
            </w:r>
          </w:p>
          <w:p w14:paraId="6204CDF1">
            <w:pPr>
              <w:tabs>
                <w:tab w:val="left" w:pos="0"/>
              </w:tabs>
              <w:snapToGrid w:val="0"/>
              <w:spacing w:line="400" w:lineRule="exact"/>
              <w:ind w:firstLine="422" w:firstLineChars="200"/>
              <w:jc w:val="left"/>
              <w:rPr>
                <w:rFonts w:asciiTheme="minorEastAsia" w:hAnsiTheme="minorEastAsia" w:eastAsiaTheme="minorEastAsia"/>
                <w:b/>
                <w:bCs/>
                <w:color w:val="auto"/>
                <w:szCs w:val="21"/>
                <w:highlight w:val="none"/>
              </w:rPr>
            </w:pPr>
            <w:r>
              <w:rPr>
                <w:rFonts w:hint="eastAsia" w:cs="Courier New" w:asciiTheme="minorEastAsia" w:hAnsiTheme="minorEastAsia" w:eastAsiaTheme="minorEastAsia"/>
                <w:b/>
                <w:color w:val="auto"/>
                <w:szCs w:val="21"/>
                <w:highlight w:val="none"/>
              </w:rPr>
              <w:t>2.</w:t>
            </w:r>
            <w:r>
              <w:rPr>
                <w:rFonts w:hint="eastAsia" w:asciiTheme="minorEastAsia" w:hAnsiTheme="minorEastAsia" w:eastAsiaTheme="minorEastAsia"/>
                <w:b/>
                <w:bCs/>
                <w:color w:val="auto"/>
                <w:szCs w:val="21"/>
                <w:highlight w:val="none"/>
              </w:rPr>
              <w:t>投标声明必须由法定代表人在规定签章处签字或者电子签名并加盖投标人公章，否则按无效投标处理。</w:t>
            </w:r>
          </w:p>
          <w:p w14:paraId="2136C5CE">
            <w:pPr>
              <w:tabs>
                <w:tab w:val="left" w:pos="0"/>
              </w:tabs>
              <w:snapToGrid w:val="0"/>
              <w:spacing w:line="400" w:lineRule="exact"/>
              <w:ind w:firstLine="422" w:firstLineChars="200"/>
              <w:jc w:val="left"/>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3.投标人直接控股、管理关系信息表必须由法定代表人或者委托代理人在规定签章处签字或者电子签名并加盖投标人公章，否则按无效投标</w:t>
            </w:r>
            <w:r>
              <w:rPr>
                <w:rFonts w:hint="eastAsia" w:cs="Courier New" w:asciiTheme="minorEastAsia" w:hAnsiTheme="minorEastAsia" w:eastAsiaTheme="minorEastAsia"/>
                <w:b/>
                <w:color w:val="auto"/>
                <w:szCs w:val="21"/>
                <w:highlight w:val="none"/>
              </w:rPr>
              <w:t>处理</w:t>
            </w:r>
            <w:r>
              <w:rPr>
                <w:rFonts w:hint="eastAsia" w:asciiTheme="minorEastAsia" w:hAnsiTheme="minorEastAsia" w:eastAsiaTheme="minorEastAsia"/>
                <w:b/>
                <w:bCs/>
                <w:color w:val="auto"/>
                <w:szCs w:val="21"/>
                <w:highlight w:val="none"/>
              </w:rPr>
              <w:t>。</w:t>
            </w:r>
          </w:p>
          <w:p w14:paraId="4DE968AD">
            <w:pPr>
              <w:tabs>
                <w:tab w:val="left" w:pos="0"/>
              </w:tabs>
              <w:snapToGrid w:val="0"/>
              <w:spacing w:line="400" w:lineRule="exact"/>
              <w:ind w:firstLine="422" w:firstLineChars="200"/>
              <w:jc w:val="left"/>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4.联合体投标时，第1-5项资格证明文件联合体各方均必须分别提供，联合体各方分别盖章和签字（或者电子签名），否则按无效投标</w:t>
            </w:r>
            <w:r>
              <w:rPr>
                <w:rFonts w:hint="eastAsia" w:cs="Courier New" w:asciiTheme="minorEastAsia" w:hAnsiTheme="minorEastAsia" w:eastAsiaTheme="minorEastAsia"/>
                <w:b/>
                <w:color w:val="auto"/>
                <w:szCs w:val="21"/>
                <w:highlight w:val="none"/>
              </w:rPr>
              <w:t>处理</w:t>
            </w:r>
            <w:r>
              <w:rPr>
                <w:rFonts w:hint="eastAsia" w:asciiTheme="minorEastAsia" w:hAnsiTheme="minorEastAsia" w:eastAsiaTheme="minorEastAsia"/>
                <w:b/>
                <w:bCs/>
                <w:color w:val="auto"/>
                <w:szCs w:val="21"/>
                <w:highlight w:val="none"/>
              </w:rPr>
              <w:t>。</w:t>
            </w:r>
          </w:p>
          <w:p w14:paraId="092A8B9A">
            <w:pPr>
              <w:tabs>
                <w:tab w:val="left" w:pos="0"/>
              </w:tabs>
              <w:snapToGrid w:val="0"/>
              <w:spacing w:line="400" w:lineRule="exact"/>
              <w:ind w:firstLine="422" w:firstLineChars="200"/>
              <w:jc w:val="left"/>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5.分公司参加投标的，应当取得总公司授权。</w:t>
            </w:r>
          </w:p>
        </w:tc>
      </w:tr>
      <w:tr w14:paraId="045BD5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vMerge w:val="continue"/>
            <w:tcBorders>
              <w:left w:val="single" w:color="auto" w:sz="4" w:space="0"/>
              <w:right w:val="single" w:color="auto" w:sz="4" w:space="0"/>
            </w:tcBorders>
            <w:vAlign w:val="center"/>
          </w:tcPr>
          <w:p w14:paraId="7D53EB84">
            <w:pPr>
              <w:spacing w:line="400" w:lineRule="exact"/>
              <w:rPr>
                <w:rFonts w:asciiTheme="minorEastAsia" w:hAnsiTheme="minorEastAsia" w:eastAsiaTheme="minorEastAsia"/>
                <w:color w:val="auto"/>
                <w:szCs w:val="21"/>
                <w:highlight w:val="none"/>
              </w:rPr>
            </w:pPr>
            <w:bookmarkStart w:id="48" w:name="_13.3"/>
            <w:bookmarkEnd w:id="48"/>
          </w:p>
        </w:tc>
        <w:tc>
          <w:tcPr>
            <w:tcW w:w="4443" w:type="pct"/>
            <w:tcBorders>
              <w:top w:val="single" w:color="auto" w:sz="4" w:space="0"/>
              <w:left w:val="single" w:color="auto" w:sz="4" w:space="0"/>
              <w:bottom w:val="single" w:color="auto" w:sz="4" w:space="0"/>
              <w:right w:val="single" w:color="auto" w:sz="4" w:space="0"/>
            </w:tcBorders>
            <w:vAlign w:val="center"/>
          </w:tcPr>
          <w:p w14:paraId="05C02A01">
            <w:pPr>
              <w:snapToGrid w:val="0"/>
              <w:spacing w:line="400" w:lineRule="exact"/>
              <w:jc w:val="left"/>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商务文件：</w:t>
            </w:r>
          </w:p>
          <w:p w14:paraId="3A5E72A0">
            <w:pPr>
              <w:snapToGrid w:val="0"/>
              <w:spacing w:line="400" w:lineRule="exact"/>
              <w:ind w:left="34"/>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1.无串通投标行为的承诺函（格式后附）；（</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57AE9052">
            <w:pPr>
              <w:snapToGrid w:val="0"/>
              <w:spacing w:line="400" w:lineRule="exact"/>
              <w:ind w:left="34"/>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2.投标保证金提交凭证；（</w:t>
            </w:r>
            <w:r>
              <w:rPr>
                <w:rFonts w:hint="eastAsia" w:asciiTheme="minorEastAsia" w:hAnsiTheme="minorEastAsia" w:eastAsiaTheme="minorEastAsia"/>
                <w:b/>
                <w:bCs/>
                <w:color w:val="auto"/>
                <w:szCs w:val="21"/>
                <w:highlight w:val="none"/>
              </w:rPr>
              <w:t>必须提供</w:t>
            </w:r>
            <w:r>
              <w:rPr>
                <w:rFonts w:hint="eastAsia" w:asciiTheme="minorEastAsia" w:hAnsiTheme="minorEastAsia" w:eastAsiaTheme="minorEastAsia"/>
                <w:b/>
                <w:color w:val="auto"/>
                <w:szCs w:val="21"/>
                <w:highlight w:val="none"/>
              </w:rPr>
              <w:t>，否则按无效投标处理</w:t>
            </w:r>
            <w:r>
              <w:rPr>
                <w:rFonts w:hint="eastAsia" w:asciiTheme="minorEastAsia" w:hAnsiTheme="minorEastAsia" w:eastAsiaTheme="minorEastAsia"/>
                <w:color w:val="auto"/>
                <w:szCs w:val="21"/>
                <w:highlight w:val="none"/>
              </w:rPr>
              <w:t>）</w:t>
            </w:r>
          </w:p>
          <w:p w14:paraId="2DF12F79">
            <w:pPr>
              <w:snapToGrid w:val="0"/>
              <w:spacing w:line="400" w:lineRule="exact"/>
              <w:ind w:left="34"/>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3.法定代表人身份证明及法定代表人有效身份证正反面复印件（格式后附）；（</w:t>
            </w:r>
            <w:r>
              <w:rPr>
                <w:rFonts w:hint="eastAsia" w:cs="宋体" w:asciiTheme="minorEastAsia" w:hAnsiTheme="minorEastAsia" w:eastAsiaTheme="minorEastAsia"/>
                <w:b/>
                <w:bCs/>
                <w:color w:val="auto"/>
                <w:szCs w:val="21"/>
                <w:highlight w:val="none"/>
              </w:rPr>
              <w:t>除自然人投标外</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6809B08D">
            <w:pPr>
              <w:snapToGrid w:val="0"/>
              <w:spacing w:line="400" w:lineRule="exact"/>
              <w:ind w:left="34"/>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4.授权委托书及委托代理人有效身份证正反面复印件（格式后附）；（</w:t>
            </w:r>
            <w:r>
              <w:rPr>
                <w:rFonts w:hint="eastAsia" w:asciiTheme="minorEastAsia" w:hAnsiTheme="minorEastAsia" w:eastAsiaTheme="minorEastAsia"/>
                <w:b/>
                <w:color w:val="auto"/>
                <w:szCs w:val="21"/>
                <w:highlight w:val="none"/>
              </w:rPr>
              <w:t>委托时必须提供，否则按无效投标处理</w:t>
            </w:r>
            <w:r>
              <w:rPr>
                <w:rFonts w:hint="eastAsia" w:asciiTheme="minorEastAsia" w:hAnsiTheme="minorEastAsia" w:eastAsiaTheme="minorEastAsia"/>
                <w:color w:val="auto"/>
                <w:szCs w:val="21"/>
                <w:highlight w:val="none"/>
              </w:rPr>
              <w:t>）</w:t>
            </w:r>
          </w:p>
          <w:p w14:paraId="1931530E">
            <w:pPr>
              <w:snapToGrid w:val="0"/>
              <w:spacing w:line="400" w:lineRule="exact"/>
              <w:ind w:left="34"/>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商务要求偏离表（格式后附）；（</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12CDF821">
            <w:pPr>
              <w:snapToGrid w:val="0"/>
              <w:spacing w:line="400" w:lineRule="exact"/>
              <w:ind w:left="34"/>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6</w:t>
            </w:r>
            <w:r>
              <w:rPr>
                <w:rFonts w:hint="eastAsia" w:asciiTheme="minorEastAsia" w:hAnsiTheme="minorEastAsia" w:eastAsiaTheme="minorEastAsia"/>
                <w:color w:val="auto"/>
                <w:szCs w:val="21"/>
                <w:highlight w:val="none"/>
              </w:rPr>
              <w:t>.售后服务承诺（格式自拟）；（</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6719886B">
            <w:pPr>
              <w:snapToGrid w:val="0"/>
              <w:spacing w:line="400" w:lineRule="exact"/>
              <w:ind w:left="34"/>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7</w:t>
            </w:r>
            <w:r>
              <w:rPr>
                <w:rFonts w:hint="eastAsia" w:asciiTheme="minorEastAsia" w:hAnsiTheme="minorEastAsia" w:eastAsiaTheme="minorEastAsia"/>
                <w:color w:val="auto"/>
                <w:szCs w:val="21"/>
                <w:highlight w:val="none"/>
              </w:rPr>
              <w:t>.投标人情况介绍（格式自拟）；</w:t>
            </w:r>
          </w:p>
          <w:p w14:paraId="36BD72E4">
            <w:pPr>
              <w:snapToGrid w:val="0"/>
              <w:spacing w:line="400" w:lineRule="exact"/>
              <w:ind w:left="34"/>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8</w:t>
            </w:r>
            <w:r>
              <w:rPr>
                <w:rFonts w:hint="eastAsia" w:asciiTheme="minorEastAsia" w:hAnsiTheme="minorEastAsia" w:eastAsiaTheme="minorEastAsia"/>
                <w:color w:val="auto"/>
                <w:szCs w:val="21"/>
                <w:highlight w:val="none"/>
              </w:rPr>
              <w:t>.联合体协议书（格式后附）；（</w:t>
            </w:r>
            <w:r>
              <w:rPr>
                <w:rFonts w:hint="eastAsia" w:asciiTheme="minorEastAsia" w:hAnsiTheme="minorEastAsia" w:eastAsiaTheme="minorEastAsia"/>
                <w:b/>
                <w:color w:val="auto"/>
                <w:szCs w:val="21"/>
                <w:highlight w:val="none"/>
              </w:rPr>
              <w:t>联合体投标时必须提供，否则按无效投标处理</w:t>
            </w:r>
            <w:r>
              <w:rPr>
                <w:rFonts w:hint="eastAsia" w:asciiTheme="minorEastAsia" w:hAnsiTheme="minorEastAsia" w:eastAsiaTheme="minorEastAsia"/>
                <w:color w:val="auto"/>
                <w:szCs w:val="21"/>
                <w:highlight w:val="none"/>
              </w:rPr>
              <w:t>）</w:t>
            </w:r>
          </w:p>
          <w:p w14:paraId="5AB0757F">
            <w:pPr>
              <w:snapToGrid w:val="0"/>
              <w:spacing w:line="400" w:lineRule="exact"/>
              <w:ind w:left="34"/>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9</w:t>
            </w:r>
            <w:r>
              <w:rPr>
                <w:rFonts w:hint="eastAsia" w:asciiTheme="minorEastAsia" w:hAnsiTheme="minorEastAsia" w:eastAsiaTheme="minorEastAsia"/>
                <w:color w:val="auto"/>
                <w:szCs w:val="21"/>
                <w:highlight w:val="none"/>
              </w:rPr>
              <w:t>.除招标文件规定必须提供以外，投标人认为需要提供的其他证明材料（格式自拟）。（投标人根据“第二章 采购需求”及“第四章 评标方法及评标标准”提供有关证明材料）。</w:t>
            </w:r>
          </w:p>
          <w:p w14:paraId="31FDDB8C">
            <w:pPr>
              <w:snapToGrid w:val="0"/>
              <w:spacing w:line="400" w:lineRule="exact"/>
              <w:jc w:val="left"/>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注：以上标明“必须提供”的材料属于复印件的，必须加盖投标人公章，否则按无效投标</w:t>
            </w:r>
            <w:r>
              <w:rPr>
                <w:rFonts w:hint="eastAsia" w:cs="Courier New" w:asciiTheme="minorEastAsia" w:hAnsiTheme="minorEastAsia" w:eastAsiaTheme="minorEastAsia"/>
                <w:b/>
                <w:color w:val="auto"/>
                <w:szCs w:val="21"/>
                <w:highlight w:val="none"/>
              </w:rPr>
              <w:t>处理</w:t>
            </w:r>
            <w:r>
              <w:rPr>
                <w:rFonts w:hint="eastAsia" w:asciiTheme="minorEastAsia" w:hAnsiTheme="minorEastAsia" w:eastAsiaTheme="minorEastAsia"/>
                <w:b/>
                <w:bCs/>
                <w:color w:val="auto"/>
                <w:szCs w:val="21"/>
                <w:highlight w:val="none"/>
              </w:rPr>
              <w:t>。</w:t>
            </w:r>
          </w:p>
        </w:tc>
      </w:tr>
      <w:tr w14:paraId="0582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vMerge w:val="continue"/>
            <w:tcBorders>
              <w:left w:val="single" w:color="auto" w:sz="4" w:space="0"/>
              <w:bottom w:val="single" w:color="auto" w:sz="4" w:space="0"/>
              <w:right w:val="single" w:color="auto" w:sz="4" w:space="0"/>
            </w:tcBorders>
            <w:vAlign w:val="center"/>
          </w:tcPr>
          <w:p w14:paraId="6F7629AB">
            <w:pPr>
              <w:spacing w:line="400" w:lineRule="exact"/>
              <w:rPr>
                <w:rFonts w:asciiTheme="minorEastAsia" w:hAnsiTheme="minorEastAsia" w:eastAsiaTheme="minorEastAsia"/>
                <w:color w:val="auto"/>
                <w:szCs w:val="21"/>
                <w:highlight w:val="none"/>
              </w:rPr>
            </w:pPr>
            <w:bookmarkStart w:id="49" w:name="_13.4"/>
            <w:bookmarkEnd w:id="49"/>
          </w:p>
        </w:tc>
        <w:tc>
          <w:tcPr>
            <w:tcW w:w="4443" w:type="pct"/>
            <w:tcBorders>
              <w:top w:val="single" w:color="auto" w:sz="4" w:space="0"/>
              <w:left w:val="single" w:color="auto" w:sz="4" w:space="0"/>
              <w:bottom w:val="single" w:color="auto" w:sz="4" w:space="0"/>
              <w:right w:val="single" w:color="auto" w:sz="4" w:space="0"/>
            </w:tcBorders>
            <w:vAlign w:val="center"/>
          </w:tcPr>
          <w:p w14:paraId="31FF6059">
            <w:pPr>
              <w:snapToGrid w:val="0"/>
              <w:spacing w:line="400" w:lineRule="exact"/>
              <w:jc w:val="left"/>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技术文件：</w:t>
            </w:r>
          </w:p>
          <w:p w14:paraId="04B214BE">
            <w:pPr>
              <w:snapToGrid w:val="0"/>
              <w:spacing w:line="400" w:lineRule="exact"/>
              <w:ind w:left="-2" w:leftChars="-1"/>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1.设备性能配置清单（格式后附）；（</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67A32AB6">
            <w:pPr>
              <w:snapToGrid w:val="0"/>
              <w:spacing w:line="400" w:lineRule="exact"/>
              <w:ind w:left="-2" w:leftChars="-1"/>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2.技术要求偏离表（格式后附）；（</w:t>
            </w:r>
            <w:r>
              <w:rPr>
                <w:rFonts w:hint="eastAsia" w:asciiTheme="minorEastAsia" w:hAnsiTheme="minorEastAsia" w:eastAsiaTheme="minorEastAsia"/>
                <w:b/>
                <w:color w:val="auto"/>
                <w:szCs w:val="21"/>
                <w:highlight w:val="none"/>
              </w:rPr>
              <w:t>必须提供，否则按无效投标处理</w:t>
            </w:r>
            <w:r>
              <w:rPr>
                <w:rFonts w:hint="eastAsia" w:asciiTheme="minorEastAsia" w:hAnsiTheme="minorEastAsia" w:eastAsiaTheme="minorEastAsia"/>
                <w:color w:val="auto"/>
                <w:szCs w:val="21"/>
                <w:highlight w:val="none"/>
              </w:rPr>
              <w:t>）</w:t>
            </w:r>
          </w:p>
          <w:p w14:paraId="0DAC17C8">
            <w:pPr>
              <w:snapToGrid w:val="0"/>
              <w:spacing w:line="400" w:lineRule="exact"/>
              <w:ind w:left="-2" w:leftChars="-1"/>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3.项目实施方案（格式自拟）；</w:t>
            </w:r>
          </w:p>
          <w:p w14:paraId="4130129D">
            <w:pPr>
              <w:snapToGrid w:val="0"/>
              <w:spacing w:line="400" w:lineRule="exact"/>
              <w:ind w:left="-2" w:leftChars="-1"/>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4</w:t>
            </w:r>
            <w:r>
              <w:rPr>
                <w:rFonts w:hint="eastAsia" w:asciiTheme="minorEastAsia" w:hAnsiTheme="minorEastAsia" w:eastAsiaTheme="minorEastAsia"/>
                <w:color w:val="auto"/>
                <w:szCs w:val="21"/>
                <w:highlight w:val="none"/>
              </w:rPr>
              <w:t>.对本项目系统总体要求的理解。包括：功能说明、性能指标及设备选型说明（质量、性能、价格、外观、体积等方面进行比较和选择的理由及过程，格式自拟）；</w:t>
            </w:r>
          </w:p>
          <w:p w14:paraId="65F37E21">
            <w:pPr>
              <w:snapToGrid w:val="0"/>
              <w:spacing w:line="400" w:lineRule="exact"/>
              <w:ind w:left="-2" w:leftChars="-1"/>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5</w:t>
            </w:r>
            <w:r>
              <w:rPr>
                <w:rFonts w:hint="eastAsia" w:asciiTheme="minorEastAsia" w:hAnsiTheme="minorEastAsia" w:eastAsiaTheme="minorEastAsia"/>
                <w:color w:val="auto"/>
                <w:szCs w:val="21"/>
                <w:highlight w:val="none"/>
              </w:rPr>
              <w:t>.产品出厂标准、质量检测报告【其中有精度要求的仪器设备类政府采购项目，应当要求投标人提供精度数据（</w:t>
            </w:r>
            <w:r>
              <w:rPr>
                <w:rFonts w:asciiTheme="minorEastAsia" w:hAnsiTheme="minorEastAsia" w:eastAsiaTheme="minorEastAsia"/>
                <w:color w:val="auto"/>
                <w:szCs w:val="21"/>
                <w:highlight w:val="none"/>
              </w:rPr>
              <w:t>国家认可的有资质的第三方检测机构出具的检测报告复印件</w:t>
            </w:r>
            <w:r>
              <w:rPr>
                <w:rFonts w:hint="eastAsia" w:asciiTheme="minorEastAsia" w:hAnsiTheme="minorEastAsia" w:eastAsiaTheme="minorEastAsia"/>
                <w:color w:val="auto"/>
                <w:szCs w:val="21"/>
                <w:highlight w:val="none"/>
              </w:rPr>
              <w:t>或者由采购人在投标前组织的实测获得）】</w:t>
            </w:r>
          </w:p>
          <w:p w14:paraId="7611A274">
            <w:pPr>
              <w:snapToGrid w:val="0"/>
              <w:spacing w:line="400" w:lineRule="exact"/>
              <w:ind w:left="-2" w:leftChars="-1"/>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6</w:t>
            </w:r>
            <w:r>
              <w:rPr>
                <w:rFonts w:hint="eastAsia" w:asciiTheme="minorEastAsia" w:hAnsiTheme="minorEastAsia" w:eastAsiaTheme="minorEastAsia"/>
                <w:color w:val="auto"/>
                <w:szCs w:val="21"/>
                <w:highlight w:val="none"/>
              </w:rPr>
              <w:t>.优惠条件：投标人承诺给予招标人的各种优惠条件，包括售后服务、备品备件、专用耗材等方面的优惠；投标人不得给予赠品或者与采购无关的其他商品、服务；</w:t>
            </w:r>
          </w:p>
          <w:p w14:paraId="7E146605">
            <w:pPr>
              <w:snapToGrid w:val="0"/>
              <w:spacing w:line="400" w:lineRule="exact"/>
              <w:ind w:left="-2" w:leftChars="-1"/>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7</w:t>
            </w:r>
            <w:r>
              <w:rPr>
                <w:rFonts w:hint="eastAsia" w:asciiTheme="minorEastAsia" w:hAnsiTheme="minorEastAsia" w:eastAsiaTheme="minorEastAsia"/>
                <w:color w:val="auto"/>
                <w:szCs w:val="21"/>
                <w:highlight w:val="none"/>
              </w:rPr>
              <w:t>.投标人对本项目的合理化建议和改进措施（格式自拟）；</w:t>
            </w:r>
          </w:p>
          <w:p w14:paraId="1DB30D08">
            <w:pPr>
              <w:snapToGrid w:val="0"/>
              <w:spacing w:line="400" w:lineRule="exact"/>
              <w:ind w:left="-2" w:leftChars="-1"/>
              <w:jc w:val="left"/>
              <w:rPr>
                <w:rFonts w:asciiTheme="minorEastAsia" w:hAnsiTheme="minorEastAsia" w:eastAsiaTheme="minorEastAsia"/>
                <w:bCs/>
                <w:color w:val="auto"/>
                <w:szCs w:val="21"/>
                <w:highlight w:val="none"/>
              </w:rPr>
            </w:pPr>
            <w:r>
              <w:rPr>
                <w:rFonts w:asciiTheme="minorEastAsia" w:hAnsiTheme="minorEastAsia" w:eastAsiaTheme="minorEastAsia"/>
                <w:color w:val="auto"/>
                <w:szCs w:val="21"/>
                <w:highlight w:val="none"/>
              </w:rPr>
              <w:t>8</w:t>
            </w:r>
            <w:r>
              <w:rPr>
                <w:rFonts w:hint="eastAsia" w:asciiTheme="minorEastAsia" w:hAnsiTheme="minorEastAsia" w:eastAsiaTheme="minorEastAsia"/>
                <w:color w:val="auto"/>
                <w:szCs w:val="21"/>
                <w:highlight w:val="none"/>
              </w:rPr>
              <w:t>.除招标文件规定必须提供以外，投标人需要说明的其他文件和说明（格式自拟）。</w:t>
            </w:r>
          </w:p>
          <w:p w14:paraId="0B307634">
            <w:pPr>
              <w:snapToGrid w:val="0"/>
              <w:spacing w:line="400" w:lineRule="exact"/>
              <w:jc w:val="left"/>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注：以上标明“必须提供”的材料属于复印件的，必须加盖投标人公章，否则按无效投标</w:t>
            </w:r>
            <w:r>
              <w:rPr>
                <w:rFonts w:hint="eastAsia" w:cs="Courier New" w:asciiTheme="minorEastAsia" w:hAnsiTheme="minorEastAsia" w:eastAsiaTheme="minorEastAsia"/>
                <w:b/>
                <w:color w:val="auto"/>
                <w:szCs w:val="21"/>
                <w:highlight w:val="none"/>
              </w:rPr>
              <w:t>处理</w:t>
            </w:r>
            <w:r>
              <w:rPr>
                <w:rFonts w:hint="eastAsia" w:asciiTheme="minorEastAsia" w:hAnsiTheme="minorEastAsia" w:eastAsiaTheme="minorEastAsia"/>
                <w:b/>
                <w:bCs/>
                <w:color w:val="auto"/>
                <w:szCs w:val="21"/>
                <w:highlight w:val="none"/>
              </w:rPr>
              <w:t>。</w:t>
            </w:r>
          </w:p>
        </w:tc>
      </w:tr>
      <w:tr w14:paraId="5CCD8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2D0E0BE6">
            <w:pPr>
              <w:spacing w:line="400" w:lineRule="exact"/>
              <w:jc w:val="center"/>
              <w:rPr>
                <w:rFonts w:asciiTheme="minorEastAsia" w:hAnsiTheme="minorEastAsia" w:eastAsiaTheme="minorEastAsia"/>
                <w:color w:val="auto"/>
                <w:szCs w:val="21"/>
                <w:highlight w:val="none"/>
              </w:rPr>
            </w:pPr>
            <w:bookmarkStart w:id="50" w:name="_Hlt19194067"/>
            <w:bookmarkEnd w:id="50"/>
            <w:bookmarkStart w:id="51" w:name="_Hlt19693758"/>
            <w:bookmarkEnd w:id="51"/>
            <w:bookmarkStart w:id="52" w:name="_Hlt19194066"/>
            <w:bookmarkEnd w:id="52"/>
            <w:bookmarkStart w:id="53" w:name="_13.5"/>
            <w:bookmarkEnd w:id="53"/>
            <w:bookmarkStart w:id="54" w:name="_16.2"/>
            <w:bookmarkEnd w:id="54"/>
            <w:bookmarkStart w:id="55" w:name="_Hlt19693759"/>
            <w:bookmarkEnd w:id="55"/>
            <w:r>
              <w:rPr>
                <w:rFonts w:hint="eastAsia" w:asciiTheme="minorEastAsia" w:hAnsiTheme="minorEastAsia" w:eastAsiaTheme="minorEastAsia"/>
                <w:color w:val="auto"/>
                <w:szCs w:val="21"/>
                <w:highlight w:val="none"/>
              </w:rPr>
              <w:t>16.2</w:t>
            </w:r>
          </w:p>
        </w:tc>
        <w:tc>
          <w:tcPr>
            <w:tcW w:w="4443" w:type="pct"/>
            <w:tcBorders>
              <w:top w:val="single" w:color="auto" w:sz="4" w:space="0"/>
              <w:left w:val="single" w:color="auto" w:sz="4" w:space="0"/>
              <w:bottom w:val="single" w:color="auto" w:sz="4" w:space="0"/>
              <w:right w:val="single" w:color="auto" w:sz="4" w:space="0"/>
            </w:tcBorders>
            <w:vAlign w:val="center"/>
          </w:tcPr>
          <w:p w14:paraId="067E68A9">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14:paraId="6B6AC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2B9AF734">
            <w:pPr>
              <w:spacing w:line="400" w:lineRule="exact"/>
              <w:jc w:val="center"/>
              <w:rPr>
                <w:rFonts w:asciiTheme="minorEastAsia" w:hAnsiTheme="minorEastAsia" w:eastAsiaTheme="minorEastAsia"/>
                <w:color w:val="auto"/>
                <w:szCs w:val="21"/>
                <w:highlight w:val="none"/>
              </w:rPr>
            </w:pPr>
            <w:bookmarkStart w:id="56" w:name="_17.1"/>
            <w:bookmarkEnd w:id="56"/>
            <w:r>
              <w:rPr>
                <w:rFonts w:hint="eastAsia" w:asciiTheme="minorEastAsia" w:hAnsiTheme="minorEastAsia" w:eastAsiaTheme="minorEastAsia"/>
                <w:color w:val="auto"/>
                <w:szCs w:val="21"/>
                <w:highlight w:val="none"/>
              </w:rPr>
              <w:t>17.</w:t>
            </w:r>
            <w:r>
              <w:rPr>
                <w:rFonts w:asciiTheme="minorEastAsia" w:hAnsiTheme="minorEastAsia" w:eastAsiaTheme="minorEastAsia"/>
                <w:color w:val="auto"/>
                <w:szCs w:val="21"/>
                <w:highlight w:val="none"/>
              </w:rPr>
              <w:t>2</w:t>
            </w:r>
          </w:p>
        </w:tc>
        <w:tc>
          <w:tcPr>
            <w:tcW w:w="4443" w:type="pct"/>
            <w:tcBorders>
              <w:top w:val="single" w:color="auto" w:sz="4" w:space="0"/>
              <w:left w:val="single" w:color="auto" w:sz="4" w:space="0"/>
              <w:bottom w:val="single" w:color="auto" w:sz="4" w:space="0"/>
              <w:right w:val="single" w:color="auto" w:sz="4" w:space="0"/>
            </w:tcBorders>
            <w:vAlign w:val="center"/>
          </w:tcPr>
          <w:p w14:paraId="2EFDB4F2">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投标有效期：自投标截止之日起</w:t>
            </w:r>
            <w:r>
              <w:rPr>
                <w:rFonts w:hint="eastAsia" w:asciiTheme="minorEastAsia" w:hAnsiTheme="minorEastAsia" w:eastAsiaTheme="minorEastAsia"/>
                <w:color w:val="auto"/>
                <w:szCs w:val="21"/>
                <w:highlight w:val="none"/>
                <w:u w:val="single"/>
              </w:rPr>
              <w:t>120</w:t>
            </w:r>
            <w:r>
              <w:rPr>
                <w:rFonts w:hint="eastAsia" w:asciiTheme="minorEastAsia" w:hAnsiTheme="minorEastAsia" w:eastAsiaTheme="minorEastAsia"/>
                <w:color w:val="auto"/>
                <w:szCs w:val="21"/>
                <w:highlight w:val="none"/>
              </w:rPr>
              <w:t>日。</w:t>
            </w:r>
          </w:p>
        </w:tc>
      </w:tr>
      <w:tr w14:paraId="50BA4F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5D1116F5">
            <w:pPr>
              <w:spacing w:line="400" w:lineRule="exact"/>
              <w:jc w:val="center"/>
              <w:rPr>
                <w:rFonts w:asciiTheme="minorEastAsia" w:hAnsiTheme="minorEastAsia" w:eastAsiaTheme="minorEastAsia"/>
                <w:color w:val="auto"/>
                <w:szCs w:val="21"/>
                <w:highlight w:val="none"/>
              </w:rPr>
            </w:pPr>
            <w:bookmarkStart w:id="57" w:name="_18"/>
            <w:bookmarkEnd w:id="57"/>
            <w:r>
              <w:rPr>
                <w:rFonts w:hint="eastAsia" w:asciiTheme="minorEastAsia" w:hAnsiTheme="minorEastAsia" w:eastAsiaTheme="minorEastAsia"/>
                <w:color w:val="auto"/>
                <w:szCs w:val="21"/>
                <w:highlight w:val="none"/>
              </w:rPr>
              <w:t>18</w:t>
            </w:r>
            <w:r>
              <w:rPr>
                <w:rFonts w:asciiTheme="minorEastAsia" w:hAnsiTheme="minorEastAsia" w:eastAsiaTheme="minorEastAsia"/>
                <w:color w:val="auto"/>
                <w:szCs w:val="21"/>
                <w:highlight w:val="none"/>
              </w:rPr>
              <w:t>.1</w:t>
            </w:r>
          </w:p>
        </w:tc>
        <w:tc>
          <w:tcPr>
            <w:tcW w:w="4443" w:type="pct"/>
            <w:tcBorders>
              <w:top w:val="single" w:color="auto" w:sz="4" w:space="0"/>
              <w:left w:val="single" w:color="auto" w:sz="4" w:space="0"/>
              <w:bottom w:val="single" w:color="auto" w:sz="4" w:space="0"/>
              <w:right w:val="single" w:color="auto" w:sz="4" w:space="0"/>
            </w:tcBorders>
            <w:vAlign w:val="center"/>
          </w:tcPr>
          <w:p w14:paraId="304FDC9A">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☑本项目不收取投标保证金。</w:t>
            </w:r>
          </w:p>
          <w:p w14:paraId="6731D713">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□本项目收取投标保证金，具体规定如下：</w:t>
            </w:r>
          </w:p>
          <w:p w14:paraId="04F44E5A">
            <w:pPr>
              <w:snapToGrid w:val="0"/>
              <w:spacing w:line="400" w:lineRule="exac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投标保证金（人民币）：</w:t>
            </w:r>
            <w:r>
              <w:rPr>
                <w:rFonts w:hint="eastAsia" w:asciiTheme="minorEastAsia" w:hAnsiTheme="minorEastAsia" w:eastAsiaTheme="minorEastAsia"/>
                <w:color w:val="auto"/>
                <w:szCs w:val="21"/>
                <w:highlight w:val="none"/>
              </w:rPr>
              <w:t>无</w:t>
            </w:r>
            <w:r>
              <w:rPr>
                <w:rFonts w:hint="eastAsia" w:cs="宋体" w:asciiTheme="minorEastAsia" w:hAnsiTheme="minorEastAsia" w:eastAsiaTheme="minorEastAsia"/>
                <w:b/>
                <w:color w:val="auto"/>
                <w:kern w:val="0"/>
                <w:szCs w:val="21"/>
                <w:highlight w:val="none"/>
              </w:rPr>
              <w:t>。</w:t>
            </w:r>
          </w:p>
          <w:p w14:paraId="299F4077">
            <w:pPr>
              <w:snapToGrid w:val="0"/>
              <w:spacing w:line="400" w:lineRule="exact"/>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kern w:val="0"/>
                <w:szCs w:val="21"/>
                <w:highlight w:val="none"/>
              </w:rPr>
              <w:t>投标保证金的交纳方式：银行转账、支票、汇票、本票或者金融、担保机构出具的保函，禁止采用现钞方式。采用银行转账方式的，在投标截止时间前交至指定账户并且到账（</w:t>
            </w:r>
            <w:r>
              <w:rPr>
                <w:rFonts w:hint="eastAsia" w:cs="宋体" w:asciiTheme="minorEastAsia" w:hAnsiTheme="minorEastAsia" w:eastAsiaTheme="minorEastAsia"/>
                <w:color w:val="auto"/>
                <w:kern w:val="0"/>
                <w:szCs w:val="21"/>
                <w:highlight w:val="none"/>
                <w:u w:val="single"/>
              </w:rPr>
              <w:t>开户名称：/ ，开户银行：/，银行账号：/</w:t>
            </w:r>
            <w:r>
              <w:rPr>
                <w:rFonts w:hint="eastAsia" w:cs="宋体" w:asciiTheme="minorEastAsia" w:hAnsiTheme="minorEastAsia" w:eastAsiaTheme="minorEastAsia"/>
                <w:color w:val="auto"/>
                <w:kern w:val="0"/>
                <w:szCs w:val="21"/>
                <w:highlight w:val="none"/>
              </w:rPr>
              <w:t>）；采用支票、汇票、本票或者保函等方式的，在投标截止时间前，投标人必须递交支票、汇票、本票或者保函原件。否则视为无效投标保证金。</w:t>
            </w:r>
            <w:r>
              <w:rPr>
                <w:rFonts w:hint="eastAsia" w:asciiTheme="minorEastAsia" w:hAnsiTheme="minorEastAsia" w:eastAsiaTheme="minorEastAsia"/>
                <w:color w:val="auto"/>
                <w:szCs w:val="21"/>
                <w:highlight w:val="none"/>
              </w:rPr>
              <w:t>相关要求：</w:t>
            </w:r>
          </w:p>
          <w:p w14:paraId="32A19103">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1.投标保证金采用银行转账交纳方式的，投标人转帐时请在银行转账底单备注“</w:t>
            </w:r>
            <w:r>
              <w:rPr>
                <w:rFonts w:hint="eastAsia" w:asciiTheme="minorEastAsia" w:hAnsiTheme="minorEastAsia" w:eastAsiaTheme="minorEastAsia"/>
                <w:b/>
                <w:color w:val="auto"/>
                <w:szCs w:val="21"/>
                <w:highlight w:val="none"/>
                <w:u w:val="single"/>
              </w:rPr>
              <w:t xml:space="preserve"> / </w:t>
            </w:r>
            <w:r>
              <w:rPr>
                <w:rFonts w:hint="eastAsia" w:asciiTheme="minorEastAsia" w:hAnsiTheme="minorEastAsia" w:eastAsiaTheme="minorEastAsia"/>
                <w:color w:val="auto"/>
                <w:szCs w:val="21"/>
                <w:highlight w:val="none"/>
              </w:rPr>
              <w:t>”，在投标截止时间前交至指定账户并且到账，投标人应将银行转账底单的复印件作为投标保证金提交凭证，</w:t>
            </w:r>
            <w:r>
              <w:rPr>
                <w:rFonts w:asciiTheme="minorEastAsia" w:hAnsiTheme="minorEastAsia" w:eastAsiaTheme="minorEastAsia"/>
                <w:color w:val="auto"/>
                <w:szCs w:val="21"/>
                <w:highlight w:val="none"/>
              </w:rPr>
              <w:t>放置于</w:t>
            </w:r>
            <w:r>
              <w:rPr>
                <w:rFonts w:hint="eastAsia" w:asciiTheme="minorEastAsia" w:hAnsiTheme="minorEastAsia" w:eastAsiaTheme="minorEastAsia"/>
                <w:color w:val="auto"/>
                <w:szCs w:val="21"/>
                <w:highlight w:val="none"/>
              </w:rPr>
              <w:t>商务文件</w:t>
            </w:r>
            <w:r>
              <w:rPr>
                <w:rFonts w:asciiTheme="minorEastAsia" w:hAnsiTheme="minorEastAsia" w:eastAsiaTheme="minorEastAsia"/>
                <w:color w:val="auto"/>
                <w:szCs w:val="21"/>
                <w:highlight w:val="none"/>
              </w:rPr>
              <w:t>中</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rPr>
              <w:t>否则投标无效</w:t>
            </w:r>
            <w:r>
              <w:rPr>
                <w:rFonts w:hint="eastAsia" w:asciiTheme="minorEastAsia" w:hAnsiTheme="minorEastAsia" w:eastAsiaTheme="minorEastAsia"/>
                <w:color w:val="auto"/>
                <w:szCs w:val="21"/>
                <w:highlight w:val="none"/>
              </w:rPr>
              <w:t>。</w:t>
            </w:r>
          </w:p>
          <w:p w14:paraId="4C5FABC1">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2.投标保证金采用支票、汇票、本票或者银行、保险机构出具的保函交纳方式的，投标人应将支票、汇票、本票或者银行、保险机构出具的保函的复印件作为投标保证金提交凭证，放置于商务文件中，</w:t>
            </w:r>
            <w:r>
              <w:rPr>
                <w:rFonts w:hint="eastAsia" w:asciiTheme="minorEastAsia" w:hAnsiTheme="minorEastAsia" w:eastAsiaTheme="minorEastAsia"/>
                <w:b/>
                <w:color w:val="auto"/>
                <w:szCs w:val="21"/>
                <w:highlight w:val="none"/>
              </w:rPr>
              <w:t>否则投标无效</w:t>
            </w:r>
            <w:r>
              <w:rPr>
                <w:rFonts w:hint="eastAsia" w:asciiTheme="minorEastAsia" w:hAnsiTheme="minorEastAsia" w:eastAsiaTheme="minorEastAsia"/>
                <w:color w:val="auto"/>
                <w:szCs w:val="21"/>
                <w:highlight w:val="none"/>
              </w:rPr>
              <w:t>。投标人必须在投标截止时间前采用现场或邮寄方式（</w:t>
            </w:r>
            <w:r>
              <w:rPr>
                <w:rFonts w:hint="eastAsia" w:asciiTheme="minorEastAsia" w:hAnsiTheme="minorEastAsia" w:eastAsiaTheme="minorEastAsia"/>
                <w:color w:val="auto"/>
                <w:szCs w:val="21"/>
                <w:highlight w:val="none"/>
                <w:u w:val="single"/>
              </w:rPr>
              <w:t xml:space="preserve"> / </w:t>
            </w:r>
            <w:r>
              <w:rPr>
                <w:rFonts w:hint="eastAsia" w:asciiTheme="minorEastAsia" w:hAnsiTheme="minorEastAsia" w:eastAsiaTheme="minorEastAsia"/>
                <w:color w:val="auto"/>
                <w:szCs w:val="21"/>
                <w:highlight w:val="none"/>
              </w:rPr>
              <w:t>）将</w:t>
            </w:r>
            <w:r>
              <w:rPr>
                <w:rFonts w:hint="eastAsia" w:cs="宋体" w:asciiTheme="minorEastAsia" w:hAnsiTheme="minorEastAsia" w:eastAsiaTheme="minorEastAsia"/>
                <w:color w:val="auto"/>
                <w:kern w:val="0"/>
                <w:szCs w:val="21"/>
                <w:highlight w:val="none"/>
              </w:rPr>
              <w:t>单独密封的</w:t>
            </w:r>
            <w:r>
              <w:rPr>
                <w:rFonts w:hint="eastAsia" w:asciiTheme="minorEastAsia" w:hAnsiTheme="minorEastAsia" w:eastAsiaTheme="minorEastAsia"/>
                <w:color w:val="auto"/>
                <w:szCs w:val="21"/>
                <w:highlight w:val="none"/>
              </w:rPr>
              <w:t>支票、汇票、本票或者银行、保险机构出具的保函原件提交给采购人或者采购代理机构，由采购人或者采购代理机构向投标人出具回执（邮寄方式的除外），并妥善保管。</w:t>
            </w:r>
          </w:p>
          <w:p w14:paraId="70EE1DE1">
            <w:pPr>
              <w:snapToGrid w:val="0"/>
              <w:spacing w:line="400" w:lineRule="exact"/>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3.投标人为联合体的，可以由联合体中的一方或者多方共同交纳投标保证金，其交纳的保证金对联合体各方均具有约束力。</w:t>
            </w:r>
          </w:p>
          <w:p w14:paraId="6780E501">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 xml:space="preserve">备注： </w:t>
            </w:r>
          </w:p>
          <w:p w14:paraId="5DC29F0B">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1. 投标保证金在投标截止时间后提交的，或者不按规定交纳方式交纳的，或者未足额交纳的（包含保函额度不足的），视为无效投标保证金。</w:t>
            </w:r>
          </w:p>
          <w:p w14:paraId="3D09E54F">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2.投标人采用现钞方式或者从个人账户（自然人投标除外）转出的投标保证金，视为无效投标保证金。</w:t>
            </w:r>
          </w:p>
          <w:p w14:paraId="515B0607">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3.支票、汇票或者本票出现无效或者背书情形的，视为无效投标保证金。</w:t>
            </w:r>
          </w:p>
          <w:p w14:paraId="09E6087F">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4.保函有效期低于投标有效期的，视为无效投标保证金。</w:t>
            </w:r>
          </w:p>
          <w:p w14:paraId="449E0FD8">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5.采用银行、保险机构出具保函的，必须为无条件保函，否则视为无效投标保证金。</w:t>
            </w:r>
          </w:p>
          <w:p w14:paraId="012EB38B">
            <w:pPr>
              <w:pStyle w:val="12"/>
              <w:spacing w:line="40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b/>
                <w:color w:val="auto"/>
                <w:kern w:val="2"/>
                <w:sz w:val="21"/>
                <w:szCs w:val="21"/>
                <w:highlight w:val="none"/>
              </w:rPr>
              <w:t>6</w:t>
            </w:r>
            <w:r>
              <w:rPr>
                <w:rFonts w:asciiTheme="minorEastAsia" w:hAnsiTheme="minorEastAsia" w:eastAsiaTheme="minorEastAsia"/>
                <w:b/>
                <w:color w:val="auto"/>
                <w:kern w:val="2"/>
                <w:sz w:val="21"/>
                <w:szCs w:val="21"/>
                <w:highlight w:val="none"/>
              </w:rPr>
              <w:t>.政采云平台</w:t>
            </w:r>
            <w:r>
              <w:rPr>
                <w:rFonts w:hint="eastAsia" w:asciiTheme="minorEastAsia" w:hAnsiTheme="minorEastAsia" w:eastAsiaTheme="minorEastAsia"/>
                <w:b/>
                <w:color w:val="auto"/>
                <w:kern w:val="2"/>
                <w:sz w:val="21"/>
                <w:szCs w:val="21"/>
                <w:highlight w:val="none"/>
              </w:rPr>
              <w:t>暂未</w:t>
            </w:r>
            <w:r>
              <w:rPr>
                <w:rFonts w:asciiTheme="minorEastAsia" w:hAnsiTheme="minorEastAsia" w:eastAsiaTheme="minorEastAsia"/>
                <w:b/>
                <w:color w:val="auto"/>
                <w:kern w:val="2"/>
                <w:sz w:val="21"/>
                <w:szCs w:val="21"/>
                <w:highlight w:val="none"/>
              </w:rPr>
              <w:t>支持电子保函功能</w:t>
            </w:r>
            <w:r>
              <w:rPr>
                <w:rFonts w:hint="eastAsia" w:asciiTheme="minorEastAsia" w:hAnsiTheme="minorEastAsia" w:eastAsiaTheme="minorEastAsia"/>
                <w:b/>
                <w:color w:val="auto"/>
                <w:kern w:val="2"/>
                <w:sz w:val="21"/>
                <w:szCs w:val="21"/>
                <w:highlight w:val="none"/>
              </w:rPr>
              <w:t>，</w:t>
            </w:r>
            <w:r>
              <w:rPr>
                <w:rFonts w:asciiTheme="minorEastAsia" w:hAnsiTheme="minorEastAsia" w:eastAsiaTheme="minorEastAsia"/>
                <w:b/>
                <w:color w:val="auto"/>
                <w:kern w:val="2"/>
                <w:sz w:val="21"/>
                <w:szCs w:val="21"/>
                <w:highlight w:val="none"/>
              </w:rPr>
              <w:t>故本项目暂不接受电子保函形式的保证金</w:t>
            </w:r>
            <w:r>
              <w:rPr>
                <w:rFonts w:hint="eastAsia" w:asciiTheme="minorEastAsia" w:hAnsiTheme="minorEastAsia" w:eastAsiaTheme="minorEastAsia"/>
                <w:b/>
                <w:color w:val="auto"/>
                <w:kern w:val="2"/>
                <w:sz w:val="21"/>
                <w:szCs w:val="21"/>
                <w:highlight w:val="none"/>
              </w:rPr>
              <w:t>。</w:t>
            </w:r>
          </w:p>
        </w:tc>
      </w:tr>
      <w:tr w14:paraId="121E0A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494181C9">
            <w:pPr>
              <w:spacing w:line="400" w:lineRule="exact"/>
              <w:jc w:val="center"/>
              <w:rPr>
                <w:rFonts w:asciiTheme="minorEastAsia" w:hAnsiTheme="minorEastAsia" w:eastAsiaTheme="minorEastAsia"/>
                <w:color w:val="auto"/>
                <w:szCs w:val="21"/>
                <w:highlight w:val="none"/>
              </w:rPr>
            </w:pPr>
            <w:bookmarkStart w:id="58" w:name="_19.2"/>
            <w:bookmarkEnd w:id="58"/>
            <w:r>
              <w:rPr>
                <w:rFonts w:hint="eastAsia" w:asciiTheme="minorEastAsia" w:hAnsiTheme="minorEastAsia" w:eastAsiaTheme="minorEastAsia"/>
                <w:color w:val="auto"/>
                <w:szCs w:val="21"/>
                <w:highlight w:val="none"/>
              </w:rPr>
              <w:t>20</w:t>
            </w:r>
          </w:p>
        </w:tc>
        <w:tc>
          <w:tcPr>
            <w:tcW w:w="4443" w:type="pct"/>
            <w:tcBorders>
              <w:top w:val="single" w:color="auto" w:sz="4" w:space="0"/>
              <w:left w:val="single" w:color="auto" w:sz="4" w:space="0"/>
              <w:bottom w:val="single" w:color="auto" w:sz="4" w:space="0"/>
              <w:right w:val="single" w:color="auto" w:sz="4" w:space="0"/>
            </w:tcBorders>
            <w:vAlign w:val="center"/>
          </w:tcPr>
          <w:p w14:paraId="21E15EC0">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本项目不接受电子备份投标文件；</w:t>
            </w:r>
          </w:p>
          <w:p w14:paraId="5D78135C">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□本项目接受电子备份投标文件。</w:t>
            </w:r>
          </w:p>
        </w:tc>
      </w:tr>
      <w:tr w14:paraId="001BE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556" w:type="pct"/>
            <w:tcBorders>
              <w:top w:val="single" w:color="auto" w:sz="4" w:space="0"/>
              <w:left w:val="single" w:color="auto" w:sz="4" w:space="0"/>
              <w:bottom w:val="single" w:color="auto" w:sz="4" w:space="0"/>
              <w:right w:val="single" w:color="auto" w:sz="4" w:space="0"/>
            </w:tcBorders>
            <w:vAlign w:val="center"/>
          </w:tcPr>
          <w:p w14:paraId="0848DFB2">
            <w:pPr>
              <w:spacing w:line="400" w:lineRule="exact"/>
              <w:jc w:val="center"/>
              <w:rPr>
                <w:rFonts w:asciiTheme="minorEastAsia" w:hAnsiTheme="minorEastAsia" w:eastAsiaTheme="minorEastAsia"/>
                <w:color w:val="auto"/>
                <w:szCs w:val="21"/>
                <w:highlight w:val="none"/>
              </w:rPr>
            </w:pPr>
            <w:bookmarkStart w:id="59" w:name="_21.1"/>
            <w:bookmarkEnd w:id="59"/>
            <w:r>
              <w:rPr>
                <w:rFonts w:hint="eastAsia" w:asciiTheme="minorEastAsia" w:hAnsiTheme="minorEastAsia" w:eastAsiaTheme="minorEastAsia"/>
                <w:color w:val="auto"/>
                <w:szCs w:val="21"/>
                <w:highlight w:val="none"/>
              </w:rPr>
              <w:t>21.1</w:t>
            </w:r>
          </w:p>
        </w:tc>
        <w:tc>
          <w:tcPr>
            <w:tcW w:w="4443" w:type="pct"/>
            <w:tcBorders>
              <w:top w:val="single" w:color="auto" w:sz="4" w:space="0"/>
              <w:left w:val="single" w:color="auto" w:sz="4" w:space="0"/>
              <w:bottom w:val="single" w:color="auto" w:sz="4" w:space="0"/>
              <w:right w:val="single" w:color="auto" w:sz="4" w:space="0"/>
            </w:tcBorders>
            <w:vAlign w:val="center"/>
          </w:tcPr>
          <w:p w14:paraId="0D8DF005">
            <w:pPr>
              <w:snapToGrid w:val="0"/>
              <w:spacing w:line="400" w:lineRule="exact"/>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1.投标文件提交截止时间：详见招标公告</w:t>
            </w:r>
          </w:p>
          <w:p w14:paraId="4D19DA83">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2.投标地点：详见招标公告</w:t>
            </w:r>
          </w:p>
        </w:tc>
      </w:tr>
      <w:tr w14:paraId="61488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2189B707">
            <w:pPr>
              <w:spacing w:line="400" w:lineRule="exact"/>
              <w:jc w:val="center"/>
              <w:rPr>
                <w:rFonts w:asciiTheme="minorEastAsia" w:hAnsiTheme="minorEastAsia" w:eastAsiaTheme="minorEastAsia"/>
                <w:color w:val="auto"/>
                <w:szCs w:val="21"/>
                <w:highlight w:val="none"/>
              </w:rPr>
            </w:pPr>
            <w:bookmarkStart w:id="60" w:name="_23"/>
            <w:bookmarkEnd w:id="60"/>
            <w:r>
              <w:rPr>
                <w:rFonts w:hint="eastAsia" w:asciiTheme="minorEastAsia" w:hAnsiTheme="minorEastAsia" w:eastAsiaTheme="minorEastAsia"/>
                <w:color w:val="auto"/>
                <w:szCs w:val="21"/>
                <w:highlight w:val="none"/>
              </w:rPr>
              <w:t>23</w:t>
            </w:r>
          </w:p>
        </w:tc>
        <w:tc>
          <w:tcPr>
            <w:tcW w:w="4443" w:type="pct"/>
            <w:tcBorders>
              <w:top w:val="single" w:color="auto" w:sz="4" w:space="0"/>
              <w:left w:val="single" w:color="auto" w:sz="4" w:space="0"/>
              <w:bottom w:val="single" w:color="auto" w:sz="4" w:space="0"/>
              <w:right w:val="single" w:color="auto" w:sz="4" w:space="0"/>
            </w:tcBorders>
            <w:vAlign w:val="center"/>
          </w:tcPr>
          <w:p w14:paraId="36C7B422">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1.开标时间：详见招标公告</w:t>
            </w:r>
          </w:p>
          <w:p w14:paraId="116FD6BD">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2.开标地点：详见招标公告</w:t>
            </w:r>
          </w:p>
        </w:tc>
      </w:tr>
      <w:tr w14:paraId="30E5F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5F9D8802">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24.3（1）</w:t>
            </w:r>
          </w:p>
        </w:tc>
        <w:tc>
          <w:tcPr>
            <w:tcW w:w="4443" w:type="pct"/>
            <w:tcBorders>
              <w:top w:val="single" w:color="auto" w:sz="4" w:space="0"/>
              <w:left w:val="single" w:color="auto" w:sz="4" w:space="0"/>
              <w:bottom w:val="single" w:color="auto" w:sz="4" w:space="0"/>
              <w:right w:val="single" w:color="auto" w:sz="4" w:space="0"/>
            </w:tcBorders>
            <w:vAlign w:val="center"/>
          </w:tcPr>
          <w:p w14:paraId="3235579E">
            <w:pPr>
              <w:snapToGrid w:val="0"/>
              <w:spacing w:line="400" w:lineRule="exact"/>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电子投标文件解密时间：</w:t>
            </w:r>
            <w:r>
              <w:rPr>
                <w:rFonts w:hint="eastAsia" w:asciiTheme="minorEastAsia" w:hAnsiTheme="minorEastAsia" w:eastAsiaTheme="minorEastAsia"/>
                <w:color w:val="auto"/>
                <w:szCs w:val="21"/>
                <w:highlight w:val="none"/>
                <w:u w:val="single"/>
              </w:rPr>
              <w:t>30</w:t>
            </w:r>
            <w:r>
              <w:rPr>
                <w:rFonts w:hint="eastAsia" w:asciiTheme="minorEastAsia" w:hAnsiTheme="minorEastAsia" w:eastAsiaTheme="minorEastAsia"/>
                <w:color w:val="auto"/>
                <w:szCs w:val="21"/>
                <w:highlight w:val="none"/>
              </w:rPr>
              <w:t>分钟</w:t>
            </w:r>
          </w:p>
        </w:tc>
      </w:tr>
      <w:tr w14:paraId="66E80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0E82306E">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24</w:t>
            </w:r>
            <w:r>
              <w:rPr>
                <w:rFonts w:asciiTheme="minorEastAsia" w:hAnsiTheme="minorEastAsia" w:eastAsiaTheme="minorEastAsia"/>
                <w:color w:val="auto"/>
                <w:szCs w:val="21"/>
                <w:highlight w:val="none"/>
              </w:rPr>
              <w:t>.3</w:t>
            </w:r>
            <w:r>
              <w:rPr>
                <w:rFonts w:hint="eastAsia"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w:t>
            </w:r>
          </w:p>
        </w:tc>
        <w:tc>
          <w:tcPr>
            <w:tcW w:w="4443" w:type="pct"/>
            <w:tcBorders>
              <w:top w:val="single" w:color="auto" w:sz="4" w:space="0"/>
              <w:left w:val="single" w:color="auto" w:sz="4" w:space="0"/>
              <w:bottom w:val="single" w:color="auto" w:sz="4" w:space="0"/>
              <w:right w:val="single" w:color="auto" w:sz="4" w:space="0"/>
            </w:tcBorders>
            <w:vAlign w:val="center"/>
          </w:tcPr>
          <w:p w14:paraId="46055A49">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宣布的内容：投标人名称、投标价格</w:t>
            </w:r>
          </w:p>
        </w:tc>
      </w:tr>
      <w:tr w14:paraId="2FB0F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649D062B">
            <w:pPr>
              <w:spacing w:line="400" w:lineRule="exact"/>
              <w:jc w:val="center"/>
              <w:rPr>
                <w:rFonts w:asciiTheme="minorEastAsia" w:hAnsiTheme="minorEastAsia" w:eastAsiaTheme="minorEastAsia"/>
                <w:color w:val="auto"/>
                <w:szCs w:val="21"/>
                <w:highlight w:val="none"/>
              </w:rPr>
            </w:pPr>
            <w:bookmarkStart w:id="61" w:name="_25.3"/>
            <w:bookmarkEnd w:id="61"/>
            <w:r>
              <w:rPr>
                <w:rFonts w:hint="eastAsia" w:asciiTheme="minorEastAsia" w:hAnsiTheme="minorEastAsia" w:eastAsiaTheme="minorEastAsia"/>
                <w:color w:val="auto"/>
                <w:szCs w:val="21"/>
                <w:highlight w:val="none"/>
              </w:rPr>
              <w:t>25.3（</w:t>
            </w: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w:t>
            </w:r>
          </w:p>
        </w:tc>
        <w:tc>
          <w:tcPr>
            <w:tcW w:w="4443" w:type="pct"/>
            <w:tcBorders>
              <w:top w:val="single" w:color="auto" w:sz="4" w:space="0"/>
              <w:left w:val="single" w:color="auto" w:sz="4" w:space="0"/>
              <w:bottom w:val="single" w:color="auto" w:sz="4" w:space="0"/>
              <w:right w:val="single" w:color="auto" w:sz="4" w:space="0"/>
            </w:tcBorders>
            <w:vAlign w:val="center"/>
          </w:tcPr>
          <w:p w14:paraId="4B6858C6">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采购人或者采购代理机构在资格审查结束前，对投标人进行信用查询。</w:t>
            </w:r>
          </w:p>
          <w:p w14:paraId="66706847">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查询渠道：“信用中国”网站（www.creditchina.gov.cn） 、中国政府采购网（www.ccgp.gov.cn）。</w:t>
            </w:r>
          </w:p>
          <w:p w14:paraId="1E8F06E8">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信用查询截止时点：资格审查结束前</w:t>
            </w:r>
          </w:p>
          <w:p w14:paraId="12C48807">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查询记录和证据留存方式：</w:t>
            </w:r>
            <w:r>
              <w:rPr>
                <w:rFonts w:hint="eastAsia" w:cs="宋体" w:asciiTheme="minorEastAsia" w:hAnsiTheme="minorEastAsia" w:eastAsiaTheme="minorEastAsia"/>
                <w:color w:val="auto"/>
                <w:szCs w:val="21"/>
                <w:highlight w:val="none"/>
              </w:rPr>
              <w:t>将查询网站中的查询记录截图并作为评审资料保存。</w:t>
            </w:r>
          </w:p>
          <w:p w14:paraId="20EC3ECB">
            <w:pPr>
              <w:snapToGrid w:val="0"/>
              <w:spacing w:line="400" w:lineRule="exact"/>
              <w:rPr>
                <w:rFonts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tc>
      </w:tr>
      <w:tr w14:paraId="47E18B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5825A311">
            <w:pPr>
              <w:spacing w:line="400" w:lineRule="exact"/>
              <w:jc w:val="center"/>
              <w:rPr>
                <w:rFonts w:asciiTheme="minorEastAsia" w:hAnsiTheme="minorEastAsia" w:eastAsiaTheme="minorEastAsia"/>
                <w:color w:val="auto"/>
                <w:szCs w:val="21"/>
                <w:highlight w:val="none"/>
              </w:rPr>
            </w:pPr>
            <w:bookmarkStart w:id="62" w:name="_26"/>
            <w:bookmarkEnd w:id="62"/>
            <w:r>
              <w:rPr>
                <w:rFonts w:hint="eastAsia" w:asciiTheme="minorEastAsia" w:hAnsiTheme="minorEastAsia" w:eastAsiaTheme="minorEastAsia"/>
                <w:color w:val="auto"/>
                <w:szCs w:val="21"/>
                <w:highlight w:val="none"/>
              </w:rPr>
              <w:t>26</w:t>
            </w:r>
            <w:r>
              <w:rPr>
                <w:rFonts w:asciiTheme="minorEastAsia" w:hAnsiTheme="minorEastAsia" w:eastAsiaTheme="minorEastAsia"/>
                <w:color w:val="auto"/>
                <w:szCs w:val="21"/>
                <w:highlight w:val="none"/>
              </w:rPr>
              <w:t>.1</w:t>
            </w:r>
          </w:p>
        </w:tc>
        <w:tc>
          <w:tcPr>
            <w:tcW w:w="4443" w:type="pct"/>
            <w:tcBorders>
              <w:top w:val="single" w:color="auto" w:sz="4" w:space="0"/>
              <w:left w:val="single" w:color="auto" w:sz="4" w:space="0"/>
              <w:bottom w:val="single" w:color="auto" w:sz="4" w:space="0"/>
              <w:right w:val="single" w:color="auto" w:sz="4" w:space="0"/>
            </w:tcBorders>
            <w:vAlign w:val="center"/>
          </w:tcPr>
          <w:p w14:paraId="4360B437">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评标委员会的人数：</w:t>
            </w:r>
            <w:r>
              <w:rPr>
                <w:rFonts w:hint="eastAsia" w:asciiTheme="minorEastAsia" w:hAnsiTheme="minorEastAsia" w:eastAsiaTheme="minorEastAsia"/>
                <w:color w:val="auto"/>
                <w:szCs w:val="21"/>
                <w:highlight w:val="none"/>
                <w:u w:val="single"/>
              </w:rPr>
              <w:t>5</w:t>
            </w:r>
            <w:r>
              <w:rPr>
                <w:rFonts w:hint="eastAsia" w:asciiTheme="minorEastAsia" w:hAnsiTheme="minorEastAsia" w:eastAsiaTheme="minorEastAsia"/>
                <w:color w:val="auto"/>
                <w:szCs w:val="21"/>
                <w:highlight w:val="none"/>
              </w:rPr>
              <w:t>人</w:t>
            </w:r>
          </w:p>
        </w:tc>
      </w:tr>
      <w:tr w14:paraId="69AFC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2CBFB354">
            <w:pPr>
              <w:spacing w:line="400" w:lineRule="exact"/>
              <w:jc w:val="center"/>
              <w:rPr>
                <w:rFonts w:asciiTheme="minorEastAsia" w:hAnsiTheme="minorEastAsia" w:eastAsiaTheme="minorEastAsia"/>
                <w:color w:val="auto"/>
                <w:szCs w:val="21"/>
                <w:highlight w:val="none"/>
              </w:rPr>
            </w:pPr>
            <w:bookmarkStart w:id="63" w:name="_28.3"/>
            <w:bookmarkEnd w:id="63"/>
            <w:r>
              <w:rPr>
                <w:rFonts w:asciiTheme="minorEastAsia" w:hAnsiTheme="minorEastAsia" w:eastAsiaTheme="minorEastAsia"/>
                <w:color w:val="auto"/>
                <w:szCs w:val="21"/>
                <w:highlight w:val="none"/>
              </w:rPr>
              <w:t>29.1</w:t>
            </w:r>
          </w:p>
        </w:tc>
        <w:tc>
          <w:tcPr>
            <w:tcW w:w="4443" w:type="pct"/>
            <w:tcBorders>
              <w:top w:val="single" w:color="auto" w:sz="4" w:space="0"/>
              <w:left w:val="single" w:color="auto" w:sz="4" w:space="0"/>
              <w:bottom w:val="single" w:color="auto" w:sz="4" w:space="0"/>
              <w:right w:val="single" w:color="auto" w:sz="4" w:space="0"/>
            </w:tcBorders>
            <w:vAlign w:val="center"/>
          </w:tcPr>
          <w:p w14:paraId="30E91ED4">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评标方法：</w:t>
            </w:r>
          </w:p>
          <w:p w14:paraId="333621C9">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综合评分法</w:t>
            </w:r>
          </w:p>
          <w:p w14:paraId="17A677B9">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□最低评标价法</w:t>
            </w:r>
          </w:p>
        </w:tc>
      </w:tr>
      <w:tr w14:paraId="422FD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56" w:type="pct"/>
            <w:vMerge w:val="restart"/>
            <w:tcBorders>
              <w:top w:val="single" w:color="auto" w:sz="4" w:space="0"/>
              <w:left w:val="single" w:color="auto" w:sz="4" w:space="0"/>
              <w:right w:val="single" w:color="auto" w:sz="4" w:space="0"/>
            </w:tcBorders>
            <w:vAlign w:val="center"/>
          </w:tcPr>
          <w:p w14:paraId="3648152F">
            <w:pPr>
              <w:spacing w:line="400" w:lineRule="exact"/>
              <w:jc w:val="center"/>
              <w:rPr>
                <w:rFonts w:asciiTheme="minorEastAsia" w:hAnsiTheme="minorEastAsia" w:eastAsiaTheme="minorEastAsia"/>
                <w:color w:val="auto"/>
                <w:szCs w:val="21"/>
                <w:highlight w:val="none"/>
              </w:rPr>
            </w:pPr>
            <w:bookmarkStart w:id="64" w:name="_29.2.2（2）"/>
            <w:bookmarkEnd w:id="64"/>
            <w:r>
              <w:rPr>
                <w:rFonts w:hint="eastAsia" w:asciiTheme="minorEastAsia" w:hAnsiTheme="minorEastAsia" w:eastAsiaTheme="minorEastAsia"/>
                <w:color w:val="auto"/>
                <w:szCs w:val="21"/>
                <w:highlight w:val="none"/>
              </w:rPr>
              <w:t>2</w:t>
            </w:r>
            <w:r>
              <w:rPr>
                <w:rFonts w:asciiTheme="minorEastAsia" w:hAnsiTheme="minorEastAsia" w:eastAsiaTheme="minorEastAsia"/>
                <w:color w:val="auto"/>
                <w:szCs w:val="21"/>
                <w:highlight w:val="none"/>
              </w:rPr>
              <w:t>9.</w:t>
            </w:r>
            <w:r>
              <w:rPr>
                <w:rFonts w:hint="eastAsia" w:asciiTheme="minorEastAsia" w:hAnsiTheme="minorEastAsia" w:eastAsiaTheme="minorEastAsia"/>
                <w:color w:val="auto"/>
                <w:szCs w:val="21"/>
                <w:highlight w:val="none"/>
              </w:rPr>
              <w:t>2</w:t>
            </w:r>
          </w:p>
        </w:tc>
        <w:tc>
          <w:tcPr>
            <w:tcW w:w="4443" w:type="pct"/>
            <w:tcBorders>
              <w:top w:val="single" w:color="auto" w:sz="4" w:space="0"/>
              <w:left w:val="single" w:color="auto" w:sz="4" w:space="0"/>
              <w:right w:val="single" w:color="auto" w:sz="4" w:space="0"/>
            </w:tcBorders>
            <w:vAlign w:val="center"/>
          </w:tcPr>
          <w:p w14:paraId="0F9D76EB">
            <w:pPr>
              <w:snapToGrid w:val="0"/>
              <w:spacing w:line="400" w:lineRule="exact"/>
              <w:rPr>
                <w:rFonts w:ascii="宋体" w:hAnsi="宋体"/>
                <w:b/>
                <w:color w:val="auto"/>
                <w:szCs w:val="21"/>
                <w:highlight w:val="none"/>
              </w:rPr>
            </w:pPr>
            <w:r>
              <w:rPr>
                <w:rFonts w:hint="eastAsia" w:ascii="宋体" w:hAnsi="宋体" w:cs="宋体"/>
                <w:b/>
                <w:color w:val="auto"/>
                <w:szCs w:val="21"/>
                <w:highlight w:val="none"/>
              </w:rPr>
              <w:t>商务要求</w:t>
            </w:r>
            <w:r>
              <w:rPr>
                <w:rFonts w:hint="eastAsia" w:ascii="宋体" w:hAnsi="宋体"/>
                <w:b/>
                <w:color w:val="auto"/>
                <w:szCs w:val="21"/>
                <w:highlight w:val="none"/>
              </w:rPr>
              <w:t>评审中允许负偏离的条款数为</w:t>
            </w:r>
            <w:r>
              <w:rPr>
                <w:rFonts w:hint="eastAsia" w:ascii="宋体" w:hAnsi="宋体"/>
                <w:b/>
                <w:color w:val="auto"/>
                <w:szCs w:val="21"/>
                <w:highlight w:val="none"/>
                <w:u w:val="single"/>
              </w:rPr>
              <w:t>0</w:t>
            </w:r>
            <w:r>
              <w:rPr>
                <w:rFonts w:hint="eastAsia" w:ascii="宋体" w:hAnsi="宋体"/>
                <w:b/>
                <w:color w:val="auto"/>
                <w:szCs w:val="21"/>
                <w:highlight w:val="none"/>
              </w:rPr>
              <w:t>项。</w:t>
            </w:r>
          </w:p>
          <w:p w14:paraId="44338245">
            <w:pPr>
              <w:snapToGrid w:val="0"/>
              <w:spacing w:line="400" w:lineRule="exact"/>
              <w:rPr>
                <w:rFonts w:cs="宋体" w:asciiTheme="minorEastAsia" w:hAnsiTheme="minorEastAsia" w:eastAsiaTheme="minorEastAsia"/>
                <w:color w:val="auto"/>
                <w:szCs w:val="21"/>
                <w:highlight w:val="none"/>
                <w:u w:val="single"/>
              </w:rPr>
            </w:pPr>
            <w:r>
              <w:rPr>
                <w:rFonts w:hint="eastAsia" w:ascii="宋体" w:hAnsi="宋体" w:cs="宋体"/>
                <w:b/>
                <w:color w:val="auto"/>
                <w:szCs w:val="21"/>
                <w:highlight w:val="none"/>
              </w:rPr>
              <w:t>技术要求</w:t>
            </w:r>
            <w:r>
              <w:rPr>
                <w:rFonts w:hint="eastAsia" w:ascii="宋体" w:hAnsi="宋体"/>
                <w:b/>
                <w:color w:val="auto"/>
                <w:szCs w:val="21"/>
                <w:highlight w:val="none"/>
              </w:rPr>
              <w:t>评审中允许负偏离的条款数为</w:t>
            </w:r>
            <w:r>
              <w:rPr>
                <w:rFonts w:hint="eastAsia" w:ascii="宋体" w:hAnsi="宋体"/>
                <w:b/>
                <w:color w:val="auto"/>
                <w:szCs w:val="21"/>
                <w:highlight w:val="none"/>
                <w:u w:val="single"/>
              </w:rPr>
              <w:t>3</w:t>
            </w:r>
            <w:r>
              <w:rPr>
                <w:rFonts w:hint="eastAsia" w:ascii="宋体" w:hAnsi="宋体"/>
                <w:b/>
                <w:color w:val="auto"/>
                <w:szCs w:val="21"/>
                <w:highlight w:val="none"/>
              </w:rPr>
              <w:t>项。</w:t>
            </w:r>
          </w:p>
        </w:tc>
      </w:tr>
      <w:tr w14:paraId="47BF3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56" w:type="pct"/>
            <w:vMerge w:val="continue"/>
            <w:tcBorders>
              <w:left w:val="single" w:color="auto" w:sz="4" w:space="0"/>
              <w:bottom w:val="single" w:color="auto" w:sz="4" w:space="0"/>
              <w:right w:val="single" w:color="auto" w:sz="4" w:space="0"/>
            </w:tcBorders>
            <w:vAlign w:val="center"/>
          </w:tcPr>
          <w:p w14:paraId="783E85F6">
            <w:pPr>
              <w:spacing w:line="400" w:lineRule="exact"/>
              <w:jc w:val="center"/>
              <w:rPr>
                <w:rFonts w:asciiTheme="minorEastAsia" w:hAnsiTheme="minorEastAsia" w:eastAsiaTheme="minorEastAsia"/>
                <w:color w:val="auto"/>
                <w:szCs w:val="21"/>
                <w:highlight w:val="none"/>
              </w:rPr>
            </w:pPr>
          </w:p>
        </w:tc>
        <w:tc>
          <w:tcPr>
            <w:tcW w:w="4443" w:type="pct"/>
            <w:tcBorders>
              <w:top w:val="single" w:color="auto" w:sz="4" w:space="0"/>
              <w:left w:val="single" w:color="auto" w:sz="4" w:space="0"/>
              <w:right w:val="single" w:color="auto" w:sz="4" w:space="0"/>
            </w:tcBorders>
            <w:vAlign w:val="center"/>
          </w:tcPr>
          <w:p w14:paraId="01AD8785">
            <w:pPr>
              <w:snapToGrid w:val="0"/>
              <w:spacing w:line="400" w:lineRule="exact"/>
              <w:rPr>
                <w:rFonts w:asciiTheme="minorEastAsia" w:hAnsiTheme="minorEastAsia" w:eastAsiaTheme="minorEastAsia"/>
                <w:color w:val="auto"/>
                <w:szCs w:val="21"/>
                <w:highlight w:val="none"/>
              </w:rPr>
            </w:pPr>
            <w:r>
              <w:rPr>
                <w:rFonts w:ascii="宋体" w:hAnsi="宋体"/>
                <w:color w:val="auto"/>
                <w:highlight w:val="none"/>
              </w:rPr>
              <w:t>中标候选人推荐数量</w:t>
            </w:r>
            <w:r>
              <w:rPr>
                <w:rFonts w:hint="eastAsia" w:ascii="宋体" w:hAnsi="宋体"/>
                <w:color w:val="auto"/>
                <w:highlight w:val="none"/>
              </w:rPr>
              <w:t>：3家</w:t>
            </w:r>
          </w:p>
        </w:tc>
      </w:tr>
      <w:tr w14:paraId="5B489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51E102BD">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30</w:t>
            </w:r>
            <w:r>
              <w:rPr>
                <w:rFonts w:asciiTheme="minorEastAsia" w:hAnsiTheme="minorEastAsia" w:eastAsiaTheme="minorEastAsia"/>
                <w:color w:val="auto"/>
                <w:szCs w:val="21"/>
                <w:highlight w:val="none"/>
              </w:rPr>
              <w:t>.1</w:t>
            </w:r>
          </w:p>
        </w:tc>
        <w:tc>
          <w:tcPr>
            <w:tcW w:w="4443" w:type="pct"/>
            <w:tcBorders>
              <w:top w:val="single" w:color="auto" w:sz="4" w:space="0"/>
              <w:left w:val="single" w:color="auto" w:sz="4" w:space="0"/>
              <w:bottom w:val="single" w:color="auto" w:sz="4" w:space="0"/>
              <w:right w:val="single" w:color="auto" w:sz="4" w:space="0"/>
            </w:tcBorders>
            <w:vAlign w:val="center"/>
          </w:tcPr>
          <w:p w14:paraId="12A31325">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采用综合评分法的采购项目，采购人确定中标人时，出现中标候选人并列的情形，采购人按以下的方式确定中标人：</w:t>
            </w:r>
          </w:p>
          <w:p w14:paraId="6FCCAE42">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bdr w:val="single" w:color="auto" w:sz="4" w:space="0"/>
              </w:rPr>
              <w:t>√</w:t>
            </w:r>
            <w:r>
              <w:rPr>
                <w:rFonts w:hint="eastAsia" w:asciiTheme="minorEastAsia" w:hAnsiTheme="minorEastAsia" w:eastAsiaTheme="minorEastAsia"/>
                <w:color w:val="auto"/>
                <w:szCs w:val="21"/>
                <w:highlight w:val="none"/>
              </w:rPr>
              <w:t xml:space="preserve"> 政策分得分高的优先、技术评分高的优先、商务评分高的优先、项目质保期长优先、 交货期短优先、故障响应时间短优先的顺序；</w:t>
            </w:r>
          </w:p>
          <w:p w14:paraId="4DCE8CBD">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□随机抽取；</w:t>
            </w:r>
          </w:p>
        </w:tc>
      </w:tr>
      <w:tr w14:paraId="5C6E4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6" w:type="pct"/>
            <w:tcBorders>
              <w:top w:val="single" w:color="auto" w:sz="4" w:space="0"/>
              <w:left w:val="single" w:color="auto" w:sz="4" w:space="0"/>
              <w:bottom w:val="single" w:color="auto" w:sz="4" w:space="0"/>
              <w:right w:val="single" w:color="auto" w:sz="4" w:space="0"/>
            </w:tcBorders>
            <w:vAlign w:val="center"/>
          </w:tcPr>
          <w:p w14:paraId="0BDF2EE8">
            <w:pPr>
              <w:spacing w:line="400" w:lineRule="exact"/>
              <w:jc w:val="center"/>
              <w:rPr>
                <w:rFonts w:asciiTheme="minorEastAsia" w:hAnsiTheme="minorEastAsia" w:eastAsiaTheme="minorEastAsia"/>
                <w:color w:val="auto"/>
                <w:szCs w:val="21"/>
                <w:highlight w:val="none"/>
              </w:rPr>
            </w:pPr>
            <w:bookmarkStart w:id="65" w:name="_39.1"/>
            <w:bookmarkEnd w:id="65"/>
            <w:r>
              <w:rPr>
                <w:rFonts w:hint="eastAsia" w:asciiTheme="minorEastAsia" w:hAnsiTheme="minorEastAsia" w:eastAsiaTheme="minorEastAsia"/>
                <w:color w:val="auto"/>
                <w:szCs w:val="21"/>
                <w:highlight w:val="none"/>
              </w:rPr>
              <w:t>35</w:t>
            </w:r>
            <w:r>
              <w:rPr>
                <w:rFonts w:asciiTheme="minorEastAsia" w:hAnsiTheme="minorEastAsia" w:eastAsiaTheme="minorEastAsia"/>
                <w:color w:val="auto"/>
                <w:szCs w:val="21"/>
                <w:highlight w:val="none"/>
              </w:rPr>
              <w:t>.1</w:t>
            </w:r>
          </w:p>
        </w:tc>
        <w:tc>
          <w:tcPr>
            <w:tcW w:w="4443" w:type="pct"/>
            <w:tcBorders>
              <w:top w:val="single" w:color="auto" w:sz="4" w:space="0"/>
              <w:left w:val="single" w:color="auto" w:sz="4" w:space="0"/>
              <w:bottom w:val="single" w:color="auto" w:sz="4" w:space="0"/>
              <w:right w:val="single" w:color="auto" w:sz="4" w:space="0"/>
            </w:tcBorders>
            <w:vAlign w:val="center"/>
          </w:tcPr>
          <w:p w14:paraId="37DF8283">
            <w:pPr>
              <w:autoSpaceDE w:val="0"/>
              <w:autoSpaceDN w:val="0"/>
              <w:snapToGrid w:val="0"/>
              <w:spacing w:line="400" w:lineRule="exact"/>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本项目不收取履约保证金。</w:t>
            </w:r>
          </w:p>
          <w:p w14:paraId="7E0F6FA8">
            <w:pPr>
              <w:pStyle w:val="1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履约保证金金额：每分标按中标金额的</w:t>
            </w:r>
            <w:r>
              <w:rPr>
                <w:rFonts w:hint="eastAsia" w:cs="Arial" w:asciiTheme="minorEastAsia" w:hAnsiTheme="minorEastAsia" w:eastAsiaTheme="minorEastAsia"/>
                <w:color w:val="auto"/>
                <w:szCs w:val="21"/>
                <w:highlight w:val="none"/>
                <w:u w:val="single"/>
              </w:rPr>
              <w:t xml:space="preserve"> / </w:t>
            </w:r>
            <w:r>
              <w:rPr>
                <w:rFonts w:hint="eastAsia" w:asciiTheme="minorEastAsia" w:hAnsiTheme="minorEastAsia" w:eastAsiaTheme="minorEastAsia"/>
                <w:color w:val="auto"/>
                <w:szCs w:val="21"/>
                <w:highlight w:val="none"/>
              </w:rPr>
              <w:t>%。</w:t>
            </w:r>
          </w:p>
          <w:p w14:paraId="760D32C5">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履约保证金递交方式：银行转账、支票、汇票、本票或者金融、担保机构出具的保函等非现金方式（参照投标保证金）。中标供应商应在合同签订前向甲方交纳履约保证金，合同签订后，按合同履约，并按照售后服务要求履行完成所有服务内容且无质量问题的，质保</w:t>
            </w:r>
            <w:r>
              <w:rPr>
                <w:rFonts w:asciiTheme="minorEastAsia" w:hAnsiTheme="minorEastAsia" w:eastAsiaTheme="minorEastAsia"/>
                <w:color w:val="auto"/>
                <w:szCs w:val="21"/>
                <w:highlight w:val="none"/>
              </w:rPr>
              <w:t>期满</w:t>
            </w:r>
            <w:r>
              <w:rPr>
                <w:rFonts w:hint="eastAsia" w:asciiTheme="minorEastAsia" w:hAnsiTheme="minorEastAsia" w:eastAsiaTheme="minorEastAsia"/>
                <w:color w:val="auto"/>
                <w:szCs w:val="21"/>
                <w:highlight w:val="none"/>
              </w:rPr>
              <w:t>后20个工作日内无息退还。</w:t>
            </w:r>
          </w:p>
          <w:p w14:paraId="3341FBE6">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履约保证金指定账户：</w:t>
            </w:r>
          </w:p>
          <w:p w14:paraId="7770F19E">
            <w:pPr>
              <w:pStyle w:val="52"/>
              <w:spacing w:before="0" w:beforeAutospacing="0" w:after="0" w:afterAutospacing="0" w:line="38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开户名:/</w:t>
            </w:r>
          </w:p>
          <w:p w14:paraId="10970911">
            <w:pPr>
              <w:pStyle w:val="52"/>
              <w:spacing w:before="0" w:beforeAutospacing="0" w:after="0" w:afterAutospacing="0" w:line="38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开户行:/</w:t>
            </w:r>
          </w:p>
          <w:p w14:paraId="268882B2">
            <w:pPr>
              <w:pStyle w:val="52"/>
              <w:spacing w:before="0" w:beforeAutospacing="0" w:after="0" w:afterAutospacing="0" w:line="38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账号:/</w:t>
            </w:r>
          </w:p>
          <w:p w14:paraId="65DF42B5">
            <w:pPr>
              <w:autoSpaceDE w:val="0"/>
              <w:autoSpaceDN w:val="0"/>
              <w:snapToGrid w:val="0"/>
              <w:spacing w:line="400" w:lineRule="exact"/>
              <w:textAlignment w:val="bottom"/>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转帐时注明：</w:t>
            </w:r>
            <w:r>
              <w:rPr>
                <w:rFonts w:hint="eastAsia" w:asciiTheme="minorEastAsia" w:hAnsiTheme="minorEastAsia" w:eastAsiaTheme="minorEastAsia"/>
                <w:color w:val="auto"/>
                <w:szCs w:val="21"/>
                <w:highlight w:val="none"/>
                <w:u w:val="single"/>
              </w:rPr>
              <w:t>项目名称及编号</w:t>
            </w:r>
            <w:r>
              <w:rPr>
                <w:rFonts w:hint="eastAsia" w:asciiTheme="minorEastAsia" w:hAnsiTheme="minorEastAsia" w:eastAsiaTheme="minorEastAsia"/>
                <w:color w:val="auto"/>
                <w:szCs w:val="21"/>
                <w:highlight w:val="none"/>
              </w:rPr>
              <w:t>的履约保证金</w:t>
            </w:r>
          </w:p>
          <w:p w14:paraId="6C2FE0B7">
            <w:pPr>
              <w:spacing w:line="400" w:lineRule="exact"/>
              <w:jc w:val="left"/>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t>备注：</w:t>
            </w:r>
          </w:p>
          <w:p w14:paraId="5B2DE885">
            <w:pPr>
              <w:spacing w:line="400" w:lineRule="exact"/>
              <w:jc w:val="left"/>
              <w:rPr>
                <w:rFonts w:asciiTheme="minorEastAsia" w:hAnsiTheme="minorEastAsia" w:eastAsiaTheme="minorEastAsia"/>
                <w:b/>
                <w:color w:val="auto"/>
                <w:szCs w:val="21"/>
                <w:highlight w:val="none"/>
              </w:rPr>
            </w:pPr>
            <w:bookmarkStart w:id="66" w:name="_Hlk54170335"/>
            <w:bookmarkEnd w:id="66"/>
            <w:r>
              <w:rPr>
                <w:rFonts w:asciiTheme="minorEastAsia" w:hAnsiTheme="minorEastAsia" w:eastAsiaTheme="minorEastAsia"/>
                <w:b/>
                <w:color w:val="auto"/>
                <w:szCs w:val="21"/>
                <w:highlight w:val="none"/>
              </w:rPr>
              <w:t>1</w:t>
            </w:r>
            <w:r>
              <w:rPr>
                <w:rFonts w:hint="eastAsia" w:asciiTheme="minorEastAsia" w:hAnsiTheme="minorEastAsia" w:eastAsiaTheme="minorEastAsia"/>
                <w:b/>
                <w:color w:val="auto"/>
                <w:szCs w:val="21"/>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r>
              <w:rPr>
                <w:rFonts w:cs="Courier New" w:asciiTheme="minorEastAsia" w:hAnsiTheme="minorEastAsia" w:eastAsiaTheme="minorEastAsia"/>
                <w:color w:val="auto"/>
                <w:szCs w:val="21"/>
                <w:highlight w:val="none"/>
              </w:rPr>
              <w:br w:type="textWrapping"/>
            </w:r>
            <w:r>
              <w:rPr>
                <w:rFonts w:asciiTheme="minorEastAsia" w:hAnsiTheme="minorEastAsia" w:eastAsiaTheme="minorEastAsia"/>
                <w:b/>
                <w:color w:val="auto"/>
                <w:szCs w:val="21"/>
                <w:highlight w:val="none"/>
              </w:rPr>
              <w:t>2</w:t>
            </w:r>
            <w:r>
              <w:rPr>
                <w:rFonts w:hint="eastAsia" w:asciiTheme="minorEastAsia" w:hAnsiTheme="minorEastAsia" w:eastAsiaTheme="minorEastAsia"/>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asciiTheme="minorEastAsia" w:hAnsiTheme="minorEastAsia" w:eastAsiaTheme="minorEastAsia"/>
                <w:b/>
                <w:color w:val="auto"/>
                <w:szCs w:val="21"/>
                <w:highlight w:val="none"/>
              </w:rPr>
              <w:br w:type="textWrapping"/>
            </w:r>
            <w:r>
              <w:rPr>
                <w:rFonts w:asciiTheme="minorEastAsia" w:hAnsiTheme="minorEastAsia" w:eastAsiaTheme="minorEastAsia"/>
                <w:b/>
                <w:color w:val="auto"/>
                <w:szCs w:val="21"/>
                <w:highlight w:val="none"/>
              </w:rPr>
              <w:t>3</w:t>
            </w:r>
            <w:r>
              <w:rPr>
                <w:rFonts w:hint="eastAsia" w:asciiTheme="minorEastAsia" w:hAnsiTheme="minorEastAsia" w:eastAsiaTheme="minorEastAsia"/>
                <w:b/>
                <w:color w:val="auto"/>
                <w:szCs w:val="21"/>
                <w:highlight w:val="none"/>
              </w:rPr>
              <w:t>、</w:t>
            </w:r>
            <w:r>
              <w:rPr>
                <w:rFonts w:asciiTheme="minorEastAsia" w:hAnsiTheme="minorEastAsia" w:eastAsiaTheme="minorEastAsia"/>
                <w:b/>
                <w:color w:val="auto"/>
                <w:szCs w:val="21"/>
                <w:highlight w:val="none"/>
              </w:rPr>
              <w:t>采用金融、担保机构出具的保函的，必须为无条件保函，否则不予签订合同。</w:t>
            </w:r>
          </w:p>
          <w:p w14:paraId="3556261E">
            <w:pPr>
              <w:pStyle w:val="10"/>
              <w:spacing w:line="400" w:lineRule="exact"/>
              <w:rPr>
                <w:rFonts w:cs="宋体" w:asciiTheme="minorEastAsia" w:hAnsiTheme="minorEastAsia" w:eastAsiaTheme="minorEastAsia"/>
                <w:color w:val="auto"/>
                <w:kern w:val="0"/>
                <w:highlight w:val="none"/>
              </w:rPr>
            </w:pPr>
            <w:r>
              <w:rPr>
                <w:rFonts w:asciiTheme="minorEastAsia" w:hAnsiTheme="minorEastAsia" w:eastAsiaTheme="minorEastAsia"/>
                <w:b/>
                <w:color w:val="auto"/>
                <w:szCs w:val="21"/>
                <w:highlight w:val="none"/>
              </w:rPr>
              <w:t>4</w:t>
            </w:r>
            <w:r>
              <w:rPr>
                <w:rFonts w:hint="eastAsia" w:asciiTheme="minorEastAsia" w:hAnsiTheme="minorEastAsia" w:eastAsiaTheme="minorEastAsia"/>
                <w:b/>
                <w:color w:val="auto"/>
                <w:szCs w:val="21"/>
                <w:highlight w:val="none"/>
              </w:rPr>
              <w:t>、投标人为联合体的，由联合体其中一方按规定提交的履约保证金，视为有效履约保证金。</w:t>
            </w:r>
          </w:p>
        </w:tc>
      </w:tr>
      <w:tr w14:paraId="6D0C1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54D8EEF1">
            <w:pPr>
              <w:spacing w:line="400" w:lineRule="exact"/>
              <w:jc w:val="center"/>
              <w:rPr>
                <w:rFonts w:asciiTheme="minorEastAsia" w:hAnsiTheme="minorEastAsia" w:eastAsiaTheme="minorEastAsia"/>
                <w:color w:val="auto"/>
                <w:szCs w:val="21"/>
                <w:highlight w:val="none"/>
              </w:rPr>
            </w:pPr>
            <w:bookmarkStart w:id="67" w:name="_40.1"/>
            <w:bookmarkEnd w:id="67"/>
            <w:r>
              <w:rPr>
                <w:rFonts w:hint="eastAsia" w:asciiTheme="minorEastAsia" w:hAnsiTheme="minorEastAsia" w:eastAsiaTheme="minorEastAsia"/>
                <w:color w:val="auto"/>
                <w:szCs w:val="21"/>
                <w:highlight w:val="none"/>
              </w:rPr>
              <w:t>36.1</w:t>
            </w:r>
          </w:p>
        </w:tc>
        <w:tc>
          <w:tcPr>
            <w:tcW w:w="4443" w:type="pct"/>
            <w:tcBorders>
              <w:top w:val="single" w:color="auto" w:sz="4" w:space="0"/>
              <w:left w:val="single" w:color="auto" w:sz="4" w:space="0"/>
              <w:bottom w:val="single" w:color="auto" w:sz="4" w:space="0"/>
              <w:right w:val="single" w:color="auto" w:sz="4" w:space="0"/>
            </w:tcBorders>
            <w:vAlign w:val="center"/>
          </w:tcPr>
          <w:p w14:paraId="585A5E33">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签订合同携带的证明材料： </w:t>
            </w:r>
          </w:p>
          <w:p w14:paraId="0178266E">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委托代理人负责签订合同的，须携带授权委托书及委托代理人身份证原件等其他资格证件。</w:t>
            </w:r>
          </w:p>
          <w:p w14:paraId="5B0FDA31">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法定代表人负责签订合同的，须携带法定代表人</w:t>
            </w:r>
            <w:r>
              <w:rPr>
                <w:rFonts w:asciiTheme="minorEastAsia" w:hAnsiTheme="minorEastAsia" w:eastAsiaTheme="minorEastAsia"/>
                <w:color w:val="auto"/>
                <w:szCs w:val="21"/>
                <w:highlight w:val="none"/>
              </w:rPr>
              <w:t>身份证明原件</w:t>
            </w:r>
            <w:r>
              <w:rPr>
                <w:rFonts w:hint="eastAsia" w:asciiTheme="minorEastAsia" w:hAnsiTheme="minorEastAsia" w:eastAsiaTheme="minorEastAsia"/>
                <w:color w:val="auto"/>
                <w:szCs w:val="21"/>
                <w:highlight w:val="none"/>
              </w:rPr>
              <w:t>及</w:t>
            </w:r>
            <w:r>
              <w:rPr>
                <w:rFonts w:asciiTheme="minorEastAsia" w:hAnsiTheme="minorEastAsia" w:eastAsiaTheme="minorEastAsia"/>
                <w:color w:val="auto"/>
                <w:szCs w:val="21"/>
                <w:highlight w:val="none"/>
              </w:rPr>
              <w:t>身份证原件</w:t>
            </w:r>
            <w:r>
              <w:rPr>
                <w:rFonts w:hint="eastAsia" w:asciiTheme="minorEastAsia" w:hAnsiTheme="minorEastAsia" w:eastAsiaTheme="minorEastAsia"/>
                <w:color w:val="auto"/>
                <w:szCs w:val="21"/>
                <w:highlight w:val="none"/>
              </w:rPr>
              <w:t>等其他证明材料。</w:t>
            </w:r>
          </w:p>
        </w:tc>
      </w:tr>
      <w:tr w14:paraId="4F196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65905801">
            <w:pPr>
              <w:spacing w:line="40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w:t>
            </w:r>
            <w:r>
              <w:rPr>
                <w:rFonts w:asciiTheme="minorEastAsia" w:hAnsiTheme="minorEastAsia" w:eastAsiaTheme="minorEastAsia"/>
                <w:color w:val="auto"/>
                <w:szCs w:val="21"/>
                <w:highlight w:val="none"/>
              </w:rPr>
              <w:t>8.2</w:t>
            </w:r>
          </w:p>
        </w:tc>
        <w:tc>
          <w:tcPr>
            <w:tcW w:w="4443" w:type="pct"/>
            <w:tcBorders>
              <w:top w:val="single" w:color="auto" w:sz="4" w:space="0"/>
              <w:left w:val="single" w:color="auto" w:sz="4" w:space="0"/>
              <w:bottom w:val="single" w:color="auto" w:sz="4" w:space="0"/>
              <w:right w:val="single" w:color="auto" w:sz="4" w:space="0"/>
            </w:tcBorders>
            <w:vAlign w:val="center"/>
          </w:tcPr>
          <w:p w14:paraId="20912744">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接收质疑函方式：以书面形式</w:t>
            </w:r>
          </w:p>
          <w:p w14:paraId="7340A86E">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质疑联系部门及联系方式：广西科文招标有限公司，</w:t>
            </w:r>
            <w:r>
              <w:rPr>
                <w:rFonts w:asciiTheme="minorEastAsia" w:hAnsiTheme="minorEastAsia" w:eastAsiaTheme="minorEastAsia"/>
                <w:color w:val="auto"/>
                <w:szCs w:val="21"/>
                <w:highlight w:val="none"/>
              </w:rPr>
              <w:t>联系电话</w:t>
            </w:r>
            <w:r>
              <w:rPr>
                <w:rFonts w:hint="eastAsia" w:asciiTheme="minorEastAsia" w:hAnsiTheme="minorEastAsia" w:eastAsiaTheme="minorEastAsia"/>
                <w:color w:val="auto"/>
                <w:szCs w:val="21"/>
                <w:highlight w:val="none"/>
              </w:rPr>
              <w:t>：0771-2023902，</w:t>
            </w:r>
            <w:r>
              <w:rPr>
                <w:rFonts w:asciiTheme="minorEastAsia" w:hAnsiTheme="minorEastAsia" w:eastAsiaTheme="minorEastAsia"/>
                <w:color w:val="auto"/>
                <w:szCs w:val="21"/>
                <w:highlight w:val="none"/>
              </w:rPr>
              <w:t>通讯地址</w:t>
            </w:r>
            <w:r>
              <w:rPr>
                <w:rFonts w:hint="eastAsia" w:cs="Helvetic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广西科文招标有限公司（广西南宁市民族大道141号中鼎万象东方大厦D区五层）</w:t>
            </w:r>
          </w:p>
          <w:p w14:paraId="5D255DD2">
            <w:pPr>
              <w:autoSpaceDE w:val="0"/>
              <w:autoSpaceDN w:val="0"/>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现场提交质疑办理业务时间：每天8时00分到12时00分，15时00分到18时 00分，业务时间以外、双休日和法定节假日不办理业务。</w:t>
            </w:r>
          </w:p>
        </w:tc>
      </w:tr>
      <w:tr w14:paraId="115D2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718AF4DA">
            <w:pPr>
              <w:spacing w:line="400" w:lineRule="exact"/>
              <w:jc w:val="center"/>
              <w:rPr>
                <w:rFonts w:asciiTheme="minorEastAsia" w:hAnsiTheme="minorEastAsia" w:eastAsiaTheme="minorEastAsia"/>
                <w:color w:val="auto"/>
                <w:szCs w:val="21"/>
                <w:highlight w:val="none"/>
              </w:rPr>
            </w:pPr>
            <w:bookmarkStart w:id="68" w:name="_41"/>
            <w:bookmarkEnd w:id="68"/>
            <w:bookmarkStart w:id="69" w:name="_Hlt17709148"/>
            <w:bookmarkEnd w:id="69"/>
            <w:bookmarkStart w:id="70" w:name="_42"/>
            <w:bookmarkEnd w:id="70"/>
            <w:r>
              <w:rPr>
                <w:rFonts w:hint="eastAsia" w:asciiTheme="minorEastAsia" w:hAnsiTheme="minorEastAsia" w:eastAsiaTheme="minorEastAsia"/>
                <w:color w:val="auto"/>
                <w:szCs w:val="21"/>
                <w:highlight w:val="none"/>
              </w:rPr>
              <w:t>3</w:t>
            </w:r>
            <w:r>
              <w:rPr>
                <w:rFonts w:asciiTheme="minorEastAsia" w:hAnsiTheme="minorEastAsia" w:eastAsiaTheme="minorEastAsia"/>
                <w:color w:val="auto"/>
                <w:szCs w:val="21"/>
                <w:highlight w:val="none"/>
              </w:rPr>
              <w:t>9.1</w:t>
            </w:r>
          </w:p>
        </w:tc>
        <w:tc>
          <w:tcPr>
            <w:tcW w:w="4443" w:type="pct"/>
            <w:tcBorders>
              <w:top w:val="single" w:color="auto" w:sz="4" w:space="0"/>
              <w:left w:val="single" w:color="auto" w:sz="4" w:space="0"/>
              <w:bottom w:val="single" w:color="auto" w:sz="4" w:space="0"/>
              <w:right w:val="single" w:color="auto" w:sz="4" w:space="0"/>
            </w:tcBorders>
            <w:vAlign w:val="center"/>
          </w:tcPr>
          <w:p w14:paraId="519E7B4E">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cs="宋体" w:asciiTheme="minorEastAsia" w:hAnsiTheme="minorEastAsia" w:eastAsiaTheme="minorEastAsia"/>
                <w:color w:val="auto"/>
                <w:sz w:val="21"/>
                <w:highlight w:val="none"/>
              </w:rPr>
              <w:t>1.采购代理费支付方式：</w:t>
            </w:r>
          </w:p>
          <w:p w14:paraId="52AC71C6">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bdr w:val="single" w:color="auto" w:sz="4" w:space="0"/>
              </w:rPr>
              <w:t>√</w:t>
            </w:r>
            <w:r>
              <w:rPr>
                <w:rFonts w:hint="eastAsia" w:cs="宋体" w:asciiTheme="minorEastAsia" w:hAnsiTheme="minorEastAsia" w:eastAsiaTheme="minorEastAsia"/>
                <w:color w:val="auto"/>
                <w:sz w:val="21"/>
                <w:highlight w:val="none"/>
              </w:rPr>
              <w:t>本项目代理服务费由</w:t>
            </w:r>
            <w:r>
              <w:rPr>
                <w:rFonts w:hint="eastAsia" w:cs="宋体" w:asciiTheme="minorEastAsia" w:hAnsiTheme="minorEastAsia" w:eastAsiaTheme="minorEastAsia"/>
                <w:color w:val="auto"/>
                <w:sz w:val="21"/>
                <w:highlight w:val="none"/>
                <w:u w:val="single"/>
              </w:rPr>
              <w:t>中标人</w:t>
            </w:r>
            <w:r>
              <w:rPr>
                <w:rFonts w:hint="eastAsia" w:cs="宋体" w:asciiTheme="minorEastAsia" w:hAnsiTheme="minorEastAsia" w:eastAsiaTheme="minorEastAsia"/>
                <w:color w:val="auto"/>
                <w:sz w:val="21"/>
                <w:highlight w:val="none"/>
              </w:rPr>
              <w:t>在领取中标通知书前，一次性向采购代理机构支付。</w:t>
            </w:r>
          </w:p>
          <w:p w14:paraId="30CEA13C">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cs="宋体" w:asciiTheme="minorEastAsia" w:hAnsiTheme="minorEastAsia" w:eastAsiaTheme="minorEastAsia"/>
                <w:color w:val="auto"/>
                <w:sz w:val="21"/>
                <w:highlight w:val="none"/>
              </w:rPr>
              <w:t>□采购人支付。</w:t>
            </w:r>
          </w:p>
          <w:p w14:paraId="10F5552F">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cs="宋体" w:asciiTheme="minorEastAsia" w:hAnsiTheme="minorEastAsia" w:eastAsiaTheme="minorEastAsia"/>
                <w:color w:val="auto"/>
                <w:sz w:val="21"/>
                <w:highlight w:val="none"/>
              </w:rPr>
              <w:t>2.采购代理费收取标准：</w:t>
            </w:r>
          </w:p>
          <w:p w14:paraId="5001D7C4">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bdr w:val="single" w:color="auto" w:sz="4" w:space="0"/>
              </w:rPr>
              <w:t>√</w:t>
            </w:r>
            <w:r>
              <w:rPr>
                <w:rFonts w:hint="eastAsia" w:cs="宋体" w:asciiTheme="minorEastAsia" w:hAnsiTheme="minorEastAsia" w:eastAsiaTheme="minorEastAsia"/>
                <w:color w:val="auto"/>
                <w:sz w:val="21"/>
                <w:highlight w:val="none"/>
              </w:rPr>
              <w:t>以分标（</w:t>
            </w:r>
            <w:r>
              <w:rPr>
                <w:rFonts w:hint="eastAsia" w:asciiTheme="minorEastAsia" w:hAnsiTheme="minorEastAsia" w:eastAsiaTheme="minorEastAsia"/>
                <w:color w:val="auto"/>
                <w:sz w:val="21"/>
                <w:highlight w:val="none"/>
                <w:bdr w:val="single" w:color="auto" w:sz="4" w:space="0"/>
              </w:rPr>
              <w:t>√</w:t>
            </w:r>
            <w:r>
              <w:rPr>
                <w:rFonts w:hint="eastAsia" w:cs="宋体" w:asciiTheme="minorEastAsia" w:hAnsiTheme="minorEastAsia" w:eastAsiaTheme="minorEastAsia"/>
                <w:color w:val="auto"/>
                <w:sz w:val="21"/>
                <w:highlight w:val="none"/>
              </w:rPr>
              <w:t>中标金额/□采购预算/□暂定中标金额/□其他）为计费额，按本须知正文第</w:t>
            </w:r>
            <w:r>
              <w:rPr>
                <w:rFonts w:cs="宋体" w:asciiTheme="minorEastAsia" w:hAnsiTheme="minorEastAsia" w:eastAsiaTheme="minorEastAsia"/>
                <w:color w:val="auto"/>
                <w:sz w:val="21"/>
                <w:highlight w:val="none"/>
              </w:rPr>
              <w:t>39</w:t>
            </w:r>
            <w:r>
              <w:rPr>
                <w:rFonts w:hint="eastAsia" w:cs="宋体" w:asciiTheme="minorEastAsia" w:hAnsiTheme="minorEastAsia" w:eastAsiaTheme="minorEastAsia"/>
                <w:color w:val="auto"/>
                <w:sz w:val="21"/>
                <w:highlight w:val="none"/>
              </w:rPr>
              <w:t>.</w:t>
            </w:r>
            <w:r>
              <w:rPr>
                <w:rFonts w:cs="宋体" w:asciiTheme="minorEastAsia" w:hAnsiTheme="minorEastAsia" w:eastAsiaTheme="minorEastAsia"/>
                <w:color w:val="auto"/>
                <w:sz w:val="21"/>
                <w:highlight w:val="none"/>
              </w:rPr>
              <w:t>2</w:t>
            </w:r>
            <w:r>
              <w:rPr>
                <w:rFonts w:hint="eastAsia" w:cs="宋体" w:asciiTheme="minorEastAsia" w:hAnsiTheme="minorEastAsia" w:eastAsiaTheme="minorEastAsia"/>
                <w:color w:val="auto"/>
                <w:sz w:val="21"/>
                <w:highlight w:val="none"/>
              </w:rPr>
              <w:t>条规定的收费计算标准（</w:t>
            </w:r>
            <w:r>
              <w:rPr>
                <w:rFonts w:hint="eastAsia" w:asciiTheme="minorEastAsia" w:hAnsiTheme="minorEastAsia" w:eastAsiaTheme="minorEastAsia"/>
                <w:color w:val="auto"/>
                <w:sz w:val="21"/>
                <w:highlight w:val="none"/>
                <w:bdr w:val="single" w:color="auto" w:sz="4" w:space="0"/>
              </w:rPr>
              <w:t>√</w:t>
            </w:r>
            <w:r>
              <w:rPr>
                <w:rFonts w:hint="eastAsia" w:cs="宋体" w:asciiTheme="minorEastAsia" w:hAnsiTheme="minorEastAsia" w:eastAsiaTheme="minorEastAsia"/>
                <w:color w:val="auto"/>
                <w:sz w:val="21"/>
                <w:highlight w:val="none"/>
              </w:rPr>
              <w:t>货物招标/□服务招标/□工程招标）采用差额定率累进法计算出收费基准价格，采购代理收费以（□收费基准价格/</w:t>
            </w:r>
            <w:r>
              <w:rPr>
                <w:rFonts w:hint="eastAsia" w:asciiTheme="minorEastAsia" w:hAnsiTheme="minorEastAsia" w:eastAsiaTheme="minorEastAsia"/>
                <w:color w:val="auto"/>
                <w:sz w:val="21"/>
                <w:highlight w:val="none"/>
                <w:bdr w:val="single" w:color="auto" w:sz="4" w:space="0"/>
              </w:rPr>
              <w:t>√</w:t>
            </w:r>
            <w:r>
              <w:rPr>
                <w:rFonts w:hint="eastAsia" w:cs="宋体" w:asciiTheme="minorEastAsia" w:hAnsiTheme="minorEastAsia" w:eastAsiaTheme="minorEastAsia"/>
                <w:color w:val="auto"/>
                <w:sz w:val="21"/>
                <w:highlight w:val="none"/>
              </w:rPr>
              <w:t>收费基准价格下浮2</w:t>
            </w:r>
            <w:r>
              <w:rPr>
                <w:rFonts w:hint="eastAsia" w:cs="宋体" w:asciiTheme="minorEastAsia" w:hAnsiTheme="minorEastAsia" w:eastAsiaTheme="minorEastAsia"/>
                <w:color w:val="auto"/>
                <w:sz w:val="21"/>
                <w:highlight w:val="none"/>
                <w:u w:val="single"/>
              </w:rPr>
              <w:t>0%</w:t>
            </w:r>
            <w:r>
              <w:rPr>
                <w:rFonts w:hint="eastAsia" w:cs="宋体" w:asciiTheme="minorEastAsia" w:hAnsiTheme="minorEastAsia" w:eastAsiaTheme="minorEastAsia"/>
                <w:color w:val="auto"/>
                <w:sz w:val="21"/>
                <w:highlight w:val="none"/>
              </w:rPr>
              <w:t>/□收费基准价格上浮</w:t>
            </w:r>
            <w:r>
              <w:rPr>
                <w:rFonts w:hint="eastAsia" w:cs="宋体" w:asciiTheme="minorEastAsia" w:hAnsiTheme="minorEastAsia" w:eastAsiaTheme="minorEastAsia"/>
                <w:color w:val="auto"/>
                <w:sz w:val="21"/>
                <w:highlight w:val="none"/>
                <w:u w:val="single"/>
              </w:rPr>
              <w:t>%</w:t>
            </w:r>
            <w:r>
              <w:rPr>
                <w:rFonts w:hint="eastAsia" w:cs="宋体" w:asciiTheme="minorEastAsia" w:hAnsiTheme="minorEastAsia" w:eastAsiaTheme="minorEastAsia"/>
                <w:color w:val="auto"/>
                <w:sz w:val="21"/>
                <w:highlight w:val="none"/>
              </w:rPr>
              <w:t>）收取。</w:t>
            </w:r>
          </w:p>
          <w:p w14:paraId="78CEBCF4">
            <w:pPr>
              <w:pStyle w:val="14"/>
              <w:snapToGrid w:val="0"/>
              <w:spacing w:line="400" w:lineRule="exact"/>
              <w:ind w:firstLine="420"/>
              <w:rPr>
                <w:rFonts w:cs="宋体" w:asciiTheme="minorEastAsia" w:hAnsiTheme="minorEastAsia" w:eastAsiaTheme="minorEastAsia"/>
                <w:color w:val="auto"/>
                <w:sz w:val="21"/>
                <w:highlight w:val="none"/>
                <w:u w:val="single"/>
              </w:rPr>
            </w:pPr>
            <w:r>
              <w:rPr>
                <w:rFonts w:hint="eastAsia" w:cs="宋体" w:asciiTheme="minorEastAsia" w:hAnsiTheme="minorEastAsia" w:eastAsiaTheme="minorEastAsia"/>
                <w:color w:val="auto"/>
                <w:sz w:val="21"/>
                <w:highlight w:val="none"/>
              </w:rPr>
              <w:t>□固定采购代理收费</w:t>
            </w:r>
            <w:r>
              <w:rPr>
                <w:rFonts w:hint="eastAsia" w:cs="宋体" w:asciiTheme="minorEastAsia" w:hAnsiTheme="minorEastAsia" w:eastAsiaTheme="minorEastAsia"/>
                <w:color w:val="auto"/>
                <w:sz w:val="21"/>
                <w:highlight w:val="none"/>
                <w:u w:val="single"/>
              </w:rPr>
              <w:t xml:space="preserve">              。</w:t>
            </w:r>
          </w:p>
          <w:p w14:paraId="2DC19DCA">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cs="宋体" w:asciiTheme="minorEastAsia" w:hAnsiTheme="minorEastAsia" w:eastAsiaTheme="minorEastAsia"/>
                <w:color w:val="auto"/>
                <w:sz w:val="21"/>
                <w:highlight w:val="none"/>
              </w:rPr>
              <w:t>3</w:t>
            </w:r>
            <w:r>
              <w:rPr>
                <w:rFonts w:cs="宋体" w:asciiTheme="minorEastAsia" w:hAnsiTheme="minorEastAsia" w:eastAsiaTheme="minorEastAsia"/>
                <w:color w:val="auto"/>
                <w:sz w:val="21"/>
                <w:highlight w:val="none"/>
              </w:rPr>
              <w:t>.</w:t>
            </w:r>
            <w:r>
              <w:rPr>
                <w:rFonts w:hint="eastAsia" w:cs="宋体" w:asciiTheme="minorEastAsia" w:hAnsiTheme="minorEastAsia" w:eastAsiaTheme="minorEastAsia"/>
                <w:color w:val="auto"/>
                <w:sz w:val="21"/>
                <w:highlight w:val="none"/>
              </w:rPr>
              <w:t>账户名称：广西科文招标有限公司</w:t>
            </w:r>
          </w:p>
          <w:p w14:paraId="41313148">
            <w:pPr>
              <w:pStyle w:val="14"/>
              <w:snapToGrid w:val="0"/>
              <w:spacing w:line="400" w:lineRule="exact"/>
              <w:ind w:firstLine="420"/>
              <w:rPr>
                <w:rFonts w:asciiTheme="minorEastAsia" w:hAnsiTheme="minorEastAsia" w:eastAsiaTheme="minorEastAsia"/>
                <w:color w:val="auto"/>
                <w:kern w:val="2"/>
                <w:sz w:val="21"/>
                <w:highlight w:val="none"/>
              </w:rPr>
            </w:pPr>
            <w:r>
              <w:rPr>
                <w:rFonts w:hint="eastAsia" w:asciiTheme="minorEastAsia" w:hAnsiTheme="minorEastAsia" w:eastAsiaTheme="minorEastAsia"/>
                <w:color w:val="auto"/>
                <w:kern w:val="2"/>
                <w:sz w:val="21"/>
                <w:highlight w:val="none"/>
              </w:rPr>
              <w:t>账户名称：广西科文招标有限公司南宁咨询三分公司</w:t>
            </w:r>
          </w:p>
          <w:p w14:paraId="3A220684">
            <w:pPr>
              <w:pStyle w:val="14"/>
              <w:snapToGrid w:val="0"/>
              <w:spacing w:line="400" w:lineRule="exact"/>
              <w:ind w:firstLine="420"/>
              <w:rPr>
                <w:rFonts w:asciiTheme="minorEastAsia" w:hAnsiTheme="minorEastAsia" w:eastAsiaTheme="minorEastAsia"/>
                <w:color w:val="auto"/>
                <w:kern w:val="2"/>
                <w:sz w:val="21"/>
                <w:highlight w:val="none"/>
              </w:rPr>
            </w:pPr>
            <w:r>
              <w:rPr>
                <w:rFonts w:hint="eastAsia" w:asciiTheme="minorEastAsia" w:hAnsiTheme="minorEastAsia" w:eastAsiaTheme="minorEastAsia"/>
                <w:color w:val="auto"/>
                <w:kern w:val="2"/>
                <w:sz w:val="21"/>
                <w:highlight w:val="none"/>
              </w:rPr>
              <w:t>开户银行：广西北部湾银行股份有限公司南宁市云景支行</w:t>
            </w:r>
          </w:p>
          <w:p w14:paraId="4114A085">
            <w:pPr>
              <w:pStyle w:val="14"/>
              <w:snapToGrid w:val="0"/>
              <w:spacing w:line="400" w:lineRule="exact"/>
              <w:ind w:firstLine="420"/>
              <w:rPr>
                <w:rFonts w:cs="宋体" w:asciiTheme="minorEastAsia" w:hAnsiTheme="minorEastAsia" w:eastAsiaTheme="minorEastAsia"/>
                <w:color w:val="auto"/>
                <w:sz w:val="21"/>
                <w:highlight w:val="none"/>
              </w:rPr>
            </w:pPr>
            <w:r>
              <w:rPr>
                <w:rFonts w:hint="eastAsia" w:asciiTheme="minorEastAsia" w:hAnsiTheme="minorEastAsia" w:eastAsiaTheme="minorEastAsia"/>
                <w:color w:val="auto"/>
                <w:kern w:val="2"/>
                <w:sz w:val="21"/>
                <w:highlight w:val="none"/>
              </w:rPr>
              <w:t>银行账号：805030313600001</w:t>
            </w:r>
          </w:p>
        </w:tc>
      </w:tr>
      <w:tr w14:paraId="68D3C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430A6B82">
            <w:pPr>
              <w:snapToGrid w:val="0"/>
              <w:spacing w:line="40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40.1</w:t>
            </w:r>
          </w:p>
        </w:tc>
        <w:tc>
          <w:tcPr>
            <w:tcW w:w="4443" w:type="pct"/>
            <w:tcBorders>
              <w:top w:val="single" w:color="auto" w:sz="4" w:space="0"/>
              <w:left w:val="single" w:color="auto" w:sz="4" w:space="0"/>
              <w:bottom w:val="single" w:color="auto" w:sz="4" w:space="0"/>
              <w:right w:val="single" w:color="auto" w:sz="4" w:space="0"/>
            </w:tcBorders>
            <w:vAlign w:val="center"/>
          </w:tcPr>
          <w:p w14:paraId="3B765AC9">
            <w:pPr>
              <w:snapToGrid w:val="0"/>
              <w:spacing w:line="40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解释：</w:t>
            </w:r>
            <w:r>
              <w:rPr>
                <w:rFonts w:asciiTheme="minorEastAsia" w:hAnsiTheme="minorEastAsia" w:eastAsiaTheme="minorEastAsia"/>
                <w:color w:val="auto"/>
                <w:szCs w:val="21"/>
                <w:highlight w:val="none"/>
              </w:rPr>
              <w:t>构成本招标文件的各个组成文件应互为解释，互为说明；除招标文件中有特别规定外，仅适用于招标投标阶段的规定，按</w:t>
            </w:r>
            <w:r>
              <w:rPr>
                <w:rFonts w:hint="eastAsia" w:asciiTheme="minorEastAsia" w:hAnsiTheme="minorEastAsia" w:eastAsiaTheme="minorEastAsia"/>
                <w:color w:val="auto"/>
                <w:szCs w:val="21"/>
                <w:highlight w:val="none"/>
              </w:rPr>
              <w:t>更正公告（澄清公告）</w:t>
            </w:r>
            <w:r>
              <w:rPr>
                <w:rFonts w:asciiTheme="minorEastAsia" w:hAnsiTheme="minorEastAsia" w:eastAsiaTheme="minorEastAsia"/>
                <w:color w:val="auto"/>
                <w:szCs w:val="21"/>
                <w:highlight w:val="none"/>
              </w:rPr>
              <w:t>、招标公告、</w:t>
            </w:r>
            <w:r>
              <w:rPr>
                <w:rFonts w:hint="eastAsia" w:asciiTheme="minorEastAsia" w:hAnsiTheme="minorEastAsia" w:eastAsiaTheme="minorEastAsia"/>
                <w:color w:val="auto"/>
                <w:szCs w:val="21"/>
                <w:highlight w:val="none"/>
              </w:rPr>
              <w:t>采购需求、</w:t>
            </w:r>
            <w:r>
              <w:rPr>
                <w:rFonts w:asciiTheme="minorEastAsia" w:hAnsiTheme="minorEastAsia" w:eastAsiaTheme="minorEastAsia"/>
                <w:color w:val="auto"/>
                <w:szCs w:val="21"/>
                <w:highlight w:val="none"/>
              </w:rPr>
              <w:t>投标人须知、</w:t>
            </w:r>
            <w:r>
              <w:rPr>
                <w:rFonts w:hint="eastAsia" w:asciiTheme="minorEastAsia" w:hAnsiTheme="minorEastAsia" w:eastAsiaTheme="minorEastAsia"/>
                <w:color w:val="auto"/>
                <w:szCs w:val="21"/>
                <w:highlight w:val="none"/>
              </w:rPr>
              <w:t>评标方法及评标标准</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拟签订的合同文本、</w:t>
            </w:r>
            <w:r>
              <w:rPr>
                <w:rFonts w:asciiTheme="minorEastAsia" w:hAnsiTheme="minorEastAsia" w:eastAsiaTheme="minorEastAsia"/>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Theme="minorEastAsia" w:hAnsiTheme="minorEastAsia" w:eastAsiaTheme="minorEastAsia"/>
                <w:color w:val="auto"/>
                <w:szCs w:val="21"/>
                <w:highlight w:val="none"/>
              </w:rPr>
              <w:t>更正公告（澄清公告）</w:t>
            </w:r>
            <w:r>
              <w:rPr>
                <w:rFonts w:asciiTheme="minorEastAsia" w:hAnsiTheme="minorEastAsia" w:eastAsiaTheme="minorEastAsia"/>
                <w:color w:val="auto"/>
                <w:szCs w:val="21"/>
                <w:highlight w:val="none"/>
              </w:rPr>
              <w:t>与同步更新的招标文件不一致时以</w:t>
            </w:r>
            <w:r>
              <w:rPr>
                <w:rFonts w:hint="eastAsia" w:asciiTheme="minorEastAsia" w:hAnsiTheme="minorEastAsia" w:eastAsiaTheme="minorEastAsia"/>
                <w:color w:val="auto"/>
                <w:szCs w:val="21"/>
                <w:highlight w:val="none"/>
              </w:rPr>
              <w:t>更正公告（澄清公告）</w:t>
            </w:r>
            <w:r>
              <w:rPr>
                <w:rFonts w:asciiTheme="minorEastAsia" w:hAnsiTheme="minorEastAsia" w:eastAsiaTheme="minorEastAsia"/>
                <w:color w:val="auto"/>
                <w:szCs w:val="21"/>
                <w:highlight w:val="none"/>
              </w:rPr>
              <w:t>为准。按本款前述规定仍不能形成结论的，由</w:t>
            </w:r>
            <w:r>
              <w:rPr>
                <w:rFonts w:hint="eastAsia" w:asciiTheme="minorEastAsia" w:hAnsiTheme="minorEastAsia" w:eastAsiaTheme="minorEastAsia"/>
                <w:color w:val="auto"/>
                <w:szCs w:val="21"/>
                <w:highlight w:val="none"/>
              </w:rPr>
              <w:t>采购</w:t>
            </w:r>
            <w:r>
              <w:rPr>
                <w:rFonts w:asciiTheme="minorEastAsia" w:hAnsiTheme="minorEastAsia" w:eastAsiaTheme="minorEastAsia"/>
                <w:color w:val="auto"/>
                <w:szCs w:val="21"/>
                <w:highlight w:val="none"/>
              </w:rPr>
              <w:t>人</w:t>
            </w:r>
            <w:r>
              <w:rPr>
                <w:rFonts w:hint="eastAsia" w:asciiTheme="minorEastAsia" w:hAnsiTheme="minorEastAsia" w:eastAsiaTheme="minorEastAsia"/>
                <w:color w:val="auto"/>
                <w:szCs w:val="21"/>
                <w:highlight w:val="none"/>
              </w:rPr>
              <w:t>或者采购代理机构</w:t>
            </w:r>
            <w:r>
              <w:rPr>
                <w:rFonts w:asciiTheme="minorEastAsia" w:hAnsiTheme="minorEastAsia" w:eastAsiaTheme="minorEastAsia"/>
                <w:color w:val="auto"/>
                <w:szCs w:val="21"/>
                <w:highlight w:val="none"/>
              </w:rPr>
              <w:t>负责解释。</w:t>
            </w:r>
          </w:p>
        </w:tc>
      </w:tr>
      <w:tr w14:paraId="09DCEB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56" w:type="pct"/>
            <w:tcBorders>
              <w:top w:val="single" w:color="auto" w:sz="4" w:space="0"/>
              <w:left w:val="single" w:color="auto" w:sz="4" w:space="0"/>
              <w:bottom w:val="single" w:color="auto" w:sz="4" w:space="0"/>
              <w:right w:val="single" w:color="auto" w:sz="4" w:space="0"/>
            </w:tcBorders>
            <w:vAlign w:val="center"/>
          </w:tcPr>
          <w:p w14:paraId="6FFFB217">
            <w:pPr>
              <w:snapToGrid w:val="0"/>
              <w:spacing w:line="40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40.2</w:t>
            </w:r>
          </w:p>
        </w:tc>
        <w:tc>
          <w:tcPr>
            <w:tcW w:w="4443" w:type="pct"/>
            <w:tcBorders>
              <w:top w:val="single" w:color="auto" w:sz="4" w:space="0"/>
              <w:left w:val="single" w:color="auto" w:sz="4" w:space="0"/>
              <w:bottom w:val="single" w:color="auto" w:sz="4" w:space="0"/>
              <w:right w:val="single" w:color="auto" w:sz="4" w:space="0"/>
            </w:tcBorders>
            <w:vAlign w:val="center"/>
          </w:tcPr>
          <w:p w14:paraId="04F64CF6">
            <w:pPr>
              <w:pStyle w:val="14"/>
              <w:snapToGrid w:val="0"/>
              <w:spacing w:line="400" w:lineRule="exact"/>
              <w:ind w:firstLine="420"/>
              <w:rPr>
                <w:rFonts w:cs="宋体" w:asciiTheme="minorEastAsia" w:hAnsiTheme="minorEastAsia" w:eastAsiaTheme="minorEastAsia"/>
                <w:bCs/>
                <w:color w:val="auto"/>
                <w:sz w:val="21"/>
                <w:highlight w:val="none"/>
              </w:rPr>
            </w:pPr>
            <w:r>
              <w:rPr>
                <w:rFonts w:hint="eastAsia" w:cs="宋体" w:asciiTheme="minorEastAsia" w:hAnsiTheme="minorEastAsia" w:eastAsiaTheme="minorEastAsia"/>
                <w:bCs/>
                <w:color w:val="auto"/>
                <w:sz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2E953109">
            <w:pPr>
              <w:pStyle w:val="14"/>
              <w:snapToGrid w:val="0"/>
              <w:spacing w:line="400" w:lineRule="exact"/>
              <w:ind w:firstLine="420"/>
              <w:rPr>
                <w:rFonts w:cs="宋体" w:asciiTheme="minorEastAsia" w:hAnsiTheme="minorEastAsia" w:eastAsiaTheme="minorEastAsia"/>
                <w:bCs/>
                <w:color w:val="auto"/>
                <w:sz w:val="21"/>
                <w:highlight w:val="none"/>
              </w:rPr>
            </w:pPr>
            <w:r>
              <w:rPr>
                <w:rFonts w:hint="eastAsia" w:cs="宋体" w:asciiTheme="minorEastAsia" w:hAnsiTheme="minorEastAsia" w:eastAsiaTheme="minorEastAsia"/>
                <w:bCs/>
                <w:color w:val="auto"/>
                <w:sz w:val="21"/>
                <w:highlight w:val="none"/>
              </w:rPr>
              <w:t>2.本招标文件所称的“</w:t>
            </w:r>
            <w:r>
              <w:rPr>
                <w:rFonts w:hint="eastAsia" w:asciiTheme="minorEastAsia" w:hAnsiTheme="minorEastAsia" w:eastAsiaTheme="minorEastAsia"/>
                <w:color w:val="auto"/>
                <w:sz w:val="21"/>
                <w:highlight w:val="none"/>
              </w:rPr>
              <w:t>电子签章</w:t>
            </w:r>
            <w:r>
              <w:rPr>
                <w:rFonts w:hint="eastAsia" w:cs="宋体" w:asciiTheme="minorEastAsia" w:hAnsiTheme="minorEastAsia" w:eastAsiaTheme="minorEastAsia"/>
                <w:bCs/>
                <w:color w:val="auto"/>
                <w:sz w:val="21"/>
                <w:highlight w:val="none"/>
              </w:rPr>
              <w:t>”“电子签名”</w:t>
            </w:r>
            <w:r>
              <w:rPr>
                <w:rFonts w:hint="eastAsia" w:asciiTheme="minorEastAsia" w:hAnsiTheme="minorEastAsia" w:eastAsiaTheme="minorEastAsia"/>
                <w:color w:val="auto"/>
                <w:sz w:val="21"/>
                <w:highlight w:val="none"/>
              </w:rPr>
              <w:t>，是指经”广西政府采购云平台”平台认可的CA认证的电子签名数据为表现形式的印章，可用于签署电子投标文件，电子印章与实物印章具有同等法律效力，不因其采用电子化表现形式而否定其法律效力。</w:t>
            </w:r>
          </w:p>
          <w:p w14:paraId="4F82CDED">
            <w:pPr>
              <w:pStyle w:val="14"/>
              <w:snapToGrid w:val="0"/>
              <w:spacing w:line="400" w:lineRule="exact"/>
              <w:ind w:firstLine="420"/>
              <w:rPr>
                <w:rFonts w:cs="宋体" w:asciiTheme="minorEastAsia" w:hAnsiTheme="minorEastAsia" w:eastAsiaTheme="minorEastAsia"/>
                <w:bCs/>
                <w:color w:val="auto"/>
                <w:sz w:val="21"/>
                <w:highlight w:val="none"/>
              </w:rPr>
            </w:pPr>
            <w:r>
              <w:rPr>
                <w:rFonts w:hint="eastAsia" w:cs="宋体" w:asciiTheme="minorEastAsia" w:hAnsiTheme="minorEastAsia" w:eastAsiaTheme="minorEastAsia"/>
                <w:bCs/>
                <w:color w:val="auto"/>
                <w:sz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1D1313D">
            <w:pPr>
              <w:pStyle w:val="14"/>
              <w:snapToGrid w:val="0"/>
              <w:spacing w:line="400" w:lineRule="exact"/>
              <w:ind w:firstLine="420"/>
              <w:rPr>
                <w:rFonts w:cs="宋体" w:asciiTheme="minorEastAsia" w:hAnsiTheme="minorEastAsia" w:eastAsiaTheme="minorEastAsia"/>
                <w:bCs/>
                <w:color w:val="auto"/>
                <w:sz w:val="21"/>
                <w:highlight w:val="none"/>
              </w:rPr>
            </w:pPr>
            <w:r>
              <w:rPr>
                <w:rFonts w:hint="eastAsia" w:cs="宋体" w:asciiTheme="minorEastAsia" w:hAnsiTheme="minorEastAsia" w:eastAsiaTheme="minorEastAsia"/>
                <w:bCs/>
                <w:color w:val="auto"/>
                <w:sz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10FD1972">
            <w:pPr>
              <w:pStyle w:val="14"/>
              <w:snapToGrid w:val="0"/>
              <w:spacing w:line="400" w:lineRule="exact"/>
              <w:ind w:firstLine="420"/>
              <w:rPr>
                <w:rFonts w:asciiTheme="minorEastAsia" w:hAnsiTheme="minorEastAsia" w:eastAsiaTheme="minorEastAsia"/>
                <w:color w:val="auto"/>
                <w:sz w:val="21"/>
                <w:highlight w:val="none"/>
              </w:rPr>
            </w:pPr>
            <w:r>
              <w:rPr>
                <w:rFonts w:hint="eastAsia" w:cs="宋体" w:asciiTheme="minorEastAsia" w:hAnsiTheme="minorEastAsia" w:eastAsiaTheme="minorEastAsia"/>
                <w:bCs/>
                <w:color w:val="auto"/>
                <w:sz w:val="21"/>
                <w:highlight w:val="none"/>
              </w:rPr>
              <w:t>5.本招标文件所称的“以上”“以下”“以内”“届满”，包括本数；所称的“不满”“超过”“以外”，不包括本数。</w:t>
            </w:r>
          </w:p>
        </w:tc>
      </w:tr>
    </w:tbl>
    <w:p w14:paraId="755F9717">
      <w:pPr>
        <w:snapToGrid w:val="0"/>
        <w:rPr>
          <w:rFonts w:asciiTheme="minorEastAsia" w:hAnsiTheme="minorEastAsia" w:eastAsiaTheme="minorEastAsia"/>
          <w:color w:val="auto"/>
          <w:sz w:val="24"/>
          <w:szCs w:val="20"/>
          <w:highlight w:val="none"/>
        </w:rPr>
      </w:pPr>
    </w:p>
    <w:p w14:paraId="650843BD">
      <w:pPr>
        <w:snapToGrid w:val="0"/>
        <w:rPr>
          <w:rFonts w:asciiTheme="minorEastAsia" w:hAnsiTheme="minorEastAsia" w:eastAsiaTheme="minorEastAsia"/>
          <w:color w:val="auto"/>
          <w:sz w:val="24"/>
          <w:szCs w:val="20"/>
          <w:highlight w:val="none"/>
        </w:rPr>
      </w:pPr>
    </w:p>
    <w:p w14:paraId="2A1905EA">
      <w:pPr>
        <w:pStyle w:val="4"/>
        <w:keepNext w:val="0"/>
        <w:keepLines w:val="0"/>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r>
        <w:rPr>
          <w:rFonts w:hint="eastAsia" w:asciiTheme="minorEastAsia" w:hAnsiTheme="minorEastAsia" w:eastAsiaTheme="minorEastAsia"/>
          <w:color w:val="auto"/>
          <w:highlight w:val="none"/>
        </w:rPr>
        <w:t>投标人须知正文</w:t>
      </w:r>
    </w:p>
    <w:p w14:paraId="7277ACE9">
      <w:pPr>
        <w:pStyle w:val="4"/>
        <w:keepNext w:val="0"/>
        <w:keepLines w:val="0"/>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一、总  则</w:t>
      </w:r>
    </w:p>
    <w:p w14:paraId="3B36B6F2">
      <w:pPr>
        <w:pStyle w:val="6"/>
        <w:keepNext w:val="0"/>
        <w:keepLines w:val="0"/>
        <w:spacing w:before="0" w:after="0" w:line="360" w:lineRule="auto"/>
        <w:ind w:left="420" w:leftChars="200"/>
        <w:rPr>
          <w:rFonts w:asciiTheme="minorEastAsia" w:hAnsiTheme="minorEastAsia" w:eastAsiaTheme="minorEastAsia"/>
          <w:color w:val="auto"/>
          <w:sz w:val="24"/>
          <w:highlight w:val="none"/>
        </w:rPr>
      </w:pPr>
      <w:bookmarkStart w:id="71" w:name="_Toc254970668"/>
      <w:bookmarkEnd w:id="71"/>
      <w:bookmarkStart w:id="72" w:name="_Toc254970527"/>
      <w:bookmarkEnd w:id="72"/>
      <w:r>
        <w:rPr>
          <w:rFonts w:hint="eastAsia" w:asciiTheme="minorEastAsia" w:hAnsiTheme="minorEastAsia" w:eastAsiaTheme="minorEastAsia"/>
          <w:color w:val="auto"/>
          <w:sz w:val="24"/>
          <w:highlight w:val="none"/>
        </w:rPr>
        <w:t>1.适用范围</w:t>
      </w:r>
    </w:p>
    <w:p w14:paraId="3C91A77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76892E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1.2本招标文件适用于本项目的所有采购程序和环节（法律、法规另有规定的，从其规定）。</w:t>
      </w:r>
    </w:p>
    <w:p w14:paraId="372E6A8C">
      <w:pPr>
        <w:pStyle w:val="6"/>
        <w:keepNext w:val="0"/>
        <w:keepLines w:val="0"/>
        <w:spacing w:before="0" w:after="0" w:line="360" w:lineRule="auto"/>
        <w:ind w:left="420" w:leftChars="200"/>
        <w:rPr>
          <w:rFonts w:asciiTheme="minorEastAsia" w:hAnsiTheme="minorEastAsia" w:eastAsiaTheme="minorEastAsia"/>
          <w:color w:val="auto"/>
          <w:sz w:val="24"/>
          <w:highlight w:val="none"/>
        </w:rPr>
      </w:pPr>
      <w:bookmarkStart w:id="73" w:name="_Toc254970669"/>
      <w:bookmarkEnd w:id="73"/>
      <w:bookmarkStart w:id="74" w:name="_Toc254970528"/>
      <w:bookmarkEnd w:id="74"/>
      <w:r>
        <w:rPr>
          <w:rFonts w:hint="eastAsia" w:asciiTheme="minorEastAsia" w:hAnsiTheme="minorEastAsia" w:eastAsiaTheme="minorEastAsia"/>
          <w:color w:val="auto"/>
          <w:sz w:val="24"/>
          <w:highlight w:val="none"/>
        </w:rPr>
        <w:t>2.定义</w:t>
      </w:r>
    </w:p>
    <w:p w14:paraId="28AFFEF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2.1“采购人”是指依法进行政府采购的国家机关、事业单位、团体组织。</w:t>
      </w:r>
    </w:p>
    <w:p w14:paraId="1B675D3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2.2“采购代理机构”是指政府采购集中采购机构和集中采购机构以外的采购代理机构。</w:t>
      </w:r>
    </w:p>
    <w:p w14:paraId="791103A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2.3“供应商”是指向采购人提供货物、工程或者服务的法人、其他组织或者自然人。</w:t>
      </w:r>
    </w:p>
    <w:p w14:paraId="2F4D612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2.4“投标人”是指响应招标、参加投标竞争的法人、其他组织或者自然人。</w:t>
      </w:r>
    </w:p>
    <w:p w14:paraId="223FAAC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2.5“货物”是指各种形态和种类的物品，包括原材料、燃料、设备、产品等。</w:t>
      </w:r>
    </w:p>
    <w:p w14:paraId="2F95B6C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2.6“售后服务” 是指商品出售以后所提供的各种服务，包含但不限于投标人须承担的备品备件、包装、运输、装卸、保险、货到就位以及安装、调试、培训、保修以及其他各种服务。</w:t>
      </w:r>
    </w:p>
    <w:p w14:paraId="11EC410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2.7“书面形式”是指合同书、信件和数据电文（包括电报、电传、传真、电子数据交换和电子邮件）等可以有形地表现所载内容的形式。</w:t>
      </w:r>
    </w:p>
    <w:p w14:paraId="7E1148E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2.8“实质性要求”是指招标文件中已经指明不满足则投标无效的条款，或者不能负偏离的条款，或者采购需求中带“▲”的条款。</w:t>
      </w:r>
    </w:p>
    <w:p w14:paraId="41D8AE5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2.9 “正偏离”，是指投标文件对招标文件“采购需求”中有关条款作出的响应优于条款要求并有利于采购人的情形。</w:t>
      </w:r>
    </w:p>
    <w:p w14:paraId="74BDABB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2.10“负偏离”，是指投标文件对招标文件“采购需求”中有关条款作出的响应不满足条款要求，导致采购人要求不能得到满足的情形。</w:t>
      </w:r>
    </w:p>
    <w:p w14:paraId="620EF336">
      <w:pPr>
        <w:pStyle w:val="14"/>
        <w:snapToGrid w:val="0"/>
        <w:spacing w:line="400" w:lineRule="exact"/>
        <w:ind w:left="1" w:firstLine="422"/>
        <w:rPr>
          <w:rFonts w:hAnsi="宋体" w:cs="宋体"/>
          <w:bCs/>
          <w:color w:val="auto"/>
          <w:kern w:val="2"/>
          <w:sz w:val="21"/>
          <w:highlight w:val="none"/>
        </w:rPr>
      </w:pPr>
      <w:bookmarkStart w:id="75" w:name="_Toc254970529"/>
      <w:bookmarkStart w:id="76" w:name="_Toc254970670"/>
      <w:r>
        <w:rPr>
          <w:rFonts w:hint="eastAsia" w:hAnsi="宋体" w:cs="宋体"/>
          <w:bCs/>
          <w:color w:val="auto"/>
          <w:kern w:val="2"/>
          <w:sz w:val="21"/>
          <w:highlight w:val="none"/>
        </w:rPr>
        <w:t>2.11“允许负偏离的条款”是指采购需求中的不属于“实质性要求”的条款。</w:t>
      </w:r>
    </w:p>
    <w:bookmarkEnd w:id="75"/>
    <w:bookmarkEnd w:id="76"/>
    <w:p w14:paraId="31C47629">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3.投标人的资格要求</w:t>
      </w:r>
    </w:p>
    <w:p w14:paraId="7F337A4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投标人的资格要求详见“投标人须知前附表”。</w:t>
      </w:r>
    </w:p>
    <w:p w14:paraId="1DDB01F4">
      <w:pPr>
        <w:pStyle w:val="6"/>
        <w:keepNext w:val="0"/>
        <w:keepLines w:val="0"/>
        <w:spacing w:before="0" w:after="0" w:line="360" w:lineRule="auto"/>
        <w:ind w:left="420" w:leftChars="200"/>
        <w:rPr>
          <w:rFonts w:asciiTheme="minorEastAsia" w:hAnsiTheme="minorEastAsia" w:eastAsiaTheme="minorEastAsia"/>
          <w:color w:val="auto"/>
          <w:sz w:val="24"/>
          <w:highlight w:val="none"/>
        </w:rPr>
      </w:pPr>
      <w:bookmarkStart w:id="77" w:name="_Toc254970671"/>
      <w:bookmarkEnd w:id="77"/>
      <w:bookmarkStart w:id="78" w:name="_Toc254970530"/>
      <w:bookmarkEnd w:id="78"/>
      <w:r>
        <w:rPr>
          <w:rFonts w:hint="eastAsia" w:asciiTheme="minorEastAsia" w:hAnsiTheme="minorEastAsia" w:eastAsiaTheme="minorEastAsia"/>
          <w:color w:val="auto"/>
          <w:sz w:val="24"/>
          <w:highlight w:val="none"/>
        </w:rPr>
        <w:t>4.投标委托</w:t>
      </w:r>
    </w:p>
    <w:p w14:paraId="5C3422B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投标人代表参加投标活动过程中必须携带个人有效身份证件。如投标人代表不是法定代表人，须持有授权委托书（按第六章要求格式填写）。</w:t>
      </w:r>
    </w:p>
    <w:p w14:paraId="0AAEAF43">
      <w:pPr>
        <w:pStyle w:val="6"/>
        <w:keepNext w:val="0"/>
        <w:keepLines w:val="0"/>
        <w:spacing w:before="0" w:after="0" w:line="360" w:lineRule="auto"/>
        <w:ind w:left="420" w:leftChars="200"/>
        <w:rPr>
          <w:rFonts w:asciiTheme="minorEastAsia" w:hAnsiTheme="minorEastAsia" w:eastAsiaTheme="minorEastAsia"/>
          <w:color w:val="auto"/>
          <w:sz w:val="24"/>
          <w:highlight w:val="none"/>
        </w:rPr>
      </w:pPr>
      <w:bookmarkStart w:id="79" w:name="_Toc254970672"/>
      <w:bookmarkEnd w:id="79"/>
      <w:bookmarkStart w:id="80" w:name="_Toc254970531"/>
      <w:bookmarkEnd w:id="80"/>
      <w:bookmarkStart w:id="81" w:name="_5.投标费用"/>
      <w:bookmarkEnd w:id="81"/>
      <w:r>
        <w:rPr>
          <w:rFonts w:hint="eastAsia" w:asciiTheme="minorEastAsia" w:hAnsiTheme="minorEastAsia" w:eastAsiaTheme="minorEastAsia"/>
          <w:color w:val="auto"/>
          <w:sz w:val="24"/>
          <w:highlight w:val="none"/>
        </w:rPr>
        <w:t>5.投标费用</w:t>
      </w:r>
    </w:p>
    <w:p w14:paraId="17418B6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7ACDE4A3">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6.联合体投标</w:t>
      </w:r>
    </w:p>
    <w:p w14:paraId="1489BA4B">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6.1本项目是否接受联合体投标，详见“投标人须知前附表”。</w:t>
      </w:r>
    </w:p>
    <w:p w14:paraId="220B8B5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6.2如接受联合体投标，联合体投标要求详见“投标人须知前附表”。</w:t>
      </w:r>
    </w:p>
    <w:p w14:paraId="3190474E">
      <w:pPr>
        <w:pStyle w:val="14"/>
        <w:snapToGrid w:val="0"/>
        <w:spacing w:line="400" w:lineRule="exact"/>
        <w:ind w:left="1" w:firstLine="422"/>
        <w:rPr>
          <w:rFonts w:hAnsi="宋体" w:cs="宋体"/>
          <w:bCs/>
          <w:color w:val="auto"/>
          <w:kern w:val="2"/>
          <w:sz w:val="21"/>
          <w:highlight w:val="none"/>
        </w:rPr>
      </w:pPr>
      <w:bookmarkStart w:id="82" w:name="_Hlk65857072"/>
      <w:bookmarkEnd w:id="82"/>
      <w:r>
        <w:rPr>
          <w:rFonts w:hint="eastAsia" w:hAnsi="宋体" w:cs="宋体"/>
          <w:bCs/>
          <w:color w:val="auto"/>
          <w:kern w:val="2"/>
          <w:sz w:val="21"/>
          <w:highlight w:val="none"/>
        </w:rPr>
        <w:t>6.3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p>
    <w:p w14:paraId="7B380456">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7.转包与分包             </w:t>
      </w:r>
    </w:p>
    <w:p w14:paraId="23032100">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7.1本项目不允许转包。</w:t>
      </w:r>
    </w:p>
    <w:p w14:paraId="0703EF2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16C022A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3A1A80B">
      <w:pPr>
        <w:pStyle w:val="6"/>
        <w:keepNext w:val="0"/>
        <w:keepLines w:val="0"/>
        <w:spacing w:before="0" w:after="0" w:line="360" w:lineRule="auto"/>
        <w:ind w:left="420" w:leftChars="200"/>
        <w:rPr>
          <w:rFonts w:asciiTheme="minorEastAsia" w:hAnsiTheme="minorEastAsia" w:eastAsiaTheme="minorEastAsia"/>
          <w:color w:val="auto"/>
          <w:sz w:val="24"/>
          <w:highlight w:val="none"/>
        </w:rPr>
      </w:pPr>
      <w:bookmarkStart w:id="83" w:name="_Toc254970532"/>
      <w:bookmarkEnd w:id="83"/>
      <w:bookmarkStart w:id="84" w:name="_Toc254970673"/>
      <w:bookmarkEnd w:id="84"/>
      <w:r>
        <w:rPr>
          <w:rFonts w:hint="eastAsia" w:asciiTheme="minorEastAsia" w:hAnsiTheme="minorEastAsia" w:eastAsiaTheme="minorEastAsia"/>
          <w:color w:val="auto"/>
          <w:sz w:val="24"/>
          <w:highlight w:val="none"/>
        </w:rPr>
        <w:t>8.特别说明</w:t>
      </w:r>
    </w:p>
    <w:p w14:paraId="035AC473">
      <w:pPr>
        <w:pStyle w:val="14"/>
        <w:snapToGrid w:val="0"/>
        <w:spacing w:line="400" w:lineRule="exact"/>
        <w:ind w:left="1" w:firstLine="422"/>
        <w:rPr>
          <w:rFonts w:hAnsi="宋体" w:cs="宋体"/>
          <w:bCs/>
          <w:color w:val="auto"/>
          <w:kern w:val="2"/>
          <w:sz w:val="21"/>
          <w:highlight w:val="none"/>
        </w:rPr>
      </w:pPr>
      <w:r>
        <w:rPr>
          <w:color w:val="auto"/>
          <w:highlight w:val="none"/>
        </w:rPr>
        <w:fldChar w:fldCharType="begin"/>
      </w:r>
      <w:r>
        <w:rPr>
          <w:color w:val="auto"/>
          <w:highlight w:val="none"/>
        </w:rPr>
        <w:instrText xml:space="preserve"> HYPERLINK \l "_8.1" </w:instrText>
      </w:r>
      <w:r>
        <w:rPr>
          <w:color w:val="auto"/>
          <w:highlight w:val="none"/>
        </w:rPr>
        <w:fldChar w:fldCharType="separate"/>
      </w:r>
      <w:r>
        <w:rPr>
          <w:rFonts w:hint="eastAsia" w:hAnsi="宋体" w:cs="宋体"/>
          <w:bCs/>
          <w:color w:val="auto"/>
          <w:kern w:val="2"/>
          <w:sz w:val="21"/>
          <w:highlight w:val="none"/>
        </w:rPr>
        <w:t>8.1</w:t>
      </w:r>
      <w:r>
        <w:rPr>
          <w:rFonts w:hint="eastAsia" w:hAnsi="宋体" w:cs="宋体"/>
          <w:bCs/>
          <w:color w:val="auto"/>
          <w:kern w:val="2"/>
          <w:sz w:val="21"/>
          <w:highlight w:val="none"/>
        </w:rPr>
        <w:fldChar w:fldCharType="end"/>
      </w:r>
      <w:r>
        <w:rPr>
          <w:rFonts w:hint="eastAsia" w:hAnsi="宋体" w:cs="宋体"/>
          <w:bCs/>
          <w:color w:val="auto"/>
          <w:kern w:val="2"/>
          <w:sz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14:paraId="62D7FEF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469FA20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非单一产品采购项目，多家投标人提供的核心产品品牌相同的，按前两款规定处理。</w:t>
      </w:r>
    </w:p>
    <w:p w14:paraId="1C6B1BF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0120A7E0">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8.3投标人应仔细阅读招标文件的所有内容，按照招标文件的要求提交投标文件，并对所提供的全部资料的真实性承担法律责任。</w:t>
      </w:r>
    </w:p>
    <w:p w14:paraId="2CF0E54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191D4FB4">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9.</w:t>
      </w:r>
      <w:r>
        <w:rPr>
          <w:rFonts w:hint="eastAsia" w:asciiTheme="minorEastAsia" w:hAnsiTheme="minorEastAsia" w:eastAsiaTheme="minorEastAsia"/>
          <w:color w:val="auto"/>
          <w:sz w:val="24"/>
          <w:highlight w:val="none"/>
        </w:rPr>
        <w:t>回避与串通投标</w:t>
      </w:r>
    </w:p>
    <w:p w14:paraId="07C82CB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9.1在政府采购活动中，采购人员及相关人员与供应商有下列利害关系之一的，应当回避：</w:t>
      </w:r>
    </w:p>
    <w:p w14:paraId="6A67D72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（1）参加采购活动前3年内与供应商存在劳动关系；</w:t>
      </w:r>
    </w:p>
    <w:p w14:paraId="6B734C6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（2）参加采购活动前3年内担任供应商的董事、监事；</w:t>
      </w:r>
    </w:p>
    <w:p w14:paraId="14A68A1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（3）参加采购活动前3年内是供应商的控股股东或者实际控制人；</w:t>
      </w:r>
    </w:p>
    <w:p w14:paraId="3195F4C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（4）与供应商的法定代表人或者负责人有夫妻、直系血亲、三代以内旁系血亲或者近姻亲关系；</w:t>
      </w:r>
    </w:p>
    <w:p w14:paraId="42BA1D9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（5）与供应商有其他可能影响政府采购活动公平、公正进行的关系。</w:t>
      </w:r>
    </w:p>
    <w:p w14:paraId="2FA26DA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5FE0CC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9.2有下列情形之一的视为投标人相互串通投标，投标文件将被视为无效：</w:t>
      </w:r>
    </w:p>
    <w:p w14:paraId="49739D3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（1）不同投标人的投标文件由同一单位或者个人编制； </w:t>
      </w:r>
    </w:p>
    <w:p w14:paraId="6800CBC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（2）不同投标人委托同一单位或者个人办理投标事宜；</w:t>
      </w:r>
    </w:p>
    <w:p w14:paraId="0B4C5D9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（3）不同的投标人的投标文件载明的项目管理员为同一个人；</w:t>
      </w:r>
    </w:p>
    <w:p w14:paraId="3DC10150">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（4）不同投标人的投标文件异常一致或者投标报价呈规律性差异；</w:t>
      </w:r>
    </w:p>
    <w:p w14:paraId="2B46A25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（5）不同投标人的投标文件相互混装；</w:t>
      </w:r>
    </w:p>
    <w:p w14:paraId="0C70E4D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（6）不同投标人的投标保证金从同一单位或者个人账户转出。</w:t>
      </w:r>
    </w:p>
    <w:p w14:paraId="52EFA54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9.3供应商有下列情形之一的，属于恶意串通行为，将报同级监督管理部门：</w:t>
      </w:r>
    </w:p>
    <w:p w14:paraId="35A5887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（1）供应商直接或者间接从采购人或者采购代理机构处获得其他供应商的相关信息并修改其投标文件或者响应文件；</w:t>
      </w:r>
    </w:p>
    <w:p w14:paraId="1B02F4C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（2）供应商按照采购人或者采购代理机构的授意撤换、修改投标文件或者响应文件；</w:t>
      </w:r>
    </w:p>
    <w:p w14:paraId="317C0BE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（3）供应商之间协商报价、技术方案等投标文件或者响应文件的实质性内容；</w:t>
      </w:r>
    </w:p>
    <w:p w14:paraId="77F26F2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（4）属于同一集团、协会、商会等组织成员的供应商按照该组织要求协同参加政府采购活动；</w:t>
      </w:r>
    </w:p>
    <w:p w14:paraId="6C4E788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4B14335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（6）供应商之间商定部分供应商放弃参加政府采购活动或者放弃中标；</w:t>
      </w:r>
    </w:p>
    <w:p w14:paraId="6FCACAA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（7）供应商与采购人或者采购代理机构之间、供应商相互之间，为谋求特定供应商中标或者排斥其他供应商的其他串通行为。</w:t>
      </w:r>
    </w:p>
    <w:p w14:paraId="68FA52C3">
      <w:pPr>
        <w:pStyle w:val="4"/>
        <w:keepNext w:val="0"/>
        <w:keepLines w:val="0"/>
        <w:jc w:val="center"/>
        <w:rPr>
          <w:rFonts w:asciiTheme="minorEastAsia" w:hAnsiTheme="minorEastAsia" w:eastAsiaTheme="minorEastAsia"/>
          <w:color w:val="auto"/>
          <w:highlight w:val="none"/>
        </w:rPr>
      </w:pPr>
      <w:bookmarkStart w:id="85" w:name="_Toc254970675"/>
      <w:bookmarkEnd w:id="85"/>
      <w:bookmarkStart w:id="86" w:name="_Toc254970534"/>
      <w:bookmarkEnd w:id="86"/>
      <w:r>
        <w:rPr>
          <w:rFonts w:hint="eastAsia" w:asciiTheme="minorEastAsia" w:hAnsiTheme="minorEastAsia" w:eastAsiaTheme="minorEastAsia"/>
          <w:color w:val="auto"/>
          <w:highlight w:val="none"/>
        </w:rPr>
        <w:t>二、招标文件</w:t>
      </w:r>
    </w:p>
    <w:p w14:paraId="56793BDD">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10.招标文件的组成</w:t>
      </w:r>
    </w:p>
    <w:p w14:paraId="5B9763F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（1）招标公告；</w:t>
      </w:r>
    </w:p>
    <w:p w14:paraId="13E8FD7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（2）采购需求； </w:t>
      </w:r>
    </w:p>
    <w:p w14:paraId="2130E5E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（3）投标人须知；</w:t>
      </w:r>
    </w:p>
    <w:p w14:paraId="6F6D921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（4）评标方法及评标标准；</w:t>
      </w:r>
    </w:p>
    <w:p w14:paraId="1DED761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（5）拟签订的合同文本；</w:t>
      </w:r>
    </w:p>
    <w:p w14:paraId="4BB1764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（6）投标文件格式。</w:t>
      </w:r>
    </w:p>
    <w:p w14:paraId="4C9C9584">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11.招标文件的澄清、修改 、现场踏勘和答疑会</w:t>
      </w:r>
    </w:p>
    <w:p w14:paraId="778269CA">
      <w:pPr>
        <w:pStyle w:val="14"/>
        <w:snapToGrid w:val="0"/>
        <w:spacing w:line="400" w:lineRule="exact"/>
        <w:ind w:left="1" w:firstLine="422"/>
        <w:rPr>
          <w:rFonts w:hAnsi="宋体" w:cs="宋体"/>
          <w:bCs/>
          <w:color w:val="auto"/>
          <w:kern w:val="2"/>
          <w:sz w:val="21"/>
          <w:highlight w:val="none"/>
        </w:rPr>
      </w:pPr>
      <w:r>
        <w:rPr>
          <w:rFonts w:hint="eastAsia" w:asciiTheme="minorEastAsia" w:hAnsiTheme="minorEastAsia" w:eastAsiaTheme="minorEastAsia"/>
          <w:color w:val="auto"/>
          <w:sz w:val="21"/>
          <w:highlight w:val="none"/>
        </w:rPr>
        <w:t xml:space="preserve"> </w:t>
      </w:r>
      <w:r>
        <w:rPr>
          <w:rFonts w:hint="eastAsia" w:hAnsi="宋体" w:cs="宋体"/>
          <w:bCs/>
          <w:color w:val="auto"/>
          <w:kern w:val="2"/>
          <w:sz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0C6045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86529D5">
      <w:pPr>
        <w:pStyle w:val="14"/>
        <w:snapToGrid w:val="0"/>
        <w:spacing w:line="400" w:lineRule="exact"/>
        <w:ind w:left="1" w:firstLine="422"/>
        <w:rPr>
          <w:rFonts w:hAnsi="宋体" w:cs="宋体"/>
          <w:bCs/>
          <w:color w:val="auto"/>
          <w:kern w:val="2"/>
          <w:sz w:val="21"/>
          <w:highlight w:val="none"/>
        </w:rPr>
      </w:pPr>
      <w:bookmarkStart w:id="87" w:name="_Hlk53134511"/>
      <w:r>
        <w:rPr>
          <w:rFonts w:hint="eastAsia" w:hAnsi="宋体" w:cs="宋体"/>
          <w:bCs/>
          <w:color w:val="auto"/>
          <w:kern w:val="2"/>
          <w:sz w:val="21"/>
          <w:highlight w:val="none"/>
        </w:rPr>
        <w:t>11.2采购人或者采购代理机构可以在招标文件提供期限截止后，组织已获取招标文件的潜在投标人现场踏勘或者召开开标前答疑会，具体详见“投标人须知前附表”。</w:t>
      </w:r>
    </w:p>
    <w:bookmarkEnd w:id="87"/>
    <w:p w14:paraId="1D0B6FD1">
      <w:pPr>
        <w:pStyle w:val="4"/>
        <w:keepNext w:val="0"/>
        <w:keepLines w:val="0"/>
        <w:jc w:val="center"/>
        <w:rPr>
          <w:rFonts w:asciiTheme="minorEastAsia" w:hAnsiTheme="minorEastAsia" w:eastAsiaTheme="minorEastAsia"/>
          <w:color w:val="auto"/>
          <w:highlight w:val="none"/>
        </w:rPr>
      </w:pPr>
      <w:bookmarkStart w:id="88" w:name="_Toc254970535"/>
      <w:bookmarkEnd w:id="88"/>
      <w:bookmarkStart w:id="89" w:name="_Toc254970676"/>
      <w:bookmarkEnd w:id="89"/>
      <w:r>
        <w:rPr>
          <w:rFonts w:hint="eastAsia" w:asciiTheme="minorEastAsia" w:hAnsiTheme="minorEastAsia" w:eastAsiaTheme="minorEastAsia"/>
          <w:color w:val="auto"/>
          <w:highlight w:val="none"/>
        </w:rPr>
        <w:t>三、投标文件的编制</w:t>
      </w:r>
    </w:p>
    <w:p w14:paraId="52F092C7">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90" w:name="_Toc254970536"/>
      <w:bookmarkStart w:id="91" w:name="_Toc254970677"/>
      <w:r>
        <w:rPr>
          <w:rFonts w:hint="eastAsia" w:asciiTheme="minorEastAsia" w:hAnsiTheme="minorEastAsia" w:eastAsiaTheme="minorEastAsia"/>
          <w:color w:val="auto"/>
          <w:sz w:val="24"/>
          <w:highlight w:val="none"/>
        </w:rPr>
        <w:t>12.投标文件的编制原则</w:t>
      </w:r>
    </w:p>
    <w:p w14:paraId="10A1303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投标人必须按照招标文件的要求编制投标文件。投标文件必须对招标文件提出的要求和条件作出明确响应。</w:t>
      </w:r>
    </w:p>
    <w:bookmarkEnd w:id="90"/>
    <w:bookmarkEnd w:id="91"/>
    <w:p w14:paraId="52B0DCF7">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13.投标文件的组成</w:t>
      </w:r>
    </w:p>
    <w:p w14:paraId="792AFA1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投标文件由报价文件、资格证明文件、商务文件、技术文件四部分组成。</w:t>
      </w:r>
    </w:p>
    <w:p w14:paraId="4740E461">
      <w:pPr>
        <w:pStyle w:val="14"/>
        <w:snapToGrid w:val="0"/>
        <w:spacing w:line="400" w:lineRule="exact"/>
        <w:ind w:left="1" w:firstLine="422"/>
        <w:rPr>
          <w:rFonts w:hAnsi="宋体" w:cs="宋体"/>
          <w:bCs/>
          <w:color w:val="auto"/>
          <w:kern w:val="2"/>
          <w:sz w:val="21"/>
          <w:highlight w:val="none"/>
        </w:rPr>
      </w:pPr>
      <w:bookmarkStart w:id="92" w:name="_13.1报价文件:_具体材料见“投标人须知前附表”。"/>
      <w:bookmarkEnd w:id="92"/>
      <w:r>
        <w:rPr>
          <w:rFonts w:hint="eastAsia" w:hAnsi="宋体" w:cs="宋体"/>
          <w:bCs/>
          <w:color w:val="auto"/>
          <w:kern w:val="2"/>
          <w:sz w:val="21"/>
          <w:highlight w:val="none"/>
        </w:rPr>
        <w:t>（1）报价文件：具体材料见“投标人须知前附表”。</w:t>
      </w:r>
    </w:p>
    <w:p w14:paraId="1CEC7462">
      <w:pPr>
        <w:pStyle w:val="14"/>
        <w:snapToGrid w:val="0"/>
        <w:spacing w:line="400" w:lineRule="exact"/>
        <w:ind w:left="1" w:firstLine="422"/>
        <w:rPr>
          <w:rFonts w:hAnsi="宋体" w:cs="宋体"/>
          <w:bCs/>
          <w:color w:val="auto"/>
          <w:kern w:val="2"/>
          <w:sz w:val="21"/>
          <w:highlight w:val="none"/>
        </w:rPr>
      </w:pPr>
      <w:bookmarkStart w:id="93" w:name="_13.2资格证明文件：具体材料见“投标人须知前附表”。"/>
      <w:bookmarkEnd w:id="93"/>
      <w:r>
        <w:rPr>
          <w:rFonts w:hint="eastAsia" w:hAnsi="宋体" w:cs="宋体"/>
          <w:bCs/>
          <w:color w:val="auto"/>
          <w:kern w:val="2"/>
          <w:sz w:val="21"/>
          <w:highlight w:val="none"/>
        </w:rPr>
        <w:t>（2）资格证明文件：具体材料见“投标人须知前附表”。</w:t>
      </w:r>
    </w:p>
    <w:p w14:paraId="1F7FAE3B">
      <w:pPr>
        <w:pStyle w:val="14"/>
        <w:snapToGrid w:val="0"/>
        <w:spacing w:line="400" w:lineRule="exact"/>
        <w:ind w:left="1" w:firstLine="422"/>
        <w:rPr>
          <w:rFonts w:hAnsi="宋体" w:cs="宋体"/>
          <w:bCs/>
          <w:color w:val="auto"/>
          <w:kern w:val="2"/>
          <w:sz w:val="21"/>
          <w:highlight w:val="none"/>
        </w:rPr>
      </w:pPr>
      <w:bookmarkStart w:id="94" w:name="_13.3商务文件:_具体材料见“投标人须知前附表”。"/>
      <w:bookmarkEnd w:id="94"/>
      <w:r>
        <w:rPr>
          <w:rFonts w:hint="eastAsia" w:hAnsi="宋体" w:cs="宋体"/>
          <w:bCs/>
          <w:color w:val="auto"/>
          <w:kern w:val="2"/>
          <w:sz w:val="21"/>
          <w:highlight w:val="none"/>
        </w:rPr>
        <w:t>（3）商务文件：具体材料见“投标人须知前附表”。</w:t>
      </w:r>
    </w:p>
    <w:p w14:paraId="3ECF4C1D">
      <w:pPr>
        <w:pStyle w:val="14"/>
        <w:snapToGrid w:val="0"/>
        <w:spacing w:line="400" w:lineRule="exact"/>
        <w:ind w:left="1" w:firstLine="422"/>
        <w:rPr>
          <w:rFonts w:hAnsi="宋体" w:cs="宋体"/>
          <w:bCs/>
          <w:color w:val="auto"/>
          <w:kern w:val="2"/>
          <w:sz w:val="21"/>
          <w:highlight w:val="none"/>
        </w:rPr>
      </w:pPr>
      <w:bookmarkStart w:id="95" w:name="_13.4技术文件：具体材料见“投标人须知前附表”。"/>
      <w:bookmarkEnd w:id="95"/>
      <w:r>
        <w:rPr>
          <w:rFonts w:hint="eastAsia" w:hAnsi="宋体" w:cs="宋体"/>
          <w:bCs/>
          <w:color w:val="auto"/>
          <w:kern w:val="2"/>
          <w:sz w:val="21"/>
          <w:highlight w:val="none"/>
        </w:rPr>
        <w:t>（4）技术文件：具体材料见“投标人须知前附表”。</w:t>
      </w:r>
    </w:p>
    <w:p w14:paraId="3EAE58FF">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96" w:name="_13.5投标文件电子版：具体材料见“投标人须知前附表”。"/>
      <w:bookmarkEnd w:id="96"/>
      <w:bookmarkStart w:id="97" w:name="_Toc254970537"/>
      <w:bookmarkEnd w:id="97"/>
      <w:bookmarkStart w:id="98" w:name="_Toc254970678"/>
      <w:bookmarkEnd w:id="98"/>
      <w:r>
        <w:rPr>
          <w:rFonts w:hint="eastAsia" w:asciiTheme="minorEastAsia" w:hAnsiTheme="minorEastAsia" w:eastAsiaTheme="minorEastAsia"/>
          <w:color w:val="auto"/>
          <w:sz w:val="24"/>
          <w:highlight w:val="none"/>
        </w:rPr>
        <w:t>14.投标文件的语言及计量</w:t>
      </w:r>
    </w:p>
    <w:p w14:paraId="4D437CB3">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14.1语言文字</w:t>
      </w:r>
    </w:p>
    <w:p w14:paraId="30671AA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DB7100B">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14.2投标计量单位</w:t>
      </w:r>
    </w:p>
    <w:p w14:paraId="2349DE4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招标文件已有明确规定的，使用招标文件规定的计量单位；招标文件没有规定的，应采用中华人民共和国法定计量单位，货币种类为人民币，否则视同未响应。</w:t>
      </w:r>
    </w:p>
    <w:p w14:paraId="4047C2C2">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15.投标的风险</w:t>
      </w:r>
    </w:p>
    <w:p w14:paraId="41AE87E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投标人没有按照招标文件要求提供全部资料，或者投标人没有对招标文件作出实质性响应是投标人的风险，并可能导致其投标被拒绝。</w:t>
      </w:r>
    </w:p>
    <w:p w14:paraId="3AD66795">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99" w:name="_Toc254970679"/>
      <w:bookmarkEnd w:id="99"/>
      <w:bookmarkStart w:id="100" w:name="_Toc254970538"/>
      <w:bookmarkEnd w:id="100"/>
      <w:r>
        <w:rPr>
          <w:rFonts w:hint="eastAsia" w:asciiTheme="minorEastAsia" w:hAnsiTheme="minorEastAsia" w:eastAsiaTheme="minorEastAsia"/>
          <w:color w:val="auto"/>
          <w:sz w:val="24"/>
          <w:highlight w:val="none"/>
        </w:rPr>
        <w:t>16.投标报价</w:t>
      </w:r>
    </w:p>
    <w:p w14:paraId="106C98D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16.1投标报价应按“第六章　投标文件格式”中“开标一览表”格式填写。</w:t>
      </w:r>
    </w:p>
    <w:p w14:paraId="736AC863">
      <w:pPr>
        <w:pStyle w:val="14"/>
        <w:snapToGrid w:val="0"/>
        <w:spacing w:line="400" w:lineRule="exact"/>
        <w:ind w:left="1" w:firstLine="422"/>
        <w:outlineLvl w:val="3"/>
        <w:rPr>
          <w:rFonts w:hAnsi="宋体" w:cs="宋体"/>
          <w:bCs/>
          <w:color w:val="auto"/>
          <w:kern w:val="2"/>
          <w:sz w:val="21"/>
          <w:highlight w:val="none"/>
        </w:rPr>
      </w:pPr>
      <w:bookmarkStart w:id="101" w:name="_16.2投标报价具体定义见投标人须知前附表。"/>
      <w:bookmarkEnd w:id="101"/>
      <w:r>
        <w:rPr>
          <w:rFonts w:hint="eastAsia" w:hAnsi="宋体" w:cs="宋体"/>
          <w:bCs/>
          <w:color w:val="auto"/>
          <w:kern w:val="2"/>
          <w:sz w:val="21"/>
          <w:highlight w:val="none"/>
        </w:rPr>
        <w:t>16.2投标报价具体包括内容详见“投标人须知前附表”。</w:t>
      </w:r>
    </w:p>
    <w:p w14:paraId="4F00064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16.3投标人必须就所投每个分标的全部内容分别作完整唯一总价报价，不得存在漏项报价；投标人必须就所投分标的单项内容作唯一报价。</w:t>
      </w:r>
    </w:p>
    <w:p w14:paraId="56DC00CF">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17.投标有效期</w:t>
      </w:r>
    </w:p>
    <w:p w14:paraId="2A43910F">
      <w:pPr>
        <w:pStyle w:val="14"/>
        <w:snapToGrid w:val="0"/>
        <w:spacing w:line="400" w:lineRule="exact"/>
        <w:ind w:left="1" w:firstLine="422"/>
        <w:rPr>
          <w:rFonts w:hAnsi="宋体" w:cs="宋体"/>
          <w:bCs/>
          <w:color w:val="auto"/>
          <w:kern w:val="2"/>
          <w:sz w:val="21"/>
          <w:highlight w:val="none"/>
        </w:rPr>
      </w:pPr>
      <w:bookmarkStart w:id="102" w:name="_17.1投标有效期应按“投标人须知中的前附表”规定的期限。"/>
      <w:bookmarkEnd w:id="102"/>
      <w:r>
        <w:rPr>
          <w:rFonts w:hint="eastAsia" w:hAnsi="宋体" w:cs="宋体"/>
          <w:bCs/>
          <w:color w:val="auto"/>
          <w:kern w:val="2"/>
          <w:sz w:val="21"/>
          <w:highlight w:val="none"/>
        </w:rPr>
        <w:t>17.1投标有效期是指为保证采购人有足够的时间在开标后完成评标、定标、合同签订等工作而要求投标人提交的投标文件在一定时间内保持有效的期限。</w:t>
      </w:r>
    </w:p>
    <w:p w14:paraId="3154E222">
      <w:pPr>
        <w:pStyle w:val="14"/>
        <w:snapToGrid w:val="0"/>
        <w:spacing w:line="400" w:lineRule="exact"/>
        <w:ind w:left="1" w:firstLine="422"/>
        <w:rPr>
          <w:rFonts w:hAnsi="宋体" w:cs="宋体"/>
          <w:bCs/>
          <w:color w:val="auto"/>
          <w:kern w:val="2"/>
          <w:sz w:val="21"/>
          <w:highlight w:val="none"/>
        </w:rPr>
      </w:pPr>
      <w:bookmarkStart w:id="103" w:name="_Toc254970540"/>
      <w:bookmarkStart w:id="104" w:name="_Toc254970681"/>
      <w:r>
        <w:rPr>
          <w:rFonts w:hint="eastAsia" w:hAnsi="宋体" w:cs="宋体"/>
          <w:bCs/>
          <w:color w:val="auto"/>
          <w:kern w:val="2"/>
          <w:sz w:val="21"/>
          <w:highlight w:val="none"/>
        </w:rPr>
        <w:t>17.2 投标有效期应按规定的期限作出承诺，具体详见“投标人须知前附表”。</w:t>
      </w:r>
    </w:p>
    <w:bookmarkEnd w:id="103"/>
    <w:bookmarkEnd w:id="104"/>
    <w:p w14:paraId="6134F441">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17.3投标人的投标文件在投标有效期内均保持有效。</w:t>
      </w:r>
    </w:p>
    <w:p w14:paraId="62789CC4">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105" w:name="_18.投标保证金"/>
      <w:bookmarkEnd w:id="105"/>
      <w:bookmarkStart w:id="106" w:name="_Toc254970682"/>
      <w:bookmarkEnd w:id="106"/>
      <w:bookmarkStart w:id="107" w:name="_Toc254970541"/>
      <w:bookmarkEnd w:id="107"/>
      <w:r>
        <w:rPr>
          <w:rFonts w:hint="eastAsia" w:asciiTheme="minorEastAsia" w:hAnsiTheme="minorEastAsia" w:eastAsiaTheme="minorEastAsia"/>
          <w:color w:val="auto"/>
          <w:sz w:val="24"/>
          <w:highlight w:val="none"/>
        </w:rPr>
        <w:t>18.投标保证金</w:t>
      </w:r>
    </w:p>
    <w:p w14:paraId="354C22C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18.1投标人须按“投标人须知前附表” 的规定提交投标保证金。</w:t>
      </w:r>
    </w:p>
    <w:p w14:paraId="1F35B084">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18.2投标保证金的退还</w:t>
      </w:r>
    </w:p>
    <w:p w14:paraId="5299BE7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未中标人的投标保证金自中标通知书发出之日起4个工作日内退还；中标人的投标保证金自政府采购合同签订之日起4个工作日内退还。 </w:t>
      </w:r>
    </w:p>
    <w:p w14:paraId="549B2D1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18.3除逾期退还投标保证金和终止招标的情形以外，投标保证金不计息。</w:t>
      </w:r>
    </w:p>
    <w:p w14:paraId="3DBD2FDD">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 xml:space="preserve">18.4投标人有下列情形之一的，投标保证金将不予退还： </w:t>
      </w:r>
    </w:p>
    <w:p w14:paraId="60EBDF9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（1）投标人在投标有效期内撤销投标文件的；</w:t>
      </w:r>
    </w:p>
    <w:p w14:paraId="31B29B1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（2）未按规定提交履约保证金的；</w:t>
      </w:r>
    </w:p>
    <w:p w14:paraId="184C0BD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（3）投标人在投标过程中弄虚作假，提供虚假材料的；</w:t>
      </w:r>
    </w:p>
    <w:p w14:paraId="2075DCB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（4）中标人无正当理由不与采购人签订合同的；</w:t>
      </w:r>
    </w:p>
    <w:p w14:paraId="4DB2911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（5）投标人出现本章第9.2、9.3情形的；</w:t>
      </w:r>
    </w:p>
    <w:p w14:paraId="4EA12DF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（6）法律法规规定的其他情形。</w:t>
      </w:r>
    </w:p>
    <w:p w14:paraId="68DDFDE4">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108" w:name="_Toc254970683"/>
      <w:bookmarkEnd w:id="108"/>
      <w:bookmarkStart w:id="109" w:name="_Toc254970542"/>
      <w:bookmarkEnd w:id="109"/>
      <w:r>
        <w:rPr>
          <w:rFonts w:hint="eastAsia" w:asciiTheme="minorEastAsia" w:hAnsiTheme="minorEastAsia" w:eastAsiaTheme="minorEastAsia"/>
          <w:color w:val="auto"/>
          <w:sz w:val="24"/>
          <w:highlight w:val="none"/>
        </w:rPr>
        <w:t>19.投标文件的编制</w:t>
      </w:r>
    </w:p>
    <w:p w14:paraId="423DEF12">
      <w:pPr>
        <w:pStyle w:val="14"/>
        <w:snapToGrid w:val="0"/>
        <w:spacing w:line="400" w:lineRule="exact"/>
        <w:ind w:left="1" w:firstLine="422"/>
        <w:rPr>
          <w:rFonts w:hAnsi="宋体" w:cs="宋体"/>
          <w:bCs/>
          <w:color w:val="auto"/>
          <w:kern w:val="2"/>
          <w:sz w:val="21"/>
          <w:highlight w:val="none"/>
        </w:rPr>
      </w:pPr>
      <w:r>
        <w:rPr>
          <w:rFonts w:hint="eastAsia" w:asciiTheme="minorEastAsia" w:hAnsiTheme="minorEastAsia" w:eastAsiaTheme="minorEastAsia"/>
          <w:color w:val="auto"/>
          <w:sz w:val="21"/>
          <w:highlight w:val="none"/>
        </w:rPr>
        <w:t xml:space="preserve"> </w:t>
      </w:r>
      <w:r>
        <w:rPr>
          <w:rFonts w:hint="eastAsia" w:hAnsi="宋体" w:cs="宋体"/>
          <w:bCs/>
          <w:color w:val="auto"/>
          <w:kern w:val="2"/>
          <w:sz w:val="21"/>
          <w:highlight w:val="none"/>
        </w:rPr>
        <w:t>19.1投标人应先安装“广西政府采购云电子投标客户端”（请自行前往”广西政府采购云平台”平台进行下载），并按照本项目招标文件规定的格式和顺序和”广西政府采购云平台”平台的要求编制并加密。投标文件内容不完整、编排混乱导致投标文件被误读、漏读或者查找不到相关内容的，由此引发的后果由投标人承担。</w:t>
      </w:r>
    </w:p>
    <w:p w14:paraId="2701D622">
      <w:pPr>
        <w:pStyle w:val="14"/>
        <w:snapToGrid w:val="0"/>
        <w:spacing w:line="400" w:lineRule="exact"/>
        <w:ind w:left="1" w:firstLine="422"/>
        <w:rPr>
          <w:rFonts w:hAnsi="宋体" w:cs="宋体"/>
          <w:bCs/>
          <w:color w:val="auto"/>
          <w:kern w:val="2"/>
          <w:sz w:val="21"/>
          <w:highlight w:val="none"/>
        </w:rPr>
      </w:pPr>
      <w:bookmarkStart w:id="110" w:name="_19.2投标文件应按报价文件、资格证明文件、商务文件、技术文件分别编制"/>
      <w:bookmarkEnd w:id="110"/>
      <w:r>
        <w:rPr>
          <w:rFonts w:hint="eastAsia" w:hAnsi="宋体" w:cs="宋体"/>
          <w:bCs/>
          <w:color w:val="auto"/>
          <w:kern w:val="2"/>
          <w:sz w:val="21"/>
          <w:highlight w:val="none"/>
        </w:rPr>
        <w:t>19.2为确保网上操作合法、有效和安全，投标人应当在投标截止时间前完成在”广西政府采购云平台”平台的身份认证，确保在电子投标过程中能够对相关数据电文进行加密和使用电子签名。</w:t>
      </w:r>
    </w:p>
    <w:p w14:paraId="0C7165F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19.3投标文件须由投标人在规定位置签字（或者电子签名）、盖章（具体以投标人须知前附表或投标文件格式规定为准），否则按无效投标处理。</w:t>
      </w:r>
    </w:p>
    <w:p w14:paraId="2F4694F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否则按无效投标处理。</w:t>
      </w:r>
    </w:p>
    <w:p w14:paraId="170210D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19.5投标文件应尽量避免涂改、行间插字或者删除。如果出现上述情况，改动之处应由投标人的法定代表人或者其委托代理人签字（或者电子签名）或者加盖公章。投标文件因字迹潦草或者表达不清所引起的后果由投标人承担。</w:t>
      </w:r>
    </w:p>
    <w:p w14:paraId="1F651453">
      <w:pPr>
        <w:ind w:firstLine="482" w:firstLineChars="200"/>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20.电子备份投标文件</w:t>
      </w:r>
    </w:p>
    <w:p w14:paraId="588A250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具体详见在“投标人须知前附表”要求。</w:t>
      </w:r>
    </w:p>
    <w:p w14:paraId="3CA472C6">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21.投标文件的提交</w:t>
      </w:r>
    </w:p>
    <w:p w14:paraId="59F56D32">
      <w:pPr>
        <w:pStyle w:val="14"/>
        <w:snapToGrid w:val="0"/>
        <w:spacing w:line="400" w:lineRule="exact"/>
        <w:ind w:left="1" w:firstLine="422"/>
        <w:rPr>
          <w:rFonts w:hAnsi="宋体" w:cs="宋体"/>
          <w:bCs/>
          <w:color w:val="auto"/>
          <w:kern w:val="2"/>
          <w:sz w:val="21"/>
          <w:highlight w:val="none"/>
        </w:rPr>
      </w:pPr>
      <w:bookmarkStart w:id="111" w:name="_21.1投标人必须在“投标人须知中的前附表”规定的投标文件接收时间和投"/>
      <w:bookmarkEnd w:id="111"/>
      <w:r>
        <w:rPr>
          <w:rFonts w:hint="eastAsia" w:hAnsi="宋体" w:cs="宋体"/>
          <w:bCs/>
          <w:color w:val="auto"/>
          <w:kern w:val="2"/>
          <w:sz w:val="21"/>
          <w:highlight w:val="none"/>
        </w:rPr>
        <w:t xml:space="preserve">21.1投标人必须在“投标人须知前附表”规定的投标文件提交截止时间前将电子投标文件提交至投标地点。电子投标文件应在制作完成后，在投标截止时间前通过有效数字证书（CA认证锁）进行电子签章、加密，然后通过网络将加密的电子投标文件递交至”广西政府采购云平台”平台。 </w:t>
      </w:r>
    </w:p>
    <w:p w14:paraId="02C8BDA0">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21.2未在规定时间内提交或者未按照招标文件要求加密的电子投标文件，”广西政府采购云平台”平台将拒收。</w:t>
      </w:r>
    </w:p>
    <w:p w14:paraId="213CD32A">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 投标文件的补充、修改、撤回与退回</w:t>
      </w:r>
    </w:p>
    <w:p w14:paraId="7E45A47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22.1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平台将予以拒收。（补充、修改或者撤回方式可登陆”广西政府采购云平台”平台，依次进入“服务中心”中查看 “电子投标文件制作与投送教程”）</w:t>
      </w:r>
    </w:p>
    <w:p w14:paraId="3542024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22.2”广西政府采购云平台”平台收到投标文件后向供应商发出确认回执通知。在投标截止时间前，除供应商补充、修改或者撤回投标文件外，任何单位和个人不得解密或提取投标文件。</w:t>
      </w:r>
    </w:p>
    <w:p w14:paraId="61C71B3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22.3在投标截止时间后，采购人和采购代理机构对已提交的投标文件概不退回。</w:t>
      </w:r>
    </w:p>
    <w:p w14:paraId="1C91E964">
      <w:pPr>
        <w:pStyle w:val="4"/>
        <w:keepNext w:val="0"/>
        <w:keepLines w:val="0"/>
        <w:jc w:val="center"/>
        <w:rPr>
          <w:rFonts w:asciiTheme="minorEastAsia" w:hAnsiTheme="minorEastAsia" w:eastAsiaTheme="minorEastAsia"/>
          <w:color w:val="auto"/>
          <w:highlight w:val="none"/>
        </w:rPr>
      </w:pPr>
      <w:bookmarkStart w:id="112" w:name="_Toc254970685"/>
      <w:bookmarkEnd w:id="112"/>
      <w:bookmarkStart w:id="113" w:name="_Toc254970544"/>
      <w:bookmarkEnd w:id="113"/>
      <w:r>
        <w:rPr>
          <w:rFonts w:hint="eastAsia" w:asciiTheme="minorEastAsia" w:hAnsiTheme="minorEastAsia" w:eastAsiaTheme="minorEastAsia"/>
          <w:color w:val="auto"/>
          <w:highlight w:val="none"/>
        </w:rPr>
        <w:t>四、开    标</w:t>
      </w:r>
    </w:p>
    <w:p w14:paraId="490EAC7A">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114" w:name="_23.开标时间和地点"/>
      <w:bookmarkEnd w:id="114"/>
      <w:r>
        <w:rPr>
          <w:rFonts w:hint="eastAsia" w:asciiTheme="minorEastAsia" w:hAnsiTheme="minorEastAsia" w:eastAsiaTheme="minorEastAsia"/>
          <w:color w:val="auto"/>
          <w:sz w:val="24"/>
          <w:highlight w:val="none"/>
        </w:rPr>
        <w:t>23.开标时间和地点</w:t>
      </w:r>
    </w:p>
    <w:p w14:paraId="2D23463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开标时间及地点详见“投标人须知前附表”</w:t>
      </w:r>
    </w:p>
    <w:p w14:paraId="36F7AB41">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24.开标程序</w:t>
      </w:r>
    </w:p>
    <w:p w14:paraId="5B16D5F6">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24.1提交投标文件截止时间止，投标人不足3家的，不得开标。</w:t>
      </w:r>
    </w:p>
    <w:p w14:paraId="23F3319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24.2采购代理机构将按照招标文件规定的时间通过”广西政府采购云平台”平台组织线上开标活动，所有供应商均应当准时在线参加，投标人因未在线参加开标而导致投标文件无法按时解密等一切后果由投标人自己承担。</w:t>
      </w:r>
    </w:p>
    <w:p w14:paraId="7976A626">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24.3开标程序</w:t>
      </w:r>
    </w:p>
    <w:p w14:paraId="275E828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解密电子投标文件。”广西政府采购云平台”平台按开标时间自动提取所有投标文件。采购代理机构依托”广西政府采购云平台”平台向各投标人发出电子加密投标文件【开始解密】通知，由投标人按“投标人须知前附表”规定的时间内自行进行投标文件解密。投标人的法定代表人或其委托代理人须凭加密时所用的CA锁准时登录到”广西政府采购云平台”平台电子开标大厅签到并对电子投标文件解密。</w:t>
      </w:r>
    </w:p>
    <w:p w14:paraId="6F5EE6D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如招标文件规定不接受备份电子投标文件，投标人未在规定的时间内解密投标文件或者解密失败的，投标人的投标文件作无效处理；如招标文件规定接受备份电子投标文件，投标人未在规定的时间内解密投标文件或者解密失败的，采购代理机构将电子备份投标文件按“政府采购云平台”操作规范上传至“政府采购云平台”，电子备份投标文件上传成功后，投标人原上传的“电子加密投标文件”自动失效。若投标人未在规定时间内解密或者解密失败，且未提供电子备份投标文件或者提供的电子备份投标文件无效或者电子备份投标文件无法解读的，投标人的投标文件作无效处理。</w:t>
      </w:r>
    </w:p>
    <w:p w14:paraId="5DBE045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（2）电子唱标。投标文件解密结束，宣布的内容均在”广西政府采购云平台”平台远程开标大厅展示，具体详见“投标人须知前附表”；</w:t>
      </w:r>
    </w:p>
    <w:p w14:paraId="0C8ED4A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26B4B45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7E707B7">
      <w:pPr>
        <w:pStyle w:val="14"/>
        <w:snapToGrid w:val="0"/>
        <w:spacing w:line="400" w:lineRule="exact"/>
        <w:ind w:left="1" w:firstLine="422"/>
        <w:outlineLvl w:val="4"/>
        <w:rPr>
          <w:rFonts w:hAnsi="宋体" w:cs="宋体"/>
          <w:bCs/>
          <w:color w:val="auto"/>
          <w:kern w:val="2"/>
          <w:sz w:val="21"/>
          <w:highlight w:val="none"/>
        </w:rPr>
      </w:pPr>
      <w:r>
        <w:rPr>
          <w:rFonts w:hint="eastAsia" w:hAnsi="宋体" w:cs="宋体"/>
          <w:bCs/>
          <w:color w:val="auto"/>
          <w:kern w:val="2"/>
          <w:sz w:val="21"/>
          <w:highlight w:val="none"/>
        </w:rPr>
        <w:t>（5）开标结束。</w:t>
      </w:r>
    </w:p>
    <w:p w14:paraId="07B5E98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特别说明：如遇”广西政府采购云平台”平台电子化开标或评审程序调整的，按调整后执行。</w:t>
      </w:r>
    </w:p>
    <w:p w14:paraId="3A06B9CA">
      <w:pPr>
        <w:pStyle w:val="4"/>
        <w:keepNext w:val="0"/>
        <w:keepLines w:val="0"/>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五、资格审查</w:t>
      </w:r>
    </w:p>
    <w:p w14:paraId="76C04FC1">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25.资格审查</w:t>
      </w:r>
    </w:p>
    <w:p w14:paraId="210D677D">
      <w:pPr>
        <w:pStyle w:val="14"/>
        <w:snapToGrid w:val="0"/>
        <w:spacing w:line="400" w:lineRule="exact"/>
        <w:ind w:left="1" w:firstLine="422"/>
        <w:rPr>
          <w:rFonts w:hAnsi="宋体" w:cs="宋体"/>
          <w:bCs/>
          <w:color w:val="auto"/>
          <w:kern w:val="2"/>
          <w:sz w:val="21"/>
          <w:highlight w:val="none"/>
        </w:rPr>
      </w:pPr>
      <w:r>
        <w:rPr>
          <w:rFonts w:hint="eastAsia" w:asciiTheme="minorEastAsia" w:hAnsiTheme="minorEastAsia" w:eastAsiaTheme="minorEastAsia"/>
          <w:color w:val="auto"/>
          <w:sz w:val="21"/>
          <w:highlight w:val="none"/>
        </w:rPr>
        <w:t xml:space="preserve"> </w:t>
      </w:r>
      <w:r>
        <w:rPr>
          <w:rFonts w:hint="eastAsia" w:hAnsi="宋体" w:cs="宋体"/>
          <w:bCs/>
          <w:color w:val="auto"/>
          <w:kern w:val="2"/>
          <w:sz w:val="21"/>
          <w:highlight w:val="none"/>
        </w:rPr>
        <w:t>25.1开标结束后，采购人或者采购代理机构通过电子开评标系统依据招标文件对电子投标文件进行线上资格审查。</w:t>
      </w:r>
    </w:p>
    <w:p w14:paraId="18B5FBB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25.2资格审查标准为本招标文件中载明对投标人资格要求的条件。本项目资格审查采用合格制，凡符合招标文件规定的投标人资格要求的投标人均通过资格审查。</w:t>
      </w:r>
    </w:p>
    <w:p w14:paraId="685F1B95">
      <w:pPr>
        <w:pStyle w:val="14"/>
        <w:snapToGrid w:val="0"/>
        <w:spacing w:line="400" w:lineRule="exact"/>
        <w:ind w:left="1" w:firstLine="422"/>
        <w:rPr>
          <w:rFonts w:hAnsi="宋体" w:cs="宋体"/>
          <w:bCs/>
          <w:color w:val="auto"/>
          <w:kern w:val="2"/>
          <w:sz w:val="21"/>
          <w:highlight w:val="none"/>
        </w:rPr>
      </w:pPr>
      <w:bookmarkStart w:id="115" w:name="_25.3_投标人有下列情形之一的，资格审查不通过而导致其投标无效："/>
      <w:bookmarkEnd w:id="115"/>
      <w:r>
        <w:rPr>
          <w:rFonts w:hint="eastAsia" w:hAnsi="宋体" w:cs="宋体"/>
          <w:bCs/>
          <w:color w:val="auto"/>
          <w:kern w:val="2"/>
          <w:sz w:val="21"/>
          <w:highlight w:val="none"/>
        </w:rPr>
        <w:t>25.3 投标人有下列情形之一的，资格审查不通过，作无效投标处理：</w:t>
      </w:r>
    </w:p>
    <w:p w14:paraId="4E9E3C73">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（1）不具备招标文件中规定的资格要求的；</w:t>
      </w:r>
    </w:p>
    <w:p w14:paraId="021A377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广西政府采购云平台”平台已与“信用中国”网站、中国政府采购网实现数据对接，可直接在线查询）</w:t>
      </w:r>
    </w:p>
    <w:p w14:paraId="461EDD8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1588C3A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（4）投标文件中的资格证明文件缺少任一项“投标人须知前附表”资格证明文件规定“必须提供”的文件资料的；</w:t>
      </w:r>
    </w:p>
    <w:p w14:paraId="5D9F1BD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（5）投标文件中的资格证明文件出现任一项不符合“投标人须知前附表”资格证明文件规定“必须提供”的文件资料要求或者无效的。</w:t>
      </w:r>
    </w:p>
    <w:p w14:paraId="359B61D1">
      <w:pPr>
        <w:pStyle w:val="14"/>
        <w:snapToGrid w:val="0"/>
        <w:spacing w:line="400" w:lineRule="exact"/>
        <w:ind w:left="1" w:firstLine="422"/>
        <w:outlineLvl w:val="4"/>
        <w:rPr>
          <w:rFonts w:hAnsi="宋体" w:cs="宋体"/>
          <w:bCs/>
          <w:color w:val="auto"/>
          <w:kern w:val="2"/>
          <w:sz w:val="21"/>
          <w:highlight w:val="none"/>
        </w:rPr>
      </w:pPr>
      <w:r>
        <w:rPr>
          <w:rFonts w:hint="eastAsia" w:hAnsi="宋体" w:cs="宋体"/>
          <w:bCs/>
          <w:color w:val="auto"/>
          <w:kern w:val="2"/>
          <w:sz w:val="21"/>
          <w:highlight w:val="none"/>
        </w:rPr>
        <w:t>25.4合格投标人不足3家的，不得评标。</w:t>
      </w:r>
    </w:p>
    <w:p w14:paraId="23D75EDA">
      <w:pPr>
        <w:pStyle w:val="4"/>
        <w:keepNext w:val="0"/>
        <w:keepLines w:val="0"/>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六、评   标</w:t>
      </w:r>
    </w:p>
    <w:p w14:paraId="1B56D564">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116" w:name="_26.组建评标委员会"/>
      <w:bookmarkEnd w:id="116"/>
      <w:r>
        <w:rPr>
          <w:rFonts w:hint="eastAsia" w:asciiTheme="minorEastAsia" w:hAnsiTheme="minorEastAsia" w:eastAsiaTheme="minorEastAsia"/>
          <w:color w:val="auto"/>
          <w:sz w:val="24"/>
          <w:highlight w:val="none"/>
        </w:rPr>
        <w:t>26.组建评标委员会</w:t>
      </w:r>
    </w:p>
    <w:p w14:paraId="4C8EFCE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26.1评标委员会由采购人代表和评审专家组成，具体人数详见“投标人须知前附表”，其中评审专家不得少于成员总数的三分之二。</w:t>
      </w:r>
    </w:p>
    <w:p w14:paraId="634513E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26.2参加过采购项目前期咨询论证的专家，不得参加该采购项目的评审活动。</w:t>
      </w:r>
    </w:p>
    <w:p w14:paraId="50304AD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26.3采购代理机构必须基于”广西政府采购云平台”平台选取评审专家，如采购代理机构未按规定选取专家的，视为本次开评标无效，应当重新采购。</w:t>
      </w:r>
    </w:p>
    <w:p w14:paraId="0E10650C">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27.评标的依据</w:t>
      </w:r>
    </w:p>
    <w:p w14:paraId="678A690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评标委员会以“第四章 评标方法和评标标准”为依据对投标文件进行评审，没有规定的方法、评审因素和标准，不作为评标依据。</w:t>
      </w:r>
    </w:p>
    <w:p w14:paraId="74A7390B">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28.评标原则</w:t>
      </w:r>
    </w:p>
    <w:p w14:paraId="5797ACC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61C1AA6">
      <w:pPr>
        <w:pStyle w:val="14"/>
        <w:snapToGrid w:val="0"/>
        <w:spacing w:line="400" w:lineRule="exact"/>
        <w:ind w:left="1" w:firstLine="422"/>
        <w:rPr>
          <w:rFonts w:hAnsi="宋体" w:cs="宋体"/>
          <w:bCs/>
          <w:color w:val="auto"/>
          <w:kern w:val="2"/>
          <w:sz w:val="21"/>
          <w:highlight w:val="none"/>
        </w:rPr>
      </w:pPr>
      <w:bookmarkStart w:id="117" w:name="_28.3评标方法。本项目将按须知前附表规定的评标办法进行评标，具体评标"/>
      <w:bookmarkEnd w:id="117"/>
      <w:r>
        <w:rPr>
          <w:rFonts w:hint="eastAsia" w:hAnsi="宋体" w:cs="宋体"/>
          <w:bCs/>
          <w:color w:val="auto"/>
          <w:kern w:val="2"/>
          <w:sz w:val="21"/>
          <w:highlight w:val="none"/>
        </w:rPr>
        <w:t>28.2评委表决。评标委员会成员对需要共同认定的事项存在争议的，应当按照少数服从多数的原则作出结论。</w:t>
      </w:r>
    </w:p>
    <w:p w14:paraId="3CA6975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8BAC49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28.4评标过程的监控。本项目电子评标过程实行网上留痕、全程录音、录像监控，投标人在评标过程中所进行的试图影响评标结果的不公正活动，可能导致其投标按无效处理。</w:t>
      </w:r>
    </w:p>
    <w:p w14:paraId="69818E41">
      <w:pPr>
        <w:pStyle w:val="14"/>
        <w:snapToGrid w:val="0"/>
        <w:spacing w:line="400" w:lineRule="exact"/>
        <w:ind w:left="1" w:firstLine="422"/>
        <w:outlineLvl w:val="2"/>
        <w:rPr>
          <w:rFonts w:hAnsi="宋体" w:cs="宋体"/>
          <w:bCs/>
          <w:color w:val="auto"/>
          <w:kern w:val="2"/>
          <w:sz w:val="21"/>
          <w:highlight w:val="none"/>
        </w:rPr>
      </w:pPr>
      <w:r>
        <w:rPr>
          <w:rFonts w:hint="eastAsia" w:hAnsi="宋体" w:cs="宋体"/>
          <w:bCs/>
          <w:color w:val="auto"/>
          <w:kern w:val="2"/>
          <w:sz w:val="21"/>
          <w:highlight w:val="none"/>
        </w:rPr>
        <w:t>29.评标方法及中标候选人推荐</w:t>
      </w:r>
    </w:p>
    <w:p w14:paraId="0F02E0E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29.1本项目的评标方法详见“投标人须知前附表”。</w:t>
      </w:r>
    </w:p>
    <w:p w14:paraId="24FBDF8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29.2中标候选人推荐数量详见“投标人须知前附表”。</w:t>
      </w:r>
    </w:p>
    <w:p w14:paraId="2B311CF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29.3 电子交易活动的中止。采购过程中出现以下情形，导致电子交易平台无法正常运行，或者无法保证电子交易的公平、公正和安全时，采购代理机构可以中止电子交易活动：</w:t>
      </w:r>
    </w:p>
    <w:p w14:paraId="3F8759C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（1）电子交易平台发生故障而无法登录访问的； </w:t>
      </w:r>
    </w:p>
    <w:p w14:paraId="113B26F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（2）电子交易平台应用或数据库出现错误，不能进行正常操作的；</w:t>
      </w:r>
    </w:p>
    <w:p w14:paraId="7BC5F4B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（3）电子交易平台发现严重安全漏洞，有潜在泄密危险的；</w:t>
      </w:r>
    </w:p>
    <w:p w14:paraId="6099F2B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（4）病毒发作导致不能进行正常操作的； </w:t>
      </w:r>
    </w:p>
    <w:p w14:paraId="23FD559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（5）其他无法保证电子交易的公平、公正和安全的情况。</w:t>
      </w:r>
    </w:p>
    <w:p w14:paraId="456DB9C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2920C182">
      <w:pPr>
        <w:pStyle w:val="4"/>
        <w:keepNext w:val="0"/>
        <w:keepLines w:val="0"/>
        <w:jc w:val="center"/>
        <w:rPr>
          <w:rFonts w:asciiTheme="minorEastAsia" w:hAnsiTheme="minorEastAsia" w:eastAsiaTheme="minorEastAsia"/>
          <w:color w:val="auto"/>
          <w:highlight w:val="none"/>
        </w:rPr>
      </w:pPr>
      <w:bookmarkStart w:id="118" w:name="_Toc254970546"/>
      <w:bookmarkEnd w:id="118"/>
      <w:bookmarkStart w:id="119" w:name="_Toc254970687"/>
      <w:bookmarkEnd w:id="119"/>
      <w:r>
        <w:rPr>
          <w:rFonts w:hint="eastAsia" w:asciiTheme="minorEastAsia" w:hAnsiTheme="minorEastAsia" w:eastAsiaTheme="minorEastAsia"/>
          <w:color w:val="auto"/>
          <w:highlight w:val="none"/>
        </w:rPr>
        <w:t>七、中标和合同</w:t>
      </w:r>
    </w:p>
    <w:p w14:paraId="5BF0E825">
      <w:pPr>
        <w:pStyle w:val="6"/>
        <w:keepNext w:val="0"/>
        <w:keepLines w:val="0"/>
        <w:spacing w:before="0" w:after="0" w:line="24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30确定中标人</w:t>
      </w:r>
    </w:p>
    <w:p w14:paraId="0519E8A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61437C7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38A7C95F">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30.3出现下列情形之一的，应予废标：</w:t>
      </w:r>
    </w:p>
    <w:p w14:paraId="5A0F806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（1）符合专业条件的供应商或者对招标文件作实质响应的供应商不足三家的；</w:t>
      </w:r>
    </w:p>
    <w:p w14:paraId="10EEAB6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（2）出现影响采购公正的违法、违规行为的；</w:t>
      </w:r>
    </w:p>
    <w:p w14:paraId="48FBF55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（3）投标人的报价均超过了采购预算，采购人不能支付的；</w:t>
      </w:r>
    </w:p>
    <w:p w14:paraId="657C724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（4）因重大变故，采购任务取消的。</w:t>
      </w:r>
    </w:p>
    <w:p w14:paraId="2D77A13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废标后，采购人应当将废标理由通知所有投标人。</w:t>
      </w:r>
    </w:p>
    <w:p w14:paraId="45EF294D">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 结果公告</w:t>
      </w:r>
    </w:p>
    <w:p w14:paraId="01C53EF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7B3D149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以上信息查询记录及相关证据与采购文件一并保存。</w:t>
      </w:r>
    </w:p>
    <w:p w14:paraId="343BF85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31.2中标供应商享受《政府采购促进中小企业发展管理办法》（财库〔2020〕46号）规定的中小企业扶持政策的，采购人、采购代理机构应当随中标结果公开中标供应商的《中小企业声明函》。</w:t>
      </w:r>
    </w:p>
    <w:p w14:paraId="4289B294">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32.发出中标通知书</w:t>
      </w:r>
    </w:p>
    <w:p w14:paraId="65795E3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在发布中标公告的同时，采购代理机构向中标人通过”广西政府采购云平台”平台发出电子中标通知书。对未通过资格审查的投标人，应当告知其未通过的原因；采用综合评分办法评审的，还应当告知未中标人本人的评审得分与排序。</w:t>
      </w:r>
    </w:p>
    <w:p w14:paraId="32FFEE55">
      <w:pPr>
        <w:pStyle w:val="14"/>
        <w:snapToGrid w:val="0"/>
        <w:spacing w:line="400" w:lineRule="exact"/>
        <w:ind w:left="1" w:firstLine="422"/>
        <w:outlineLvl w:val="2"/>
        <w:rPr>
          <w:rFonts w:hAnsi="宋体" w:cs="宋体"/>
          <w:bCs/>
          <w:color w:val="auto"/>
          <w:kern w:val="2"/>
          <w:sz w:val="21"/>
          <w:highlight w:val="none"/>
        </w:rPr>
      </w:pPr>
      <w:r>
        <w:rPr>
          <w:rFonts w:hint="eastAsia" w:hAnsi="宋体" w:cs="宋体"/>
          <w:bCs/>
          <w:color w:val="auto"/>
          <w:kern w:val="2"/>
          <w:sz w:val="21"/>
          <w:highlight w:val="none"/>
        </w:rPr>
        <w:t>33. 无义务解释未中标原因</w:t>
      </w:r>
    </w:p>
    <w:p w14:paraId="34CF261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采购代理机构无义务向未中标的投标人解释未中标原因。</w:t>
      </w:r>
    </w:p>
    <w:p w14:paraId="74AF9D3A">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34.合同授予标准</w:t>
      </w:r>
    </w:p>
    <w:p w14:paraId="2EF3E97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合同将授予被确定实质上响应招标文件要求，具备履行合同能力的中标人。</w:t>
      </w:r>
    </w:p>
    <w:p w14:paraId="015B54C6">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35.履约保证金</w:t>
      </w:r>
    </w:p>
    <w:p w14:paraId="31E8F23C">
      <w:pPr>
        <w:pStyle w:val="14"/>
        <w:snapToGrid w:val="0"/>
        <w:spacing w:line="400" w:lineRule="exact"/>
        <w:ind w:left="1" w:firstLine="422"/>
        <w:rPr>
          <w:rFonts w:hAnsi="宋体" w:cs="宋体"/>
          <w:bCs/>
          <w:color w:val="auto"/>
          <w:kern w:val="2"/>
          <w:sz w:val="21"/>
          <w:highlight w:val="none"/>
        </w:rPr>
      </w:pPr>
      <w:bookmarkStart w:id="120" w:name="_39.1中标人须于签订合同前按本须知前附表规定的金额转账或电汇到指定账"/>
      <w:bookmarkEnd w:id="120"/>
      <w:r>
        <w:rPr>
          <w:rFonts w:hint="eastAsia" w:hAnsi="宋体" w:cs="宋体"/>
          <w:bCs/>
          <w:color w:val="auto"/>
          <w:kern w:val="2"/>
          <w:sz w:val="21"/>
          <w:highlight w:val="none"/>
        </w:rPr>
        <w:t>35.1 履约保证金的金额、提交方式、退付的时间和条件详见 “投标人须知前附表”。中标人未按规定提交履约保证金的，视为拒绝与采购人签订合同。</w:t>
      </w:r>
    </w:p>
    <w:p w14:paraId="585F02B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35.2在履约保证金退还日期前，若中标人的开户名称、开户银行、帐号有变动的，请以书面形式通知履约保证金收取单位，否则由此产生的后果由中标人自行承担。</w:t>
      </w:r>
    </w:p>
    <w:p w14:paraId="1FC71200">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36.签订合同</w:t>
      </w:r>
    </w:p>
    <w:p w14:paraId="6FA68FD5">
      <w:pPr>
        <w:pStyle w:val="14"/>
        <w:snapToGrid w:val="0"/>
        <w:spacing w:line="400" w:lineRule="exact"/>
        <w:ind w:left="1" w:firstLine="422"/>
        <w:rPr>
          <w:rFonts w:hAnsi="宋体" w:cs="宋体"/>
          <w:bCs/>
          <w:color w:val="auto"/>
          <w:kern w:val="2"/>
          <w:sz w:val="21"/>
          <w:highlight w:val="none"/>
        </w:rPr>
      </w:pPr>
      <w:bookmarkStart w:id="121" w:name="_40.1投标人接到中标通知书后，按须知前附表规定向采购人出示相关资格证"/>
      <w:bookmarkEnd w:id="121"/>
      <w:r>
        <w:rPr>
          <w:rFonts w:hint="eastAsia" w:hAnsi="宋体" w:cs="宋体"/>
          <w:bCs/>
          <w:color w:val="auto"/>
          <w:kern w:val="2"/>
          <w:sz w:val="21"/>
          <w:highlight w:val="none"/>
        </w:rPr>
        <w:t>36.1签订电子采购合同：中标人领取电子中标通知书后，在</w:t>
      </w:r>
      <w:r>
        <w:rPr>
          <w:rFonts w:hint="eastAsia" w:hAnsi="宋体" w:cs="宋体"/>
          <w:bCs/>
          <w:color w:val="auto"/>
          <w:kern w:val="2"/>
          <w:sz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1368F0B4">
      <w:pPr>
        <w:pStyle w:val="14"/>
        <w:snapToGrid w:val="0"/>
        <w:spacing w:line="400" w:lineRule="exact"/>
        <w:ind w:left="1" w:firstLine="422"/>
        <w:rPr>
          <w:rFonts w:hAnsi="宋体" w:cs="宋体"/>
          <w:bCs/>
          <w:color w:val="auto"/>
          <w:kern w:val="2"/>
          <w:sz w:val="21"/>
          <w:highlight w:val="none"/>
        </w:rPr>
      </w:pPr>
      <w:r>
        <w:rPr>
          <w:rFonts w:hint="eastAsia" w:asciiTheme="minorEastAsia" w:hAnsiTheme="minorEastAsia" w:eastAsiaTheme="minorEastAsia"/>
          <w:color w:val="auto"/>
          <w:sz w:val="21"/>
          <w:highlight w:val="none"/>
        </w:rPr>
        <w:t xml:space="preserve"> </w:t>
      </w:r>
      <w:r>
        <w:rPr>
          <w:rFonts w:hint="eastAsia" w:hAnsi="宋体" w:cs="宋体"/>
          <w:bCs/>
          <w:color w:val="auto"/>
          <w:kern w:val="2"/>
          <w:sz w:val="21"/>
          <w:highlight w:val="none"/>
        </w:rPr>
        <w:t>线下签订纸质合同：投标人领取中标通知书后，按“投标人须知前附表”规定向采购人出示相关证明材料，经采购人核验合格后方可签订合同。</w:t>
      </w:r>
    </w:p>
    <w:p w14:paraId="3671581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36.2签订合同时间：按中标通知书规定的时间与采购人签订合同。</w:t>
      </w:r>
    </w:p>
    <w:p w14:paraId="059D27A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    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11B937E0">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D0F9B3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2D088FB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36.6如签订合同并生效后，供应商无故拒绝或延期，除按照合同条款处理外，将承担相应的法律责任。</w:t>
      </w:r>
    </w:p>
    <w:p w14:paraId="6D2D00AD">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0B3647E9">
      <w:pPr>
        <w:pStyle w:val="6"/>
        <w:keepNext w:val="0"/>
        <w:keepLines w:val="0"/>
        <w:spacing w:before="0" w:after="0" w:line="360" w:lineRule="auto"/>
        <w:ind w:left="420" w:leftChars="200"/>
        <w:rPr>
          <w:rFonts w:asciiTheme="minorEastAsia" w:hAnsiTheme="minorEastAsia" w:eastAsiaTheme="minorEastAsia"/>
          <w:color w:val="auto"/>
          <w:sz w:val="24"/>
          <w:highlight w:val="none"/>
        </w:rPr>
      </w:pPr>
      <w:bookmarkStart w:id="122" w:name="_41.政府采购合同公告"/>
      <w:bookmarkEnd w:id="122"/>
      <w:r>
        <w:rPr>
          <w:rFonts w:hint="eastAsia" w:asciiTheme="minorEastAsia" w:hAnsiTheme="minorEastAsia" w:eastAsiaTheme="minorEastAsia"/>
          <w:color w:val="auto"/>
          <w:sz w:val="24"/>
          <w:highlight w:val="none"/>
        </w:rPr>
        <w:t>37.政府采购合同公告</w:t>
      </w:r>
    </w:p>
    <w:p w14:paraId="3E01D30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4ED28119">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8.</w:t>
      </w:r>
      <w:r>
        <w:rPr>
          <w:rFonts w:hint="eastAsia" w:asciiTheme="minorEastAsia" w:hAnsiTheme="minorEastAsia" w:eastAsiaTheme="minorEastAsia"/>
          <w:color w:val="auto"/>
          <w:sz w:val="24"/>
          <w:highlight w:val="none"/>
        </w:rPr>
        <w:t xml:space="preserve"> 询问、质疑和投诉</w:t>
      </w:r>
    </w:p>
    <w:p w14:paraId="03E316E0">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551D25D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xml:space="preserve">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5D332AE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（1）对可以质疑的招标文件提出质疑的，为收到招标文件之日或者招标文件公告期限届满之日；</w:t>
      </w:r>
    </w:p>
    <w:p w14:paraId="7D39BC3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（2）对采购过程提出质疑的，为各采购程序环节结束之日；</w:t>
      </w:r>
    </w:p>
    <w:p w14:paraId="43D114C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（3）对中标结果提出质疑的，为中标结果公告期限届满之日。</w:t>
      </w:r>
    </w:p>
    <w:p w14:paraId="6AA43E9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38.3供应商提出质疑应当提交质疑函和必要的证明材料，针对同一采购程序环节的质疑必须在法定质疑期内一次性提出。质疑函应当包括下列内容（质疑函格式后附）：</w:t>
      </w:r>
    </w:p>
    <w:p w14:paraId="4AB761C9">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（1）供应商的姓名或者名称、地址、邮编、联系人及联系电话；</w:t>
      </w:r>
    </w:p>
    <w:p w14:paraId="184A8A9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（2）质疑项目的名称、编号；</w:t>
      </w:r>
    </w:p>
    <w:p w14:paraId="1FC3D90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（3）具体、明确的质疑事项和与质疑事项相关的请求；</w:t>
      </w:r>
    </w:p>
    <w:p w14:paraId="2B468628">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（4）事实依据；</w:t>
      </w:r>
    </w:p>
    <w:p w14:paraId="519D0D3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（5）必要的法律依据；</w:t>
      </w:r>
    </w:p>
    <w:p w14:paraId="4E004FC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（6）提出质疑的日期。</w:t>
      </w:r>
    </w:p>
    <w:p w14:paraId="4FE9D2E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供应商为自然人的，应当由本人签字；供应商为法人或者其他组织的，应当由法定代表人、主要负责人，或者其委托代理人签字或者盖章，并加盖公章。</w:t>
      </w:r>
    </w:p>
    <w:p w14:paraId="46A51DD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38.4采购人、采购代理机构认为供应商质疑不成立，或者成立但未对中标结果构成影响的，继续开展采购活动；认为供应商质疑成立且影响或者可能影响中标结果的，按照下列情况处理：</w:t>
      </w:r>
    </w:p>
    <w:p w14:paraId="180A913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（一）对招标文件提出的质疑，依法通过澄清或者修改可以继续开展采购活动的，澄清或者修改招标文件后继续开展采购活动；否则应当修改招标文件后重新开展采购活动。</w:t>
      </w:r>
    </w:p>
    <w:p w14:paraId="44ABE7D3">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5B2ECA3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质疑答复导致中标结果改变的，采购人或者采购代理机构应当将有关情况书面报告本级财政部门。</w:t>
      </w:r>
    </w:p>
    <w:p w14:paraId="616123F5">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7A774972">
      <w:pPr>
        <w:pStyle w:val="4"/>
        <w:keepNext w:val="0"/>
        <w:keepLines w:val="0"/>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八、其他事项</w:t>
      </w:r>
    </w:p>
    <w:p w14:paraId="753500C8">
      <w:pPr>
        <w:pStyle w:val="6"/>
        <w:keepNext w:val="0"/>
        <w:keepLines w:val="0"/>
        <w:spacing w:before="0" w:after="0" w:line="240" w:lineRule="auto"/>
        <w:ind w:left="420" w:leftChars="200"/>
        <w:rPr>
          <w:rFonts w:asciiTheme="minorEastAsia" w:hAnsiTheme="minorEastAsia" w:eastAsiaTheme="minorEastAsia"/>
          <w:color w:val="auto"/>
          <w:sz w:val="24"/>
          <w:highlight w:val="none"/>
        </w:rPr>
      </w:pPr>
      <w:bookmarkStart w:id="123" w:name="_42.代理服务费"/>
      <w:bookmarkEnd w:id="123"/>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9</w:t>
      </w:r>
      <w:r>
        <w:rPr>
          <w:rFonts w:hint="eastAsia" w:asciiTheme="minorEastAsia" w:hAnsiTheme="minorEastAsia" w:eastAsiaTheme="minorEastAsia"/>
          <w:color w:val="auto"/>
          <w:sz w:val="24"/>
          <w:highlight w:val="none"/>
        </w:rPr>
        <w:t>.代理服务费</w:t>
      </w:r>
    </w:p>
    <w:p w14:paraId="58914D7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39.1代理服务收取标准及缴费账户详见“投标人须知前附表”，投标人为联合体的，可以由联合体中的一方或者多方共同交纳代理服务费。</w:t>
      </w:r>
    </w:p>
    <w:p w14:paraId="50C78163">
      <w:pPr>
        <w:pStyle w:val="14"/>
        <w:snapToGrid w:val="0"/>
        <w:spacing w:line="400" w:lineRule="exact"/>
        <w:ind w:left="1" w:firstLine="422"/>
        <w:outlineLvl w:val="3"/>
        <w:rPr>
          <w:rFonts w:hAnsi="宋体" w:cs="宋体"/>
          <w:bCs/>
          <w:color w:val="auto"/>
          <w:kern w:val="2"/>
          <w:sz w:val="21"/>
          <w:highlight w:val="none"/>
        </w:rPr>
      </w:pPr>
      <w:r>
        <w:rPr>
          <w:rFonts w:hint="eastAsia" w:hAnsi="宋体" w:cs="宋体"/>
          <w:bCs/>
          <w:color w:val="auto"/>
          <w:kern w:val="2"/>
          <w:sz w:val="21"/>
          <w:highlight w:val="none"/>
        </w:rPr>
        <w:t>39.2代理服务收费标准：</w:t>
      </w:r>
    </w:p>
    <w:tbl>
      <w:tblPr>
        <w:tblStyle w:val="23"/>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58B1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7343F32C">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费率</w:t>
            </w:r>
          </w:p>
          <w:p w14:paraId="5F6C3B7D">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中标金额</w:t>
            </w:r>
          </w:p>
        </w:tc>
        <w:tc>
          <w:tcPr>
            <w:tcW w:w="1659" w:type="dxa"/>
            <w:vAlign w:val="center"/>
          </w:tcPr>
          <w:p w14:paraId="1C04904B">
            <w:pPr>
              <w:ind w:firstLine="105" w:firstLineChars="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货物招标</w:t>
            </w:r>
          </w:p>
        </w:tc>
        <w:tc>
          <w:tcPr>
            <w:tcW w:w="1687" w:type="dxa"/>
            <w:vAlign w:val="center"/>
          </w:tcPr>
          <w:p w14:paraId="434A37EC">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服务招标</w:t>
            </w:r>
          </w:p>
        </w:tc>
        <w:tc>
          <w:tcPr>
            <w:tcW w:w="1659" w:type="dxa"/>
            <w:vAlign w:val="center"/>
          </w:tcPr>
          <w:p w14:paraId="6594BF56">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工程招标</w:t>
            </w:r>
          </w:p>
        </w:tc>
      </w:tr>
      <w:tr w14:paraId="189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1B6E059">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100万元以下</w:t>
            </w:r>
          </w:p>
        </w:tc>
        <w:tc>
          <w:tcPr>
            <w:tcW w:w="1659" w:type="dxa"/>
          </w:tcPr>
          <w:p w14:paraId="37BD5A29">
            <w:pPr>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1.5% </w:t>
            </w:r>
          </w:p>
        </w:tc>
        <w:tc>
          <w:tcPr>
            <w:tcW w:w="1687" w:type="dxa"/>
          </w:tcPr>
          <w:p w14:paraId="1399253E">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1.5%</w:t>
            </w:r>
          </w:p>
        </w:tc>
        <w:tc>
          <w:tcPr>
            <w:tcW w:w="1659" w:type="dxa"/>
          </w:tcPr>
          <w:p w14:paraId="147903AC">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1.0% </w:t>
            </w:r>
          </w:p>
        </w:tc>
      </w:tr>
      <w:tr w14:paraId="4BDA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952E321">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100～500万元</w:t>
            </w:r>
          </w:p>
        </w:tc>
        <w:tc>
          <w:tcPr>
            <w:tcW w:w="1659" w:type="dxa"/>
          </w:tcPr>
          <w:p w14:paraId="67B537CE">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1.1% </w:t>
            </w:r>
          </w:p>
        </w:tc>
        <w:tc>
          <w:tcPr>
            <w:tcW w:w="1687" w:type="dxa"/>
          </w:tcPr>
          <w:p w14:paraId="3A820D3F">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0.8%</w:t>
            </w:r>
          </w:p>
        </w:tc>
        <w:tc>
          <w:tcPr>
            <w:tcW w:w="1659" w:type="dxa"/>
          </w:tcPr>
          <w:p w14:paraId="530EBC62">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0.7% </w:t>
            </w:r>
          </w:p>
        </w:tc>
      </w:tr>
      <w:tr w14:paraId="147C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7CD6AC7">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500～1000万元</w:t>
            </w:r>
          </w:p>
        </w:tc>
        <w:tc>
          <w:tcPr>
            <w:tcW w:w="1659" w:type="dxa"/>
          </w:tcPr>
          <w:p w14:paraId="5B53743B">
            <w:pPr>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0.8% </w:t>
            </w:r>
          </w:p>
        </w:tc>
        <w:tc>
          <w:tcPr>
            <w:tcW w:w="1687" w:type="dxa"/>
          </w:tcPr>
          <w:p w14:paraId="06740801">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0.45%</w:t>
            </w:r>
          </w:p>
        </w:tc>
        <w:tc>
          <w:tcPr>
            <w:tcW w:w="1659" w:type="dxa"/>
          </w:tcPr>
          <w:p w14:paraId="444F54AF">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0.55%</w:t>
            </w:r>
          </w:p>
        </w:tc>
      </w:tr>
      <w:tr w14:paraId="00DE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2D89E9C">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1000～5000万元</w:t>
            </w:r>
          </w:p>
        </w:tc>
        <w:tc>
          <w:tcPr>
            <w:tcW w:w="1659" w:type="dxa"/>
          </w:tcPr>
          <w:p w14:paraId="62F53BA6">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0.5% </w:t>
            </w:r>
          </w:p>
        </w:tc>
        <w:tc>
          <w:tcPr>
            <w:tcW w:w="1687" w:type="dxa"/>
          </w:tcPr>
          <w:p w14:paraId="32E32085">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0.25%</w:t>
            </w:r>
          </w:p>
        </w:tc>
        <w:tc>
          <w:tcPr>
            <w:tcW w:w="1659" w:type="dxa"/>
          </w:tcPr>
          <w:p w14:paraId="1ED412EA">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0.35% </w:t>
            </w:r>
          </w:p>
        </w:tc>
      </w:tr>
      <w:tr w14:paraId="1571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76C16F4">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5000万元～1亿元</w:t>
            </w:r>
          </w:p>
        </w:tc>
        <w:tc>
          <w:tcPr>
            <w:tcW w:w="1659" w:type="dxa"/>
          </w:tcPr>
          <w:p w14:paraId="620772CD">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 xml:space="preserve">0.25% </w:t>
            </w:r>
          </w:p>
        </w:tc>
        <w:tc>
          <w:tcPr>
            <w:tcW w:w="1687" w:type="dxa"/>
          </w:tcPr>
          <w:p w14:paraId="55A02522">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0.1%</w:t>
            </w:r>
          </w:p>
        </w:tc>
        <w:tc>
          <w:tcPr>
            <w:tcW w:w="1659" w:type="dxa"/>
          </w:tcPr>
          <w:p w14:paraId="662EAA51">
            <w:pPr>
              <w:ind w:firstLine="210" w:firstLineChars="100"/>
              <w:rPr>
                <w:rFonts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0.2%</w:t>
            </w:r>
          </w:p>
        </w:tc>
      </w:tr>
      <w:tr w14:paraId="1953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9CE0CCC">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1～5亿元</w:t>
            </w:r>
          </w:p>
        </w:tc>
        <w:tc>
          <w:tcPr>
            <w:tcW w:w="1659" w:type="dxa"/>
          </w:tcPr>
          <w:p w14:paraId="5652C849">
            <w:pPr>
              <w:ind w:firstLine="210" w:firstLineChars="1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0.05%</w:t>
            </w:r>
          </w:p>
        </w:tc>
        <w:tc>
          <w:tcPr>
            <w:tcW w:w="1687" w:type="dxa"/>
          </w:tcPr>
          <w:p w14:paraId="47DDECB4">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0.05%</w:t>
            </w:r>
          </w:p>
        </w:tc>
        <w:tc>
          <w:tcPr>
            <w:tcW w:w="1659" w:type="dxa"/>
          </w:tcPr>
          <w:p w14:paraId="2DE83351">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0.05%</w:t>
            </w:r>
          </w:p>
        </w:tc>
      </w:tr>
      <w:tr w14:paraId="7A1D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92A7613">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5～10亿元</w:t>
            </w:r>
          </w:p>
        </w:tc>
        <w:tc>
          <w:tcPr>
            <w:tcW w:w="1659" w:type="dxa"/>
          </w:tcPr>
          <w:p w14:paraId="1E7AEE63">
            <w:pPr>
              <w:ind w:firstLine="105" w:firstLineChars="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0.035%</w:t>
            </w:r>
          </w:p>
        </w:tc>
        <w:tc>
          <w:tcPr>
            <w:tcW w:w="1687" w:type="dxa"/>
          </w:tcPr>
          <w:p w14:paraId="4F49AD7C">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0.035%</w:t>
            </w:r>
          </w:p>
        </w:tc>
        <w:tc>
          <w:tcPr>
            <w:tcW w:w="1659" w:type="dxa"/>
          </w:tcPr>
          <w:p w14:paraId="01512CDC">
            <w:pPr>
              <w:ind w:firstLine="105" w:firstLineChars="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0.035%</w:t>
            </w:r>
          </w:p>
        </w:tc>
      </w:tr>
      <w:tr w14:paraId="22F4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97479CF">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10～50亿元</w:t>
            </w:r>
          </w:p>
        </w:tc>
        <w:tc>
          <w:tcPr>
            <w:tcW w:w="1659" w:type="dxa"/>
          </w:tcPr>
          <w:p w14:paraId="6D762BE8">
            <w:pPr>
              <w:ind w:firstLine="105" w:firstLineChars="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0.008%</w:t>
            </w:r>
          </w:p>
        </w:tc>
        <w:tc>
          <w:tcPr>
            <w:tcW w:w="1687" w:type="dxa"/>
          </w:tcPr>
          <w:p w14:paraId="5A004062">
            <w:pPr>
              <w:ind w:firstLine="210" w:firstLineChars="1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0.008%</w:t>
            </w:r>
          </w:p>
        </w:tc>
        <w:tc>
          <w:tcPr>
            <w:tcW w:w="1659" w:type="dxa"/>
          </w:tcPr>
          <w:p w14:paraId="1BCCEA52">
            <w:pPr>
              <w:ind w:firstLine="105" w:firstLineChars="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0.008%</w:t>
            </w:r>
          </w:p>
        </w:tc>
      </w:tr>
      <w:tr w14:paraId="787C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47A589D">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50～100亿元</w:t>
            </w:r>
          </w:p>
        </w:tc>
        <w:tc>
          <w:tcPr>
            <w:tcW w:w="1659" w:type="dxa"/>
          </w:tcPr>
          <w:p w14:paraId="77DFA5D6">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0.006%</w:t>
            </w:r>
          </w:p>
        </w:tc>
        <w:tc>
          <w:tcPr>
            <w:tcW w:w="1687" w:type="dxa"/>
          </w:tcPr>
          <w:p w14:paraId="58EC402F">
            <w:pPr>
              <w:ind w:firstLine="210" w:firstLineChars="1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0.006%</w:t>
            </w:r>
          </w:p>
        </w:tc>
        <w:tc>
          <w:tcPr>
            <w:tcW w:w="1659" w:type="dxa"/>
          </w:tcPr>
          <w:p w14:paraId="1786D4AD">
            <w:pPr>
              <w:ind w:firstLine="105" w:firstLineChars="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0.006%</w:t>
            </w:r>
          </w:p>
        </w:tc>
      </w:tr>
      <w:tr w14:paraId="1A34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947583E">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100亿以上</w:t>
            </w:r>
          </w:p>
        </w:tc>
        <w:tc>
          <w:tcPr>
            <w:tcW w:w="1659" w:type="dxa"/>
          </w:tcPr>
          <w:p w14:paraId="3FAE2305">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0.004%</w:t>
            </w:r>
          </w:p>
        </w:tc>
        <w:tc>
          <w:tcPr>
            <w:tcW w:w="1687" w:type="dxa"/>
          </w:tcPr>
          <w:p w14:paraId="1CF88EC0">
            <w:pPr>
              <w:ind w:firstLine="210" w:firstLineChars="1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0.004%</w:t>
            </w:r>
          </w:p>
        </w:tc>
        <w:tc>
          <w:tcPr>
            <w:tcW w:w="1659" w:type="dxa"/>
          </w:tcPr>
          <w:p w14:paraId="5E1348F5">
            <w:pPr>
              <w:ind w:firstLine="105" w:firstLineChars="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0.004%</w:t>
            </w:r>
          </w:p>
        </w:tc>
      </w:tr>
    </w:tbl>
    <w:p w14:paraId="44967B9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注:</w:t>
      </w:r>
    </w:p>
    <w:p w14:paraId="56F630A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（1）按本表费率计算的收费为采购代理的收费基准价格；</w:t>
      </w:r>
    </w:p>
    <w:p w14:paraId="52F8DE1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（2）采购代理收费按差额定率累进法计算。</w:t>
      </w:r>
    </w:p>
    <w:p w14:paraId="5C8F5EC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例如：某货物采购代理业务中标金额或者暂定价为200万元，计算采购代理收费额如下：</w:t>
      </w:r>
    </w:p>
    <w:p w14:paraId="2BD29D2F">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100 万元×l.5 ％＝ 1.5 万元</w:t>
      </w:r>
    </w:p>
    <w:p w14:paraId="427E28BE">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 200 － 100 ）万元 ×1.1％＝1.1万元</w:t>
      </w:r>
    </w:p>
    <w:p w14:paraId="24E0FF6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合计收费＝（1.5+1.1）*0.8＝ 2.08 （万元）</w:t>
      </w:r>
    </w:p>
    <w:p w14:paraId="40C39ED3">
      <w:pPr>
        <w:pStyle w:val="6"/>
        <w:keepNext w:val="0"/>
        <w:keepLines w:val="0"/>
        <w:spacing w:before="0" w:after="0" w:line="360" w:lineRule="auto"/>
        <w:ind w:left="420" w:left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40. 需要补充的其他内容</w:t>
      </w:r>
    </w:p>
    <w:p w14:paraId="23B36962">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40.1本招标文件解释规则详见“投标人须知前附表”。</w:t>
      </w:r>
    </w:p>
    <w:p w14:paraId="6871FBA7">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40.2 其他事项详见“投标人须知前附表”。</w:t>
      </w:r>
    </w:p>
    <w:p w14:paraId="39273FB1">
      <w:pPr>
        <w:pStyle w:val="14"/>
        <w:snapToGrid w:val="0"/>
        <w:spacing w:line="400" w:lineRule="exact"/>
        <w:ind w:left="1" w:firstLine="422"/>
        <w:rPr>
          <w:rFonts w:hAnsi="宋体" w:cs="宋体"/>
          <w:bCs/>
          <w:color w:val="auto"/>
          <w:kern w:val="2"/>
          <w:sz w:val="21"/>
          <w:highlight w:val="none"/>
        </w:rPr>
      </w:pPr>
      <w:bookmarkStart w:id="124" w:name="_Hlk65857140"/>
      <w:r>
        <w:rPr>
          <w:rFonts w:hint="eastAsia" w:hAnsi="宋体" w:cs="宋体"/>
          <w:bCs/>
          <w:color w:val="auto"/>
          <w:kern w:val="2"/>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34508C26">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（1）在货物采购项目中，货物由中小企业制造，即货物由中小企业生产且使用该中小企业商号或者注册商标，不对其中涉及的工程承建商和服务的承接商作出要求；</w:t>
      </w:r>
    </w:p>
    <w:p w14:paraId="6CC22CA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（2）在工程采购项目中，工程由中小企业承建，即工程施工单位为中小企业，不对其中涉及的货物的制造商和服务的承接商作出要求；</w:t>
      </w:r>
    </w:p>
    <w:p w14:paraId="6E3A2751">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E096AFB">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bookmarkEnd w:id="124"/>
    <w:p w14:paraId="00762E14">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依据本招标文件规定享受扶持政策获得政府采购合同的，小微企业不得将合同分包给大中型企业，中型企业不得将合同分包给大型企业。</w:t>
      </w:r>
    </w:p>
    <w:p w14:paraId="29D098C9">
      <w:pPr>
        <w:pStyle w:val="12"/>
        <w:ind w:left="479" w:leftChars="114" w:hanging="240" w:hangingChars="100"/>
        <w:rPr>
          <w:rFonts w:asciiTheme="minorEastAsia" w:hAnsiTheme="minorEastAsia" w:eastAsiaTheme="minorEastAsia"/>
          <w:color w:val="auto"/>
          <w:highlight w:val="none"/>
        </w:rPr>
      </w:pPr>
    </w:p>
    <w:p w14:paraId="221A38CB">
      <w:pPr>
        <w:pStyle w:val="14"/>
        <w:snapToGrid w:val="0"/>
        <w:spacing w:before="120" w:after="120"/>
        <w:ind w:firstLine="420"/>
        <w:rPr>
          <w:rFonts w:asciiTheme="minorEastAsia" w:hAnsiTheme="minorEastAsia" w:eastAsiaTheme="minorEastAsia"/>
          <w:color w:val="auto"/>
          <w:highlight w:val="none"/>
        </w:rPr>
      </w:pPr>
    </w:p>
    <w:p w14:paraId="5BC29655">
      <w:pPr>
        <w:pStyle w:val="14"/>
        <w:snapToGrid w:val="0"/>
        <w:spacing w:before="120" w:after="120"/>
        <w:ind w:firstLine="420"/>
        <w:rPr>
          <w:rFonts w:asciiTheme="minorEastAsia" w:hAnsiTheme="minorEastAsia" w:eastAsiaTheme="minorEastAsia"/>
          <w:color w:val="auto"/>
          <w:highlight w:val="none"/>
        </w:rPr>
      </w:pPr>
    </w:p>
    <w:p w14:paraId="4BB57E6C">
      <w:pPr>
        <w:pStyle w:val="14"/>
        <w:snapToGrid w:val="0"/>
        <w:spacing w:before="120" w:after="120"/>
        <w:ind w:firstLine="420"/>
        <w:rPr>
          <w:rFonts w:asciiTheme="minorEastAsia" w:hAnsiTheme="minorEastAsia" w:eastAsiaTheme="minorEastAsia"/>
          <w:color w:val="auto"/>
          <w:highlight w:val="none"/>
        </w:rPr>
      </w:pPr>
    </w:p>
    <w:p w14:paraId="13071B36">
      <w:pPr>
        <w:pStyle w:val="14"/>
        <w:snapToGrid w:val="0"/>
        <w:spacing w:before="120" w:after="120"/>
        <w:ind w:firstLine="420"/>
        <w:rPr>
          <w:rFonts w:asciiTheme="minorEastAsia" w:hAnsiTheme="minorEastAsia" w:eastAsiaTheme="minorEastAsia"/>
          <w:color w:val="auto"/>
          <w:highlight w:val="none"/>
        </w:rPr>
      </w:pPr>
    </w:p>
    <w:p w14:paraId="6CD72BB4">
      <w:pPr>
        <w:pStyle w:val="14"/>
        <w:snapToGrid w:val="0"/>
        <w:spacing w:before="120" w:after="120"/>
        <w:ind w:firstLine="420"/>
        <w:rPr>
          <w:rFonts w:asciiTheme="minorEastAsia" w:hAnsiTheme="minorEastAsia" w:eastAsiaTheme="minorEastAsia"/>
          <w:color w:val="auto"/>
          <w:highlight w:val="none"/>
        </w:rPr>
      </w:pPr>
    </w:p>
    <w:p w14:paraId="1B6A1E54">
      <w:pPr>
        <w:pStyle w:val="14"/>
        <w:snapToGrid w:val="0"/>
        <w:spacing w:before="120" w:after="120"/>
        <w:ind w:firstLine="420"/>
        <w:rPr>
          <w:rFonts w:asciiTheme="minorEastAsia" w:hAnsiTheme="minorEastAsia" w:eastAsiaTheme="minorEastAsia"/>
          <w:color w:val="auto"/>
          <w:highlight w:val="none"/>
        </w:rPr>
      </w:pPr>
    </w:p>
    <w:p w14:paraId="5F980F90">
      <w:pPr>
        <w:pStyle w:val="14"/>
        <w:snapToGrid w:val="0"/>
        <w:spacing w:before="120" w:after="120"/>
        <w:ind w:firstLine="420"/>
        <w:rPr>
          <w:rFonts w:asciiTheme="minorEastAsia" w:hAnsiTheme="minorEastAsia" w:eastAsiaTheme="minorEastAsia"/>
          <w:color w:val="auto"/>
          <w:highlight w:val="none"/>
        </w:rPr>
      </w:pPr>
    </w:p>
    <w:p w14:paraId="18936733">
      <w:pPr>
        <w:pStyle w:val="14"/>
        <w:snapToGrid w:val="0"/>
        <w:spacing w:before="120" w:after="120"/>
        <w:ind w:firstLine="420"/>
        <w:rPr>
          <w:rFonts w:asciiTheme="minorEastAsia" w:hAnsiTheme="minorEastAsia" w:eastAsiaTheme="minorEastAsia"/>
          <w:color w:val="auto"/>
          <w:highlight w:val="none"/>
        </w:rPr>
      </w:pPr>
    </w:p>
    <w:p w14:paraId="674B2840">
      <w:pPr>
        <w:pStyle w:val="14"/>
        <w:snapToGrid w:val="0"/>
        <w:spacing w:before="120" w:after="120"/>
        <w:ind w:firstLine="420"/>
        <w:rPr>
          <w:rFonts w:asciiTheme="minorEastAsia" w:hAnsiTheme="minorEastAsia" w:eastAsiaTheme="minorEastAsia"/>
          <w:color w:val="auto"/>
          <w:highlight w:val="none"/>
        </w:rPr>
      </w:pPr>
    </w:p>
    <w:p w14:paraId="3821BCDD">
      <w:pPr>
        <w:pStyle w:val="14"/>
        <w:snapToGrid w:val="0"/>
        <w:spacing w:before="120" w:after="120"/>
        <w:ind w:firstLine="420"/>
        <w:rPr>
          <w:rFonts w:asciiTheme="minorEastAsia" w:hAnsiTheme="minorEastAsia" w:eastAsiaTheme="minorEastAsia"/>
          <w:color w:val="auto"/>
          <w:highlight w:val="none"/>
        </w:rPr>
      </w:pPr>
    </w:p>
    <w:p w14:paraId="312E1F88">
      <w:pPr>
        <w:pStyle w:val="14"/>
        <w:snapToGrid w:val="0"/>
        <w:spacing w:before="120" w:after="120"/>
        <w:ind w:firstLine="420"/>
        <w:rPr>
          <w:rFonts w:asciiTheme="minorEastAsia" w:hAnsiTheme="minorEastAsia" w:eastAsiaTheme="minorEastAsia"/>
          <w:color w:val="auto"/>
          <w:highlight w:val="none"/>
        </w:rPr>
      </w:pPr>
    </w:p>
    <w:p w14:paraId="082D73C9">
      <w:pPr>
        <w:pStyle w:val="14"/>
        <w:snapToGrid w:val="0"/>
        <w:spacing w:before="120" w:after="120"/>
        <w:ind w:firstLine="420"/>
        <w:rPr>
          <w:rFonts w:asciiTheme="minorEastAsia" w:hAnsiTheme="minorEastAsia" w:eastAsiaTheme="minorEastAsia"/>
          <w:color w:val="auto"/>
          <w:highlight w:val="none"/>
        </w:rPr>
      </w:pPr>
    </w:p>
    <w:p w14:paraId="77E5467B">
      <w:pPr>
        <w:pStyle w:val="14"/>
        <w:snapToGrid w:val="0"/>
        <w:spacing w:before="120" w:after="120"/>
        <w:ind w:firstLine="420"/>
        <w:rPr>
          <w:rFonts w:asciiTheme="minorEastAsia" w:hAnsiTheme="minorEastAsia" w:eastAsiaTheme="minorEastAsia"/>
          <w:color w:val="auto"/>
          <w:highlight w:val="none"/>
        </w:rPr>
      </w:pPr>
    </w:p>
    <w:p w14:paraId="5640406C">
      <w:pPr>
        <w:rPr>
          <w:rFonts w:asciiTheme="minorEastAsia" w:hAnsiTheme="minorEastAsia" w:eastAsiaTheme="minorEastAsia"/>
          <w:color w:val="auto"/>
          <w:highlight w:val="none"/>
        </w:rPr>
      </w:pPr>
      <w:bookmarkStart w:id="125" w:name="_Toc330456896"/>
      <w:bookmarkEnd w:id="125"/>
      <w:bookmarkStart w:id="126" w:name="_Toc74320803"/>
      <w:bookmarkEnd w:id="126"/>
      <w:bookmarkStart w:id="127" w:name="_Toc254970548"/>
      <w:bookmarkEnd w:id="127"/>
      <w:bookmarkStart w:id="128" w:name="_Toc254970689"/>
      <w:bookmarkEnd w:id="128"/>
      <w:r>
        <w:rPr>
          <w:rFonts w:hint="eastAsia" w:asciiTheme="minorEastAsia" w:hAnsiTheme="minorEastAsia" w:eastAsiaTheme="minorEastAsia"/>
          <w:color w:val="auto"/>
          <w:highlight w:val="none"/>
        </w:rPr>
        <w:br w:type="page"/>
      </w:r>
    </w:p>
    <w:p w14:paraId="7C107EFD">
      <w:pPr>
        <w:pStyle w:val="2"/>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第四章  评标方法及评标标准</w:t>
      </w:r>
    </w:p>
    <w:p w14:paraId="618DDD2F">
      <w:pPr>
        <w:pStyle w:val="14"/>
        <w:spacing w:before="120" w:after="120"/>
        <w:ind w:firstLine="422"/>
        <w:rPr>
          <w:rFonts w:asciiTheme="minorEastAsia" w:hAnsiTheme="minorEastAsia" w:eastAsiaTheme="minorEastAsia"/>
          <w:b/>
          <w:color w:val="auto"/>
          <w:highlight w:val="none"/>
        </w:rPr>
      </w:pPr>
    </w:p>
    <w:p w14:paraId="78445415">
      <w:pPr>
        <w:pStyle w:val="14"/>
        <w:spacing w:before="120" w:after="120"/>
        <w:ind w:firstLine="640"/>
        <w:rPr>
          <w:rFonts w:asciiTheme="minorEastAsia" w:hAnsiTheme="minorEastAsia" w:eastAsiaTheme="minorEastAsia"/>
          <w:bCs/>
          <w:color w:val="auto"/>
          <w:sz w:val="32"/>
          <w:szCs w:val="32"/>
          <w:highlight w:val="none"/>
        </w:rPr>
      </w:pPr>
    </w:p>
    <w:p w14:paraId="3221474C">
      <w:pPr>
        <w:pStyle w:val="14"/>
        <w:spacing w:before="120" w:after="120"/>
        <w:ind w:firstLine="640"/>
        <w:rPr>
          <w:rFonts w:asciiTheme="minorEastAsia" w:hAnsiTheme="minorEastAsia" w:eastAsiaTheme="minorEastAsia"/>
          <w:bCs/>
          <w:color w:val="auto"/>
          <w:sz w:val="32"/>
          <w:szCs w:val="32"/>
          <w:highlight w:val="none"/>
        </w:rPr>
      </w:pPr>
    </w:p>
    <w:p w14:paraId="71BB91CD">
      <w:pPr>
        <w:pStyle w:val="14"/>
        <w:spacing w:before="120" w:after="120"/>
        <w:ind w:firstLine="640"/>
        <w:rPr>
          <w:rFonts w:asciiTheme="minorEastAsia" w:hAnsiTheme="minorEastAsia" w:eastAsiaTheme="minorEastAsia"/>
          <w:bCs/>
          <w:color w:val="auto"/>
          <w:sz w:val="32"/>
          <w:szCs w:val="32"/>
          <w:highlight w:val="none"/>
        </w:rPr>
      </w:pPr>
    </w:p>
    <w:p w14:paraId="6CA9E0CE">
      <w:pPr>
        <w:spacing w:beforeLines="50" w:afterLines="50" w:line="400" w:lineRule="exact"/>
        <w:rPr>
          <w:rFonts w:asciiTheme="minorEastAsia" w:hAnsiTheme="minorEastAsia" w:eastAsiaTheme="minorEastAsia"/>
          <w:b/>
          <w:color w:val="auto"/>
          <w:sz w:val="24"/>
          <w:highlight w:val="none"/>
        </w:rPr>
      </w:pPr>
    </w:p>
    <w:p w14:paraId="2E773E98">
      <w:pPr>
        <w:spacing w:beforeLines="50" w:afterLines="50" w:line="400" w:lineRule="exact"/>
        <w:rPr>
          <w:rFonts w:asciiTheme="minorEastAsia" w:hAnsiTheme="minorEastAsia" w:eastAsiaTheme="minorEastAsia"/>
          <w:b/>
          <w:color w:val="auto"/>
          <w:sz w:val="24"/>
          <w:highlight w:val="none"/>
        </w:rPr>
      </w:pPr>
    </w:p>
    <w:p w14:paraId="4EAEDA4C">
      <w:pPr>
        <w:spacing w:beforeLines="50" w:afterLines="50" w:line="400" w:lineRule="exact"/>
        <w:rPr>
          <w:rFonts w:asciiTheme="minorEastAsia" w:hAnsiTheme="minorEastAsia" w:eastAsiaTheme="minorEastAsia"/>
          <w:b/>
          <w:color w:val="auto"/>
          <w:sz w:val="24"/>
          <w:highlight w:val="none"/>
        </w:rPr>
      </w:pPr>
    </w:p>
    <w:p w14:paraId="6D0A1298">
      <w:pPr>
        <w:spacing w:beforeLines="50" w:afterLines="50" w:line="400" w:lineRule="exact"/>
        <w:rPr>
          <w:rFonts w:asciiTheme="minorEastAsia" w:hAnsiTheme="minorEastAsia" w:eastAsiaTheme="minorEastAsia"/>
          <w:b/>
          <w:color w:val="auto"/>
          <w:sz w:val="24"/>
          <w:highlight w:val="none"/>
        </w:rPr>
      </w:pPr>
    </w:p>
    <w:p w14:paraId="022961A2">
      <w:pPr>
        <w:pStyle w:val="14"/>
        <w:spacing w:line="360" w:lineRule="exact"/>
        <w:ind w:firstLine="482"/>
        <w:rPr>
          <w:rFonts w:asciiTheme="minorEastAsia" w:hAnsiTheme="minorEastAsia" w:eastAsiaTheme="minorEastAsia"/>
          <w:b/>
          <w:color w:val="auto"/>
          <w:sz w:val="24"/>
          <w:highlight w:val="none"/>
        </w:rPr>
      </w:pPr>
    </w:p>
    <w:p w14:paraId="213892A3">
      <w:pPr>
        <w:pStyle w:val="4"/>
        <w:keepNext w:val="0"/>
        <w:keepLines w:val="0"/>
        <w:jc w:val="center"/>
        <w:rPr>
          <w:rFonts w:asciiTheme="minorEastAsia" w:hAnsiTheme="minorEastAsia" w:eastAsiaTheme="minorEastAsia"/>
          <w:color w:val="auto"/>
          <w:sz w:val="30"/>
          <w:szCs w:val="30"/>
          <w:highlight w:val="none"/>
        </w:rPr>
      </w:pPr>
      <w:r>
        <w:rPr>
          <w:rFonts w:asciiTheme="minorEastAsia" w:hAnsiTheme="minorEastAsia" w:eastAsiaTheme="minorEastAsia"/>
          <w:color w:val="auto"/>
          <w:sz w:val="30"/>
          <w:szCs w:val="30"/>
          <w:highlight w:val="none"/>
        </w:rPr>
        <w:br w:type="page"/>
      </w:r>
      <w:r>
        <w:rPr>
          <w:rFonts w:hint="eastAsia" w:asciiTheme="minorEastAsia" w:hAnsiTheme="minorEastAsia" w:eastAsiaTheme="minorEastAsia"/>
          <w:color w:val="auto"/>
          <w:sz w:val="30"/>
          <w:szCs w:val="30"/>
          <w:highlight w:val="none"/>
        </w:rPr>
        <w:t>一、评标方法</w:t>
      </w:r>
    </w:p>
    <w:p w14:paraId="3561073C">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综合评分法，是指投标文件满足招标文件全部实质性要求，且按照评审因素的量化指标评审得分最高的投标人为中标候选人的评标方法。</w:t>
      </w:r>
    </w:p>
    <w:p w14:paraId="1E7C56ED">
      <w:pPr>
        <w:pStyle w:val="4"/>
        <w:keepNext w:val="0"/>
        <w:keepLines w:val="0"/>
        <w:jc w:val="center"/>
        <w:rPr>
          <w:rFonts w:asciiTheme="minorEastAsia" w:hAnsiTheme="minorEastAsia" w:eastAsiaTheme="minorEastAsia"/>
          <w:color w:val="auto"/>
          <w:sz w:val="30"/>
          <w:szCs w:val="30"/>
          <w:highlight w:val="none"/>
        </w:rPr>
      </w:pPr>
      <w:r>
        <w:rPr>
          <w:rFonts w:asciiTheme="minorEastAsia" w:hAnsiTheme="minorEastAsia" w:eastAsiaTheme="minorEastAsia"/>
          <w:color w:val="auto"/>
          <w:sz w:val="30"/>
          <w:szCs w:val="30"/>
          <w:highlight w:val="none"/>
        </w:rPr>
        <w:br w:type="page"/>
      </w:r>
      <w:r>
        <w:rPr>
          <w:rFonts w:hint="eastAsia" w:asciiTheme="minorEastAsia" w:hAnsiTheme="minorEastAsia" w:eastAsiaTheme="minorEastAsia"/>
          <w:color w:val="auto"/>
          <w:sz w:val="30"/>
          <w:szCs w:val="30"/>
          <w:highlight w:val="none"/>
        </w:rPr>
        <w:t>二、评标程序</w:t>
      </w:r>
    </w:p>
    <w:p w14:paraId="6305A95B">
      <w:pPr>
        <w:pStyle w:val="6"/>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1.符合性审查</w:t>
      </w:r>
    </w:p>
    <w:p w14:paraId="1C58B03A">
      <w:pPr>
        <w:pStyle w:val="14"/>
        <w:snapToGrid w:val="0"/>
        <w:spacing w:line="400" w:lineRule="exact"/>
        <w:ind w:left="1" w:firstLine="422"/>
        <w:rPr>
          <w:rFonts w:hAnsi="宋体" w:cs="宋体"/>
          <w:bCs/>
          <w:color w:val="auto"/>
          <w:kern w:val="2"/>
          <w:sz w:val="21"/>
          <w:highlight w:val="none"/>
        </w:rPr>
      </w:pPr>
      <w:r>
        <w:rPr>
          <w:rFonts w:hint="eastAsia" w:hAnsi="宋体" w:cs="宋体"/>
          <w:bCs/>
          <w:color w:val="auto"/>
          <w:kern w:val="2"/>
          <w:sz w:val="21"/>
          <w:highlight w:val="none"/>
        </w:rPr>
        <w:t>评标委员会应当对符合资格的投标人的投标文件进行投标报价、商务、技术等实质性内容符合性审查，以确定其是否满足招标文件的实质性要求。</w:t>
      </w:r>
    </w:p>
    <w:p w14:paraId="527256F0">
      <w:pPr>
        <w:pStyle w:val="6"/>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2.符合性审查不通过而导致投标无效的情形</w:t>
      </w:r>
    </w:p>
    <w:p w14:paraId="54A95C10">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投标人的投标文件中存在对招标文件的任何实质性要求和条件的负偏离，将被视为投标无效。</w:t>
      </w:r>
    </w:p>
    <w:p w14:paraId="15D2EB2F">
      <w:pPr>
        <w:pStyle w:val="6"/>
        <w:keepNext w:val="0"/>
        <w:keepLines w:val="0"/>
        <w:spacing w:before="0" w:after="0" w:line="400" w:lineRule="exact"/>
        <w:ind w:left="420" w:leftChars="20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2.1在报价评审时，如发现下列情形之一的，将被视为投标无效：</w:t>
      </w:r>
    </w:p>
    <w:p w14:paraId="385BA9E4">
      <w:pPr>
        <w:pStyle w:val="8"/>
        <w:numPr>
          <w:ilvl w:val="0"/>
          <w:numId w:val="3"/>
        </w:numPr>
        <w:spacing w:line="400" w:lineRule="exact"/>
        <w:ind w:firstLine="422"/>
        <w:rPr>
          <w:rFonts w:ascii="宋体" w:hAnsi="宋体" w:cs="宋体"/>
          <w:bCs/>
          <w:color w:val="auto"/>
          <w:szCs w:val="21"/>
          <w:highlight w:val="none"/>
        </w:rPr>
      </w:pPr>
      <w:r>
        <w:rPr>
          <w:rFonts w:hint="eastAsia" w:ascii="宋体" w:hAnsi="宋体" w:cs="宋体"/>
          <w:bCs/>
          <w:color w:val="auto"/>
          <w:spacing w:val="-6"/>
          <w:szCs w:val="21"/>
          <w:highlight w:val="none"/>
        </w:rPr>
        <w:t>报价文件</w:t>
      </w:r>
      <w:r>
        <w:rPr>
          <w:rFonts w:hint="eastAsia" w:ascii="宋体" w:hAnsi="宋体" w:cs="宋体"/>
          <w:bCs/>
          <w:color w:val="auto"/>
          <w:szCs w:val="21"/>
          <w:highlight w:val="none"/>
        </w:rPr>
        <w:t>未提供“投标人须知前附表”第13.1条规定中“必须提供”的文件资料的；</w:t>
      </w:r>
    </w:p>
    <w:p w14:paraId="1536250A">
      <w:pPr>
        <w:pStyle w:val="8"/>
        <w:numPr>
          <w:ilvl w:val="0"/>
          <w:numId w:val="3"/>
        </w:numPr>
        <w:spacing w:line="400" w:lineRule="exact"/>
        <w:ind w:firstLine="422"/>
        <w:outlineLvl w:val="4"/>
        <w:rPr>
          <w:rFonts w:ascii="宋体" w:hAnsi="宋体" w:cs="宋体"/>
          <w:bCs/>
          <w:color w:val="auto"/>
          <w:szCs w:val="21"/>
          <w:highlight w:val="none"/>
        </w:rPr>
      </w:pPr>
      <w:r>
        <w:rPr>
          <w:rFonts w:hint="eastAsia" w:ascii="宋体" w:hAnsi="宋体" w:cs="宋体"/>
          <w:bCs/>
          <w:color w:val="auto"/>
          <w:szCs w:val="21"/>
          <w:highlight w:val="none"/>
        </w:rPr>
        <w:t>未采用人民币报价或者未按照招标文件标明的币种报价的；</w:t>
      </w:r>
    </w:p>
    <w:p w14:paraId="0DDEE4F5">
      <w:pPr>
        <w:pStyle w:val="8"/>
        <w:numPr>
          <w:ilvl w:val="0"/>
          <w:numId w:val="3"/>
        </w:numPr>
        <w:spacing w:line="400" w:lineRule="exact"/>
        <w:ind w:firstLine="422"/>
        <w:rPr>
          <w:rFonts w:ascii="宋体" w:hAnsi="宋体" w:cs="宋体"/>
          <w:bCs/>
          <w:color w:val="auto"/>
          <w:szCs w:val="21"/>
          <w:highlight w:val="none"/>
        </w:rPr>
      </w:pPr>
      <w:r>
        <w:rPr>
          <w:rFonts w:hint="eastAsia" w:ascii="宋体" w:hAnsi="宋体" w:cs="宋体"/>
          <w:bCs/>
          <w:color w:val="auto"/>
          <w:szCs w:val="21"/>
          <w:highlight w:val="none"/>
        </w:rPr>
        <w:t>各分标报价超出招标文件相应分标规定最高限价，或者超出相应分标采购预算金额的；</w:t>
      </w:r>
    </w:p>
    <w:p w14:paraId="1038FE68">
      <w:pPr>
        <w:pStyle w:val="8"/>
        <w:numPr>
          <w:ilvl w:val="0"/>
          <w:numId w:val="3"/>
        </w:numPr>
        <w:spacing w:line="400" w:lineRule="exact"/>
        <w:ind w:firstLine="422"/>
        <w:rPr>
          <w:rFonts w:ascii="宋体" w:hAnsi="宋体" w:cs="宋体"/>
          <w:bCs/>
          <w:color w:val="auto"/>
          <w:szCs w:val="21"/>
          <w:highlight w:val="none"/>
        </w:rPr>
      </w:pPr>
      <w:r>
        <w:rPr>
          <w:rFonts w:hint="eastAsia" w:ascii="宋体" w:hAnsi="宋体" w:cs="宋体"/>
          <w:bCs/>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4182F804">
      <w:pPr>
        <w:pStyle w:val="8"/>
        <w:numPr>
          <w:ilvl w:val="0"/>
          <w:numId w:val="3"/>
        </w:numPr>
        <w:spacing w:line="400" w:lineRule="exact"/>
        <w:ind w:firstLine="422"/>
        <w:outlineLvl w:val="4"/>
        <w:rPr>
          <w:rFonts w:ascii="宋体" w:hAnsi="宋体" w:cs="宋体"/>
          <w:bCs/>
          <w:color w:val="auto"/>
          <w:szCs w:val="21"/>
          <w:highlight w:val="none"/>
        </w:rPr>
      </w:pPr>
      <w:r>
        <w:rPr>
          <w:rFonts w:hint="eastAsia" w:ascii="宋体" w:hAnsi="宋体" w:cs="宋体"/>
          <w:bCs/>
          <w:color w:val="auto"/>
          <w:szCs w:val="21"/>
          <w:highlight w:val="none"/>
        </w:rPr>
        <w:t>修正后的报价，投标人不确认的；</w:t>
      </w:r>
    </w:p>
    <w:p w14:paraId="430092D7">
      <w:pPr>
        <w:pStyle w:val="8"/>
        <w:numPr>
          <w:ilvl w:val="0"/>
          <w:numId w:val="3"/>
        </w:numPr>
        <w:spacing w:line="400" w:lineRule="exact"/>
        <w:ind w:firstLine="422"/>
        <w:rPr>
          <w:rFonts w:ascii="宋体" w:hAnsi="宋体" w:cs="宋体"/>
          <w:bCs/>
          <w:color w:val="auto"/>
          <w:szCs w:val="21"/>
          <w:highlight w:val="none"/>
        </w:rPr>
      </w:pPr>
      <w:r>
        <w:rPr>
          <w:rFonts w:hint="eastAsia" w:ascii="宋体" w:hAnsi="宋体" w:cs="宋体"/>
          <w:bCs/>
          <w:color w:val="auto"/>
          <w:szCs w:val="21"/>
          <w:highlight w:val="none"/>
        </w:rPr>
        <w:t>投标人属于本章第5.1条（2）或者第5.2条（2）项情形的；</w:t>
      </w:r>
    </w:p>
    <w:p w14:paraId="39FAF4C7">
      <w:pPr>
        <w:pStyle w:val="8"/>
        <w:numPr>
          <w:ilvl w:val="0"/>
          <w:numId w:val="3"/>
        </w:numPr>
        <w:spacing w:line="400" w:lineRule="exact"/>
        <w:ind w:firstLine="422"/>
        <w:rPr>
          <w:rFonts w:ascii="宋体" w:hAnsi="宋体" w:cs="宋体"/>
          <w:bCs/>
          <w:color w:val="auto"/>
          <w:szCs w:val="21"/>
          <w:highlight w:val="none"/>
        </w:rPr>
      </w:pPr>
      <w:r>
        <w:rPr>
          <w:rFonts w:hint="eastAsia" w:ascii="宋体" w:hAnsi="宋体" w:cs="宋体"/>
          <w:bCs/>
          <w:color w:val="auto"/>
          <w:spacing w:val="-6"/>
          <w:szCs w:val="21"/>
          <w:highlight w:val="none"/>
        </w:rPr>
        <w:t>报价文件</w:t>
      </w:r>
      <w:r>
        <w:rPr>
          <w:rFonts w:hint="eastAsia" w:ascii="宋体" w:hAnsi="宋体" w:cs="宋体"/>
          <w:bCs/>
          <w:color w:val="auto"/>
          <w:szCs w:val="21"/>
          <w:highlight w:val="none"/>
        </w:rPr>
        <w:t>响应的标的数量及单位与招标文件要求实质性不一致的。</w:t>
      </w:r>
    </w:p>
    <w:p w14:paraId="019D915A">
      <w:pPr>
        <w:pStyle w:val="6"/>
        <w:keepNext w:val="0"/>
        <w:keepLines w:val="0"/>
        <w:spacing w:before="0" w:after="0" w:line="400" w:lineRule="exact"/>
        <w:ind w:left="420" w:leftChars="20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2.2在商务评审时，如发现下列情形之一的，将被视为投标无效：</w:t>
      </w:r>
    </w:p>
    <w:p w14:paraId="326A82C5">
      <w:pPr>
        <w:numPr>
          <w:ilvl w:val="0"/>
          <w:numId w:val="4"/>
        </w:numPr>
        <w:snapToGrid w:val="0"/>
        <w:spacing w:line="400" w:lineRule="exact"/>
        <w:ind w:firstLine="420" w:firstLineChars="200"/>
        <w:outlineLvl w:val="4"/>
        <w:rPr>
          <w:rFonts w:ascii="宋体" w:hAnsi="宋体" w:cs="宋体"/>
          <w:bCs/>
          <w:color w:val="auto"/>
          <w:szCs w:val="21"/>
          <w:highlight w:val="none"/>
        </w:rPr>
      </w:pPr>
      <w:r>
        <w:rPr>
          <w:rFonts w:hint="eastAsia" w:ascii="宋体" w:hAnsi="宋体" w:cs="宋体"/>
          <w:bCs/>
          <w:color w:val="auto"/>
          <w:szCs w:val="21"/>
          <w:highlight w:val="none"/>
        </w:rPr>
        <w:t>投标文件未按招标文件要求签署、盖章的；</w:t>
      </w:r>
    </w:p>
    <w:p w14:paraId="3036E1BE">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委托代理人未能出具有效身份证或者出具的身份证与授权委托书中的信息不符的；</w:t>
      </w:r>
    </w:p>
    <w:p w14:paraId="0AF446D7">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为无效投标保证金的或者未按照招标文件的规定提交投标保证金的；</w:t>
      </w:r>
    </w:p>
    <w:p w14:paraId="441950EA">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投标文件未提供“投标人须知前附表”第13.1条规定中“必须提供”或者“委托时必须提供”的文件资料的；</w:t>
      </w:r>
    </w:p>
    <w:p w14:paraId="4A942453">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商务要求评审允许负偏离的条款数超过“投标人须知前附表”规定项数的；</w:t>
      </w:r>
    </w:p>
    <w:p w14:paraId="45A9B29D">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投标文件的实质性内容未使用中文表述、使用计量单位不符合招标文件要求的；</w:t>
      </w:r>
    </w:p>
    <w:p w14:paraId="6CE44B04">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投标文件中的文件资料因填写不齐全或者内容虚假或者出现其他情形而导致被评标委员会认定无效的；</w:t>
      </w:r>
    </w:p>
    <w:p w14:paraId="21B88DA5">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投标文件含有采购人不能接受的附加条件的；</w:t>
      </w:r>
    </w:p>
    <w:p w14:paraId="717E419B">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属于投标人须知正文第9.2条情形的；</w:t>
      </w:r>
    </w:p>
    <w:p w14:paraId="37193E34">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投标文件标注的项目名称或者项目编号与招标文件标注的项目名称或者项目编号不一致的；</w:t>
      </w:r>
    </w:p>
    <w:p w14:paraId="68DF2F0C">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招标文件明确不允许分包，投标文件拟分包的；</w:t>
      </w:r>
    </w:p>
    <w:p w14:paraId="0D103CEE">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未响应招标文件实质性要求的；</w:t>
      </w:r>
    </w:p>
    <w:p w14:paraId="7FA420AE">
      <w:pPr>
        <w:numPr>
          <w:ilvl w:val="0"/>
          <w:numId w:val="4"/>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法律、法规和招标文件规定的其他无效情形。</w:t>
      </w:r>
    </w:p>
    <w:p w14:paraId="212BBA41">
      <w:pPr>
        <w:pStyle w:val="6"/>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2.3在技术评审时，如发现下列情形之一的，将被视为投标无效：</w:t>
      </w:r>
    </w:p>
    <w:p w14:paraId="55A8315F">
      <w:pPr>
        <w:pStyle w:val="13"/>
        <w:snapToGrid w:val="0"/>
        <w:spacing w:line="400" w:lineRule="exact"/>
        <w:ind w:firstLine="411" w:firstLineChars="196"/>
        <w:rPr>
          <w:rFonts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（1）技术要求评审允许负偏离的条款数超过“投标人须知前附表”规定项数的；</w:t>
      </w:r>
    </w:p>
    <w:p w14:paraId="371C0AE7">
      <w:pPr>
        <w:pStyle w:val="13"/>
        <w:snapToGrid w:val="0"/>
        <w:spacing w:line="400" w:lineRule="exact"/>
        <w:ind w:firstLine="411" w:firstLineChars="196"/>
        <w:rPr>
          <w:rFonts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（2）投标文件未提供“投标人须知前附表”第13.1条规定中“必须提供”的文件资料的；</w:t>
      </w:r>
    </w:p>
    <w:p w14:paraId="5C1AB517">
      <w:pPr>
        <w:pStyle w:val="13"/>
        <w:snapToGrid w:val="0"/>
        <w:spacing w:line="400" w:lineRule="exact"/>
        <w:ind w:firstLine="411" w:firstLineChars="196"/>
        <w:rPr>
          <w:rFonts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（3）虚假投标，或者出现其他情形而导致被评标委员会认定无效的；</w:t>
      </w:r>
    </w:p>
    <w:p w14:paraId="47C250F4">
      <w:pPr>
        <w:pStyle w:val="13"/>
        <w:snapToGrid w:val="0"/>
        <w:spacing w:line="400" w:lineRule="exact"/>
        <w:ind w:firstLine="411" w:firstLineChars="196"/>
        <w:rPr>
          <w:rFonts w:ascii="宋体" w:hAnsi="宋体" w:eastAsia="宋体" w:cs="宋体"/>
          <w:bCs/>
          <w:color w:val="auto"/>
          <w:kern w:val="2"/>
          <w:sz w:val="21"/>
          <w:szCs w:val="21"/>
          <w:highlight w:val="none"/>
        </w:rPr>
      </w:pPr>
      <w:bookmarkStart w:id="129" w:name="_Hlk71706244"/>
      <w:bookmarkEnd w:id="129"/>
      <w:r>
        <w:rPr>
          <w:rFonts w:hint="eastAsia" w:ascii="宋体" w:hAnsi="宋体" w:eastAsia="宋体" w:cs="宋体"/>
          <w:bCs/>
          <w:color w:val="auto"/>
          <w:kern w:val="2"/>
          <w:sz w:val="21"/>
          <w:szCs w:val="21"/>
          <w:highlight w:val="none"/>
        </w:rPr>
        <w:t>（4）招标文件未载明允许提供备选（替代）投标方案或明确不允许提供备选（替代）投标方案时，投标人提供了备选（替代）投标方案的；</w:t>
      </w:r>
    </w:p>
    <w:p w14:paraId="7E3B4749">
      <w:pPr>
        <w:pStyle w:val="13"/>
        <w:snapToGrid w:val="0"/>
        <w:spacing w:line="400" w:lineRule="exact"/>
        <w:ind w:firstLine="411" w:firstLineChars="196"/>
        <w:outlineLvl w:val="4"/>
        <w:rPr>
          <w:rFonts w:ascii="宋体" w:hAnsi="宋体" w:eastAsia="宋体" w:cs="宋体"/>
          <w:b/>
          <w:color w:val="auto"/>
          <w:kern w:val="2"/>
          <w:sz w:val="21"/>
          <w:szCs w:val="21"/>
          <w:highlight w:val="none"/>
        </w:rPr>
      </w:pPr>
      <w:r>
        <w:rPr>
          <w:rFonts w:hint="eastAsia" w:ascii="宋体" w:hAnsi="宋体" w:eastAsia="宋体" w:cs="宋体"/>
          <w:bCs/>
          <w:color w:val="auto"/>
          <w:kern w:val="2"/>
          <w:sz w:val="21"/>
          <w:szCs w:val="21"/>
          <w:highlight w:val="none"/>
        </w:rPr>
        <w:t>（5）未响应招标文件实质性要求的。</w:t>
      </w:r>
    </w:p>
    <w:p w14:paraId="16DE3A96">
      <w:pPr>
        <w:pStyle w:val="6"/>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3.澄清补正</w:t>
      </w:r>
    </w:p>
    <w:p w14:paraId="47FEC463">
      <w:pPr>
        <w:spacing w:line="40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平台发布电子澄清函，要求投标人在规定时间内作出必要的澄清、说明或者补正。投标人在”广西政府采购云平台”平台接收到电子澄清函后根据澄清函内容上传PDF格式回函，电子澄清答复函使用CA证书加盖单位公章后在线上传至评标委员会。投标人的澄清、说明或者补正不得超出投标文件的范围或者改变投标文件的实质性内容。</w:t>
      </w:r>
    </w:p>
    <w:p w14:paraId="56556AF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7D85E6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未按评标委员会的要求作出明确澄清、说明或者更正的投标人的投标文件将按照有利于采购人的原则由评标委员会进行判定。</w:t>
      </w:r>
    </w:p>
    <w:p w14:paraId="5D2C15D1">
      <w:pPr>
        <w:pStyle w:val="6"/>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4.投标文件修正</w:t>
      </w:r>
    </w:p>
    <w:p w14:paraId="3AEECF61">
      <w:pPr>
        <w:pStyle w:val="6"/>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4.1投标文件报价出现前后不一致的，按照下列规定修正： </w:t>
      </w:r>
    </w:p>
    <w:p w14:paraId="69878F76">
      <w:pPr>
        <w:pStyle w:val="14"/>
        <w:snapToGrid w:val="0"/>
        <w:spacing w:line="400" w:lineRule="exact"/>
        <w:ind w:firstLine="420" w:firstLineChars="200"/>
        <w:rPr>
          <w:rFonts w:hAnsi="宋体" w:cs="宋体"/>
          <w:color w:val="auto"/>
          <w:sz w:val="21"/>
          <w:highlight w:val="none"/>
        </w:rPr>
      </w:pPr>
      <w:r>
        <w:rPr>
          <w:rFonts w:hint="eastAsia" w:hAnsi="宋体" w:cs="宋体"/>
          <w:color w:val="auto"/>
          <w:sz w:val="21"/>
          <w:highlight w:val="none"/>
        </w:rPr>
        <w:t>（1）投标文件中开标一览表（报价表）内容与投标文件中相应内容不一致的，以开标一览表（报价表）为准；</w:t>
      </w:r>
    </w:p>
    <w:p w14:paraId="4D746525">
      <w:pPr>
        <w:pStyle w:val="14"/>
        <w:snapToGrid w:val="0"/>
        <w:spacing w:line="400" w:lineRule="exact"/>
        <w:ind w:firstLine="420" w:firstLineChars="200"/>
        <w:outlineLvl w:val="4"/>
        <w:rPr>
          <w:rFonts w:hAnsi="宋体" w:cs="宋体"/>
          <w:color w:val="auto"/>
          <w:sz w:val="21"/>
          <w:highlight w:val="none"/>
        </w:rPr>
      </w:pPr>
      <w:r>
        <w:rPr>
          <w:rFonts w:hint="eastAsia" w:hAnsi="宋体" w:cs="宋体"/>
          <w:color w:val="auto"/>
          <w:sz w:val="21"/>
          <w:highlight w:val="none"/>
        </w:rPr>
        <w:t>（2）大写金额和小写金额不一致的，以大写金额为准；</w:t>
      </w:r>
    </w:p>
    <w:p w14:paraId="46B355C1">
      <w:pPr>
        <w:pStyle w:val="14"/>
        <w:snapToGrid w:val="0"/>
        <w:spacing w:line="400" w:lineRule="exact"/>
        <w:ind w:firstLine="420" w:firstLineChars="200"/>
        <w:rPr>
          <w:rFonts w:hAnsi="宋体" w:cs="宋体"/>
          <w:color w:val="auto"/>
          <w:sz w:val="21"/>
          <w:highlight w:val="none"/>
        </w:rPr>
      </w:pPr>
      <w:r>
        <w:rPr>
          <w:rFonts w:hint="eastAsia" w:hAnsi="宋体" w:cs="宋体"/>
          <w:color w:val="auto"/>
          <w:sz w:val="21"/>
          <w:highlight w:val="none"/>
        </w:rPr>
        <w:t>（3）单价金额小数点或者百分比有明显错位的，以开标一览表的总价为准，并修改单价；</w:t>
      </w:r>
    </w:p>
    <w:p w14:paraId="3127877B">
      <w:pPr>
        <w:pStyle w:val="14"/>
        <w:snapToGrid w:val="0"/>
        <w:spacing w:line="400" w:lineRule="exact"/>
        <w:ind w:firstLine="420" w:firstLineChars="200"/>
        <w:rPr>
          <w:rFonts w:hAnsi="宋体" w:cs="宋体"/>
          <w:color w:val="auto"/>
          <w:sz w:val="21"/>
          <w:highlight w:val="none"/>
        </w:rPr>
      </w:pPr>
      <w:r>
        <w:rPr>
          <w:rFonts w:hint="eastAsia" w:hAnsi="宋体" w:cs="宋体"/>
          <w:color w:val="auto"/>
          <w:sz w:val="21"/>
          <w:highlight w:val="none"/>
        </w:rPr>
        <w:t>（4）总价金额与按单价汇总金额不一致的，以单价金额计算结果为准。</w:t>
      </w:r>
    </w:p>
    <w:p w14:paraId="4591F446">
      <w:pPr>
        <w:pStyle w:val="14"/>
        <w:snapToGrid w:val="0"/>
        <w:spacing w:line="400" w:lineRule="exact"/>
        <w:ind w:firstLine="420" w:firstLineChars="200"/>
        <w:rPr>
          <w:rFonts w:hAnsi="宋体" w:cs="宋体"/>
          <w:color w:val="auto"/>
          <w:sz w:val="21"/>
          <w:highlight w:val="none"/>
        </w:rPr>
      </w:pPr>
      <w:r>
        <w:rPr>
          <w:rFonts w:hint="eastAsia" w:hAnsi="宋体" w:cs="宋体"/>
          <w:color w:val="auto"/>
          <w:sz w:val="21"/>
          <w:highlight w:val="none"/>
        </w:rPr>
        <w:t>同时出现两种以上不一致的，按照以上（1）-（4）规定的顺序修正。修正后的报价经投标人确认后产生约束力，投标人不确认的，</w:t>
      </w:r>
      <w:r>
        <w:rPr>
          <w:rFonts w:hint="eastAsia" w:hAnsi="宋体" w:cs="宋体"/>
          <w:b/>
          <w:color w:val="auto"/>
          <w:kern w:val="2"/>
          <w:sz w:val="21"/>
          <w:highlight w:val="none"/>
        </w:rPr>
        <w:t>其投标无效</w:t>
      </w:r>
      <w:r>
        <w:rPr>
          <w:rFonts w:hint="eastAsia" w:hAnsi="宋体" w:cs="宋体"/>
          <w:color w:val="auto"/>
          <w:sz w:val="21"/>
          <w:highlight w:val="none"/>
        </w:rPr>
        <w:t>。</w:t>
      </w:r>
    </w:p>
    <w:p w14:paraId="75EB26AB">
      <w:pPr>
        <w:pStyle w:val="6"/>
        <w:keepNext w:val="0"/>
        <w:keepLines w:val="0"/>
        <w:spacing w:before="0" w:after="0" w:line="40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4.2经投标人确认修正后的报价若超过采购预算金额或者最高限价，</w:t>
      </w:r>
      <w:r>
        <w:rPr>
          <w:rFonts w:hint="eastAsia" w:ascii="宋体" w:hAnsi="宋体" w:cs="宋体"/>
          <w:color w:val="auto"/>
          <w:sz w:val="21"/>
          <w:szCs w:val="21"/>
          <w:highlight w:val="none"/>
        </w:rPr>
        <w:t>投标人的投标文件作无效投标处理</w:t>
      </w:r>
      <w:r>
        <w:rPr>
          <w:rFonts w:hint="eastAsia" w:ascii="宋体" w:hAnsi="宋体" w:cs="宋体"/>
          <w:b w:val="0"/>
          <w:color w:val="auto"/>
          <w:sz w:val="21"/>
          <w:szCs w:val="21"/>
          <w:highlight w:val="none"/>
        </w:rPr>
        <w:t>。</w:t>
      </w:r>
    </w:p>
    <w:p w14:paraId="397ACD64">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52FAC726">
      <w:pPr>
        <w:pStyle w:val="6"/>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5.比较与评价</w:t>
      </w:r>
    </w:p>
    <w:p w14:paraId="657AA044">
      <w:pPr>
        <w:snapToGrid w:val="0"/>
        <w:spacing w:line="40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5.1采用综合评分法的</w:t>
      </w:r>
    </w:p>
    <w:p w14:paraId="09AE64D4">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（1）评标委员会按照招标文件中规定的评标方法及评标标准，对符合性审查合格的投标文件进行商务和技术评估，综合比较与评价。</w:t>
      </w:r>
    </w:p>
    <w:p w14:paraId="4D35FC18">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（2）评标委员会独立对每个投标人的投标文件进行评价，并汇总每个投标人的得分。</w:t>
      </w:r>
    </w:p>
    <w:p w14:paraId="2E99166D">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zCs w:val="21"/>
          <w:highlight w:val="none"/>
        </w:rPr>
        <w:t>投标人不能证明其报价合理性的，评标委员会将其作为无效投标处理</w:t>
      </w:r>
      <w:r>
        <w:rPr>
          <w:rFonts w:hint="eastAsia" w:ascii="宋体" w:hAnsi="宋体" w:cs="宋体"/>
          <w:color w:val="auto"/>
          <w:szCs w:val="21"/>
          <w:highlight w:val="none"/>
        </w:rPr>
        <w:t>。</w:t>
      </w:r>
    </w:p>
    <w:p w14:paraId="7D5C7B91">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（3）评标委员会按照招标文件中规定的评标方法和标准计算各投标人的报价得分。在计算过程中，不得去掉最高报价或者最低报价。</w:t>
      </w:r>
    </w:p>
    <w:p w14:paraId="036C961A">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（4）各投标人的得分为所有评委的有效评分的算术平均数。</w:t>
      </w:r>
    </w:p>
    <w:p w14:paraId="480713A0">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（5）评标委员会按照招标文件中的规定推荐中标候选人。</w:t>
      </w:r>
    </w:p>
    <w:p w14:paraId="29ADC2B0">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9403FD6">
      <w:pPr>
        <w:snapToGrid w:val="0"/>
        <w:spacing w:line="40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5.2采用</w:t>
      </w:r>
      <w:r>
        <w:rPr>
          <w:rFonts w:hint="eastAsia" w:ascii="宋体" w:hAnsi="宋体" w:cs="宋体"/>
          <w:color w:val="auto"/>
          <w:highlight w:val="none"/>
        </w:rPr>
        <w:t>最低评标价法</w:t>
      </w:r>
      <w:r>
        <w:rPr>
          <w:rFonts w:hint="eastAsia" w:ascii="宋体" w:hAnsi="宋体" w:cs="宋体"/>
          <w:color w:val="auto"/>
          <w:szCs w:val="21"/>
          <w:highlight w:val="none"/>
        </w:rPr>
        <w:t>的</w:t>
      </w:r>
    </w:p>
    <w:p w14:paraId="531F3441">
      <w:pPr>
        <w:snapToGrid w:val="0"/>
        <w:spacing w:line="40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（1）评标委员会按照招标文件中规定的评标方法及评标标准，对符合性审查合格的投标文件报价进行比较。</w:t>
      </w:r>
    </w:p>
    <w:p w14:paraId="1EB17F51">
      <w:pPr>
        <w:snapToGrid w:val="0"/>
        <w:spacing w:line="400" w:lineRule="exact"/>
        <w:ind w:firstLine="399" w:firstLineChars="202"/>
        <w:jc w:val="left"/>
        <w:rPr>
          <w:rFonts w:ascii="宋体" w:hAnsi="宋体" w:cs="宋体"/>
          <w:color w:val="auto"/>
          <w:spacing w:val="-6"/>
          <w:szCs w:val="21"/>
          <w:highlight w:val="none"/>
        </w:rPr>
      </w:pPr>
      <w:r>
        <w:rPr>
          <w:rFonts w:hint="eastAsia" w:ascii="宋体" w:hAnsi="宋体" w:cs="宋体"/>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pacing w:val="-6"/>
          <w:szCs w:val="21"/>
          <w:highlight w:val="none"/>
        </w:rPr>
        <w:t>投标人不能证明其报价合理性的，评标委员会将其作为无效投标处理</w:t>
      </w:r>
      <w:r>
        <w:rPr>
          <w:rFonts w:hint="eastAsia" w:ascii="宋体" w:hAnsi="宋体" w:cs="宋体"/>
          <w:color w:val="auto"/>
          <w:spacing w:val="-6"/>
          <w:szCs w:val="21"/>
          <w:highlight w:val="none"/>
        </w:rPr>
        <w:t>。</w:t>
      </w:r>
    </w:p>
    <w:p w14:paraId="275D6A8B">
      <w:pPr>
        <w:snapToGrid w:val="0"/>
        <w:spacing w:line="400" w:lineRule="exact"/>
        <w:ind w:firstLine="424" w:firstLineChars="202"/>
        <w:jc w:val="left"/>
        <w:outlineLvl w:val="4"/>
        <w:rPr>
          <w:rFonts w:ascii="宋体" w:hAnsi="宋体" w:cs="宋体"/>
          <w:color w:val="auto"/>
          <w:szCs w:val="21"/>
          <w:highlight w:val="none"/>
        </w:rPr>
      </w:pPr>
      <w:r>
        <w:rPr>
          <w:rFonts w:hint="eastAsia" w:ascii="宋体" w:hAnsi="宋体" w:cs="宋体"/>
          <w:color w:val="auto"/>
          <w:szCs w:val="21"/>
          <w:highlight w:val="none"/>
        </w:rPr>
        <w:t>（3）评标委员会按照招标文件中的规定推荐中标候选人。</w:t>
      </w:r>
    </w:p>
    <w:p w14:paraId="164B5429">
      <w:pPr>
        <w:snapToGrid w:val="0"/>
        <w:spacing w:line="40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A5909CF">
      <w:pPr>
        <w:snapToGrid w:val="0"/>
        <w:spacing w:line="360" w:lineRule="auto"/>
        <w:ind w:firstLine="424" w:firstLineChars="202"/>
        <w:jc w:val="center"/>
        <w:outlineLvl w:val="1"/>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r>
        <w:rPr>
          <w:rFonts w:cs="宋体" w:asciiTheme="minorEastAsia" w:hAnsiTheme="minorEastAsia" w:eastAsiaTheme="minorEastAsia"/>
          <w:b/>
          <w:bCs/>
          <w:color w:val="auto"/>
          <w:sz w:val="32"/>
          <w:szCs w:val="32"/>
          <w:highlight w:val="none"/>
        </w:rPr>
        <w:t>三</w:t>
      </w:r>
      <w:r>
        <w:rPr>
          <w:rFonts w:hint="eastAsia" w:cs="宋体" w:asciiTheme="minorEastAsia" w:hAnsiTheme="minorEastAsia" w:eastAsiaTheme="minorEastAsia"/>
          <w:b/>
          <w:bCs/>
          <w:color w:val="auto"/>
          <w:sz w:val="32"/>
          <w:szCs w:val="32"/>
          <w:highlight w:val="none"/>
        </w:rPr>
        <w:t>、评标标准</w:t>
      </w:r>
    </w:p>
    <w:p w14:paraId="2AAE32A8">
      <w:pPr>
        <w:pStyle w:val="4"/>
        <w:keepNext w:val="0"/>
        <w:keepLines w:val="0"/>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综合评分法</w:t>
      </w:r>
    </w:p>
    <w:p w14:paraId="5D76D176">
      <w:pPr>
        <w:pStyle w:val="4"/>
        <w:keepNext w:val="0"/>
        <w:keepLines w:val="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01分标、02分标、03分标、04分标：</w:t>
      </w:r>
    </w:p>
    <w:p w14:paraId="6F978A8E">
      <w:pPr>
        <w:spacing w:line="360" w:lineRule="auto"/>
        <w:ind w:firstLine="420"/>
        <w:rPr>
          <w:rFonts w:ascii="宋体" w:hAnsi="宋体"/>
          <w:bCs/>
          <w:color w:val="auto"/>
          <w:szCs w:val="20"/>
          <w:highlight w:val="none"/>
        </w:rPr>
      </w:pPr>
      <w:r>
        <w:rPr>
          <w:rFonts w:hint="eastAsia" w:ascii="宋体" w:hAnsi="宋体"/>
          <w:bCs/>
          <w:color w:val="auto"/>
          <w:szCs w:val="20"/>
          <w:highlight w:val="none"/>
        </w:rPr>
        <w:t>注：</w:t>
      </w:r>
    </w:p>
    <w:p w14:paraId="46D9067B">
      <w:pPr>
        <w:spacing w:line="360" w:lineRule="auto"/>
        <w:ind w:firstLine="420"/>
        <w:rPr>
          <w:rFonts w:ascii="宋体" w:hAnsi="宋体"/>
          <w:bCs/>
          <w:color w:val="auto"/>
          <w:szCs w:val="20"/>
          <w:highlight w:val="none"/>
        </w:rPr>
      </w:pPr>
      <w:r>
        <w:rPr>
          <w:rFonts w:hint="eastAsia" w:ascii="宋体" w:hAnsi="宋体"/>
          <w:bCs/>
          <w:color w:val="auto"/>
          <w:szCs w:val="20"/>
          <w:highlight w:val="none"/>
        </w:rPr>
        <w:t>1、计分方法按四舍五入取至百分位。</w:t>
      </w:r>
    </w:p>
    <w:p w14:paraId="605822AB">
      <w:pPr>
        <w:spacing w:line="360" w:lineRule="auto"/>
        <w:ind w:firstLine="420"/>
        <w:rPr>
          <w:rFonts w:ascii="宋体" w:hAnsi="宋体"/>
          <w:b/>
          <w:color w:val="auto"/>
          <w:szCs w:val="20"/>
          <w:highlight w:val="none"/>
        </w:rPr>
      </w:pPr>
      <w:r>
        <w:rPr>
          <w:rFonts w:hint="eastAsia" w:ascii="宋体" w:hAnsi="宋体"/>
          <w:bCs/>
          <w:color w:val="auto"/>
          <w:szCs w:val="20"/>
          <w:highlight w:val="none"/>
        </w:rPr>
        <w:t>2、商务技术评审因素为客观评分项的，应在评分项目或评分标准中予以标注为“客观分”。对投标人的客观评分项目，各评标专家评分应当一致。</w:t>
      </w:r>
    </w:p>
    <w:p w14:paraId="39BB56F6">
      <w:pPr>
        <w:spacing w:line="360" w:lineRule="auto"/>
        <w:ind w:firstLine="420"/>
        <w:rPr>
          <w:rFonts w:ascii="宋体" w:hAnsi="宋体"/>
          <w:b/>
          <w:color w:val="auto"/>
          <w:szCs w:val="20"/>
          <w:highlight w:val="none"/>
        </w:rPr>
      </w:pPr>
      <w:r>
        <w:rPr>
          <w:rFonts w:hint="eastAsia" w:ascii="宋体" w:hAnsi="宋体"/>
          <w:b/>
          <w:color w:val="auto"/>
          <w:szCs w:val="20"/>
          <w:highlight w:val="none"/>
        </w:rPr>
        <w:t>适用于所有标段</w:t>
      </w:r>
    </w:p>
    <w:tbl>
      <w:tblPr>
        <w:tblStyle w:val="23"/>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356"/>
        <w:gridCol w:w="1576"/>
        <w:gridCol w:w="6029"/>
      </w:tblGrid>
      <w:tr w14:paraId="0054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9" w:type="dxa"/>
            <w:vAlign w:val="center"/>
          </w:tcPr>
          <w:p w14:paraId="498AEC99">
            <w:pPr>
              <w:jc w:val="center"/>
              <w:rPr>
                <w:color w:val="auto"/>
                <w:highlight w:val="none"/>
              </w:rPr>
            </w:pPr>
            <w:r>
              <w:rPr>
                <w:rFonts w:hint="eastAsia"/>
                <w:color w:val="auto"/>
                <w:highlight w:val="none"/>
              </w:rPr>
              <w:t>序</w:t>
            </w:r>
          </w:p>
          <w:p w14:paraId="0F6B9B61">
            <w:pPr>
              <w:jc w:val="center"/>
              <w:rPr>
                <w:color w:val="auto"/>
                <w:highlight w:val="none"/>
              </w:rPr>
            </w:pPr>
            <w:r>
              <w:rPr>
                <w:rFonts w:hint="eastAsia"/>
                <w:color w:val="auto"/>
                <w:highlight w:val="none"/>
              </w:rPr>
              <w:t>号</w:t>
            </w:r>
          </w:p>
        </w:tc>
        <w:tc>
          <w:tcPr>
            <w:tcW w:w="1356" w:type="dxa"/>
            <w:vAlign w:val="center"/>
          </w:tcPr>
          <w:p w14:paraId="77CB331B">
            <w:pPr>
              <w:jc w:val="center"/>
              <w:rPr>
                <w:color w:val="auto"/>
                <w:highlight w:val="none"/>
              </w:rPr>
            </w:pPr>
            <w:r>
              <w:rPr>
                <w:rFonts w:hint="eastAsia"/>
                <w:color w:val="auto"/>
                <w:highlight w:val="none"/>
              </w:rPr>
              <w:t>评审要素及权重</w:t>
            </w:r>
          </w:p>
        </w:tc>
        <w:tc>
          <w:tcPr>
            <w:tcW w:w="1576" w:type="dxa"/>
            <w:vAlign w:val="center"/>
          </w:tcPr>
          <w:p w14:paraId="719EA0F6">
            <w:pPr>
              <w:jc w:val="center"/>
              <w:rPr>
                <w:color w:val="auto"/>
                <w:highlight w:val="none"/>
              </w:rPr>
            </w:pPr>
            <w:r>
              <w:rPr>
                <w:rFonts w:hint="eastAsia"/>
                <w:color w:val="auto"/>
                <w:highlight w:val="none"/>
              </w:rPr>
              <w:t>评审因素</w:t>
            </w:r>
          </w:p>
        </w:tc>
        <w:tc>
          <w:tcPr>
            <w:tcW w:w="6029" w:type="dxa"/>
            <w:vAlign w:val="center"/>
          </w:tcPr>
          <w:p w14:paraId="1E62563E">
            <w:pPr>
              <w:jc w:val="center"/>
              <w:rPr>
                <w:color w:val="auto"/>
                <w:highlight w:val="none"/>
              </w:rPr>
            </w:pPr>
            <w:r>
              <w:rPr>
                <w:rFonts w:hint="eastAsia"/>
                <w:color w:val="auto"/>
                <w:highlight w:val="none"/>
              </w:rPr>
              <w:t>评标标准</w:t>
            </w:r>
          </w:p>
        </w:tc>
      </w:tr>
      <w:tr w14:paraId="0A11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6" w:hRule="atLeast"/>
          <w:jc w:val="center"/>
        </w:trPr>
        <w:tc>
          <w:tcPr>
            <w:tcW w:w="489" w:type="dxa"/>
            <w:vAlign w:val="center"/>
          </w:tcPr>
          <w:p w14:paraId="7A97A144">
            <w:pPr>
              <w:rPr>
                <w:color w:val="auto"/>
                <w:highlight w:val="none"/>
              </w:rPr>
            </w:pPr>
            <w:r>
              <w:rPr>
                <w:rFonts w:hint="eastAsia"/>
                <w:color w:val="auto"/>
                <w:highlight w:val="none"/>
              </w:rPr>
              <w:t>1</w:t>
            </w:r>
          </w:p>
        </w:tc>
        <w:tc>
          <w:tcPr>
            <w:tcW w:w="1356" w:type="dxa"/>
            <w:vAlign w:val="center"/>
          </w:tcPr>
          <w:p w14:paraId="7383AB36">
            <w:pPr>
              <w:rPr>
                <w:color w:val="auto"/>
                <w:highlight w:val="none"/>
              </w:rPr>
            </w:pPr>
            <w:r>
              <w:rPr>
                <w:rFonts w:hint="eastAsia"/>
                <w:color w:val="auto"/>
                <w:highlight w:val="none"/>
              </w:rPr>
              <w:t>价格分</w:t>
            </w:r>
          </w:p>
          <w:p w14:paraId="05957DF4">
            <w:pPr>
              <w:rPr>
                <w:color w:val="auto"/>
                <w:highlight w:val="none"/>
              </w:rPr>
            </w:pPr>
            <w:r>
              <w:rPr>
                <w:rFonts w:hint="eastAsia"/>
                <w:color w:val="auto"/>
                <w:highlight w:val="none"/>
              </w:rPr>
              <w:t>（满分40分）</w:t>
            </w:r>
          </w:p>
        </w:tc>
        <w:tc>
          <w:tcPr>
            <w:tcW w:w="1576" w:type="dxa"/>
            <w:vAlign w:val="center"/>
          </w:tcPr>
          <w:p w14:paraId="2406670C">
            <w:pPr>
              <w:rPr>
                <w:color w:val="auto"/>
                <w:highlight w:val="none"/>
              </w:rPr>
            </w:pPr>
            <w:r>
              <w:rPr>
                <w:rFonts w:hint="eastAsia"/>
                <w:color w:val="auto"/>
                <w:highlight w:val="none"/>
              </w:rPr>
              <w:t>投标报价</w:t>
            </w:r>
          </w:p>
          <w:p w14:paraId="5A7FE8F4">
            <w:pPr>
              <w:rPr>
                <w:color w:val="auto"/>
                <w:highlight w:val="none"/>
              </w:rPr>
            </w:pPr>
            <w:r>
              <w:rPr>
                <w:rFonts w:hint="eastAsia"/>
                <w:color w:val="auto"/>
                <w:highlight w:val="none"/>
              </w:rPr>
              <w:t>（客观分，最高40分）</w:t>
            </w:r>
          </w:p>
        </w:tc>
        <w:tc>
          <w:tcPr>
            <w:tcW w:w="6029" w:type="dxa"/>
            <w:vAlign w:val="center"/>
          </w:tcPr>
          <w:p w14:paraId="181B3AFE">
            <w:pPr>
              <w:rPr>
                <w:color w:val="auto"/>
                <w:highlight w:val="none"/>
              </w:rPr>
            </w:pPr>
            <w:r>
              <w:rPr>
                <w:rFonts w:hint="eastAsia"/>
                <w:color w:val="auto"/>
                <w:highlight w:val="none"/>
              </w:rPr>
              <w:t>（1）评标报价为投标人的投标报价进行政策性扣除后的价格，评标报价只是作为评标时使用。最终中标人的中标金额等于投标报价。</w:t>
            </w:r>
          </w:p>
          <w:p w14:paraId="595A6880">
            <w:pPr>
              <w:rPr>
                <w:color w:val="auto"/>
                <w:highlight w:val="none"/>
              </w:rPr>
            </w:pPr>
            <w:r>
              <w:rPr>
                <w:rFonts w:hint="eastAsia"/>
                <w:color w:val="auto"/>
                <w:highlight w:val="none"/>
              </w:rPr>
              <w:t>（2）按照《政府采购促进中小企业发展管理办法》（财库〔2020〕46号）的规定，投标人在其投标文件中提供《中小企业声明函》，且其投标产品全部为小型和微型企业产品的，对其最后报价给予10%的扣除。</w:t>
            </w:r>
          </w:p>
          <w:p w14:paraId="082C325D">
            <w:pPr>
              <w:rPr>
                <w:color w:val="auto"/>
                <w:highlight w:val="none"/>
              </w:rPr>
            </w:pPr>
            <w:r>
              <w:rPr>
                <w:rFonts w:hint="eastAsia"/>
                <w:color w:val="auto"/>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A707838">
            <w:pPr>
              <w:rPr>
                <w:color w:val="auto"/>
                <w:highlight w:val="none"/>
              </w:rPr>
            </w:pPr>
            <w:r>
              <w:rPr>
                <w:rFonts w:hint="eastAsia"/>
                <w:color w:val="auto"/>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40EEFD6">
            <w:pPr>
              <w:rPr>
                <w:color w:val="auto"/>
                <w:highlight w:val="none"/>
              </w:rPr>
            </w:pPr>
            <w:r>
              <w:rPr>
                <w:rFonts w:hint="eastAsia"/>
                <w:color w:val="auto"/>
                <w:highlight w:val="none"/>
              </w:rPr>
              <w:t>（5）政策性扣除计算方法。</w:t>
            </w:r>
          </w:p>
          <w:p w14:paraId="45681061">
            <w:pPr>
              <w:rPr>
                <w:color w:val="auto"/>
                <w:highlight w:val="none"/>
              </w:rPr>
            </w:pPr>
            <w:r>
              <w:rPr>
                <w:rFonts w:hint="eastAsia"/>
                <w:color w:val="auto"/>
                <w:highlight w:val="none"/>
              </w:rPr>
              <w:t>在货物采购项目中，投标人投标全部货物由小型和微型企业制造；对符合上述要求的投标人的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4% （范围为4%-6%）的扣除，用扣除后的价格参加评审，扣除后的价格为评标报价，即评标报价=投标报价×（1-4%）。除上述情况外，评标报价=投标报价。</w:t>
            </w:r>
          </w:p>
          <w:p w14:paraId="2C5BB0CE">
            <w:pPr>
              <w:rPr>
                <w:color w:val="auto"/>
                <w:highlight w:val="none"/>
              </w:rPr>
            </w:pPr>
            <w:r>
              <w:rPr>
                <w:rFonts w:hint="eastAsia"/>
                <w:color w:val="auto"/>
                <w:highlight w:val="none"/>
              </w:rPr>
              <w:t>（6）满足招标文件要求且评标报价最低的评标报价为评标基准价，其价格分为满分。</w:t>
            </w:r>
          </w:p>
          <w:p w14:paraId="14CEA53D">
            <w:pPr>
              <w:rPr>
                <w:color w:val="auto"/>
                <w:highlight w:val="none"/>
              </w:rPr>
            </w:pPr>
            <w:r>
              <w:rPr>
                <w:rFonts w:hint="eastAsia"/>
                <w:color w:val="auto"/>
                <w:highlight w:val="none"/>
              </w:rPr>
              <w:t>（7）价格分计算公式：</w:t>
            </w:r>
          </w:p>
          <w:p w14:paraId="1E1D96A1">
            <w:pPr>
              <w:rPr>
                <w:color w:val="auto"/>
                <w:highlight w:val="none"/>
              </w:rPr>
            </w:pPr>
            <w:r>
              <w:rPr>
                <w:rFonts w:hint="eastAsia"/>
                <w:color w:val="auto"/>
                <w:highlight w:val="none"/>
              </w:rPr>
              <w:t>价格分=(评标基准价／评标报价)×40分</w:t>
            </w:r>
          </w:p>
          <w:p w14:paraId="79F24FD1">
            <w:pPr>
              <w:rPr>
                <w:color w:val="auto"/>
                <w:highlight w:val="none"/>
              </w:rPr>
            </w:pPr>
            <w:r>
              <w:rPr>
                <w:rFonts w:hint="eastAsia"/>
                <w:color w:val="auto"/>
                <w:highlight w:val="none"/>
              </w:rPr>
              <w:t>备注：</w:t>
            </w:r>
          </w:p>
          <w:p w14:paraId="078A6AFD">
            <w:pPr>
              <w:rPr>
                <w:color w:val="auto"/>
                <w:highlight w:val="none"/>
              </w:rPr>
            </w:pPr>
            <w:r>
              <w:rPr>
                <w:rFonts w:hint="eastAsia"/>
                <w:color w:val="auto"/>
                <w:highlight w:val="none"/>
              </w:rPr>
              <w:t>03分标评标报价计算方式：</w:t>
            </w:r>
          </w:p>
          <w:p w14:paraId="3EC11016">
            <w:pPr>
              <w:rPr>
                <w:color w:val="auto"/>
                <w:highlight w:val="none"/>
              </w:rPr>
            </w:pPr>
            <w:r>
              <w:rPr>
                <w:rFonts w:hint="eastAsia"/>
                <w:color w:val="auto"/>
                <w:highlight w:val="none"/>
              </w:rPr>
              <w:t>本分标第5项设备“制片染色一体机”需与耗材“液基细胞和微生物处理、保存试剂”分开报价（需注明该试剂规格，计算每1人份的单价作为耗材报价且不得高于0.45元/人份，否则报价无效），按700,000人份/年同步核算3年使用总成本，作为该设备评标报价的依据。</w:t>
            </w:r>
          </w:p>
          <w:p w14:paraId="66F14EEB">
            <w:pPr>
              <w:rPr>
                <w:color w:val="auto"/>
                <w:highlight w:val="none"/>
              </w:rPr>
            </w:pPr>
            <w:r>
              <w:rPr>
                <w:color w:val="auto"/>
                <w:highlight w:val="none"/>
              </w:rPr>
              <w:t>①</w:t>
            </w:r>
            <w:r>
              <w:rPr>
                <w:rFonts w:hint="eastAsia"/>
                <w:color w:val="auto"/>
                <w:highlight w:val="none"/>
              </w:rPr>
              <w:t>制片染色一体机的综合报价公式为：（设备报价+耗材单价报价×700000×3）×20%</w:t>
            </w:r>
          </w:p>
          <w:p w14:paraId="320D0889">
            <w:pPr>
              <w:rPr>
                <w:color w:val="auto"/>
                <w:highlight w:val="none"/>
              </w:rPr>
            </w:pPr>
            <w:r>
              <w:rPr>
                <w:color w:val="auto"/>
                <w:highlight w:val="none"/>
              </w:rPr>
              <w:t>②</w:t>
            </w:r>
            <w:r>
              <w:rPr>
                <w:rFonts w:hint="eastAsia"/>
                <w:color w:val="auto"/>
                <w:highlight w:val="none"/>
              </w:rPr>
              <w:t>本分标的评标报价计算方式为：制片染色一体机的综合报价与本分标其他设备投标报价总额之和，再进行政策性扣除后的价格。</w:t>
            </w:r>
          </w:p>
          <w:p w14:paraId="25399C52">
            <w:pPr>
              <w:rPr>
                <w:color w:val="auto"/>
                <w:highlight w:val="none"/>
              </w:rPr>
            </w:pPr>
            <w:r>
              <w:rPr>
                <w:color w:val="auto"/>
                <w:highlight w:val="none"/>
              </w:rPr>
              <w:t>③</w:t>
            </w:r>
            <w:r>
              <w:rPr>
                <w:rFonts w:hint="eastAsia"/>
                <w:color w:val="auto"/>
                <w:highlight w:val="none"/>
              </w:rPr>
              <w:t>最终中标人的中标金额将等于5项设备的投标报价。</w:t>
            </w:r>
          </w:p>
          <w:p w14:paraId="1707FB5E">
            <w:pPr>
              <w:rPr>
                <w:color w:val="auto"/>
                <w:highlight w:val="none"/>
              </w:rPr>
            </w:pPr>
            <w:r>
              <w:rPr>
                <w:rFonts w:hint="eastAsia"/>
                <w:color w:val="auto"/>
                <w:highlight w:val="none"/>
              </w:rPr>
              <w:t>（2） 04分标评标报价计算方式：</w:t>
            </w:r>
          </w:p>
          <w:p w14:paraId="4981C72C">
            <w:pPr>
              <w:rPr>
                <w:color w:val="auto"/>
                <w:highlight w:val="none"/>
              </w:rPr>
            </w:pPr>
            <w:r>
              <w:rPr>
                <w:rFonts w:hint="eastAsia"/>
                <w:color w:val="auto"/>
                <w:highlight w:val="none"/>
              </w:rPr>
              <w:t>本分标第1项设备“胰岛素泵”所需耗材“贮药器”“输注器”，预计年消耗量均为2000支。投标人须针对设备和两种耗材（需注明耗材规格）分别进行单独报单价和总价，并综合计算3年使用总成本，作为本项目的评标报价依据。</w:t>
            </w:r>
          </w:p>
          <w:p w14:paraId="4DBB88B2">
            <w:pPr>
              <w:rPr>
                <w:color w:val="auto"/>
                <w:highlight w:val="none"/>
              </w:rPr>
            </w:pPr>
            <w:r>
              <w:rPr>
                <w:color w:val="auto"/>
                <w:highlight w:val="none"/>
              </w:rPr>
              <w:t>①</w:t>
            </w:r>
            <w:r>
              <w:rPr>
                <w:rFonts w:hint="eastAsia"/>
                <w:color w:val="auto"/>
                <w:highlight w:val="none"/>
              </w:rPr>
              <w:t>胰岛素泵、贮药器、输注器的投标报价，均不得高于其预算单价；</w:t>
            </w:r>
          </w:p>
          <w:p w14:paraId="19469D0F">
            <w:pPr>
              <w:rPr>
                <w:color w:val="auto"/>
                <w:highlight w:val="none"/>
              </w:rPr>
            </w:pPr>
            <w:r>
              <w:rPr>
                <w:color w:val="auto"/>
                <w:highlight w:val="none"/>
              </w:rPr>
              <w:t>②</w:t>
            </w:r>
            <w:r>
              <w:rPr>
                <w:rFonts w:hint="eastAsia"/>
                <w:color w:val="auto"/>
                <w:highlight w:val="none"/>
              </w:rPr>
              <w:t>本分标的评标报价计算公式为：胰岛素泵投标单价×20（台）×60%＋（贮药器投标单价＋输注器投标单价）×2000×3×40%，再进行政策性扣除后的价格。</w:t>
            </w:r>
          </w:p>
          <w:p w14:paraId="14BC6FAC">
            <w:pPr>
              <w:rPr>
                <w:color w:val="auto"/>
                <w:highlight w:val="none"/>
              </w:rPr>
            </w:pPr>
            <w:r>
              <w:rPr>
                <w:color w:val="auto"/>
                <w:highlight w:val="none"/>
              </w:rPr>
              <w:t>③</w:t>
            </w:r>
            <w:r>
              <w:rPr>
                <w:rFonts w:hint="eastAsia"/>
                <w:color w:val="auto"/>
                <w:highlight w:val="none"/>
              </w:rPr>
              <w:t>最终中标人的中标金额将等于</w:t>
            </w:r>
            <w:r>
              <w:rPr>
                <w:rFonts w:hint="eastAsia"/>
                <w:color w:val="auto"/>
                <w:highlight w:val="none"/>
                <w:lang w:val="en-US" w:eastAsia="zh-CN"/>
              </w:rPr>
              <w:t>胰岛素泵</w:t>
            </w:r>
            <w:r>
              <w:rPr>
                <w:rFonts w:hint="eastAsia"/>
                <w:color w:val="auto"/>
                <w:highlight w:val="none"/>
              </w:rPr>
              <w:t>（20台）</w:t>
            </w:r>
            <w:r>
              <w:rPr>
                <w:rFonts w:hint="eastAsia"/>
                <w:color w:val="auto"/>
                <w:highlight w:val="none"/>
                <w:lang w:val="en-US" w:eastAsia="zh-CN"/>
              </w:rPr>
              <w:t>投标报价</w:t>
            </w:r>
            <w:r>
              <w:rPr>
                <w:rFonts w:hint="eastAsia"/>
                <w:color w:val="auto"/>
                <w:highlight w:val="none"/>
              </w:rPr>
              <w:t>。</w:t>
            </w:r>
          </w:p>
        </w:tc>
      </w:tr>
      <w:tr w14:paraId="1B87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9" w:type="dxa"/>
            <w:vMerge w:val="restart"/>
            <w:vAlign w:val="center"/>
          </w:tcPr>
          <w:p w14:paraId="6E7E7620">
            <w:pPr>
              <w:rPr>
                <w:color w:val="auto"/>
                <w:highlight w:val="none"/>
              </w:rPr>
            </w:pPr>
            <w:r>
              <w:rPr>
                <w:rFonts w:hint="eastAsia"/>
                <w:color w:val="auto"/>
                <w:highlight w:val="none"/>
              </w:rPr>
              <w:t>2</w:t>
            </w:r>
          </w:p>
        </w:tc>
        <w:tc>
          <w:tcPr>
            <w:tcW w:w="1356" w:type="dxa"/>
            <w:vMerge w:val="restart"/>
            <w:vAlign w:val="center"/>
          </w:tcPr>
          <w:p w14:paraId="7BBB9D21">
            <w:pPr>
              <w:rPr>
                <w:color w:val="auto"/>
                <w:highlight w:val="none"/>
              </w:rPr>
            </w:pPr>
            <w:r>
              <w:rPr>
                <w:rFonts w:hint="eastAsia"/>
                <w:color w:val="auto"/>
                <w:highlight w:val="none"/>
              </w:rPr>
              <w:t>技术指标和配置</w:t>
            </w:r>
          </w:p>
          <w:p w14:paraId="234785F1">
            <w:pPr>
              <w:rPr>
                <w:color w:val="auto"/>
                <w:highlight w:val="none"/>
              </w:rPr>
            </w:pPr>
            <w:r>
              <w:rPr>
                <w:rFonts w:hint="eastAsia"/>
                <w:color w:val="auto"/>
                <w:highlight w:val="none"/>
              </w:rPr>
              <w:t>（满分45分）</w:t>
            </w:r>
          </w:p>
        </w:tc>
        <w:tc>
          <w:tcPr>
            <w:tcW w:w="1576" w:type="dxa"/>
            <w:vAlign w:val="center"/>
          </w:tcPr>
          <w:p w14:paraId="107CC50F">
            <w:pPr>
              <w:rPr>
                <w:color w:val="auto"/>
                <w:highlight w:val="none"/>
              </w:rPr>
            </w:pPr>
            <w:r>
              <w:rPr>
                <w:rFonts w:hint="eastAsia"/>
                <w:color w:val="auto"/>
                <w:highlight w:val="none"/>
              </w:rPr>
              <w:t>技术基础分</w:t>
            </w:r>
          </w:p>
          <w:p w14:paraId="59637318">
            <w:pPr>
              <w:rPr>
                <w:color w:val="auto"/>
                <w:highlight w:val="none"/>
              </w:rPr>
            </w:pPr>
            <w:r>
              <w:rPr>
                <w:rFonts w:hint="eastAsia"/>
                <w:color w:val="auto"/>
                <w:highlight w:val="none"/>
              </w:rPr>
              <w:t>（客观分，满分30分）</w:t>
            </w:r>
          </w:p>
        </w:tc>
        <w:tc>
          <w:tcPr>
            <w:tcW w:w="6029" w:type="dxa"/>
            <w:vAlign w:val="center"/>
          </w:tcPr>
          <w:p w14:paraId="4A8EF432">
            <w:pPr>
              <w:rPr>
                <w:color w:val="auto"/>
                <w:highlight w:val="none"/>
              </w:rPr>
            </w:pPr>
            <w:r>
              <w:rPr>
                <w:rFonts w:hint="eastAsia"/>
                <w:color w:val="auto"/>
                <w:highlight w:val="none"/>
              </w:rPr>
              <w:t>根据投标文件对招标文件技术指标的响应程度进行评分：</w:t>
            </w:r>
          </w:p>
          <w:p w14:paraId="21CB8C88">
            <w:pPr>
              <w:rPr>
                <w:color w:val="auto"/>
                <w:highlight w:val="none"/>
              </w:rPr>
            </w:pPr>
            <w:r>
              <w:rPr>
                <w:rFonts w:hint="eastAsia"/>
                <w:color w:val="auto"/>
                <w:highlight w:val="none"/>
              </w:rPr>
              <w:t>1.符合招标文件技术参数要求，且非“▲”的一般性参数</w:t>
            </w:r>
            <w:r>
              <w:rPr>
                <w:color w:val="auto"/>
                <w:highlight w:val="none"/>
              </w:rPr>
              <w:t>负偏离不超过三项</w:t>
            </w:r>
            <w:r>
              <w:rPr>
                <w:rFonts w:hint="eastAsia"/>
                <w:color w:val="auto"/>
                <w:highlight w:val="none"/>
              </w:rPr>
              <w:t>的，得基础分30分</w:t>
            </w:r>
          </w:p>
          <w:p w14:paraId="63399DB3">
            <w:pPr>
              <w:rPr>
                <w:color w:val="auto"/>
                <w:highlight w:val="none"/>
              </w:rPr>
            </w:pPr>
            <w:r>
              <w:rPr>
                <w:rFonts w:hint="eastAsia"/>
                <w:color w:val="auto"/>
                <w:highlight w:val="none"/>
              </w:rPr>
              <w:t>2.若出现以下任一情况，技术指标与配置的基础分（30分）将计为零分。</w:t>
            </w:r>
          </w:p>
          <w:p w14:paraId="7C67B974">
            <w:pPr>
              <w:rPr>
                <w:color w:val="auto"/>
                <w:highlight w:val="none"/>
              </w:rPr>
            </w:pPr>
            <w:r>
              <w:rPr>
                <w:rFonts w:hint="eastAsia"/>
                <w:color w:val="auto"/>
                <w:highlight w:val="none"/>
              </w:rPr>
              <w:t>（1）故意拆分产品构件作为其他配件（包括耗材）</w:t>
            </w:r>
          </w:p>
          <w:p w14:paraId="142AEA7D">
            <w:pPr>
              <w:rPr>
                <w:color w:val="auto"/>
                <w:highlight w:val="none"/>
              </w:rPr>
            </w:pPr>
            <w:r>
              <w:rPr>
                <w:rFonts w:hint="eastAsia"/>
                <w:color w:val="auto"/>
                <w:highlight w:val="none"/>
              </w:rPr>
              <w:t>（2）评标委员会认定为投标人设置技术性陷阱等。</w:t>
            </w:r>
          </w:p>
          <w:p w14:paraId="0A53DA34">
            <w:pPr>
              <w:rPr>
                <w:color w:val="auto"/>
                <w:highlight w:val="none"/>
              </w:rPr>
            </w:pPr>
            <w:r>
              <w:rPr>
                <w:rFonts w:hint="eastAsia"/>
                <w:color w:val="auto"/>
                <w:highlight w:val="none"/>
              </w:rPr>
              <w:t>3. 评标委员会认定，若投标产品的技术参数与招标文件中非“▲”标注的一般性技术参数存在负偏离，每有一项负偏离的将在30分的基础上扣除3分，最高累计扣分为9分。</w:t>
            </w:r>
          </w:p>
          <w:p w14:paraId="47598C1F">
            <w:pPr>
              <w:rPr>
                <w:color w:val="auto"/>
                <w:highlight w:val="none"/>
              </w:rPr>
            </w:pPr>
          </w:p>
          <w:p w14:paraId="76DB162E">
            <w:pPr>
              <w:rPr>
                <w:color w:val="auto"/>
                <w:highlight w:val="none"/>
              </w:rPr>
            </w:pPr>
            <w:r>
              <w:rPr>
                <w:rFonts w:hint="eastAsia"/>
                <w:color w:val="auto"/>
                <w:highlight w:val="none"/>
              </w:rPr>
              <w:t>注：投标人提供的设备制造厂商正式印刷出版的产品技术白皮书、彩页、说明书、配置清单（如有）等资料无法佐证其投标技术指标参数的按负偏离处理。</w:t>
            </w:r>
          </w:p>
        </w:tc>
      </w:tr>
      <w:tr w14:paraId="312C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9" w:type="dxa"/>
            <w:vMerge w:val="continue"/>
            <w:vAlign w:val="center"/>
          </w:tcPr>
          <w:p w14:paraId="1194AFE1">
            <w:pPr>
              <w:rPr>
                <w:color w:val="auto"/>
                <w:highlight w:val="none"/>
              </w:rPr>
            </w:pPr>
          </w:p>
        </w:tc>
        <w:tc>
          <w:tcPr>
            <w:tcW w:w="1356" w:type="dxa"/>
            <w:vMerge w:val="continue"/>
            <w:vAlign w:val="center"/>
          </w:tcPr>
          <w:p w14:paraId="138439C4">
            <w:pPr>
              <w:rPr>
                <w:color w:val="auto"/>
                <w:highlight w:val="none"/>
              </w:rPr>
            </w:pPr>
          </w:p>
        </w:tc>
        <w:tc>
          <w:tcPr>
            <w:tcW w:w="1576" w:type="dxa"/>
            <w:vAlign w:val="center"/>
          </w:tcPr>
          <w:p w14:paraId="0ECD7EEE">
            <w:pPr>
              <w:rPr>
                <w:color w:val="auto"/>
                <w:highlight w:val="none"/>
              </w:rPr>
            </w:pPr>
            <w:r>
              <w:rPr>
                <w:rFonts w:hint="eastAsia"/>
                <w:color w:val="auto"/>
                <w:highlight w:val="none"/>
              </w:rPr>
              <w:t>技术性能分</w:t>
            </w:r>
          </w:p>
          <w:p w14:paraId="41C7A76F">
            <w:pPr>
              <w:rPr>
                <w:color w:val="auto"/>
                <w:highlight w:val="none"/>
              </w:rPr>
            </w:pPr>
            <w:r>
              <w:rPr>
                <w:color w:val="auto"/>
                <w:highlight w:val="none"/>
              </w:rPr>
              <w:t>（</w:t>
            </w:r>
            <w:r>
              <w:rPr>
                <w:rFonts w:hint="eastAsia"/>
                <w:color w:val="auto"/>
                <w:highlight w:val="none"/>
              </w:rPr>
              <w:t>最高15</w:t>
            </w:r>
            <w:r>
              <w:rPr>
                <w:color w:val="auto"/>
                <w:highlight w:val="none"/>
              </w:rPr>
              <w:t>分）</w:t>
            </w:r>
          </w:p>
        </w:tc>
        <w:tc>
          <w:tcPr>
            <w:tcW w:w="6029" w:type="dxa"/>
          </w:tcPr>
          <w:p w14:paraId="1BA60201">
            <w:pPr>
              <w:rPr>
                <w:color w:val="auto"/>
                <w:highlight w:val="none"/>
              </w:rPr>
            </w:pPr>
            <w:r>
              <w:rPr>
                <w:rFonts w:hint="eastAsia"/>
                <w:color w:val="auto"/>
                <w:highlight w:val="none"/>
              </w:rPr>
              <w:t>通过对投标产品的功能说明、性能指标以及设备选型说明（涵盖质量、性能、工艺技术等多个方面）进行综合评估，评标委员会认定若投标人满足以下条件，将依据评审指标赋予相应分数，最高得分15分。</w:t>
            </w:r>
          </w:p>
          <w:p w14:paraId="0272E62D">
            <w:pPr>
              <w:rPr>
                <w:color w:val="auto"/>
                <w:highlight w:val="none"/>
              </w:rPr>
            </w:pPr>
            <w:r>
              <w:rPr>
                <w:rFonts w:hint="eastAsia"/>
                <w:color w:val="auto"/>
                <w:highlight w:val="none"/>
              </w:rPr>
              <w:t>1.性能指标或配置优化：投标产品的技术指标和配置与招标文件要求存在正偏离，且能体现产品卓越性能或更高品质的，按项计分，最高不超过7分。</w:t>
            </w:r>
          </w:p>
          <w:p w14:paraId="042F4FBE">
            <w:pPr>
              <w:rPr>
                <w:color w:val="auto"/>
                <w:highlight w:val="none"/>
              </w:rPr>
            </w:pPr>
            <w:r>
              <w:rPr>
                <w:rFonts w:hint="eastAsia"/>
                <w:color w:val="auto"/>
                <w:highlight w:val="none"/>
              </w:rPr>
              <w:t>（1）标识为“▲”的实质性参数，每项正偏离计1.5分；</w:t>
            </w:r>
          </w:p>
          <w:p w14:paraId="28AFEDCB">
            <w:pPr>
              <w:rPr>
                <w:color w:val="auto"/>
                <w:highlight w:val="none"/>
              </w:rPr>
            </w:pPr>
            <w:r>
              <w:rPr>
                <w:rFonts w:hint="eastAsia"/>
                <w:color w:val="auto"/>
                <w:highlight w:val="none"/>
              </w:rPr>
              <w:t>（2）未标识“▲”的一般性参数，每项正偏离计1分。</w:t>
            </w:r>
          </w:p>
          <w:p w14:paraId="35585951">
            <w:pPr>
              <w:rPr>
                <w:color w:val="auto"/>
                <w:highlight w:val="none"/>
              </w:rPr>
            </w:pPr>
            <w:r>
              <w:rPr>
                <w:rFonts w:hint="eastAsia"/>
                <w:color w:val="auto"/>
                <w:highlight w:val="none"/>
              </w:rPr>
              <w:t>2.专利技术或独家功能：投标产品具备与医疗需求直接相关的发明专利或独家功能（例如AI辅助诊断模块），每项符合1项计2分，累计最高不超过4分</w:t>
            </w:r>
            <w:r>
              <w:rPr>
                <w:rFonts w:hint="eastAsia"/>
                <w:b/>
                <w:bCs/>
                <w:color w:val="auto"/>
                <w:highlight w:val="none"/>
              </w:rPr>
              <w:t>（需提交专利证书</w:t>
            </w:r>
            <w:r>
              <w:rPr>
                <w:rFonts w:hint="eastAsia"/>
                <w:b/>
                <w:bCs/>
                <w:color w:val="auto"/>
                <w:highlight w:val="none"/>
                <w:lang w:val="en-US" w:eastAsia="zh-CN"/>
              </w:rPr>
              <w:t>或</w:t>
            </w:r>
            <w:r>
              <w:rPr>
                <w:rFonts w:hint="eastAsia"/>
                <w:b/>
                <w:bCs/>
                <w:color w:val="auto"/>
                <w:highlight w:val="none"/>
              </w:rPr>
              <w:t>临床应用案例作为证明）</w:t>
            </w:r>
            <w:r>
              <w:rPr>
                <w:rFonts w:hint="eastAsia"/>
                <w:color w:val="auto"/>
                <w:highlight w:val="none"/>
              </w:rPr>
              <w:t>。</w:t>
            </w:r>
          </w:p>
          <w:p w14:paraId="090E7859">
            <w:pPr>
              <w:rPr>
                <w:color w:val="auto"/>
                <w:highlight w:val="none"/>
              </w:rPr>
            </w:pPr>
            <w:r>
              <w:rPr>
                <w:rFonts w:hint="eastAsia"/>
                <w:color w:val="auto"/>
                <w:highlight w:val="none"/>
              </w:rPr>
              <w:t>3.产品兼容性与扩展性：投标产品具备满足信息化建设需求的特定功能或预留可技术升级空间（如模块化设计、软件可扩展性）等。按项计分，最高不超过4分。</w:t>
            </w:r>
          </w:p>
          <w:p w14:paraId="3E1DF897">
            <w:pPr>
              <w:rPr>
                <w:color w:val="auto"/>
                <w:highlight w:val="none"/>
              </w:rPr>
            </w:pPr>
            <w:r>
              <w:rPr>
                <w:rFonts w:hint="eastAsia"/>
                <w:color w:val="auto"/>
                <w:highlight w:val="none"/>
              </w:rPr>
              <w:t>（1）支持与医院现有PACS、HIS系统等无缝对接，或设备支持互联互通，或数据自动采集上传至信息系统，以及其他可实现以患者为中心的数据或信息融合技术等，符合其中1项计2分</w:t>
            </w:r>
            <w:r>
              <w:rPr>
                <w:rFonts w:hint="eastAsia"/>
                <w:b/>
                <w:bCs/>
                <w:color w:val="auto"/>
                <w:highlight w:val="none"/>
              </w:rPr>
              <w:t>（需提供接口协议或第三方检测报告）</w:t>
            </w:r>
            <w:r>
              <w:rPr>
                <w:rFonts w:hint="eastAsia"/>
                <w:color w:val="auto"/>
                <w:highlight w:val="none"/>
              </w:rPr>
              <w:t>。</w:t>
            </w:r>
          </w:p>
          <w:p w14:paraId="1F1C7F3A">
            <w:pPr>
              <w:rPr>
                <w:color w:val="auto"/>
                <w:highlight w:val="none"/>
              </w:rPr>
            </w:pPr>
            <w:r>
              <w:rPr>
                <w:rFonts w:hint="eastAsia"/>
                <w:color w:val="auto"/>
                <w:highlight w:val="none"/>
              </w:rPr>
              <w:t>（2）具备硬件预留物理接口、扩展槽位、功率冗余等设计，或软件兼容和支持后续AI算法、新诊断协议等迭代，或标准适配符合DICOM、HL7等国际标准的最新版本演进，或供应商提供可验证的长期技术升级路线等，符合其中1项计2分</w:t>
            </w:r>
            <w:r>
              <w:rPr>
                <w:rFonts w:hint="eastAsia"/>
                <w:b/>
                <w:bCs/>
                <w:color w:val="auto"/>
                <w:highlight w:val="none"/>
              </w:rPr>
              <w:t>（需提供与产品技术演进相关的证明材料）</w:t>
            </w:r>
            <w:r>
              <w:rPr>
                <w:rFonts w:hint="eastAsia"/>
                <w:color w:val="auto"/>
                <w:highlight w:val="none"/>
              </w:rPr>
              <w:t>。</w:t>
            </w:r>
          </w:p>
          <w:p w14:paraId="742D4467">
            <w:pPr>
              <w:rPr>
                <w:color w:val="auto"/>
                <w:highlight w:val="none"/>
              </w:rPr>
            </w:pPr>
          </w:p>
          <w:p w14:paraId="7A380CD4">
            <w:pPr>
              <w:rPr>
                <w:color w:val="auto"/>
                <w:highlight w:val="none"/>
              </w:rPr>
            </w:pPr>
            <w:r>
              <w:rPr>
                <w:rFonts w:hint="eastAsia"/>
                <w:color w:val="auto"/>
                <w:highlight w:val="none"/>
              </w:rPr>
              <w:t>注：若同一项技术或功能同时满足以上多项计分条款，则按最高分项仅计一次得分。</w:t>
            </w:r>
          </w:p>
        </w:tc>
      </w:tr>
      <w:tr w14:paraId="7D63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9" w:type="dxa"/>
            <w:vMerge w:val="restart"/>
            <w:vAlign w:val="center"/>
          </w:tcPr>
          <w:p w14:paraId="4FACCCB1">
            <w:pPr>
              <w:rPr>
                <w:color w:val="auto"/>
                <w:highlight w:val="none"/>
              </w:rPr>
            </w:pPr>
            <w:r>
              <w:rPr>
                <w:rFonts w:hint="eastAsia"/>
                <w:color w:val="auto"/>
                <w:highlight w:val="none"/>
              </w:rPr>
              <w:t>3</w:t>
            </w:r>
          </w:p>
        </w:tc>
        <w:tc>
          <w:tcPr>
            <w:tcW w:w="1356" w:type="dxa"/>
            <w:vMerge w:val="restart"/>
            <w:vAlign w:val="center"/>
          </w:tcPr>
          <w:p w14:paraId="32B9DBF2">
            <w:pPr>
              <w:rPr>
                <w:color w:val="auto"/>
                <w:highlight w:val="none"/>
              </w:rPr>
            </w:pPr>
            <w:r>
              <w:rPr>
                <w:rFonts w:hint="eastAsia"/>
                <w:color w:val="auto"/>
                <w:highlight w:val="none"/>
              </w:rPr>
              <w:t>商务服务（满分15分）</w:t>
            </w:r>
          </w:p>
        </w:tc>
        <w:tc>
          <w:tcPr>
            <w:tcW w:w="1576" w:type="dxa"/>
            <w:vMerge w:val="restart"/>
            <w:tcMar>
              <w:left w:w="57" w:type="dxa"/>
              <w:right w:w="57" w:type="dxa"/>
            </w:tcMar>
            <w:vAlign w:val="center"/>
          </w:tcPr>
          <w:p w14:paraId="6FB00BD2">
            <w:pPr>
              <w:rPr>
                <w:color w:val="auto"/>
                <w:highlight w:val="none"/>
              </w:rPr>
            </w:pPr>
            <w:r>
              <w:rPr>
                <w:rFonts w:hint="eastAsia"/>
                <w:color w:val="auto"/>
                <w:highlight w:val="none"/>
              </w:rPr>
              <w:t>售后服务</w:t>
            </w:r>
          </w:p>
          <w:p w14:paraId="7E44AD88">
            <w:pPr>
              <w:rPr>
                <w:color w:val="auto"/>
                <w:highlight w:val="none"/>
              </w:rPr>
            </w:pPr>
            <w:r>
              <w:rPr>
                <w:rFonts w:hint="eastAsia"/>
                <w:color w:val="auto"/>
                <w:highlight w:val="none"/>
              </w:rPr>
              <w:t>（6分）</w:t>
            </w:r>
          </w:p>
        </w:tc>
        <w:tc>
          <w:tcPr>
            <w:tcW w:w="6029" w:type="dxa"/>
            <w:vAlign w:val="center"/>
          </w:tcPr>
          <w:p w14:paraId="36BF0A2E">
            <w:pPr>
              <w:rPr>
                <w:color w:val="auto"/>
                <w:highlight w:val="none"/>
              </w:rPr>
            </w:pPr>
            <w:r>
              <w:rPr>
                <w:rFonts w:hint="eastAsia"/>
                <w:color w:val="auto"/>
                <w:highlight w:val="none"/>
              </w:rPr>
              <w:t>质保期承诺（客观分，3分）：</w:t>
            </w:r>
          </w:p>
          <w:p w14:paraId="6FEF94C6">
            <w:pPr>
              <w:rPr>
                <w:color w:val="auto"/>
                <w:highlight w:val="none"/>
              </w:rPr>
            </w:pPr>
            <w:r>
              <w:rPr>
                <w:rFonts w:hint="eastAsia"/>
                <w:color w:val="auto"/>
                <w:highlight w:val="none"/>
              </w:rPr>
              <w:t>01标</w:t>
            </w:r>
            <w:r>
              <w:rPr>
                <w:rFonts w:hint="eastAsia"/>
                <w:color w:val="auto"/>
                <w:highlight w:val="none"/>
                <w:lang w:val="en-US" w:eastAsia="zh-CN"/>
              </w:rPr>
              <w:t>在满足招标文件设备质保期最低要求的前提下，每超出最低质保年限一年的，</w:t>
            </w:r>
            <w:r>
              <w:rPr>
                <w:rFonts w:hint="eastAsia"/>
                <w:color w:val="auto"/>
                <w:highlight w:val="none"/>
              </w:rPr>
              <w:t>得1.5分，满分3分。</w:t>
            </w:r>
          </w:p>
          <w:p w14:paraId="0BA9204A">
            <w:pPr>
              <w:rPr>
                <w:color w:val="auto"/>
                <w:highlight w:val="none"/>
              </w:rPr>
            </w:pPr>
            <w:r>
              <w:rPr>
                <w:rFonts w:hint="eastAsia"/>
                <w:color w:val="auto"/>
                <w:highlight w:val="none"/>
              </w:rPr>
              <w:t>02标、03标、04标：</w:t>
            </w:r>
          </w:p>
          <w:p w14:paraId="7C71C098">
            <w:pPr>
              <w:rPr>
                <w:color w:val="auto"/>
                <w:highlight w:val="none"/>
              </w:rPr>
            </w:pPr>
            <w:r>
              <w:rPr>
                <w:rFonts w:hint="eastAsia"/>
                <w:color w:val="auto"/>
                <w:highlight w:val="none"/>
                <w:lang w:val="en-US" w:eastAsia="zh-CN"/>
              </w:rPr>
              <w:t>在满足招标文件设备质保期最低要求的前提下，每超出最低质保年限一年的，</w:t>
            </w:r>
            <w:r>
              <w:rPr>
                <w:rFonts w:hint="eastAsia"/>
                <w:color w:val="auto"/>
                <w:highlight w:val="none"/>
              </w:rPr>
              <w:t>得1分，满分3分。</w:t>
            </w:r>
          </w:p>
          <w:p w14:paraId="07FCFBD5">
            <w:pPr>
              <w:rPr>
                <w:color w:val="auto"/>
                <w:highlight w:val="none"/>
              </w:rPr>
            </w:pPr>
            <w:r>
              <w:rPr>
                <w:rFonts w:hint="eastAsia"/>
                <w:color w:val="auto"/>
                <w:highlight w:val="none"/>
              </w:rPr>
              <w:t>注：以生产厂家出具的售后服务承诺书为准，投标文件中提供生产厂家出具的售后服务承诺书复印件（或扫描件）并加盖投标人电子签章。</w:t>
            </w:r>
          </w:p>
        </w:tc>
      </w:tr>
      <w:tr w14:paraId="3C88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vAlign w:val="center"/>
          </w:tcPr>
          <w:p w14:paraId="5D247EC9">
            <w:pPr>
              <w:rPr>
                <w:color w:val="auto"/>
                <w:highlight w:val="none"/>
              </w:rPr>
            </w:pPr>
          </w:p>
        </w:tc>
        <w:tc>
          <w:tcPr>
            <w:tcW w:w="1356" w:type="dxa"/>
            <w:vMerge w:val="continue"/>
            <w:vAlign w:val="center"/>
          </w:tcPr>
          <w:p w14:paraId="7866211F">
            <w:pPr>
              <w:rPr>
                <w:color w:val="auto"/>
                <w:highlight w:val="none"/>
              </w:rPr>
            </w:pPr>
          </w:p>
        </w:tc>
        <w:tc>
          <w:tcPr>
            <w:tcW w:w="1576" w:type="dxa"/>
            <w:vMerge w:val="continue"/>
            <w:tcMar>
              <w:left w:w="57" w:type="dxa"/>
              <w:right w:w="57" w:type="dxa"/>
            </w:tcMar>
            <w:vAlign w:val="center"/>
          </w:tcPr>
          <w:p w14:paraId="3EF2E90F">
            <w:pPr>
              <w:rPr>
                <w:color w:val="auto"/>
                <w:highlight w:val="none"/>
              </w:rPr>
            </w:pPr>
          </w:p>
        </w:tc>
        <w:tc>
          <w:tcPr>
            <w:tcW w:w="6029" w:type="dxa"/>
            <w:vAlign w:val="center"/>
          </w:tcPr>
          <w:p w14:paraId="1A28E96D">
            <w:pPr>
              <w:rPr>
                <w:rFonts w:hint="eastAsia"/>
                <w:color w:val="auto"/>
                <w:highlight w:val="none"/>
                <w:lang w:val="en-US" w:eastAsia="zh-CN"/>
              </w:rPr>
            </w:pPr>
            <w:r>
              <w:rPr>
                <w:rFonts w:hint="eastAsia"/>
                <w:color w:val="auto"/>
                <w:highlight w:val="none"/>
                <w:lang w:val="en-US" w:eastAsia="zh-CN"/>
              </w:rPr>
              <w:t>维修保障措施（3分）：评审</w:t>
            </w:r>
            <w:bookmarkStart w:id="130" w:name="OLE_LINK48"/>
            <w:r>
              <w:rPr>
                <w:rFonts w:hint="eastAsia"/>
                <w:color w:val="auto"/>
                <w:highlight w:val="none"/>
                <w:lang w:val="en-US" w:eastAsia="zh-CN"/>
              </w:rPr>
              <w:t>售后服务方案</w:t>
            </w:r>
            <w:bookmarkEnd w:id="130"/>
            <w:r>
              <w:rPr>
                <w:rFonts w:hint="eastAsia"/>
                <w:color w:val="auto"/>
                <w:highlight w:val="none"/>
                <w:lang w:val="en-US" w:eastAsia="zh-CN"/>
              </w:rPr>
              <w:t>，核验投标人或产品制造商在售后服务保障方面是否具备提供</w:t>
            </w:r>
            <w:bookmarkStart w:id="131" w:name="OLE_LINK49"/>
            <w:r>
              <w:rPr>
                <w:rFonts w:hint="eastAsia"/>
                <w:color w:val="auto"/>
                <w:highlight w:val="none"/>
                <w:lang w:val="en-US" w:eastAsia="zh-CN"/>
              </w:rPr>
              <w:t>本地化</w:t>
            </w:r>
            <w:bookmarkEnd w:id="131"/>
            <w:r>
              <w:rPr>
                <w:rFonts w:hint="eastAsia"/>
                <w:color w:val="auto"/>
                <w:highlight w:val="none"/>
                <w:lang w:val="en-US" w:eastAsia="zh-CN"/>
              </w:rPr>
              <w:t>的服务能力。</w:t>
            </w:r>
          </w:p>
          <w:p w14:paraId="4978A7FF">
            <w:pPr>
              <w:rPr>
                <w:rFonts w:hint="eastAsia"/>
                <w:color w:val="auto"/>
                <w:highlight w:val="none"/>
                <w:lang w:val="en-US" w:eastAsia="zh-CN"/>
              </w:rPr>
            </w:pPr>
            <w:r>
              <w:rPr>
                <w:rFonts w:hint="eastAsia"/>
                <w:color w:val="auto"/>
                <w:highlight w:val="none"/>
                <w:lang w:val="en-US" w:eastAsia="zh-CN"/>
              </w:rPr>
              <w:t>一档：售后服务方案合理且具备可行性，具有本地备件库，承诺售后服务响应时间≤2小时，拟投入项目售后服务的技术人员不少于3人，且至少有2人为原厂认证工程师的，得3分。</w:t>
            </w:r>
          </w:p>
          <w:p w14:paraId="6B636472">
            <w:pPr>
              <w:rPr>
                <w:rFonts w:hint="eastAsia"/>
                <w:color w:val="auto"/>
                <w:highlight w:val="none"/>
                <w:lang w:val="en-US" w:eastAsia="zh-CN"/>
              </w:rPr>
            </w:pPr>
            <w:r>
              <w:rPr>
                <w:rFonts w:hint="eastAsia"/>
                <w:color w:val="auto"/>
                <w:highlight w:val="none"/>
                <w:lang w:val="en-US" w:eastAsia="zh-CN"/>
              </w:rPr>
              <w:t>二档：售后服务方案合理且具备可行性，具有本地备件库，承诺售后服务响应时间≤4小时，拟投入项目售后服务的技术人员1-2人，且至少有1人为原厂或第三方认证工程师的，得2分。</w:t>
            </w:r>
          </w:p>
          <w:p w14:paraId="7597D2E9">
            <w:pPr>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售后服务方案总体合理且具备可行性，拥有国内备件库，能够确保备件供应的稳定性，</w:t>
            </w:r>
            <w:r>
              <w:rPr>
                <w:rFonts w:hint="eastAsia"/>
                <w:color w:val="auto"/>
                <w:highlight w:val="none"/>
                <w:lang w:val="en-US" w:eastAsia="zh-CN"/>
              </w:rPr>
              <w:t>可</w:t>
            </w:r>
            <w:r>
              <w:rPr>
                <w:rFonts w:hint="eastAsia"/>
                <w:color w:val="auto"/>
                <w:highlight w:val="none"/>
              </w:rPr>
              <w:t>提供超出商务要求标准的维修响应承诺，</w:t>
            </w:r>
            <w:r>
              <w:rPr>
                <w:rFonts w:hint="eastAsia"/>
                <w:color w:val="auto"/>
                <w:highlight w:val="none"/>
                <w:lang w:val="en-US" w:eastAsia="zh-CN"/>
              </w:rPr>
              <w:t>得</w:t>
            </w:r>
            <w:r>
              <w:rPr>
                <w:rFonts w:hint="eastAsia"/>
                <w:color w:val="auto"/>
                <w:highlight w:val="none"/>
              </w:rPr>
              <w:t>1分。</w:t>
            </w:r>
          </w:p>
          <w:p w14:paraId="3DE3D12B">
            <w:pPr>
              <w:rPr>
                <w:rFonts w:hint="eastAsia"/>
                <w:color w:val="auto"/>
                <w:highlight w:val="none"/>
                <w:lang w:val="en-US" w:eastAsia="zh-CN"/>
              </w:rPr>
            </w:pPr>
            <w:r>
              <w:rPr>
                <w:rFonts w:hint="eastAsia"/>
                <w:color w:val="auto"/>
                <w:highlight w:val="none"/>
                <w:lang w:val="en-US" w:eastAsia="zh-CN"/>
              </w:rPr>
              <w:t>四档：</w:t>
            </w:r>
            <w:r>
              <w:rPr>
                <w:rFonts w:hint="eastAsia"/>
                <w:color w:val="auto"/>
                <w:highlight w:val="none"/>
              </w:rPr>
              <w:t>售后服务方案缺乏可行性，若售后服务响应时间超过4小时，或缺乏备件供应库，或缺少具备资质认证的专业技术人员，则评分为0。</w:t>
            </w:r>
          </w:p>
          <w:p w14:paraId="517A67D7">
            <w:pPr>
              <w:rPr>
                <w:color w:val="auto"/>
                <w:highlight w:val="none"/>
              </w:rPr>
            </w:pPr>
            <w:r>
              <w:rPr>
                <w:rFonts w:hint="eastAsia"/>
                <w:color w:val="auto"/>
                <w:highlight w:val="none"/>
                <w:lang w:val="en-US" w:eastAsia="zh-CN"/>
              </w:rPr>
              <w:t>注：需提供证明或承诺（售后服务机构的营业执照或办事处证明或售后服务协议或投标承诺）、拟投入售后服务机构负责人姓名、联系方式等相关证明材料。</w:t>
            </w:r>
          </w:p>
        </w:tc>
      </w:tr>
      <w:tr w14:paraId="5F10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vAlign w:val="center"/>
          </w:tcPr>
          <w:p w14:paraId="5B3FEA12">
            <w:pPr>
              <w:rPr>
                <w:color w:val="auto"/>
                <w:highlight w:val="none"/>
              </w:rPr>
            </w:pPr>
          </w:p>
        </w:tc>
        <w:tc>
          <w:tcPr>
            <w:tcW w:w="1356" w:type="dxa"/>
            <w:vMerge w:val="continue"/>
            <w:vAlign w:val="center"/>
          </w:tcPr>
          <w:p w14:paraId="1B81C8D9">
            <w:pPr>
              <w:rPr>
                <w:color w:val="auto"/>
                <w:highlight w:val="none"/>
              </w:rPr>
            </w:pPr>
          </w:p>
        </w:tc>
        <w:tc>
          <w:tcPr>
            <w:tcW w:w="1576" w:type="dxa"/>
            <w:vAlign w:val="center"/>
          </w:tcPr>
          <w:p w14:paraId="677D6EFB">
            <w:pPr>
              <w:rPr>
                <w:color w:val="auto"/>
                <w:highlight w:val="none"/>
              </w:rPr>
            </w:pPr>
            <w:r>
              <w:rPr>
                <w:rFonts w:hint="eastAsia"/>
                <w:color w:val="auto"/>
                <w:highlight w:val="none"/>
              </w:rPr>
              <w:t>培训服务</w:t>
            </w:r>
          </w:p>
          <w:p w14:paraId="7A732535">
            <w:pPr>
              <w:rPr>
                <w:color w:val="auto"/>
                <w:highlight w:val="none"/>
              </w:rPr>
            </w:pPr>
            <w:r>
              <w:rPr>
                <w:rFonts w:hint="eastAsia"/>
                <w:color w:val="auto"/>
                <w:highlight w:val="none"/>
              </w:rPr>
              <w:t>（2分）</w:t>
            </w:r>
          </w:p>
        </w:tc>
        <w:tc>
          <w:tcPr>
            <w:tcW w:w="6029" w:type="dxa"/>
            <w:vAlign w:val="center"/>
          </w:tcPr>
          <w:p w14:paraId="0E880F62">
            <w:pPr>
              <w:rPr>
                <w:color w:val="auto"/>
                <w:highlight w:val="none"/>
              </w:rPr>
            </w:pPr>
            <w:r>
              <w:rPr>
                <w:rFonts w:hint="eastAsia"/>
                <w:color w:val="auto"/>
                <w:highlight w:val="none"/>
              </w:rPr>
              <w:t>产品使用培训（2分）：投标人提供合理可行培训方案和实施承诺，且培训所产生的全部费用含在投标报价内。</w:t>
            </w:r>
          </w:p>
          <w:p w14:paraId="4A221ED5">
            <w:pPr>
              <w:rPr>
                <w:color w:val="auto"/>
                <w:highlight w:val="none"/>
              </w:rPr>
            </w:pPr>
            <w:r>
              <w:rPr>
                <w:rFonts w:hint="eastAsia"/>
                <w:color w:val="auto"/>
                <w:highlight w:val="none"/>
              </w:rPr>
              <w:t>一档：有提供专业培训服务方案的，得2分。</w:t>
            </w:r>
          </w:p>
          <w:p w14:paraId="4D555CE6">
            <w:pPr>
              <w:rPr>
                <w:color w:val="auto"/>
                <w:highlight w:val="none"/>
              </w:rPr>
            </w:pPr>
            <w:r>
              <w:rPr>
                <w:rFonts w:hint="eastAsia"/>
                <w:color w:val="auto"/>
                <w:highlight w:val="none"/>
              </w:rPr>
              <w:t>二档：有</w:t>
            </w:r>
            <w:r>
              <w:rPr>
                <w:rFonts w:hint="eastAsia"/>
                <w:color w:val="auto"/>
                <w:highlight w:val="none"/>
                <w:lang w:val="en-US" w:eastAsia="zh-CN"/>
              </w:rPr>
              <w:t>简单的培训方案且有</w:t>
            </w:r>
            <w:r>
              <w:rPr>
                <w:rFonts w:hint="eastAsia"/>
                <w:color w:val="auto"/>
                <w:highlight w:val="none"/>
              </w:rPr>
              <w:t>工程师或技术人员到采购单位，为使用人提供培训服务的，得1分。</w:t>
            </w:r>
          </w:p>
          <w:p w14:paraId="04069456">
            <w:pPr>
              <w:rPr>
                <w:color w:val="auto"/>
                <w:highlight w:val="none"/>
              </w:rPr>
            </w:pPr>
            <w:r>
              <w:rPr>
                <w:rFonts w:hint="eastAsia"/>
                <w:color w:val="auto"/>
                <w:highlight w:val="none"/>
              </w:rPr>
              <w:t>三档：无培训方案和实施承诺的，得0分。</w:t>
            </w:r>
          </w:p>
        </w:tc>
      </w:tr>
      <w:tr w14:paraId="6072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vAlign w:val="center"/>
          </w:tcPr>
          <w:p w14:paraId="0E0E21DC">
            <w:pPr>
              <w:rPr>
                <w:color w:val="auto"/>
                <w:highlight w:val="none"/>
              </w:rPr>
            </w:pPr>
          </w:p>
        </w:tc>
        <w:tc>
          <w:tcPr>
            <w:tcW w:w="1356" w:type="dxa"/>
            <w:vMerge w:val="continue"/>
            <w:vAlign w:val="center"/>
          </w:tcPr>
          <w:p w14:paraId="1A24047A">
            <w:pPr>
              <w:rPr>
                <w:color w:val="auto"/>
                <w:highlight w:val="none"/>
              </w:rPr>
            </w:pPr>
          </w:p>
        </w:tc>
        <w:tc>
          <w:tcPr>
            <w:tcW w:w="1576" w:type="dxa"/>
            <w:vAlign w:val="center"/>
          </w:tcPr>
          <w:p w14:paraId="7CC8017C">
            <w:pPr>
              <w:rPr>
                <w:color w:val="auto"/>
                <w:highlight w:val="none"/>
              </w:rPr>
            </w:pPr>
            <w:r>
              <w:rPr>
                <w:rFonts w:hint="eastAsia"/>
                <w:color w:val="auto"/>
                <w:highlight w:val="none"/>
              </w:rPr>
              <w:t>企业信誉</w:t>
            </w:r>
          </w:p>
          <w:p w14:paraId="6D6242E2">
            <w:pPr>
              <w:rPr>
                <w:color w:val="auto"/>
                <w:highlight w:val="none"/>
              </w:rPr>
            </w:pPr>
            <w:r>
              <w:rPr>
                <w:rFonts w:hint="eastAsia"/>
                <w:color w:val="auto"/>
                <w:highlight w:val="none"/>
              </w:rPr>
              <w:t>（3分）</w:t>
            </w:r>
          </w:p>
        </w:tc>
        <w:tc>
          <w:tcPr>
            <w:tcW w:w="6029" w:type="dxa"/>
            <w:vAlign w:val="center"/>
          </w:tcPr>
          <w:p w14:paraId="0E25646D">
            <w:pPr>
              <w:rPr>
                <w:color w:val="auto"/>
                <w:highlight w:val="none"/>
              </w:rPr>
            </w:pPr>
            <w:r>
              <w:rPr>
                <w:rFonts w:hint="eastAsia"/>
                <w:color w:val="auto"/>
                <w:highlight w:val="none"/>
              </w:rPr>
              <w:t>产品及维修服务信誉（客观分，3分）：投标人或投标产品生产厂家通过ISO 13485：医疗器械质量管理体系，YY/T 0287：中国医疗器械行业标准，ISO9001系列质量体系认证，每项得1.5分，满分3分。（投标文件中提供有效的盖章证书复印件）</w:t>
            </w:r>
          </w:p>
        </w:tc>
      </w:tr>
      <w:tr w14:paraId="7ED4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vAlign w:val="center"/>
          </w:tcPr>
          <w:p w14:paraId="5AF6053F">
            <w:pPr>
              <w:rPr>
                <w:color w:val="auto"/>
                <w:highlight w:val="none"/>
              </w:rPr>
            </w:pPr>
          </w:p>
        </w:tc>
        <w:tc>
          <w:tcPr>
            <w:tcW w:w="1356" w:type="dxa"/>
            <w:vMerge w:val="continue"/>
            <w:vAlign w:val="center"/>
          </w:tcPr>
          <w:p w14:paraId="4B2D74BF">
            <w:pPr>
              <w:rPr>
                <w:color w:val="auto"/>
                <w:highlight w:val="none"/>
              </w:rPr>
            </w:pPr>
          </w:p>
        </w:tc>
        <w:tc>
          <w:tcPr>
            <w:tcW w:w="1576" w:type="dxa"/>
            <w:vAlign w:val="center"/>
          </w:tcPr>
          <w:p w14:paraId="49A190C5">
            <w:pPr>
              <w:rPr>
                <w:color w:val="auto"/>
                <w:highlight w:val="none"/>
              </w:rPr>
            </w:pPr>
            <w:r>
              <w:rPr>
                <w:rFonts w:hint="eastAsia"/>
                <w:color w:val="auto"/>
                <w:highlight w:val="none"/>
              </w:rPr>
              <w:t>产品寿命</w:t>
            </w:r>
          </w:p>
          <w:p w14:paraId="7FB2013A">
            <w:pPr>
              <w:rPr>
                <w:color w:val="auto"/>
                <w:highlight w:val="none"/>
              </w:rPr>
            </w:pPr>
            <w:r>
              <w:rPr>
                <w:rFonts w:hint="eastAsia"/>
                <w:color w:val="auto"/>
                <w:highlight w:val="none"/>
              </w:rPr>
              <w:t>(4分)</w:t>
            </w:r>
          </w:p>
        </w:tc>
        <w:tc>
          <w:tcPr>
            <w:tcW w:w="6029" w:type="dxa"/>
            <w:vAlign w:val="center"/>
          </w:tcPr>
          <w:p w14:paraId="1C4CD520">
            <w:pPr>
              <w:rPr>
                <w:color w:val="auto"/>
                <w:highlight w:val="none"/>
              </w:rPr>
            </w:pPr>
            <w:r>
              <w:rPr>
                <w:rFonts w:hint="eastAsia"/>
                <w:color w:val="auto"/>
                <w:highlight w:val="none"/>
              </w:rPr>
              <w:t>产品寿命（客观分，4分）：按投标产品的设计使用年限计分。</w:t>
            </w:r>
          </w:p>
          <w:p w14:paraId="77EA577B">
            <w:pPr>
              <w:rPr>
                <w:color w:val="auto"/>
                <w:highlight w:val="none"/>
              </w:rPr>
            </w:pPr>
            <w:r>
              <w:rPr>
                <w:rFonts w:hint="eastAsia"/>
                <w:color w:val="auto"/>
                <w:highlight w:val="none"/>
              </w:rPr>
              <w:t>1.产品设计使用年限≥10年，得4分。</w:t>
            </w:r>
          </w:p>
          <w:p w14:paraId="0E6E3870">
            <w:pPr>
              <w:rPr>
                <w:color w:val="auto"/>
                <w:highlight w:val="none"/>
              </w:rPr>
            </w:pPr>
            <w:r>
              <w:rPr>
                <w:rFonts w:hint="eastAsia"/>
                <w:color w:val="auto"/>
                <w:highlight w:val="none"/>
              </w:rPr>
              <w:t>2.产品设计使用年限9年，得3分。</w:t>
            </w:r>
          </w:p>
          <w:p w14:paraId="73AFAA99">
            <w:pPr>
              <w:rPr>
                <w:color w:val="auto"/>
                <w:highlight w:val="none"/>
              </w:rPr>
            </w:pPr>
            <w:r>
              <w:rPr>
                <w:rFonts w:hint="eastAsia"/>
                <w:color w:val="auto"/>
                <w:highlight w:val="none"/>
              </w:rPr>
              <w:t>3.产品设计使用年限8年，得2分。</w:t>
            </w:r>
          </w:p>
          <w:p w14:paraId="217B35AB">
            <w:pPr>
              <w:rPr>
                <w:color w:val="auto"/>
                <w:highlight w:val="none"/>
              </w:rPr>
            </w:pPr>
            <w:r>
              <w:rPr>
                <w:rFonts w:hint="eastAsia"/>
                <w:color w:val="auto"/>
                <w:highlight w:val="none"/>
              </w:rPr>
              <w:t>4.产品设计使用年限7年，得1分。</w:t>
            </w:r>
          </w:p>
          <w:p w14:paraId="27863056">
            <w:pPr>
              <w:rPr>
                <w:color w:val="auto"/>
                <w:highlight w:val="none"/>
              </w:rPr>
            </w:pPr>
            <w:r>
              <w:rPr>
                <w:rFonts w:hint="eastAsia"/>
                <w:color w:val="auto"/>
                <w:highlight w:val="none"/>
              </w:rPr>
              <w:t>5.产品设计使用年限≤6年，得0分。</w:t>
            </w:r>
          </w:p>
          <w:p w14:paraId="3BCE4DC0">
            <w:pPr>
              <w:rPr>
                <w:color w:val="auto"/>
                <w:highlight w:val="none"/>
              </w:rPr>
            </w:pPr>
            <w:r>
              <w:rPr>
                <w:rFonts w:hint="eastAsia"/>
                <w:color w:val="auto"/>
                <w:highlight w:val="none"/>
              </w:rPr>
              <w:t>注：提供</w:t>
            </w:r>
            <w:r>
              <w:rPr>
                <w:rFonts w:hint="eastAsia"/>
                <w:color w:val="auto"/>
                <w:highlight w:val="none"/>
                <w:lang w:val="en-US" w:eastAsia="zh-CN"/>
              </w:rPr>
              <w:t>产品注册证，或产品</w:t>
            </w:r>
            <w:r>
              <w:rPr>
                <w:rFonts w:hint="eastAsia"/>
                <w:color w:val="auto"/>
                <w:highlight w:val="none"/>
              </w:rPr>
              <w:t>说明书</w:t>
            </w:r>
            <w:r>
              <w:rPr>
                <w:rFonts w:hint="eastAsia"/>
                <w:color w:val="auto"/>
                <w:highlight w:val="none"/>
                <w:lang w:eastAsia="zh-CN"/>
              </w:rPr>
              <w:t>，</w:t>
            </w:r>
            <w:r>
              <w:rPr>
                <w:rFonts w:hint="eastAsia"/>
                <w:color w:val="auto"/>
                <w:highlight w:val="none"/>
              </w:rPr>
              <w:t>或</w:t>
            </w:r>
            <w:r>
              <w:rPr>
                <w:rFonts w:hint="eastAsia"/>
                <w:color w:val="auto"/>
                <w:highlight w:val="none"/>
                <w:lang w:val="en-US" w:eastAsia="zh-CN"/>
              </w:rPr>
              <w:t>产品</w:t>
            </w:r>
            <w:r>
              <w:rPr>
                <w:rFonts w:hint="eastAsia"/>
                <w:color w:val="auto"/>
                <w:highlight w:val="none"/>
              </w:rPr>
              <w:t>彩页等相关盖章证明材料，有多项货物的分标，以核心产品的使用年限计分。如多个核心产品时，以年限最低的产品使用年限计分</w:t>
            </w:r>
          </w:p>
        </w:tc>
      </w:tr>
      <w:tr w14:paraId="52C0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4"/>
            <w:vAlign w:val="center"/>
          </w:tcPr>
          <w:p w14:paraId="17217BC3">
            <w:pPr>
              <w:rPr>
                <w:color w:val="auto"/>
                <w:highlight w:val="none"/>
              </w:rPr>
            </w:pPr>
            <w:r>
              <w:rPr>
                <w:rFonts w:hint="eastAsia"/>
                <w:color w:val="auto"/>
                <w:highlight w:val="none"/>
              </w:rPr>
              <w:t>总得分=1+2+3。</w:t>
            </w:r>
          </w:p>
        </w:tc>
      </w:tr>
    </w:tbl>
    <w:p w14:paraId="1A425471">
      <w:pPr>
        <w:pStyle w:val="14"/>
        <w:spacing w:line="360" w:lineRule="auto"/>
        <w:ind w:firstLine="420"/>
        <w:rPr>
          <w:rFonts w:asciiTheme="minorEastAsia" w:hAnsiTheme="minorEastAsia" w:eastAsiaTheme="minorEastAsia"/>
          <w:bCs/>
          <w:color w:val="auto"/>
          <w:sz w:val="21"/>
          <w:highlight w:val="none"/>
        </w:rPr>
      </w:pPr>
    </w:p>
    <w:p w14:paraId="2C3BEDCD">
      <w:pPr>
        <w:widowControl/>
        <w:jc w:val="left"/>
        <w:rPr>
          <w:rFonts w:asciiTheme="minorEastAsia" w:hAnsiTheme="minorEastAsia" w:eastAsiaTheme="minorEastAsia"/>
          <w:b/>
          <w:color w:val="auto"/>
          <w:sz w:val="24"/>
          <w:highlight w:val="none"/>
        </w:rPr>
      </w:pPr>
    </w:p>
    <w:p w14:paraId="0858EBA2">
      <w:pPr>
        <w:widowControl/>
        <w:jc w:val="left"/>
        <w:outlineLvl w:val="1"/>
        <w:rPr>
          <w:rFonts w:asciiTheme="minorEastAsia" w:hAnsiTheme="minorEastAsia" w:eastAsiaTheme="minorEastAsia"/>
          <w:b/>
          <w:color w:val="auto"/>
          <w:sz w:val="24"/>
          <w:highlight w:val="none"/>
        </w:rPr>
      </w:pPr>
      <w:r>
        <w:rPr>
          <w:rFonts w:asciiTheme="minorEastAsia" w:hAnsiTheme="minorEastAsia" w:eastAsiaTheme="minorEastAsia"/>
          <w:color w:val="auto"/>
          <w:sz w:val="30"/>
          <w:szCs w:val="30"/>
          <w:highlight w:val="none"/>
        </w:rPr>
        <w:br w:type="page"/>
      </w:r>
      <w:r>
        <w:rPr>
          <w:rFonts w:hint="eastAsia" w:asciiTheme="minorEastAsia" w:hAnsiTheme="minorEastAsia" w:eastAsiaTheme="minorEastAsia"/>
          <w:color w:val="auto"/>
          <w:sz w:val="30"/>
          <w:szCs w:val="30"/>
          <w:highlight w:val="none"/>
        </w:rPr>
        <w:t>四、中标候选人推荐</w:t>
      </w:r>
    </w:p>
    <w:p w14:paraId="45CBFE4F">
      <w:pPr>
        <w:pStyle w:val="14"/>
        <w:spacing w:line="360" w:lineRule="auto"/>
        <w:ind w:firstLine="482"/>
        <w:contextualSpacing/>
        <w:rPr>
          <w:rFonts w:asciiTheme="minorEastAsia" w:hAnsiTheme="minorEastAsia" w:eastAsiaTheme="minorEastAsia"/>
          <w:b/>
          <w:bCs/>
          <w:color w:val="auto"/>
          <w:sz w:val="24"/>
          <w:szCs w:val="24"/>
          <w:highlight w:val="none"/>
        </w:rPr>
      </w:pPr>
    </w:p>
    <w:p w14:paraId="44E8D2CA">
      <w:pPr>
        <w:pStyle w:val="14"/>
        <w:spacing w:line="360" w:lineRule="auto"/>
        <w:ind w:firstLine="482"/>
        <w:contextualSpacing/>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综合评分法</w:t>
      </w:r>
    </w:p>
    <w:p w14:paraId="2FFCB1BB">
      <w:pPr>
        <w:pStyle w:val="14"/>
        <w:spacing w:line="360" w:lineRule="auto"/>
        <w:ind w:firstLine="420" w:firstLineChars="200"/>
        <w:contextualSpacing/>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1</w:t>
      </w:r>
      <w:r>
        <w:rPr>
          <w:rFonts w:asciiTheme="minorEastAsia" w:hAnsiTheme="minorEastAsia" w:eastAsiaTheme="minorEastAsia"/>
          <w:color w:val="auto"/>
          <w:sz w:val="21"/>
          <w:highlight w:val="none"/>
        </w:rPr>
        <w:t>.</w:t>
      </w:r>
      <w:r>
        <w:rPr>
          <w:rFonts w:hint="eastAsia" w:asciiTheme="minorEastAsia" w:hAnsiTheme="minorEastAsia" w:eastAsiaTheme="minorEastAsia"/>
          <w:color w:val="auto"/>
          <w:sz w:val="21"/>
          <w:highlight w:val="none"/>
        </w:rPr>
        <w:t>评标委员会根据原始评标记录和评标结果编写评标报告，并通过电子交易平台向采购人、采购代理机构提交。</w:t>
      </w:r>
    </w:p>
    <w:p w14:paraId="545E4121">
      <w:pPr>
        <w:pStyle w:val="14"/>
        <w:spacing w:line="360" w:lineRule="auto"/>
        <w:ind w:firstLine="420" w:firstLineChars="200"/>
        <w:contextualSpacing/>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w:t>
      </w:r>
      <w:r>
        <w:rPr>
          <w:rFonts w:asciiTheme="minorEastAsia" w:hAnsiTheme="minorEastAsia" w:eastAsiaTheme="minorEastAsia"/>
          <w:color w:val="auto"/>
          <w:sz w:val="21"/>
          <w:highlight w:val="none"/>
        </w:rPr>
        <w:t>.</w:t>
      </w:r>
      <w:r>
        <w:rPr>
          <w:rFonts w:hint="eastAsia" w:asciiTheme="minorEastAsia" w:hAnsiTheme="minorEastAsia" w:eastAsiaTheme="minorEastAsia"/>
          <w:color w:val="auto"/>
          <w:sz w:val="21"/>
          <w:highlight w:val="none"/>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14:paraId="6D0F72E4">
      <w:pPr>
        <w:spacing w:beforeLines="50" w:afterLines="50" w:line="400" w:lineRule="exact"/>
        <w:rPr>
          <w:rFonts w:asciiTheme="minorEastAsia" w:hAnsiTheme="minorEastAsia" w:eastAsiaTheme="minorEastAsia"/>
          <w:b/>
          <w:color w:val="auto"/>
          <w:sz w:val="24"/>
          <w:highlight w:val="none"/>
        </w:rPr>
      </w:pPr>
    </w:p>
    <w:p w14:paraId="53CC4271">
      <w:pPr>
        <w:spacing w:beforeLines="50" w:afterLines="50" w:line="400" w:lineRule="exact"/>
        <w:rPr>
          <w:rFonts w:asciiTheme="minorEastAsia" w:hAnsiTheme="minorEastAsia" w:eastAsiaTheme="minorEastAsia"/>
          <w:b/>
          <w:color w:val="auto"/>
          <w:sz w:val="24"/>
          <w:highlight w:val="none"/>
        </w:rPr>
      </w:pPr>
    </w:p>
    <w:p w14:paraId="068F3EFF">
      <w:pPr>
        <w:spacing w:beforeLines="50" w:afterLines="50" w:line="400" w:lineRule="exact"/>
        <w:rPr>
          <w:rFonts w:asciiTheme="minorEastAsia" w:hAnsiTheme="minorEastAsia" w:eastAsiaTheme="minorEastAsia"/>
          <w:b/>
          <w:color w:val="auto"/>
          <w:sz w:val="24"/>
          <w:highlight w:val="none"/>
        </w:rPr>
      </w:pPr>
    </w:p>
    <w:p w14:paraId="4A47902F">
      <w:pPr>
        <w:spacing w:beforeLines="50" w:afterLines="50" w:line="400" w:lineRule="exact"/>
        <w:rPr>
          <w:rFonts w:asciiTheme="minorEastAsia" w:hAnsiTheme="minorEastAsia" w:eastAsiaTheme="minorEastAsia"/>
          <w:b/>
          <w:color w:val="auto"/>
          <w:sz w:val="24"/>
          <w:highlight w:val="none"/>
        </w:rPr>
      </w:pPr>
    </w:p>
    <w:p w14:paraId="3CBD3B90">
      <w:pPr>
        <w:spacing w:beforeLines="50" w:afterLines="50" w:line="400" w:lineRule="exact"/>
        <w:rPr>
          <w:rFonts w:asciiTheme="minorEastAsia" w:hAnsiTheme="minorEastAsia" w:eastAsiaTheme="minorEastAsia"/>
          <w:b/>
          <w:color w:val="auto"/>
          <w:sz w:val="24"/>
          <w:highlight w:val="none"/>
        </w:rPr>
      </w:pPr>
    </w:p>
    <w:p w14:paraId="542338D9">
      <w:pPr>
        <w:spacing w:beforeLines="50" w:afterLines="50" w:line="400" w:lineRule="exact"/>
        <w:rPr>
          <w:rFonts w:asciiTheme="minorEastAsia" w:hAnsiTheme="minorEastAsia" w:eastAsiaTheme="minorEastAsia"/>
          <w:b/>
          <w:color w:val="auto"/>
          <w:sz w:val="24"/>
          <w:highlight w:val="none"/>
        </w:rPr>
      </w:pPr>
    </w:p>
    <w:p w14:paraId="4CA7C8A8">
      <w:pPr>
        <w:spacing w:beforeLines="50" w:afterLines="50" w:line="400" w:lineRule="exact"/>
        <w:rPr>
          <w:rFonts w:asciiTheme="minorEastAsia" w:hAnsiTheme="minorEastAsia" w:eastAsiaTheme="minorEastAsia"/>
          <w:b/>
          <w:color w:val="auto"/>
          <w:sz w:val="24"/>
          <w:highlight w:val="none"/>
        </w:rPr>
      </w:pPr>
    </w:p>
    <w:p w14:paraId="7F0A3BE2">
      <w:pPr>
        <w:spacing w:beforeLines="50" w:afterLines="50" w:line="400" w:lineRule="exact"/>
        <w:rPr>
          <w:rFonts w:asciiTheme="minorEastAsia" w:hAnsiTheme="minorEastAsia" w:eastAsiaTheme="minorEastAsia"/>
          <w:b/>
          <w:color w:val="auto"/>
          <w:sz w:val="24"/>
          <w:highlight w:val="none"/>
        </w:rPr>
      </w:pPr>
    </w:p>
    <w:p w14:paraId="60C9F364">
      <w:pPr>
        <w:spacing w:beforeLines="50" w:afterLines="50" w:line="400" w:lineRule="exact"/>
        <w:rPr>
          <w:rFonts w:asciiTheme="minorEastAsia" w:hAnsiTheme="minorEastAsia" w:eastAsiaTheme="minorEastAsia"/>
          <w:b/>
          <w:color w:val="auto"/>
          <w:sz w:val="24"/>
          <w:highlight w:val="none"/>
        </w:rPr>
      </w:pPr>
    </w:p>
    <w:p w14:paraId="4AC728AB">
      <w:pPr>
        <w:spacing w:beforeLines="50" w:afterLines="50" w:line="400" w:lineRule="exact"/>
        <w:rPr>
          <w:rFonts w:asciiTheme="minorEastAsia" w:hAnsiTheme="minorEastAsia" w:eastAsiaTheme="minorEastAsia"/>
          <w:b/>
          <w:color w:val="auto"/>
          <w:sz w:val="24"/>
          <w:highlight w:val="none"/>
        </w:rPr>
      </w:pPr>
    </w:p>
    <w:p w14:paraId="6D62B663">
      <w:pPr>
        <w:pStyle w:val="3"/>
        <w:keepNext w:val="0"/>
        <w:keepLines w:val="0"/>
        <w:rPr>
          <w:rFonts w:asciiTheme="minorEastAsia" w:hAnsiTheme="minorEastAsia" w:eastAsiaTheme="minorEastAsia"/>
          <w:color w:val="auto"/>
          <w:highlight w:val="none"/>
        </w:rPr>
      </w:pPr>
    </w:p>
    <w:p w14:paraId="51D995DE">
      <w:pPr>
        <w:pStyle w:val="3"/>
        <w:keepNext w:val="0"/>
        <w:keepLines w:val="0"/>
        <w:jc w:val="center"/>
        <w:rPr>
          <w:rFonts w:asciiTheme="minorEastAsia" w:hAnsiTheme="minorEastAsia" w:eastAsiaTheme="minorEastAsia"/>
          <w:color w:val="auto"/>
          <w:highlight w:val="none"/>
        </w:rPr>
      </w:pPr>
    </w:p>
    <w:p w14:paraId="181EC9BC">
      <w:pPr>
        <w:pStyle w:val="3"/>
        <w:keepNext w:val="0"/>
        <w:keepLines w:val="0"/>
        <w:jc w:val="center"/>
        <w:rPr>
          <w:rFonts w:asciiTheme="minorEastAsia" w:hAnsiTheme="minorEastAsia" w:eastAsiaTheme="minorEastAsia"/>
          <w:color w:val="auto"/>
          <w:highlight w:val="none"/>
        </w:rPr>
      </w:pPr>
    </w:p>
    <w:p w14:paraId="57BE2E07">
      <w:pPr>
        <w:pStyle w:val="3"/>
        <w:keepNext w:val="0"/>
        <w:keepLines w:val="0"/>
        <w:jc w:val="center"/>
        <w:rPr>
          <w:rFonts w:asciiTheme="minorEastAsia" w:hAnsiTheme="minorEastAsia" w:eastAsiaTheme="minorEastAsia"/>
          <w:color w:val="auto"/>
          <w:highlight w:val="none"/>
        </w:rPr>
      </w:pPr>
    </w:p>
    <w:p w14:paraId="102589E7">
      <w:pPr>
        <w:pStyle w:val="2"/>
        <w:jc w:val="center"/>
        <w:rPr>
          <w:rFonts w:asciiTheme="minorEastAsia" w:hAnsiTheme="minorEastAsia" w:eastAsiaTheme="minorEastAsia"/>
          <w:color w:val="auto"/>
          <w:highlight w:val="none"/>
        </w:rPr>
      </w:pPr>
      <w:bookmarkStart w:id="132" w:name="_Toc74320804"/>
    </w:p>
    <w:p w14:paraId="089A1E8F">
      <w:pPr>
        <w:pStyle w:val="2"/>
        <w:jc w:val="center"/>
        <w:rPr>
          <w:rFonts w:asciiTheme="minorEastAsia" w:hAnsiTheme="minorEastAsia" w:eastAsiaTheme="minorEastAsia"/>
          <w:color w:val="auto"/>
          <w:highlight w:val="none"/>
        </w:rPr>
      </w:pPr>
    </w:p>
    <w:p w14:paraId="387C154E">
      <w:pPr>
        <w:pStyle w:val="2"/>
        <w:jc w:val="center"/>
        <w:rPr>
          <w:rFonts w:asciiTheme="minorEastAsia" w:hAnsiTheme="minorEastAsia" w:eastAsiaTheme="minorEastAsia"/>
          <w:color w:val="auto"/>
          <w:highlight w:val="none"/>
        </w:rPr>
      </w:pPr>
    </w:p>
    <w:bookmarkEnd w:id="132"/>
    <w:p w14:paraId="6935473D">
      <w:pPr>
        <w:pStyle w:val="2"/>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第五章  拟签订的合同文本</w:t>
      </w:r>
    </w:p>
    <w:p w14:paraId="189F6458">
      <w:pPr>
        <w:snapToGrid w:val="0"/>
        <w:jc w:val="center"/>
        <w:rPr>
          <w:rFonts w:asciiTheme="minorEastAsia" w:hAnsiTheme="minorEastAsia" w:eastAsiaTheme="minorEastAsia"/>
          <w:bCs/>
          <w:color w:val="auto"/>
          <w:sz w:val="32"/>
          <w:szCs w:val="32"/>
          <w:highlight w:val="none"/>
        </w:rPr>
      </w:pPr>
    </w:p>
    <w:p w14:paraId="2E213022">
      <w:pPr>
        <w:snapToGrid w:val="0"/>
        <w:jc w:val="center"/>
        <w:rPr>
          <w:rFonts w:asciiTheme="minorEastAsia" w:hAnsiTheme="minorEastAsia" w:eastAsiaTheme="minorEastAsia"/>
          <w:bCs/>
          <w:color w:val="auto"/>
          <w:sz w:val="32"/>
          <w:szCs w:val="32"/>
          <w:highlight w:val="none"/>
        </w:rPr>
      </w:pPr>
    </w:p>
    <w:p w14:paraId="396C4679">
      <w:pPr>
        <w:snapToGrid w:val="0"/>
        <w:jc w:val="center"/>
        <w:rPr>
          <w:rFonts w:asciiTheme="minorEastAsia" w:hAnsiTheme="minorEastAsia" w:eastAsiaTheme="minorEastAsia"/>
          <w:bCs/>
          <w:color w:val="auto"/>
          <w:sz w:val="32"/>
          <w:szCs w:val="32"/>
          <w:highlight w:val="none"/>
        </w:rPr>
      </w:pPr>
    </w:p>
    <w:p w14:paraId="163F386B">
      <w:pPr>
        <w:snapToGrid w:val="0"/>
        <w:jc w:val="center"/>
        <w:rPr>
          <w:rFonts w:asciiTheme="minorEastAsia" w:hAnsiTheme="minorEastAsia" w:eastAsiaTheme="minorEastAsia"/>
          <w:bCs/>
          <w:color w:val="auto"/>
          <w:sz w:val="32"/>
          <w:szCs w:val="32"/>
          <w:highlight w:val="none"/>
        </w:rPr>
      </w:pPr>
    </w:p>
    <w:p w14:paraId="6A858460">
      <w:pPr>
        <w:snapToGrid w:val="0"/>
        <w:jc w:val="center"/>
        <w:rPr>
          <w:rFonts w:asciiTheme="minorEastAsia" w:hAnsiTheme="minorEastAsia" w:eastAsiaTheme="minorEastAsia"/>
          <w:bCs/>
          <w:color w:val="auto"/>
          <w:sz w:val="32"/>
          <w:szCs w:val="32"/>
          <w:highlight w:val="none"/>
        </w:rPr>
      </w:pPr>
    </w:p>
    <w:p w14:paraId="2A27AF43">
      <w:pPr>
        <w:snapToGrid w:val="0"/>
        <w:jc w:val="center"/>
        <w:rPr>
          <w:rFonts w:asciiTheme="minorEastAsia" w:hAnsiTheme="minorEastAsia" w:eastAsiaTheme="minorEastAsia"/>
          <w:bCs/>
          <w:color w:val="auto"/>
          <w:sz w:val="32"/>
          <w:szCs w:val="32"/>
          <w:highlight w:val="none"/>
        </w:rPr>
      </w:pPr>
    </w:p>
    <w:p w14:paraId="01DACA82">
      <w:pPr>
        <w:snapToGrid w:val="0"/>
        <w:jc w:val="center"/>
        <w:rPr>
          <w:rFonts w:asciiTheme="minorEastAsia" w:hAnsiTheme="minorEastAsia" w:eastAsiaTheme="minorEastAsia"/>
          <w:bCs/>
          <w:color w:val="auto"/>
          <w:sz w:val="32"/>
          <w:szCs w:val="32"/>
          <w:highlight w:val="none"/>
        </w:rPr>
      </w:pPr>
    </w:p>
    <w:p w14:paraId="4969A9CC">
      <w:pPr>
        <w:snapToGrid w:val="0"/>
        <w:jc w:val="center"/>
        <w:rPr>
          <w:rFonts w:asciiTheme="minorEastAsia" w:hAnsiTheme="minorEastAsia" w:eastAsiaTheme="minorEastAsia"/>
          <w:bCs/>
          <w:color w:val="auto"/>
          <w:sz w:val="32"/>
          <w:szCs w:val="32"/>
          <w:highlight w:val="none"/>
        </w:rPr>
      </w:pPr>
    </w:p>
    <w:p w14:paraId="698EEB8E">
      <w:pPr>
        <w:snapToGrid w:val="0"/>
        <w:jc w:val="center"/>
        <w:rPr>
          <w:rFonts w:asciiTheme="minorEastAsia" w:hAnsiTheme="minorEastAsia" w:eastAsiaTheme="minorEastAsia"/>
          <w:bCs/>
          <w:color w:val="auto"/>
          <w:sz w:val="32"/>
          <w:szCs w:val="32"/>
          <w:highlight w:val="none"/>
        </w:rPr>
      </w:pPr>
    </w:p>
    <w:p w14:paraId="1A645A90">
      <w:pPr>
        <w:snapToGrid w:val="0"/>
        <w:jc w:val="center"/>
        <w:rPr>
          <w:rFonts w:asciiTheme="minorEastAsia" w:hAnsiTheme="minorEastAsia" w:eastAsiaTheme="minorEastAsia"/>
          <w:bCs/>
          <w:color w:val="auto"/>
          <w:sz w:val="32"/>
          <w:szCs w:val="32"/>
          <w:highlight w:val="none"/>
        </w:rPr>
      </w:pPr>
    </w:p>
    <w:p w14:paraId="3BB2B5E3">
      <w:pPr>
        <w:snapToGrid w:val="0"/>
        <w:jc w:val="center"/>
        <w:rPr>
          <w:rFonts w:asciiTheme="minorEastAsia" w:hAnsiTheme="minorEastAsia" w:eastAsiaTheme="minorEastAsia"/>
          <w:bCs/>
          <w:color w:val="auto"/>
          <w:sz w:val="32"/>
          <w:szCs w:val="32"/>
          <w:highlight w:val="none"/>
        </w:rPr>
      </w:pPr>
    </w:p>
    <w:p w14:paraId="7EEEB4CB">
      <w:pPr>
        <w:snapToGrid w:val="0"/>
        <w:jc w:val="center"/>
        <w:rPr>
          <w:rFonts w:asciiTheme="minorEastAsia" w:hAnsiTheme="minorEastAsia" w:eastAsiaTheme="minorEastAsia"/>
          <w:b/>
          <w:bCs/>
          <w:color w:val="auto"/>
          <w:sz w:val="32"/>
          <w:szCs w:val="32"/>
          <w:highlight w:val="none"/>
        </w:rPr>
      </w:pPr>
      <w:r>
        <w:rPr>
          <w:rFonts w:asciiTheme="minorEastAsia" w:hAnsiTheme="minorEastAsia" w:eastAsiaTheme="minorEastAsia"/>
          <w:bCs/>
          <w:color w:val="auto"/>
          <w:sz w:val="32"/>
          <w:szCs w:val="32"/>
          <w:highlight w:val="none"/>
        </w:rPr>
        <w:br w:type="page"/>
      </w:r>
      <w:r>
        <w:rPr>
          <w:rFonts w:hint="eastAsia" w:asciiTheme="minorEastAsia" w:hAnsiTheme="minorEastAsia" w:eastAsiaTheme="minorEastAsia"/>
          <w:b/>
          <w:bCs/>
          <w:color w:val="auto"/>
          <w:sz w:val="32"/>
          <w:szCs w:val="32"/>
          <w:highlight w:val="none"/>
        </w:rPr>
        <w:t>《广西壮族自治区政府采购合同》</w:t>
      </w:r>
    </w:p>
    <w:p w14:paraId="4178555A">
      <w:pPr>
        <w:snapToGrid w:val="0"/>
        <w:spacing w:line="400" w:lineRule="exact"/>
        <w:jc w:val="center"/>
        <w:outlineLvl w:val="1"/>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文本</w:t>
      </w:r>
    </w:p>
    <w:p w14:paraId="11FFD6F1">
      <w:pPr>
        <w:pStyle w:val="12"/>
        <w:rPr>
          <w:rFonts w:asciiTheme="minorEastAsia" w:hAnsiTheme="minorEastAsia" w:eastAsiaTheme="minorEastAsia"/>
          <w:color w:val="auto"/>
          <w:highlight w:val="none"/>
        </w:rPr>
      </w:pPr>
    </w:p>
    <w:p w14:paraId="4D7E9F3E">
      <w:pPr>
        <w:snapToGrid w:val="0"/>
        <w:spacing w:line="360" w:lineRule="auto"/>
        <w:rPr>
          <w:rFonts w:cs="微软雅黑" w:asciiTheme="minorEastAsia" w:hAnsiTheme="minorEastAsia" w:eastAsiaTheme="minorEastAsia"/>
          <w:color w:val="auto"/>
          <w:szCs w:val="21"/>
          <w:highlight w:val="none"/>
          <w:u w:val="single"/>
        </w:rPr>
      </w:pPr>
      <w:r>
        <w:rPr>
          <w:rFonts w:hint="eastAsia" w:cs="微软雅黑" w:asciiTheme="minorEastAsia" w:hAnsiTheme="minorEastAsia" w:eastAsiaTheme="minorEastAsia"/>
          <w:color w:val="auto"/>
          <w:szCs w:val="21"/>
          <w:highlight w:val="none"/>
        </w:rPr>
        <w:t>合 同 编 号：</w:t>
      </w:r>
      <w:r>
        <w:rPr>
          <w:rFonts w:hint="eastAsia" w:cs="微软雅黑" w:asciiTheme="minorEastAsia" w:hAnsiTheme="minorEastAsia" w:eastAsiaTheme="minorEastAsia"/>
          <w:color w:val="auto"/>
          <w:szCs w:val="21"/>
          <w:highlight w:val="none"/>
          <w:u w:val="single"/>
        </w:rPr>
        <w:t xml:space="preserve">                       </w:t>
      </w:r>
    </w:p>
    <w:p w14:paraId="18627A9C">
      <w:pPr>
        <w:snapToGrid w:val="0"/>
        <w:spacing w:line="360" w:lineRule="auto"/>
        <w:rPr>
          <w:rFonts w:cs="微软雅黑" w:asciiTheme="minorEastAsia" w:hAnsiTheme="minorEastAsia" w:eastAsiaTheme="minorEastAsia"/>
          <w:color w:val="auto"/>
          <w:szCs w:val="21"/>
          <w:highlight w:val="none"/>
          <w:u w:val="single"/>
        </w:rPr>
      </w:pPr>
      <w:r>
        <w:rPr>
          <w:rFonts w:hint="eastAsia" w:cs="微软雅黑" w:asciiTheme="minorEastAsia" w:hAnsiTheme="minorEastAsia" w:eastAsiaTheme="minorEastAsia"/>
          <w:color w:val="auto"/>
          <w:spacing w:val="-20"/>
          <w:szCs w:val="21"/>
          <w:highlight w:val="none"/>
        </w:rPr>
        <w:t>招  标  编  号：</w:t>
      </w:r>
      <w:r>
        <w:rPr>
          <w:rFonts w:hint="eastAsia" w:cs="微软雅黑" w:asciiTheme="minorEastAsia" w:hAnsiTheme="minorEastAsia" w:eastAsiaTheme="minorEastAsia"/>
          <w:color w:val="auto"/>
          <w:szCs w:val="21"/>
          <w:highlight w:val="none"/>
          <w:u w:val="single"/>
        </w:rPr>
        <w:t xml:space="preserve">                       </w:t>
      </w:r>
    </w:p>
    <w:p w14:paraId="48CD7EFD">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采购单位（甲方）：</w:t>
      </w:r>
      <w:r>
        <w:rPr>
          <w:rFonts w:hint="eastAsia" w:cs="微软雅黑" w:asciiTheme="minorEastAsia" w:hAnsiTheme="minorEastAsia" w:eastAsiaTheme="minorEastAsia"/>
          <w:color w:val="auto"/>
          <w:szCs w:val="21"/>
          <w:highlight w:val="none"/>
          <w:u w:val="single"/>
        </w:rPr>
        <w:t>右江民族医学院附属医院</w:t>
      </w:r>
    </w:p>
    <w:p w14:paraId="6A28C4B4">
      <w:pPr>
        <w:snapToGrid w:val="0"/>
        <w:spacing w:line="360" w:lineRule="auto"/>
        <w:rPr>
          <w:rFonts w:cs="微软雅黑" w:asciiTheme="minorEastAsia" w:hAnsiTheme="minorEastAsia" w:eastAsiaTheme="minorEastAsia"/>
          <w:color w:val="auto"/>
          <w:szCs w:val="21"/>
          <w:highlight w:val="none"/>
          <w:u w:val="single"/>
        </w:rPr>
      </w:pPr>
      <w:r>
        <w:rPr>
          <w:rFonts w:hint="eastAsia" w:cs="微软雅黑" w:asciiTheme="minorEastAsia" w:hAnsiTheme="minorEastAsia" w:eastAsiaTheme="minorEastAsia"/>
          <w:color w:val="auto"/>
          <w:spacing w:val="-20"/>
          <w:szCs w:val="21"/>
          <w:highlight w:val="none"/>
        </w:rPr>
        <w:t>采 购 计 划 文号：</w:t>
      </w:r>
      <w:r>
        <w:rPr>
          <w:rFonts w:hint="eastAsia" w:cs="微软雅黑" w:asciiTheme="minorEastAsia" w:hAnsiTheme="minorEastAsia" w:eastAsiaTheme="minorEastAsia"/>
          <w:color w:val="auto"/>
          <w:szCs w:val="21"/>
          <w:highlight w:val="none"/>
          <w:u w:val="single"/>
        </w:rPr>
        <w:t xml:space="preserve">                       </w:t>
      </w:r>
    </w:p>
    <w:p w14:paraId="3D12D547">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供 应 商（乙方）：</w:t>
      </w:r>
      <w:r>
        <w:rPr>
          <w:rFonts w:hint="eastAsia" w:cs="微软雅黑" w:asciiTheme="minorEastAsia" w:hAnsiTheme="minorEastAsia" w:eastAsiaTheme="minorEastAsia"/>
          <w:color w:val="auto"/>
          <w:szCs w:val="21"/>
          <w:highlight w:val="none"/>
          <w:u w:val="single"/>
        </w:rPr>
        <w:t xml:space="preserve">                       </w:t>
      </w:r>
    </w:p>
    <w:p w14:paraId="7E081C91">
      <w:pPr>
        <w:snapToGrid w:val="0"/>
        <w:spacing w:line="360" w:lineRule="auto"/>
        <w:rPr>
          <w:rFonts w:cs="微软雅黑" w:asciiTheme="minorEastAsia" w:hAnsiTheme="minorEastAsia" w:eastAsiaTheme="minorEastAsia"/>
          <w:color w:val="auto"/>
          <w:szCs w:val="21"/>
          <w:highlight w:val="none"/>
          <w:u w:val="single"/>
        </w:rPr>
      </w:pPr>
      <w:r>
        <w:rPr>
          <w:rFonts w:hint="eastAsia" w:cs="微软雅黑" w:asciiTheme="minorEastAsia" w:hAnsiTheme="minorEastAsia" w:eastAsiaTheme="minorEastAsia"/>
          <w:color w:val="auto"/>
          <w:szCs w:val="21"/>
          <w:highlight w:val="none"/>
        </w:rPr>
        <w:t>签  订  地  点 ：</w:t>
      </w:r>
      <w:r>
        <w:rPr>
          <w:rFonts w:hint="eastAsia" w:cs="微软雅黑" w:asciiTheme="minorEastAsia" w:hAnsiTheme="minorEastAsia" w:eastAsiaTheme="minorEastAsia"/>
          <w:color w:val="auto"/>
          <w:szCs w:val="21"/>
          <w:highlight w:val="none"/>
          <w:u w:val="single"/>
        </w:rPr>
        <w:t xml:space="preserve"> 右江民族医学院附属医院 </w:t>
      </w:r>
      <w:r>
        <w:rPr>
          <w:rFonts w:hint="eastAsia" w:cs="微软雅黑" w:asciiTheme="minorEastAsia" w:hAnsiTheme="minorEastAsia" w:eastAsiaTheme="minorEastAsia"/>
          <w:color w:val="auto"/>
          <w:szCs w:val="21"/>
          <w:highlight w:val="none"/>
        </w:rPr>
        <w:t xml:space="preserve">       签 订 时 间：</w:t>
      </w:r>
      <w:r>
        <w:rPr>
          <w:rFonts w:hint="eastAsia" w:cs="微软雅黑" w:asciiTheme="minorEastAsia" w:hAnsiTheme="minorEastAsia" w:eastAsiaTheme="minorEastAsia"/>
          <w:color w:val="auto"/>
          <w:szCs w:val="21"/>
          <w:highlight w:val="none"/>
          <w:u w:val="single"/>
        </w:rPr>
        <w:t xml:space="preserve"> 2025年   月   日 </w:t>
      </w:r>
    </w:p>
    <w:p w14:paraId="68A08448">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本合同为中小企业预留合同：</w:t>
      </w:r>
      <w:r>
        <w:rPr>
          <w:rFonts w:hint="eastAsia" w:cs="微软雅黑" w:asciiTheme="minorEastAsia" w:hAnsiTheme="minorEastAsia" w:eastAsiaTheme="minorEastAsia"/>
          <w:color w:val="auto"/>
          <w:szCs w:val="21"/>
          <w:highlight w:val="none"/>
          <w:u w:val="single"/>
        </w:rPr>
        <w:t xml:space="preserve"> 否</w:t>
      </w:r>
      <w:r>
        <w:rPr>
          <w:rFonts w:hint="eastAsia" w:cs="微软雅黑" w:asciiTheme="minorEastAsia" w:hAnsiTheme="minorEastAsia" w:eastAsiaTheme="minorEastAsia"/>
          <w:color w:val="auto"/>
          <w:szCs w:val="21"/>
          <w:highlight w:val="none"/>
        </w:rPr>
        <w:t xml:space="preserve"> 。</w:t>
      </w:r>
    </w:p>
    <w:p w14:paraId="3C5707BF">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根据《中华人民共和国政府采购法》、《中华人民共和国民法典》等法律、法规规定，按照招响应文件（采购文件）规定条款和中标供应商承诺，甲乙双方签订本合同。</w:t>
      </w:r>
    </w:p>
    <w:p w14:paraId="4ECC645E">
      <w:pPr>
        <w:spacing w:afterLines="40" w:line="360" w:lineRule="auto"/>
        <w:ind w:firstLine="422" w:firstLineChars="200"/>
        <w:outlineLvl w:val="1"/>
        <w:rPr>
          <w:rFonts w:cs="微软雅黑" w:asciiTheme="minorEastAsia" w:hAnsiTheme="minorEastAsia" w:eastAsiaTheme="minorEastAsia"/>
          <w:color w:val="auto"/>
          <w:highlight w:val="none"/>
        </w:rPr>
      </w:pPr>
      <w:r>
        <w:rPr>
          <w:rFonts w:hint="eastAsia" w:cs="微软雅黑" w:asciiTheme="minorEastAsia" w:hAnsiTheme="minorEastAsia" w:eastAsiaTheme="minorEastAsia"/>
          <w:b/>
          <w:color w:val="auto"/>
          <w:szCs w:val="21"/>
          <w:highlight w:val="none"/>
        </w:rPr>
        <w:t>第一条 合同标的</w:t>
      </w:r>
    </w:p>
    <w:p w14:paraId="55D6B8B2">
      <w:pPr>
        <w:spacing w:afterLines="40" w:line="360" w:lineRule="auto"/>
        <w:ind w:firstLine="420" w:firstLineChars="200"/>
        <w:outlineLvl w:val="2"/>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供货一览表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65"/>
        <w:gridCol w:w="1265"/>
        <w:gridCol w:w="1265"/>
        <w:gridCol w:w="1265"/>
        <w:gridCol w:w="790"/>
        <w:gridCol w:w="816"/>
        <w:gridCol w:w="1238"/>
        <w:gridCol w:w="1134"/>
      </w:tblGrid>
      <w:tr w14:paraId="2C79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14:paraId="20A9746A">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序号</w:t>
            </w:r>
          </w:p>
        </w:tc>
        <w:tc>
          <w:tcPr>
            <w:tcW w:w="642" w:type="pct"/>
            <w:vAlign w:val="center"/>
          </w:tcPr>
          <w:p w14:paraId="50D6C6B6">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产品名称</w:t>
            </w:r>
          </w:p>
        </w:tc>
        <w:tc>
          <w:tcPr>
            <w:tcW w:w="642" w:type="pct"/>
            <w:vAlign w:val="center"/>
          </w:tcPr>
          <w:p w14:paraId="71E60C57">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商标品牌</w:t>
            </w:r>
          </w:p>
        </w:tc>
        <w:tc>
          <w:tcPr>
            <w:tcW w:w="642" w:type="pct"/>
            <w:vAlign w:val="center"/>
          </w:tcPr>
          <w:p w14:paraId="415D178D">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规格型号</w:t>
            </w:r>
          </w:p>
        </w:tc>
        <w:tc>
          <w:tcPr>
            <w:tcW w:w="642" w:type="pct"/>
            <w:vAlign w:val="center"/>
          </w:tcPr>
          <w:p w14:paraId="01A19ED7">
            <w:pPr>
              <w:spacing w:line="360" w:lineRule="auto"/>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生产厂家/国别</w:t>
            </w:r>
          </w:p>
        </w:tc>
        <w:tc>
          <w:tcPr>
            <w:tcW w:w="401" w:type="pct"/>
            <w:vAlign w:val="center"/>
          </w:tcPr>
          <w:p w14:paraId="4408146A">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数量</w:t>
            </w:r>
          </w:p>
        </w:tc>
        <w:tc>
          <w:tcPr>
            <w:tcW w:w="414" w:type="pct"/>
            <w:vAlign w:val="center"/>
          </w:tcPr>
          <w:p w14:paraId="1F4361CF">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单位</w:t>
            </w:r>
          </w:p>
        </w:tc>
        <w:tc>
          <w:tcPr>
            <w:tcW w:w="628" w:type="pct"/>
            <w:vAlign w:val="center"/>
          </w:tcPr>
          <w:p w14:paraId="1DC72A89">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单价(元)</w:t>
            </w:r>
          </w:p>
        </w:tc>
        <w:tc>
          <w:tcPr>
            <w:tcW w:w="576" w:type="pct"/>
            <w:vAlign w:val="center"/>
          </w:tcPr>
          <w:p w14:paraId="14E0CB5F">
            <w:pPr>
              <w:spacing w:line="360" w:lineRule="auto"/>
              <w:jc w:val="center"/>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金额(元)</w:t>
            </w:r>
          </w:p>
        </w:tc>
      </w:tr>
      <w:tr w14:paraId="4984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14:paraId="21F94688">
            <w:pPr>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p>
        </w:tc>
        <w:tc>
          <w:tcPr>
            <w:tcW w:w="642" w:type="pct"/>
            <w:vAlign w:val="center"/>
          </w:tcPr>
          <w:p w14:paraId="4CA3C0E8">
            <w:pPr>
              <w:spacing w:line="360" w:lineRule="auto"/>
              <w:rPr>
                <w:rFonts w:cs="微软雅黑" w:asciiTheme="minorEastAsia" w:hAnsiTheme="minorEastAsia" w:eastAsiaTheme="minorEastAsia"/>
                <w:color w:val="auto"/>
                <w:szCs w:val="21"/>
                <w:highlight w:val="none"/>
              </w:rPr>
            </w:pPr>
          </w:p>
        </w:tc>
        <w:tc>
          <w:tcPr>
            <w:tcW w:w="642" w:type="pct"/>
            <w:vAlign w:val="center"/>
          </w:tcPr>
          <w:p w14:paraId="4950E3CF">
            <w:pPr>
              <w:widowControl/>
              <w:adjustRightInd w:val="0"/>
              <w:snapToGrid w:val="0"/>
              <w:spacing w:line="360" w:lineRule="auto"/>
              <w:jc w:val="center"/>
              <w:rPr>
                <w:rFonts w:cs="微软雅黑" w:asciiTheme="minorEastAsia" w:hAnsiTheme="minorEastAsia" w:eastAsiaTheme="minorEastAsia"/>
                <w:color w:val="auto"/>
                <w:szCs w:val="21"/>
                <w:highlight w:val="none"/>
              </w:rPr>
            </w:pPr>
          </w:p>
        </w:tc>
        <w:tc>
          <w:tcPr>
            <w:tcW w:w="642" w:type="pct"/>
            <w:vAlign w:val="center"/>
          </w:tcPr>
          <w:p w14:paraId="2615FD6E">
            <w:pPr>
              <w:spacing w:line="360" w:lineRule="auto"/>
              <w:jc w:val="center"/>
              <w:rPr>
                <w:rFonts w:cs="微软雅黑" w:asciiTheme="minorEastAsia" w:hAnsiTheme="minorEastAsia" w:eastAsiaTheme="minorEastAsia"/>
                <w:color w:val="auto"/>
                <w:szCs w:val="21"/>
                <w:highlight w:val="none"/>
              </w:rPr>
            </w:pPr>
          </w:p>
        </w:tc>
        <w:tc>
          <w:tcPr>
            <w:tcW w:w="642" w:type="pct"/>
            <w:vAlign w:val="center"/>
          </w:tcPr>
          <w:p w14:paraId="50822C60">
            <w:pPr>
              <w:spacing w:line="360" w:lineRule="auto"/>
              <w:jc w:val="center"/>
              <w:rPr>
                <w:rFonts w:cs="微软雅黑" w:asciiTheme="minorEastAsia" w:hAnsiTheme="minorEastAsia" w:eastAsiaTheme="minorEastAsia"/>
                <w:color w:val="auto"/>
                <w:szCs w:val="21"/>
                <w:highlight w:val="none"/>
              </w:rPr>
            </w:pPr>
          </w:p>
        </w:tc>
        <w:tc>
          <w:tcPr>
            <w:tcW w:w="401" w:type="pct"/>
            <w:vAlign w:val="center"/>
          </w:tcPr>
          <w:p w14:paraId="0B7D8D11">
            <w:pPr>
              <w:spacing w:line="360" w:lineRule="auto"/>
              <w:jc w:val="center"/>
              <w:rPr>
                <w:rFonts w:cs="微软雅黑" w:asciiTheme="minorEastAsia" w:hAnsiTheme="minorEastAsia" w:eastAsiaTheme="minorEastAsia"/>
                <w:color w:val="auto"/>
                <w:szCs w:val="21"/>
                <w:highlight w:val="none"/>
              </w:rPr>
            </w:pPr>
          </w:p>
        </w:tc>
        <w:tc>
          <w:tcPr>
            <w:tcW w:w="414" w:type="pct"/>
            <w:vAlign w:val="center"/>
          </w:tcPr>
          <w:p w14:paraId="144EFAA5">
            <w:pPr>
              <w:spacing w:line="360" w:lineRule="auto"/>
              <w:rPr>
                <w:rFonts w:cs="微软雅黑" w:asciiTheme="minorEastAsia" w:hAnsiTheme="minorEastAsia" w:eastAsiaTheme="minorEastAsia"/>
                <w:color w:val="auto"/>
                <w:szCs w:val="21"/>
                <w:highlight w:val="none"/>
              </w:rPr>
            </w:pPr>
          </w:p>
        </w:tc>
        <w:tc>
          <w:tcPr>
            <w:tcW w:w="628" w:type="pct"/>
            <w:vAlign w:val="center"/>
          </w:tcPr>
          <w:p w14:paraId="5775CF1D">
            <w:pPr>
              <w:spacing w:line="360" w:lineRule="auto"/>
              <w:rPr>
                <w:rFonts w:cs="微软雅黑" w:asciiTheme="minorEastAsia" w:hAnsiTheme="minorEastAsia" w:eastAsiaTheme="minorEastAsia"/>
                <w:color w:val="auto"/>
                <w:szCs w:val="21"/>
                <w:highlight w:val="none"/>
              </w:rPr>
            </w:pPr>
          </w:p>
        </w:tc>
        <w:tc>
          <w:tcPr>
            <w:tcW w:w="576" w:type="pct"/>
            <w:vAlign w:val="center"/>
          </w:tcPr>
          <w:p w14:paraId="41326DB8">
            <w:pPr>
              <w:spacing w:line="360" w:lineRule="auto"/>
              <w:rPr>
                <w:rFonts w:cs="微软雅黑" w:asciiTheme="minorEastAsia" w:hAnsiTheme="minorEastAsia" w:eastAsiaTheme="minorEastAsia"/>
                <w:color w:val="auto"/>
                <w:szCs w:val="21"/>
                <w:highlight w:val="none"/>
              </w:rPr>
            </w:pPr>
          </w:p>
        </w:tc>
      </w:tr>
      <w:tr w14:paraId="6FDA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14:paraId="185D62A5">
            <w:pPr>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p>
        </w:tc>
        <w:tc>
          <w:tcPr>
            <w:tcW w:w="642" w:type="pct"/>
            <w:vAlign w:val="center"/>
          </w:tcPr>
          <w:p w14:paraId="6B96327C">
            <w:pPr>
              <w:spacing w:line="360" w:lineRule="auto"/>
              <w:rPr>
                <w:rFonts w:cs="微软雅黑" w:asciiTheme="minorEastAsia" w:hAnsiTheme="minorEastAsia" w:eastAsiaTheme="minorEastAsia"/>
                <w:color w:val="auto"/>
                <w:szCs w:val="21"/>
                <w:highlight w:val="none"/>
              </w:rPr>
            </w:pPr>
          </w:p>
        </w:tc>
        <w:tc>
          <w:tcPr>
            <w:tcW w:w="642" w:type="pct"/>
            <w:vAlign w:val="center"/>
          </w:tcPr>
          <w:p w14:paraId="15066384">
            <w:pPr>
              <w:widowControl/>
              <w:adjustRightInd w:val="0"/>
              <w:snapToGrid w:val="0"/>
              <w:spacing w:line="360" w:lineRule="auto"/>
              <w:jc w:val="center"/>
              <w:rPr>
                <w:rFonts w:cs="微软雅黑" w:asciiTheme="minorEastAsia" w:hAnsiTheme="minorEastAsia" w:eastAsiaTheme="minorEastAsia"/>
                <w:color w:val="auto"/>
                <w:szCs w:val="21"/>
                <w:highlight w:val="none"/>
              </w:rPr>
            </w:pPr>
          </w:p>
        </w:tc>
        <w:tc>
          <w:tcPr>
            <w:tcW w:w="642" w:type="pct"/>
            <w:vAlign w:val="center"/>
          </w:tcPr>
          <w:p w14:paraId="00D97937">
            <w:pPr>
              <w:spacing w:line="360" w:lineRule="auto"/>
              <w:jc w:val="center"/>
              <w:rPr>
                <w:rFonts w:cs="微软雅黑" w:asciiTheme="minorEastAsia" w:hAnsiTheme="minorEastAsia" w:eastAsiaTheme="minorEastAsia"/>
                <w:color w:val="auto"/>
                <w:szCs w:val="21"/>
                <w:highlight w:val="none"/>
              </w:rPr>
            </w:pPr>
          </w:p>
        </w:tc>
        <w:tc>
          <w:tcPr>
            <w:tcW w:w="642" w:type="pct"/>
            <w:vAlign w:val="center"/>
          </w:tcPr>
          <w:p w14:paraId="3DF29A04">
            <w:pPr>
              <w:spacing w:line="360" w:lineRule="auto"/>
              <w:jc w:val="center"/>
              <w:rPr>
                <w:rFonts w:cs="微软雅黑" w:asciiTheme="minorEastAsia" w:hAnsiTheme="minorEastAsia" w:eastAsiaTheme="minorEastAsia"/>
                <w:color w:val="auto"/>
                <w:szCs w:val="21"/>
                <w:highlight w:val="none"/>
              </w:rPr>
            </w:pPr>
          </w:p>
        </w:tc>
        <w:tc>
          <w:tcPr>
            <w:tcW w:w="401" w:type="pct"/>
            <w:vAlign w:val="center"/>
          </w:tcPr>
          <w:p w14:paraId="6535364C">
            <w:pPr>
              <w:spacing w:line="360" w:lineRule="auto"/>
              <w:jc w:val="center"/>
              <w:rPr>
                <w:rFonts w:cs="微软雅黑" w:asciiTheme="minorEastAsia" w:hAnsiTheme="minorEastAsia" w:eastAsiaTheme="minorEastAsia"/>
                <w:color w:val="auto"/>
                <w:szCs w:val="21"/>
                <w:highlight w:val="none"/>
              </w:rPr>
            </w:pPr>
          </w:p>
        </w:tc>
        <w:tc>
          <w:tcPr>
            <w:tcW w:w="414" w:type="pct"/>
            <w:vAlign w:val="center"/>
          </w:tcPr>
          <w:p w14:paraId="65A25E91">
            <w:pPr>
              <w:spacing w:line="360" w:lineRule="auto"/>
              <w:rPr>
                <w:rFonts w:cs="微软雅黑" w:asciiTheme="minorEastAsia" w:hAnsiTheme="minorEastAsia" w:eastAsiaTheme="minorEastAsia"/>
                <w:color w:val="auto"/>
                <w:szCs w:val="21"/>
                <w:highlight w:val="none"/>
              </w:rPr>
            </w:pPr>
          </w:p>
        </w:tc>
        <w:tc>
          <w:tcPr>
            <w:tcW w:w="628" w:type="pct"/>
            <w:vAlign w:val="center"/>
          </w:tcPr>
          <w:p w14:paraId="3BA57713">
            <w:pPr>
              <w:spacing w:line="360" w:lineRule="auto"/>
              <w:rPr>
                <w:rFonts w:cs="微软雅黑" w:asciiTheme="minorEastAsia" w:hAnsiTheme="minorEastAsia" w:eastAsiaTheme="minorEastAsia"/>
                <w:color w:val="auto"/>
                <w:szCs w:val="21"/>
                <w:highlight w:val="none"/>
              </w:rPr>
            </w:pPr>
          </w:p>
        </w:tc>
        <w:tc>
          <w:tcPr>
            <w:tcW w:w="576" w:type="pct"/>
            <w:vAlign w:val="center"/>
          </w:tcPr>
          <w:p w14:paraId="25895750">
            <w:pPr>
              <w:spacing w:line="360" w:lineRule="auto"/>
              <w:rPr>
                <w:rFonts w:cs="微软雅黑" w:asciiTheme="minorEastAsia" w:hAnsiTheme="minorEastAsia" w:eastAsiaTheme="minorEastAsia"/>
                <w:color w:val="auto"/>
                <w:szCs w:val="21"/>
                <w:highlight w:val="none"/>
              </w:rPr>
            </w:pPr>
          </w:p>
        </w:tc>
      </w:tr>
      <w:tr w14:paraId="7BA2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14:paraId="091FF9FF">
            <w:pPr>
              <w:spacing w:line="360" w:lineRule="auto"/>
              <w:rPr>
                <w:rFonts w:cs="微软雅黑" w:asciiTheme="minorEastAsia" w:hAnsiTheme="minorEastAsia" w:eastAsiaTheme="minorEastAsia"/>
                <w:color w:val="auto"/>
                <w:szCs w:val="21"/>
                <w:highlight w:val="none"/>
              </w:rPr>
            </w:pPr>
          </w:p>
        </w:tc>
        <w:tc>
          <w:tcPr>
            <w:tcW w:w="642" w:type="pct"/>
            <w:vAlign w:val="center"/>
          </w:tcPr>
          <w:p w14:paraId="4EEC0F53">
            <w:pPr>
              <w:spacing w:line="360" w:lineRule="auto"/>
              <w:rPr>
                <w:rFonts w:cs="微软雅黑" w:asciiTheme="minorEastAsia" w:hAnsiTheme="minorEastAsia" w:eastAsiaTheme="minorEastAsia"/>
                <w:color w:val="auto"/>
                <w:szCs w:val="21"/>
                <w:highlight w:val="none"/>
              </w:rPr>
            </w:pPr>
          </w:p>
        </w:tc>
        <w:tc>
          <w:tcPr>
            <w:tcW w:w="642" w:type="pct"/>
            <w:vAlign w:val="center"/>
          </w:tcPr>
          <w:p w14:paraId="4CAD4BAD">
            <w:pPr>
              <w:widowControl/>
              <w:adjustRightInd w:val="0"/>
              <w:snapToGrid w:val="0"/>
              <w:spacing w:line="360" w:lineRule="auto"/>
              <w:jc w:val="center"/>
              <w:rPr>
                <w:rFonts w:cs="微软雅黑" w:asciiTheme="minorEastAsia" w:hAnsiTheme="minorEastAsia" w:eastAsiaTheme="minorEastAsia"/>
                <w:color w:val="auto"/>
                <w:szCs w:val="21"/>
                <w:highlight w:val="none"/>
              </w:rPr>
            </w:pPr>
          </w:p>
        </w:tc>
        <w:tc>
          <w:tcPr>
            <w:tcW w:w="642" w:type="pct"/>
            <w:vAlign w:val="center"/>
          </w:tcPr>
          <w:p w14:paraId="59215F18">
            <w:pPr>
              <w:spacing w:line="360" w:lineRule="auto"/>
              <w:jc w:val="center"/>
              <w:rPr>
                <w:rFonts w:cs="微软雅黑" w:asciiTheme="minorEastAsia" w:hAnsiTheme="minorEastAsia" w:eastAsiaTheme="minorEastAsia"/>
                <w:color w:val="auto"/>
                <w:szCs w:val="21"/>
                <w:highlight w:val="none"/>
              </w:rPr>
            </w:pPr>
          </w:p>
        </w:tc>
        <w:tc>
          <w:tcPr>
            <w:tcW w:w="642" w:type="pct"/>
            <w:vAlign w:val="center"/>
          </w:tcPr>
          <w:p w14:paraId="3CAD708A">
            <w:pPr>
              <w:spacing w:line="360" w:lineRule="auto"/>
              <w:jc w:val="center"/>
              <w:rPr>
                <w:rFonts w:cs="微软雅黑" w:asciiTheme="minorEastAsia" w:hAnsiTheme="minorEastAsia" w:eastAsiaTheme="minorEastAsia"/>
                <w:color w:val="auto"/>
                <w:szCs w:val="21"/>
                <w:highlight w:val="none"/>
              </w:rPr>
            </w:pPr>
          </w:p>
        </w:tc>
        <w:tc>
          <w:tcPr>
            <w:tcW w:w="401" w:type="pct"/>
            <w:vAlign w:val="center"/>
          </w:tcPr>
          <w:p w14:paraId="7E083834">
            <w:pPr>
              <w:spacing w:line="360" w:lineRule="auto"/>
              <w:jc w:val="center"/>
              <w:rPr>
                <w:rFonts w:cs="微软雅黑" w:asciiTheme="minorEastAsia" w:hAnsiTheme="minorEastAsia" w:eastAsiaTheme="minorEastAsia"/>
                <w:color w:val="auto"/>
                <w:szCs w:val="21"/>
                <w:highlight w:val="none"/>
              </w:rPr>
            </w:pPr>
          </w:p>
        </w:tc>
        <w:tc>
          <w:tcPr>
            <w:tcW w:w="414" w:type="pct"/>
            <w:vAlign w:val="center"/>
          </w:tcPr>
          <w:p w14:paraId="6FAF33CF">
            <w:pPr>
              <w:spacing w:line="360" w:lineRule="auto"/>
              <w:rPr>
                <w:rFonts w:cs="微软雅黑" w:asciiTheme="minorEastAsia" w:hAnsiTheme="minorEastAsia" w:eastAsiaTheme="minorEastAsia"/>
                <w:color w:val="auto"/>
                <w:szCs w:val="21"/>
                <w:highlight w:val="none"/>
              </w:rPr>
            </w:pPr>
          </w:p>
        </w:tc>
        <w:tc>
          <w:tcPr>
            <w:tcW w:w="628" w:type="pct"/>
            <w:vAlign w:val="center"/>
          </w:tcPr>
          <w:p w14:paraId="7985FFE7">
            <w:pPr>
              <w:spacing w:line="360" w:lineRule="auto"/>
              <w:rPr>
                <w:rFonts w:cs="微软雅黑" w:asciiTheme="minorEastAsia" w:hAnsiTheme="minorEastAsia" w:eastAsiaTheme="minorEastAsia"/>
                <w:color w:val="auto"/>
                <w:szCs w:val="21"/>
                <w:highlight w:val="none"/>
              </w:rPr>
            </w:pPr>
          </w:p>
        </w:tc>
        <w:tc>
          <w:tcPr>
            <w:tcW w:w="576" w:type="pct"/>
            <w:vAlign w:val="center"/>
          </w:tcPr>
          <w:p w14:paraId="5978D509">
            <w:pPr>
              <w:spacing w:line="360" w:lineRule="auto"/>
              <w:rPr>
                <w:rFonts w:cs="微软雅黑" w:asciiTheme="minorEastAsia" w:hAnsiTheme="minorEastAsia" w:eastAsiaTheme="minorEastAsia"/>
                <w:color w:val="auto"/>
                <w:szCs w:val="21"/>
                <w:highlight w:val="none"/>
              </w:rPr>
            </w:pPr>
          </w:p>
        </w:tc>
      </w:tr>
      <w:tr w14:paraId="6982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gridSpan w:val="9"/>
            <w:vAlign w:val="center"/>
          </w:tcPr>
          <w:p w14:paraId="5BAD75C6">
            <w:pPr>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人民币合计金额(大写)</w:t>
            </w:r>
            <w:r>
              <w:rPr>
                <w:rFonts w:hint="eastAsia" w:cs="微软雅黑" w:asciiTheme="minorEastAsia" w:hAnsiTheme="minorEastAsia" w:eastAsiaTheme="minorEastAsia"/>
                <w:color w:val="auto"/>
                <w:highlight w:val="none"/>
              </w:rPr>
              <w:t xml:space="preserve"> </w:t>
            </w:r>
            <w:r>
              <w:rPr>
                <w:rFonts w:hint="eastAsia" w:cs="微软雅黑" w:asciiTheme="minorEastAsia" w:hAnsiTheme="minorEastAsia" w:eastAsiaTheme="minorEastAsia"/>
                <w:color w:val="auto"/>
                <w:szCs w:val="21"/>
                <w:highlight w:val="none"/>
              </w:rPr>
              <w:t xml:space="preserve"> </w:t>
            </w:r>
            <w:r>
              <w:rPr>
                <w:rFonts w:hint="eastAsia" w:cs="微软雅黑" w:asciiTheme="minorEastAsia" w:hAnsiTheme="minorEastAsia" w:eastAsiaTheme="minorEastAsia"/>
                <w:color w:val="auto"/>
                <w:szCs w:val="21"/>
                <w:highlight w:val="none"/>
                <w:u w:val="single"/>
              </w:rPr>
              <w:t xml:space="preserve">                          </w:t>
            </w:r>
            <w:r>
              <w:rPr>
                <w:rFonts w:hint="eastAsia" w:cs="微软雅黑" w:asciiTheme="minorEastAsia" w:hAnsiTheme="minorEastAsia" w:eastAsiaTheme="minorEastAsia"/>
                <w:color w:val="auto"/>
                <w:szCs w:val="21"/>
                <w:highlight w:val="none"/>
              </w:rPr>
              <w:t xml:space="preserve">（￥ </w:t>
            </w:r>
            <w:r>
              <w:rPr>
                <w:rFonts w:hint="eastAsia" w:cs="微软雅黑" w:asciiTheme="minorEastAsia" w:hAnsiTheme="minorEastAsia" w:eastAsiaTheme="minorEastAsia"/>
                <w:color w:val="auto"/>
                <w:szCs w:val="21"/>
                <w:highlight w:val="none"/>
                <w:u w:val="single"/>
              </w:rPr>
              <w:t xml:space="preserve">                          </w:t>
            </w:r>
            <w:r>
              <w:rPr>
                <w:rFonts w:hint="eastAsia" w:cs="微软雅黑" w:asciiTheme="minorEastAsia" w:hAnsiTheme="minorEastAsia" w:eastAsiaTheme="minorEastAsia"/>
                <w:color w:val="auto"/>
                <w:szCs w:val="21"/>
                <w:highlight w:val="none"/>
              </w:rPr>
              <w:t>）</w:t>
            </w:r>
          </w:p>
        </w:tc>
      </w:tr>
    </w:tbl>
    <w:p w14:paraId="7F9DB66A">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asciiTheme="minorEastAsia" w:hAnsiTheme="minorEastAsia" w:eastAsiaTheme="minorEastAsia"/>
          <w:color w:val="auto"/>
          <w:szCs w:val="21"/>
          <w:highlight w:val="none"/>
        </w:rPr>
        <w:t>合同合计金额包括货物价款，备件、专用工具、安装、调试、检验、技术培训及技术资料和包装、运输等全部费用。如公告规定、采购文件及投标文件对其另有规定的【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从其规定。</w:t>
      </w:r>
    </w:p>
    <w:p w14:paraId="6C8D162A">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第二条 质量保证</w:t>
      </w:r>
    </w:p>
    <w:p w14:paraId="208069B1">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乙方所提供的货物型号、技术规格、技术参数等应符合国家承认的相应标准，并与报价时承诺的质量相一致，以确保使用过程的安全有效。</w:t>
      </w:r>
    </w:p>
    <w:p w14:paraId="6F7E304A">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乙方所提供的货物必须是全新、未使用的原装产品，且在正常安装、使用和保养条件下，其使用寿命期内各项指标均达到质量要求。</w:t>
      </w:r>
    </w:p>
    <w:p w14:paraId="662AF1F5">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第三条 权利保证</w:t>
      </w:r>
    </w:p>
    <w:p w14:paraId="7899B938">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乙方应保证所提供货物在使用时不会侵犯任何第三方的专利权、商标权、工业设计权或其他权利。</w:t>
      </w:r>
    </w:p>
    <w:p w14:paraId="06210DDD">
      <w:pPr>
        <w:snapToGrid w:val="0"/>
        <w:spacing w:line="360" w:lineRule="auto"/>
        <w:ind w:firstLine="420" w:firstLineChars="200"/>
        <w:outlineLvl w:val="2"/>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乙方应按约定的时间向甲方提供使用货物的有关技术资料。</w:t>
      </w:r>
    </w:p>
    <w:p w14:paraId="650890A4">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9B9C82C">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4</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乙方保证所交付的货物的所有权完全属于乙方，且无任何抵押、质押、查封等产权瑕疵。</w:t>
      </w:r>
    </w:p>
    <w:p w14:paraId="78727B5C">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5. 乙方保证按照耗材的投标报价，将专机专用耗材同步上架至广西阳光采购网。</w:t>
      </w:r>
    </w:p>
    <w:p w14:paraId="677E75FF">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6. 乙方保证若耗材市场普遍降价，导致同类同质产品耗材价格低于乙方原竞标报价的，乙方同步下调耗材价格并保障供货。</w:t>
      </w:r>
    </w:p>
    <w:p w14:paraId="3C5D2202">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第四条 包装和运输</w:t>
      </w:r>
    </w:p>
    <w:p w14:paraId="0918B442">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乙方提供的货物均应按照响应文件要求的包装材料、包装标准、包装方式进行包装，每一包装单元内应附详细的装箱单和质量合格证。</w:t>
      </w:r>
    </w:p>
    <w:p w14:paraId="40D3BE4C">
      <w:pPr>
        <w:spacing w:line="360" w:lineRule="auto"/>
        <w:ind w:firstLine="420" w:firstLineChars="200"/>
        <w:outlineLvl w:val="2"/>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货物的运输方式：</w:t>
      </w:r>
      <w:r>
        <w:rPr>
          <w:rFonts w:hint="eastAsia" w:cs="微软雅黑" w:asciiTheme="minorEastAsia" w:hAnsiTheme="minorEastAsia" w:eastAsiaTheme="minorEastAsia"/>
          <w:color w:val="auto"/>
          <w:szCs w:val="21"/>
          <w:highlight w:val="none"/>
          <w:u w:val="single"/>
        </w:rPr>
        <w:t xml:space="preserve">  </w:t>
      </w:r>
      <w:r>
        <w:rPr>
          <w:rFonts w:hint="eastAsia" w:cs="微软雅黑" w:asciiTheme="minorEastAsia" w:hAnsiTheme="minorEastAsia" w:eastAsiaTheme="minorEastAsia"/>
          <w:color w:val="auto"/>
          <w:kern w:val="1"/>
          <w:szCs w:val="21"/>
          <w:highlight w:val="none"/>
          <w:u w:val="single"/>
          <w:lang w:eastAsia="ar-SA"/>
        </w:rPr>
        <w:t>不限</w:t>
      </w:r>
      <w:r>
        <w:rPr>
          <w:rFonts w:hint="eastAsia" w:cs="微软雅黑" w:asciiTheme="minorEastAsia" w:hAnsiTheme="minorEastAsia" w:eastAsiaTheme="minorEastAsia"/>
          <w:color w:val="auto"/>
          <w:szCs w:val="21"/>
          <w:highlight w:val="none"/>
          <w:u w:val="single"/>
        </w:rPr>
        <w:t xml:space="preserve">            </w:t>
      </w:r>
    </w:p>
    <w:p w14:paraId="6A92C1E6">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乙方负责货物运输，货物运输合理损耗及计算方法：</w:t>
      </w:r>
      <w:r>
        <w:rPr>
          <w:rFonts w:hint="eastAsia" w:cs="微软雅黑" w:asciiTheme="minorEastAsia" w:hAnsiTheme="minorEastAsia" w:eastAsiaTheme="minorEastAsia"/>
          <w:color w:val="auto"/>
          <w:szCs w:val="21"/>
          <w:highlight w:val="none"/>
          <w:u w:val="single"/>
        </w:rPr>
        <w:t>货物运输保险费已包含在合同总价中，乙方须须确保货物安全无损地运抵安装地点</w:t>
      </w:r>
      <w:r>
        <w:rPr>
          <w:rFonts w:hint="eastAsia" w:cs="微软雅黑" w:asciiTheme="minorEastAsia" w:hAnsiTheme="minorEastAsia" w:eastAsiaTheme="minorEastAsia"/>
          <w:color w:val="auto"/>
          <w:szCs w:val="21"/>
          <w:highlight w:val="none"/>
        </w:rPr>
        <w:t>。</w:t>
      </w:r>
    </w:p>
    <w:p w14:paraId="5597964C">
      <w:pPr>
        <w:spacing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第五条 交付和验收</w:t>
      </w:r>
    </w:p>
    <w:p w14:paraId="7830932B">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交货时间：</w:t>
      </w:r>
      <w:r>
        <w:rPr>
          <w:rFonts w:hint="eastAsia" w:cs="微软雅黑" w:asciiTheme="minorEastAsia" w:hAnsiTheme="minorEastAsia" w:eastAsiaTheme="minorEastAsia"/>
          <w:color w:val="auto"/>
          <w:szCs w:val="21"/>
          <w:highlight w:val="none"/>
          <w:u w:val="single"/>
        </w:rPr>
        <w:t xml:space="preserve">               </w:t>
      </w:r>
      <w:r>
        <w:rPr>
          <w:rFonts w:hint="eastAsia" w:cs="微软雅黑" w:asciiTheme="minorEastAsia" w:hAnsiTheme="minorEastAsia" w:eastAsiaTheme="minorEastAsia"/>
          <w:color w:val="auto"/>
          <w:szCs w:val="21"/>
          <w:highlight w:val="none"/>
        </w:rPr>
        <w:t>。交货地点：</w:t>
      </w:r>
      <w:r>
        <w:rPr>
          <w:rFonts w:hint="eastAsia" w:cs="微软雅黑" w:asciiTheme="minorEastAsia" w:hAnsiTheme="minorEastAsia" w:eastAsiaTheme="minorEastAsia"/>
          <w:color w:val="auto"/>
          <w:szCs w:val="21"/>
          <w:highlight w:val="none"/>
          <w:u w:val="single"/>
        </w:rPr>
        <w:t>右江民族医学院附属医院指定地点。</w:t>
      </w:r>
    </w:p>
    <w:p w14:paraId="58E56410">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乙方提供不符合采购文件和本合同规定的货物，甲方有权拒绝接受。</w:t>
      </w:r>
    </w:p>
    <w:p w14:paraId="5287734D">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 乙方应将所提供货物的装箱清单、用户手册、原厂保修卡、随机资料、工具和备品、备件等交付给甲方，如有缺失应及时补齐，否则视为逾期交货。</w:t>
      </w:r>
    </w:p>
    <w:p w14:paraId="70E36356">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4. 甲方应当在到货并安装、调试完后</w:t>
      </w:r>
      <w:bookmarkStart w:id="133" w:name="OLE_LINK12"/>
      <w:bookmarkStart w:id="134" w:name="OLE_LINK11"/>
      <w:r>
        <w:rPr>
          <w:rFonts w:hint="eastAsia" w:cs="微软雅黑" w:asciiTheme="minorEastAsia" w:hAnsiTheme="minorEastAsia" w:eastAsiaTheme="minorEastAsia"/>
          <w:color w:val="auto"/>
          <w:szCs w:val="21"/>
          <w:highlight w:val="none"/>
        </w:rPr>
        <w:t>一个月内进行验收</w:t>
      </w:r>
      <w:bookmarkEnd w:id="133"/>
      <w:bookmarkEnd w:id="134"/>
      <w:r>
        <w:rPr>
          <w:rFonts w:hint="eastAsia" w:cs="微软雅黑" w:asciiTheme="minorEastAsia" w:hAnsiTheme="minorEastAsia" w:eastAsiaTheme="minorEastAsia"/>
          <w:color w:val="auto"/>
          <w:szCs w:val="21"/>
          <w:highlight w:val="none"/>
        </w:rPr>
        <w:t>，逾期不验收的，乙方可视同验收合格。验收合格后由甲乙双方签署货物验收单并加盖采购单位公章，甲乙双方各执一份。</w:t>
      </w:r>
    </w:p>
    <w:p w14:paraId="3A321126">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5. 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14:paraId="1B11A002">
      <w:pPr>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6. 甲方对验收有异议的，在验收后五个工作日内以书面形式向乙方提出，乙方应自收到甲方书面异议后五日内及时予以解决。</w:t>
      </w:r>
    </w:p>
    <w:p w14:paraId="3099AB82">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第六条 安装和培训</w:t>
      </w:r>
    </w:p>
    <w:p w14:paraId="290C348C">
      <w:pPr>
        <w:snapToGrid w:val="0"/>
        <w:spacing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甲方应提供必要安装条件（如场地、电源、水源等）。乙方应在到货之日起</w:t>
      </w:r>
      <w:r>
        <w:rPr>
          <w:rFonts w:hint="eastAsia" w:cs="微软雅黑" w:asciiTheme="minorEastAsia" w:hAnsiTheme="minorEastAsia" w:eastAsiaTheme="minorEastAsia"/>
          <w:color w:val="auto"/>
          <w:szCs w:val="21"/>
          <w:highlight w:val="none"/>
          <w:u w:val="single"/>
        </w:rPr>
        <w:t xml:space="preserve"> 7</w:t>
      </w:r>
      <w:r>
        <w:rPr>
          <w:rFonts w:hint="eastAsia" w:cs="微软雅黑" w:asciiTheme="minorEastAsia" w:hAnsiTheme="minorEastAsia" w:eastAsiaTheme="minorEastAsia"/>
          <w:color w:val="auto"/>
          <w:szCs w:val="21"/>
          <w:highlight w:val="none"/>
        </w:rPr>
        <w:t xml:space="preserve"> 个工作日内对货物进行安装、调试。</w:t>
      </w:r>
    </w:p>
    <w:p w14:paraId="4E3C6285">
      <w:pPr>
        <w:snapToGrid w:val="0"/>
        <w:spacing w:line="360" w:lineRule="auto"/>
        <w:ind w:firstLine="420" w:firstLineChars="200"/>
        <w:outlineLvl w:val="2"/>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乙方负责甲方有关人员的培训。</w:t>
      </w:r>
    </w:p>
    <w:p w14:paraId="1C43B4E8">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第七条 售后服务、质保期</w:t>
      </w:r>
    </w:p>
    <w:p w14:paraId="59E1E659">
      <w:pPr>
        <w:spacing w:afterLines="4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乙方应按照国家有关法律法规和“三包”规定以及采购文件、响应文件和本合同所附的《服务承诺》，为甲方提供售后服务。</w:t>
      </w:r>
    </w:p>
    <w:p w14:paraId="0584B9C9">
      <w:pPr>
        <w:spacing w:afterLines="4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货物保修期：</w:t>
      </w:r>
      <w:r>
        <w:rPr>
          <w:rFonts w:hint="eastAsia" w:cs="微软雅黑" w:asciiTheme="minorEastAsia" w:hAnsiTheme="minorEastAsia" w:eastAsiaTheme="minorEastAsia"/>
          <w:color w:val="auto"/>
          <w:szCs w:val="21"/>
          <w:highlight w:val="none"/>
          <w:u w:val="single"/>
        </w:rPr>
        <w:t>按乙方承诺，质保期为自验收合格之日起    年。如厂家承诺质保期服务长于乙方的，乙方亦有继续履行质保服务的义务。</w:t>
      </w:r>
    </w:p>
    <w:p w14:paraId="58B92920">
      <w:pPr>
        <w:spacing w:afterLines="4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szCs w:val="21"/>
          <w:highlight w:val="none"/>
        </w:rPr>
        <w:t>乙方提供的服务承诺和售后服务及质保期责任等其它具体约定事项（见合同附件)。</w:t>
      </w:r>
    </w:p>
    <w:p w14:paraId="6FE45B3C">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第八条 付款方式和履约保证金</w:t>
      </w:r>
    </w:p>
    <w:p w14:paraId="50E8C06C">
      <w:pPr>
        <w:suppressAutoHyphens/>
        <w:spacing w:afterLines="4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1.乙方提供的物品及数量必须与供货清单一致，不得少于供货清单。</w:t>
      </w:r>
    </w:p>
    <w:p w14:paraId="4626807A">
      <w:pPr>
        <w:suppressAutoHyphens/>
        <w:spacing w:afterLines="40" w:line="360" w:lineRule="auto"/>
        <w:ind w:firstLine="420" w:firstLineChars="200"/>
        <w:outlineLvl w:val="2"/>
        <w:rPr>
          <w:rFonts w:cs="微软雅黑" w:asciiTheme="minorEastAsia" w:hAnsiTheme="minorEastAsia" w:eastAsiaTheme="minorEastAsia"/>
          <w:color w:val="auto"/>
          <w:kern w:val="1"/>
          <w:szCs w:val="21"/>
          <w:highlight w:val="none"/>
        </w:rPr>
      </w:pPr>
      <w:r>
        <w:rPr>
          <w:rFonts w:hint="eastAsia" w:cs="微软雅黑" w:asciiTheme="minorEastAsia" w:hAnsiTheme="minorEastAsia" w:eastAsiaTheme="minorEastAsia"/>
          <w:color w:val="auto"/>
          <w:kern w:val="1"/>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资金性质：</w:t>
      </w:r>
      <w:r>
        <w:rPr>
          <w:rFonts w:hint="eastAsia" w:cs="微软雅黑" w:asciiTheme="minorEastAsia" w:hAnsiTheme="minorEastAsia" w:eastAsiaTheme="minorEastAsia"/>
          <w:color w:val="auto"/>
          <w:kern w:val="1"/>
          <w:szCs w:val="21"/>
          <w:highlight w:val="none"/>
          <w:u w:val="single"/>
        </w:rPr>
        <w:t>财政资金</w:t>
      </w:r>
      <w:r>
        <w:rPr>
          <w:rFonts w:hint="eastAsia" w:cs="微软雅黑" w:asciiTheme="minorEastAsia" w:hAnsiTheme="minorEastAsia" w:eastAsiaTheme="minorEastAsia"/>
          <w:color w:val="auto"/>
          <w:kern w:val="1"/>
          <w:szCs w:val="21"/>
          <w:highlight w:val="none"/>
        </w:rPr>
        <w:t>。</w:t>
      </w:r>
    </w:p>
    <w:p w14:paraId="660EDC0C">
      <w:pPr>
        <w:suppressAutoHyphens/>
        <w:spacing w:afterLines="40" w:line="360" w:lineRule="auto"/>
        <w:ind w:firstLine="420" w:firstLineChars="200"/>
        <w:rPr>
          <w:rFonts w:cs="微软雅黑" w:asciiTheme="minorEastAsia" w:hAnsiTheme="minorEastAsia" w:eastAsiaTheme="minorEastAsia"/>
          <w:color w:val="auto"/>
          <w:kern w:val="1"/>
          <w:szCs w:val="21"/>
          <w:highlight w:val="none"/>
          <w:u w:val="single"/>
        </w:rPr>
      </w:pPr>
      <w:r>
        <w:rPr>
          <w:rFonts w:hint="eastAsia" w:cs="微软雅黑" w:asciiTheme="minorEastAsia" w:hAnsiTheme="minorEastAsia" w:eastAsiaTheme="minorEastAsia"/>
          <w:color w:val="auto"/>
          <w:kern w:val="1"/>
          <w:szCs w:val="21"/>
          <w:highlight w:val="none"/>
        </w:rPr>
        <w:t>3</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付款方式：</w:t>
      </w:r>
      <w:r>
        <w:rPr>
          <w:rFonts w:hint="eastAsia" w:hAnsi="Calibri"/>
          <w:color w:val="auto"/>
          <w:szCs w:val="21"/>
          <w:highlight w:val="none"/>
          <w:u w:val="single"/>
        </w:rPr>
        <w:t>本分标项目无预付款,项目验收合格交付使用后30日内支付第一笔合同款的50%,第二笔合同款在验收合格交付使用6个月后的15个工作日内支付合同款的45%,第三笔剩余5%的合同款,在验收合格交付使用12个月后的15个工作日内支付(无息)。中标人在采购人付款前开具完税发票给采购人</w:t>
      </w:r>
      <w:r>
        <w:rPr>
          <w:rFonts w:hint="eastAsia" w:cs="宋体" w:asciiTheme="minorEastAsia" w:hAnsiTheme="minorEastAsia" w:eastAsiaTheme="minorEastAsia"/>
          <w:color w:val="auto"/>
          <w:szCs w:val="21"/>
          <w:highlight w:val="none"/>
          <w:u w:val="single"/>
        </w:rPr>
        <w:t>。</w:t>
      </w:r>
    </w:p>
    <w:p w14:paraId="58DF0997">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第九条 履约保证金</w:t>
      </w:r>
    </w:p>
    <w:p w14:paraId="388258D2">
      <w:pPr>
        <w:spacing w:line="400" w:lineRule="exact"/>
        <w:ind w:firstLine="420" w:firstLineChars="200"/>
        <w:jc w:val="left"/>
        <w:outlineLvl w:val="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1.履约保证金金额：不收取履约保证金。</w:t>
      </w:r>
    </w:p>
    <w:p w14:paraId="74D48018">
      <w:pPr>
        <w:autoSpaceDE w:val="0"/>
        <w:autoSpaceDN w:val="0"/>
        <w:snapToGrid w:val="0"/>
        <w:spacing w:line="400" w:lineRule="exact"/>
        <w:ind w:firstLine="420" w:firstLineChars="200"/>
        <w:textAlignment w:val="bottom"/>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2.履约保证金递交方式：合同签订前乙方必须以银行转账、支票、汇票、本票或其它政府采购法律法规允许的方式</w:t>
      </w:r>
    </w:p>
    <w:p w14:paraId="4766FEF6">
      <w:pPr>
        <w:autoSpaceDE w:val="0"/>
        <w:autoSpaceDN w:val="0"/>
        <w:snapToGrid w:val="0"/>
        <w:spacing w:line="400" w:lineRule="exact"/>
        <w:ind w:firstLine="420" w:firstLineChars="200"/>
        <w:textAlignment w:val="bottom"/>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3.履约保证金退付方式、时间及条件：</w:t>
      </w:r>
      <w:r>
        <w:rPr>
          <w:rFonts w:hint="eastAsia" w:asciiTheme="minorEastAsia" w:hAnsiTheme="minorEastAsia" w:eastAsiaTheme="minorEastAsia"/>
          <w:color w:val="auto"/>
          <w:szCs w:val="21"/>
          <w:highlight w:val="none"/>
          <w:u w:val="single"/>
        </w:rPr>
        <w:t>中标人在签订合同之前，足额提交履约保证金。未提交履约保证金的，不予签订合同。履约保证金自项目验收合格后，待中标供应商履行完质保义务后无息退还。</w:t>
      </w:r>
    </w:p>
    <w:p w14:paraId="0A2C9B41">
      <w:pPr>
        <w:widowControl/>
        <w:spacing w:line="380" w:lineRule="exact"/>
        <w:ind w:firstLine="420" w:firstLineChars="200"/>
        <w:jc w:val="left"/>
        <w:outlineLvl w:val="2"/>
        <w:rPr>
          <w:rFonts w:cs="宋体"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rPr>
        <w:t>4.履约保证金指定账户：/</w:t>
      </w:r>
    </w:p>
    <w:p w14:paraId="55D28AF4">
      <w:pPr>
        <w:autoSpaceDE w:val="0"/>
        <w:autoSpaceDN w:val="0"/>
        <w:snapToGrid w:val="0"/>
        <w:spacing w:line="400" w:lineRule="exact"/>
        <w:ind w:firstLine="420" w:firstLineChars="200"/>
        <w:textAlignment w:val="bottom"/>
        <w:rPr>
          <w:rFonts w:asciiTheme="minorEastAsia" w:hAnsiTheme="minorEastAsia" w:eastAsiaTheme="minorEastAsia"/>
          <w:color w:val="auto"/>
          <w:szCs w:val="21"/>
          <w:highlight w:val="none"/>
        </w:rPr>
      </w:pPr>
    </w:p>
    <w:p w14:paraId="645AA921">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第十条 税费</w:t>
      </w:r>
    </w:p>
    <w:p w14:paraId="6EA29AA9">
      <w:pPr>
        <w:spacing w:afterLines="4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本合同执行中相关的一切税费均由乙方负担。</w:t>
      </w:r>
    </w:p>
    <w:p w14:paraId="3C8C2FAB">
      <w:pPr>
        <w:spacing w:afterLines="4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第十一条 质量保证及售后服务</w:t>
      </w:r>
    </w:p>
    <w:p w14:paraId="0C2176B1">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 乙方应按采购文件规定的货物性能、技术要求、质量标准向甲方提供未经使用的全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376B4356">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（1）更换：产品出现质量问题、经乙方</w:t>
      </w:r>
      <w:r>
        <w:rPr>
          <w:rFonts w:hint="eastAsia" w:cs="微软雅黑" w:asciiTheme="minorEastAsia" w:hAnsiTheme="minorEastAsia" w:eastAsiaTheme="minorEastAsia"/>
          <w:color w:val="auto"/>
          <w:kern w:val="1"/>
          <w:szCs w:val="21"/>
          <w:highlight w:val="none"/>
          <w:u w:val="single"/>
          <w:lang w:eastAsia="ar-SA"/>
        </w:rPr>
        <w:t>1</w:t>
      </w:r>
      <w:r>
        <w:rPr>
          <w:rFonts w:hint="eastAsia" w:cs="微软雅黑" w:asciiTheme="minorEastAsia" w:hAnsiTheme="minorEastAsia" w:eastAsiaTheme="minorEastAsia"/>
          <w:color w:val="auto"/>
          <w:kern w:val="1"/>
          <w:szCs w:val="21"/>
          <w:highlight w:val="none"/>
          <w:lang w:eastAsia="ar-SA"/>
        </w:rPr>
        <w:t>次维修仍不能达到合同约定的质量标准的，甲方有权更换，并由乙方承担所发生的全部费用。</w:t>
      </w:r>
    </w:p>
    <w:p w14:paraId="351828D8">
      <w:pPr>
        <w:suppressAutoHyphens/>
        <w:snapToGrid w:val="0"/>
        <w:spacing w:line="360" w:lineRule="auto"/>
        <w:ind w:firstLine="420" w:firstLineChars="200"/>
        <w:outlineLvl w:val="2"/>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（2）贬值处理：由甲乙双方合议定价。</w:t>
      </w:r>
    </w:p>
    <w:p w14:paraId="63197E8A">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3）退货处理：产品出现严重质量问题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14:paraId="254DE34E">
      <w:pPr>
        <w:snapToGrid w:val="0"/>
        <w:spacing w:before="120" w:after="12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 如在使用过程中出现故障，乙方应在接到甲方通知后</w:t>
      </w:r>
      <w:r>
        <w:rPr>
          <w:rFonts w:hint="eastAsia" w:cs="微软雅黑" w:asciiTheme="minorEastAsia" w:hAnsiTheme="minorEastAsia" w:eastAsiaTheme="minorEastAsia"/>
          <w:color w:val="auto"/>
          <w:szCs w:val="21"/>
          <w:highlight w:val="none"/>
          <w:u w:val="single"/>
        </w:rPr>
        <w:t>12</w:t>
      </w:r>
      <w:r>
        <w:rPr>
          <w:rFonts w:hint="eastAsia" w:cs="微软雅黑" w:asciiTheme="minorEastAsia" w:hAnsiTheme="minorEastAsia" w:eastAsiaTheme="minorEastAsia"/>
          <w:color w:val="auto"/>
          <w:szCs w:val="21"/>
          <w:highlight w:val="none"/>
        </w:rPr>
        <w:t>小时内到达甲方现场处理。</w:t>
      </w:r>
    </w:p>
    <w:p w14:paraId="30D62342">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 在质保期内，乙方应对货物出现的质量及安全问题负责处理解决并承担一切费用。如有产品质量争议，则按照国家《产品质量仲裁检验管理办法》解决。</w:t>
      </w:r>
    </w:p>
    <w:p w14:paraId="1E6D1B1A">
      <w:pPr>
        <w:snapToGrid w:val="0"/>
        <w:spacing w:before="120" w:after="12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4.上述的货物因人为因素出现的故障不在免费保修范围内。超过质保期的机器设备，终生维修，维修时只收取部件成本费。</w:t>
      </w:r>
    </w:p>
    <w:p w14:paraId="40ECED30">
      <w:pPr>
        <w:snapToGrid w:val="0"/>
        <w:spacing w:before="120" w:after="120" w:line="360" w:lineRule="auto"/>
        <w:ind w:firstLine="422" w:firstLineChars="200"/>
        <w:outlineLvl w:val="1"/>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b/>
          <w:color w:val="auto"/>
          <w:szCs w:val="21"/>
          <w:highlight w:val="none"/>
        </w:rPr>
        <w:t>第十二条 货物包装、发运及运输</w:t>
      </w:r>
    </w:p>
    <w:p w14:paraId="25C126D7">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1. 乙方应在货物发运前对其进行满足运输距离、防潮、防震、防锈和防破损装卸等要求包装，以保证货物安全运达甲方指定地点。</w:t>
      </w:r>
    </w:p>
    <w:p w14:paraId="601673C9">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 使用说明书、质量检验证明书、随配附件和工具以及清单一并附于货物内。</w:t>
      </w:r>
    </w:p>
    <w:p w14:paraId="686ADF77">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 乙方在货物发运手续办理完毕后二十四小时内或货到甲方四十八小时前通知甲方，以准备接货。</w:t>
      </w:r>
    </w:p>
    <w:p w14:paraId="0CA55B79">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4. 货物在交付甲方前发生的风险均由乙方负责。</w:t>
      </w:r>
    </w:p>
    <w:p w14:paraId="7EFA4A1F">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5. 货物在规定的交付期限内由乙方送达甲方指定的地点。</w:t>
      </w:r>
    </w:p>
    <w:p w14:paraId="24B85060">
      <w:pPr>
        <w:snapToGrid w:val="0"/>
        <w:spacing w:before="120" w:after="12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第十三条 交货及验收要求</w:t>
      </w:r>
    </w:p>
    <w:p w14:paraId="31756346">
      <w:pPr>
        <w:snapToGrid w:val="0"/>
        <w:spacing w:before="120" w:after="120" w:line="360" w:lineRule="auto"/>
        <w:ind w:firstLine="420" w:firstLineChars="200"/>
        <w:jc w:val="left"/>
        <w:rPr>
          <w:rFonts w:cs="微软雅黑" w:asciiTheme="minorEastAsia" w:hAnsiTheme="minorEastAsia" w:eastAsiaTheme="minorEastAsia"/>
          <w:bCs/>
          <w:color w:val="auto"/>
          <w:szCs w:val="21"/>
          <w:highlight w:val="none"/>
        </w:rPr>
      </w:pPr>
      <w:r>
        <w:rPr>
          <w:rFonts w:hint="eastAsia" w:cs="微软雅黑" w:asciiTheme="minorEastAsia" w:hAnsiTheme="minorEastAsia" w:eastAsiaTheme="minorEastAsia"/>
          <w:color w:val="auto"/>
          <w:szCs w:val="21"/>
          <w:highlight w:val="none"/>
        </w:rPr>
        <w:t>1. 甲方对乙方提交的货物依据采购文件上的技术规格要求和国家有关质量标准进行现</w:t>
      </w:r>
      <w:r>
        <w:rPr>
          <w:rFonts w:hint="eastAsia" w:cs="微软雅黑" w:asciiTheme="minorEastAsia" w:hAnsiTheme="minorEastAsia" w:eastAsiaTheme="minorEastAsia"/>
          <w:bCs/>
          <w:color w:val="auto"/>
          <w:szCs w:val="21"/>
          <w:highlight w:val="none"/>
        </w:rPr>
        <w:t>场签收，外观、说明书符合采购文件技术要求的，给予签收，不合格的不予签收。</w:t>
      </w:r>
    </w:p>
    <w:p w14:paraId="3FF5A516">
      <w:pPr>
        <w:snapToGrid w:val="0"/>
        <w:spacing w:before="120" w:after="120" w:line="360" w:lineRule="auto"/>
        <w:ind w:firstLine="420" w:firstLineChars="200"/>
        <w:jc w:val="left"/>
        <w:rPr>
          <w:rFonts w:cs="微软雅黑" w:asciiTheme="minorEastAsia" w:hAnsiTheme="minorEastAsia" w:eastAsiaTheme="minorEastAsia"/>
          <w:bCs/>
          <w:color w:val="auto"/>
          <w:szCs w:val="21"/>
          <w:highlight w:val="none"/>
        </w:rPr>
      </w:pPr>
      <w:r>
        <w:rPr>
          <w:rFonts w:hint="eastAsia" w:cs="微软雅黑" w:asciiTheme="minorEastAsia" w:hAnsiTheme="minorEastAsia" w:eastAsiaTheme="minorEastAsia"/>
          <w:bCs/>
          <w:color w:val="auto"/>
          <w:szCs w:val="21"/>
          <w:highlight w:val="none"/>
        </w:rPr>
        <w:t>2.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14:paraId="2AC4B038">
      <w:pPr>
        <w:snapToGrid w:val="0"/>
        <w:spacing w:before="120" w:after="12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3. 乙方需负责安装、调试，并培训甲方的使用操作人员，直到设备运行符合技术要求，甲方方可验收。</w:t>
      </w:r>
    </w:p>
    <w:p w14:paraId="796C8C2D">
      <w:pPr>
        <w:snapToGrid w:val="0"/>
        <w:spacing w:before="120" w:after="12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4. 甲方组织验收，</w:t>
      </w:r>
      <w:r>
        <w:rPr>
          <w:rFonts w:hint="eastAsia" w:cs="微软雅黑" w:asciiTheme="minorEastAsia" w:hAnsiTheme="minorEastAsia" w:eastAsiaTheme="minorEastAsia"/>
          <w:bCs/>
          <w:color w:val="auto"/>
          <w:szCs w:val="21"/>
          <w:highlight w:val="none"/>
        </w:rPr>
        <w:t>乙方必须到场</w:t>
      </w:r>
      <w:r>
        <w:rPr>
          <w:rFonts w:hint="eastAsia" w:cs="微软雅黑" w:asciiTheme="minorEastAsia" w:hAnsiTheme="minorEastAsia" w:eastAsiaTheme="minorEastAsia"/>
          <w:color w:val="auto"/>
          <w:szCs w:val="21"/>
          <w:highlight w:val="none"/>
        </w:rPr>
        <w:t>配合，</w:t>
      </w:r>
      <w:r>
        <w:rPr>
          <w:rFonts w:hint="eastAsia" w:cs="微软雅黑" w:asciiTheme="minorEastAsia" w:hAnsiTheme="minorEastAsia" w:eastAsiaTheme="minorEastAsia"/>
          <w:bCs/>
          <w:color w:val="auto"/>
          <w:szCs w:val="21"/>
          <w:highlight w:val="none"/>
        </w:rPr>
        <w:t>验收合格后双方签署验收合格凭证。</w:t>
      </w:r>
      <w:r>
        <w:rPr>
          <w:rFonts w:hint="eastAsia" w:cs="微软雅黑" w:asciiTheme="minorEastAsia" w:hAnsiTheme="minorEastAsia" w:eastAsiaTheme="minorEastAsia"/>
          <w:color w:val="auto"/>
          <w:szCs w:val="21"/>
          <w:highlight w:val="none"/>
        </w:rPr>
        <w:t>对技术复杂的货物，甲方可请国家认可的专业检测机构参与验收，费用由乙方承担。</w:t>
      </w:r>
    </w:p>
    <w:p w14:paraId="34E57973">
      <w:pPr>
        <w:snapToGrid w:val="0"/>
        <w:spacing w:before="120" w:after="120" w:line="360" w:lineRule="auto"/>
        <w:ind w:firstLine="420" w:firstLineChars="200"/>
        <w:jc w:val="lef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24953A75">
      <w:pPr>
        <w:snapToGrid w:val="0"/>
        <w:spacing w:before="120" w:after="12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第十四条 违约责任</w:t>
      </w:r>
    </w:p>
    <w:p w14:paraId="662F8072">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1.乙方所提供的货物规格、技术标准、材料等质量不合格的，应及时更换，更换不及时的按逾期交货处罚；因质量问题甲方不同意接收的或特殊情况甲方同意接收的，乙方应向甲方支付违约货款额</w:t>
      </w:r>
      <w:r>
        <w:rPr>
          <w:rFonts w:hint="eastAsia" w:cs="微软雅黑" w:asciiTheme="minorEastAsia" w:hAnsiTheme="minorEastAsia" w:eastAsiaTheme="minorEastAsia"/>
          <w:color w:val="auto"/>
          <w:kern w:val="1"/>
          <w:szCs w:val="21"/>
          <w:highlight w:val="none"/>
          <w:u w:val="single"/>
          <w:lang w:eastAsia="ar-SA"/>
        </w:rPr>
        <w:t>5%</w:t>
      </w:r>
      <w:r>
        <w:rPr>
          <w:rFonts w:hint="eastAsia" w:cs="微软雅黑" w:asciiTheme="minorEastAsia" w:hAnsiTheme="minorEastAsia" w:eastAsiaTheme="minorEastAsia"/>
          <w:color w:val="auto"/>
          <w:kern w:val="1"/>
          <w:szCs w:val="21"/>
          <w:highlight w:val="none"/>
          <w:lang w:eastAsia="ar-SA"/>
        </w:rPr>
        <w:t>违约金并赔偿甲方经济损失。</w:t>
      </w:r>
    </w:p>
    <w:p w14:paraId="6121BC40">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2.乙方提供的货物如侵犯了第三方合法权益而引发的任何纠纷或诉讼，均由乙方负责交涉并承担全部责任。</w:t>
      </w:r>
    </w:p>
    <w:p w14:paraId="5A4A219D">
      <w:pPr>
        <w:suppressAutoHyphens/>
        <w:snapToGrid w:val="0"/>
        <w:spacing w:line="360" w:lineRule="auto"/>
        <w:ind w:firstLine="420" w:firstLineChars="200"/>
        <w:outlineLvl w:val="2"/>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3.因包装、运输引起的货物损坏，按质量不合格处罚。</w:t>
      </w:r>
    </w:p>
    <w:p w14:paraId="2A3D34DB">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4.甲方无故延期接收货物、乙方逾期交货的，每天向对方偿付违约货款额3‰违约金，但违约金累计不得超过违约货款额</w:t>
      </w:r>
      <w:r>
        <w:rPr>
          <w:rFonts w:hint="eastAsia" w:cs="微软雅黑" w:asciiTheme="minorEastAsia" w:hAnsiTheme="minorEastAsia" w:eastAsiaTheme="minorEastAsia"/>
          <w:color w:val="auto"/>
          <w:kern w:val="1"/>
          <w:szCs w:val="21"/>
          <w:highlight w:val="none"/>
          <w:u w:val="single"/>
          <w:lang w:eastAsia="ar-SA"/>
        </w:rPr>
        <w:t>5%</w:t>
      </w:r>
      <w:r>
        <w:rPr>
          <w:rFonts w:hint="eastAsia" w:cs="微软雅黑" w:asciiTheme="minorEastAsia" w:hAnsiTheme="minorEastAsia" w:eastAsiaTheme="minorEastAsia"/>
          <w:color w:val="auto"/>
          <w:kern w:val="1"/>
          <w:szCs w:val="21"/>
          <w:highlight w:val="none"/>
          <w:lang w:eastAsia="ar-SA"/>
        </w:rPr>
        <w:t>，超过</w:t>
      </w:r>
      <w:r>
        <w:rPr>
          <w:rFonts w:hint="eastAsia" w:cs="微软雅黑" w:asciiTheme="minorEastAsia" w:hAnsiTheme="minorEastAsia" w:eastAsiaTheme="minorEastAsia"/>
          <w:color w:val="auto"/>
          <w:kern w:val="1"/>
          <w:szCs w:val="21"/>
          <w:highlight w:val="none"/>
          <w:u w:val="single"/>
          <w:lang w:eastAsia="ar-SA"/>
        </w:rPr>
        <w:t>30</w:t>
      </w:r>
      <w:r>
        <w:rPr>
          <w:rFonts w:hint="eastAsia" w:cs="微软雅黑" w:asciiTheme="minorEastAsia" w:hAnsiTheme="minorEastAsia" w:eastAsiaTheme="minorEastAsia"/>
          <w:color w:val="auto"/>
          <w:kern w:val="1"/>
          <w:szCs w:val="21"/>
          <w:highlight w:val="none"/>
          <w:lang w:eastAsia="ar-SA"/>
        </w:rPr>
        <w:t>天对方有权解除合同，违约方承担因此给对方造成的经济损失；甲方延期付货款的，每天向乙方偿付延期货款额</w:t>
      </w:r>
      <w:r>
        <w:rPr>
          <w:rFonts w:hint="eastAsia" w:cs="微软雅黑" w:asciiTheme="minorEastAsia" w:hAnsiTheme="minorEastAsia" w:eastAsiaTheme="minorEastAsia"/>
          <w:color w:val="auto"/>
          <w:kern w:val="1"/>
          <w:szCs w:val="21"/>
          <w:highlight w:val="none"/>
          <w:u w:val="single"/>
          <w:lang w:eastAsia="ar-SA"/>
        </w:rPr>
        <w:t xml:space="preserve">3‰ </w:t>
      </w:r>
      <w:r>
        <w:rPr>
          <w:rFonts w:hint="eastAsia" w:cs="微软雅黑" w:asciiTheme="minorEastAsia" w:hAnsiTheme="minorEastAsia" w:eastAsiaTheme="minorEastAsia"/>
          <w:color w:val="auto"/>
          <w:kern w:val="1"/>
          <w:szCs w:val="21"/>
          <w:highlight w:val="none"/>
        </w:rPr>
        <w:t>违约</w:t>
      </w:r>
      <w:r>
        <w:rPr>
          <w:rFonts w:hint="eastAsia" w:cs="微软雅黑" w:asciiTheme="minorEastAsia" w:hAnsiTheme="minorEastAsia" w:eastAsiaTheme="minorEastAsia"/>
          <w:color w:val="auto"/>
          <w:kern w:val="1"/>
          <w:szCs w:val="21"/>
          <w:highlight w:val="none"/>
          <w:lang w:eastAsia="ar-SA"/>
        </w:rPr>
        <w:t>金，但</w:t>
      </w:r>
      <w:r>
        <w:rPr>
          <w:rFonts w:hint="eastAsia" w:cs="微软雅黑" w:asciiTheme="minorEastAsia" w:hAnsiTheme="minorEastAsia" w:eastAsiaTheme="minorEastAsia"/>
          <w:color w:val="auto"/>
          <w:kern w:val="1"/>
          <w:szCs w:val="21"/>
          <w:highlight w:val="none"/>
        </w:rPr>
        <w:t>违约</w:t>
      </w:r>
      <w:r>
        <w:rPr>
          <w:rFonts w:hint="eastAsia" w:cs="微软雅黑" w:asciiTheme="minorEastAsia" w:hAnsiTheme="minorEastAsia" w:eastAsiaTheme="minorEastAsia"/>
          <w:color w:val="auto"/>
          <w:kern w:val="1"/>
          <w:szCs w:val="21"/>
          <w:highlight w:val="none"/>
          <w:lang w:eastAsia="ar-SA"/>
        </w:rPr>
        <w:t>金累计不得超过延期货款额</w:t>
      </w:r>
      <w:r>
        <w:rPr>
          <w:rFonts w:hint="eastAsia" w:cs="微软雅黑" w:asciiTheme="minorEastAsia" w:hAnsiTheme="minorEastAsia" w:eastAsiaTheme="minorEastAsia"/>
          <w:color w:val="auto"/>
          <w:kern w:val="1"/>
          <w:szCs w:val="21"/>
          <w:highlight w:val="none"/>
          <w:u w:val="single"/>
          <w:lang w:eastAsia="ar-SA"/>
        </w:rPr>
        <w:t>5%</w:t>
      </w:r>
      <w:r>
        <w:rPr>
          <w:rFonts w:hint="eastAsia" w:cs="微软雅黑" w:asciiTheme="minorEastAsia" w:hAnsiTheme="minorEastAsia" w:eastAsiaTheme="minorEastAsia"/>
          <w:color w:val="auto"/>
          <w:kern w:val="1"/>
          <w:szCs w:val="21"/>
          <w:highlight w:val="none"/>
          <w:lang w:eastAsia="ar-SA"/>
        </w:rPr>
        <w:t>。</w:t>
      </w:r>
    </w:p>
    <w:p w14:paraId="29CF6F56">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5.乙方未按本合同和响应文件中规定的服务承诺提供售后服务的，乙方应按本合同合计金额</w:t>
      </w:r>
      <w:r>
        <w:rPr>
          <w:rFonts w:hint="eastAsia" w:cs="微软雅黑" w:asciiTheme="minorEastAsia" w:hAnsiTheme="minorEastAsia" w:eastAsiaTheme="minorEastAsia"/>
          <w:color w:val="auto"/>
          <w:kern w:val="1"/>
          <w:szCs w:val="21"/>
          <w:highlight w:val="none"/>
          <w:u w:val="single"/>
          <w:lang w:eastAsia="ar-SA"/>
        </w:rPr>
        <w:t xml:space="preserve"> 5%</w:t>
      </w:r>
      <w:r>
        <w:rPr>
          <w:rFonts w:hint="eastAsia" w:cs="微软雅黑" w:asciiTheme="minorEastAsia" w:hAnsiTheme="minorEastAsia" w:eastAsiaTheme="minorEastAsia"/>
          <w:color w:val="auto"/>
          <w:kern w:val="1"/>
          <w:szCs w:val="21"/>
          <w:highlight w:val="none"/>
          <w:lang w:eastAsia="ar-SA"/>
        </w:rPr>
        <w:t>向甲方支付违约金。</w:t>
      </w:r>
    </w:p>
    <w:p w14:paraId="61AAB8D4">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6.乙方提供的货物在质量保证期内，因设计、工艺或材料的缺陷和其它质量原因造成的问题，由乙方负责，费用从履约保证金中扣除，履约保证金不足以支付的，由乙方另行支付。</w:t>
      </w:r>
    </w:p>
    <w:p w14:paraId="43A96436">
      <w:pPr>
        <w:suppressAutoHyphens/>
        <w:snapToGrid w:val="0"/>
        <w:spacing w:line="360" w:lineRule="auto"/>
        <w:ind w:firstLine="420" w:firstLineChars="200"/>
        <w:outlineLvl w:val="2"/>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7.其它违约行为按违约货款额5%收取违约金并赔偿经济损失。</w:t>
      </w:r>
    </w:p>
    <w:p w14:paraId="5D2BCE8C">
      <w:pPr>
        <w:snapToGrid w:val="0"/>
        <w:spacing w:before="120" w:after="12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第十五条 不可抗力事件处理</w:t>
      </w:r>
    </w:p>
    <w:p w14:paraId="3F467170">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 在合同有效期内，任何一方因不可抗力事件导致不能履行合同，则合同履行期可延长，其延长期与不可抗力影响期相同。</w:t>
      </w:r>
    </w:p>
    <w:p w14:paraId="69AD46D9">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2. 不可抗力事件发生后，应立即通知对方，并寄送有关权威机构出具的证明。</w:t>
      </w:r>
    </w:p>
    <w:p w14:paraId="148887A0">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3. 不可抗力事件延续一百二十天以上，双方应通过友好协商，确定是否继续履行合同。</w:t>
      </w:r>
    </w:p>
    <w:p w14:paraId="0FDC697C">
      <w:pPr>
        <w:snapToGrid w:val="0"/>
        <w:spacing w:before="120" w:after="12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第十六条 合同争议解决</w:t>
      </w:r>
    </w:p>
    <w:p w14:paraId="72910018">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 因货物质量问题发生争议的，应邀请国家认可的质量检测机构按照国家标准对货物质量进行验收。货物符合国家标准的，鉴定费由甲方承担；货物不符合国家标准的，鉴定费由乙方承担。</w:t>
      </w:r>
    </w:p>
    <w:p w14:paraId="45FEF66B">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2. 因履行本合同引起的或与本合同有关的争议，甲乙双方应首先通过友好协商解决，如果协商不能解决，可向甲方所在地人民法院提起诉讼。</w:t>
      </w:r>
    </w:p>
    <w:p w14:paraId="200E72C7">
      <w:pPr>
        <w:suppressAutoHyphens/>
        <w:snapToGrid w:val="0"/>
        <w:spacing w:line="360" w:lineRule="auto"/>
        <w:ind w:firstLine="420" w:firstLineChars="200"/>
        <w:outlineLvl w:val="2"/>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3. 诉讼期间，本合同继续履行。</w:t>
      </w:r>
    </w:p>
    <w:p w14:paraId="28B9B36B">
      <w:pPr>
        <w:snapToGrid w:val="0"/>
        <w:spacing w:before="120" w:after="12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第十七条 合同生效及其它</w:t>
      </w:r>
    </w:p>
    <w:p w14:paraId="2F7F8903">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1.合同履行地点为：</w:t>
      </w:r>
      <w:r>
        <w:rPr>
          <w:rFonts w:hint="eastAsia" w:cs="微软雅黑" w:asciiTheme="minorEastAsia" w:hAnsiTheme="minorEastAsia" w:eastAsiaTheme="minorEastAsia"/>
          <w:color w:val="auto"/>
          <w:kern w:val="1"/>
          <w:szCs w:val="21"/>
          <w:highlight w:val="none"/>
          <w:u w:val="single"/>
        </w:rPr>
        <w:t>右江民族医学院附属医院</w:t>
      </w:r>
      <w:r>
        <w:rPr>
          <w:rFonts w:hint="eastAsia" w:cs="微软雅黑" w:asciiTheme="minorEastAsia" w:hAnsiTheme="minorEastAsia" w:eastAsiaTheme="minorEastAsia"/>
          <w:color w:val="auto"/>
          <w:kern w:val="1"/>
          <w:szCs w:val="21"/>
          <w:highlight w:val="none"/>
          <w:lang w:eastAsia="ar-SA"/>
        </w:rPr>
        <w:t>；合同履行的方式：</w:t>
      </w:r>
      <w:r>
        <w:rPr>
          <w:rFonts w:hint="eastAsia" w:cs="微软雅黑" w:asciiTheme="minorEastAsia" w:hAnsiTheme="minorEastAsia" w:eastAsiaTheme="minorEastAsia"/>
          <w:color w:val="auto"/>
          <w:kern w:val="1"/>
          <w:szCs w:val="21"/>
          <w:highlight w:val="none"/>
          <w:u w:val="single"/>
          <w:lang w:eastAsia="ar-SA"/>
        </w:rPr>
        <w:t>按照本合同约定</w:t>
      </w:r>
      <w:r>
        <w:rPr>
          <w:rFonts w:hint="eastAsia" w:cs="微软雅黑" w:asciiTheme="minorEastAsia" w:hAnsiTheme="minorEastAsia" w:eastAsiaTheme="minorEastAsia"/>
          <w:color w:val="auto"/>
          <w:kern w:val="1"/>
          <w:szCs w:val="21"/>
          <w:highlight w:val="none"/>
          <w:lang w:eastAsia="ar-SA"/>
        </w:rPr>
        <w:t>。</w:t>
      </w:r>
    </w:p>
    <w:p w14:paraId="38840AE0">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2.</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kern w:val="1"/>
          <w:szCs w:val="21"/>
          <w:highlight w:val="none"/>
          <w:lang w:eastAsia="ar-SA"/>
        </w:rPr>
        <w:t>合同经双方法定代表人或授权代表签字并加盖单位公章后生效。</w:t>
      </w:r>
    </w:p>
    <w:p w14:paraId="2E4E0E0D">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3.</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kern w:val="1"/>
          <w:szCs w:val="21"/>
          <w:highlight w:val="none"/>
          <w:lang w:eastAsia="ar-SA"/>
        </w:rPr>
        <w:t>合同执行中涉及采购资金和采购内容修改或补充的，须经财政部门审批，并签书面补充协议报财政部门备案，方可作为主合同不可分割的一部分。</w:t>
      </w:r>
    </w:p>
    <w:p w14:paraId="328B0572">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4.</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kern w:val="1"/>
          <w:szCs w:val="21"/>
          <w:highlight w:val="none"/>
          <w:lang w:eastAsia="ar-SA"/>
        </w:rPr>
        <w:t>本合同未尽事宜，遵照</w:t>
      </w:r>
      <w:r>
        <w:rPr>
          <w:rFonts w:hint="eastAsia" w:asciiTheme="minorEastAsia" w:hAnsiTheme="minorEastAsia" w:eastAsiaTheme="minorEastAsia"/>
          <w:b/>
          <w:color w:val="auto"/>
          <w:kern w:val="0"/>
          <w:szCs w:val="21"/>
          <w:highlight w:val="none"/>
        </w:rPr>
        <w:t>《中华人民共和国民法典》</w:t>
      </w:r>
      <w:r>
        <w:rPr>
          <w:rFonts w:hint="eastAsia" w:cs="微软雅黑" w:asciiTheme="minorEastAsia" w:hAnsiTheme="minorEastAsia" w:eastAsiaTheme="minorEastAsia"/>
          <w:color w:val="auto"/>
          <w:kern w:val="1"/>
          <w:szCs w:val="21"/>
          <w:highlight w:val="none"/>
          <w:lang w:eastAsia="ar-SA"/>
        </w:rPr>
        <w:t>有关条文执行。</w:t>
      </w:r>
    </w:p>
    <w:p w14:paraId="6CEDAB12">
      <w:pPr>
        <w:snapToGrid w:val="0"/>
        <w:spacing w:before="120" w:after="120" w:line="360" w:lineRule="auto"/>
        <w:ind w:firstLine="422" w:firstLineChars="200"/>
        <w:outlineLvl w:val="1"/>
        <w:rPr>
          <w:rFonts w:cs="微软雅黑" w:asciiTheme="minorEastAsia" w:hAnsiTheme="minorEastAsia" w:eastAsiaTheme="minorEastAsia"/>
          <w:b/>
          <w:color w:val="auto"/>
          <w:szCs w:val="21"/>
          <w:highlight w:val="none"/>
        </w:rPr>
      </w:pPr>
      <w:r>
        <w:rPr>
          <w:rFonts w:hint="eastAsia" w:cs="微软雅黑" w:asciiTheme="minorEastAsia" w:hAnsiTheme="minorEastAsia" w:eastAsiaTheme="minorEastAsia"/>
          <w:b/>
          <w:color w:val="auto"/>
          <w:szCs w:val="21"/>
          <w:highlight w:val="none"/>
        </w:rPr>
        <w:t>第十八条 合同的变更、终止与转让</w:t>
      </w:r>
    </w:p>
    <w:p w14:paraId="3F5BECAD">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1.</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kern w:val="1"/>
          <w:szCs w:val="21"/>
          <w:highlight w:val="none"/>
          <w:lang w:eastAsia="ar-SA"/>
        </w:rPr>
        <w:t>除《中华人民共和国政府采购法》第五十条规定的情形外，本合同一经签订，甲乙双方不得擅自变更、中止或终止。</w:t>
      </w:r>
    </w:p>
    <w:p w14:paraId="7087197E">
      <w:pPr>
        <w:suppressAutoHyphens/>
        <w:snapToGrid w:val="0"/>
        <w:spacing w:line="360" w:lineRule="auto"/>
        <w:ind w:firstLine="420" w:firstLineChars="200"/>
        <w:rPr>
          <w:rFonts w:cs="微软雅黑" w:asciiTheme="minorEastAsia" w:hAnsiTheme="minorEastAsia" w:eastAsiaTheme="minorEastAsia"/>
          <w:color w:val="auto"/>
          <w:kern w:val="1"/>
          <w:szCs w:val="21"/>
          <w:highlight w:val="none"/>
          <w:lang w:eastAsia="ar-SA"/>
        </w:rPr>
      </w:pPr>
      <w:r>
        <w:rPr>
          <w:rFonts w:hint="eastAsia" w:cs="微软雅黑" w:asciiTheme="minorEastAsia" w:hAnsiTheme="minorEastAsia" w:eastAsiaTheme="minorEastAsia"/>
          <w:color w:val="auto"/>
          <w:kern w:val="1"/>
          <w:szCs w:val="21"/>
          <w:highlight w:val="none"/>
          <w:lang w:eastAsia="ar-SA"/>
        </w:rPr>
        <w:t>2.</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kern w:val="1"/>
          <w:szCs w:val="21"/>
          <w:highlight w:val="none"/>
          <w:lang w:eastAsia="ar-SA"/>
        </w:rPr>
        <w:t>未经甲方书面同意，乙方不得擅自转让（无进口资格的乙方委托进口货物除外）其应履行的合同义务。</w:t>
      </w:r>
    </w:p>
    <w:p w14:paraId="65837B1D">
      <w:pPr>
        <w:spacing w:afterLines="40" w:line="360" w:lineRule="auto"/>
        <w:ind w:firstLine="422" w:firstLineChars="200"/>
        <w:outlineLvl w:val="1"/>
        <w:rPr>
          <w:rFonts w:cs="微软雅黑" w:asciiTheme="minorEastAsia" w:hAnsiTheme="minorEastAsia" w:eastAsiaTheme="minorEastAsia"/>
          <w:b/>
          <w:color w:val="auto"/>
          <w:kern w:val="1"/>
          <w:szCs w:val="21"/>
          <w:highlight w:val="none"/>
        </w:rPr>
      </w:pPr>
      <w:r>
        <w:rPr>
          <w:rFonts w:hint="eastAsia" w:cs="微软雅黑" w:asciiTheme="minorEastAsia" w:hAnsiTheme="minorEastAsia" w:eastAsiaTheme="minorEastAsia"/>
          <w:b/>
          <w:color w:val="auto"/>
          <w:kern w:val="1"/>
          <w:szCs w:val="21"/>
          <w:highlight w:val="none"/>
          <w:lang w:eastAsia="ar-SA"/>
        </w:rPr>
        <w:t>第十九条 签订本合同依据（注：如果有）</w:t>
      </w:r>
    </w:p>
    <w:p w14:paraId="5CF5DB58">
      <w:pPr>
        <w:spacing w:afterLines="40" w:line="360" w:lineRule="auto"/>
        <w:ind w:firstLine="420"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kern w:val="1"/>
          <w:szCs w:val="21"/>
          <w:highlight w:val="none"/>
        </w:rPr>
        <w:t>1</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招标</w:t>
      </w:r>
      <w:r>
        <w:rPr>
          <w:rFonts w:hint="eastAsia" w:cs="微软雅黑" w:asciiTheme="minorEastAsia" w:hAnsiTheme="minorEastAsia" w:eastAsiaTheme="minorEastAsia"/>
          <w:color w:val="auto"/>
          <w:kern w:val="1"/>
          <w:szCs w:val="21"/>
          <w:highlight w:val="none"/>
          <w:lang w:eastAsia="ar-SA"/>
        </w:rPr>
        <w:t>文件；</w:t>
      </w:r>
    </w:p>
    <w:p w14:paraId="6345393A">
      <w:pPr>
        <w:suppressAutoHyphens/>
        <w:spacing w:afterLines="40" w:line="360" w:lineRule="auto"/>
        <w:ind w:firstLine="420" w:firstLineChars="200"/>
        <w:rPr>
          <w:rFonts w:cs="微软雅黑" w:asciiTheme="minorEastAsia" w:hAnsiTheme="minorEastAsia" w:eastAsiaTheme="minorEastAsia"/>
          <w:color w:val="auto"/>
          <w:kern w:val="1"/>
          <w:szCs w:val="21"/>
          <w:highlight w:val="none"/>
        </w:rPr>
      </w:pPr>
      <w:r>
        <w:rPr>
          <w:rFonts w:hint="eastAsia" w:cs="微软雅黑" w:asciiTheme="minorEastAsia" w:hAnsiTheme="minorEastAsia" w:eastAsiaTheme="minorEastAsia"/>
          <w:color w:val="auto"/>
          <w:kern w:val="1"/>
          <w:szCs w:val="21"/>
          <w:highlight w:val="none"/>
        </w:rPr>
        <w:t>2</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w:t>
      </w:r>
      <w:r>
        <w:rPr>
          <w:rFonts w:hint="eastAsia" w:cs="微软雅黑" w:asciiTheme="minorEastAsia" w:hAnsiTheme="minorEastAsia" w:eastAsiaTheme="minorEastAsia"/>
          <w:color w:val="auto"/>
          <w:kern w:val="1"/>
          <w:szCs w:val="21"/>
          <w:highlight w:val="none"/>
          <w:lang w:eastAsia="ar-SA"/>
        </w:rPr>
        <w:t>乙方提供的</w:t>
      </w:r>
      <w:r>
        <w:rPr>
          <w:rFonts w:hint="eastAsia" w:cs="微软雅黑" w:asciiTheme="minorEastAsia" w:hAnsiTheme="minorEastAsia" w:eastAsiaTheme="minorEastAsia"/>
          <w:color w:val="auto"/>
          <w:kern w:val="1"/>
          <w:szCs w:val="21"/>
          <w:highlight w:val="none"/>
        </w:rPr>
        <w:t>投标</w:t>
      </w:r>
      <w:r>
        <w:rPr>
          <w:rFonts w:hint="eastAsia" w:cs="微软雅黑" w:asciiTheme="minorEastAsia" w:hAnsiTheme="minorEastAsia" w:eastAsiaTheme="minorEastAsia"/>
          <w:color w:val="auto"/>
          <w:kern w:val="1"/>
          <w:szCs w:val="21"/>
          <w:highlight w:val="none"/>
          <w:lang w:eastAsia="ar-SA"/>
        </w:rPr>
        <w:t>文件</w:t>
      </w:r>
      <w:r>
        <w:rPr>
          <w:rFonts w:hint="eastAsia" w:cs="微软雅黑" w:asciiTheme="minorEastAsia" w:hAnsiTheme="minorEastAsia" w:eastAsiaTheme="minorEastAsia"/>
          <w:color w:val="auto"/>
          <w:kern w:val="1"/>
          <w:szCs w:val="21"/>
          <w:highlight w:val="none"/>
        </w:rPr>
        <w:t>；</w:t>
      </w:r>
    </w:p>
    <w:p w14:paraId="16D21516">
      <w:pPr>
        <w:suppressAutoHyphens/>
        <w:spacing w:afterLines="40" w:line="360" w:lineRule="auto"/>
        <w:ind w:firstLine="420" w:firstLineChars="200"/>
        <w:rPr>
          <w:rFonts w:cs="微软雅黑" w:asciiTheme="minorEastAsia" w:hAnsiTheme="minorEastAsia" w:eastAsiaTheme="minorEastAsia"/>
          <w:color w:val="auto"/>
          <w:kern w:val="1"/>
          <w:szCs w:val="21"/>
          <w:highlight w:val="none"/>
        </w:rPr>
      </w:pPr>
      <w:r>
        <w:rPr>
          <w:rFonts w:hint="eastAsia" w:cs="微软雅黑" w:asciiTheme="minorEastAsia" w:hAnsiTheme="minorEastAsia" w:eastAsiaTheme="minorEastAsia"/>
          <w:color w:val="auto"/>
          <w:kern w:val="1"/>
          <w:szCs w:val="21"/>
          <w:highlight w:val="none"/>
        </w:rPr>
        <w:t>3</w:t>
      </w:r>
      <w:r>
        <w:rPr>
          <w:rFonts w:hint="eastAsia" w:cs="微软雅黑" w:asciiTheme="minorEastAsia" w:hAnsiTheme="minorEastAsia" w:eastAsiaTheme="minorEastAsia"/>
          <w:color w:val="auto"/>
          <w:kern w:val="1"/>
          <w:szCs w:val="21"/>
          <w:highlight w:val="none"/>
          <w:lang w:eastAsia="ar-SA"/>
        </w:rPr>
        <w:t>.</w:t>
      </w:r>
      <w:r>
        <w:rPr>
          <w:rFonts w:hint="eastAsia" w:cs="微软雅黑" w:asciiTheme="minorEastAsia" w:hAnsiTheme="minorEastAsia" w:eastAsiaTheme="minorEastAsia"/>
          <w:color w:val="auto"/>
          <w:kern w:val="1"/>
          <w:szCs w:val="21"/>
          <w:highlight w:val="none"/>
        </w:rPr>
        <w:t xml:space="preserve"> 中标</w:t>
      </w:r>
      <w:r>
        <w:rPr>
          <w:rFonts w:hint="eastAsia" w:cs="微软雅黑" w:asciiTheme="minorEastAsia" w:hAnsiTheme="minorEastAsia" w:eastAsiaTheme="minorEastAsia"/>
          <w:color w:val="auto"/>
          <w:kern w:val="1"/>
          <w:szCs w:val="21"/>
          <w:highlight w:val="none"/>
          <w:lang w:eastAsia="ar-SA"/>
        </w:rPr>
        <w:t>通知书</w:t>
      </w:r>
      <w:r>
        <w:rPr>
          <w:rFonts w:hint="eastAsia" w:cs="微软雅黑" w:asciiTheme="minorEastAsia" w:hAnsiTheme="minorEastAsia" w:eastAsiaTheme="minorEastAsia"/>
          <w:color w:val="auto"/>
          <w:kern w:val="1"/>
          <w:szCs w:val="21"/>
          <w:highlight w:val="none"/>
        </w:rPr>
        <w:t>。</w:t>
      </w:r>
    </w:p>
    <w:p w14:paraId="01BC75A1">
      <w:pPr>
        <w:snapToGrid w:val="0"/>
        <w:spacing w:line="360" w:lineRule="auto"/>
        <w:ind w:firstLine="422" w:firstLineChars="2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b/>
          <w:color w:val="auto"/>
          <w:szCs w:val="21"/>
          <w:highlight w:val="none"/>
        </w:rPr>
        <w:t xml:space="preserve">第二十条 </w:t>
      </w:r>
      <w:r>
        <w:rPr>
          <w:rFonts w:hint="eastAsia" w:cs="微软雅黑" w:asciiTheme="minorEastAsia" w:hAnsiTheme="minorEastAsia" w:eastAsiaTheme="minorEastAsia"/>
          <w:color w:val="auto"/>
          <w:kern w:val="1"/>
          <w:szCs w:val="21"/>
          <w:highlight w:val="none"/>
          <w:lang w:eastAsia="ar-SA"/>
        </w:rPr>
        <w:t>本合同一式六份，具有同等法律效力。甲方三份，乙方二份，采购代理机构一份，本合同经甲乙双方法定代表人或授权代表签字并加盖单位公章后生效。</w:t>
      </w:r>
    </w:p>
    <w:tbl>
      <w:tblPr>
        <w:tblStyle w:val="23"/>
        <w:tblW w:w="50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7"/>
        <w:gridCol w:w="4941"/>
      </w:tblGrid>
      <w:tr w14:paraId="5823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2499" w:type="pct"/>
          </w:tcPr>
          <w:p w14:paraId="035B72C4">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甲方：右江民族医学院附属医院（章）           </w:t>
            </w:r>
          </w:p>
          <w:p w14:paraId="58D8D2EF">
            <w:pPr>
              <w:snapToGrid w:val="0"/>
              <w:spacing w:line="360" w:lineRule="auto"/>
              <w:ind w:firstLine="945" w:firstLineChars="450"/>
              <w:rPr>
                <w:rFonts w:cs="微软雅黑" w:asciiTheme="minorEastAsia" w:hAnsiTheme="minorEastAsia" w:eastAsiaTheme="minorEastAsia"/>
                <w:color w:val="auto"/>
                <w:szCs w:val="21"/>
                <w:highlight w:val="none"/>
              </w:rPr>
            </w:pPr>
          </w:p>
          <w:p w14:paraId="5EA3FF97">
            <w:pPr>
              <w:snapToGrid w:val="0"/>
              <w:spacing w:line="360" w:lineRule="auto"/>
              <w:jc w:val="righ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年   月   日</w:t>
            </w:r>
          </w:p>
        </w:tc>
        <w:tc>
          <w:tcPr>
            <w:tcW w:w="2500" w:type="pct"/>
          </w:tcPr>
          <w:p w14:paraId="1E7A52AA">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乙方：                         （章）              </w:t>
            </w:r>
          </w:p>
          <w:p w14:paraId="253F9096">
            <w:pPr>
              <w:snapToGrid w:val="0"/>
              <w:spacing w:line="360" w:lineRule="auto"/>
              <w:rPr>
                <w:rFonts w:cs="微软雅黑" w:asciiTheme="minorEastAsia" w:hAnsiTheme="minorEastAsia" w:eastAsiaTheme="minorEastAsia"/>
                <w:color w:val="auto"/>
                <w:szCs w:val="21"/>
                <w:highlight w:val="none"/>
              </w:rPr>
            </w:pPr>
          </w:p>
          <w:p w14:paraId="06F59006">
            <w:pPr>
              <w:snapToGrid w:val="0"/>
              <w:spacing w:line="360" w:lineRule="auto"/>
              <w:jc w:val="righ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 年   月   日</w:t>
            </w:r>
          </w:p>
        </w:tc>
      </w:tr>
      <w:tr w14:paraId="2E60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37B2924C">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单位地址：百色市右江区中山二路18号</w:t>
            </w:r>
            <w:r>
              <w:rPr>
                <w:rFonts w:cs="微软雅黑" w:asciiTheme="minorEastAsia" w:hAnsiTheme="minorEastAsia" w:eastAsiaTheme="minorEastAsia"/>
                <w:color w:val="auto"/>
                <w:szCs w:val="21"/>
                <w:highlight w:val="none"/>
              </w:rPr>
              <w:t xml:space="preserve"> </w:t>
            </w:r>
          </w:p>
        </w:tc>
        <w:tc>
          <w:tcPr>
            <w:tcW w:w="2500" w:type="pct"/>
            <w:vAlign w:val="center"/>
          </w:tcPr>
          <w:p w14:paraId="7E07998C">
            <w:pPr>
              <w:snapToGrid w:val="0"/>
              <w:spacing w:line="360" w:lineRule="auto"/>
              <w:ind w:left="1050" w:hanging="1050" w:hangingChars="500"/>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单位地址： </w:t>
            </w:r>
          </w:p>
        </w:tc>
      </w:tr>
      <w:tr w14:paraId="2C32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499" w:type="pct"/>
          </w:tcPr>
          <w:p w14:paraId="085F837A">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法定代表人：</w:t>
            </w:r>
          </w:p>
        </w:tc>
        <w:tc>
          <w:tcPr>
            <w:tcW w:w="2500" w:type="pct"/>
          </w:tcPr>
          <w:p w14:paraId="6F9FD069">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法定代表人（负责人或自然人）：</w:t>
            </w:r>
          </w:p>
        </w:tc>
      </w:tr>
      <w:tr w14:paraId="2DBC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4E68D189">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委托代理人：</w:t>
            </w:r>
          </w:p>
        </w:tc>
        <w:tc>
          <w:tcPr>
            <w:tcW w:w="2500" w:type="pct"/>
          </w:tcPr>
          <w:p w14:paraId="4F0D7D5A">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委托代理人:</w:t>
            </w:r>
          </w:p>
        </w:tc>
      </w:tr>
      <w:tr w14:paraId="7801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3CE64513">
            <w:pPr>
              <w:pStyle w:val="54"/>
              <w:spacing w:before="51" w:line="228" w:lineRule="auto"/>
              <w:rPr>
                <w:rFonts w:cs="微软雅黑" w:asciiTheme="minorEastAsia" w:hAnsiTheme="minorEastAsia" w:eastAsiaTheme="minorEastAsia"/>
                <w:color w:val="auto"/>
                <w:sz w:val="21"/>
                <w:szCs w:val="21"/>
                <w:highlight w:val="none"/>
              </w:rPr>
            </w:pPr>
            <w:r>
              <w:rPr>
                <w:color w:val="auto"/>
                <w:spacing w:val="7"/>
                <w:sz w:val="21"/>
                <w:szCs w:val="21"/>
                <w:highlight w:val="none"/>
              </w:rPr>
              <w:t>经办人：</w:t>
            </w:r>
          </w:p>
        </w:tc>
        <w:tc>
          <w:tcPr>
            <w:tcW w:w="2500" w:type="pct"/>
          </w:tcPr>
          <w:p w14:paraId="51BD26BA">
            <w:pPr>
              <w:pStyle w:val="54"/>
              <w:spacing w:before="51" w:line="228" w:lineRule="auto"/>
              <w:ind w:left="115"/>
              <w:rPr>
                <w:rFonts w:cs="微软雅黑" w:asciiTheme="minorEastAsia" w:hAnsiTheme="minorEastAsia" w:eastAsiaTheme="minorEastAsia"/>
                <w:color w:val="auto"/>
                <w:sz w:val="21"/>
                <w:szCs w:val="21"/>
                <w:highlight w:val="none"/>
              </w:rPr>
            </w:pPr>
            <w:r>
              <w:rPr>
                <w:color w:val="auto"/>
                <w:spacing w:val="7"/>
                <w:sz w:val="21"/>
                <w:szCs w:val="21"/>
                <w:highlight w:val="none"/>
              </w:rPr>
              <w:t>经办人：</w:t>
            </w:r>
          </w:p>
        </w:tc>
      </w:tr>
      <w:tr w14:paraId="68E5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2AD4E3D2">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电话： </w:t>
            </w:r>
          </w:p>
        </w:tc>
        <w:tc>
          <w:tcPr>
            <w:tcW w:w="2500" w:type="pct"/>
          </w:tcPr>
          <w:p w14:paraId="7810816B">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电话：</w:t>
            </w:r>
          </w:p>
        </w:tc>
      </w:tr>
      <w:tr w14:paraId="0FA8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5D9EB5C2">
            <w:pPr>
              <w:pStyle w:val="54"/>
              <w:spacing w:before="37" w:line="228" w:lineRule="auto"/>
              <w:ind w:left="117"/>
              <w:rPr>
                <w:rFonts w:cs="微软雅黑" w:asciiTheme="minorEastAsia" w:hAnsiTheme="minorEastAsia" w:eastAsiaTheme="minorEastAsia"/>
                <w:color w:val="auto"/>
                <w:sz w:val="21"/>
                <w:szCs w:val="21"/>
                <w:highlight w:val="none"/>
              </w:rPr>
            </w:pPr>
            <w:r>
              <w:rPr>
                <w:color w:val="auto"/>
                <w:spacing w:val="10"/>
                <w:sz w:val="21"/>
                <w:szCs w:val="21"/>
                <w:highlight w:val="none"/>
              </w:rPr>
              <w:t>手机号码：</w:t>
            </w:r>
          </w:p>
        </w:tc>
        <w:tc>
          <w:tcPr>
            <w:tcW w:w="2500" w:type="pct"/>
          </w:tcPr>
          <w:p w14:paraId="23DB5FF1">
            <w:pPr>
              <w:pStyle w:val="54"/>
              <w:spacing w:before="37" w:line="228" w:lineRule="auto"/>
              <w:ind w:left="113"/>
              <w:rPr>
                <w:rFonts w:cs="微软雅黑" w:asciiTheme="minorEastAsia" w:hAnsiTheme="minorEastAsia" w:eastAsiaTheme="minorEastAsia"/>
                <w:color w:val="auto"/>
                <w:sz w:val="21"/>
                <w:szCs w:val="21"/>
                <w:highlight w:val="none"/>
              </w:rPr>
            </w:pPr>
            <w:r>
              <w:rPr>
                <w:color w:val="auto"/>
                <w:spacing w:val="10"/>
                <w:sz w:val="21"/>
                <w:szCs w:val="21"/>
                <w:highlight w:val="none"/>
              </w:rPr>
              <w:t>手机号码：</w:t>
            </w:r>
          </w:p>
        </w:tc>
      </w:tr>
      <w:tr w14:paraId="73C2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709DB92E">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电子邮箱： </w:t>
            </w:r>
          </w:p>
        </w:tc>
        <w:tc>
          <w:tcPr>
            <w:tcW w:w="2500" w:type="pct"/>
          </w:tcPr>
          <w:p w14:paraId="7DCB76B2">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电子邮箱：</w:t>
            </w:r>
          </w:p>
        </w:tc>
      </w:tr>
      <w:tr w14:paraId="0B65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72352356">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开户银行： </w:t>
            </w:r>
          </w:p>
        </w:tc>
        <w:tc>
          <w:tcPr>
            <w:tcW w:w="2500" w:type="pct"/>
          </w:tcPr>
          <w:p w14:paraId="08993104">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开户银行：</w:t>
            </w:r>
          </w:p>
        </w:tc>
      </w:tr>
      <w:tr w14:paraId="059C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2499" w:type="pct"/>
          </w:tcPr>
          <w:p w14:paraId="2BEF5706">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账号： </w:t>
            </w:r>
          </w:p>
        </w:tc>
        <w:tc>
          <w:tcPr>
            <w:tcW w:w="2500" w:type="pct"/>
          </w:tcPr>
          <w:p w14:paraId="6D53ED30">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账号：</w:t>
            </w:r>
          </w:p>
        </w:tc>
      </w:tr>
      <w:tr w14:paraId="5344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499" w:type="pct"/>
          </w:tcPr>
          <w:p w14:paraId="4F119629">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纳税人识别号或统一社会信用代码：12450000499438182F</w:t>
            </w:r>
          </w:p>
        </w:tc>
        <w:tc>
          <w:tcPr>
            <w:tcW w:w="2500" w:type="pct"/>
          </w:tcPr>
          <w:p w14:paraId="0D894D16">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纳税人识别号或统一社会信用代码：</w:t>
            </w:r>
          </w:p>
        </w:tc>
      </w:tr>
      <w:tr w14:paraId="695E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2499" w:type="pct"/>
          </w:tcPr>
          <w:p w14:paraId="1007C6CE">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 xml:space="preserve">邮政编码： </w:t>
            </w:r>
          </w:p>
        </w:tc>
        <w:tc>
          <w:tcPr>
            <w:tcW w:w="2500" w:type="pct"/>
          </w:tcPr>
          <w:p w14:paraId="058A315E">
            <w:pPr>
              <w:snapToGrid w:val="0"/>
              <w:spacing w:line="360" w:lineRule="auto"/>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邮政编码：</w:t>
            </w:r>
          </w:p>
        </w:tc>
      </w:tr>
      <w:tr w14:paraId="14AF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5000" w:type="pct"/>
            <w:gridSpan w:val="2"/>
          </w:tcPr>
          <w:p w14:paraId="528D8F74">
            <w:pPr>
              <w:snapToGrid w:val="0"/>
              <w:spacing w:line="360" w:lineRule="auto"/>
              <w:jc w:val="right"/>
              <w:rPr>
                <w:rFonts w:cs="微软雅黑" w:asciiTheme="minorEastAsia" w:hAnsiTheme="minorEastAsia" w:eastAsiaTheme="minorEastAsia"/>
                <w:color w:val="auto"/>
                <w:szCs w:val="21"/>
                <w:highlight w:val="none"/>
              </w:rPr>
            </w:pPr>
            <w:r>
              <w:rPr>
                <w:rFonts w:hint="eastAsia" w:cs="微软雅黑" w:asciiTheme="minorEastAsia" w:hAnsiTheme="minorEastAsia" w:eastAsiaTheme="minorEastAsia"/>
                <w:color w:val="auto"/>
                <w:szCs w:val="21"/>
                <w:highlight w:val="none"/>
              </w:rPr>
              <w:t>2025年    月      日</w:t>
            </w:r>
          </w:p>
        </w:tc>
      </w:tr>
    </w:tbl>
    <w:p w14:paraId="0B47A799">
      <w:pPr>
        <w:spacing w:line="360" w:lineRule="auto"/>
        <w:rPr>
          <w:rFonts w:cs="微软雅黑" w:asciiTheme="minorEastAsia" w:hAnsiTheme="minorEastAsia" w:eastAsiaTheme="minorEastAsia"/>
          <w:color w:val="auto"/>
          <w:kern w:val="0"/>
          <w:sz w:val="24"/>
          <w:highlight w:val="none"/>
        </w:rPr>
      </w:pPr>
    </w:p>
    <w:p w14:paraId="2332E955">
      <w:pPr>
        <w:pStyle w:val="12"/>
        <w:rPr>
          <w:rFonts w:asciiTheme="minorEastAsia" w:hAnsiTheme="minorEastAsia" w:eastAsiaTheme="minorEastAsia"/>
          <w:color w:val="auto"/>
          <w:highlight w:val="none"/>
        </w:rPr>
      </w:pPr>
    </w:p>
    <w:p w14:paraId="1588494C">
      <w:pPr>
        <w:pStyle w:val="12"/>
        <w:rPr>
          <w:rFonts w:asciiTheme="minorEastAsia" w:hAnsiTheme="minorEastAsia" w:eastAsiaTheme="minorEastAsia"/>
          <w:color w:val="auto"/>
          <w:highlight w:val="none"/>
        </w:rPr>
      </w:pPr>
    </w:p>
    <w:p w14:paraId="290DF139">
      <w:pPr>
        <w:pStyle w:val="12"/>
        <w:rPr>
          <w:rFonts w:asciiTheme="minorEastAsia" w:hAnsiTheme="minorEastAsia" w:eastAsiaTheme="minorEastAsia"/>
          <w:color w:val="auto"/>
          <w:highlight w:val="none"/>
        </w:rPr>
      </w:pPr>
    </w:p>
    <w:p w14:paraId="15549E95">
      <w:pPr>
        <w:snapToGrid w:val="0"/>
        <w:spacing w:line="360" w:lineRule="auto"/>
        <w:ind w:firstLine="420" w:firstLineChars="200"/>
        <w:rPr>
          <w:rFonts w:cs="Arial" w:asciiTheme="minorEastAsia" w:hAnsiTheme="minorEastAsia" w:eastAsiaTheme="minorEastAsia"/>
          <w:color w:val="auto"/>
          <w:kern w:val="1"/>
          <w:szCs w:val="21"/>
          <w:highlight w:val="none"/>
          <w:lang w:eastAsia="ar-SA"/>
        </w:rPr>
      </w:pPr>
    </w:p>
    <w:p w14:paraId="6D7ED63B">
      <w:pPr>
        <w:snapToGrid w:val="0"/>
        <w:spacing w:line="360" w:lineRule="auto"/>
        <w:ind w:left="420" w:hanging="420" w:hangingChars="200"/>
        <w:rPr>
          <w:rFonts w:asciiTheme="minorEastAsia" w:hAnsiTheme="minorEastAsia" w:eastAsiaTheme="minorEastAsia"/>
          <w:color w:val="auto"/>
          <w:szCs w:val="21"/>
          <w:highlight w:val="none"/>
        </w:rPr>
      </w:pPr>
    </w:p>
    <w:p w14:paraId="7A904D19">
      <w:pPr>
        <w:snapToGrid w:val="0"/>
        <w:spacing w:line="360" w:lineRule="auto"/>
        <w:jc w:val="center"/>
        <w:rPr>
          <w:rFonts w:asciiTheme="minorEastAsia" w:hAnsiTheme="minorEastAsia" w:eastAsiaTheme="minorEastAsia"/>
          <w:b/>
          <w:color w:val="auto"/>
          <w:szCs w:val="21"/>
          <w:highlight w:val="none"/>
        </w:rPr>
      </w:pPr>
    </w:p>
    <w:p w14:paraId="1F95AEB0">
      <w:pPr>
        <w:pStyle w:val="12"/>
        <w:rPr>
          <w:rFonts w:asciiTheme="minorEastAsia" w:hAnsiTheme="minorEastAsia" w:eastAsiaTheme="minorEastAsia"/>
          <w:color w:val="auto"/>
          <w:highlight w:val="none"/>
        </w:rPr>
      </w:pPr>
    </w:p>
    <w:p w14:paraId="73408FD3">
      <w:pPr>
        <w:pStyle w:val="12"/>
        <w:rPr>
          <w:rFonts w:asciiTheme="minorEastAsia" w:hAnsiTheme="minorEastAsia" w:eastAsiaTheme="minorEastAsia"/>
          <w:color w:val="auto"/>
          <w:highlight w:val="none"/>
        </w:rPr>
      </w:pPr>
    </w:p>
    <w:p w14:paraId="0850E856">
      <w:pPr>
        <w:pStyle w:val="12"/>
        <w:rPr>
          <w:rFonts w:asciiTheme="minorEastAsia" w:hAnsiTheme="minorEastAsia" w:eastAsiaTheme="minorEastAsia"/>
          <w:color w:val="auto"/>
          <w:highlight w:val="none"/>
        </w:rPr>
      </w:pPr>
    </w:p>
    <w:p w14:paraId="5344C842">
      <w:pPr>
        <w:snapToGrid w:val="0"/>
        <w:jc w:val="center"/>
        <w:rPr>
          <w:rFonts w:asciiTheme="minorEastAsia" w:hAnsiTheme="minorEastAsia" w:eastAsiaTheme="minorEastAsia"/>
          <w:bCs/>
          <w:color w:val="auto"/>
          <w:sz w:val="32"/>
          <w:szCs w:val="32"/>
          <w:highlight w:val="none"/>
        </w:rPr>
      </w:pPr>
    </w:p>
    <w:p w14:paraId="358B3427">
      <w:pPr>
        <w:snapToGrid w:val="0"/>
        <w:jc w:val="center"/>
        <w:rPr>
          <w:rFonts w:asciiTheme="minorEastAsia" w:hAnsiTheme="minorEastAsia" w:eastAsiaTheme="minorEastAsia"/>
          <w:bCs/>
          <w:color w:val="auto"/>
          <w:sz w:val="32"/>
          <w:szCs w:val="32"/>
          <w:highlight w:val="none"/>
        </w:rPr>
      </w:pPr>
    </w:p>
    <w:p w14:paraId="60505AE9">
      <w:pPr>
        <w:snapToGrid w:val="0"/>
        <w:jc w:val="center"/>
        <w:rPr>
          <w:rFonts w:asciiTheme="minorEastAsia" w:hAnsiTheme="minorEastAsia" w:eastAsiaTheme="minorEastAsia"/>
          <w:bCs/>
          <w:color w:val="auto"/>
          <w:sz w:val="32"/>
          <w:szCs w:val="32"/>
          <w:highlight w:val="none"/>
        </w:rPr>
      </w:pPr>
    </w:p>
    <w:p w14:paraId="686B9350">
      <w:pPr>
        <w:spacing w:before="101" w:line="225" w:lineRule="auto"/>
        <w:ind w:left="3015"/>
        <w:rPr>
          <w:rFonts w:ascii="宋体" w:hAnsi="宋体" w:cs="宋体"/>
          <w:color w:val="auto"/>
          <w:sz w:val="31"/>
          <w:szCs w:val="31"/>
          <w:highlight w:val="none"/>
        </w:rPr>
      </w:pPr>
      <w:bookmarkStart w:id="135" w:name="_Toc74320805"/>
      <w:r>
        <w:rPr>
          <w:rFonts w:ascii="宋体" w:hAnsi="宋体" w:cs="宋体"/>
          <w:b/>
          <w:bCs/>
          <w:color w:val="auto"/>
          <w:spacing w:val="11"/>
          <w:sz w:val="31"/>
          <w:szCs w:val="31"/>
          <w:highlight w:val="none"/>
        </w:rPr>
        <w:t>廉洁购销合同</w:t>
      </w:r>
    </w:p>
    <w:p w14:paraId="039F4838">
      <w:pPr>
        <w:spacing w:line="390" w:lineRule="auto"/>
        <w:rPr>
          <w:rFonts w:ascii="Arial"/>
          <w:color w:val="auto"/>
          <w:highlight w:val="none"/>
        </w:rPr>
      </w:pPr>
    </w:p>
    <w:p w14:paraId="5CEC10DB">
      <w:pPr>
        <w:spacing w:before="71" w:line="471" w:lineRule="auto"/>
        <w:ind w:left="27" w:right="5022" w:firstLine="10"/>
        <w:jc w:val="left"/>
        <w:rPr>
          <w:rFonts w:ascii="宋体" w:hAnsi="宋体" w:cs="宋体"/>
          <w:bCs/>
          <w:color w:val="auto"/>
          <w:szCs w:val="21"/>
          <w:highlight w:val="none"/>
        </w:rPr>
      </w:pPr>
      <w:r>
        <w:rPr>
          <w:rFonts w:hint="eastAsia" w:ascii="宋体" w:hAnsi="宋体" w:cs="宋体"/>
          <w:bCs/>
          <w:color w:val="auto"/>
          <w:szCs w:val="21"/>
          <w:highlight w:val="none"/>
        </w:rPr>
        <w:t xml:space="preserve">甲方：右江民族医学院附属医院 </w:t>
      </w:r>
    </w:p>
    <w:p w14:paraId="19A2C0E3">
      <w:pPr>
        <w:spacing w:before="71" w:line="471" w:lineRule="auto"/>
        <w:ind w:left="27" w:right="5022" w:firstLine="10"/>
        <w:jc w:val="left"/>
        <w:rPr>
          <w:rFonts w:ascii="宋体" w:hAnsi="宋体" w:cs="宋体"/>
          <w:bCs/>
          <w:color w:val="auto"/>
          <w:szCs w:val="21"/>
          <w:highlight w:val="none"/>
        </w:rPr>
      </w:pPr>
      <w:r>
        <w:rPr>
          <w:rFonts w:hint="eastAsia" w:ascii="宋体" w:hAnsi="宋体" w:cs="宋体"/>
          <w:bCs/>
          <w:color w:val="auto"/>
          <w:szCs w:val="21"/>
          <w:highlight w:val="none"/>
        </w:rPr>
        <w:t>乙方：</w:t>
      </w:r>
    </w:p>
    <w:p w14:paraId="55BC06F6">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为进一步加强医疗卫生行风建设，规范医疗卫生机构购销行为，有效防范商业贿 赂行为，营造公平交易、诚实守信的购销环境，经甲、乙双方协商，同意签订本 合同，并共同遵守：</w:t>
      </w:r>
    </w:p>
    <w:p w14:paraId="1DD898F0">
      <w:pPr>
        <w:pStyle w:val="8"/>
        <w:spacing w:line="400" w:lineRule="exact"/>
        <w:ind w:left="420" w:firstLine="0"/>
        <w:outlineLvl w:val="2"/>
        <w:rPr>
          <w:rFonts w:ascii="宋体" w:hAnsi="宋体" w:cs="宋体"/>
          <w:bCs/>
          <w:color w:val="auto"/>
          <w:szCs w:val="21"/>
          <w:highlight w:val="none"/>
        </w:rPr>
      </w:pPr>
      <w:r>
        <w:rPr>
          <w:rFonts w:hint="eastAsia" w:ascii="宋体" w:hAnsi="宋体" w:cs="宋体"/>
          <w:bCs/>
          <w:color w:val="auto"/>
          <w:szCs w:val="21"/>
          <w:highlight w:val="none"/>
        </w:rPr>
        <w:t>一、 甲乙双方按照《合同法》及产品购销合同的约定购销。</w:t>
      </w:r>
    </w:p>
    <w:p w14:paraId="5B657D04">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二、 甲方应当严格执行产品购销合同验收、入库制度，对采购产品及发票进行查 验，不得违反有关规定合同外采购、违价采购或从非规定渠道采购。</w:t>
      </w:r>
    </w:p>
    <w:p w14:paraId="0850093A">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三、 甲方严禁接受乙方以任何名义、形式给予的回扣，不得将接受捐赠资助与采 购挂钩。 甲方工作人员不得参加乙方安排并支付费用的营业性娱乐场所的娱乐活 动，不得以任何形式向乙方索要现金、有价证券、支付凭证和贵重礼品等。被迫 接受乙方给予的钱物，应予退还，无法退还的，有责任如实向有关纪检监察部门 反映情况。</w:t>
      </w:r>
    </w:p>
    <w:p w14:paraId="19AA4A62">
      <w:pPr>
        <w:pStyle w:val="8"/>
        <w:spacing w:line="400" w:lineRule="exact"/>
        <w:ind w:left="420" w:firstLine="0"/>
        <w:outlineLvl w:val="2"/>
        <w:rPr>
          <w:rFonts w:ascii="宋体" w:hAnsi="宋体" w:cs="宋体"/>
          <w:bCs/>
          <w:color w:val="auto"/>
          <w:szCs w:val="21"/>
          <w:highlight w:val="none"/>
        </w:rPr>
      </w:pPr>
      <w:r>
        <w:rPr>
          <w:rFonts w:hint="eastAsia" w:ascii="宋体" w:hAnsi="宋体" w:cs="宋体"/>
          <w:bCs/>
          <w:color w:val="auto"/>
          <w:szCs w:val="21"/>
          <w:highlight w:val="none"/>
        </w:rPr>
        <w:t>四、严禁甲方工作人员利用任何途径和方式，为乙方统计提供便利。</w:t>
      </w:r>
    </w:p>
    <w:p w14:paraId="2DD29263">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五、乙方不得以回扣、宴请等方式影响甲方工作人员采购或使用产品的选择 权，不得在学术活动中提供旅游、超标准支付食宿费用。</w:t>
      </w:r>
    </w:p>
    <w:p w14:paraId="193D980A">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六、乙方指定</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作为销售代表洽谈业务。销售代 表必须在工作时间到甲方指定地点联系商谈，不得到住院部、 门诊部、医技科室 等推销产品，不得借故到甲方相关领导、部门负责人及相关工作人员家中访谈并 提供任何好处费。</w:t>
      </w:r>
    </w:p>
    <w:p w14:paraId="531207BD">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七、乙方如违反本合同，一经发现， 甲方有权终止购销合同，并向有关卫生 计生行政部门报告。如乙方被列入商业贿赂不良记录，则严格按照《国家卫生计生委关于建立医药购销领域商业贿赂不良记录的规定》 （国卫法制发〔2013〕50号）相关规定处理。</w:t>
      </w:r>
    </w:p>
    <w:p w14:paraId="38FEF7B6">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八、本合同作为产品购销合同的重要组成部分，与购销合同一并执行，具有 同等的法律效力。</w:t>
      </w:r>
    </w:p>
    <w:p w14:paraId="60E7E017">
      <w:pPr>
        <w:pStyle w:val="8"/>
        <w:spacing w:line="400" w:lineRule="exact"/>
        <w:ind w:firstLineChars="200"/>
        <w:rPr>
          <w:rFonts w:ascii="宋体" w:hAnsi="宋体" w:cs="宋体"/>
          <w:bCs/>
          <w:color w:val="auto"/>
          <w:szCs w:val="21"/>
          <w:highlight w:val="none"/>
        </w:rPr>
      </w:pPr>
      <w:r>
        <w:rPr>
          <w:rFonts w:hint="eastAsia" w:ascii="宋体" w:hAnsi="宋体" w:cs="宋体"/>
          <w:bCs/>
          <w:color w:val="auto"/>
          <w:szCs w:val="21"/>
          <w:highlight w:val="none"/>
        </w:rPr>
        <w:t>九、本合同一式五份， 甲、乙双方各执二份， 甲方纪检监察部门（基层医疗 卫生机构上报上级卫生计生行政部门）执一份，并从签订之日起生效。</w:t>
      </w:r>
    </w:p>
    <w:p w14:paraId="2443E66F">
      <w:pPr>
        <w:spacing w:line="269" w:lineRule="auto"/>
        <w:rPr>
          <w:rFonts w:ascii="Arial"/>
          <w:color w:val="auto"/>
          <w:highlight w:val="none"/>
        </w:rPr>
      </w:pPr>
    </w:p>
    <w:p w14:paraId="48A6E4FF">
      <w:pPr>
        <w:spacing w:line="270" w:lineRule="auto"/>
        <w:rPr>
          <w:rFonts w:ascii="Arial"/>
          <w:color w:val="auto"/>
          <w:highlight w:val="none"/>
        </w:rPr>
      </w:pPr>
    </w:p>
    <w:p w14:paraId="13A0ECB1">
      <w:pPr>
        <w:spacing w:before="72" w:line="228" w:lineRule="auto"/>
        <w:ind w:left="38"/>
        <w:rPr>
          <w:rFonts w:ascii="宋体" w:hAnsi="宋体" w:cs="宋体"/>
          <w:color w:val="auto"/>
          <w:sz w:val="22"/>
          <w:szCs w:val="22"/>
          <w:highlight w:val="none"/>
        </w:rPr>
      </w:pPr>
      <w:r>
        <w:rPr>
          <w:rFonts w:ascii="宋体" w:hAnsi="宋体" w:cs="宋体"/>
          <w:b/>
          <w:bCs/>
          <w:color w:val="auto"/>
          <w:spacing w:val="7"/>
          <w:sz w:val="22"/>
          <w:szCs w:val="22"/>
          <w:highlight w:val="none"/>
        </w:rPr>
        <w:t>甲方（盖章</w:t>
      </w:r>
      <w:r>
        <w:rPr>
          <w:rFonts w:ascii="宋体" w:hAnsi="宋体" w:cs="宋体"/>
          <w:b/>
          <w:bCs/>
          <w:color w:val="auto"/>
          <w:spacing w:val="-2"/>
          <w:sz w:val="22"/>
          <w:szCs w:val="22"/>
          <w:highlight w:val="none"/>
        </w:rPr>
        <w:t>）</w:t>
      </w:r>
      <w:r>
        <w:rPr>
          <w:rFonts w:ascii="宋体" w:hAnsi="宋体" w:cs="宋体"/>
          <w:color w:val="auto"/>
          <w:spacing w:val="-52"/>
          <w:sz w:val="22"/>
          <w:szCs w:val="22"/>
          <w:highlight w:val="none"/>
        </w:rPr>
        <w:t xml:space="preserve"> </w:t>
      </w:r>
      <w:r>
        <w:rPr>
          <w:rFonts w:ascii="宋体" w:hAnsi="宋体" w:cs="宋体"/>
          <w:b/>
          <w:bCs/>
          <w:color w:val="auto"/>
          <w:spacing w:val="-2"/>
          <w:sz w:val="22"/>
          <w:szCs w:val="22"/>
          <w:highlight w:val="none"/>
        </w:rPr>
        <w:t>：</w:t>
      </w:r>
      <w:r>
        <w:rPr>
          <w:rFonts w:ascii="宋体" w:hAnsi="宋体" w:cs="宋体"/>
          <w:color w:val="auto"/>
          <w:spacing w:val="2"/>
          <w:sz w:val="22"/>
          <w:szCs w:val="22"/>
          <w:highlight w:val="none"/>
        </w:rPr>
        <w:t xml:space="preserve">                            </w:t>
      </w:r>
      <w:r>
        <w:rPr>
          <w:rFonts w:ascii="宋体" w:hAnsi="宋体" w:cs="宋体"/>
          <w:color w:val="auto"/>
          <w:spacing w:val="1"/>
          <w:sz w:val="22"/>
          <w:szCs w:val="22"/>
          <w:highlight w:val="none"/>
        </w:rPr>
        <w:t xml:space="preserve">   </w:t>
      </w:r>
      <w:r>
        <w:rPr>
          <w:rFonts w:ascii="宋体" w:hAnsi="宋体" w:cs="宋体"/>
          <w:b/>
          <w:bCs/>
          <w:color w:val="auto"/>
          <w:spacing w:val="7"/>
          <w:sz w:val="22"/>
          <w:szCs w:val="22"/>
          <w:highlight w:val="none"/>
        </w:rPr>
        <w:t>乙方（盖章</w:t>
      </w:r>
      <w:r>
        <w:rPr>
          <w:rFonts w:ascii="宋体" w:hAnsi="宋体" w:cs="宋体"/>
          <w:b/>
          <w:bCs/>
          <w:color w:val="auto"/>
          <w:spacing w:val="-2"/>
          <w:sz w:val="22"/>
          <w:szCs w:val="22"/>
          <w:highlight w:val="none"/>
        </w:rPr>
        <w:t>）：</w:t>
      </w:r>
    </w:p>
    <w:p w14:paraId="29FA3952">
      <w:pPr>
        <w:spacing w:before="76" w:line="228" w:lineRule="auto"/>
        <w:ind w:left="10"/>
        <w:outlineLvl w:val="0"/>
        <w:rPr>
          <w:rFonts w:ascii="宋体" w:hAnsi="宋体" w:cs="宋体"/>
          <w:color w:val="auto"/>
          <w:sz w:val="22"/>
          <w:szCs w:val="22"/>
          <w:highlight w:val="none"/>
        </w:rPr>
      </w:pPr>
      <w:r>
        <w:rPr>
          <w:rFonts w:ascii="宋体" w:hAnsi="宋体" w:cs="宋体"/>
          <w:b/>
          <w:bCs/>
          <w:color w:val="auto"/>
          <w:spacing w:val="13"/>
          <w:sz w:val="22"/>
          <w:szCs w:val="22"/>
          <w:highlight w:val="none"/>
        </w:rPr>
        <w:t>右江民族医学院附属医院</w:t>
      </w:r>
    </w:p>
    <w:p w14:paraId="45C13916">
      <w:pPr>
        <w:spacing w:line="306" w:lineRule="auto"/>
        <w:rPr>
          <w:rFonts w:ascii="Arial"/>
          <w:color w:val="auto"/>
          <w:highlight w:val="none"/>
        </w:rPr>
      </w:pPr>
    </w:p>
    <w:p w14:paraId="780AD4C3">
      <w:pPr>
        <w:spacing w:before="71" w:line="228" w:lineRule="auto"/>
        <w:ind w:left="9"/>
        <w:rPr>
          <w:rFonts w:ascii="宋体" w:hAnsi="宋体" w:cs="宋体"/>
          <w:color w:val="auto"/>
          <w:sz w:val="22"/>
          <w:szCs w:val="22"/>
          <w:highlight w:val="none"/>
        </w:rPr>
      </w:pPr>
      <w:r>
        <w:rPr>
          <w:rFonts w:ascii="宋体" w:hAnsi="宋体" w:cs="宋体"/>
          <w:b/>
          <w:bCs/>
          <w:color w:val="auto"/>
          <w:spacing w:val="7"/>
          <w:sz w:val="22"/>
          <w:szCs w:val="22"/>
          <w:highlight w:val="none"/>
        </w:rPr>
        <w:t>法定代表人：</w:t>
      </w:r>
      <w:r>
        <w:rPr>
          <w:rFonts w:ascii="宋体" w:hAnsi="宋体" w:cs="宋体"/>
          <w:color w:val="auto"/>
          <w:spacing w:val="7"/>
          <w:sz w:val="22"/>
          <w:szCs w:val="22"/>
          <w:highlight w:val="none"/>
        </w:rPr>
        <w:t xml:space="preserve">                               </w:t>
      </w:r>
      <w:r>
        <w:rPr>
          <w:rFonts w:ascii="宋体" w:hAnsi="宋体" w:cs="宋体"/>
          <w:color w:val="auto"/>
          <w:spacing w:val="6"/>
          <w:sz w:val="22"/>
          <w:szCs w:val="22"/>
          <w:highlight w:val="none"/>
        </w:rPr>
        <w:t xml:space="preserve"> </w:t>
      </w:r>
      <w:r>
        <w:rPr>
          <w:rFonts w:ascii="宋体" w:hAnsi="宋体" w:cs="宋体"/>
          <w:b/>
          <w:bCs/>
          <w:color w:val="auto"/>
          <w:spacing w:val="6"/>
          <w:sz w:val="22"/>
          <w:szCs w:val="22"/>
          <w:highlight w:val="none"/>
        </w:rPr>
        <w:t>法定代表人：</w:t>
      </w:r>
    </w:p>
    <w:p w14:paraId="341D451F">
      <w:pPr>
        <w:spacing w:before="309" w:line="228" w:lineRule="auto"/>
        <w:ind w:left="7"/>
        <w:rPr>
          <w:rFonts w:ascii="宋体" w:hAnsi="宋体" w:cs="宋体"/>
          <w:color w:val="auto"/>
          <w:sz w:val="22"/>
          <w:szCs w:val="22"/>
          <w:highlight w:val="none"/>
        </w:rPr>
      </w:pPr>
      <w:r>
        <w:rPr>
          <w:rFonts w:ascii="宋体" w:hAnsi="宋体" w:cs="宋体"/>
          <w:b/>
          <w:bCs/>
          <w:color w:val="auto"/>
          <w:spacing w:val="9"/>
          <w:sz w:val="22"/>
          <w:szCs w:val="22"/>
          <w:highlight w:val="none"/>
        </w:rPr>
        <w:t>委托代理人：</w:t>
      </w:r>
      <w:r>
        <w:rPr>
          <w:rFonts w:ascii="宋体" w:hAnsi="宋体" w:cs="宋体"/>
          <w:color w:val="auto"/>
          <w:spacing w:val="2"/>
          <w:sz w:val="22"/>
          <w:szCs w:val="22"/>
          <w:highlight w:val="none"/>
        </w:rPr>
        <w:t xml:space="preserve">                                 </w:t>
      </w:r>
      <w:r>
        <w:rPr>
          <w:rFonts w:ascii="宋体" w:hAnsi="宋体" w:cs="宋体"/>
          <w:b/>
          <w:bCs/>
          <w:color w:val="auto"/>
          <w:spacing w:val="9"/>
          <w:sz w:val="22"/>
          <w:szCs w:val="22"/>
          <w:highlight w:val="none"/>
        </w:rPr>
        <w:t>委托代理人：</w:t>
      </w:r>
    </w:p>
    <w:p w14:paraId="7650C4EE">
      <w:pPr>
        <w:spacing w:before="307" w:line="228" w:lineRule="auto"/>
        <w:ind w:left="10"/>
        <w:rPr>
          <w:rFonts w:ascii="宋体" w:hAnsi="宋体" w:cs="宋体"/>
          <w:color w:val="auto"/>
          <w:sz w:val="22"/>
          <w:szCs w:val="22"/>
          <w:highlight w:val="none"/>
        </w:rPr>
      </w:pPr>
      <w:r>
        <w:rPr>
          <w:rFonts w:ascii="宋体" w:hAnsi="宋体" w:cs="宋体"/>
          <w:b/>
          <w:bCs/>
          <w:color w:val="auto"/>
          <w:spacing w:val="6"/>
          <w:sz w:val="22"/>
          <w:szCs w:val="22"/>
          <w:highlight w:val="none"/>
        </w:rPr>
        <w:t>经办人：</w:t>
      </w:r>
      <w:r>
        <w:rPr>
          <w:rFonts w:ascii="宋体" w:hAnsi="宋体" w:cs="宋体"/>
          <w:color w:val="auto"/>
          <w:spacing w:val="1"/>
          <w:sz w:val="22"/>
          <w:szCs w:val="22"/>
          <w:highlight w:val="none"/>
        </w:rPr>
        <w:t xml:space="preserve">                    </w:t>
      </w:r>
      <w:r>
        <w:rPr>
          <w:rFonts w:ascii="宋体" w:hAnsi="宋体" w:cs="宋体"/>
          <w:color w:val="auto"/>
          <w:sz w:val="22"/>
          <w:szCs w:val="22"/>
          <w:highlight w:val="none"/>
        </w:rPr>
        <w:t xml:space="preserve">                  </w:t>
      </w:r>
      <w:r>
        <w:rPr>
          <w:rFonts w:ascii="宋体" w:hAnsi="宋体" w:cs="宋体"/>
          <w:b/>
          <w:bCs/>
          <w:color w:val="auto"/>
          <w:spacing w:val="6"/>
          <w:sz w:val="22"/>
          <w:szCs w:val="22"/>
          <w:highlight w:val="none"/>
        </w:rPr>
        <w:t>经办人：</w:t>
      </w:r>
    </w:p>
    <w:p w14:paraId="112B3FFE">
      <w:pPr>
        <w:spacing w:line="228" w:lineRule="auto"/>
        <w:rPr>
          <w:rFonts w:ascii="宋体" w:hAnsi="宋体" w:cs="宋体"/>
          <w:color w:val="auto"/>
          <w:sz w:val="22"/>
          <w:szCs w:val="22"/>
          <w:highlight w:val="none"/>
        </w:rPr>
        <w:sectPr>
          <w:footerReference r:id="rId4" w:type="default"/>
          <w:pgSz w:w="11906" w:h="16840"/>
          <w:pgMar w:top="1134" w:right="1134" w:bottom="1134" w:left="1134" w:header="0" w:footer="945" w:gutter="0"/>
          <w:pgNumType w:fmt="decimal" w:start="1"/>
          <w:cols w:space="720" w:num="1"/>
        </w:sectPr>
      </w:pPr>
    </w:p>
    <w:p w14:paraId="1C366CD2">
      <w:pPr>
        <w:pStyle w:val="2"/>
        <w:jc w:val="center"/>
        <w:rPr>
          <w:rFonts w:asciiTheme="minorEastAsia" w:hAnsiTheme="minorEastAsia" w:eastAsiaTheme="minorEastAsia"/>
          <w:color w:val="auto"/>
          <w:highlight w:val="none"/>
        </w:rPr>
      </w:pPr>
    </w:p>
    <w:p w14:paraId="2ECB76BD">
      <w:pPr>
        <w:pStyle w:val="2"/>
        <w:jc w:val="center"/>
        <w:rPr>
          <w:rFonts w:asciiTheme="minorEastAsia" w:hAnsiTheme="minorEastAsia" w:eastAsiaTheme="minorEastAsia"/>
          <w:color w:val="auto"/>
          <w:highlight w:val="none"/>
        </w:rPr>
      </w:pPr>
    </w:p>
    <w:p w14:paraId="16ED1C43">
      <w:pPr>
        <w:pStyle w:val="2"/>
        <w:jc w:val="center"/>
        <w:rPr>
          <w:rFonts w:asciiTheme="minorEastAsia" w:hAnsiTheme="minorEastAsia" w:eastAsiaTheme="minorEastAsia"/>
          <w:color w:val="auto"/>
          <w:highlight w:val="none"/>
        </w:rPr>
      </w:pPr>
    </w:p>
    <w:bookmarkEnd w:id="135"/>
    <w:p w14:paraId="14EE8C5D">
      <w:pPr>
        <w:pStyle w:val="2"/>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第六章　投标文件格式</w:t>
      </w:r>
    </w:p>
    <w:p w14:paraId="27B7FE76">
      <w:pPr>
        <w:snapToGrid w:val="0"/>
        <w:spacing w:before="50" w:after="50"/>
        <w:rPr>
          <w:rFonts w:asciiTheme="minorEastAsia" w:hAnsiTheme="minorEastAsia" w:eastAsiaTheme="minorEastAsia"/>
          <w:color w:val="auto"/>
          <w:sz w:val="32"/>
          <w:szCs w:val="20"/>
          <w:highlight w:val="none"/>
        </w:rPr>
      </w:pPr>
    </w:p>
    <w:p w14:paraId="607ECA6A">
      <w:pPr>
        <w:snapToGrid w:val="0"/>
        <w:spacing w:before="50" w:after="50"/>
        <w:rPr>
          <w:rFonts w:asciiTheme="minorEastAsia" w:hAnsiTheme="minorEastAsia" w:eastAsiaTheme="minorEastAsia"/>
          <w:color w:val="auto"/>
          <w:sz w:val="32"/>
          <w:szCs w:val="20"/>
          <w:highlight w:val="none"/>
        </w:rPr>
      </w:pPr>
    </w:p>
    <w:p w14:paraId="09B97656">
      <w:pPr>
        <w:snapToGrid w:val="0"/>
        <w:spacing w:before="50" w:after="50"/>
        <w:rPr>
          <w:rFonts w:asciiTheme="minorEastAsia" w:hAnsiTheme="minorEastAsia" w:eastAsiaTheme="minorEastAsia"/>
          <w:color w:val="auto"/>
          <w:sz w:val="32"/>
          <w:szCs w:val="20"/>
          <w:highlight w:val="none"/>
        </w:rPr>
      </w:pPr>
    </w:p>
    <w:p w14:paraId="575C3630">
      <w:pPr>
        <w:snapToGrid w:val="0"/>
        <w:spacing w:before="50" w:after="50"/>
        <w:rPr>
          <w:rFonts w:asciiTheme="minorEastAsia" w:hAnsiTheme="minorEastAsia" w:eastAsiaTheme="minorEastAsia"/>
          <w:color w:val="auto"/>
          <w:sz w:val="32"/>
          <w:szCs w:val="20"/>
          <w:highlight w:val="none"/>
        </w:rPr>
      </w:pPr>
    </w:p>
    <w:p w14:paraId="759D029A">
      <w:pPr>
        <w:outlineLvl w:val="1"/>
        <w:rPr>
          <w:rFonts w:asciiTheme="minorEastAsia" w:hAnsiTheme="minorEastAsia" w:eastAsiaTheme="minorEastAsia"/>
          <w:b/>
          <w:color w:val="auto"/>
          <w:sz w:val="28"/>
          <w:szCs w:val="28"/>
          <w:highlight w:val="none"/>
        </w:rPr>
      </w:pPr>
      <w:bookmarkStart w:id="136" w:name="_Toc19686836"/>
      <w:bookmarkEnd w:id="136"/>
      <w:bookmarkStart w:id="137" w:name="_Toc254970698"/>
      <w:bookmarkStart w:id="138" w:name="_Toc254970557"/>
      <w:r>
        <w:rPr>
          <w:rFonts w:asciiTheme="minorEastAsia" w:hAnsiTheme="minorEastAsia" w:eastAsiaTheme="minorEastAsia"/>
          <w:b/>
          <w:color w:val="auto"/>
          <w:sz w:val="28"/>
          <w:szCs w:val="28"/>
          <w:highlight w:val="none"/>
        </w:rPr>
        <w:br w:type="page"/>
      </w:r>
      <w:r>
        <w:rPr>
          <w:rFonts w:hint="eastAsia" w:asciiTheme="minorEastAsia" w:hAnsiTheme="minorEastAsia" w:eastAsiaTheme="minorEastAsia"/>
          <w:b/>
          <w:color w:val="auto"/>
          <w:sz w:val="28"/>
          <w:szCs w:val="28"/>
          <w:highlight w:val="none"/>
        </w:rPr>
        <w:t>一、报价文件格式</w:t>
      </w:r>
    </w:p>
    <w:p w14:paraId="7F650280">
      <w:pPr>
        <w:snapToGrid w:val="0"/>
        <w:spacing w:beforeLines="50" w:after="50" w:line="360" w:lineRule="auto"/>
        <w:ind w:left="142"/>
        <w:jc w:val="left"/>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 xml:space="preserve">1. 报价文件封面格式： </w:t>
      </w:r>
    </w:p>
    <w:p w14:paraId="1A819C64">
      <w:pPr>
        <w:snapToGrid w:val="0"/>
        <w:spacing w:beforeLines="50" w:after="50" w:line="360" w:lineRule="auto"/>
        <w:ind w:left="142"/>
        <w:jc w:val="center"/>
        <w:rPr>
          <w:rFonts w:asciiTheme="minorEastAsia" w:hAnsiTheme="minorEastAsia" w:eastAsiaTheme="minorEastAsia"/>
          <w:bCs/>
          <w:color w:val="auto"/>
          <w:sz w:val="48"/>
          <w:szCs w:val="48"/>
          <w:highlight w:val="none"/>
        </w:rPr>
      </w:pPr>
      <w:r>
        <w:rPr>
          <w:rFonts w:hint="eastAsia" w:asciiTheme="minorEastAsia" w:hAnsiTheme="minorEastAsia" w:eastAsiaTheme="minorEastAsia"/>
          <w:bCs/>
          <w:color w:val="auto"/>
          <w:sz w:val="48"/>
          <w:szCs w:val="48"/>
          <w:highlight w:val="none"/>
        </w:rPr>
        <w:t>电子投标文件</w:t>
      </w:r>
    </w:p>
    <w:p w14:paraId="031B2DBF">
      <w:pPr>
        <w:snapToGrid w:val="0"/>
        <w:spacing w:beforeLines="50" w:after="50" w:line="400" w:lineRule="exact"/>
        <w:jc w:val="left"/>
        <w:rPr>
          <w:rFonts w:asciiTheme="minorEastAsia" w:hAnsiTheme="minorEastAsia" w:eastAsiaTheme="minorEastAsia"/>
          <w:bCs/>
          <w:color w:val="auto"/>
          <w:sz w:val="48"/>
          <w:szCs w:val="48"/>
          <w:highlight w:val="none"/>
        </w:rPr>
      </w:pPr>
    </w:p>
    <w:p w14:paraId="1786617E">
      <w:pPr>
        <w:snapToGrid w:val="0"/>
        <w:spacing w:beforeLines="50" w:after="50" w:line="400" w:lineRule="exact"/>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报  价  文  件</w:t>
      </w:r>
    </w:p>
    <w:p w14:paraId="2484D616">
      <w:pPr>
        <w:snapToGrid w:val="0"/>
        <w:spacing w:beforeLines="50" w:after="50" w:line="400" w:lineRule="exact"/>
        <w:rPr>
          <w:rFonts w:asciiTheme="minorEastAsia" w:hAnsiTheme="minorEastAsia" w:eastAsiaTheme="minorEastAsia"/>
          <w:bCs/>
          <w:color w:val="auto"/>
          <w:sz w:val="24"/>
          <w:szCs w:val="20"/>
          <w:highlight w:val="none"/>
        </w:rPr>
      </w:pPr>
    </w:p>
    <w:p w14:paraId="024F7ACC">
      <w:pPr>
        <w:snapToGrid w:val="0"/>
        <w:spacing w:beforeLines="50" w:after="50" w:line="400" w:lineRule="exact"/>
        <w:rPr>
          <w:rFonts w:asciiTheme="minorEastAsia" w:hAnsiTheme="minorEastAsia" w:eastAsiaTheme="minorEastAsia"/>
          <w:bCs/>
          <w:color w:val="auto"/>
          <w:sz w:val="24"/>
          <w:szCs w:val="20"/>
          <w:highlight w:val="none"/>
        </w:rPr>
      </w:pPr>
    </w:p>
    <w:p w14:paraId="36B6EA53">
      <w:pPr>
        <w:snapToGrid w:val="0"/>
        <w:spacing w:beforeLines="50" w:after="50" w:line="400" w:lineRule="exact"/>
        <w:rPr>
          <w:rFonts w:asciiTheme="minorEastAsia" w:hAnsiTheme="minorEastAsia" w:eastAsiaTheme="minorEastAsia"/>
          <w:bCs/>
          <w:color w:val="auto"/>
          <w:sz w:val="24"/>
          <w:szCs w:val="20"/>
          <w:highlight w:val="none"/>
        </w:rPr>
      </w:pPr>
    </w:p>
    <w:p w14:paraId="152BAB4A">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项目名称： </w:t>
      </w:r>
    </w:p>
    <w:p w14:paraId="17BBF090">
      <w:pPr>
        <w:snapToGrid w:val="0"/>
        <w:spacing w:beforeLines="50" w:after="50" w:line="400" w:lineRule="exact"/>
        <w:ind w:firstLine="360" w:firstLineChars="150"/>
        <w:rPr>
          <w:rFonts w:asciiTheme="minorEastAsia" w:hAnsiTheme="minorEastAsia" w:eastAsiaTheme="minorEastAsia"/>
          <w:bCs/>
          <w:color w:val="auto"/>
          <w:sz w:val="24"/>
          <w:highlight w:val="none"/>
        </w:rPr>
      </w:pPr>
    </w:p>
    <w:p w14:paraId="12DFE874">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项目编号： </w:t>
      </w:r>
    </w:p>
    <w:p w14:paraId="38D8EEFE">
      <w:pPr>
        <w:snapToGrid w:val="0"/>
        <w:spacing w:beforeLines="50" w:after="50" w:line="400" w:lineRule="exact"/>
        <w:ind w:firstLine="360" w:firstLineChars="150"/>
        <w:rPr>
          <w:rFonts w:asciiTheme="minorEastAsia" w:hAnsiTheme="minorEastAsia" w:eastAsiaTheme="minorEastAsia"/>
          <w:bCs/>
          <w:color w:val="auto"/>
          <w:sz w:val="24"/>
          <w:highlight w:val="none"/>
        </w:rPr>
      </w:pPr>
    </w:p>
    <w:p w14:paraId="29BA930F">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所投分标（如有）：</w:t>
      </w:r>
    </w:p>
    <w:p w14:paraId="5673CA14">
      <w:pPr>
        <w:snapToGrid w:val="0"/>
        <w:spacing w:beforeLines="50" w:after="50" w:line="400" w:lineRule="exact"/>
        <w:ind w:firstLine="360" w:firstLineChars="150"/>
        <w:rPr>
          <w:rFonts w:asciiTheme="minorEastAsia" w:hAnsiTheme="minorEastAsia" w:eastAsiaTheme="minorEastAsia"/>
          <w:bCs/>
          <w:color w:val="auto"/>
          <w:sz w:val="24"/>
          <w:highlight w:val="none"/>
        </w:rPr>
      </w:pPr>
    </w:p>
    <w:p w14:paraId="4977AC0F">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投标人名称：</w:t>
      </w:r>
    </w:p>
    <w:p w14:paraId="660893FA">
      <w:pPr>
        <w:snapToGrid w:val="0"/>
        <w:spacing w:beforeLines="50" w:after="50" w:line="400" w:lineRule="exact"/>
        <w:ind w:firstLine="360" w:firstLineChars="150"/>
        <w:rPr>
          <w:rFonts w:asciiTheme="minorEastAsia" w:hAnsiTheme="minorEastAsia" w:eastAsiaTheme="minorEastAsia"/>
          <w:bCs/>
          <w:color w:val="auto"/>
          <w:sz w:val="24"/>
          <w:highlight w:val="none"/>
        </w:rPr>
      </w:pPr>
    </w:p>
    <w:p w14:paraId="7EE011DE">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投标人地址：</w:t>
      </w:r>
    </w:p>
    <w:p w14:paraId="7E5250BA">
      <w:pPr>
        <w:pStyle w:val="8"/>
        <w:snapToGrid w:val="0"/>
        <w:spacing w:before="50" w:after="50" w:line="400" w:lineRule="exact"/>
        <w:ind w:firstLine="960" w:firstLineChars="400"/>
        <w:rPr>
          <w:rFonts w:asciiTheme="minorEastAsia" w:hAnsiTheme="minorEastAsia" w:eastAsiaTheme="minorEastAsia"/>
          <w:bCs/>
          <w:color w:val="auto"/>
          <w:sz w:val="24"/>
          <w:szCs w:val="24"/>
          <w:highlight w:val="none"/>
        </w:rPr>
      </w:pPr>
    </w:p>
    <w:p w14:paraId="3E814835">
      <w:pPr>
        <w:snapToGrid w:val="0"/>
        <w:spacing w:beforeLines="50" w:after="50" w:line="400" w:lineRule="exact"/>
        <w:rPr>
          <w:rFonts w:asciiTheme="minorEastAsia" w:hAnsiTheme="minorEastAsia" w:eastAsiaTheme="minorEastAsia"/>
          <w:color w:val="auto"/>
          <w:sz w:val="30"/>
          <w:szCs w:val="20"/>
          <w:highlight w:val="none"/>
        </w:rPr>
      </w:pPr>
      <w:r>
        <w:rPr>
          <w:rFonts w:hint="eastAsia" w:asciiTheme="minorEastAsia" w:hAnsiTheme="minorEastAsia" w:eastAsiaTheme="minorEastAsia"/>
          <w:color w:val="auto"/>
          <w:sz w:val="24"/>
          <w:highlight w:val="none"/>
        </w:rPr>
        <w:t xml:space="preserve">                                   年  月  日</w:t>
      </w:r>
    </w:p>
    <w:p w14:paraId="653D80D3">
      <w:pPr>
        <w:snapToGrid w:val="0"/>
        <w:spacing w:beforeLines="50" w:after="50" w:line="360" w:lineRule="auto"/>
        <w:jc w:val="left"/>
        <w:outlineLvl w:val="2"/>
        <w:rPr>
          <w:rFonts w:asciiTheme="minorEastAsia" w:hAnsiTheme="minorEastAsia" w:eastAsiaTheme="minorEastAsia"/>
          <w:color w:val="auto"/>
          <w:sz w:val="24"/>
          <w:szCs w:val="20"/>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bCs/>
          <w:color w:val="auto"/>
          <w:sz w:val="24"/>
          <w:highlight w:val="none"/>
        </w:rPr>
        <w:t>报价文件目录</w:t>
      </w:r>
    </w:p>
    <w:p w14:paraId="1DD02370">
      <w:pPr>
        <w:snapToGrid w:val="0"/>
        <w:spacing w:before="50" w:afterLines="50" w:line="360" w:lineRule="auto"/>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Cs w:val="21"/>
          <w:highlight w:val="none"/>
        </w:rPr>
        <w:t>根据招标文件规定及投标人提供的材料自行编写目录。</w:t>
      </w:r>
    </w:p>
    <w:p w14:paraId="13F1094C">
      <w:pPr>
        <w:snapToGrid w:val="0"/>
        <w:spacing w:beforeLines="50" w:after="50"/>
        <w:rPr>
          <w:rFonts w:asciiTheme="minorEastAsia" w:hAnsiTheme="minorEastAsia" w:eastAsiaTheme="minorEastAsia"/>
          <w:b/>
          <w:color w:val="auto"/>
          <w:sz w:val="24"/>
          <w:highlight w:val="none"/>
        </w:rPr>
      </w:pPr>
    </w:p>
    <w:p w14:paraId="6F34D37F">
      <w:pPr>
        <w:snapToGrid w:val="0"/>
        <w:spacing w:beforeLines="50" w:after="50"/>
        <w:rPr>
          <w:rFonts w:asciiTheme="minorEastAsia" w:hAnsiTheme="minorEastAsia" w:eastAsiaTheme="minorEastAsia"/>
          <w:b/>
          <w:color w:val="auto"/>
          <w:sz w:val="24"/>
          <w:highlight w:val="none"/>
        </w:rPr>
      </w:pPr>
    </w:p>
    <w:p w14:paraId="38DBDB8E">
      <w:pPr>
        <w:snapToGrid w:val="0"/>
        <w:spacing w:beforeLines="50" w:after="50"/>
        <w:rPr>
          <w:rFonts w:asciiTheme="minorEastAsia" w:hAnsiTheme="minorEastAsia" w:eastAsiaTheme="minorEastAsia"/>
          <w:b/>
          <w:color w:val="auto"/>
          <w:sz w:val="24"/>
          <w:highlight w:val="none"/>
        </w:rPr>
      </w:pPr>
    </w:p>
    <w:p w14:paraId="72A1DE80">
      <w:pPr>
        <w:snapToGrid w:val="0"/>
        <w:spacing w:beforeLines="50" w:after="50"/>
        <w:ind w:left="142"/>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3. 投标函格式：</w:t>
      </w:r>
    </w:p>
    <w:p w14:paraId="378B016F">
      <w:pPr>
        <w:snapToGrid w:val="0"/>
        <w:spacing w:beforeLines="50" w:after="50" w:line="360" w:lineRule="auto"/>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投 标 函</w:t>
      </w:r>
    </w:p>
    <w:p w14:paraId="4B53E7D2">
      <w:pPr>
        <w:spacing w:line="360" w:lineRule="auto"/>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致：</w:t>
      </w:r>
      <w:r>
        <w:rPr>
          <w:rFonts w:hint="eastAsia" w:asciiTheme="minorEastAsia" w:hAnsiTheme="minorEastAsia" w:eastAsiaTheme="minorEastAsia"/>
          <w:color w:val="auto"/>
          <w:sz w:val="24"/>
          <w:highlight w:val="none"/>
          <w:u w:val="single"/>
        </w:rPr>
        <w:t>采购人名称</w:t>
      </w:r>
      <w:r>
        <w:rPr>
          <w:rFonts w:hint="eastAsia" w:asciiTheme="minorEastAsia" w:hAnsiTheme="minorEastAsia" w:eastAsiaTheme="minorEastAsia"/>
          <w:color w:val="auto"/>
          <w:sz w:val="24"/>
          <w:highlight w:val="none"/>
        </w:rPr>
        <w:t>：</w:t>
      </w:r>
    </w:p>
    <w:p w14:paraId="6BC2B776">
      <w:pPr>
        <w:spacing w:line="360" w:lineRule="auto"/>
        <w:ind w:firstLine="48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w:t>
      </w:r>
      <w:r>
        <w:rPr>
          <w:rFonts w:hint="eastAsia" w:asciiTheme="minorEastAsia" w:hAnsiTheme="minorEastAsia" w:eastAsiaTheme="minorEastAsia"/>
          <w:color w:val="auto"/>
          <w:sz w:val="24"/>
          <w:highlight w:val="none"/>
          <w:u w:val="single"/>
        </w:rPr>
        <w:t xml:space="preserve"> 项目名称</w:t>
      </w:r>
      <w:r>
        <w:rPr>
          <w:rFonts w:hint="eastAsia" w:asciiTheme="minorEastAsia" w:hAnsiTheme="minorEastAsia" w:eastAsiaTheme="minorEastAsia"/>
          <w:color w:val="auto"/>
          <w:sz w:val="24"/>
          <w:highlight w:val="none"/>
        </w:rPr>
        <w:t>（项目编号：）的招标公告，签字代表______（姓名）经正式授权并代表投标人（投标人名称）提交投标文件。</w:t>
      </w:r>
    </w:p>
    <w:p w14:paraId="56312E79">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据此函，我方宣布同意如下：</w:t>
      </w:r>
    </w:p>
    <w:p w14:paraId="6AA161E5">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25772F81">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2.我方在投标之前已经完全理解并接受招标文件的各项规定和要求，对招标文件的合理性、合法性不再有异议。</w:t>
      </w:r>
    </w:p>
    <w:p w14:paraId="7C52D329">
      <w:pPr>
        <w:spacing w:line="360" w:lineRule="auto"/>
        <w:ind w:firstLine="480" w:firstLineChars="200"/>
        <w:contextualSpacing/>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3.本投标有效期自投标截止之日起</w:t>
      </w:r>
      <w:r>
        <w:rPr>
          <w:rFonts w:hint="eastAsia" w:asciiTheme="minorEastAsia" w:hAnsiTheme="minorEastAsia" w:eastAsiaTheme="minorEastAsia"/>
          <w:color w:val="auto"/>
          <w:sz w:val="24"/>
          <w:highlight w:val="none"/>
          <w:lang w:val="en-US" w:eastAsia="zh-CN"/>
        </w:rPr>
        <w:t>60</w:t>
      </w:r>
      <w:r>
        <w:rPr>
          <w:rFonts w:hint="eastAsia" w:asciiTheme="minorEastAsia" w:hAnsiTheme="minorEastAsia" w:eastAsiaTheme="minorEastAsia"/>
          <w:color w:val="auto"/>
          <w:sz w:val="24"/>
          <w:highlight w:val="none"/>
        </w:rPr>
        <w:t>日。</w:t>
      </w:r>
    </w:p>
    <w:p w14:paraId="4D408E1B">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4.如中标，本投标文件至本项目合同履行完毕止均保持有效，我方将按“招标文件”及政府采购法律、法规的规定履行合同责任和义务。</w:t>
      </w:r>
    </w:p>
    <w:p w14:paraId="676AC73D">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5.我方同意按照贵方要求提供与投标有关的一切数据或者资料。</w:t>
      </w:r>
    </w:p>
    <w:p w14:paraId="3C99DE0F">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6.我方向贵方提交的所有投标文件、资料都是准确的和真实的。</w:t>
      </w:r>
    </w:p>
    <w:p w14:paraId="30F7F91A">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7.以上事项如有虚假或者隐瞒，我方愿意承担一切后果，并不再寻求任何旨在减轻或者免除法律责任的辩解。</w:t>
      </w:r>
    </w:p>
    <w:p w14:paraId="68B5662F">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8.根据</w:t>
      </w:r>
      <w:r>
        <w:rPr>
          <w:rFonts w:asciiTheme="minorEastAsia" w:hAnsiTheme="minorEastAsia" w:eastAsiaTheme="minorEastAsia"/>
          <w:color w:val="auto"/>
          <w:sz w:val="24"/>
          <w:highlight w:val="none"/>
        </w:rPr>
        <w:t>《中华人民共和国政府采购法实施条例》第五十条要求对政府采购合同进行公告</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但政府采购合同中涉及国家秘密、商业秘密的内容除外。</w:t>
      </w:r>
      <w:r>
        <w:rPr>
          <w:rFonts w:hint="eastAsia" w:asciiTheme="minorEastAsia" w:hAnsiTheme="minorEastAsia" w:eastAsiaTheme="minorEastAsia"/>
          <w:color w:val="auto"/>
          <w:sz w:val="24"/>
          <w:highlight w:val="none"/>
        </w:rPr>
        <w:t>我方就对本次投标文件进行注明如下：（两项内容中必须选择一项）</w:t>
      </w:r>
    </w:p>
    <w:p w14:paraId="364F3534">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□我方本次投标文件</w:t>
      </w:r>
      <w:r>
        <w:rPr>
          <w:rFonts w:cs="宋体" w:asciiTheme="minorEastAsia" w:hAnsiTheme="minorEastAsia" w:eastAsiaTheme="minorEastAsia"/>
          <w:color w:val="auto"/>
          <w:kern w:val="0"/>
          <w:sz w:val="24"/>
          <w:highlight w:val="none"/>
        </w:rPr>
        <w:t>内容中</w:t>
      </w:r>
      <w:r>
        <w:rPr>
          <w:rFonts w:hint="eastAsia" w:asciiTheme="minorEastAsia" w:hAnsiTheme="minorEastAsia" w:eastAsiaTheme="minorEastAsia"/>
          <w:color w:val="auto"/>
          <w:sz w:val="24"/>
          <w:highlight w:val="none"/>
        </w:rPr>
        <w:t>未</w:t>
      </w:r>
      <w:r>
        <w:rPr>
          <w:rFonts w:cs="宋体" w:asciiTheme="minorEastAsia" w:hAnsiTheme="minorEastAsia" w:eastAsiaTheme="minorEastAsia"/>
          <w:color w:val="auto"/>
          <w:kern w:val="0"/>
          <w:sz w:val="24"/>
          <w:highlight w:val="none"/>
        </w:rPr>
        <w:t>涉及商业秘密</w:t>
      </w:r>
      <w:r>
        <w:rPr>
          <w:rFonts w:hint="eastAsia" w:cs="宋体" w:asciiTheme="minorEastAsia" w:hAnsiTheme="minorEastAsia" w:eastAsiaTheme="minorEastAsia"/>
          <w:color w:val="auto"/>
          <w:kern w:val="0"/>
          <w:sz w:val="24"/>
          <w:highlight w:val="none"/>
        </w:rPr>
        <w:t>；</w:t>
      </w:r>
    </w:p>
    <w:p w14:paraId="376204D5">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□我方本次投标文件</w:t>
      </w:r>
      <w:r>
        <w:rPr>
          <w:rFonts w:cs="宋体" w:asciiTheme="minorEastAsia" w:hAnsiTheme="minorEastAsia" w:eastAsiaTheme="minorEastAsia"/>
          <w:color w:val="auto"/>
          <w:kern w:val="0"/>
          <w:sz w:val="24"/>
          <w:highlight w:val="none"/>
        </w:rPr>
        <w:t>涉及商业秘密</w:t>
      </w:r>
      <w:r>
        <w:rPr>
          <w:rFonts w:hint="eastAsia" w:cs="宋体" w:asciiTheme="minorEastAsia" w:hAnsiTheme="minorEastAsia" w:eastAsiaTheme="minorEastAsia"/>
          <w:color w:val="auto"/>
          <w:kern w:val="0"/>
          <w:sz w:val="24"/>
          <w:highlight w:val="none"/>
        </w:rPr>
        <w:t>的</w:t>
      </w:r>
      <w:r>
        <w:rPr>
          <w:rFonts w:cs="宋体" w:asciiTheme="minorEastAsia" w:hAnsiTheme="minorEastAsia" w:eastAsiaTheme="minorEastAsia"/>
          <w:color w:val="auto"/>
          <w:kern w:val="0"/>
          <w:sz w:val="24"/>
          <w:highlight w:val="none"/>
        </w:rPr>
        <w:t>内容</w:t>
      </w:r>
      <w:r>
        <w:rPr>
          <w:rFonts w:hint="eastAsia" w:cs="宋体" w:asciiTheme="minorEastAsia" w:hAnsiTheme="minorEastAsia" w:eastAsiaTheme="minorEastAsia"/>
          <w:color w:val="auto"/>
          <w:kern w:val="0"/>
          <w:sz w:val="24"/>
          <w:highlight w:val="none"/>
        </w:rPr>
        <w:t>有：；</w:t>
      </w:r>
    </w:p>
    <w:p w14:paraId="48114A8F">
      <w:pPr>
        <w:spacing w:line="360" w:lineRule="auto"/>
        <w:ind w:firstLine="480" w:firstLineChars="200"/>
        <w:contextualSpacing/>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9.与本投标有关的一切正式往来信函请寄：</w:t>
      </w:r>
    </w:p>
    <w:p w14:paraId="65BDFC8B">
      <w:pPr>
        <w:spacing w:line="360" w:lineRule="auto"/>
        <w:ind w:firstLine="480" w:firstLineChars="200"/>
        <w:contextualSpacing/>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地址：邮编：</w:t>
      </w:r>
    </w:p>
    <w:p w14:paraId="2FAFA98E">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电话：传真： 邮箱：</w:t>
      </w:r>
    </w:p>
    <w:p w14:paraId="438FE422">
      <w:pPr>
        <w:spacing w:line="360" w:lineRule="auto"/>
        <w:ind w:firstLine="480" w:firstLineChars="20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投标人名称:</w:t>
      </w:r>
    </w:p>
    <w:p w14:paraId="6F6D66A4">
      <w:pPr>
        <w:spacing w:line="360" w:lineRule="auto"/>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开户银行：   银行帐号：</w:t>
      </w:r>
    </w:p>
    <w:p w14:paraId="50951BC0">
      <w:pPr>
        <w:spacing w:line="360" w:lineRule="auto"/>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法定代表人或者委托代理人签字/电子签名:___________ </w:t>
      </w:r>
    </w:p>
    <w:p w14:paraId="34343C78">
      <w:pPr>
        <w:pStyle w:val="14"/>
        <w:spacing w:line="360" w:lineRule="auto"/>
        <w:ind w:firstLine="480"/>
        <w:contextualSpacing/>
        <w:jc w:val="center"/>
        <w:rPr>
          <w:rFonts w:asciiTheme="minorEastAsia" w:hAnsiTheme="minorEastAsia" w:eastAsiaTheme="minorEastAsia"/>
          <w:color w:val="auto"/>
          <w:sz w:val="24"/>
          <w:highlight w:val="none"/>
        </w:rPr>
      </w:pPr>
    </w:p>
    <w:p w14:paraId="71A12A0F">
      <w:pPr>
        <w:pStyle w:val="14"/>
        <w:spacing w:line="360" w:lineRule="auto"/>
        <w:ind w:firstLine="480"/>
        <w:contextualSpacing/>
        <w:jc w:val="center"/>
        <w:rPr>
          <w:rFonts w:asciiTheme="minorEastAsia" w:hAnsiTheme="minorEastAsia" w:eastAsiaTheme="minorEastAsia"/>
          <w:color w:val="auto"/>
          <w:sz w:val="24"/>
          <w:highlight w:val="none"/>
        </w:rPr>
      </w:pPr>
    </w:p>
    <w:p w14:paraId="1DA6E587">
      <w:pPr>
        <w:pStyle w:val="14"/>
        <w:spacing w:line="360" w:lineRule="auto"/>
        <w:ind w:firstLine="480"/>
        <w:contextualSpacing/>
        <w:jc w:val="righ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highlight w:val="none"/>
        </w:rPr>
        <w:t>投标人名称（电子签章）：</w:t>
      </w:r>
    </w:p>
    <w:p w14:paraId="36ED12CF">
      <w:pPr>
        <w:pStyle w:val="14"/>
        <w:spacing w:line="360" w:lineRule="auto"/>
        <w:ind w:firstLine="480"/>
        <w:contextualSpacing/>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4"/>
          <w:highlight w:val="none"/>
        </w:rPr>
        <w:t>年月日</w:t>
      </w:r>
    </w:p>
    <w:p w14:paraId="5F4BA9DD">
      <w:pPr>
        <w:snapToGrid w:val="0"/>
        <w:spacing w:beforeLines="50" w:after="50"/>
        <w:jc w:val="left"/>
        <w:outlineLvl w:val="2"/>
        <w:rPr>
          <w:rFonts w:asciiTheme="minorEastAsia" w:hAnsiTheme="minorEastAsia" w:eastAsiaTheme="minorEastAsia"/>
          <w:b/>
          <w:color w:val="auto"/>
          <w:sz w:val="24"/>
          <w:szCs w:val="20"/>
          <w:highlight w:val="none"/>
        </w:rPr>
      </w:pPr>
      <w:r>
        <w:rPr>
          <w:rFonts w:asciiTheme="minorEastAsia" w:hAnsiTheme="minorEastAsia" w:eastAsiaTheme="minorEastAsia"/>
          <w:color w:val="auto"/>
          <w:highlight w:val="none"/>
          <w:u w:val="single"/>
        </w:rPr>
        <w:br w:type="page"/>
      </w:r>
      <w:r>
        <w:rPr>
          <w:rFonts w:hint="eastAsia" w:asciiTheme="minorEastAsia" w:hAnsiTheme="minorEastAsia" w:eastAsiaTheme="minorEastAsia"/>
          <w:b/>
          <w:color w:val="auto"/>
          <w:sz w:val="24"/>
          <w:highlight w:val="none"/>
        </w:rPr>
        <w:t>4. 开标一览表（货物类格式）</w:t>
      </w:r>
    </w:p>
    <w:p w14:paraId="145AD01E">
      <w:pPr>
        <w:snapToGrid w:val="0"/>
        <w:spacing w:before="50" w:after="50"/>
        <w:jc w:val="center"/>
        <w:rPr>
          <w:rFonts w:asciiTheme="minorEastAsia" w:hAnsiTheme="minorEastAsia" w:eastAsiaTheme="minorEastAsia"/>
          <w:b/>
          <w:color w:val="auto"/>
          <w:sz w:val="30"/>
          <w:highlight w:val="none"/>
        </w:rPr>
      </w:pPr>
      <w:r>
        <w:rPr>
          <w:rFonts w:hint="eastAsia" w:asciiTheme="minorEastAsia" w:hAnsiTheme="minorEastAsia" w:eastAsiaTheme="minorEastAsia"/>
          <w:b/>
          <w:color w:val="auto"/>
          <w:sz w:val="30"/>
          <w:highlight w:val="none"/>
        </w:rPr>
        <w:t>开标一览表</w:t>
      </w:r>
    </w:p>
    <w:p w14:paraId="078138BB">
      <w:pPr>
        <w:snapToGrid w:val="0"/>
        <w:spacing w:before="50" w:after="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 xml:space="preserve">项目编号： </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 xml:space="preserve">  </w:t>
      </w:r>
    </w:p>
    <w:p w14:paraId="47066CEE">
      <w:pPr>
        <w:snapToGrid w:val="0"/>
        <w:spacing w:before="50" w:after="5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分标（如有）：01分标</w:t>
      </w:r>
    </w:p>
    <w:p w14:paraId="0234C896">
      <w:pPr>
        <w:snapToGrid w:val="0"/>
        <w:spacing w:before="50" w:after="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投标人名称：                       单位：元</w:t>
      </w:r>
    </w:p>
    <w:tbl>
      <w:tblPr>
        <w:tblStyle w:val="23"/>
        <w:tblW w:w="97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111"/>
        <w:gridCol w:w="994"/>
        <w:gridCol w:w="849"/>
        <w:gridCol w:w="710"/>
        <w:gridCol w:w="851"/>
        <w:gridCol w:w="992"/>
        <w:gridCol w:w="992"/>
        <w:gridCol w:w="1523"/>
        <w:gridCol w:w="999"/>
      </w:tblGrid>
      <w:tr w14:paraId="50A24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7AC492B5">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序号</w:t>
            </w:r>
          </w:p>
        </w:tc>
        <w:tc>
          <w:tcPr>
            <w:tcW w:w="1111" w:type="dxa"/>
            <w:tcBorders>
              <w:top w:val="single" w:color="auto" w:sz="4" w:space="0"/>
              <w:left w:val="single" w:color="auto" w:sz="4" w:space="0"/>
              <w:bottom w:val="single" w:color="auto" w:sz="4" w:space="0"/>
              <w:right w:val="single" w:color="auto" w:sz="4" w:space="0"/>
            </w:tcBorders>
            <w:vAlign w:val="center"/>
          </w:tcPr>
          <w:p w14:paraId="177F84AC">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标的的名称</w:t>
            </w:r>
          </w:p>
        </w:tc>
        <w:tc>
          <w:tcPr>
            <w:tcW w:w="994" w:type="dxa"/>
            <w:tcBorders>
              <w:top w:val="single" w:color="auto" w:sz="4" w:space="0"/>
              <w:left w:val="single" w:color="auto" w:sz="4" w:space="0"/>
              <w:bottom w:val="single" w:color="auto" w:sz="4" w:space="0"/>
              <w:right w:val="single" w:color="auto" w:sz="4" w:space="0"/>
            </w:tcBorders>
            <w:vAlign w:val="center"/>
          </w:tcPr>
          <w:p w14:paraId="530FCB1F">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品牌</w:t>
            </w:r>
          </w:p>
        </w:tc>
        <w:tc>
          <w:tcPr>
            <w:tcW w:w="849" w:type="dxa"/>
            <w:tcBorders>
              <w:top w:val="single" w:color="auto" w:sz="4" w:space="0"/>
              <w:left w:val="single" w:color="auto" w:sz="4" w:space="0"/>
              <w:bottom w:val="single" w:color="auto" w:sz="4" w:space="0"/>
              <w:right w:val="single" w:color="auto" w:sz="4" w:space="0"/>
            </w:tcBorders>
            <w:vAlign w:val="center"/>
          </w:tcPr>
          <w:p w14:paraId="1EB98CA3">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规格型号</w:t>
            </w:r>
          </w:p>
        </w:tc>
        <w:tc>
          <w:tcPr>
            <w:tcW w:w="710" w:type="dxa"/>
            <w:tcBorders>
              <w:top w:val="single" w:color="auto" w:sz="4" w:space="0"/>
              <w:left w:val="single" w:color="auto" w:sz="4" w:space="0"/>
              <w:bottom w:val="single" w:color="auto" w:sz="4" w:space="0"/>
              <w:right w:val="single" w:color="auto" w:sz="4" w:space="0"/>
            </w:tcBorders>
            <w:vAlign w:val="center"/>
          </w:tcPr>
          <w:p w14:paraId="29E8D629">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14:paraId="4A000EFE">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国别</w:t>
            </w:r>
          </w:p>
        </w:tc>
        <w:tc>
          <w:tcPr>
            <w:tcW w:w="992" w:type="dxa"/>
            <w:tcBorders>
              <w:top w:val="single" w:color="auto" w:sz="4" w:space="0"/>
              <w:left w:val="single" w:color="auto" w:sz="4" w:space="0"/>
              <w:bottom w:val="single" w:color="auto" w:sz="4" w:space="0"/>
              <w:right w:val="single" w:color="auto" w:sz="4" w:space="0"/>
            </w:tcBorders>
            <w:vAlign w:val="center"/>
          </w:tcPr>
          <w:p w14:paraId="767DB218">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数量及单位①</w:t>
            </w:r>
          </w:p>
        </w:tc>
        <w:tc>
          <w:tcPr>
            <w:tcW w:w="992" w:type="dxa"/>
            <w:tcBorders>
              <w:top w:val="single" w:color="auto" w:sz="4" w:space="0"/>
              <w:left w:val="single" w:color="auto" w:sz="4" w:space="0"/>
              <w:bottom w:val="single" w:color="auto" w:sz="4" w:space="0"/>
              <w:right w:val="single" w:color="auto" w:sz="4" w:space="0"/>
            </w:tcBorders>
            <w:vAlign w:val="center"/>
          </w:tcPr>
          <w:p w14:paraId="044F4274">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单价</w:t>
            </w:r>
          </w:p>
          <w:p w14:paraId="4D07DE4D">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②</w:t>
            </w:r>
          </w:p>
        </w:tc>
        <w:tc>
          <w:tcPr>
            <w:tcW w:w="1523" w:type="dxa"/>
            <w:tcBorders>
              <w:top w:val="single" w:color="auto" w:sz="4" w:space="0"/>
              <w:left w:val="single" w:color="auto" w:sz="4" w:space="0"/>
              <w:bottom w:val="single" w:color="auto" w:sz="4" w:space="0"/>
              <w:right w:val="single" w:color="auto" w:sz="4" w:space="0"/>
            </w:tcBorders>
            <w:vAlign w:val="center"/>
          </w:tcPr>
          <w:p w14:paraId="0ADF3C8A">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p w14:paraId="085BB857">
            <w:pPr>
              <w:snapToGrid w:val="0"/>
              <w:spacing w:before="50" w:after="50"/>
              <w:jc w:val="center"/>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③</w:t>
            </w:r>
            <w:r>
              <w:rPr>
                <w:rFonts w:hint="eastAsia" w:asciiTheme="minorEastAsia" w:hAnsiTheme="minorEastAsia" w:eastAsiaTheme="minorEastAsia"/>
                <w:b/>
                <w:color w:val="auto"/>
                <w:sz w:val="24"/>
                <w:highlight w:val="none"/>
              </w:rPr>
              <w:t>=①×②</w:t>
            </w:r>
          </w:p>
        </w:tc>
        <w:tc>
          <w:tcPr>
            <w:tcW w:w="999" w:type="dxa"/>
            <w:tcBorders>
              <w:top w:val="single" w:color="auto" w:sz="4" w:space="0"/>
              <w:left w:val="single" w:color="auto" w:sz="4" w:space="0"/>
              <w:bottom w:val="single" w:color="auto" w:sz="4" w:space="0"/>
              <w:right w:val="single" w:color="auto" w:sz="4" w:space="0"/>
            </w:tcBorders>
            <w:vAlign w:val="center"/>
          </w:tcPr>
          <w:p w14:paraId="3312F26B">
            <w:pPr>
              <w:snapToGrid w:val="0"/>
              <w:spacing w:before="50" w:after="50"/>
              <w:jc w:val="cente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备注</w:t>
            </w:r>
          </w:p>
        </w:tc>
      </w:tr>
      <w:tr w14:paraId="2259C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7EC846D8">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p>
        </w:tc>
        <w:tc>
          <w:tcPr>
            <w:tcW w:w="1111" w:type="dxa"/>
            <w:tcBorders>
              <w:top w:val="single" w:color="auto" w:sz="4" w:space="0"/>
              <w:left w:val="single" w:color="auto" w:sz="4" w:space="0"/>
              <w:bottom w:val="single" w:color="auto" w:sz="4" w:space="0"/>
              <w:right w:val="single" w:color="auto" w:sz="4" w:space="0"/>
            </w:tcBorders>
            <w:vAlign w:val="center"/>
          </w:tcPr>
          <w:p w14:paraId="049B46A3">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全数字化彩色多普勒超声诊断系统</w:t>
            </w:r>
          </w:p>
        </w:tc>
        <w:tc>
          <w:tcPr>
            <w:tcW w:w="994" w:type="dxa"/>
            <w:tcBorders>
              <w:top w:val="single" w:color="auto" w:sz="4" w:space="0"/>
              <w:left w:val="single" w:color="auto" w:sz="4" w:space="0"/>
              <w:bottom w:val="single" w:color="auto" w:sz="4" w:space="0"/>
              <w:right w:val="single" w:color="auto" w:sz="4" w:space="0"/>
            </w:tcBorders>
            <w:vAlign w:val="center"/>
          </w:tcPr>
          <w:p w14:paraId="51903D9C">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2C7A64B7">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64A4A596">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7C622EE2">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27CEC5A4">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1套</w:t>
            </w:r>
          </w:p>
        </w:tc>
        <w:tc>
          <w:tcPr>
            <w:tcW w:w="992" w:type="dxa"/>
            <w:tcBorders>
              <w:top w:val="single" w:color="auto" w:sz="4" w:space="0"/>
              <w:left w:val="single" w:color="auto" w:sz="4" w:space="0"/>
              <w:bottom w:val="single" w:color="auto" w:sz="4" w:space="0"/>
              <w:right w:val="single" w:color="auto" w:sz="4" w:space="0"/>
            </w:tcBorders>
            <w:vAlign w:val="center"/>
          </w:tcPr>
          <w:p w14:paraId="247688EF">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6A5CD0FB">
            <w:pPr>
              <w:snapToGrid w:val="0"/>
              <w:spacing w:before="50" w:after="50"/>
              <w:rPr>
                <w:rFonts w:asciiTheme="minorEastAsia" w:hAnsiTheme="minorEastAsia" w:eastAsiaTheme="minorEastAsia"/>
                <w:color w:val="auto"/>
                <w:sz w:val="24"/>
                <w:highlight w:val="none"/>
              </w:rPr>
            </w:pPr>
          </w:p>
        </w:tc>
        <w:tc>
          <w:tcPr>
            <w:tcW w:w="999" w:type="dxa"/>
            <w:tcBorders>
              <w:top w:val="single" w:color="auto" w:sz="4" w:space="0"/>
              <w:left w:val="single" w:color="auto" w:sz="4" w:space="0"/>
              <w:bottom w:val="single" w:color="auto" w:sz="4" w:space="0"/>
              <w:right w:val="single" w:color="auto" w:sz="4" w:space="0"/>
            </w:tcBorders>
            <w:vAlign w:val="center"/>
          </w:tcPr>
          <w:p w14:paraId="0650FF9F">
            <w:pPr>
              <w:snapToGrid w:val="0"/>
              <w:spacing w:before="50" w:after="50"/>
              <w:rPr>
                <w:rFonts w:asciiTheme="minorEastAsia" w:hAnsiTheme="minorEastAsia" w:eastAsiaTheme="minorEastAsia"/>
                <w:color w:val="auto"/>
                <w:sz w:val="24"/>
                <w:highlight w:val="none"/>
              </w:rPr>
            </w:pPr>
          </w:p>
        </w:tc>
      </w:tr>
      <w:tr w14:paraId="3C158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C391CF8">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p>
        </w:tc>
        <w:tc>
          <w:tcPr>
            <w:tcW w:w="1111" w:type="dxa"/>
            <w:tcBorders>
              <w:top w:val="single" w:color="auto" w:sz="4" w:space="0"/>
              <w:left w:val="single" w:color="auto" w:sz="4" w:space="0"/>
              <w:bottom w:val="single" w:color="auto" w:sz="4" w:space="0"/>
              <w:right w:val="single" w:color="auto" w:sz="4" w:space="0"/>
            </w:tcBorders>
            <w:vAlign w:val="center"/>
          </w:tcPr>
          <w:p w14:paraId="5581C5CE">
            <w:pPr>
              <w:snapToGrid w:val="0"/>
              <w:spacing w:before="50" w:after="50"/>
              <w:jc w:val="center"/>
              <w:rPr>
                <w:rFonts w:asciiTheme="minorEastAsia" w:hAnsiTheme="minorEastAsia" w:eastAsiaTheme="minorEastAsia"/>
                <w:b/>
                <w:color w:val="auto"/>
                <w:sz w:val="24"/>
                <w:highlight w:val="none"/>
              </w:rPr>
            </w:pPr>
            <w:r>
              <w:rPr>
                <w:rFonts w:hint="eastAsia" w:cs="Arial" w:asciiTheme="minorEastAsia" w:hAnsiTheme="minorEastAsia" w:eastAsiaTheme="minorEastAsia"/>
                <w:color w:val="auto"/>
                <w:szCs w:val="21"/>
                <w:highlight w:val="none"/>
              </w:rPr>
              <w:t>便携式彩色多普勒超声诊断仪</w:t>
            </w:r>
          </w:p>
        </w:tc>
        <w:tc>
          <w:tcPr>
            <w:tcW w:w="994" w:type="dxa"/>
            <w:tcBorders>
              <w:top w:val="single" w:color="auto" w:sz="4" w:space="0"/>
              <w:left w:val="single" w:color="auto" w:sz="4" w:space="0"/>
              <w:bottom w:val="single" w:color="auto" w:sz="4" w:space="0"/>
              <w:right w:val="single" w:color="auto" w:sz="4" w:space="0"/>
            </w:tcBorders>
            <w:vAlign w:val="center"/>
          </w:tcPr>
          <w:p w14:paraId="58693FC3">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49711106">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17822819">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29C9B736">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151DAB5C">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1套</w:t>
            </w:r>
          </w:p>
        </w:tc>
        <w:tc>
          <w:tcPr>
            <w:tcW w:w="992" w:type="dxa"/>
            <w:tcBorders>
              <w:top w:val="single" w:color="auto" w:sz="4" w:space="0"/>
              <w:left w:val="single" w:color="auto" w:sz="4" w:space="0"/>
              <w:bottom w:val="single" w:color="auto" w:sz="4" w:space="0"/>
              <w:right w:val="single" w:color="auto" w:sz="4" w:space="0"/>
            </w:tcBorders>
            <w:vAlign w:val="center"/>
          </w:tcPr>
          <w:p w14:paraId="70ABE46C">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71F1BD7D">
            <w:pPr>
              <w:snapToGrid w:val="0"/>
              <w:spacing w:before="50" w:after="50"/>
              <w:rPr>
                <w:rFonts w:asciiTheme="minorEastAsia" w:hAnsiTheme="minorEastAsia" w:eastAsiaTheme="minorEastAsia"/>
                <w:color w:val="auto"/>
                <w:sz w:val="24"/>
                <w:highlight w:val="none"/>
              </w:rPr>
            </w:pPr>
          </w:p>
        </w:tc>
        <w:tc>
          <w:tcPr>
            <w:tcW w:w="999" w:type="dxa"/>
            <w:tcBorders>
              <w:top w:val="single" w:color="auto" w:sz="4" w:space="0"/>
              <w:left w:val="single" w:color="auto" w:sz="4" w:space="0"/>
              <w:bottom w:val="single" w:color="auto" w:sz="4" w:space="0"/>
              <w:right w:val="single" w:color="auto" w:sz="4" w:space="0"/>
            </w:tcBorders>
            <w:vAlign w:val="center"/>
          </w:tcPr>
          <w:p w14:paraId="6E392A7E">
            <w:pPr>
              <w:snapToGrid w:val="0"/>
              <w:spacing w:before="50" w:after="50"/>
              <w:rPr>
                <w:rFonts w:asciiTheme="minorEastAsia" w:hAnsiTheme="minorEastAsia" w:eastAsiaTheme="minorEastAsia"/>
                <w:color w:val="auto"/>
                <w:sz w:val="24"/>
                <w:highlight w:val="none"/>
              </w:rPr>
            </w:pPr>
          </w:p>
        </w:tc>
      </w:tr>
      <w:tr w14:paraId="1B27A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99B3D88">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p>
        </w:tc>
        <w:tc>
          <w:tcPr>
            <w:tcW w:w="1111" w:type="dxa"/>
            <w:tcBorders>
              <w:top w:val="single" w:color="auto" w:sz="4" w:space="0"/>
              <w:left w:val="single" w:color="auto" w:sz="4" w:space="0"/>
              <w:bottom w:val="single" w:color="auto" w:sz="4" w:space="0"/>
              <w:right w:val="single" w:color="auto" w:sz="4" w:space="0"/>
            </w:tcBorders>
            <w:vAlign w:val="center"/>
          </w:tcPr>
          <w:p w14:paraId="03084101">
            <w:pPr>
              <w:snapToGrid w:val="0"/>
              <w:spacing w:before="50" w:after="50"/>
              <w:jc w:val="center"/>
              <w:rPr>
                <w:rFonts w:asciiTheme="minorEastAsia" w:hAnsiTheme="minorEastAsia" w:eastAsiaTheme="minorEastAsia"/>
                <w:b/>
                <w:color w:val="auto"/>
                <w:sz w:val="24"/>
                <w:highlight w:val="none"/>
              </w:rPr>
            </w:pPr>
            <w:r>
              <w:rPr>
                <w:rFonts w:hint="eastAsia" w:cs="宋体" w:asciiTheme="minorEastAsia" w:hAnsiTheme="minorEastAsia" w:eastAsiaTheme="minorEastAsia"/>
                <w:color w:val="auto"/>
                <w:highlight w:val="none"/>
              </w:rPr>
              <w:t>便携式彩色超声系统</w:t>
            </w:r>
          </w:p>
        </w:tc>
        <w:tc>
          <w:tcPr>
            <w:tcW w:w="994" w:type="dxa"/>
            <w:tcBorders>
              <w:top w:val="single" w:color="auto" w:sz="4" w:space="0"/>
              <w:left w:val="single" w:color="auto" w:sz="4" w:space="0"/>
              <w:bottom w:val="single" w:color="auto" w:sz="4" w:space="0"/>
              <w:right w:val="single" w:color="auto" w:sz="4" w:space="0"/>
            </w:tcBorders>
            <w:vAlign w:val="center"/>
          </w:tcPr>
          <w:p w14:paraId="12A480BD">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246E1066">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11373D27">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7513529D">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1FA055DA">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2套</w:t>
            </w:r>
          </w:p>
        </w:tc>
        <w:tc>
          <w:tcPr>
            <w:tcW w:w="992" w:type="dxa"/>
            <w:tcBorders>
              <w:top w:val="single" w:color="auto" w:sz="4" w:space="0"/>
              <w:left w:val="single" w:color="auto" w:sz="4" w:space="0"/>
              <w:bottom w:val="single" w:color="auto" w:sz="4" w:space="0"/>
              <w:right w:val="single" w:color="auto" w:sz="4" w:space="0"/>
            </w:tcBorders>
            <w:vAlign w:val="center"/>
          </w:tcPr>
          <w:p w14:paraId="400F510D">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78927622">
            <w:pPr>
              <w:snapToGrid w:val="0"/>
              <w:spacing w:before="50" w:after="50"/>
              <w:rPr>
                <w:rFonts w:asciiTheme="minorEastAsia" w:hAnsiTheme="minorEastAsia" w:eastAsiaTheme="minorEastAsia"/>
                <w:color w:val="auto"/>
                <w:sz w:val="24"/>
                <w:highlight w:val="none"/>
              </w:rPr>
            </w:pPr>
          </w:p>
        </w:tc>
        <w:tc>
          <w:tcPr>
            <w:tcW w:w="999" w:type="dxa"/>
            <w:tcBorders>
              <w:top w:val="single" w:color="auto" w:sz="4" w:space="0"/>
              <w:left w:val="single" w:color="auto" w:sz="4" w:space="0"/>
              <w:bottom w:val="single" w:color="auto" w:sz="4" w:space="0"/>
              <w:right w:val="single" w:color="auto" w:sz="4" w:space="0"/>
            </w:tcBorders>
            <w:vAlign w:val="center"/>
          </w:tcPr>
          <w:p w14:paraId="25C7A87B">
            <w:pPr>
              <w:snapToGrid w:val="0"/>
              <w:spacing w:before="50" w:after="50"/>
              <w:rPr>
                <w:rFonts w:asciiTheme="minorEastAsia" w:hAnsiTheme="minorEastAsia" w:eastAsiaTheme="minorEastAsia"/>
                <w:color w:val="auto"/>
                <w:sz w:val="24"/>
                <w:highlight w:val="none"/>
              </w:rPr>
            </w:pPr>
          </w:p>
        </w:tc>
      </w:tr>
      <w:tr w14:paraId="55DB8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719" w:type="dxa"/>
            <w:gridSpan w:val="10"/>
            <w:tcBorders>
              <w:top w:val="single" w:color="auto" w:sz="4" w:space="0"/>
              <w:left w:val="single" w:color="auto" w:sz="4" w:space="0"/>
              <w:bottom w:val="single" w:color="auto" w:sz="4" w:space="0"/>
              <w:right w:val="single" w:color="auto" w:sz="4" w:space="0"/>
            </w:tcBorders>
          </w:tcPr>
          <w:p w14:paraId="2D0D1B20">
            <w:pPr>
              <w:snapToGrid w:val="0"/>
              <w:spacing w:before="50" w:after="5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合计金额大写：人民币                                   （￥           ）</w:t>
            </w:r>
          </w:p>
        </w:tc>
      </w:tr>
      <w:tr w14:paraId="0061C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719" w:type="dxa"/>
            <w:gridSpan w:val="10"/>
            <w:tcBorders>
              <w:top w:val="single" w:color="auto" w:sz="4" w:space="0"/>
              <w:left w:val="single" w:color="auto" w:sz="4" w:space="0"/>
              <w:bottom w:val="single" w:color="auto" w:sz="4" w:space="0"/>
              <w:right w:val="single" w:color="auto" w:sz="4" w:space="0"/>
            </w:tcBorders>
          </w:tcPr>
          <w:p w14:paraId="5B18C3A4">
            <w:pPr>
              <w:snapToGrid w:val="0"/>
              <w:spacing w:before="50" w:after="5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交货时间：</w:t>
            </w:r>
          </w:p>
        </w:tc>
      </w:tr>
    </w:tbl>
    <w:p w14:paraId="6EB3D2B3">
      <w:pPr>
        <w:snapToGrid w:val="0"/>
        <w:jc w:val="left"/>
        <w:rPr>
          <w:rFonts w:asciiTheme="minorEastAsia" w:hAnsiTheme="minorEastAsia" w:eastAsiaTheme="minorEastAsia"/>
          <w:color w:val="auto"/>
          <w:sz w:val="24"/>
          <w:highlight w:val="none"/>
        </w:rPr>
      </w:pPr>
    </w:p>
    <w:p w14:paraId="679E100B">
      <w:pPr>
        <w:snapToGrid w:val="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注: </w:t>
      </w:r>
    </w:p>
    <w:p w14:paraId="283541EF">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1.投标人的开标一览表必须加盖投标人电子签章并由</w:t>
      </w:r>
      <w:r>
        <w:rPr>
          <w:rFonts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z w:val="24"/>
          <w:highlight w:val="none"/>
        </w:rPr>
        <w:t>签字或者电子签名，</w:t>
      </w:r>
      <w:r>
        <w:rPr>
          <w:rFonts w:hint="eastAsia" w:asciiTheme="minorEastAsia" w:hAnsiTheme="minorEastAsia" w:eastAsiaTheme="minorEastAsia"/>
          <w:b/>
          <w:color w:val="auto"/>
          <w:sz w:val="24"/>
          <w:highlight w:val="none"/>
        </w:rPr>
        <w:t>否则其投标作无效标处理</w:t>
      </w:r>
      <w:r>
        <w:rPr>
          <w:rFonts w:hint="eastAsia" w:asciiTheme="minorEastAsia" w:hAnsiTheme="minorEastAsia" w:eastAsiaTheme="minorEastAsia"/>
          <w:color w:val="auto"/>
          <w:sz w:val="24"/>
          <w:highlight w:val="none"/>
        </w:rPr>
        <w:t>。</w:t>
      </w:r>
    </w:p>
    <w:p w14:paraId="3853C99E">
      <w:pPr>
        <w:snapToGrid w:val="0"/>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2.</w:t>
      </w:r>
      <w:r>
        <w:rPr>
          <w:rFonts w:hint="eastAsia" w:asciiTheme="minorEastAsia" w:hAnsiTheme="minorEastAsia" w:eastAsiaTheme="minorEastAsia"/>
          <w:color w:val="auto"/>
          <w:sz w:val="24"/>
          <w:highlight w:val="none"/>
        </w:rPr>
        <w:t>报价一经涂改，应在涂改处加盖投标人公章或者由法定代表人或者委托代理人签字（或者电子签名）或者盖章</w:t>
      </w:r>
      <w:r>
        <w:rPr>
          <w:rFonts w:hint="eastAsia" w:asciiTheme="minorEastAsia" w:hAnsiTheme="minorEastAsia" w:eastAsiaTheme="minorEastAsia"/>
          <w:b/>
          <w:color w:val="auto"/>
          <w:sz w:val="24"/>
          <w:highlight w:val="none"/>
        </w:rPr>
        <w:t>，否则其投标作无效标处理。</w:t>
      </w:r>
    </w:p>
    <w:p w14:paraId="386D6E8B">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3.招标文件中列明采购专用耗材的，应按招标文件规定的耗材量或者按耗材的常规试用量提供报价。</w:t>
      </w:r>
    </w:p>
    <w:p w14:paraId="2DDA0E25">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4.如为联合体投标，“投标人名称”处必须列明联合体各方名称，并标注联合体牵头人名称，</w:t>
      </w:r>
      <w:r>
        <w:rPr>
          <w:rFonts w:hint="eastAsia" w:asciiTheme="minorEastAsia" w:hAnsiTheme="minorEastAsia" w:eastAsiaTheme="minorEastAsia"/>
          <w:b/>
          <w:color w:val="auto"/>
          <w:sz w:val="24"/>
          <w:highlight w:val="none"/>
        </w:rPr>
        <w:t>否则其投标作无效标处理。</w:t>
      </w:r>
    </w:p>
    <w:p w14:paraId="166F6ADA">
      <w:pPr>
        <w:snapToGrid w:val="0"/>
        <w:ind w:firstLine="456" w:firstLineChars="200"/>
        <w:jc w:val="left"/>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5.如为联合体投标，盖章处须加盖联合体牵头人电子签章，</w:t>
      </w:r>
      <w:r>
        <w:rPr>
          <w:rFonts w:hint="eastAsia" w:asciiTheme="minorEastAsia" w:hAnsiTheme="minorEastAsia" w:eastAsiaTheme="minorEastAsia"/>
          <w:b/>
          <w:color w:val="auto"/>
          <w:spacing w:val="-6"/>
          <w:sz w:val="24"/>
          <w:highlight w:val="none"/>
        </w:rPr>
        <w:t>否则其投标作无效标处理。</w:t>
      </w:r>
    </w:p>
    <w:p w14:paraId="3295271B">
      <w:pPr>
        <w:snapToGrid w:val="0"/>
        <w:ind w:firstLine="480" w:firstLineChars="200"/>
        <w:outlineLvl w:val="2"/>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6.如有多分标，按分标分别提供开标一览表，</w:t>
      </w:r>
      <w:r>
        <w:rPr>
          <w:rFonts w:hint="eastAsia" w:asciiTheme="minorEastAsia" w:hAnsiTheme="minorEastAsia" w:eastAsiaTheme="minorEastAsia"/>
          <w:b/>
          <w:color w:val="auto"/>
          <w:sz w:val="24"/>
          <w:highlight w:val="none"/>
        </w:rPr>
        <w:t>否则投标无效。</w:t>
      </w:r>
    </w:p>
    <w:p w14:paraId="56DBAB11">
      <w:pPr>
        <w:pStyle w:val="12"/>
        <w:rPr>
          <w:rFonts w:asciiTheme="minorEastAsia" w:hAnsiTheme="minorEastAsia" w:eastAsiaTheme="minorEastAsia"/>
          <w:color w:val="auto"/>
          <w:highlight w:val="none"/>
        </w:rPr>
      </w:pPr>
    </w:p>
    <w:p w14:paraId="71C57399">
      <w:pPr>
        <w:pStyle w:val="12"/>
        <w:spacing w:line="240" w:lineRule="auto"/>
        <w:rPr>
          <w:rFonts w:asciiTheme="minorEastAsia" w:hAnsiTheme="minorEastAsia" w:eastAsiaTheme="minorEastAsia"/>
          <w:color w:val="auto"/>
          <w:highlight w:val="none"/>
        </w:rPr>
      </w:pPr>
    </w:p>
    <w:p w14:paraId="1B051338">
      <w:pPr>
        <w:snapToGrid w:val="0"/>
        <w:ind w:left="-2" w:leftChars="-1" w:right="-817" w:rightChars="-38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法定代表人或者委托代理人（签字/电子签名）： </w:t>
      </w:r>
    </w:p>
    <w:p w14:paraId="068F30B6">
      <w:pPr>
        <w:snapToGrid w:val="0"/>
        <w:ind w:left="-3" w:leftChars="-15" w:right="-817" w:rightChars="-389" w:hanging="28" w:hangingChars="1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7C72F3DE">
      <w:pPr>
        <w:snapToGrid w:val="0"/>
        <w:ind w:left="-3" w:leftChars="-15" w:right="-817" w:rightChars="-389" w:hanging="28" w:hangingChars="12"/>
        <w:rPr>
          <w:rFonts w:asciiTheme="minorEastAsia" w:hAnsiTheme="minorEastAsia" w:eastAsiaTheme="minorEastAsia"/>
          <w:color w:val="auto"/>
          <w:szCs w:val="21"/>
          <w:highlight w:val="none"/>
        </w:rPr>
      </w:pPr>
      <w:r>
        <w:rPr>
          <w:rFonts w:hint="eastAsia" w:asciiTheme="minorEastAsia" w:hAnsiTheme="minorEastAsia" w:eastAsiaTheme="minorEastAsia"/>
          <w:color w:val="auto"/>
          <w:sz w:val="24"/>
          <w:highlight w:val="none"/>
        </w:rPr>
        <w:t xml:space="preserve">                                  日期：    年   月   日</w:t>
      </w:r>
    </w:p>
    <w:p w14:paraId="486967FB">
      <w:pP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p>
    <w:p w14:paraId="14972E9B">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30"/>
          <w:highlight w:val="none"/>
        </w:rPr>
        <w:t>开标一览表</w:t>
      </w:r>
    </w:p>
    <w:p w14:paraId="439415B5">
      <w:pPr>
        <w:snapToGrid w:val="0"/>
        <w:spacing w:before="50" w:after="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项目编号：</w:t>
      </w:r>
    </w:p>
    <w:p w14:paraId="59285448">
      <w:pPr>
        <w:snapToGrid w:val="0"/>
        <w:spacing w:before="50" w:after="5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分标（如有）：02分标</w:t>
      </w:r>
    </w:p>
    <w:p w14:paraId="69E38BA9">
      <w:pPr>
        <w:snapToGrid w:val="0"/>
        <w:spacing w:before="50" w:after="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投标人名称：                       单位：元</w:t>
      </w:r>
    </w:p>
    <w:tbl>
      <w:tblPr>
        <w:tblStyle w:val="23"/>
        <w:tblW w:w="94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111"/>
        <w:gridCol w:w="994"/>
        <w:gridCol w:w="849"/>
        <w:gridCol w:w="710"/>
        <w:gridCol w:w="851"/>
        <w:gridCol w:w="992"/>
        <w:gridCol w:w="992"/>
        <w:gridCol w:w="1523"/>
        <w:gridCol w:w="759"/>
      </w:tblGrid>
      <w:tr w14:paraId="5CA15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CDD1D0B">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序号</w:t>
            </w:r>
          </w:p>
        </w:tc>
        <w:tc>
          <w:tcPr>
            <w:tcW w:w="1111" w:type="dxa"/>
            <w:tcBorders>
              <w:top w:val="single" w:color="auto" w:sz="4" w:space="0"/>
              <w:left w:val="single" w:color="auto" w:sz="4" w:space="0"/>
              <w:bottom w:val="single" w:color="auto" w:sz="4" w:space="0"/>
              <w:right w:val="single" w:color="auto" w:sz="4" w:space="0"/>
            </w:tcBorders>
            <w:vAlign w:val="center"/>
          </w:tcPr>
          <w:p w14:paraId="43A64C6F">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标的的名称</w:t>
            </w:r>
          </w:p>
        </w:tc>
        <w:tc>
          <w:tcPr>
            <w:tcW w:w="994" w:type="dxa"/>
            <w:tcBorders>
              <w:top w:val="single" w:color="auto" w:sz="4" w:space="0"/>
              <w:left w:val="single" w:color="auto" w:sz="4" w:space="0"/>
              <w:bottom w:val="single" w:color="auto" w:sz="4" w:space="0"/>
              <w:right w:val="single" w:color="auto" w:sz="4" w:space="0"/>
            </w:tcBorders>
            <w:vAlign w:val="center"/>
          </w:tcPr>
          <w:p w14:paraId="35818AB3">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品牌</w:t>
            </w:r>
          </w:p>
        </w:tc>
        <w:tc>
          <w:tcPr>
            <w:tcW w:w="849" w:type="dxa"/>
            <w:tcBorders>
              <w:top w:val="single" w:color="auto" w:sz="4" w:space="0"/>
              <w:left w:val="single" w:color="auto" w:sz="4" w:space="0"/>
              <w:bottom w:val="single" w:color="auto" w:sz="4" w:space="0"/>
              <w:right w:val="single" w:color="auto" w:sz="4" w:space="0"/>
            </w:tcBorders>
            <w:vAlign w:val="center"/>
          </w:tcPr>
          <w:p w14:paraId="68549EAC">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规格型号</w:t>
            </w:r>
          </w:p>
        </w:tc>
        <w:tc>
          <w:tcPr>
            <w:tcW w:w="710" w:type="dxa"/>
            <w:tcBorders>
              <w:top w:val="single" w:color="auto" w:sz="4" w:space="0"/>
              <w:left w:val="single" w:color="auto" w:sz="4" w:space="0"/>
              <w:bottom w:val="single" w:color="auto" w:sz="4" w:space="0"/>
              <w:right w:val="single" w:color="auto" w:sz="4" w:space="0"/>
            </w:tcBorders>
            <w:vAlign w:val="center"/>
          </w:tcPr>
          <w:p w14:paraId="705FCD48">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14:paraId="5DE65CD1">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国别</w:t>
            </w:r>
          </w:p>
        </w:tc>
        <w:tc>
          <w:tcPr>
            <w:tcW w:w="992" w:type="dxa"/>
            <w:tcBorders>
              <w:top w:val="single" w:color="auto" w:sz="4" w:space="0"/>
              <w:left w:val="single" w:color="auto" w:sz="4" w:space="0"/>
              <w:bottom w:val="single" w:color="auto" w:sz="4" w:space="0"/>
              <w:right w:val="single" w:color="auto" w:sz="4" w:space="0"/>
            </w:tcBorders>
            <w:vAlign w:val="center"/>
          </w:tcPr>
          <w:p w14:paraId="666CFBF0">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数量及单位①</w:t>
            </w:r>
          </w:p>
        </w:tc>
        <w:tc>
          <w:tcPr>
            <w:tcW w:w="992" w:type="dxa"/>
            <w:tcBorders>
              <w:top w:val="single" w:color="auto" w:sz="4" w:space="0"/>
              <w:left w:val="single" w:color="auto" w:sz="4" w:space="0"/>
              <w:bottom w:val="single" w:color="auto" w:sz="4" w:space="0"/>
              <w:right w:val="single" w:color="auto" w:sz="4" w:space="0"/>
            </w:tcBorders>
            <w:vAlign w:val="center"/>
          </w:tcPr>
          <w:p w14:paraId="7F68B338">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单价</w:t>
            </w:r>
          </w:p>
          <w:p w14:paraId="4A441D1E">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②</w:t>
            </w:r>
          </w:p>
        </w:tc>
        <w:tc>
          <w:tcPr>
            <w:tcW w:w="1523" w:type="dxa"/>
            <w:tcBorders>
              <w:top w:val="single" w:color="auto" w:sz="4" w:space="0"/>
              <w:left w:val="single" w:color="auto" w:sz="4" w:space="0"/>
              <w:bottom w:val="single" w:color="auto" w:sz="4" w:space="0"/>
              <w:right w:val="single" w:color="auto" w:sz="4" w:space="0"/>
            </w:tcBorders>
            <w:vAlign w:val="center"/>
          </w:tcPr>
          <w:p w14:paraId="2A34661B">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p w14:paraId="6CC56799">
            <w:pPr>
              <w:snapToGrid w:val="0"/>
              <w:spacing w:before="50" w:after="50"/>
              <w:jc w:val="center"/>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③</w:t>
            </w:r>
            <w:r>
              <w:rPr>
                <w:rFonts w:hint="eastAsia" w:asciiTheme="minorEastAsia" w:hAnsiTheme="minorEastAsia" w:eastAsiaTheme="minorEastAsia"/>
                <w:b/>
                <w:color w:val="auto"/>
                <w:sz w:val="24"/>
                <w:highlight w:val="none"/>
              </w:rPr>
              <w:t>=①×②</w:t>
            </w:r>
          </w:p>
        </w:tc>
        <w:tc>
          <w:tcPr>
            <w:tcW w:w="759" w:type="dxa"/>
            <w:tcBorders>
              <w:top w:val="single" w:color="auto" w:sz="4" w:space="0"/>
              <w:left w:val="single" w:color="auto" w:sz="4" w:space="0"/>
              <w:bottom w:val="single" w:color="auto" w:sz="4" w:space="0"/>
              <w:right w:val="single" w:color="auto" w:sz="4" w:space="0"/>
            </w:tcBorders>
            <w:vAlign w:val="center"/>
          </w:tcPr>
          <w:p w14:paraId="176BDF89">
            <w:pPr>
              <w:snapToGrid w:val="0"/>
              <w:spacing w:before="50" w:after="50"/>
              <w:jc w:val="cente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备注</w:t>
            </w:r>
          </w:p>
        </w:tc>
      </w:tr>
      <w:tr w14:paraId="5DE758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29CFDEC1">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p>
        </w:tc>
        <w:tc>
          <w:tcPr>
            <w:tcW w:w="1111" w:type="dxa"/>
            <w:tcBorders>
              <w:top w:val="single" w:color="auto" w:sz="4" w:space="0"/>
              <w:left w:val="single" w:color="auto" w:sz="4" w:space="0"/>
              <w:bottom w:val="single" w:color="auto" w:sz="4" w:space="0"/>
              <w:right w:val="single" w:color="auto" w:sz="4" w:space="0"/>
            </w:tcBorders>
            <w:vAlign w:val="center"/>
          </w:tcPr>
          <w:p w14:paraId="1859B20F">
            <w:pPr>
              <w:snapToGrid w:val="0"/>
              <w:spacing w:before="50" w:after="50"/>
              <w:jc w:val="center"/>
              <w:rPr>
                <w:rFonts w:asciiTheme="minorEastAsia" w:hAnsiTheme="minorEastAsia" w:eastAsiaTheme="minorEastAsia"/>
                <w:b/>
                <w:color w:val="auto"/>
                <w:sz w:val="24"/>
                <w:highlight w:val="none"/>
              </w:rPr>
            </w:pPr>
            <w:r>
              <w:rPr>
                <w:rFonts w:hint="eastAsia" w:ascii="宋体" w:hAnsi="宋体" w:cs="宋体"/>
                <w:color w:val="auto"/>
                <w:kern w:val="0"/>
                <w:sz w:val="22"/>
                <w:szCs w:val="22"/>
                <w:highlight w:val="none"/>
              </w:rPr>
              <w:t>电动病床（1）</w:t>
            </w:r>
          </w:p>
        </w:tc>
        <w:tc>
          <w:tcPr>
            <w:tcW w:w="994" w:type="dxa"/>
            <w:tcBorders>
              <w:top w:val="single" w:color="auto" w:sz="4" w:space="0"/>
              <w:left w:val="single" w:color="auto" w:sz="4" w:space="0"/>
              <w:bottom w:val="single" w:color="auto" w:sz="4" w:space="0"/>
              <w:right w:val="single" w:color="auto" w:sz="4" w:space="0"/>
            </w:tcBorders>
            <w:vAlign w:val="center"/>
          </w:tcPr>
          <w:p w14:paraId="5F2A312D">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1BDA7F6D">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392CF639">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0BE1AC04">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3D3DFE27">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11套</w:t>
            </w:r>
          </w:p>
        </w:tc>
        <w:tc>
          <w:tcPr>
            <w:tcW w:w="992" w:type="dxa"/>
            <w:tcBorders>
              <w:top w:val="single" w:color="auto" w:sz="4" w:space="0"/>
              <w:left w:val="single" w:color="auto" w:sz="4" w:space="0"/>
              <w:bottom w:val="single" w:color="auto" w:sz="4" w:space="0"/>
              <w:right w:val="single" w:color="auto" w:sz="4" w:space="0"/>
            </w:tcBorders>
            <w:vAlign w:val="center"/>
          </w:tcPr>
          <w:p w14:paraId="343C59A5">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4F07F4C6">
            <w:pPr>
              <w:snapToGrid w:val="0"/>
              <w:spacing w:before="50" w:after="50"/>
              <w:rPr>
                <w:rFonts w:asciiTheme="minorEastAsia" w:hAnsiTheme="minorEastAsia" w:eastAsiaTheme="minorEastAsia"/>
                <w:color w:val="auto"/>
                <w:sz w:val="24"/>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14:paraId="415C8F09">
            <w:pPr>
              <w:snapToGrid w:val="0"/>
              <w:spacing w:before="50" w:after="50"/>
              <w:rPr>
                <w:rFonts w:asciiTheme="minorEastAsia" w:hAnsiTheme="minorEastAsia" w:eastAsiaTheme="minorEastAsia"/>
                <w:color w:val="auto"/>
                <w:sz w:val="24"/>
                <w:highlight w:val="none"/>
              </w:rPr>
            </w:pPr>
          </w:p>
        </w:tc>
      </w:tr>
      <w:tr w14:paraId="3D7FA0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8BE2882">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p>
        </w:tc>
        <w:tc>
          <w:tcPr>
            <w:tcW w:w="1111" w:type="dxa"/>
            <w:tcBorders>
              <w:top w:val="single" w:color="auto" w:sz="4" w:space="0"/>
              <w:left w:val="single" w:color="auto" w:sz="4" w:space="0"/>
              <w:bottom w:val="single" w:color="auto" w:sz="4" w:space="0"/>
              <w:right w:val="single" w:color="auto" w:sz="4" w:space="0"/>
            </w:tcBorders>
            <w:vAlign w:val="center"/>
          </w:tcPr>
          <w:p w14:paraId="711C8993">
            <w:pPr>
              <w:snapToGrid w:val="0"/>
              <w:spacing w:before="50" w:after="50"/>
              <w:jc w:val="center"/>
              <w:rPr>
                <w:rFonts w:asciiTheme="minorEastAsia" w:hAnsiTheme="minorEastAsia" w:eastAsiaTheme="minorEastAsia"/>
                <w:b/>
                <w:color w:val="auto"/>
                <w:sz w:val="24"/>
                <w:highlight w:val="none"/>
              </w:rPr>
            </w:pPr>
            <w:r>
              <w:rPr>
                <w:rFonts w:hint="eastAsia" w:ascii="宋体" w:hAnsi="宋体" w:cs="宋体"/>
                <w:color w:val="auto"/>
                <w:kern w:val="0"/>
                <w:sz w:val="22"/>
                <w:szCs w:val="22"/>
                <w:highlight w:val="none"/>
              </w:rPr>
              <w:t>电动病床（2）</w:t>
            </w:r>
          </w:p>
        </w:tc>
        <w:tc>
          <w:tcPr>
            <w:tcW w:w="994" w:type="dxa"/>
            <w:tcBorders>
              <w:top w:val="single" w:color="auto" w:sz="4" w:space="0"/>
              <w:left w:val="single" w:color="auto" w:sz="4" w:space="0"/>
              <w:bottom w:val="single" w:color="auto" w:sz="4" w:space="0"/>
              <w:right w:val="single" w:color="auto" w:sz="4" w:space="0"/>
            </w:tcBorders>
            <w:vAlign w:val="center"/>
          </w:tcPr>
          <w:p w14:paraId="70BA28B7">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0B15BD8B">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71815355">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78BCDA61">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3156EECB">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15套</w:t>
            </w:r>
          </w:p>
        </w:tc>
        <w:tc>
          <w:tcPr>
            <w:tcW w:w="992" w:type="dxa"/>
            <w:tcBorders>
              <w:top w:val="single" w:color="auto" w:sz="4" w:space="0"/>
              <w:left w:val="single" w:color="auto" w:sz="4" w:space="0"/>
              <w:bottom w:val="single" w:color="auto" w:sz="4" w:space="0"/>
              <w:right w:val="single" w:color="auto" w:sz="4" w:space="0"/>
            </w:tcBorders>
            <w:vAlign w:val="center"/>
          </w:tcPr>
          <w:p w14:paraId="283C7A03">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0A3F480A">
            <w:pPr>
              <w:snapToGrid w:val="0"/>
              <w:spacing w:before="50" w:after="50"/>
              <w:rPr>
                <w:rFonts w:asciiTheme="minorEastAsia" w:hAnsiTheme="minorEastAsia" w:eastAsiaTheme="minorEastAsia"/>
                <w:color w:val="auto"/>
                <w:sz w:val="24"/>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14:paraId="7E2BCA38">
            <w:pPr>
              <w:snapToGrid w:val="0"/>
              <w:spacing w:before="50" w:after="50"/>
              <w:rPr>
                <w:rFonts w:asciiTheme="minorEastAsia" w:hAnsiTheme="minorEastAsia" w:eastAsiaTheme="minorEastAsia"/>
                <w:color w:val="auto"/>
                <w:sz w:val="24"/>
                <w:highlight w:val="none"/>
              </w:rPr>
            </w:pPr>
          </w:p>
        </w:tc>
      </w:tr>
      <w:tr w14:paraId="07EAA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152B40F1">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p>
        </w:tc>
        <w:tc>
          <w:tcPr>
            <w:tcW w:w="1111" w:type="dxa"/>
            <w:tcBorders>
              <w:top w:val="single" w:color="auto" w:sz="4" w:space="0"/>
              <w:left w:val="single" w:color="auto" w:sz="4" w:space="0"/>
              <w:bottom w:val="single" w:color="auto" w:sz="4" w:space="0"/>
              <w:right w:val="single" w:color="auto" w:sz="4" w:space="0"/>
            </w:tcBorders>
            <w:vAlign w:val="center"/>
          </w:tcPr>
          <w:p w14:paraId="5FBA8C0F">
            <w:pPr>
              <w:snapToGrid w:val="0"/>
              <w:spacing w:before="50" w:after="50"/>
              <w:jc w:val="center"/>
              <w:rPr>
                <w:rFonts w:asciiTheme="minorEastAsia" w:hAnsiTheme="minorEastAsia" w:eastAsiaTheme="minorEastAsia"/>
                <w:b/>
                <w:color w:val="auto"/>
                <w:sz w:val="24"/>
                <w:highlight w:val="none"/>
              </w:rPr>
            </w:pPr>
            <w:r>
              <w:rPr>
                <w:rFonts w:hint="eastAsia" w:ascii="宋体" w:hAnsi="宋体" w:cs="宋体"/>
                <w:color w:val="auto"/>
                <w:kern w:val="0"/>
                <w:sz w:val="22"/>
                <w:szCs w:val="22"/>
                <w:highlight w:val="none"/>
              </w:rPr>
              <w:t>医用控温仪</w:t>
            </w:r>
          </w:p>
        </w:tc>
        <w:tc>
          <w:tcPr>
            <w:tcW w:w="994" w:type="dxa"/>
            <w:tcBorders>
              <w:top w:val="single" w:color="auto" w:sz="4" w:space="0"/>
              <w:left w:val="single" w:color="auto" w:sz="4" w:space="0"/>
              <w:bottom w:val="single" w:color="auto" w:sz="4" w:space="0"/>
              <w:right w:val="single" w:color="auto" w:sz="4" w:space="0"/>
            </w:tcBorders>
            <w:vAlign w:val="center"/>
          </w:tcPr>
          <w:p w14:paraId="736DA62A">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2963042E">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1EB9EBEF">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35880F0C">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2550BD57">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5套</w:t>
            </w:r>
          </w:p>
        </w:tc>
        <w:tc>
          <w:tcPr>
            <w:tcW w:w="992" w:type="dxa"/>
            <w:tcBorders>
              <w:top w:val="single" w:color="auto" w:sz="4" w:space="0"/>
              <w:left w:val="single" w:color="auto" w:sz="4" w:space="0"/>
              <w:bottom w:val="single" w:color="auto" w:sz="4" w:space="0"/>
              <w:right w:val="single" w:color="auto" w:sz="4" w:space="0"/>
            </w:tcBorders>
            <w:vAlign w:val="center"/>
          </w:tcPr>
          <w:p w14:paraId="6AFD887C">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071AC80C">
            <w:pPr>
              <w:snapToGrid w:val="0"/>
              <w:spacing w:before="50" w:after="50"/>
              <w:rPr>
                <w:rFonts w:asciiTheme="minorEastAsia" w:hAnsiTheme="minorEastAsia" w:eastAsiaTheme="minorEastAsia"/>
                <w:color w:val="auto"/>
                <w:sz w:val="24"/>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14:paraId="5B640E17">
            <w:pPr>
              <w:snapToGrid w:val="0"/>
              <w:spacing w:before="50" w:after="50"/>
              <w:rPr>
                <w:rFonts w:asciiTheme="minorEastAsia" w:hAnsiTheme="minorEastAsia" w:eastAsiaTheme="minorEastAsia"/>
                <w:color w:val="auto"/>
                <w:sz w:val="24"/>
                <w:highlight w:val="none"/>
              </w:rPr>
            </w:pPr>
          </w:p>
        </w:tc>
      </w:tr>
      <w:tr w14:paraId="33E85A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A681B2C">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w:t>
            </w:r>
          </w:p>
        </w:tc>
        <w:tc>
          <w:tcPr>
            <w:tcW w:w="1111" w:type="dxa"/>
            <w:tcBorders>
              <w:top w:val="single" w:color="auto" w:sz="4" w:space="0"/>
              <w:left w:val="single" w:color="auto" w:sz="4" w:space="0"/>
              <w:bottom w:val="single" w:color="auto" w:sz="4" w:space="0"/>
              <w:right w:val="single" w:color="auto" w:sz="4" w:space="0"/>
            </w:tcBorders>
            <w:vAlign w:val="center"/>
          </w:tcPr>
          <w:p w14:paraId="65BEEFCB">
            <w:pPr>
              <w:snapToGrid w:val="0"/>
              <w:spacing w:before="50" w:after="50"/>
              <w:jc w:val="center"/>
              <w:rPr>
                <w:rFonts w:asciiTheme="minorEastAsia" w:hAnsiTheme="minorEastAsia" w:eastAsiaTheme="minorEastAsia"/>
                <w:b/>
                <w:color w:val="auto"/>
                <w:sz w:val="24"/>
                <w:highlight w:val="none"/>
              </w:rPr>
            </w:pPr>
            <w:r>
              <w:rPr>
                <w:rFonts w:hint="eastAsia" w:ascii="宋体" w:hAnsi="宋体" w:cs="宋体"/>
                <w:color w:val="auto"/>
                <w:kern w:val="0"/>
                <w:sz w:val="22"/>
                <w:szCs w:val="22"/>
                <w:highlight w:val="none"/>
              </w:rPr>
              <w:t>振动排痰仪</w:t>
            </w:r>
          </w:p>
        </w:tc>
        <w:tc>
          <w:tcPr>
            <w:tcW w:w="994" w:type="dxa"/>
            <w:tcBorders>
              <w:top w:val="single" w:color="auto" w:sz="4" w:space="0"/>
              <w:left w:val="single" w:color="auto" w:sz="4" w:space="0"/>
              <w:bottom w:val="single" w:color="auto" w:sz="4" w:space="0"/>
              <w:right w:val="single" w:color="auto" w:sz="4" w:space="0"/>
            </w:tcBorders>
            <w:vAlign w:val="center"/>
          </w:tcPr>
          <w:p w14:paraId="37B6D0AE">
            <w:pPr>
              <w:snapToGrid w:val="0"/>
              <w:spacing w:before="50" w:after="50"/>
              <w:rPr>
                <w:rFonts w:asciiTheme="minorEastAsia" w:hAnsiTheme="minorEastAsia" w:eastAsiaTheme="minorEastAsia"/>
                <w:color w:val="auto"/>
                <w:sz w:val="24"/>
                <w:highlight w:val="none"/>
              </w:rPr>
            </w:pPr>
          </w:p>
        </w:tc>
        <w:tc>
          <w:tcPr>
            <w:tcW w:w="849" w:type="dxa"/>
            <w:tcBorders>
              <w:top w:val="single" w:color="auto" w:sz="4" w:space="0"/>
              <w:left w:val="single" w:color="auto" w:sz="4" w:space="0"/>
              <w:bottom w:val="single" w:color="auto" w:sz="4" w:space="0"/>
              <w:right w:val="single" w:color="auto" w:sz="4" w:space="0"/>
            </w:tcBorders>
          </w:tcPr>
          <w:p w14:paraId="1EC026F9">
            <w:pPr>
              <w:snapToGrid w:val="0"/>
              <w:spacing w:before="50" w:after="50"/>
              <w:rPr>
                <w:rFonts w:asciiTheme="minorEastAsia" w:hAnsiTheme="minorEastAsia" w:eastAsiaTheme="minorEastAsia"/>
                <w:color w:val="auto"/>
                <w:sz w:val="24"/>
                <w:highlight w:val="none"/>
              </w:rPr>
            </w:pPr>
          </w:p>
        </w:tc>
        <w:tc>
          <w:tcPr>
            <w:tcW w:w="710" w:type="dxa"/>
            <w:tcBorders>
              <w:top w:val="single" w:color="auto" w:sz="4" w:space="0"/>
              <w:left w:val="single" w:color="auto" w:sz="4" w:space="0"/>
              <w:bottom w:val="single" w:color="auto" w:sz="4" w:space="0"/>
              <w:right w:val="single" w:color="auto" w:sz="4" w:space="0"/>
            </w:tcBorders>
          </w:tcPr>
          <w:p w14:paraId="66439032">
            <w:pPr>
              <w:snapToGrid w:val="0"/>
              <w:spacing w:before="50" w:after="50"/>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tcPr>
          <w:p w14:paraId="6E14EC93">
            <w:pPr>
              <w:snapToGrid w:val="0"/>
              <w:spacing w:before="50" w:after="50"/>
              <w:rPr>
                <w:rFonts w:asciiTheme="minorEastAsia" w:hAnsiTheme="minorEastAsia" w:eastAsiaTheme="minorEastAsia"/>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2FB00FA8">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4套</w:t>
            </w:r>
          </w:p>
        </w:tc>
        <w:tc>
          <w:tcPr>
            <w:tcW w:w="992" w:type="dxa"/>
            <w:tcBorders>
              <w:top w:val="single" w:color="auto" w:sz="4" w:space="0"/>
              <w:left w:val="single" w:color="auto" w:sz="4" w:space="0"/>
              <w:bottom w:val="single" w:color="auto" w:sz="4" w:space="0"/>
              <w:right w:val="single" w:color="auto" w:sz="4" w:space="0"/>
            </w:tcBorders>
            <w:vAlign w:val="center"/>
          </w:tcPr>
          <w:p w14:paraId="2B802CC9">
            <w:pPr>
              <w:snapToGrid w:val="0"/>
              <w:spacing w:before="50" w:after="50"/>
              <w:rPr>
                <w:rFonts w:asciiTheme="minorEastAsia" w:hAnsiTheme="minorEastAsia" w:eastAsiaTheme="minorEastAsia"/>
                <w:color w:val="auto"/>
                <w:sz w:val="24"/>
                <w:highlight w:val="none"/>
              </w:rPr>
            </w:pPr>
          </w:p>
        </w:tc>
        <w:tc>
          <w:tcPr>
            <w:tcW w:w="1523" w:type="dxa"/>
            <w:tcBorders>
              <w:top w:val="single" w:color="auto" w:sz="4" w:space="0"/>
              <w:left w:val="single" w:color="auto" w:sz="4" w:space="0"/>
              <w:bottom w:val="single" w:color="auto" w:sz="4" w:space="0"/>
              <w:right w:val="single" w:color="auto" w:sz="4" w:space="0"/>
            </w:tcBorders>
            <w:vAlign w:val="center"/>
          </w:tcPr>
          <w:p w14:paraId="225002FF">
            <w:pPr>
              <w:snapToGrid w:val="0"/>
              <w:spacing w:before="50" w:after="50"/>
              <w:rPr>
                <w:rFonts w:asciiTheme="minorEastAsia" w:hAnsiTheme="minorEastAsia" w:eastAsiaTheme="minorEastAsia"/>
                <w:color w:val="auto"/>
                <w:sz w:val="24"/>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14:paraId="23063538">
            <w:pPr>
              <w:snapToGrid w:val="0"/>
              <w:spacing w:before="50" w:after="50"/>
              <w:rPr>
                <w:rFonts w:asciiTheme="minorEastAsia" w:hAnsiTheme="minorEastAsia" w:eastAsiaTheme="minorEastAsia"/>
                <w:color w:val="auto"/>
                <w:sz w:val="24"/>
                <w:highlight w:val="none"/>
              </w:rPr>
            </w:pPr>
          </w:p>
        </w:tc>
      </w:tr>
      <w:tr w14:paraId="2B191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479" w:type="dxa"/>
            <w:gridSpan w:val="10"/>
            <w:tcBorders>
              <w:top w:val="single" w:color="auto" w:sz="4" w:space="0"/>
              <w:left w:val="single" w:color="auto" w:sz="4" w:space="0"/>
              <w:bottom w:val="single" w:color="auto" w:sz="4" w:space="0"/>
              <w:right w:val="single" w:color="auto" w:sz="4" w:space="0"/>
            </w:tcBorders>
          </w:tcPr>
          <w:p w14:paraId="0F57B8ED">
            <w:pPr>
              <w:snapToGrid w:val="0"/>
              <w:spacing w:before="50" w:after="5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合计金额大写：人民币（￥）</w:t>
            </w:r>
          </w:p>
        </w:tc>
      </w:tr>
      <w:tr w14:paraId="27C54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479" w:type="dxa"/>
            <w:gridSpan w:val="10"/>
            <w:tcBorders>
              <w:top w:val="single" w:color="auto" w:sz="4" w:space="0"/>
              <w:left w:val="single" w:color="auto" w:sz="4" w:space="0"/>
              <w:bottom w:val="single" w:color="auto" w:sz="4" w:space="0"/>
              <w:right w:val="single" w:color="auto" w:sz="4" w:space="0"/>
            </w:tcBorders>
          </w:tcPr>
          <w:p w14:paraId="08785B1C">
            <w:pPr>
              <w:snapToGrid w:val="0"/>
              <w:spacing w:before="50" w:after="5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交货时间：</w:t>
            </w:r>
          </w:p>
        </w:tc>
      </w:tr>
    </w:tbl>
    <w:p w14:paraId="7CD04556">
      <w:pPr>
        <w:snapToGrid w:val="0"/>
        <w:jc w:val="left"/>
        <w:rPr>
          <w:rFonts w:asciiTheme="minorEastAsia" w:hAnsiTheme="minorEastAsia" w:eastAsiaTheme="minorEastAsia"/>
          <w:color w:val="auto"/>
          <w:sz w:val="24"/>
          <w:highlight w:val="none"/>
        </w:rPr>
      </w:pPr>
    </w:p>
    <w:p w14:paraId="0F930850">
      <w:pPr>
        <w:snapToGrid w:val="0"/>
        <w:jc w:val="left"/>
        <w:rPr>
          <w:rFonts w:asciiTheme="minorEastAsia" w:hAnsiTheme="minorEastAsia" w:eastAsiaTheme="minorEastAsia"/>
          <w:color w:val="auto"/>
          <w:sz w:val="24"/>
          <w:highlight w:val="none"/>
        </w:rPr>
      </w:pPr>
    </w:p>
    <w:p w14:paraId="0C359FB2">
      <w:pPr>
        <w:snapToGrid w:val="0"/>
        <w:jc w:val="left"/>
        <w:rPr>
          <w:rFonts w:asciiTheme="minorEastAsia" w:hAnsiTheme="minorEastAsia" w:eastAsiaTheme="minorEastAsia"/>
          <w:color w:val="auto"/>
          <w:sz w:val="24"/>
          <w:highlight w:val="none"/>
        </w:rPr>
      </w:pPr>
    </w:p>
    <w:p w14:paraId="5568ED72">
      <w:pPr>
        <w:snapToGrid w:val="0"/>
        <w:jc w:val="left"/>
        <w:rPr>
          <w:rFonts w:asciiTheme="minorEastAsia" w:hAnsiTheme="minorEastAsia" w:eastAsiaTheme="minorEastAsia"/>
          <w:color w:val="auto"/>
          <w:sz w:val="24"/>
          <w:highlight w:val="none"/>
        </w:rPr>
      </w:pPr>
    </w:p>
    <w:p w14:paraId="4F8143DB">
      <w:pPr>
        <w:snapToGrid w:val="0"/>
        <w:jc w:val="left"/>
        <w:rPr>
          <w:rFonts w:asciiTheme="minorEastAsia" w:hAnsiTheme="minorEastAsia" w:eastAsiaTheme="minorEastAsia"/>
          <w:color w:val="auto"/>
          <w:sz w:val="24"/>
          <w:highlight w:val="none"/>
        </w:rPr>
      </w:pPr>
    </w:p>
    <w:p w14:paraId="15A92610">
      <w:pPr>
        <w:snapToGrid w:val="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注: </w:t>
      </w:r>
    </w:p>
    <w:p w14:paraId="4E5E1FD5">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1.投标人的开标一览表必须加盖投标人电子签章并由</w:t>
      </w:r>
      <w:r>
        <w:rPr>
          <w:rFonts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z w:val="24"/>
          <w:highlight w:val="none"/>
        </w:rPr>
        <w:t>签字或者电子签名，</w:t>
      </w:r>
      <w:r>
        <w:rPr>
          <w:rFonts w:hint="eastAsia" w:asciiTheme="minorEastAsia" w:hAnsiTheme="minorEastAsia" w:eastAsiaTheme="minorEastAsia"/>
          <w:b/>
          <w:color w:val="auto"/>
          <w:sz w:val="24"/>
          <w:highlight w:val="none"/>
        </w:rPr>
        <w:t>否则其投标作无效标处理</w:t>
      </w:r>
      <w:r>
        <w:rPr>
          <w:rFonts w:hint="eastAsia" w:asciiTheme="minorEastAsia" w:hAnsiTheme="minorEastAsia" w:eastAsiaTheme="minorEastAsia"/>
          <w:color w:val="auto"/>
          <w:sz w:val="24"/>
          <w:highlight w:val="none"/>
        </w:rPr>
        <w:t>。</w:t>
      </w:r>
    </w:p>
    <w:p w14:paraId="2D776508">
      <w:pPr>
        <w:snapToGrid w:val="0"/>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2.</w:t>
      </w:r>
      <w:r>
        <w:rPr>
          <w:rFonts w:hint="eastAsia" w:asciiTheme="minorEastAsia" w:hAnsiTheme="minorEastAsia" w:eastAsiaTheme="minorEastAsia"/>
          <w:color w:val="auto"/>
          <w:sz w:val="24"/>
          <w:highlight w:val="none"/>
        </w:rPr>
        <w:t>报价一经涂改，应在涂改处加盖投标人公章或者由法定代表人或者委托代理人签字（或者电子签名）或者盖章</w:t>
      </w:r>
      <w:r>
        <w:rPr>
          <w:rFonts w:hint="eastAsia" w:asciiTheme="minorEastAsia" w:hAnsiTheme="minorEastAsia" w:eastAsiaTheme="minorEastAsia"/>
          <w:b/>
          <w:color w:val="auto"/>
          <w:sz w:val="24"/>
          <w:highlight w:val="none"/>
        </w:rPr>
        <w:t>，否则其投标作无效标处理。</w:t>
      </w:r>
    </w:p>
    <w:p w14:paraId="0855B7DF">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3.招标文件中列明采购专用耗材的，应按招标文件规定的耗材量或者按耗材的常规试用量提供报价。</w:t>
      </w:r>
    </w:p>
    <w:p w14:paraId="537D3FF3">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4.如为联合体投标，“投标人名称”处必须列明联合体各方名称，并标注联合体牵头人名称，</w:t>
      </w:r>
      <w:r>
        <w:rPr>
          <w:rFonts w:hint="eastAsia" w:asciiTheme="minorEastAsia" w:hAnsiTheme="minorEastAsia" w:eastAsiaTheme="minorEastAsia"/>
          <w:b/>
          <w:color w:val="auto"/>
          <w:sz w:val="24"/>
          <w:highlight w:val="none"/>
        </w:rPr>
        <w:t>否则其投标作无效标处理。</w:t>
      </w:r>
    </w:p>
    <w:p w14:paraId="6A0DA276">
      <w:pPr>
        <w:snapToGrid w:val="0"/>
        <w:ind w:firstLine="456" w:firstLineChars="200"/>
        <w:jc w:val="left"/>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5.如为联合体投标，盖章处须加盖联合体牵头人电子签章，</w:t>
      </w:r>
      <w:r>
        <w:rPr>
          <w:rFonts w:hint="eastAsia" w:asciiTheme="minorEastAsia" w:hAnsiTheme="minorEastAsia" w:eastAsiaTheme="minorEastAsia"/>
          <w:b/>
          <w:color w:val="auto"/>
          <w:spacing w:val="-6"/>
          <w:sz w:val="24"/>
          <w:highlight w:val="none"/>
        </w:rPr>
        <w:t>否则其投标作无效标处理。</w:t>
      </w:r>
    </w:p>
    <w:p w14:paraId="7E2E0C6D">
      <w:pPr>
        <w:snapToGrid w:val="0"/>
        <w:ind w:firstLine="480" w:firstLineChars="200"/>
        <w:outlineLvl w:val="2"/>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6.如有多分标，按分标分别提供开标一览表，</w:t>
      </w:r>
      <w:r>
        <w:rPr>
          <w:rFonts w:hint="eastAsia" w:asciiTheme="minorEastAsia" w:hAnsiTheme="minorEastAsia" w:eastAsiaTheme="minorEastAsia"/>
          <w:b/>
          <w:color w:val="auto"/>
          <w:sz w:val="24"/>
          <w:highlight w:val="none"/>
        </w:rPr>
        <w:t>否则投标无效。</w:t>
      </w:r>
    </w:p>
    <w:p w14:paraId="6C1315DC">
      <w:pPr>
        <w:pStyle w:val="12"/>
        <w:rPr>
          <w:rFonts w:asciiTheme="minorEastAsia" w:hAnsiTheme="minorEastAsia" w:eastAsiaTheme="minorEastAsia"/>
          <w:color w:val="auto"/>
          <w:highlight w:val="none"/>
        </w:rPr>
      </w:pPr>
    </w:p>
    <w:p w14:paraId="21D5AC5E">
      <w:pPr>
        <w:pStyle w:val="12"/>
        <w:spacing w:line="240" w:lineRule="auto"/>
        <w:rPr>
          <w:rFonts w:asciiTheme="minorEastAsia" w:hAnsiTheme="minorEastAsia" w:eastAsiaTheme="minorEastAsia"/>
          <w:color w:val="auto"/>
          <w:highlight w:val="none"/>
        </w:rPr>
      </w:pPr>
    </w:p>
    <w:p w14:paraId="474264E0">
      <w:pPr>
        <w:snapToGrid w:val="0"/>
        <w:ind w:left="-2" w:leftChars="-1" w:right="-817" w:rightChars="-38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法定代表人或者委托代理人（签字/电子签名）： </w:t>
      </w:r>
    </w:p>
    <w:p w14:paraId="192BEE91">
      <w:pPr>
        <w:snapToGrid w:val="0"/>
        <w:ind w:left="-3" w:leftChars="-15" w:right="-817" w:rightChars="-389" w:hanging="28" w:hangingChars="1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4E40EF65">
      <w:pPr>
        <w:snapToGrid w:val="0"/>
        <w:ind w:left="-3" w:leftChars="-15" w:right="-817" w:rightChars="-389" w:hanging="28" w:hangingChars="12"/>
        <w:rPr>
          <w:rFonts w:asciiTheme="minorEastAsia" w:hAnsiTheme="minorEastAsia" w:eastAsiaTheme="minorEastAsia"/>
          <w:color w:val="auto"/>
          <w:sz w:val="24"/>
          <w:highlight w:val="none"/>
        </w:rPr>
        <w:sectPr>
          <w:footerReference r:id="rId8" w:type="first"/>
          <w:headerReference r:id="rId5" w:type="default"/>
          <w:footerReference r:id="rId6" w:type="default"/>
          <w:footerReference r:id="rId7" w:type="even"/>
          <w:pgSz w:w="11906" w:h="16838"/>
          <w:pgMar w:top="1701" w:right="1701" w:bottom="1701" w:left="1701" w:header="851" w:footer="992" w:gutter="0"/>
          <w:pgNumType w:fmt="decimal"/>
          <w:cols w:space="720" w:num="1"/>
          <w:titlePg/>
          <w:docGrid w:linePitch="312" w:charSpace="0"/>
        </w:sectPr>
      </w:pPr>
      <w:r>
        <w:rPr>
          <w:rFonts w:hint="eastAsia" w:asciiTheme="minorEastAsia" w:hAnsiTheme="minorEastAsia" w:eastAsiaTheme="minorEastAsia"/>
          <w:color w:val="auto"/>
          <w:sz w:val="24"/>
          <w:highlight w:val="none"/>
        </w:rPr>
        <w:t xml:space="preserve">                                  日期：    年   月   日</w:t>
      </w:r>
    </w:p>
    <w:p w14:paraId="2F243DFB">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30"/>
          <w:highlight w:val="none"/>
        </w:rPr>
        <w:t>开标一览表</w:t>
      </w:r>
    </w:p>
    <w:p w14:paraId="780CE838">
      <w:pPr>
        <w:snapToGrid w:val="0"/>
        <w:spacing w:before="50" w:after="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 xml:space="preserve">项目编号：   </w:t>
      </w:r>
    </w:p>
    <w:p w14:paraId="463CED2D">
      <w:pPr>
        <w:snapToGrid w:val="0"/>
        <w:spacing w:before="50" w:after="5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分标（如有）：03分标</w:t>
      </w:r>
    </w:p>
    <w:p w14:paraId="718584B1">
      <w:pPr>
        <w:snapToGrid w:val="0"/>
        <w:spacing w:before="50" w:after="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投标人名称：                       单位：元</w:t>
      </w:r>
    </w:p>
    <w:tbl>
      <w:tblPr>
        <w:tblStyle w:val="23"/>
        <w:tblW w:w="95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111"/>
        <w:gridCol w:w="994"/>
        <w:gridCol w:w="849"/>
        <w:gridCol w:w="710"/>
        <w:gridCol w:w="851"/>
        <w:gridCol w:w="992"/>
        <w:gridCol w:w="828"/>
        <w:gridCol w:w="1599"/>
        <w:gridCol w:w="916"/>
      </w:tblGrid>
      <w:tr w14:paraId="0A4C20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01F23390">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序号</w:t>
            </w:r>
          </w:p>
        </w:tc>
        <w:tc>
          <w:tcPr>
            <w:tcW w:w="1111" w:type="dxa"/>
            <w:tcBorders>
              <w:top w:val="single" w:color="auto" w:sz="4" w:space="0"/>
              <w:left w:val="single" w:color="auto" w:sz="4" w:space="0"/>
              <w:bottom w:val="single" w:color="auto" w:sz="4" w:space="0"/>
              <w:right w:val="single" w:color="auto" w:sz="4" w:space="0"/>
            </w:tcBorders>
            <w:vAlign w:val="center"/>
          </w:tcPr>
          <w:p w14:paraId="47CEC60A">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标的的名称</w:t>
            </w:r>
          </w:p>
        </w:tc>
        <w:tc>
          <w:tcPr>
            <w:tcW w:w="994" w:type="dxa"/>
            <w:tcBorders>
              <w:top w:val="single" w:color="auto" w:sz="4" w:space="0"/>
              <w:left w:val="single" w:color="auto" w:sz="4" w:space="0"/>
              <w:bottom w:val="single" w:color="auto" w:sz="4" w:space="0"/>
              <w:right w:val="single" w:color="auto" w:sz="4" w:space="0"/>
            </w:tcBorders>
            <w:vAlign w:val="center"/>
          </w:tcPr>
          <w:p w14:paraId="3A8C01D7">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品牌</w:t>
            </w:r>
          </w:p>
        </w:tc>
        <w:tc>
          <w:tcPr>
            <w:tcW w:w="849" w:type="dxa"/>
            <w:tcBorders>
              <w:top w:val="single" w:color="auto" w:sz="4" w:space="0"/>
              <w:left w:val="single" w:color="auto" w:sz="4" w:space="0"/>
              <w:bottom w:val="single" w:color="auto" w:sz="4" w:space="0"/>
              <w:right w:val="single" w:color="auto" w:sz="4" w:space="0"/>
            </w:tcBorders>
            <w:vAlign w:val="center"/>
          </w:tcPr>
          <w:p w14:paraId="7A289DA8">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规格型号</w:t>
            </w:r>
          </w:p>
        </w:tc>
        <w:tc>
          <w:tcPr>
            <w:tcW w:w="710" w:type="dxa"/>
            <w:tcBorders>
              <w:top w:val="single" w:color="auto" w:sz="4" w:space="0"/>
              <w:left w:val="single" w:color="auto" w:sz="4" w:space="0"/>
              <w:bottom w:val="single" w:color="auto" w:sz="4" w:space="0"/>
              <w:right w:val="single" w:color="auto" w:sz="4" w:space="0"/>
            </w:tcBorders>
            <w:vAlign w:val="center"/>
          </w:tcPr>
          <w:p w14:paraId="5E3A1AAC">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14:paraId="7B228204">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国别</w:t>
            </w:r>
          </w:p>
        </w:tc>
        <w:tc>
          <w:tcPr>
            <w:tcW w:w="992" w:type="dxa"/>
            <w:tcBorders>
              <w:top w:val="single" w:color="auto" w:sz="4" w:space="0"/>
              <w:left w:val="single" w:color="auto" w:sz="4" w:space="0"/>
              <w:bottom w:val="single" w:color="auto" w:sz="4" w:space="0"/>
              <w:right w:val="single" w:color="auto" w:sz="4" w:space="0"/>
            </w:tcBorders>
            <w:vAlign w:val="center"/>
          </w:tcPr>
          <w:p w14:paraId="1410694C">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数量及单位①</w:t>
            </w:r>
          </w:p>
        </w:tc>
        <w:tc>
          <w:tcPr>
            <w:tcW w:w="828" w:type="dxa"/>
            <w:tcBorders>
              <w:top w:val="single" w:color="auto" w:sz="4" w:space="0"/>
              <w:left w:val="single" w:color="auto" w:sz="4" w:space="0"/>
              <w:bottom w:val="single" w:color="auto" w:sz="4" w:space="0"/>
              <w:right w:val="single" w:color="auto" w:sz="4" w:space="0"/>
            </w:tcBorders>
            <w:vAlign w:val="center"/>
          </w:tcPr>
          <w:p w14:paraId="55F6992B">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单价</w:t>
            </w:r>
          </w:p>
          <w:p w14:paraId="15ED352C">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②</w:t>
            </w:r>
          </w:p>
        </w:tc>
        <w:tc>
          <w:tcPr>
            <w:tcW w:w="1599" w:type="dxa"/>
            <w:tcBorders>
              <w:top w:val="single" w:color="auto" w:sz="4" w:space="0"/>
              <w:left w:val="single" w:color="auto" w:sz="4" w:space="0"/>
              <w:bottom w:val="single" w:color="auto" w:sz="4" w:space="0"/>
              <w:right w:val="single" w:color="auto" w:sz="4" w:space="0"/>
            </w:tcBorders>
            <w:vAlign w:val="center"/>
          </w:tcPr>
          <w:p w14:paraId="5F997483">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投标报价</w:t>
            </w:r>
          </w:p>
          <w:p w14:paraId="48DD6C6B">
            <w:pPr>
              <w:snapToGrid w:val="0"/>
              <w:spacing w:before="50" w:after="50"/>
              <w:jc w:val="cente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③</w:t>
            </w:r>
            <w:r>
              <w:rPr>
                <w:rFonts w:hint="eastAsia" w:asciiTheme="minorEastAsia" w:hAnsiTheme="minorEastAsia" w:eastAsiaTheme="minorEastAsia"/>
                <w:b/>
                <w:color w:val="auto"/>
                <w:szCs w:val="21"/>
                <w:highlight w:val="none"/>
              </w:rPr>
              <w:t>=①×②</w:t>
            </w:r>
          </w:p>
        </w:tc>
        <w:tc>
          <w:tcPr>
            <w:tcW w:w="916" w:type="dxa"/>
            <w:tcBorders>
              <w:top w:val="single" w:color="auto" w:sz="4" w:space="0"/>
              <w:left w:val="single" w:color="auto" w:sz="4" w:space="0"/>
              <w:bottom w:val="single" w:color="auto" w:sz="4" w:space="0"/>
              <w:right w:val="single" w:color="auto" w:sz="4" w:space="0"/>
            </w:tcBorders>
            <w:vAlign w:val="center"/>
          </w:tcPr>
          <w:p w14:paraId="51E9CBC3">
            <w:pPr>
              <w:snapToGrid w:val="0"/>
              <w:spacing w:before="50" w:after="50"/>
              <w:jc w:val="center"/>
              <w:rPr>
                <w:rFonts w:hint="eastAsia"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lang w:val="en-US" w:eastAsia="zh-CN"/>
              </w:rPr>
              <w:t>备注</w:t>
            </w:r>
          </w:p>
        </w:tc>
      </w:tr>
      <w:tr w14:paraId="56F9F0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59BD423">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1</w:t>
            </w:r>
          </w:p>
        </w:tc>
        <w:tc>
          <w:tcPr>
            <w:tcW w:w="1111" w:type="dxa"/>
            <w:tcBorders>
              <w:top w:val="single" w:color="auto" w:sz="4" w:space="0"/>
              <w:left w:val="single" w:color="auto" w:sz="4" w:space="0"/>
              <w:bottom w:val="single" w:color="auto" w:sz="4" w:space="0"/>
              <w:right w:val="single" w:color="auto" w:sz="4" w:space="0"/>
            </w:tcBorders>
            <w:vAlign w:val="center"/>
          </w:tcPr>
          <w:p w14:paraId="0A663D86">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包埋盒打号机</w:t>
            </w:r>
          </w:p>
        </w:tc>
        <w:tc>
          <w:tcPr>
            <w:tcW w:w="994" w:type="dxa"/>
            <w:tcBorders>
              <w:top w:val="single" w:color="auto" w:sz="4" w:space="0"/>
              <w:left w:val="single" w:color="auto" w:sz="4" w:space="0"/>
              <w:bottom w:val="single" w:color="auto" w:sz="4" w:space="0"/>
              <w:right w:val="single" w:color="auto" w:sz="4" w:space="0"/>
            </w:tcBorders>
            <w:vAlign w:val="center"/>
          </w:tcPr>
          <w:p w14:paraId="5F9B4FAC">
            <w:pPr>
              <w:snapToGrid w:val="0"/>
              <w:spacing w:before="50" w:after="50"/>
              <w:rPr>
                <w:rFonts w:asciiTheme="minorEastAsia" w:hAnsiTheme="minorEastAsia" w:eastAsiaTheme="minorEastAsia"/>
                <w:color w:val="auto"/>
                <w:szCs w:val="21"/>
                <w:highlight w:val="none"/>
              </w:rPr>
            </w:pPr>
          </w:p>
        </w:tc>
        <w:tc>
          <w:tcPr>
            <w:tcW w:w="849" w:type="dxa"/>
            <w:tcBorders>
              <w:top w:val="single" w:color="auto" w:sz="4" w:space="0"/>
              <w:left w:val="single" w:color="auto" w:sz="4" w:space="0"/>
              <w:bottom w:val="single" w:color="auto" w:sz="4" w:space="0"/>
              <w:right w:val="single" w:color="auto" w:sz="4" w:space="0"/>
            </w:tcBorders>
          </w:tcPr>
          <w:p w14:paraId="7CB9A0E5">
            <w:pPr>
              <w:snapToGrid w:val="0"/>
              <w:spacing w:before="50" w:after="50"/>
              <w:rPr>
                <w:rFonts w:asciiTheme="minorEastAsia" w:hAnsiTheme="minorEastAsia" w:eastAsiaTheme="minorEastAsia"/>
                <w:color w:val="auto"/>
                <w:szCs w:val="21"/>
                <w:highlight w:val="none"/>
              </w:rPr>
            </w:pPr>
          </w:p>
        </w:tc>
        <w:tc>
          <w:tcPr>
            <w:tcW w:w="710" w:type="dxa"/>
            <w:tcBorders>
              <w:top w:val="single" w:color="auto" w:sz="4" w:space="0"/>
              <w:left w:val="single" w:color="auto" w:sz="4" w:space="0"/>
              <w:bottom w:val="single" w:color="auto" w:sz="4" w:space="0"/>
              <w:right w:val="single" w:color="auto" w:sz="4" w:space="0"/>
            </w:tcBorders>
          </w:tcPr>
          <w:p w14:paraId="7158D174">
            <w:pPr>
              <w:snapToGrid w:val="0"/>
              <w:spacing w:before="50" w:after="50"/>
              <w:rPr>
                <w:rFonts w:asciiTheme="minorEastAsia" w:hAnsiTheme="minorEastAsia" w:eastAsiaTheme="minorEastAsia"/>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tcPr>
          <w:p w14:paraId="632398B0">
            <w:pPr>
              <w:snapToGrid w:val="0"/>
              <w:spacing w:before="50" w:after="50"/>
              <w:rPr>
                <w:rFonts w:asciiTheme="minorEastAsia" w:hAnsiTheme="minorEastAsia" w:eastAsiaTheme="minorEastAsia"/>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032E4BB">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2台</w:t>
            </w:r>
          </w:p>
        </w:tc>
        <w:tc>
          <w:tcPr>
            <w:tcW w:w="828" w:type="dxa"/>
            <w:tcBorders>
              <w:top w:val="single" w:color="auto" w:sz="4" w:space="0"/>
              <w:left w:val="single" w:color="auto" w:sz="4" w:space="0"/>
              <w:bottom w:val="single" w:color="auto" w:sz="4" w:space="0"/>
              <w:right w:val="single" w:color="auto" w:sz="4" w:space="0"/>
            </w:tcBorders>
            <w:vAlign w:val="center"/>
          </w:tcPr>
          <w:p w14:paraId="06E266E9">
            <w:pPr>
              <w:snapToGrid w:val="0"/>
              <w:spacing w:before="50" w:after="50"/>
              <w:rPr>
                <w:rFonts w:asciiTheme="minorEastAsia" w:hAnsiTheme="minorEastAsia" w:eastAsiaTheme="minorEastAsia"/>
                <w:color w:val="auto"/>
                <w:szCs w:val="21"/>
                <w:highlight w:val="none"/>
              </w:rPr>
            </w:pPr>
          </w:p>
        </w:tc>
        <w:tc>
          <w:tcPr>
            <w:tcW w:w="1599" w:type="dxa"/>
            <w:tcBorders>
              <w:top w:val="single" w:color="auto" w:sz="4" w:space="0"/>
              <w:left w:val="single" w:color="auto" w:sz="4" w:space="0"/>
              <w:bottom w:val="single" w:color="auto" w:sz="4" w:space="0"/>
              <w:right w:val="single" w:color="auto" w:sz="4" w:space="0"/>
            </w:tcBorders>
            <w:vAlign w:val="center"/>
          </w:tcPr>
          <w:p w14:paraId="44770A20">
            <w:pPr>
              <w:snapToGrid w:val="0"/>
              <w:spacing w:before="50" w:after="50"/>
              <w:rPr>
                <w:rFonts w:asciiTheme="minorEastAsia" w:hAnsiTheme="minorEastAsia" w:eastAsiaTheme="minorEastAsia"/>
                <w:color w:val="auto"/>
                <w:szCs w:val="21"/>
                <w:highlight w:val="none"/>
              </w:rPr>
            </w:pPr>
          </w:p>
        </w:tc>
        <w:tc>
          <w:tcPr>
            <w:tcW w:w="916" w:type="dxa"/>
            <w:tcBorders>
              <w:top w:val="single" w:color="auto" w:sz="4" w:space="0"/>
              <w:left w:val="single" w:color="auto" w:sz="4" w:space="0"/>
              <w:bottom w:val="single" w:color="auto" w:sz="4" w:space="0"/>
              <w:right w:val="single" w:color="auto" w:sz="4" w:space="0"/>
            </w:tcBorders>
            <w:vAlign w:val="center"/>
          </w:tcPr>
          <w:p w14:paraId="53BD2880">
            <w:pPr>
              <w:snapToGrid w:val="0"/>
              <w:spacing w:before="50" w:after="50"/>
              <w:rPr>
                <w:rFonts w:asciiTheme="minorEastAsia" w:hAnsiTheme="minorEastAsia" w:eastAsiaTheme="minorEastAsia"/>
                <w:color w:val="auto"/>
                <w:szCs w:val="21"/>
                <w:highlight w:val="none"/>
              </w:rPr>
            </w:pPr>
          </w:p>
        </w:tc>
      </w:tr>
      <w:tr w14:paraId="260463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7D91A833">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2</w:t>
            </w:r>
          </w:p>
        </w:tc>
        <w:tc>
          <w:tcPr>
            <w:tcW w:w="1111" w:type="dxa"/>
            <w:tcBorders>
              <w:top w:val="single" w:color="auto" w:sz="4" w:space="0"/>
              <w:left w:val="single" w:color="auto" w:sz="4" w:space="0"/>
              <w:bottom w:val="single" w:color="auto" w:sz="4" w:space="0"/>
              <w:right w:val="single" w:color="auto" w:sz="4" w:space="0"/>
            </w:tcBorders>
            <w:vAlign w:val="center"/>
          </w:tcPr>
          <w:p w14:paraId="28E59EF0">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冰冻切片机</w:t>
            </w:r>
          </w:p>
        </w:tc>
        <w:tc>
          <w:tcPr>
            <w:tcW w:w="994" w:type="dxa"/>
            <w:tcBorders>
              <w:top w:val="single" w:color="auto" w:sz="4" w:space="0"/>
              <w:left w:val="single" w:color="auto" w:sz="4" w:space="0"/>
              <w:bottom w:val="single" w:color="auto" w:sz="4" w:space="0"/>
              <w:right w:val="single" w:color="auto" w:sz="4" w:space="0"/>
            </w:tcBorders>
            <w:vAlign w:val="center"/>
          </w:tcPr>
          <w:p w14:paraId="4D0C40A7">
            <w:pPr>
              <w:snapToGrid w:val="0"/>
              <w:spacing w:before="50" w:after="50"/>
              <w:rPr>
                <w:rFonts w:asciiTheme="minorEastAsia" w:hAnsiTheme="minorEastAsia" w:eastAsiaTheme="minorEastAsia"/>
                <w:color w:val="auto"/>
                <w:szCs w:val="21"/>
                <w:highlight w:val="none"/>
              </w:rPr>
            </w:pPr>
          </w:p>
        </w:tc>
        <w:tc>
          <w:tcPr>
            <w:tcW w:w="849" w:type="dxa"/>
            <w:tcBorders>
              <w:top w:val="single" w:color="auto" w:sz="4" w:space="0"/>
              <w:left w:val="single" w:color="auto" w:sz="4" w:space="0"/>
              <w:bottom w:val="single" w:color="auto" w:sz="4" w:space="0"/>
              <w:right w:val="single" w:color="auto" w:sz="4" w:space="0"/>
            </w:tcBorders>
          </w:tcPr>
          <w:p w14:paraId="0B6E534E">
            <w:pPr>
              <w:snapToGrid w:val="0"/>
              <w:spacing w:before="50" w:after="50"/>
              <w:rPr>
                <w:rFonts w:asciiTheme="minorEastAsia" w:hAnsiTheme="minorEastAsia" w:eastAsiaTheme="minorEastAsia"/>
                <w:color w:val="auto"/>
                <w:szCs w:val="21"/>
                <w:highlight w:val="none"/>
              </w:rPr>
            </w:pPr>
          </w:p>
        </w:tc>
        <w:tc>
          <w:tcPr>
            <w:tcW w:w="710" w:type="dxa"/>
            <w:tcBorders>
              <w:top w:val="single" w:color="auto" w:sz="4" w:space="0"/>
              <w:left w:val="single" w:color="auto" w:sz="4" w:space="0"/>
              <w:bottom w:val="single" w:color="auto" w:sz="4" w:space="0"/>
              <w:right w:val="single" w:color="auto" w:sz="4" w:space="0"/>
            </w:tcBorders>
          </w:tcPr>
          <w:p w14:paraId="2D668A18">
            <w:pPr>
              <w:snapToGrid w:val="0"/>
              <w:spacing w:before="50" w:after="50"/>
              <w:rPr>
                <w:rFonts w:asciiTheme="minorEastAsia" w:hAnsiTheme="minorEastAsia" w:eastAsiaTheme="minorEastAsia"/>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tcPr>
          <w:p w14:paraId="401DE56C">
            <w:pPr>
              <w:snapToGrid w:val="0"/>
              <w:spacing w:before="50" w:after="50"/>
              <w:rPr>
                <w:rFonts w:asciiTheme="minorEastAsia" w:hAnsiTheme="minorEastAsia" w:eastAsiaTheme="minorEastAsia"/>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76BEB467">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1台</w:t>
            </w:r>
          </w:p>
        </w:tc>
        <w:tc>
          <w:tcPr>
            <w:tcW w:w="828" w:type="dxa"/>
            <w:tcBorders>
              <w:top w:val="single" w:color="auto" w:sz="4" w:space="0"/>
              <w:left w:val="single" w:color="auto" w:sz="4" w:space="0"/>
              <w:bottom w:val="single" w:color="auto" w:sz="4" w:space="0"/>
              <w:right w:val="single" w:color="auto" w:sz="4" w:space="0"/>
            </w:tcBorders>
            <w:vAlign w:val="center"/>
          </w:tcPr>
          <w:p w14:paraId="4AC12685">
            <w:pPr>
              <w:snapToGrid w:val="0"/>
              <w:spacing w:before="50" w:after="50"/>
              <w:rPr>
                <w:rFonts w:asciiTheme="minorEastAsia" w:hAnsiTheme="minorEastAsia" w:eastAsiaTheme="minorEastAsia"/>
                <w:color w:val="auto"/>
                <w:szCs w:val="21"/>
                <w:highlight w:val="none"/>
              </w:rPr>
            </w:pPr>
          </w:p>
        </w:tc>
        <w:tc>
          <w:tcPr>
            <w:tcW w:w="1599" w:type="dxa"/>
            <w:tcBorders>
              <w:top w:val="single" w:color="auto" w:sz="4" w:space="0"/>
              <w:left w:val="single" w:color="auto" w:sz="4" w:space="0"/>
              <w:bottom w:val="single" w:color="auto" w:sz="4" w:space="0"/>
              <w:right w:val="single" w:color="auto" w:sz="4" w:space="0"/>
            </w:tcBorders>
            <w:vAlign w:val="center"/>
          </w:tcPr>
          <w:p w14:paraId="52BFDB25">
            <w:pPr>
              <w:snapToGrid w:val="0"/>
              <w:spacing w:before="50" w:after="50"/>
              <w:rPr>
                <w:rFonts w:asciiTheme="minorEastAsia" w:hAnsiTheme="minorEastAsia" w:eastAsiaTheme="minorEastAsia"/>
                <w:color w:val="auto"/>
                <w:szCs w:val="21"/>
                <w:highlight w:val="none"/>
              </w:rPr>
            </w:pPr>
          </w:p>
        </w:tc>
        <w:tc>
          <w:tcPr>
            <w:tcW w:w="916" w:type="dxa"/>
            <w:tcBorders>
              <w:top w:val="single" w:color="auto" w:sz="4" w:space="0"/>
              <w:left w:val="single" w:color="auto" w:sz="4" w:space="0"/>
              <w:bottom w:val="single" w:color="auto" w:sz="4" w:space="0"/>
              <w:right w:val="single" w:color="auto" w:sz="4" w:space="0"/>
            </w:tcBorders>
            <w:vAlign w:val="center"/>
          </w:tcPr>
          <w:p w14:paraId="1C537264">
            <w:pPr>
              <w:snapToGrid w:val="0"/>
              <w:spacing w:before="50" w:after="50"/>
              <w:rPr>
                <w:rFonts w:asciiTheme="minorEastAsia" w:hAnsiTheme="minorEastAsia" w:eastAsiaTheme="minorEastAsia"/>
                <w:color w:val="auto"/>
                <w:szCs w:val="21"/>
                <w:highlight w:val="none"/>
              </w:rPr>
            </w:pPr>
          </w:p>
        </w:tc>
      </w:tr>
      <w:tr w14:paraId="39593C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1A7EC5B0">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3</w:t>
            </w:r>
          </w:p>
        </w:tc>
        <w:tc>
          <w:tcPr>
            <w:tcW w:w="1111" w:type="dxa"/>
            <w:tcBorders>
              <w:top w:val="single" w:color="auto" w:sz="4" w:space="0"/>
              <w:left w:val="single" w:color="auto" w:sz="4" w:space="0"/>
              <w:bottom w:val="single" w:color="auto" w:sz="4" w:space="0"/>
              <w:right w:val="single" w:color="auto" w:sz="4" w:space="0"/>
            </w:tcBorders>
            <w:vAlign w:val="center"/>
          </w:tcPr>
          <w:p w14:paraId="14A353D9">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玻片打号机</w:t>
            </w:r>
          </w:p>
        </w:tc>
        <w:tc>
          <w:tcPr>
            <w:tcW w:w="994" w:type="dxa"/>
            <w:tcBorders>
              <w:top w:val="single" w:color="auto" w:sz="4" w:space="0"/>
              <w:left w:val="single" w:color="auto" w:sz="4" w:space="0"/>
              <w:bottom w:val="single" w:color="auto" w:sz="4" w:space="0"/>
              <w:right w:val="single" w:color="auto" w:sz="4" w:space="0"/>
            </w:tcBorders>
            <w:vAlign w:val="center"/>
          </w:tcPr>
          <w:p w14:paraId="59888B41">
            <w:pPr>
              <w:snapToGrid w:val="0"/>
              <w:spacing w:before="50" w:after="50"/>
              <w:rPr>
                <w:rFonts w:asciiTheme="minorEastAsia" w:hAnsiTheme="minorEastAsia" w:eastAsiaTheme="minorEastAsia"/>
                <w:color w:val="auto"/>
                <w:szCs w:val="21"/>
                <w:highlight w:val="none"/>
              </w:rPr>
            </w:pPr>
          </w:p>
        </w:tc>
        <w:tc>
          <w:tcPr>
            <w:tcW w:w="849" w:type="dxa"/>
            <w:tcBorders>
              <w:top w:val="single" w:color="auto" w:sz="4" w:space="0"/>
              <w:left w:val="single" w:color="auto" w:sz="4" w:space="0"/>
              <w:bottom w:val="single" w:color="auto" w:sz="4" w:space="0"/>
              <w:right w:val="single" w:color="auto" w:sz="4" w:space="0"/>
            </w:tcBorders>
          </w:tcPr>
          <w:p w14:paraId="2A85F544">
            <w:pPr>
              <w:snapToGrid w:val="0"/>
              <w:spacing w:before="50" w:after="50"/>
              <w:rPr>
                <w:rFonts w:asciiTheme="minorEastAsia" w:hAnsiTheme="minorEastAsia" w:eastAsiaTheme="minorEastAsia"/>
                <w:color w:val="auto"/>
                <w:szCs w:val="21"/>
                <w:highlight w:val="none"/>
              </w:rPr>
            </w:pPr>
          </w:p>
        </w:tc>
        <w:tc>
          <w:tcPr>
            <w:tcW w:w="710" w:type="dxa"/>
            <w:tcBorders>
              <w:top w:val="single" w:color="auto" w:sz="4" w:space="0"/>
              <w:left w:val="single" w:color="auto" w:sz="4" w:space="0"/>
              <w:bottom w:val="single" w:color="auto" w:sz="4" w:space="0"/>
              <w:right w:val="single" w:color="auto" w:sz="4" w:space="0"/>
            </w:tcBorders>
          </w:tcPr>
          <w:p w14:paraId="63DDFF9D">
            <w:pPr>
              <w:snapToGrid w:val="0"/>
              <w:spacing w:before="50" w:after="50"/>
              <w:rPr>
                <w:rFonts w:asciiTheme="minorEastAsia" w:hAnsiTheme="minorEastAsia" w:eastAsiaTheme="minorEastAsia"/>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tcPr>
          <w:p w14:paraId="4CC67F5B">
            <w:pPr>
              <w:snapToGrid w:val="0"/>
              <w:spacing w:before="50" w:after="50"/>
              <w:rPr>
                <w:rFonts w:asciiTheme="minorEastAsia" w:hAnsiTheme="minorEastAsia" w:eastAsiaTheme="minorEastAsia"/>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3828461B">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2台</w:t>
            </w:r>
          </w:p>
        </w:tc>
        <w:tc>
          <w:tcPr>
            <w:tcW w:w="828" w:type="dxa"/>
            <w:tcBorders>
              <w:top w:val="single" w:color="auto" w:sz="4" w:space="0"/>
              <w:left w:val="single" w:color="auto" w:sz="4" w:space="0"/>
              <w:bottom w:val="single" w:color="auto" w:sz="4" w:space="0"/>
              <w:right w:val="single" w:color="auto" w:sz="4" w:space="0"/>
            </w:tcBorders>
            <w:vAlign w:val="center"/>
          </w:tcPr>
          <w:p w14:paraId="0E7FF8E9">
            <w:pPr>
              <w:snapToGrid w:val="0"/>
              <w:spacing w:before="50" w:after="50"/>
              <w:rPr>
                <w:rFonts w:asciiTheme="minorEastAsia" w:hAnsiTheme="minorEastAsia" w:eastAsiaTheme="minorEastAsia"/>
                <w:color w:val="auto"/>
                <w:szCs w:val="21"/>
                <w:highlight w:val="none"/>
              </w:rPr>
            </w:pPr>
          </w:p>
        </w:tc>
        <w:tc>
          <w:tcPr>
            <w:tcW w:w="1599" w:type="dxa"/>
            <w:tcBorders>
              <w:top w:val="single" w:color="auto" w:sz="4" w:space="0"/>
              <w:left w:val="single" w:color="auto" w:sz="4" w:space="0"/>
              <w:bottom w:val="single" w:color="auto" w:sz="4" w:space="0"/>
              <w:right w:val="single" w:color="auto" w:sz="4" w:space="0"/>
            </w:tcBorders>
            <w:vAlign w:val="center"/>
          </w:tcPr>
          <w:p w14:paraId="39B6BDDD">
            <w:pPr>
              <w:snapToGrid w:val="0"/>
              <w:spacing w:before="50" w:after="50"/>
              <w:rPr>
                <w:rFonts w:asciiTheme="minorEastAsia" w:hAnsiTheme="minorEastAsia" w:eastAsiaTheme="minorEastAsia"/>
                <w:color w:val="auto"/>
                <w:szCs w:val="21"/>
                <w:highlight w:val="none"/>
              </w:rPr>
            </w:pPr>
          </w:p>
        </w:tc>
        <w:tc>
          <w:tcPr>
            <w:tcW w:w="916" w:type="dxa"/>
            <w:tcBorders>
              <w:top w:val="single" w:color="auto" w:sz="4" w:space="0"/>
              <w:left w:val="single" w:color="auto" w:sz="4" w:space="0"/>
              <w:bottom w:val="single" w:color="auto" w:sz="4" w:space="0"/>
              <w:right w:val="single" w:color="auto" w:sz="4" w:space="0"/>
            </w:tcBorders>
            <w:vAlign w:val="center"/>
          </w:tcPr>
          <w:p w14:paraId="3791A61C">
            <w:pPr>
              <w:snapToGrid w:val="0"/>
              <w:spacing w:before="50" w:after="50"/>
              <w:rPr>
                <w:rFonts w:asciiTheme="minorEastAsia" w:hAnsiTheme="minorEastAsia" w:eastAsiaTheme="minorEastAsia"/>
                <w:color w:val="auto"/>
                <w:szCs w:val="21"/>
                <w:highlight w:val="none"/>
              </w:rPr>
            </w:pPr>
          </w:p>
        </w:tc>
      </w:tr>
      <w:tr w14:paraId="64B8B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26EF474E">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4</w:t>
            </w:r>
          </w:p>
        </w:tc>
        <w:tc>
          <w:tcPr>
            <w:tcW w:w="1111" w:type="dxa"/>
            <w:tcBorders>
              <w:top w:val="single" w:color="auto" w:sz="4" w:space="0"/>
              <w:left w:val="single" w:color="auto" w:sz="4" w:space="0"/>
              <w:bottom w:val="single" w:color="auto" w:sz="4" w:space="0"/>
              <w:right w:val="single" w:color="auto" w:sz="4" w:space="0"/>
            </w:tcBorders>
            <w:vAlign w:val="center"/>
          </w:tcPr>
          <w:p w14:paraId="5504093F">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显微镜</w:t>
            </w:r>
          </w:p>
        </w:tc>
        <w:tc>
          <w:tcPr>
            <w:tcW w:w="994" w:type="dxa"/>
            <w:tcBorders>
              <w:top w:val="single" w:color="auto" w:sz="4" w:space="0"/>
              <w:left w:val="single" w:color="auto" w:sz="4" w:space="0"/>
              <w:bottom w:val="single" w:color="auto" w:sz="4" w:space="0"/>
              <w:right w:val="single" w:color="auto" w:sz="4" w:space="0"/>
            </w:tcBorders>
            <w:vAlign w:val="center"/>
          </w:tcPr>
          <w:p w14:paraId="21BE9393">
            <w:pPr>
              <w:snapToGrid w:val="0"/>
              <w:spacing w:before="50" w:after="50"/>
              <w:rPr>
                <w:rFonts w:asciiTheme="minorEastAsia" w:hAnsiTheme="minorEastAsia" w:eastAsiaTheme="minorEastAsia"/>
                <w:color w:val="auto"/>
                <w:szCs w:val="21"/>
                <w:highlight w:val="none"/>
              </w:rPr>
            </w:pPr>
          </w:p>
        </w:tc>
        <w:tc>
          <w:tcPr>
            <w:tcW w:w="849" w:type="dxa"/>
            <w:tcBorders>
              <w:top w:val="single" w:color="auto" w:sz="4" w:space="0"/>
              <w:left w:val="single" w:color="auto" w:sz="4" w:space="0"/>
              <w:bottom w:val="single" w:color="auto" w:sz="4" w:space="0"/>
              <w:right w:val="single" w:color="auto" w:sz="4" w:space="0"/>
            </w:tcBorders>
          </w:tcPr>
          <w:p w14:paraId="067BA666">
            <w:pPr>
              <w:snapToGrid w:val="0"/>
              <w:spacing w:before="50" w:after="50"/>
              <w:rPr>
                <w:rFonts w:asciiTheme="minorEastAsia" w:hAnsiTheme="minorEastAsia" w:eastAsiaTheme="minorEastAsia"/>
                <w:color w:val="auto"/>
                <w:szCs w:val="21"/>
                <w:highlight w:val="none"/>
              </w:rPr>
            </w:pPr>
          </w:p>
        </w:tc>
        <w:tc>
          <w:tcPr>
            <w:tcW w:w="710" w:type="dxa"/>
            <w:tcBorders>
              <w:top w:val="single" w:color="auto" w:sz="4" w:space="0"/>
              <w:left w:val="single" w:color="auto" w:sz="4" w:space="0"/>
              <w:bottom w:val="single" w:color="auto" w:sz="4" w:space="0"/>
              <w:right w:val="single" w:color="auto" w:sz="4" w:space="0"/>
            </w:tcBorders>
          </w:tcPr>
          <w:p w14:paraId="3A97B660">
            <w:pPr>
              <w:snapToGrid w:val="0"/>
              <w:spacing w:before="50" w:after="50"/>
              <w:rPr>
                <w:rFonts w:asciiTheme="minorEastAsia" w:hAnsiTheme="minorEastAsia" w:eastAsiaTheme="minorEastAsia"/>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tcPr>
          <w:p w14:paraId="02F999E2">
            <w:pPr>
              <w:snapToGrid w:val="0"/>
              <w:spacing w:before="50" w:after="50"/>
              <w:rPr>
                <w:rFonts w:asciiTheme="minorEastAsia" w:hAnsiTheme="minorEastAsia" w:eastAsiaTheme="minorEastAsia"/>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1FD93705">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1台</w:t>
            </w:r>
          </w:p>
        </w:tc>
        <w:tc>
          <w:tcPr>
            <w:tcW w:w="828" w:type="dxa"/>
            <w:tcBorders>
              <w:top w:val="single" w:color="auto" w:sz="4" w:space="0"/>
              <w:left w:val="single" w:color="auto" w:sz="4" w:space="0"/>
              <w:bottom w:val="single" w:color="auto" w:sz="4" w:space="0"/>
              <w:right w:val="single" w:color="auto" w:sz="4" w:space="0"/>
            </w:tcBorders>
            <w:vAlign w:val="center"/>
          </w:tcPr>
          <w:p w14:paraId="0EE3F74A">
            <w:pPr>
              <w:snapToGrid w:val="0"/>
              <w:spacing w:before="50" w:after="50"/>
              <w:rPr>
                <w:rFonts w:asciiTheme="minorEastAsia" w:hAnsiTheme="minorEastAsia" w:eastAsiaTheme="minorEastAsia"/>
                <w:color w:val="auto"/>
                <w:szCs w:val="21"/>
                <w:highlight w:val="none"/>
              </w:rPr>
            </w:pPr>
          </w:p>
        </w:tc>
        <w:tc>
          <w:tcPr>
            <w:tcW w:w="1599" w:type="dxa"/>
            <w:tcBorders>
              <w:top w:val="single" w:color="auto" w:sz="4" w:space="0"/>
              <w:left w:val="single" w:color="auto" w:sz="4" w:space="0"/>
              <w:bottom w:val="single" w:color="auto" w:sz="4" w:space="0"/>
              <w:right w:val="single" w:color="auto" w:sz="4" w:space="0"/>
            </w:tcBorders>
            <w:vAlign w:val="center"/>
          </w:tcPr>
          <w:p w14:paraId="7A871E5D">
            <w:pPr>
              <w:snapToGrid w:val="0"/>
              <w:spacing w:before="50" w:after="50"/>
              <w:rPr>
                <w:rFonts w:asciiTheme="minorEastAsia" w:hAnsiTheme="minorEastAsia" w:eastAsiaTheme="minorEastAsia"/>
                <w:color w:val="auto"/>
                <w:szCs w:val="21"/>
                <w:highlight w:val="none"/>
              </w:rPr>
            </w:pPr>
          </w:p>
        </w:tc>
        <w:tc>
          <w:tcPr>
            <w:tcW w:w="916" w:type="dxa"/>
            <w:tcBorders>
              <w:top w:val="single" w:color="auto" w:sz="4" w:space="0"/>
              <w:left w:val="single" w:color="auto" w:sz="4" w:space="0"/>
              <w:bottom w:val="single" w:color="auto" w:sz="4" w:space="0"/>
              <w:right w:val="single" w:color="auto" w:sz="4" w:space="0"/>
            </w:tcBorders>
            <w:vAlign w:val="center"/>
          </w:tcPr>
          <w:p w14:paraId="2373479C">
            <w:pPr>
              <w:snapToGrid w:val="0"/>
              <w:spacing w:before="50" w:after="50"/>
              <w:rPr>
                <w:rFonts w:asciiTheme="minorEastAsia" w:hAnsiTheme="minorEastAsia" w:eastAsiaTheme="minorEastAsia"/>
                <w:color w:val="auto"/>
                <w:szCs w:val="21"/>
                <w:highlight w:val="none"/>
              </w:rPr>
            </w:pPr>
          </w:p>
        </w:tc>
      </w:tr>
      <w:tr w14:paraId="31C20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792EDAAE">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5</w:t>
            </w:r>
          </w:p>
        </w:tc>
        <w:tc>
          <w:tcPr>
            <w:tcW w:w="1111" w:type="dxa"/>
            <w:tcBorders>
              <w:top w:val="single" w:color="auto" w:sz="4" w:space="0"/>
              <w:left w:val="single" w:color="auto" w:sz="4" w:space="0"/>
              <w:bottom w:val="single" w:color="auto" w:sz="4" w:space="0"/>
              <w:right w:val="single" w:color="auto" w:sz="4" w:space="0"/>
            </w:tcBorders>
            <w:vAlign w:val="center"/>
          </w:tcPr>
          <w:p w14:paraId="0F498AAD">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制片染色一体机</w:t>
            </w:r>
          </w:p>
        </w:tc>
        <w:tc>
          <w:tcPr>
            <w:tcW w:w="994" w:type="dxa"/>
            <w:tcBorders>
              <w:top w:val="single" w:color="auto" w:sz="4" w:space="0"/>
              <w:left w:val="single" w:color="auto" w:sz="4" w:space="0"/>
              <w:bottom w:val="single" w:color="auto" w:sz="4" w:space="0"/>
              <w:right w:val="single" w:color="auto" w:sz="4" w:space="0"/>
            </w:tcBorders>
            <w:vAlign w:val="center"/>
          </w:tcPr>
          <w:p w14:paraId="397BBE83">
            <w:pPr>
              <w:snapToGrid w:val="0"/>
              <w:spacing w:before="50" w:after="50"/>
              <w:rPr>
                <w:rFonts w:asciiTheme="minorEastAsia" w:hAnsiTheme="minorEastAsia" w:eastAsiaTheme="minorEastAsia"/>
                <w:color w:val="auto"/>
                <w:szCs w:val="21"/>
                <w:highlight w:val="none"/>
              </w:rPr>
            </w:pPr>
          </w:p>
        </w:tc>
        <w:tc>
          <w:tcPr>
            <w:tcW w:w="849" w:type="dxa"/>
            <w:tcBorders>
              <w:top w:val="single" w:color="auto" w:sz="4" w:space="0"/>
              <w:left w:val="single" w:color="auto" w:sz="4" w:space="0"/>
              <w:bottom w:val="single" w:color="auto" w:sz="4" w:space="0"/>
              <w:right w:val="single" w:color="auto" w:sz="4" w:space="0"/>
            </w:tcBorders>
          </w:tcPr>
          <w:p w14:paraId="51E07195">
            <w:pPr>
              <w:snapToGrid w:val="0"/>
              <w:spacing w:before="50" w:after="50"/>
              <w:rPr>
                <w:rFonts w:asciiTheme="minorEastAsia" w:hAnsiTheme="minorEastAsia" w:eastAsiaTheme="minorEastAsia"/>
                <w:color w:val="auto"/>
                <w:szCs w:val="21"/>
                <w:highlight w:val="none"/>
              </w:rPr>
            </w:pPr>
          </w:p>
        </w:tc>
        <w:tc>
          <w:tcPr>
            <w:tcW w:w="710" w:type="dxa"/>
            <w:tcBorders>
              <w:top w:val="single" w:color="auto" w:sz="4" w:space="0"/>
              <w:left w:val="single" w:color="auto" w:sz="4" w:space="0"/>
              <w:bottom w:val="single" w:color="auto" w:sz="4" w:space="0"/>
              <w:right w:val="single" w:color="auto" w:sz="4" w:space="0"/>
            </w:tcBorders>
          </w:tcPr>
          <w:p w14:paraId="4AC03601">
            <w:pPr>
              <w:snapToGrid w:val="0"/>
              <w:spacing w:before="50" w:after="50"/>
              <w:rPr>
                <w:rFonts w:asciiTheme="minorEastAsia" w:hAnsiTheme="minorEastAsia" w:eastAsiaTheme="minorEastAsia"/>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tcPr>
          <w:p w14:paraId="6D7BD651">
            <w:pPr>
              <w:snapToGrid w:val="0"/>
              <w:spacing w:before="50" w:after="50"/>
              <w:rPr>
                <w:rFonts w:asciiTheme="minorEastAsia" w:hAnsiTheme="minorEastAsia" w:eastAsiaTheme="minorEastAsia"/>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4D515472">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1台</w:t>
            </w:r>
          </w:p>
        </w:tc>
        <w:tc>
          <w:tcPr>
            <w:tcW w:w="828" w:type="dxa"/>
            <w:tcBorders>
              <w:top w:val="single" w:color="auto" w:sz="4" w:space="0"/>
              <w:left w:val="single" w:color="auto" w:sz="4" w:space="0"/>
              <w:bottom w:val="single" w:color="auto" w:sz="4" w:space="0"/>
              <w:right w:val="single" w:color="auto" w:sz="4" w:space="0"/>
            </w:tcBorders>
            <w:vAlign w:val="center"/>
          </w:tcPr>
          <w:p w14:paraId="34570AED">
            <w:pPr>
              <w:snapToGrid w:val="0"/>
              <w:spacing w:before="50" w:after="50"/>
              <w:rPr>
                <w:rFonts w:asciiTheme="minorEastAsia" w:hAnsiTheme="minorEastAsia" w:eastAsiaTheme="minorEastAsia"/>
                <w:color w:val="auto"/>
                <w:szCs w:val="21"/>
                <w:highlight w:val="none"/>
              </w:rPr>
            </w:pPr>
          </w:p>
        </w:tc>
        <w:tc>
          <w:tcPr>
            <w:tcW w:w="1599" w:type="dxa"/>
            <w:tcBorders>
              <w:top w:val="single" w:color="auto" w:sz="4" w:space="0"/>
              <w:left w:val="single" w:color="auto" w:sz="4" w:space="0"/>
              <w:bottom w:val="single" w:color="auto" w:sz="4" w:space="0"/>
              <w:right w:val="single" w:color="auto" w:sz="4" w:space="0"/>
            </w:tcBorders>
            <w:vAlign w:val="center"/>
          </w:tcPr>
          <w:p w14:paraId="10CBD4B5">
            <w:pPr>
              <w:snapToGrid w:val="0"/>
              <w:spacing w:before="50" w:after="50"/>
              <w:rPr>
                <w:rFonts w:asciiTheme="minorEastAsia" w:hAnsiTheme="minorEastAsia" w:eastAsiaTheme="minorEastAsia"/>
                <w:color w:val="auto"/>
                <w:szCs w:val="21"/>
                <w:highlight w:val="none"/>
              </w:rPr>
            </w:pPr>
          </w:p>
        </w:tc>
        <w:tc>
          <w:tcPr>
            <w:tcW w:w="916" w:type="dxa"/>
            <w:tcBorders>
              <w:top w:val="single" w:color="auto" w:sz="4" w:space="0"/>
              <w:left w:val="single" w:color="auto" w:sz="4" w:space="0"/>
              <w:bottom w:val="single" w:color="auto" w:sz="4" w:space="0"/>
              <w:right w:val="single" w:color="auto" w:sz="4" w:space="0"/>
            </w:tcBorders>
            <w:vAlign w:val="center"/>
          </w:tcPr>
          <w:p w14:paraId="4E2EDE42">
            <w:pPr>
              <w:snapToGrid w:val="0"/>
              <w:spacing w:before="50" w:after="50"/>
              <w:rPr>
                <w:rFonts w:asciiTheme="minorEastAsia" w:hAnsiTheme="minorEastAsia" w:eastAsiaTheme="minorEastAsia"/>
                <w:color w:val="auto"/>
                <w:szCs w:val="21"/>
                <w:highlight w:val="none"/>
              </w:rPr>
            </w:pPr>
          </w:p>
        </w:tc>
      </w:tr>
      <w:tr w14:paraId="5CF6E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548" w:type="dxa"/>
            <w:gridSpan w:val="10"/>
            <w:tcBorders>
              <w:top w:val="single" w:color="auto" w:sz="4" w:space="0"/>
              <w:left w:val="single" w:color="auto" w:sz="4" w:space="0"/>
              <w:bottom w:val="single" w:color="auto" w:sz="4" w:space="0"/>
              <w:right w:val="single" w:color="auto" w:sz="4" w:space="0"/>
            </w:tcBorders>
          </w:tcPr>
          <w:p w14:paraId="505B8853">
            <w:pPr>
              <w:snapToGrid w:val="0"/>
              <w:spacing w:before="50" w:after="50"/>
              <w:rPr>
                <w:rFonts w:hint="eastAsia" w:cs="仿宋_GB2312"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合计金额大写：人民币（￥）</w:t>
            </w:r>
          </w:p>
        </w:tc>
      </w:tr>
      <w:tr w14:paraId="48216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atLeast"/>
          <w:jc w:val="center"/>
        </w:trPr>
        <w:tc>
          <w:tcPr>
            <w:tcW w:w="9548" w:type="dxa"/>
            <w:gridSpan w:val="10"/>
            <w:tcBorders>
              <w:top w:val="single" w:color="auto" w:sz="4" w:space="0"/>
              <w:left w:val="single" w:color="auto" w:sz="4" w:space="0"/>
              <w:bottom w:val="single" w:color="auto" w:sz="4" w:space="0"/>
              <w:right w:val="single" w:color="auto" w:sz="4" w:space="0"/>
            </w:tcBorders>
          </w:tcPr>
          <w:p w14:paraId="23623051">
            <w:pPr>
              <w:snapToGrid w:val="0"/>
              <w:spacing w:before="50" w:after="50"/>
              <w:rPr>
                <w:rFonts w:hint="eastAsia" w:cs="仿宋_GB2312"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交货时间：</w:t>
            </w:r>
          </w:p>
        </w:tc>
      </w:tr>
    </w:tbl>
    <w:p w14:paraId="682FD028">
      <w:pPr>
        <w:snapToGrid w:val="0"/>
        <w:jc w:val="left"/>
        <w:rPr>
          <w:rFonts w:cs="Arial" w:asciiTheme="minorEastAsia" w:hAnsiTheme="minorEastAsia" w:eastAsiaTheme="minorEastAsia"/>
          <w:b/>
          <w:bCs/>
          <w:color w:val="auto"/>
          <w:szCs w:val="21"/>
          <w:highlight w:val="none"/>
        </w:rPr>
      </w:pPr>
    </w:p>
    <w:p w14:paraId="790A0676">
      <w:pPr>
        <w:snapToGrid w:val="0"/>
        <w:jc w:val="left"/>
        <w:rPr>
          <w:rFonts w:asciiTheme="minorEastAsia" w:hAnsiTheme="minorEastAsia" w:eastAsiaTheme="minorEastAsia"/>
          <w:b/>
          <w:bCs/>
          <w:color w:val="auto"/>
          <w:sz w:val="24"/>
          <w:highlight w:val="none"/>
        </w:rPr>
      </w:pPr>
      <w:r>
        <w:rPr>
          <w:rFonts w:hint="eastAsia" w:cs="Arial" w:asciiTheme="minorEastAsia" w:hAnsiTheme="minorEastAsia" w:eastAsiaTheme="minorEastAsia"/>
          <w:b/>
          <w:bCs/>
          <w:color w:val="auto"/>
          <w:szCs w:val="21"/>
          <w:highlight w:val="none"/>
        </w:rPr>
        <w:t>制片染色一体机耗材3年总报价</w:t>
      </w:r>
      <w:r>
        <w:rPr>
          <w:rFonts w:hint="eastAsia" w:asciiTheme="minorEastAsia" w:hAnsiTheme="minorEastAsia" w:eastAsiaTheme="minorEastAsia"/>
          <w:b/>
          <w:bCs/>
          <w:color w:val="auto"/>
          <w:sz w:val="24"/>
          <w:highlight w:val="none"/>
        </w:rPr>
        <w:t>（本报价仅用于评标）</w:t>
      </w:r>
    </w:p>
    <w:tbl>
      <w:tblPr>
        <w:tblStyle w:val="23"/>
        <w:tblW w:w="97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111"/>
        <w:gridCol w:w="994"/>
        <w:gridCol w:w="849"/>
        <w:gridCol w:w="710"/>
        <w:gridCol w:w="851"/>
        <w:gridCol w:w="992"/>
        <w:gridCol w:w="828"/>
        <w:gridCol w:w="1846"/>
        <w:gridCol w:w="863"/>
      </w:tblGrid>
      <w:tr w14:paraId="43D30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1D908939">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序号</w:t>
            </w:r>
          </w:p>
        </w:tc>
        <w:tc>
          <w:tcPr>
            <w:tcW w:w="1111" w:type="dxa"/>
            <w:tcBorders>
              <w:top w:val="single" w:color="auto" w:sz="4" w:space="0"/>
              <w:left w:val="single" w:color="auto" w:sz="4" w:space="0"/>
              <w:bottom w:val="single" w:color="auto" w:sz="4" w:space="0"/>
              <w:right w:val="single" w:color="auto" w:sz="4" w:space="0"/>
            </w:tcBorders>
            <w:vAlign w:val="center"/>
          </w:tcPr>
          <w:p w14:paraId="1DB56FA9">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标的的名称</w:t>
            </w:r>
          </w:p>
        </w:tc>
        <w:tc>
          <w:tcPr>
            <w:tcW w:w="994" w:type="dxa"/>
            <w:tcBorders>
              <w:top w:val="single" w:color="auto" w:sz="4" w:space="0"/>
              <w:left w:val="single" w:color="auto" w:sz="4" w:space="0"/>
              <w:bottom w:val="single" w:color="auto" w:sz="4" w:space="0"/>
              <w:right w:val="single" w:color="auto" w:sz="4" w:space="0"/>
            </w:tcBorders>
            <w:vAlign w:val="center"/>
          </w:tcPr>
          <w:p w14:paraId="58AE48C4">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品牌</w:t>
            </w:r>
          </w:p>
        </w:tc>
        <w:tc>
          <w:tcPr>
            <w:tcW w:w="849" w:type="dxa"/>
            <w:tcBorders>
              <w:top w:val="single" w:color="auto" w:sz="4" w:space="0"/>
              <w:left w:val="single" w:color="auto" w:sz="4" w:space="0"/>
              <w:bottom w:val="single" w:color="auto" w:sz="4" w:space="0"/>
              <w:right w:val="single" w:color="auto" w:sz="4" w:space="0"/>
            </w:tcBorders>
            <w:vAlign w:val="center"/>
          </w:tcPr>
          <w:p w14:paraId="7C173971">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规格型号</w:t>
            </w:r>
          </w:p>
        </w:tc>
        <w:tc>
          <w:tcPr>
            <w:tcW w:w="710" w:type="dxa"/>
            <w:tcBorders>
              <w:top w:val="single" w:color="auto" w:sz="4" w:space="0"/>
              <w:left w:val="single" w:color="auto" w:sz="4" w:space="0"/>
              <w:bottom w:val="single" w:color="auto" w:sz="4" w:space="0"/>
              <w:right w:val="single" w:color="auto" w:sz="4" w:space="0"/>
            </w:tcBorders>
            <w:vAlign w:val="center"/>
          </w:tcPr>
          <w:p w14:paraId="31D18146">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14:paraId="1E5E7069">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国别</w:t>
            </w:r>
          </w:p>
        </w:tc>
        <w:tc>
          <w:tcPr>
            <w:tcW w:w="992" w:type="dxa"/>
            <w:tcBorders>
              <w:top w:val="single" w:color="auto" w:sz="4" w:space="0"/>
              <w:left w:val="single" w:color="auto" w:sz="4" w:space="0"/>
              <w:bottom w:val="single" w:color="auto" w:sz="4" w:space="0"/>
              <w:right w:val="single" w:color="auto" w:sz="4" w:space="0"/>
            </w:tcBorders>
            <w:vAlign w:val="center"/>
          </w:tcPr>
          <w:p w14:paraId="7639E1F1">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数量及单位①</w:t>
            </w:r>
          </w:p>
        </w:tc>
        <w:tc>
          <w:tcPr>
            <w:tcW w:w="828" w:type="dxa"/>
            <w:tcBorders>
              <w:top w:val="single" w:color="auto" w:sz="4" w:space="0"/>
              <w:left w:val="single" w:color="auto" w:sz="4" w:space="0"/>
              <w:bottom w:val="single" w:color="auto" w:sz="4" w:space="0"/>
              <w:right w:val="single" w:color="auto" w:sz="4" w:space="0"/>
            </w:tcBorders>
            <w:vAlign w:val="center"/>
          </w:tcPr>
          <w:p w14:paraId="25DF66E5">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单价</w:t>
            </w:r>
          </w:p>
          <w:p w14:paraId="26083A6B">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②</w:t>
            </w:r>
          </w:p>
        </w:tc>
        <w:tc>
          <w:tcPr>
            <w:tcW w:w="1846" w:type="dxa"/>
            <w:tcBorders>
              <w:top w:val="single" w:color="auto" w:sz="4" w:space="0"/>
              <w:left w:val="single" w:color="auto" w:sz="4" w:space="0"/>
              <w:bottom w:val="single" w:color="auto" w:sz="4" w:space="0"/>
              <w:right w:val="single" w:color="auto" w:sz="4" w:space="0"/>
            </w:tcBorders>
            <w:vAlign w:val="center"/>
          </w:tcPr>
          <w:p w14:paraId="6A0E8488">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投标报价</w:t>
            </w:r>
          </w:p>
          <w:p w14:paraId="3B98F2F5">
            <w:pPr>
              <w:snapToGrid w:val="0"/>
              <w:spacing w:before="50" w:after="50"/>
              <w:jc w:val="cente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③</w:t>
            </w:r>
            <w:r>
              <w:rPr>
                <w:rFonts w:hint="eastAsia" w:asciiTheme="minorEastAsia" w:hAnsiTheme="minorEastAsia" w:eastAsiaTheme="minorEastAsia"/>
                <w:b/>
                <w:color w:val="auto"/>
                <w:szCs w:val="21"/>
                <w:highlight w:val="none"/>
              </w:rPr>
              <w:t>=①×②×3年</w:t>
            </w:r>
          </w:p>
        </w:tc>
        <w:tc>
          <w:tcPr>
            <w:tcW w:w="863" w:type="dxa"/>
            <w:tcBorders>
              <w:top w:val="single" w:color="auto" w:sz="4" w:space="0"/>
              <w:left w:val="single" w:color="auto" w:sz="4" w:space="0"/>
              <w:bottom w:val="single" w:color="auto" w:sz="4" w:space="0"/>
              <w:right w:val="single" w:color="auto" w:sz="4" w:space="0"/>
            </w:tcBorders>
            <w:vAlign w:val="center"/>
          </w:tcPr>
          <w:p w14:paraId="1D75F7F9">
            <w:pPr>
              <w:snapToGrid w:val="0"/>
              <w:spacing w:before="50" w:after="50"/>
              <w:jc w:val="center"/>
              <w:rPr>
                <w:rFonts w:hint="eastAsia"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lang w:val="en-US" w:eastAsia="zh-CN"/>
              </w:rPr>
              <w:t>备注</w:t>
            </w:r>
          </w:p>
        </w:tc>
      </w:tr>
      <w:tr w14:paraId="74DB8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9" w:hRule="atLeast"/>
          <w:jc w:val="center"/>
        </w:trPr>
        <w:tc>
          <w:tcPr>
            <w:tcW w:w="698" w:type="dxa"/>
            <w:tcBorders>
              <w:top w:val="single" w:color="auto" w:sz="4" w:space="0"/>
              <w:left w:val="single" w:color="auto" w:sz="4" w:space="0"/>
              <w:right w:val="single" w:color="auto" w:sz="4" w:space="0"/>
            </w:tcBorders>
            <w:vAlign w:val="center"/>
          </w:tcPr>
          <w:p w14:paraId="0F91553A">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5-1</w:t>
            </w:r>
          </w:p>
        </w:tc>
        <w:tc>
          <w:tcPr>
            <w:tcW w:w="1111" w:type="dxa"/>
            <w:tcBorders>
              <w:top w:val="single" w:color="auto" w:sz="4" w:space="0"/>
              <w:left w:val="single" w:color="auto" w:sz="4" w:space="0"/>
              <w:right w:val="single" w:color="auto" w:sz="4" w:space="0"/>
            </w:tcBorders>
            <w:vAlign w:val="center"/>
          </w:tcPr>
          <w:p w14:paraId="5C550BCA">
            <w:pPr>
              <w:snapToGrid w:val="0"/>
              <w:spacing w:before="50" w:after="50"/>
              <w:jc w:val="center"/>
              <w:rPr>
                <w:rFonts w:asciiTheme="minorEastAsia" w:hAnsiTheme="minorEastAsia" w:eastAsiaTheme="minorEastAsia"/>
                <w:b/>
                <w:color w:val="auto"/>
                <w:szCs w:val="21"/>
                <w:highlight w:val="none"/>
              </w:rPr>
            </w:pPr>
            <w:r>
              <w:rPr>
                <w:rFonts w:hint="eastAsia"/>
                <w:color w:val="auto"/>
                <w:szCs w:val="21"/>
                <w:highlight w:val="none"/>
              </w:rPr>
              <w:t>液基细胞和微生物处理、保存试剂</w:t>
            </w:r>
          </w:p>
        </w:tc>
        <w:tc>
          <w:tcPr>
            <w:tcW w:w="994" w:type="dxa"/>
            <w:tcBorders>
              <w:top w:val="single" w:color="auto" w:sz="4" w:space="0"/>
              <w:left w:val="single" w:color="auto" w:sz="4" w:space="0"/>
              <w:right w:val="single" w:color="auto" w:sz="4" w:space="0"/>
            </w:tcBorders>
            <w:vAlign w:val="center"/>
          </w:tcPr>
          <w:p w14:paraId="1EC9E94C">
            <w:pPr>
              <w:snapToGrid w:val="0"/>
              <w:spacing w:before="50" w:after="50"/>
              <w:rPr>
                <w:rFonts w:asciiTheme="minorEastAsia" w:hAnsiTheme="minorEastAsia" w:eastAsiaTheme="minorEastAsia"/>
                <w:color w:val="auto"/>
                <w:szCs w:val="21"/>
                <w:highlight w:val="none"/>
              </w:rPr>
            </w:pPr>
          </w:p>
        </w:tc>
        <w:tc>
          <w:tcPr>
            <w:tcW w:w="849" w:type="dxa"/>
            <w:tcBorders>
              <w:top w:val="single" w:color="auto" w:sz="4" w:space="0"/>
              <w:left w:val="single" w:color="auto" w:sz="4" w:space="0"/>
              <w:right w:val="single" w:color="auto" w:sz="4" w:space="0"/>
            </w:tcBorders>
          </w:tcPr>
          <w:p w14:paraId="43B66C88">
            <w:pPr>
              <w:snapToGrid w:val="0"/>
              <w:spacing w:before="50" w:after="50"/>
              <w:rPr>
                <w:rFonts w:asciiTheme="minorEastAsia" w:hAnsiTheme="minorEastAsia" w:eastAsiaTheme="minorEastAsia"/>
                <w:color w:val="auto"/>
                <w:szCs w:val="21"/>
                <w:highlight w:val="none"/>
              </w:rPr>
            </w:pPr>
          </w:p>
        </w:tc>
        <w:tc>
          <w:tcPr>
            <w:tcW w:w="710" w:type="dxa"/>
            <w:tcBorders>
              <w:top w:val="single" w:color="auto" w:sz="4" w:space="0"/>
              <w:left w:val="single" w:color="auto" w:sz="4" w:space="0"/>
              <w:right w:val="single" w:color="auto" w:sz="4" w:space="0"/>
            </w:tcBorders>
          </w:tcPr>
          <w:p w14:paraId="33E1DEBA">
            <w:pPr>
              <w:snapToGrid w:val="0"/>
              <w:spacing w:before="50" w:after="50"/>
              <w:rPr>
                <w:rFonts w:asciiTheme="minorEastAsia" w:hAnsiTheme="minorEastAsia" w:eastAsiaTheme="minorEastAsia"/>
                <w:color w:val="auto"/>
                <w:szCs w:val="21"/>
                <w:highlight w:val="none"/>
              </w:rPr>
            </w:pPr>
          </w:p>
        </w:tc>
        <w:tc>
          <w:tcPr>
            <w:tcW w:w="851" w:type="dxa"/>
            <w:tcBorders>
              <w:top w:val="single" w:color="auto" w:sz="4" w:space="0"/>
              <w:left w:val="single" w:color="auto" w:sz="4" w:space="0"/>
              <w:right w:val="single" w:color="auto" w:sz="4" w:space="0"/>
            </w:tcBorders>
          </w:tcPr>
          <w:p w14:paraId="6F1BBA14">
            <w:pPr>
              <w:snapToGrid w:val="0"/>
              <w:spacing w:before="50" w:after="50"/>
              <w:rPr>
                <w:rFonts w:asciiTheme="minorEastAsia" w:hAnsiTheme="minorEastAsia" w:eastAsiaTheme="minorEastAsia"/>
                <w:color w:val="auto"/>
                <w:szCs w:val="21"/>
                <w:highlight w:val="none"/>
              </w:rPr>
            </w:pPr>
          </w:p>
        </w:tc>
        <w:tc>
          <w:tcPr>
            <w:tcW w:w="992" w:type="dxa"/>
            <w:tcBorders>
              <w:top w:val="single" w:color="auto" w:sz="4" w:space="0"/>
              <w:left w:val="single" w:color="auto" w:sz="4" w:space="0"/>
              <w:right w:val="single" w:color="auto" w:sz="4" w:space="0"/>
            </w:tcBorders>
            <w:vAlign w:val="center"/>
          </w:tcPr>
          <w:p w14:paraId="4D9825C4">
            <w:pPr>
              <w:snapToGrid w:val="0"/>
              <w:spacing w:before="50" w:after="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700000人份/年</w:t>
            </w:r>
          </w:p>
        </w:tc>
        <w:tc>
          <w:tcPr>
            <w:tcW w:w="828" w:type="dxa"/>
            <w:tcBorders>
              <w:top w:val="single" w:color="auto" w:sz="4" w:space="0"/>
              <w:left w:val="single" w:color="auto" w:sz="4" w:space="0"/>
              <w:right w:val="single" w:color="auto" w:sz="4" w:space="0"/>
            </w:tcBorders>
            <w:vAlign w:val="center"/>
          </w:tcPr>
          <w:p w14:paraId="19926DE4">
            <w:pPr>
              <w:snapToGrid w:val="0"/>
              <w:spacing w:before="50" w:after="50"/>
              <w:rPr>
                <w:rFonts w:asciiTheme="minorEastAsia" w:hAnsiTheme="minorEastAsia" w:eastAsiaTheme="minorEastAsia"/>
                <w:color w:val="auto"/>
                <w:szCs w:val="21"/>
                <w:highlight w:val="none"/>
              </w:rPr>
            </w:pPr>
          </w:p>
        </w:tc>
        <w:tc>
          <w:tcPr>
            <w:tcW w:w="1846" w:type="dxa"/>
            <w:tcBorders>
              <w:top w:val="single" w:color="auto" w:sz="4" w:space="0"/>
              <w:left w:val="single" w:color="auto" w:sz="4" w:space="0"/>
              <w:bottom w:val="single" w:color="auto" w:sz="4" w:space="0"/>
              <w:right w:val="single" w:color="auto" w:sz="4" w:space="0"/>
            </w:tcBorders>
            <w:vAlign w:val="center"/>
          </w:tcPr>
          <w:p w14:paraId="1E4F53E8">
            <w:pPr>
              <w:snapToGrid w:val="0"/>
              <w:spacing w:before="50" w:after="50"/>
              <w:jc w:val="center"/>
              <w:rPr>
                <w:rFonts w:asciiTheme="minorEastAsia" w:hAnsiTheme="minorEastAsia" w:eastAsiaTheme="minorEastAsia"/>
                <w:color w:val="auto"/>
                <w:szCs w:val="21"/>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14:paraId="7F540D30">
            <w:pPr>
              <w:snapToGrid w:val="0"/>
              <w:spacing w:before="50" w:after="50"/>
              <w:jc w:val="center"/>
              <w:rPr>
                <w:rFonts w:asciiTheme="minorEastAsia" w:hAnsiTheme="minorEastAsia" w:eastAsiaTheme="minorEastAsia"/>
                <w:color w:val="auto"/>
                <w:szCs w:val="21"/>
                <w:highlight w:val="none"/>
              </w:rPr>
            </w:pPr>
          </w:p>
        </w:tc>
      </w:tr>
    </w:tbl>
    <w:p w14:paraId="58FE3DF0">
      <w:pPr>
        <w:snapToGrid w:val="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注: </w:t>
      </w:r>
    </w:p>
    <w:p w14:paraId="506525E7">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1.投标人的开标一览表必须加盖投标人电子签章并由</w:t>
      </w:r>
      <w:r>
        <w:rPr>
          <w:rFonts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z w:val="24"/>
          <w:highlight w:val="none"/>
        </w:rPr>
        <w:t>签字或者电子签名，</w:t>
      </w:r>
      <w:r>
        <w:rPr>
          <w:rFonts w:hint="eastAsia" w:asciiTheme="minorEastAsia" w:hAnsiTheme="minorEastAsia" w:eastAsiaTheme="minorEastAsia"/>
          <w:b/>
          <w:color w:val="auto"/>
          <w:sz w:val="24"/>
          <w:highlight w:val="none"/>
        </w:rPr>
        <w:t>否则其投标作无效标处理</w:t>
      </w:r>
      <w:r>
        <w:rPr>
          <w:rFonts w:hint="eastAsia" w:asciiTheme="minorEastAsia" w:hAnsiTheme="minorEastAsia" w:eastAsiaTheme="minorEastAsia"/>
          <w:color w:val="auto"/>
          <w:sz w:val="24"/>
          <w:highlight w:val="none"/>
        </w:rPr>
        <w:t>。</w:t>
      </w:r>
    </w:p>
    <w:p w14:paraId="4222421E">
      <w:pPr>
        <w:snapToGrid w:val="0"/>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2.</w:t>
      </w:r>
      <w:r>
        <w:rPr>
          <w:rFonts w:hint="eastAsia" w:asciiTheme="minorEastAsia" w:hAnsiTheme="minorEastAsia" w:eastAsiaTheme="minorEastAsia"/>
          <w:color w:val="auto"/>
          <w:sz w:val="24"/>
          <w:highlight w:val="none"/>
        </w:rPr>
        <w:t>报价一经涂改，应在涂改处加盖投标人公章或者由法定代表人或者委托代理人签字（或者电子签名）或者盖章</w:t>
      </w:r>
      <w:r>
        <w:rPr>
          <w:rFonts w:hint="eastAsia" w:asciiTheme="minorEastAsia" w:hAnsiTheme="minorEastAsia" w:eastAsiaTheme="minorEastAsia"/>
          <w:b/>
          <w:color w:val="auto"/>
          <w:sz w:val="24"/>
          <w:highlight w:val="none"/>
        </w:rPr>
        <w:t>，否则其投标作无效标处理。</w:t>
      </w:r>
    </w:p>
    <w:p w14:paraId="2CF98596">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3.招标文件中列明采购专用耗材的，应按招标文件规定的耗材量或者按耗材的常规试用量提供报价。</w:t>
      </w:r>
    </w:p>
    <w:p w14:paraId="0E4DE9D7">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4.如为联合体投标，“投标人名称”处必须列明联合体各方名称，并标注联合体牵头人名称，</w:t>
      </w:r>
      <w:r>
        <w:rPr>
          <w:rFonts w:hint="eastAsia" w:asciiTheme="minorEastAsia" w:hAnsiTheme="minorEastAsia" w:eastAsiaTheme="minorEastAsia"/>
          <w:b/>
          <w:color w:val="auto"/>
          <w:sz w:val="24"/>
          <w:highlight w:val="none"/>
        </w:rPr>
        <w:t>否则其投标作无效标处理。</w:t>
      </w:r>
    </w:p>
    <w:p w14:paraId="3D8644B7">
      <w:pPr>
        <w:snapToGrid w:val="0"/>
        <w:ind w:firstLine="456" w:firstLineChars="200"/>
        <w:jc w:val="left"/>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5.如为联合体投标，盖章处须加盖联合体牵头人电子签章，</w:t>
      </w:r>
      <w:r>
        <w:rPr>
          <w:rFonts w:hint="eastAsia" w:asciiTheme="minorEastAsia" w:hAnsiTheme="minorEastAsia" w:eastAsiaTheme="minorEastAsia"/>
          <w:b/>
          <w:color w:val="auto"/>
          <w:spacing w:val="-6"/>
          <w:sz w:val="24"/>
          <w:highlight w:val="none"/>
        </w:rPr>
        <w:t>否则其投标作无效标处理。</w:t>
      </w:r>
    </w:p>
    <w:p w14:paraId="6972FB7F">
      <w:pPr>
        <w:snapToGrid w:val="0"/>
        <w:ind w:firstLine="480" w:firstLineChars="200"/>
        <w:outlineLvl w:val="2"/>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6.如有多分标，按分标分别提供开标一览表，</w:t>
      </w:r>
      <w:r>
        <w:rPr>
          <w:rFonts w:hint="eastAsia" w:asciiTheme="minorEastAsia" w:hAnsiTheme="minorEastAsia" w:eastAsiaTheme="minorEastAsia"/>
          <w:b/>
          <w:color w:val="auto"/>
          <w:sz w:val="24"/>
          <w:highlight w:val="none"/>
        </w:rPr>
        <w:t>否则投标无效。</w:t>
      </w:r>
    </w:p>
    <w:p w14:paraId="5C9F851E">
      <w:pPr>
        <w:pStyle w:val="12"/>
        <w:rPr>
          <w:rFonts w:asciiTheme="minorEastAsia" w:hAnsiTheme="minorEastAsia" w:eastAsiaTheme="minorEastAsia"/>
          <w:color w:val="auto"/>
          <w:highlight w:val="none"/>
        </w:rPr>
      </w:pPr>
    </w:p>
    <w:p w14:paraId="18C61F46">
      <w:pPr>
        <w:pStyle w:val="12"/>
        <w:spacing w:line="240" w:lineRule="auto"/>
        <w:rPr>
          <w:rFonts w:asciiTheme="minorEastAsia" w:hAnsiTheme="minorEastAsia" w:eastAsiaTheme="minorEastAsia"/>
          <w:color w:val="auto"/>
          <w:highlight w:val="none"/>
        </w:rPr>
      </w:pPr>
    </w:p>
    <w:p w14:paraId="7226CB48">
      <w:pPr>
        <w:snapToGrid w:val="0"/>
        <w:ind w:left="-2" w:leftChars="-1" w:right="-817" w:rightChars="-38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法定代表人或者委托代理人（签字/电子签名）： </w:t>
      </w:r>
    </w:p>
    <w:p w14:paraId="3F9C4CEF">
      <w:pPr>
        <w:snapToGrid w:val="0"/>
        <w:ind w:left="-3" w:leftChars="-15" w:right="-817" w:rightChars="-389" w:hanging="28" w:hangingChars="1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48847D54">
      <w:pPr>
        <w:ind w:left="-3" w:leftChars="-15" w:right="-817" w:rightChars="-389" w:hanging="28" w:hangingChars="12"/>
        <w:rPr>
          <w:color w:val="auto"/>
          <w:highlight w:val="none"/>
        </w:rPr>
        <w:sectPr>
          <w:footerReference r:id="rId11" w:type="first"/>
          <w:headerReference r:id="rId9" w:type="default"/>
          <w:footerReference r:id="rId10" w:type="default"/>
          <w:pgSz w:w="11906" w:h="16838"/>
          <w:pgMar w:top="1701" w:right="1701" w:bottom="1701" w:left="1701" w:header="851" w:footer="992" w:gutter="0"/>
          <w:pgNumType w:fmt="decimal"/>
          <w:cols w:space="720" w:num="1"/>
          <w:titlePg/>
          <w:docGrid w:linePitch="312" w:charSpace="0"/>
        </w:sectPr>
      </w:pPr>
      <w:r>
        <w:rPr>
          <w:rFonts w:hint="eastAsia" w:asciiTheme="minorEastAsia" w:hAnsiTheme="minorEastAsia" w:eastAsiaTheme="minorEastAsia"/>
          <w:color w:val="auto"/>
          <w:sz w:val="24"/>
          <w:highlight w:val="none"/>
        </w:rPr>
        <w:t xml:space="preserve">                                  日期：    年   月   日</w:t>
      </w:r>
    </w:p>
    <w:p w14:paraId="70831453">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30"/>
          <w:highlight w:val="none"/>
        </w:rPr>
        <w:t>开标一览表</w:t>
      </w:r>
    </w:p>
    <w:p w14:paraId="4271814A">
      <w:pPr>
        <w:snapToGrid w:val="0"/>
        <w:spacing w:before="50" w:after="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 xml:space="preserve">项目编号：  </w:t>
      </w:r>
    </w:p>
    <w:p w14:paraId="2BD6C0AD">
      <w:pPr>
        <w:snapToGrid w:val="0"/>
        <w:spacing w:before="50" w:after="5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分标（如有）：04分标</w:t>
      </w:r>
    </w:p>
    <w:p w14:paraId="2F68D52F">
      <w:pPr>
        <w:snapToGrid w:val="0"/>
        <w:spacing w:before="50" w:after="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投标人名称：                       单位：元</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6"/>
        <w:gridCol w:w="1295"/>
        <w:gridCol w:w="917"/>
        <w:gridCol w:w="783"/>
        <w:gridCol w:w="654"/>
        <w:gridCol w:w="784"/>
        <w:gridCol w:w="833"/>
        <w:gridCol w:w="900"/>
        <w:gridCol w:w="1375"/>
        <w:gridCol w:w="718"/>
      </w:tblGrid>
      <w:tr w14:paraId="24237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9" w:hRule="atLeast"/>
          <w:jc w:val="center"/>
        </w:trPr>
        <w:tc>
          <w:tcPr>
            <w:tcW w:w="261" w:type="pct"/>
            <w:tcBorders>
              <w:top w:val="single" w:color="auto" w:sz="4" w:space="0"/>
              <w:left w:val="single" w:color="auto" w:sz="4" w:space="0"/>
              <w:bottom w:val="single" w:color="auto" w:sz="4" w:space="0"/>
              <w:right w:val="single" w:color="auto" w:sz="4" w:space="0"/>
            </w:tcBorders>
            <w:vAlign w:val="center"/>
          </w:tcPr>
          <w:p w14:paraId="134BD261">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序号</w:t>
            </w:r>
          </w:p>
        </w:tc>
        <w:tc>
          <w:tcPr>
            <w:tcW w:w="742" w:type="pct"/>
            <w:tcBorders>
              <w:top w:val="single" w:color="auto" w:sz="4" w:space="0"/>
              <w:left w:val="single" w:color="auto" w:sz="4" w:space="0"/>
              <w:bottom w:val="single" w:color="auto" w:sz="4" w:space="0"/>
              <w:right w:val="single" w:color="auto" w:sz="4" w:space="0"/>
            </w:tcBorders>
            <w:vAlign w:val="center"/>
          </w:tcPr>
          <w:p w14:paraId="69412BBE">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标的的名称</w:t>
            </w:r>
          </w:p>
        </w:tc>
        <w:tc>
          <w:tcPr>
            <w:tcW w:w="526" w:type="pct"/>
            <w:tcBorders>
              <w:top w:val="single" w:color="auto" w:sz="4" w:space="0"/>
              <w:left w:val="single" w:color="auto" w:sz="4" w:space="0"/>
              <w:bottom w:val="single" w:color="auto" w:sz="4" w:space="0"/>
              <w:right w:val="single" w:color="auto" w:sz="4" w:space="0"/>
            </w:tcBorders>
            <w:vAlign w:val="center"/>
          </w:tcPr>
          <w:p w14:paraId="3F689194">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品牌</w:t>
            </w:r>
          </w:p>
        </w:tc>
        <w:tc>
          <w:tcPr>
            <w:tcW w:w="449" w:type="pct"/>
            <w:tcBorders>
              <w:top w:val="single" w:color="auto" w:sz="4" w:space="0"/>
              <w:left w:val="single" w:color="auto" w:sz="4" w:space="0"/>
              <w:bottom w:val="single" w:color="auto" w:sz="4" w:space="0"/>
              <w:right w:val="single" w:color="auto" w:sz="4" w:space="0"/>
            </w:tcBorders>
            <w:vAlign w:val="center"/>
          </w:tcPr>
          <w:p w14:paraId="4DE03EE6">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规格型号</w:t>
            </w:r>
          </w:p>
        </w:tc>
        <w:tc>
          <w:tcPr>
            <w:tcW w:w="375" w:type="pct"/>
            <w:tcBorders>
              <w:top w:val="single" w:color="auto" w:sz="4" w:space="0"/>
              <w:left w:val="single" w:color="auto" w:sz="4" w:space="0"/>
              <w:bottom w:val="single" w:color="auto" w:sz="4" w:space="0"/>
              <w:right w:val="single" w:color="auto" w:sz="4" w:space="0"/>
            </w:tcBorders>
            <w:vAlign w:val="center"/>
          </w:tcPr>
          <w:p w14:paraId="75F950CD">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生产厂家</w:t>
            </w:r>
          </w:p>
        </w:tc>
        <w:tc>
          <w:tcPr>
            <w:tcW w:w="449" w:type="pct"/>
            <w:tcBorders>
              <w:top w:val="single" w:color="auto" w:sz="4" w:space="0"/>
              <w:left w:val="single" w:color="auto" w:sz="4" w:space="0"/>
              <w:bottom w:val="single" w:color="auto" w:sz="4" w:space="0"/>
              <w:right w:val="single" w:color="auto" w:sz="4" w:space="0"/>
            </w:tcBorders>
            <w:vAlign w:val="center"/>
          </w:tcPr>
          <w:p w14:paraId="55AFA217">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国别</w:t>
            </w:r>
          </w:p>
        </w:tc>
        <w:tc>
          <w:tcPr>
            <w:tcW w:w="477" w:type="pct"/>
            <w:tcBorders>
              <w:top w:val="single" w:color="auto" w:sz="4" w:space="0"/>
              <w:left w:val="single" w:color="auto" w:sz="4" w:space="0"/>
              <w:bottom w:val="single" w:color="auto" w:sz="4" w:space="0"/>
              <w:right w:val="single" w:color="auto" w:sz="4" w:space="0"/>
            </w:tcBorders>
            <w:vAlign w:val="center"/>
          </w:tcPr>
          <w:p w14:paraId="65A3F5C1">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数量及单位①</w:t>
            </w:r>
          </w:p>
        </w:tc>
        <w:tc>
          <w:tcPr>
            <w:tcW w:w="516" w:type="pct"/>
            <w:tcBorders>
              <w:top w:val="single" w:color="auto" w:sz="4" w:space="0"/>
              <w:left w:val="single" w:color="auto" w:sz="4" w:space="0"/>
              <w:bottom w:val="single" w:color="auto" w:sz="4" w:space="0"/>
              <w:right w:val="single" w:color="auto" w:sz="4" w:space="0"/>
            </w:tcBorders>
            <w:vAlign w:val="center"/>
          </w:tcPr>
          <w:p w14:paraId="08A67474">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单价</w:t>
            </w:r>
          </w:p>
          <w:p w14:paraId="6255FF7B">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②</w:t>
            </w:r>
          </w:p>
        </w:tc>
        <w:tc>
          <w:tcPr>
            <w:tcW w:w="788" w:type="pct"/>
            <w:tcBorders>
              <w:top w:val="single" w:color="auto" w:sz="4" w:space="0"/>
              <w:left w:val="single" w:color="auto" w:sz="4" w:space="0"/>
              <w:bottom w:val="single" w:color="auto" w:sz="4" w:space="0"/>
              <w:right w:val="single" w:color="auto" w:sz="4" w:space="0"/>
            </w:tcBorders>
            <w:vAlign w:val="center"/>
          </w:tcPr>
          <w:p w14:paraId="010872BD">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p w14:paraId="536914B3">
            <w:pPr>
              <w:snapToGrid w:val="0"/>
              <w:spacing w:before="50" w:after="50"/>
              <w:jc w:val="center"/>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③</w:t>
            </w:r>
            <w:r>
              <w:rPr>
                <w:rFonts w:hint="eastAsia" w:asciiTheme="minorEastAsia" w:hAnsiTheme="minorEastAsia" w:eastAsiaTheme="minorEastAsia"/>
                <w:b/>
                <w:color w:val="auto"/>
                <w:sz w:val="24"/>
                <w:highlight w:val="none"/>
              </w:rPr>
              <w:t>=①×②</w:t>
            </w:r>
          </w:p>
        </w:tc>
        <w:tc>
          <w:tcPr>
            <w:tcW w:w="411" w:type="pct"/>
            <w:tcBorders>
              <w:top w:val="single" w:color="auto" w:sz="4" w:space="0"/>
              <w:left w:val="single" w:color="auto" w:sz="4" w:space="0"/>
              <w:bottom w:val="single" w:color="auto" w:sz="4" w:space="0"/>
              <w:right w:val="single" w:color="auto" w:sz="4" w:space="0"/>
            </w:tcBorders>
            <w:vAlign w:val="center"/>
          </w:tcPr>
          <w:p w14:paraId="73FA1E01">
            <w:pPr>
              <w:snapToGrid w:val="0"/>
              <w:spacing w:before="50" w:after="50"/>
              <w:jc w:val="cente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备注</w:t>
            </w:r>
          </w:p>
        </w:tc>
      </w:tr>
      <w:tr w14:paraId="5A40FE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20" w:hRule="atLeast"/>
          <w:jc w:val="center"/>
        </w:trPr>
        <w:tc>
          <w:tcPr>
            <w:tcW w:w="261" w:type="pct"/>
            <w:tcBorders>
              <w:top w:val="single" w:color="auto" w:sz="4" w:space="0"/>
              <w:left w:val="single" w:color="auto" w:sz="4" w:space="0"/>
              <w:bottom w:val="single" w:color="auto" w:sz="4" w:space="0"/>
              <w:right w:val="single" w:color="auto" w:sz="4" w:space="0"/>
            </w:tcBorders>
            <w:vAlign w:val="center"/>
          </w:tcPr>
          <w:p w14:paraId="3A078B1E">
            <w:pPr>
              <w:snapToGrid w:val="0"/>
              <w:spacing w:before="50" w:after="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p>
        </w:tc>
        <w:tc>
          <w:tcPr>
            <w:tcW w:w="742" w:type="pct"/>
            <w:tcBorders>
              <w:top w:val="single" w:color="auto" w:sz="4" w:space="0"/>
              <w:left w:val="single" w:color="auto" w:sz="4" w:space="0"/>
              <w:bottom w:val="single" w:color="auto" w:sz="4" w:space="0"/>
              <w:right w:val="single" w:color="auto" w:sz="4" w:space="0"/>
            </w:tcBorders>
            <w:vAlign w:val="center"/>
          </w:tcPr>
          <w:p w14:paraId="355C4D74">
            <w:pPr>
              <w:snapToGrid w:val="0"/>
              <w:spacing w:before="50" w:after="50"/>
              <w:jc w:val="center"/>
              <w:rPr>
                <w:rFonts w:asciiTheme="minorEastAsia" w:hAnsiTheme="minorEastAsia" w:eastAsiaTheme="minorEastAsia"/>
                <w:b/>
                <w:color w:val="auto"/>
                <w:sz w:val="24"/>
                <w:highlight w:val="none"/>
              </w:rPr>
            </w:pPr>
            <w:r>
              <w:rPr>
                <w:rFonts w:hint="eastAsia" w:cs="Arial" w:asciiTheme="minorEastAsia" w:hAnsiTheme="minorEastAsia" w:eastAsiaTheme="minorEastAsia"/>
                <w:color w:val="auto"/>
                <w:szCs w:val="21"/>
                <w:highlight w:val="none"/>
              </w:rPr>
              <w:t>胰岛素泵</w:t>
            </w:r>
          </w:p>
        </w:tc>
        <w:tc>
          <w:tcPr>
            <w:tcW w:w="526" w:type="pct"/>
            <w:tcBorders>
              <w:top w:val="single" w:color="auto" w:sz="4" w:space="0"/>
              <w:left w:val="single" w:color="auto" w:sz="4" w:space="0"/>
              <w:bottom w:val="single" w:color="auto" w:sz="4" w:space="0"/>
              <w:right w:val="single" w:color="auto" w:sz="4" w:space="0"/>
            </w:tcBorders>
            <w:vAlign w:val="center"/>
          </w:tcPr>
          <w:p w14:paraId="0A32A738">
            <w:pPr>
              <w:snapToGrid w:val="0"/>
              <w:spacing w:before="50" w:after="50"/>
              <w:rPr>
                <w:rFonts w:asciiTheme="minorEastAsia" w:hAnsiTheme="minorEastAsia" w:eastAsiaTheme="minorEastAsia"/>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tcPr>
          <w:p w14:paraId="77754B7F">
            <w:pPr>
              <w:snapToGrid w:val="0"/>
              <w:spacing w:before="50" w:after="50"/>
              <w:rPr>
                <w:rFonts w:asciiTheme="minorEastAsia" w:hAnsiTheme="minorEastAsia" w:eastAsiaTheme="minorEastAsia"/>
                <w:color w:val="auto"/>
                <w:sz w:val="24"/>
                <w:highlight w:val="none"/>
              </w:rPr>
            </w:pPr>
          </w:p>
        </w:tc>
        <w:tc>
          <w:tcPr>
            <w:tcW w:w="375" w:type="pct"/>
            <w:tcBorders>
              <w:top w:val="single" w:color="auto" w:sz="4" w:space="0"/>
              <w:left w:val="single" w:color="auto" w:sz="4" w:space="0"/>
              <w:bottom w:val="single" w:color="auto" w:sz="4" w:space="0"/>
              <w:right w:val="single" w:color="auto" w:sz="4" w:space="0"/>
            </w:tcBorders>
          </w:tcPr>
          <w:p w14:paraId="6DD87D15">
            <w:pPr>
              <w:snapToGrid w:val="0"/>
              <w:spacing w:before="50" w:after="50"/>
              <w:rPr>
                <w:rFonts w:asciiTheme="minorEastAsia" w:hAnsiTheme="minorEastAsia" w:eastAsiaTheme="minorEastAsia"/>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tcPr>
          <w:p w14:paraId="2C6B3995">
            <w:pPr>
              <w:snapToGrid w:val="0"/>
              <w:spacing w:before="50" w:after="50"/>
              <w:rPr>
                <w:rFonts w:asciiTheme="minorEastAsia" w:hAnsiTheme="minorEastAsia" w:eastAsiaTheme="minorEastAsia"/>
                <w:color w:val="auto"/>
                <w:sz w:val="24"/>
                <w:highlight w:val="none"/>
              </w:rPr>
            </w:pP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4716E8A3">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20台</w:t>
            </w:r>
          </w:p>
        </w:tc>
        <w:tc>
          <w:tcPr>
            <w:tcW w:w="516" w:type="pct"/>
            <w:tcBorders>
              <w:top w:val="single" w:color="auto" w:sz="4" w:space="0"/>
              <w:left w:val="single" w:color="auto" w:sz="4" w:space="0"/>
              <w:bottom w:val="single" w:color="auto" w:sz="4" w:space="0"/>
              <w:right w:val="single" w:color="auto" w:sz="4" w:space="0"/>
            </w:tcBorders>
            <w:vAlign w:val="center"/>
          </w:tcPr>
          <w:p w14:paraId="186319A4">
            <w:pPr>
              <w:snapToGrid w:val="0"/>
              <w:spacing w:before="50" w:after="50"/>
              <w:jc w:val="center"/>
              <w:rPr>
                <w:rFonts w:asciiTheme="minorEastAsia" w:hAnsiTheme="minorEastAsia" w:eastAsiaTheme="minorEastAsia"/>
                <w:color w:val="auto"/>
                <w:sz w:val="24"/>
                <w:highlight w:val="none"/>
              </w:rPr>
            </w:pPr>
          </w:p>
        </w:tc>
        <w:tc>
          <w:tcPr>
            <w:tcW w:w="788" w:type="pct"/>
            <w:tcBorders>
              <w:top w:val="single" w:color="auto" w:sz="4" w:space="0"/>
              <w:left w:val="single" w:color="auto" w:sz="4" w:space="0"/>
              <w:bottom w:val="single" w:color="auto" w:sz="4" w:space="0"/>
              <w:right w:val="single" w:color="auto" w:sz="4" w:space="0"/>
            </w:tcBorders>
            <w:vAlign w:val="center"/>
          </w:tcPr>
          <w:p w14:paraId="16889642">
            <w:pPr>
              <w:snapToGrid w:val="0"/>
              <w:spacing w:before="50" w:after="50"/>
              <w:rPr>
                <w:rFonts w:asciiTheme="minorEastAsia" w:hAnsiTheme="minorEastAsia" w:eastAsiaTheme="minorEastAsia"/>
                <w:color w:val="auto"/>
                <w:sz w:val="24"/>
                <w:highlight w:val="none"/>
              </w:rPr>
            </w:pPr>
          </w:p>
        </w:tc>
        <w:tc>
          <w:tcPr>
            <w:tcW w:w="411" w:type="pct"/>
            <w:tcBorders>
              <w:top w:val="single" w:color="auto" w:sz="4" w:space="0"/>
              <w:left w:val="single" w:color="auto" w:sz="4" w:space="0"/>
              <w:bottom w:val="single" w:color="auto" w:sz="4" w:space="0"/>
              <w:right w:val="single" w:color="auto" w:sz="4" w:space="0"/>
            </w:tcBorders>
            <w:vAlign w:val="center"/>
          </w:tcPr>
          <w:p w14:paraId="5FF3E3ED">
            <w:pPr>
              <w:snapToGrid w:val="0"/>
              <w:spacing w:before="50" w:after="50"/>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含配备耗材报价</w:t>
            </w:r>
          </w:p>
        </w:tc>
      </w:tr>
      <w:tr w14:paraId="130107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8" w:hRule="atLeast"/>
          <w:jc w:val="center"/>
        </w:trPr>
        <w:tc>
          <w:tcPr>
            <w:tcW w:w="5000" w:type="pct"/>
            <w:gridSpan w:val="10"/>
            <w:tcBorders>
              <w:top w:val="single" w:color="auto" w:sz="4" w:space="0"/>
              <w:left w:val="single" w:color="auto" w:sz="4" w:space="0"/>
              <w:bottom w:val="single" w:color="auto" w:sz="4" w:space="0"/>
              <w:right w:val="single" w:color="auto" w:sz="4" w:space="0"/>
            </w:tcBorders>
          </w:tcPr>
          <w:p w14:paraId="29929A5C">
            <w:pPr>
              <w:snapToGrid w:val="0"/>
              <w:spacing w:before="50" w:after="5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合计金额大写：人民币（￥）</w:t>
            </w:r>
          </w:p>
        </w:tc>
      </w:tr>
      <w:tr w14:paraId="5D300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8" w:hRule="atLeast"/>
          <w:jc w:val="center"/>
        </w:trPr>
        <w:tc>
          <w:tcPr>
            <w:tcW w:w="5000" w:type="pct"/>
            <w:gridSpan w:val="10"/>
            <w:tcBorders>
              <w:top w:val="single" w:color="auto" w:sz="4" w:space="0"/>
              <w:left w:val="single" w:color="auto" w:sz="4" w:space="0"/>
              <w:bottom w:val="single" w:color="auto" w:sz="4" w:space="0"/>
              <w:right w:val="single" w:color="auto" w:sz="4" w:space="0"/>
            </w:tcBorders>
          </w:tcPr>
          <w:p w14:paraId="4AE3D205">
            <w:pPr>
              <w:snapToGrid w:val="0"/>
              <w:spacing w:before="50" w:after="5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交货时间：</w:t>
            </w:r>
          </w:p>
        </w:tc>
      </w:tr>
    </w:tbl>
    <w:p w14:paraId="5752DB16">
      <w:pPr>
        <w:snapToGrid w:val="0"/>
        <w:jc w:val="left"/>
        <w:rPr>
          <w:rFonts w:asciiTheme="minorEastAsia" w:hAnsiTheme="minorEastAsia" w:eastAsiaTheme="minorEastAsia"/>
          <w:color w:val="auto"/>
          <w:sz w:val="24"/>
          <w:highlight w:val="none"/>
        </w:rPr>
      </w:pPr>
    </w:p>
    <w:p w14:paraId="49AFC943">
      <w:pPr>
        <w:snapToGrid w:val="0"/>
        <w:jc w:val="left"/>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两种耗材3年总报价（本报价仅用于评标）</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64"/>
        <w:gridCol w:w="1114"/>
        <w:gridCol w:w="924"/>
        <w:gridCol w:w="788"/>
        <w:gridCol w:w="657"/>
        <w:gridCol w:w="790"/>
        <w:gridCol w:w="920"/>
        <w:gridCol w:w="920"/>
        <w:gridCol w:w="1482"/>
        <w:gridCol w:w="556"/>
      </w:tblGrid>
      <w:tr w14:paraId="3BDAB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4629A98C">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序号</w:t>
            </w:r>
          </w:p>
        </w:tc>
        <w:tc>
          <w:tcPr>
            <w:tcW w:w="639" w:type="pct"/>
            <w:tcBorders>
              <w:top w:val="single" w:color="auto" w:sz="4" w:space="0"/>
              <w:left w:val="single" w:color="auto" w:sz="4" w:space="0"/>
              <w:bottom w:val="single" w:color="auto" w:sz="4" w:space="0"/>
              <w:right w:val="single" w:color="auto" w:sz="4" w:space="0"/>
            </w:tcBorders>
            <w:vAlign w:val="center"/>
          </w:tcPr>
          <w:p w14:paraId="4F8C876C">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标的的名称</w:t>
            </w:r>
          </w:p>
        </w:tc>
        <w:tc>
          <w:tcPr>
            <w:tcW w:w="530" w:type="pct"/>
            <w:tcBorders>
              <w:top w:val="single" w:color="auto" w:sz="4" w:space="0"/>
              <w:left w:val="single" w:color="auto" w:sz="4" w:space="0"/>
              <w:bottom w:val="single" w:color="auto" w:sz="4" w:space="0"/>
              <w:right w:val="single" w:color="auto" w:sz="4" w:space="0"/>
            </w:tcBorders>
            <w:vAlign w:val="center"/>
          </w:tcPr>
          <w:p w14:paraId="40AA7729">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品牌</w:t>
            </w:r>
          </w:p>
        </w:tc>
        <w:tc>
          <w:tcPr>
            <w:tcW w:w="452" w:type="pct"/>
            <w:tcBorders>
              <w:top w:val="single" w:color="auto" w:sz="4" w:space="0"/>
              <w:left w:val="single" w:color="auto" w:sz="4" w:space="0"/>
              <w:bottom w:val="single" w:color="auto" w:sz="4" w:space="0"/>
              <w:right w:val="single" w:color="auto" w:sz="4" w:space="0"/>
            </w:tcBorders>
            <w:vAlign w:val="center"/>
          </w:tcPr>
          <w:p w14:paraId="0B98BD3C">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规格型号</w:t>
            </w:r>
          </w:p>
        </w:tc>
        <w:tc>
          <w:tcPr>
            <w:tcW w:w="377" w:type="pct"/>
            <w:tcBorders>
              <w:top w:val="single" w:color="auto" w:sz="4" w:space="0"/>
              <w:left w:val="single" w:color="auto" w:sz="4" w:space="0"/>
              <w:bottom w:val="single" w:color="auto" w:sz="4" w:space="0"/>
              <w:right w:val="single" w:color="auto" w:sz="4" w:space="0"/>
            </w:tcBorders>
            <w:vAlign w:val="center"/>
          </w:tcPr>
          <w:p w14:paraId="0801E124">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生产厂家</w:t>
            </w:r>
          </w:p>
        </w:tc>
        <w:tc>
          <w:tcPr>
            <w:tcW w:w="453" w:type="pct"/>
            <w:tcBorders>
              <w:top w:val="single" w:color="auto" w:sz="4" w:space="0"/>
              <w:left w:val="single" w:color="auto" w:sz="4" w:space="0"/>
              <w:bottom w:val="single" w:color="auto" w:sz="4" w:space="0"/>
              <w:right w:val="single" w:color="auto" w:sz="4" w:space="0"/>
            </w:tcBorders>
            <w:vAlign w:val="center"/>
          </w:tcPr>
          <w:p w14:paraId="49CCE40A">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国别</w:t>
            </w:r>
          </w:p>
        </w:tc>
        <w:tc>
          <w:tcPr>
            <w:tcW w:w="528" w:type="pct"/>
            <w:tcBorders>
              <w:top w:val="single" w:color="auto" w:sz="4" w:space="0"/>
              <w:left w:val="single" w:color="auto" w:sz="4" w:space="0"/>
              <w:bottom w:val="single" w:color="auto" w:sz="4" w:space="0"/>
              <w:right w:val="single" w:color="auto" w:sz="4" w:space="0"/>
            </w:tcBorders>
            <w:vAlign w:val="center"/>
          </w:tcPr>
          <w:p w14:paraId="6F23752F">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数量及单位①</w:t>
            </w:r>
          </w:p>
        </w:tc>
        <w:tc>
          <w:tcPr>
            <w:tcW w:w="528" w:type="pct"/>
            <w:tcBorders>
              <w:top w:val="single" w:color="auto" w:sz="4" w:space="0"/>
              <w:left w:val="single" w:color="auto" w:sz="4" w:space="0"/>
              <w:bottom w:val="single" w:color="auto" w:sz="4" w:space="0"/>
              <w:right w:val="single" w:color="auto" w:sz="4" w:space="0"/>
            </w:tcBorders>
            <w:vAlign w:val="center"/>
          </w:tcPr>
          <w:p w14:paraId="221376B8">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单价</w:t>
            </w:r>
          </w:p>
          <w:p w14:paraId="2F02F773">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②</w:t>
            </w:r>
          </w:p>
        </w:tc>
        <w:tc>
          <w:tcPr>
            <w:tcW w:w="850" w:type="pct"/>
            <w:tcBorders>
              <w:top w:val="single" w:color="auto" w:sz="4" w:space="0"/>
              <w:left w:val="single" w:color="auto" w:sz="4" w:space="0"/>
              <w:bottom w:val="single" w:color="auto" w:sz="4" w:space="0"/>
              <w:right w:val="single" w:color="auto" w:sz="4" w:space="0"/>
            </w:tcBorders>
            <w:vAlign w:val="center"/>
          </w:tcPr>
          <w:p w14:paraId="020D90E7">
            <w:pPr>
              <w:snapToGrid w:val="0"/>
              <w:spacing w:before="50" w:after="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投标报价</w:t>
            </w:r>
          </w:p>
          <w:p w14:paraId="51191B56">
            <w:pPr>
              <w:snapToGrid w:val="0"/>
              <w:spacing w:before="50" w:after="50"/>
              <w:jc w:val="cente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③</w:t>
            </w:r>
            <w:r>
              <w:rPr>
                <w:rFonts w:hint="eastAsia" w:asciiTheme="minorEastAsia" w:hAnsiTheme="minorEastAsia" w:eastAsiaTheme="minorEastAsia"/>
                <w:b/>
                <w:color w:val="auto"/>
                <w:szCs w:val="21"/>
                <w:highlight w:val="none"/>
              </w:rPr>
              <w:t>=①×②×3年</w:t>
            </w:r>
          </w:p>
        </w:tc>
        <w:tc>
          <w:tcPr>
            <w:tcW w:w="314" w:type="pct"/>
            <w:tcBorders>
              <w:top w:val="single" w:color="auto" w:sz="4" w:space="0"/>
              <w:left w:val="single" w:color="auto" w:sz="4" w:space="0"/>
              <w:bottom w:val="single" w:color="auto" w:sz="4" w:space="0"/>
              <w:right w:val="single" w:color="auto" w:sz="4" w:space="0"/>
            </w:tcBorders>
            <w:vAlign w:val="center"/>
          </w:tcPr>
          <w:p w14:paraId="18F87137">
            <w:pPr>
              <w:snapToGrid w:val="0"/>
              <w:spacing w:before="50" w:after="50"/>
              <w:jc w:val="center"/>
              <w:rPr>
                <w:rFonts w:hint="eastAsia"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lang w:val="en-US" w:eastAsia="zh-CN"/>
              </w:rPr>
              <w:t>备注</w:t>
            </w:r>
          </w:p>
        </w:tc>
      </w:tr>
      <w:tr w14:paraId="1E2E9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84"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79CB0B5F">
            <w:pPr>
              <w:snapToGrid w:val="0"/>
              <w:spacing w:before="50" w:after="50"/>
              <w:jc w:val="center"/>
              <w:rPr>
                <w:rFonts w:hint="default"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rPr>
              <w:t>1</w:t>
            </w:r>
            <w:r>
              <w:rPr>
                <w:rFonts w:hint="eastAsia" w:asciiTheme="minorEastAsia" w:hAnsiTheme="minorEastAsia" w:eastAsiaTheme="minorEastAsia"/>
                <w:b/>
                <w:color w:val="auto"/>
                <w:szCs w:val="21"/>
                <w:highlight w:val="none"/>
                <w:lang w:val="en-US" w:eastAsia="zh-CN"/>
              </w:rPr>
              <w:t>-1</w:t>
            </w:r>
          </w:p>
        </w:tc>
        <w:tc>
          <w:tcPr>
            <w:tcW w:w="639" w:type="pct"/>
            <w:tcBorders>
              <w:top w:val="single" w:color="auto" w:sz="4" w:space="0"/>
              <w:left w:val="single" w:color="auto" w:sz="4" w:space="0"/>
              <w:bottom w:val="single" w:color="auto" w:sz="4" w:space="0"/>
              <w:right w:val="single" w:color="auto" w:sz="4" w:space="0"/>
            </w:tcBorders>
            <w:vAlign w:val="center"/>
          </w:tcPr>
          <w:p w14:paraId="141C8DF4">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贮药器（胰岛素泵专机专用耗材）</w:t>
            </w:r>
          </w:p>
        </w:tc>
        <w:tc>
          <w:tcPr>
            <w:tcW w:w="530" w:type="pct"/>
            <w:tcBorders>
              <w:top w:val="single" w:color="auto" w:sz="4" w:space="0"/>
              <w:left w:val="single" w:color="auto" w:sz="4" w:space="0"/>
              <w:bottom w:val="single" w:color="auto" w:sz="4" w:space="0"/>
              <w:right w:val="single" w:color="auto" w:sz="4" w:space="0"/>
            </w:tcBorders>
            <w:vAlign w:val="center"/>
          </w:tcPr>
          <w:p w14:paraId="563FEE4C">
            <w:pPr>
              <w:snapToGrid w:val="0"/>
              <w:spacing w:before="50" w:after="50"/>
              <w:rPr>
                <w:rFonts w:asciiTheme="minorEastAsia" w:hAnsiTheme="minorEastAsia" w:eastAsiaTheme="minorEastAsia"/>
                <w:color w:val="auto"/>
                <w:szCs w:val="21"/>
                <w:highlight w:val="none"/>
              </w:rPr>
            </w:pPr>
          </w:p>
        </w:tc>
        <w:tc>
          <w:tcPr>
            <w:tcW w:w="452" w:type="pct"/>
            <w:tcBorders>
              <w:top w:val="single" w:color="auto" w:sz="4" w:space="0"/>
              <w:left w:val="single" w:color="auto" w:sz="4" w:space="0"/>
              <w:bottom w:val="single" w:color="auto" w:sz="4" w:space="0"/>
              <w:right w:val="single" w:color="auto" w:sz="4" w:space="0"/>
            </w:tcBorders>
          </w:tcPr>
          <w:p w14:paraId="264AE252">
            <w:pPr>
              <w:snapToGrid w:val="0"/>
              <w:spacing w:before="50" w:after="50"/>
              <w:rPr>
                <w:rFonts w:asciiTheme="minorEastAsia" w:hAnsiTheme="minorEastAsia" w:eastAsiaTheme="minorEastAsia"/>
                <w:color w:val="auto"/>
                <w:szCs w:val="21"/>
                <w:highlight w:val="none"/>
              </w:rPr>
            </w:pPr>
          </w:p>
        </w:tc>
        <w:tc>
          <w:tcPr>
            <w:tcW w:w="377" w:type="pct"/>
            <w:tcBorders>
              <w:top w:val="single" w:color="auto" w:sz="4" w:space="0"/>
              <w:left w:val="single" w:color="auto" w:sz="4" w:space="0"/>
              <w:bottom w:val="single" w:color="auto" w:sz="4" w:space="0"/>
              <w:right w:val="single" w:color="auto" w:sz="4" w:space="0"/>
            </w:tcBorders>
          </w:tcPr>
          <w:p w14:paraId="08E2B532">
            <w:pPr>
              <w:snapToGrid w:val="0"/>
              <w:spacing w:before="50" w:after="50"/>
              <w:rPr>
                <w:rFonts w:asciiTheme="minorEastAsia" w:hAnsiTheme="minorEastAsia" w:eastAsiaTheme="minorEastAsia"/>
                <w:color w:val="auto"/>
                <w:szCs w:val="21"/>
                <w:highlight w:val="none"/>
              </w:rPr>
            </w:pPr>
          </w:p>
        </w:tc>
        <w:tc>
          <w:tcPr>
            <w:tcW w:w="453" w:type="pct"/>
            <w:tcBorders>
              <w:top w:val="single" w:color="auto" w:sz="4" w:space="0"/>
              <w:left w:val="single" w:color="auto" w:sz="4" w:space="0"/>
              <w:bottom w:val="single" w:color="auto" w:sz="4" w:space="0"/>
              <w:right w:val="single" w:color="auto" w:sz="4" w:space="0"/>
            </w:tcBorders>
          </w:tcPr>
          <w:p w14:paraId="5BBE59E6">
            <w:pPr>
              <w:snapToGrid w:val="0"/>
              <w:spacing w:before="50" w:after="50"/>
              <w:rPr>
                <w:rFonts w:asciiTheme="minorEastAsia" w:hAnsiTheme="minorEastAsia" w:eastAsiaTheme="minorEastAsia"/>
                <w:color w:val="auto"/>
                <w:szCs w:val="21"/>
                <w:highlight w:val="none"/>
              </w:rPr>
            </w:pPr>
          </w:p>
        </w:tc>
        <w:tc>
          <w:tcPr>
            <w:tcW w:w="528" w:type="pct"/>
            <w:tcBorders>
              <w:top w:val="single" w:color="auto" w:sz="4" w:space="0"/>
              <w:left w:val="single" w:color="auto" w:sz="4" w:space="0"/>
              <w:bottom w:val="single" w:color="auto" w:sz="4" w:space="0"/>
              <w:right w:val="single" w:color="auto" w:sz="4" w:space="0"/>
            </w:tcBorders>
            <w:vAlign w:val="center"/>
          </w:tcPr>
          <w:p w14:paraId="351117CC">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2000支</w:t>
            </w:r>
          </w:p>
        </w:tc>
        <w:tc>
          <w:tcPr>
            <w:tcW w:w="528" w:type="pct"/>
            <w:tcBorders>
              <w:top w:val="single" w:color="auto" w:sz="4" w:space="0"/>
              <w:left w:val="single" w:color="auto" w:sz="4" w:space="0"/>
              <w:bottom w:val="single" w:color="auto" w:sz="4" w:space="0"/>
              <w:right w:val="single" w:color="auto" w:sz="4" w:space="0"/>
            </w:tcBorders>
            <w:vAlign w:val="center"/>
          </w:tcPr>
          <w:p w14:paraId="4918D2C2">
            <w:pPr>
              <w:snapToGrid w:val="0"/>
              <w:spacing w:before="50" w:after="50"/>
              <w:rPr>
                <w:rFonts w:asciiTheme="minorEastAsia" w:hAnsiTheme="minorEastAsia" w:eastAsiaTheme="minorEastAsia"/>
                <w:color w:val="auto"/>
                <w:szCs w:val="21"/>
                <w:highlight w:val="none"/>
              </w:rPr>
            </w:pPr>
          </w:p>
        </w:tc>
        <w:tc>
          <w:tcPr>
            <w:tcW w:w="850" w:type="pct"/>
            <w:tcBorders>
              <w:top w:val="single" w:color="auto" w:sz="4" w:space="0"/>
              <w:left w:val="single" w:color="auto" w:sz="4" w:space="0"/>
              <w:bottom w:val="single" w:color="auto" w:sz="4" w:space="0"/>
              <w:right w:val="single" w:color="auto" w:sz="4" w:space="0"/>
            </w:tcBorders>
            <w:vAlign w:val="center"/>
          </w:tcPr>
          <w:p w14:paraId="5AD0D389">
            <w:pPr>
              <w:snapToGrid w:val="0"/>
              <w:spacing w:before="50" w:after="50"/>
              <w:rPr>
                <w:rFonts w:asciiTheme="minorEastAsia" w:hAnsiTheme="minorEastAsia" w:eastAsiaTheme="minorEastAsia"/>
                <w:color w:val="auto"/>
                <w:szCs w:val="21"/>
                <w:highlight w:val="none"/>
              </w:rPr>
            </w:pPr>
          </w:p>
        </w:tc>
        <w:tc>
          <w:tcPr>
            <w:tcW w:w="314" w:type="pct"/>
            <w:tcBorders>
              <w:top w:val="single" w:color="auto" w:sz="4" w:space="0"/>
              <w:left w:val="single" w:color="auto" w:sz="4" w:space="0"/>
              <w:bottom w:val="single" w:color="auto" w:sz="4" w:space="0"/>
              <w:right w:val="single" w:color="auto" w:sz="4" w:space="0"/>
            </w:tcBorders>
            <w:vAlign w:val="center"/>
          </w:tcPr>
          <w:p w14:paraId="7207C519">
            <w:pPr>
              <w:snapToGrid w:val="0"/>
              <w:spacing w:before="50" w:after="50"/>
              <w:rPr>
                <w:rFonts w:asciiTheme="minorEastAsia" w:hAnsiTheme="minorEastAsia" w:eastAsiaTheme="minorEastAsia"/>
                <w:color w:val="auto"/>
                <w:szCs w:val="21"/>
                <w:highlight w:val="none"/>
              </w:rPr>
            </w:pPr>
          </w:p>
        </w:tc>
      </w:tr>
      <w:tr w14:paraId="116BC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84"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7822C06D">
            <w:pPr>
              <w:snapToGrid w:val="0"/>
              <w:spacing w:before="50" w:after="50"/>
              <w:jc w:val="center"/>
              <w:rPr>
                <w:rFonts w:hint="default"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rPr>
              <w:t>1</w:t>
            </w:r>
            <w:r>
              <w:rPr>
                <w:rFonts w:hint="eastAsia" w:asciiTheme="minorEastAsia" w:hAnsiTheme="minorEastAsia" w:eastAsiaTheme="minorEastAsia"/>
                <w:b/>
                <w:color w:val="auto"/>
                <w:szCs w:val="21"/>
                <w:highlight w:val="none"/>
                <w:lang w:val="en-US" w:eastAsia="zh-CN"/>
              </w:rPr>
              <w:t>-2</w:t>
            </w:r>
          </w:p>
        </w:tc>
        <w:tc>
          <w:tcPr>
            <w:tcW w:w="639" w:type="pct"/>
            <w:tcBorders>
              <w:top w:val="single" w:color="auto" w:sz="4" w:space="0"/>
              <w:left w:val="single" w:color="auto" w:sz="4" w:space="0"/>
              <w:bottom w:val="single" w:color="auto" w:sz="4" w:space="0"/>
              <w:right w:val="single" w:color="auto" w:sz="4" w:space="0"/>
            </w:tcBorders>
            <w:vAlign w:val="center"/>
          </w:tcPr>
          <w:p w14:paraId="39F7FEE0">
            <w:pPr>
              <w:snapToGrid w:val="0"/>
              <w:spacing w:before="50" w:after="50"/>
              <w:jc w:val="center"/>
              <w:rPr>
                <w:rFonts w:asciiTheme="minorEastAsia" w:hAnsiTheme="minorEastAsia" w:eastAsiaTheme="minorEastAsia"/>
                <w:b/>
                <w:color w:val="auto"/>
                <w:szCs w:val="21"/>
                <w:highlight w:val="none"/>
              </w:rPr>
            </w:pPr>
            <w:r>
              <w:rPr>
                <w:rFonts w:hint="eastAsia" w:cs="Arial" w:asciiTheme="minorEastAsia" w:hAnsiTheme="minorEastAsia" w:eastAsiaTheme="minorEastAsia"/>
                <w:color w:val="auto"/>
                <w:szCs w:val="21"/>
                <w:highlight w:val="none"/>
              </w:rPr>
              <w:t>输注器（胰岛素泵专机专用耗材）</w:t>
            </w:r>
          </w:p>
        </w:tc>
        <w:tc>
          <w:tcPr>
            <w:tcW w:w="530" w:type="pct"/>
            <w:tcBorders>
              <w:top w:val="single" w:color="auto" w:sz="4" w:space="0"/>
              <w:left w:val="single" w:color="auto" w:sz="4" w:space="0"/>
              <w:bottom w:val="single" w:color="auto" w:sz="4" w:space="0"/>
              <w:right w:val="single" w:color="auto" w:sz="4" w:space="0"/>
            </w:tcBorders>
            <w:vAlign w:val="center"/>
          </w:tcPr>
          <w:p w14:paraId="634B83C9">
            <w:pPr>
              <w:snapToGrid w:val="0"/>
              <w:spacing w:before="50" w:after="50"/>
              <w:rPr>
                <w:rFonts w:asciiTheme="minorEastAsia" w:hAnsiTheme="minorEastAsia" w:eastAsiaTheme="minorEastAsia"/>
                <w:color w:val="auto"/>
                <w:szCs w:val="21"/>
                <w:highlight w:val="none"/>
              </w:rPr>
            </w:pPr>
          </w:p>
        </w:tc>
        <w:tc>
          <w:tcPr>
            <w:tcW w:w="452" w:type="pct"/>
            <w:tcBorders>
              <w:top w:val="single" w:color="auto" w:sz="4" w:space="0"/>
              <w:left w:val="single" w:color="auto" w:sz="4" w:space="0"/>
              <w:bottom w:val="single" w:color="auto" w:sz="4" w:space="0"/>
              <w:right w:val="single" w:color="auto" w:sz="4" w:space="0"/>
            </w:tcBorders>
          </w:tcPr>
          <w:p w14:paraId="3B2A1CDE">
            <w:pPr>
              <w:snapToGrid w:val="0"/>
              <w:spacing w:before="50" w:after="50"/>
              <w:rPr>
                <w:rFonts w:asciiTheme="minorEastAsia" w:hAnsiTheme="minorEastAsia" w:eastAsiaTheme="minorEastAsia"/>
                <w:color w:val="auto"/>
                <w:szCs w:val="21"/>
                <w:highlight w:val="none"/>
              </w:rPr>
            </w:pPr>
          </w:p>
        </w:tc>
        <w:tc>
          <w:tcPr>
            <w:tcW w:w="377" w:type="pct"/>
            <w:tcBorders>
              <w:top w:val="single" w:color="auto" w:sz="4" w:space="0"/>
              <w:left w:val="single" w:color="auto" w:sz="4" w:space="0"/>
              <w:bottom w:val="single" w:color="auto" w:sz="4" w:space="0"/>
              <w:right w:val="single" w:color="auto" w:sz="4" w:space="0"/>
            </w:tcBorders>
          </w:tcPr>
          <w:p w14:paraId="5B089F42">
            <w:pPr>
              <w:snapToGrid w:val="0"/>
              <w:spacing w:before="50" w:after="50"/>
              <w:rPr>
                <w:rFonts w:asciiTheme="minorEastAsia" w:hAnsiTheme="minorEastAsia" w:eastAsiaTheme="minorEastAsia"/>
                <w:color w:val="auto"/>
                <w:szCs w:val="21"/>
                <w:highlight w:val="none"/>
              </w:rPr>
            </w:pPr>
          </w:p>
        </w:tc>
        <w:tc>
          <w:tcPr>
            <w:tcW w:w="453" w:type="pct"/>
            <w:tcBorders>
              <w:top w:val="single" w:color="auto" w:sz="4" w:space="0"/>
              <w:left w:val="single" w:color="auto" w:sz="4" w:space="0"/>
              <w:bottom w:val="single" w:color="auto" w:sz="4" w:space="0"/>
              <w:right w:val="single" w:color="auto" w:sz="4" w:space="0"/>
            </w:tcBorders>
          </w:tcPr>
          <w:p w14:paraId="75CC98AC">
            <w:pPr>
              <w:snapToGrid w:val="0"/>
              <w:spacing w:before="50" w:after="50"/>
              <w:rPr>
                <w:rFonts w:asciiTheme="minorEastAsia" w:hAnsiTheme="minorEastAsia" w:eastAsiaTheme="minorEastAsia"/>
                <w:color w:val="auto"/>
                <w:szCs w:val="21"/>
                <w:highlight w:val="none"/>
              </w:rPr>
            </w:pPr>
          </w:p>
        </w:tc>
        <w:tc>
          <w:tcPr>
            <w:tcW w:w="528" w:type="pct"/>
            <w:tcBorders>
              <w:top w:val="single" w:color="auto" w:sz="4" w:space="0"/>
              <w:left w:val="single" w:color="auto" w:sz="4" w:space="0"/>
              <w:bottom w:val="single" w:color="auto" w:sz="4" w:space="0"/>
              <w:right w:val="single" w:color="auto" w:sz="4" w:space="0"/>
            </w:tcBorders>
            <w:vAlign w:val="center"/>
          </w:tcPr>
          <w:p w14:paraId="4195D44A">
            <w:pPr>
              <w:snapToGrid w:val="0"/>
              <w:spacing w:before="50" w:after="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2000支</w:t>
            </w:r>
          </w:p>
        </w:tc>
        <w:tc>
          <w:tcPr>
            <w:tcW w:w="528" w:type="pct"/>
            <w:tcBorders>
              <w:top w:val="single" w:color="auto" w:sz="4" w:space="0"/>
              <w:left w:val="single" w:color="auto" w:sz="4" w:space="0"/>
              <w:bottom w:val="single" w:color="auto" w:sz="4" w:space="0"/>
              <w:right w:val="single" w:color="auto" w:sz="4" w:space="0"/>
            </w:tcBorders>
            <w:vAlign w:val="center"/>
          </w:tcPr>
          <w:p w14:paraId="196F5CCD">
            <w:pPr>
              <w:snapToGrid w:val="0"/>
              <w:spacing w:before="50" w:after="50"/>
              <w:rPr>
                <w:rFonts w:asciiTheme="minorEastAsia" w:hAnsiTheme="minorEastAsia" w:eastAsiaTheme="minorEastAsia"/>
                <w:color w:val="auto"/>
                <w:szCs w:val="21"/>
                <w:highlight w:val="none"/>
              </w:rPr>
            </w:pPr>
          </w:p>
        </w:tc>
        <w:tc>
          <w:tcPr>
            <w:tcW w:w="850" w:type="pct"/>
            <w:tcBorders>
              <w:top w:val="single" w:color="auto" w:sz="4" w:space="0"/>
              <w:left w:val="single" w:color="auto" w:sz="4" w:space="0"/>
              <w:bottom w:val="single" w:color="auto" w:sz="4" w:space="0"/>
              <w:right w:val="single" w:color="auto" w:sz="4" w:space="0"/>
            </w:tcBorders>
            <w:vAlign w:val="center"/>
          </w:tcPr>
          <w:p w14:paraId="17D8C8A7">
            <w:pPr>
              <w:snapToGrid w:val="0"/>
              <w:spacing w:before="50" w:after="50"/>
              <w:rPr>
                <w:rFonts w:asciiTheme="minorEastAsia" w:hAnsiTheme="minorEastAsia" w:eastAsiaTheme="minorEastAsia"/>
                <w:color w:val="auto"/>
                <w:szCs w:val="21"/>
                <w:highlight w:val="none"/>
              </w:rPr>
            </w:pPr>
          </w:p>
        </w:tc>
        <w:tc>
          <w:tcPr>
            <w:tcW w:w="314" w:type="pct"/>
            <w:tcBorders>
              <w:top w:val="single" w:color="auto" w:sz="4" w:space="0"/>
              <w:left w:val="single" w:color="auto" w:sz="4" w:space="0"/>
              <w:bottom w:val="single" w:color="auto" w:sz="4" w:space="0"/>
              <w:right w:val="single" w:color="auto" w:sz="4" w:space="0"/>
            </w:tcBorders>
            <w:vAlign w:val="center"/>
          </w:tcPr>
          <w:p w14:paraId="25CC8B09">
            <w:pPr>
              <w:snapToGrid w:val="0"/>
              <w:spacing w:before="50" w:after="50"/>
              <w:rPr>
                <w:rFonts w:asciiTheme="minorEastAsia" w:hAnsiTheme="minorEastAsia" w:eastAsiaTheme="minorEastAsia"/>
                <w:color w:val="auto"/>
                <w:szCs w:val="21"/>
                <w:highlight w:val="none"/>
              </w:rPr>
            </w:pPr>
          </w:p>
        </w:tc>
      </w:tr>
      <w:tr w14:paraId="71B173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2" w:hRule="atLeast"/>
          <w:jc w:val="center"/>
        </w:trPr>
        <w:tc>
          <w:tcPr>
            <w:tcW w:w="5000" w:type="pct"/>
            <w:gridSpan w:val="10"/>
            <w:tcBorders>
              <w:top w:val="single" w:color="auto" w:sz="4" w:space="0"/>
              <w:left w:val="single" w:color="auto" w:sz="4" w:space="0"/>
              <w:bottom w:val="single" w:color="auto" w:sz="4" w:space="0"/>
              <w:right w:val="single" w:color="auto" w:sz="4" w:space="0"/>
            </w:tcBorders>
          </w:tcPr>
          <w:p w14:paraId="456DB768">
            <w:pPr>
              <w:snapToGrid w:val="0"/>
              <w:spacing w:before="50" w:after="50"/>
              <w:rPr>
                <w:rFonts w:hint="eastAsia" w:cs="仿宋_GB2312"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合计金额大写：人民币                                     （￥）</w:t>
            </w:r>
          </w:p>
        </w:tc>
      </w:tr>
    </w:tbl>
    <w:p w14:paraId="7F42D84A">
      <w:pPr>
        <w:snapToGrid w:val="0"/>
        <w:jc w:val="left"/>
        <w:rPr>
          <w:rFonts w:asciiTheme="minorEastAsia" w:hAnsiTheme="minorEastAsia" w:eastAsiaTheme="minorEastAsia"/>
          <w:color w:val="auto"/>
          <w:sz w:val="24"/>
          <w:highlight w:val="none"/>
        </w:rPr>
      </w:pPr>
    </w:p>
    <w:p w14:paraId="73842789">
      <w:pPr>
        <w:snapToGrid w:val="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注: </w:t>
      </w:r>
    </w:p>
    <w:p w14:paraId="1660E6B1">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1.投标人的开标一览表必须加盖投标人电子签章并由</w:t>
      </w:r>
      <w:r>
        <w:rPr>
          <w:rFonts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z w:val="24"/>
          <w:highlight w:val="none"/>
        </w:rPr>
        <w:t>签字或者电子签名，</w:t>
      </w:r>
      <w:r>
        <w:rPr>
          <w:rFonts w:hint="eastAsia" w:asciiTheme="minorEastAsia" w:hAnsiTheme="minorEastAsia" w:eastAsiaTheme="minorEastAsia"/>
          <w:b/>
          <w:color w:val="auto"/>
          <w:sz w:val="24"/>
          <w:highlight w:val="none"/>
        </w:rPr>
        <w:t>否则其投标作无效标处理</w:t>
      </w:r>
      <w:r>
        <w:rPr>
          <w:rFonts w:hint="eastAsia" w:asciiTheme="minorEastAsia" w:hAnsiTheme="minorEastAsia" w:eastAsiaTheme="minorEastAsia"/>
          <w:color w:val="auto"/>
          <w:sz w:val="24"/>
          <w:highlight w:val="none"/>
        </w:rPr>
        <w:t>。</w:t>
      </w:r>
    </w:p>
    <w:p w14:paraId="1C38F0D5">
      <w:pPr>
        <w:snapToGrid w:val="0"/>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2.</w:t>
      </w:r>
      <w:r>
        <w:rPr>
          <w:rFonts w:hint="eastAsia" w:asciiTheme="minorEastAsia" w:hAnsiTheme="minorEastAsia" w:eastAsiaTheme="minorEastAsia"/>
          <w:color w:val="auto"/>
          <w:sz w:val="24"/>
          <w:highlight w:val="none"/>
        </w:rPr>
        <w:t>报价一经涂改，应在涂改处加盖投标人公章或者由法定代表人或者委托代理人签字（或者电子签名）或者盖章</w:t>
      </w:r>
      <w:r>
        <w:rPr>
          <w:rFonts w:hint="eastAsia" w:asciiTheme="minorEastAsia" w:hAnsiTheme="minorEastAsia" w:eastAsiaTheme="minorEastAsia"/>
          <w:b/>
          <w:color w:val="auto"/>
          <w:sz w:val="24"/>
          <w:highlight w:val="none"/>
        </w:rPr>
        <w:t>，否则其投标作无效标处理。</w:t>
      </w:r>
    </w:p>
    <w:p w14:paraId="5BC37CB4">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3.招标文件中列明采购专用耗材的，应按招标文件规定的耗材量或者按耗材的常规试用量提供报价。</w:t>
      </w:r>
    </w:p>
    <w:p w14:paraId="67BA8106">
      <w:pPr>
        <w:snapToGrid w:val="0"/>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4.如为联合体投标，“投标人名称”处必须列明联合体各方名称，并标注联合体牵头人名称，</w:t>
      </w:r>
      <w:r>
        <w:rPr>
          <w:rFonts w:hint="eastAsia" w:asciiTheme="minorEastAsia" w:hAnsiTheme="minorEastAsia" w:eastAsiaTheme="minorEastAsia"/>
          <w:b/>
          <w:color w:val="auto"/>
          <w:sz w:val="24"/>
          <w:highlight w:val="none"/>
        </w:rPr>
        <w:t>否则其投标作无效标处理。</w:t>
      </w:r>
    </w:p>
    <w:p w14:paraId="0A7DE69F">
      <w:pPr>
        <w:snapToGrid w:val="0"/>
        <w:ind w:firstLine="456" w:firstLineChars="200"/>
        <w:jc w:val="left"/>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5.如为联合体投标，盖章处须加盖联合体牵头人电子签章，</w:t>
      </w:r>
      <w:r>
        <w:rPr>
          <w:rFonts w:hint="eastAsia" w:asciiTheme="minorEastAsia" w:hAnsiTheme="minorEastAsia" w:eastAsiaTheme="minorEastAsia"/>
          <w:b/>
          <w:color w:val="auto"/>
          <w:spacing w:val="-6"/>
          <w:sz w:val="24"/>
          <w:highlight w:val="none"/>
        </w:rPr>
        <w:t>否则其投标作无效标处理。</w:t>
      </w:r>
    </w:p>
    <w:p w14:paraId="7A2AE3A5">
      <w:pPr>
        <w:snapToGrid w:val="0"/>
        <w:ind w:firstLine="480" w:firstLineChars="200"/>
        <w:outlineLvl w:val="2"/>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6.如有多分标，按分标分别提供开标一览表，</w:t>
      </w:r>
      <w:r>
        <w:rPr>
          <w:rFonts w:hint="eastAsia" w:asciiTheme="minorEastAsia" w:hAnsiTheme="minorEastAsia" w:eastAsiaTheme="minorEastAsia"/>
          <w:b/>
          <w:color w:val="auto"/>
          <w:sz w:val="24"/>
          <w:highlight w:val="none"/>
        </w:rPr>
        <w:t>否则投标无效。</w:t>
      </w:r>
    </w:p>
    <w:p w14:paraId="4DCF8743">
      <w:pPr>
        <w:pStyle w:val="12"/>
        <w:rPr>
          <w:rFonts w:asciiTheme="minorEastAsia" w:hAnsiTheme="minorEastAsia" w:eastAsiaTheme="minorEastAsia"/>
          <w:color w:val="auto"/>
          <w:highlight w:val="none"/>
        </w:rPr>
      </w:pPr>
    </w:p>
    <w:p w14:paraId="0A2D3E6C">
      <w:pPr>
        <w:pStyle w:val="12"/>
        <w:spacing w:line="240" w:lineRule="auto"/>
        <w:rPr>
          <w:rFonts w:asciiTheme="minorEastAsia" w:hAnsiTheme="minorEastAsia" w:eastAsiaTheme="minorEastAsia"/>
          <w:color w:val="auto"/>
          <w:highlight w:val="none"/>
        </w:rPr>
      </w:pPr>
    </w:p>
    <w:p w14:paraId="6D862664">
      <w:pPr>
        <w:snapToGrid w:val="0"/>
        <w:ind w:left="-2" w:leftChars="-1" w:right="-817" w:rightChars="-38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法定代表人或者委托代理人（签字/电子签名）： </w:t>
      </w:r>
    </w:p>
    <w:p w14:paraId="550EEE14">
      <w:pPr>
        <w:snapToGrid w:val="0"/>
        <w:ind w:left="-3" w:leftChars="-15" w:right="-817" w:rightChars="-389" w:hanging="28" w:hangingChars="1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2DD8E506">
      <w:pPr>
        <w:snapToGrid w:val="0"/>
        <w:ind w:left="-3" w:leftChars="-15" w:right="-817" w:rightChars="-389" w:hanging="28" w:hangingChars="12"/>
        <w:rPr>
          <w:rFonts w:asciiTheme="minorEastAsia" w:hAnsiTheme="minorEastAsia" w:eastAsiaTheme="minorEastAsia"/>
          <w:color w:val="auto"/>
          <w:sz w:val="24"/>
          <w:highlight w:val="none"/>
        </w:rPr>
        <w:sectPr>
          <w:footerReference r:id="rId15" w:type="first"/>
          <w:headerReference r:id="rId12" w:type="default"/>
          <w:footerReference r:id="rId13" w:type="default"/>
          <w:footerReference r:id="rId14" w:type="even"/>
          <w:pgSz w:w="11906" w:h="16838"/>
          <w:pgMar w:top="1701" w:right="1701" w:bottom="1701" w:left="1701" w:header="851" w:footer="992" w:gutter="0"/>
          <w:pgNumType w:fmt="decimal"/>
          <w:cols w:space="720" w:num="1"/>
          <w:titlePg/>
          <w:docGrid w:linePitch="312" w:charSpace="0"/>
        </w:sectPr>
      </w:pPr>
      <w:r>
        <w:rPr>
          <w:rFonts w:hint="eastAsia" w:asciiTheme="minorEastAsia" w:hAnsiTheme="minorEastAsia" w:eastAsiaTheme="minorEastAsia"/>
          <w:color w:val="auto"/>
          <w:sz w:val="24"/>
          <w:highlight w:val="none"/>
        </w:rPr>
        <w:t xml:space="preserve">                                  日期：    年   月   日</w:t>
      </w:r>
    </w:p>
    <w:p w14:paraId="6002A102">
      <w:pPr>
        <w:pStyle w:val="16"/>
        <w:rPr>
          <w:color w:val="auto"/>
          <w:highlight w:val="none"/>
        </w:rPr>
      </w:pPr>
    </w:p>
    <w:bookmarkEnd w:id="137"/>
    <w:bookmarkEnd w:id="138"/>
    <w:p w14:paraId="3C44B5DF">
      <w:pPr>
        <w:outlineLvl w:val="1"/>
        <w:rPr>
          <w:rFonts w:asciiTheme="minorEastAsia" w:hAnsiTheme="minorEastAsia" w:eastAsiaTheme="minorEastAsia"/>
          <w:b/>
          <w:color w:val="auto"/>
          <w:sz w:val="28"/>
          <w:szCs w:val="28"/>
          <w:highlight w:val="none"/>
        </w:rPr>
      </w:pPr>
      <w:bookmarkStart w:id="139" w:name="_Toc19686837"/>
      <w:bookmarkEnd w:id="139"/>
      <w:r>
        <w:rPr>
          <w:rFonts w:hint="eastAsia" w:asciiTheme="minorEastAsia" w:hAnsiTheme="minorEastAsia" w:eastAsiaTheme="minorEastAsia"/>
          <w:b/>
          <w:color w:val="auto"/>
          <w:sz w:val="28"/>
          <w:szCs w:val="28"/>
          <w:highlight w:val="none"/>
        </w:rPr>
        <w:t>二、资格证明文件格式</w:t>
      </w:r>
    </w:p>
    <w:p w14:paraId="082CB8BE">
      <w:pPr>
        <w:numPr>
          <w:ilvl w:val="2"/>
          <w:numId w:val="5"/>
        </w:numPr>
        <w:snapToGrid w:val="0"/>
        <w:spacing w:beforeLines="50" w:after="50" w:line="360" w:lineRule="auto"/>
        <w:ind w:left="0" w:firstLine="0"/>
        <w:jc w:val="left"/>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 xml:space="preserve">资格证明文件封面格式： </w:t>
      </w:r>
    </w:p>
    <w:p w14:paraId="12D2E072">
      <w:pPr>
        <w:snapToGrid w:val="0"/>
        <w:spacing w:beforeLines="50" w:after="50"/>
        <w:jc w:val="center"/>
        <w:rPr>
          <w:rFonts w:asciiTheme="minorEastAsia" w:hAnsiTheme="minorEastAsia" w:eastAsiaTheme="minorEastAsia"/>
          <w:bCs/>
          <w:color w:val="auto"/>
          <w:sz w:val="48"/>
          <w:szCs w:val="48"/>
          <w:highlight w:val="none"/>
        </w:rPr>
      </w:pPr>
    </w:p>
    <w:p w14:paraId="36B171A3">
      <w:pPr>
        <w:snapToGrid w:val="0"/>
        <w:spacing w:beforeLines="50" w:after="50"/>
        <w:jc w:val="center"/>
        <w:rPr>
          <w:rFonts w:asciiTheme="minorEastAsia" w:hAnsiTheme="minorEastAsia" w:eastAsiaTheme="minorEastAsia"/>
          <w:bCs/>
          <w:color w:val="auto"/>
          <w:sz w:val="48"/>
          <w:szCs w:val="48"/>
          <w:highlight w:val="none"/>
        </w:rPr>
      </w:pPr>
      <w:r>
        <w:rPr>
          <w:rFonts w:hint="eastAsia" w:asciiTheme="minorEastAsia" w:hAnsiTheme="minorEastAsia" w:eastAsiaTheme="minorEastAsia"/>
          <w:bCs/>
          <w:color w:val="auto"/>
          <w:sz w:val="48"/>
          <w:szCs w:val="48"/>
          <w:highlight w:val="none"/>
        </w:rPr>
        <w:t>电子投标文件</w:t>
      </w:r>
    </w:p>
    <w:p w14:paraId="7938580A">
      <w:pPr>
        <w:pStyle w:val="12"/>
        <w:rPr>
          <w:rFonts w:asciiTheme="minorEastAsia" w:hAnsiTheme="minorEastAsia" w:eastAsiaTheme="minorEastAsia"/>
          <w:color w:val="auto"/>
          <w:highlight w:val="none"/>
        </w:rPr>
      </w:pPr>
    </w:p>
    <w:p w14:paraId="1858A7B5">
      <w:pPr>
        <w:snapToGrid w:val="0"/>
        <w:spacing w:beforeLines="50" w:after="50"/>
        <w:jc w:val="center"/>
        <w:outlineLvl w:val="3"/>
        <w:rPr>
          <w:rFonts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32"/>
          <w:szCs w:val="32"/>
          <w:highlight w:val="none"/>
        </w:rPr>
        <w:t>资格证明文件</w:t>
      </w:r>
    </w:p>
    <w:p w14:paraId="648EF1EB">
      <w:pPr>
        <w:snapToGrid w:val="0"/>
        <w:spacing w:beforeLines="50" w:after="50"/>
        <w:rPr>
          <w:rFonts w:asciiTheme="minorEastAsia" w:hAnsiTheme="minorEastAsia" w:eastAsiaTheme="minorEastAsia"/>
          <w:bCs/>
          <w:color w:val="auto"/>
          <w:sz w:val="24"/>
          <w:szCs w:val="20"/>
          <w:highlight w:val="none"/>
        </w:rPr>
      </w:pPr>
    </w:p>
    <w:p w14:paraId="09B6306C">
      <w:pPr>
        <w:snapToGrid w:val="0"/>
        <w:spacing w:beforeLines="50" w:after="50"/>
        <w:rPr>
          <w:rFonts w:asciiTheme="minorEastAsia" w:hAnsiTheme="minorEastAsia" w:eastAsiaTheme="minorEastAsia"/>
          <w:bCs/>
          <w:color w:val="auto"/>
          <w:sz w:val="24"/>
          <w:szCs w:val="20"/>
          <w:highlight w:val="none"/>
        </w:rPr>
      </w:pPr>
    </w:p>
    <w:p w14:paraId="658C1DF6">
      <w:pPr>
        <w:snapToGrid w:val="0"/>
        <w:spacing w:beforeLines="50" w:after="50"/>
        <w:rPr>
          <w:rFonts w:asciiTheme="minorEastAsia" w:hAnsiTheme="minorEastAsia" w:eastAsiaTheme="minorEastAsia"/>
          <w:bCs/>
          <w:color w:val="auto"/>
          <w:sz w:val="24"/>
          <w:szCs w:val="20"/>
          <w:highlight w:val="none"/>
        </w:rPr>
      </w:pPr>
    </w:p>
    <w:p w14:paraId="5B4C38DC">
      <w:pPr>
        <w:snapToGrid w:val="0"/>
        <w:spacing w:beforeLines="50" w:after="50"/>
        <w:rPr>
          <w:rFonts w:asciiTheme="minorEastAsia" w:hAnsiTheme="minorEastAsia" w:eastAsiaTheme="minorEastAsia"/>
          <w:bCs/>
          <w:color w:val="auto"/>
          <w:sz w:val="24"/>
          <w:szCs w:val="20"/>
          <w:highlight w:val="none"/>
        </w:rPr>
      </w:pPr>
    </w:p>
    <w:p w14:paraId="3928F842">
      <w:pPr>
        <w:snapToGrid w:val="0"/>
        <w:spacing w:beforeLines="50" w:after="50"/>
        <w:rPr>
          <w:rFonts w:asciiTheme="minorEastAsia" w:hAnsiTheme="minorEastAsia" w:eastAsiaTheme="minorEastAsia"/>
          <w:bCs/>
          <w:color w:val="auto"/>
          <w:sz w:val="24"/>
          <w:szCs w:val="20"/>
          <w:highlight w:val="none"/>
        </w:rPr>
      </w:pPr>
    </w:p>
    <w:p w14:paraId="261A210D">
      <w:pPr>
        <w:snapToGrid w:val="0"/>
        <w:spacing w:beforeLines="50" w:after="50"/>
        <w:ind w:firstLine="540" w:firstLineChars="225"/>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项目名称：</w:t>
      </w:r>
    </w:p>
    <w:p w14:paraId="20C90B20">
      <w:pPr>
        <w:snapToGrid w:val="0"/>
        <w:spacing w:beforeLines="50" w:after="50"/>
        <w:ind w:firstLine="540" w:firstLineChars="225"/>
        <w:rPr>
          <w:rFonts w:asciiTheme="minorEastAsia" w:hAnsiTheme="minorEastAsia" w:eastAsiaTheme="minorEastAsia"/>
          <w:bCs/>
          <w:color w:val="auto"/>
          <w:sz w:val="24"/>
          <w:szCs w:val="20"/>
          <w:highlight w:val="none"/>
        </w:rPr>
      </w:pPr>
    </w:p>
    <w:p w14:paraId="667F5E8F">
      <w:pPr>
        <w:snapToGrid w:val="0"/>
        <w:spacing w:beforeLines="50" w:after="50"/>
        <w:ind w:firstLine="540" w:firstLineChars="225"/>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项目编号：</w:t>
      </w:r>
    </w:p>
    <w:p w14:paraId="0A8A1827">
      <w:pPr>
        <w:snapToGrid w:val="0"/>
        <w:spacing w:beforeLines="50" w:after="50"/>
        <w:ind w:firstLine="540" w:firstLineChars="225"/>
        <w:rPr>
          <w:rFonts w:asciiTheme="minorEastAsia" w:hAnsiTheme="minorEastAsia" w:eastAsiaTheme="minorEastAsia"/>
          <w:bCs/>
          <w:color w:val="auto"/>
          <w:sz w:val="24"/>
          <w:szCs w:val="20"/>
          <w:highlight w:val="none"/>
        </w:rPr>
      </w:pPr>
    </w:p>
    <w:p w14:paraId="18B9C7EF">
      <w:pPr>
        <w:snapToGrid w:val="0"/>
        <w:spacing w:beforeLines="50" w:after="50"/>
        <w:ind w:firstLine="540" w:firstLineChars="225"/>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bCs/>
          <w:color w:val="auto"/>
          <w:sz w:val="24"/>
          <w:highlight w:val="none"/>
        </w:rPr>
        <w:t>：</w:t>
      </w:r>
    </w:p>
    <w:p w14:paraId="33DCE068">
      <w:pPr>
        <w:pStyle w:val="8"/>
        <w:snapToGrid w:val="0"/>
        <w:spacing w:before="50" w:after="50"/>
        <w:ind w:firstLine="540" w:firstLineChars="225"/>
        <w:rPr>
          <w:rFonts w:asciiTheme="minorEastAsia" w:hAnsiTheme="minorEastAsia" w:eastAsiaTheme="minorEastAsia"/>
          <w:bCs/>
          <w:color w:val="auto"/>
          <w:sz w:val="24"/>
          <w:szCs w:val="24"/>
          <w:highlight w:val="none"/>
        </w:rPr>
      </w:pPr>
    </w:p>
    <w:p w14:paraId="738F6F93">
      <w:pPr>
        <w:pStyle w:val="8"/>
        <w:snapToGrid w:val="0"/>
        <w:spacing w:before="50" w:after="50"/>
        <w:ind w:firstLine="540" w:firstLineChars="225"/>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投标人名称：</w:t>
      </w:r>
    </w:p>
    <w:p w14:paraId="1F85E97F">
      <w:pPr>
        <w:pStyle w:val="8"/>
        <w:snapToGrid w:val="0"/>
        <w:spacing w:before="50" w:after="50"/>
        <w:ind w:firstLine="540" w:firstLineChars="225"/>
        <w:rPr>
          <w:rFonts w:asciiTheme="minorEastAsia" w:hAnsiTheme="minorEastAsia" w:eastAsiaTheme="minorEastAsia"/>
          <w:bCs/>
          <w:color w:val="auto"/>
          <w:sz w:val="24"/>
          <w:szCs w:val="24"/>
          <w:highlight w:val="none"/>
        </w:rPr>
      </w:pPr>
    </w:p>
    <w:p w14:paraId="2B9021B0">
      <w:pPr>
        <w:pStyle w:val="8"/>
        <w:snapToGrid w:val="0"/>
        <w:spacing w:before="50" w:after="50"/>
        <w:ind w:firstLine="960" w:firstLineChars="400"/>
        <w:rPr>
          <w:rFonts w:asciiTheme="minorEastAsia" w:hAnsiTheme="minorEastAsia" w:eastAsiaTheme="minorEastAsia"/>
          <w:bCs/>
          <w:color w:val="auto"/>
          <w:sz w:val="24"/>
          <w:szCs w:val="24"/>
          <w:highlight w:val="none"/>
        </w:rPr>
      </w:pPr>
    </w:p>
    <w:p w14:paraId="6AC02F38">
      <w:pPr>
        <w:snapToGrid w:val="0"/>
        <w:spacing w:beforeLines="50" w:after="50"/>
        <w:ind w:firstLine="64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  月  日</w:t>
      </w:r>
    </w:p>
    <w:p w14:paraId="043BEB7C">
      <w:pPr>
        <w:snapToGrid w:val="0"/>
        <w:spacing w:beforeLines="50" w:after="50"/>
        <w:rPr>
          <w:rFonts w:asciiTheme="minorEastAsia" w:hAnsiTheme="minorEastAsia" w:eastAsiaTheme="minorEastAsia"/>
          <w:color w:val="auto"/>
          <w:sz w:val="24"/>
          <w:szCs w:val="20"/>
          <w:highlight w:val="none"/>
        </w:rPr>
      </w:pPr>
    </w:p>
    <w:p w14:paraId="1F09A872">
      <w:pPr>
        <w:snapToGrid w:val="0"/>
        <w:spacing w:beforeLines="50" w:after="50"/>
        <w:rPr>
          <w:rFonts w:asciiTheme="minorEastAsia" w:hAnsiTheme="minorEastAsia" w:eastAsiaTheme="minorEastAsia"/>
          <w:color w:val="auto"/>
          <w:sz w:val="24"/>
          <w:szCs w:val="20"/>
          <w:highlight w:val="none"/>
        </w:rPr>
      </w:pPr>
    </w:p>
    <w:p w14:paraId="4EB63820">
      <w:pPr>
        <w:numPr>
          <w:ilvl w:val="2"/>
          <w:numId w:val="5"/>
        </w:numPr>
        <w:snapToGrid w:val="0"/>
        <w:spacing w:beforeLines="50" w:after="50" w:line="360" w:lineRule="auto"/>
        <w:ind w:left="0" w:firstLine="0"/>
        <w:jc w:val="left"/>
        <w:outlineLvl w:val="2"/>
        <w:rPr>
          <w:rFonts w:asciiTheme="minorEastAsia" w:hAnsiTheme="minorEastAsia" w:eastAsiaTheme="minorEastAsia"/>
          <w:color w:val="auto"/>
          <w:sz w:val="24"/>
          <w:szCs w:val="20"/>
          <w:highlight w:val="none"/>
        </w:rPr>
      </w:pPr>
      <w:r>
        <w:rPr>
          <w:rFonts w:asciiTheme="minorEastAsia" w:hAnsiTheme="minorEastAsia" w:eastAsiaTheme="minorEastAsia"/>
          <w:b/>
          <w:bCs/>
          <w:color w:val="auto"/>
          <w:sz w:val="24"/>
          <w:highlight w:val="none"/>
        </w:rPr>
        <w:br w:type="page"/>
      </w:r>
      <w:r>
        <w:rPr>
          <w:rFonts w:hint="eastAsia" w:asciiTheme="minorEastAsia" w:hAnsiTheme="minorEastAsia" w:eastAsiaTheme="minorEastAsia"/>
          <w:b/>
          <w:bCs/>
          <w:color w:val="auto"/>
          <w:sz w:val="24"/>
          <w:highlight w:val="none"/>
        </w:rPr>
        <w:t>资格证明文件目录</w:t>
      </w:r>
    </w:p>
    <w:p w14:paraId="67D98889">
      <w:pPr>
        <w:snapToGrid w:val="0"/>
        <w:spacing w:line="360" w:lineRule="auto"/>
        <w:ind w:firstLine="420"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根据招标文件规定及投标人提供的材料自行编写目录。</w:t>
      </w:r>
    </w:p>
    <w:p w14:paraId="57F352FC">
      <w:pPr>
        <w:snapToGrid w:val="0"/>
        <w:spacing w:before="50" w:afterLines="50"/>
        <w:jc w:val="left"/>
        <w:rPr>
          <w:rFonts w:asciiTheme="minorEastAsia" w:hAnsiTheme="minorEastAsia" w:eastAsiaTheme="minorEastAsia"/>
          <w:color w:val="auto"/>
          <w:sz w:val="24"/>
          <w:highlight w:val="none"/>
        </w:rPr>
      </w:pPr>
    </w:p>
    <w:p w14:paraId="13408C76">
      <w:pPr>
        <w:snapToGrid w:val="0"/>
        <w:spacing w:before="50" w:afterLines="50"/>
        <w:jc w:val="left"/>
        <w:rPr>
          <w:rFonts w:asciiTheme="minorEastAsia" w:hAnsiTheme="minorEastAsia" w:eastAsiaTheme="minorEastAsia"/>
          <w:color w:val="auto"/>
          <w:sz w:val="24"/>
          <w:highlight w:val="none"/>
        </w:rPr>
      </w:pPr>
    </w:p>
    <w:p w14:paraId="43DF0F94">
      <w:pPr>
        <w:numPr>
          <w:ilvl w:val="2"/>
          <w:numId w:val="5"/>
        </w:numPr>
        <w:snapToGrid w:val="0"/>
        <w:spacing w:beforeLines="50" w:after="50"/>
        <w:ind w:left="0" w:firstLine="0"/>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8"/>
          <w:szCs w:val="28"/>
          <w:highlight w:val="none"/>
        </w:rPr>
        <w:t>投标人直接控股、管理关系信息表</w:t>
      </w:r>
    </w:p>
    <w:p w14:paraId="1803E327">
      <w:pPr>
        <w:snapToGrid w:val="0"/>
        <w:spacing w:before="50" w:afterLines="50"/>
        <w:jc w:val="center"/>
        <w:rPr>
          <w:rFonts w:asciiTheme="minorEastAsia" w:hAnsiTheme="minorEastAsia" w:eastAsiaTheme="minorEastAsia"/>
          <w:b/>
          <w:color w:val="auto"/>
          <w:sz w:val="28"/>
          <w:szCs w:val="28"/>
          <w:highlight w:val="none"/>
        </w:rPr>
      </w:pPr>
    </w:p>
    <w:p w14:paraId="55DAD851">
      <w:pPr>
        <w:snapToGrid w:val="0"/>
        <w:spacing w:before="50" w:afterLines="50" w:line="360" w:lineRule="auto"/>
        <w:jc w:val="center"/>
        <w:outlineLvl w:val="3"/>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投标人直接控股股东信息表</w:t>
      </w:r>
    </w:p>
    <w:tbl>
      <w:tblPr>
        <w:tblStyle w:val="23"/>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4006"/>
        <w:gridCol w:w="1134"/>
      </w:tblGrid>
      <w:tr w14:paraId="30827EF7">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FE2FF64">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652C671">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1E9D068">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出资比例</w:t>
            </w:r>
          </w:p>
        </w:tc>
        <w:tc>
          <w:tcPr>
            <w:tcW w:w="400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45A4D8F">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身份证号码或者统一社会信用代码</w:t>
            </w:r>
          </w:p>
        </w:tc>
        <w:tc>
          <w:tcPr>
            <w:tcW w:w="113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2875CF2">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备注</w:t>
            </w:r>
          </w:p>
        </w:tc>
      </w:tr>
      <w:tr w14:paraId="69779CD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1CB1E0">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BA56E5">
            <w:pPr>
              <w:spacing w:line="360" w:lineRule="auto"/>
              <w:jc w:val="center"/>
              <w:rPr>
                <w:rFonts w:cs="宋体" w:asciiTheme="minorEastAsia" w:hAnsiTheme="minorEastAsia" w:eastAsiaTheme="minorEastAsia"/>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0644C1">
            <w:pPr>
              <w:spacing w:line="360" w:lineRule="auto"/>
              <w:jc w:val="center"/>
              <w:rPr>
                <w:rFonts w:cs="宋体" w:asciiTheme="minorEastAsia" w:hAnsiTheme="minorEastAsia" w:eastAsiaTheme="minorEastAsia"/>
                <w:color w:val="auto"/>
                <w:kern w:val="0"/>
                <w:sz w:val="24"/>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153B59">
            <w:pPr>
              <w:spacing w:line="360" w:lineRule="auto"/>
              <w:jc w:val="center"/>
              <w:rPr>
                <w:rFonts w:cs="宋体" w:asciiTheme="minorEastAsia" w:hAnsiTheme="minorEastAsia" w:eastAsiaTheme="minorEastAsia"/>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F9E6C9">
            <w:pPr>
              <w:spacing w:line="360" w:lineRule="auto"/>
              <w:jc w:val="center"/>
              <w:rPr>
                <w:rFonts w:cs="宋体" w:asciiTheme="minorEastAsia" w:hAnsiTheme="minorEastAsia" w:eastAsiaTheme="minorEastAsia"/>
                <w:color w:val="auto"/>
                <w:kern w:val="0"/>
                <w:sz w:val="24"/>
                <w:highlight w:val="none"/>
              </w:rPr>
            </w:pPr>
          </w:p>
        </w:tc>
      </w:tr>
      <w:tr w14:paraId="35FE27C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D2C48D">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C24B01">
            <w:pPr>
              <w:spacing w:line="360" w:lineRule="auto"/>
              <w:jc w:val="center"/>
              <w:rPr>
                <w:rFonts w:cs="宋体" w:asciiTheme="minorEastAsia" w:hAnsiTheme="minorEastAsia" w:eastAsiaTheme="minorEastAsia"/>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B79844">
            <w:pPr>
              <w:spacing w:line="360" w:lineRule="auto"/>
              <w:jc w:val="center"/>
              <w:rPr>
                <w:rFonts w:cs="宋体" w:asciiTheme="minorEastAsia" w:hAnsiTheme="minorEastAsia" w:eastAsiaTheme="minorEastAsia"/>
                <w:color w:val="auto"/>
                <w:kern w:val="0"/>
                <w:sz w:val="24"/>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C57AF4">
            <w:pPr>
              <w:spacing w:line="360" w:lineRule="auto"/>
              <w:jc w:val="center"/>
              <w:rPr>
                <w:rFonts w:cs="宋体" w:asciiTheme="minorEastAsia" w:hAnsiTheme="minorEastAsia" w:eastAsiaTheme="minorEastAsia"/>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DD3FD8">
            <w:pPr>
              <w:spacing w:line="360" w:lineRule="auto"/>
              <w:jc w:val="center"/>
              <w:rPr>
                <w:rFonts w:cs="宋体" w:asciiTheme="minorEastAsia" w:hAnsiTheme="minorEastAsia" w:eastAsiaTheme="minorEastAsia"/>
                <w:color w:val="auto"/>
                <w:kern w:val="0"/>
                <w:sz w:val="24"/>
                <w:highlight w:val="none"/>
              </w:rPr>
            </w:pPr>
          </w:p>
        </w:tc>
      </w:tr>
      <w:tr w14:paraId="312E6AC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20138C">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B6D29D">
            <w:pPr>
              <w:spacing w:line="360" w:lineRule="auto"/>
              <w:jc w:val="center"/>
              <w:rPr>
                <w:rFonts w:cs="宋体" w:asciiTheme="minorEastAsia" w:hAnsiTheme="minorEastAsia" w:eastAsiaTheme="minorEastAsia"/>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057DF0">
            <w:pPr>
              <w:spacing w:line="360" w:lineRule="auto"/>
              <w:jc w:val="center"/>
              <w:rPr>
                <w:rFonts w:cs="宋体" w:asciiTheme="minorEastAsia" w:hAnsiTheme="minorEastAsia" w:eastAsiaTheme="minorEastAsia"/>
                <w:color w:val="auto"/>
                <w:kern w:val="0"/>
                <w:sz w:val="24"/>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59ACEE">
            <w:pPr>
              <w:spacing w:line="360" w:lineRule="auto"/>
              <w:jc w:val="center"/>
              <w:rPr>
                <w:rFonts w:cs="宋体" w:asciiTheme="minorEastAsia" w:hAnsiTheme="minorEastAsia" w:eastAsiaTheme="minorEastAsia"/>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FFF6C1">
            <w:pPr>
              <w:spacing w:line="360" w:lineRule="auto"/>
              <w:jc w:val="center"/>
              <w:rPr>
                <w:rFonts w:cs="宋体" w:asciiTheme="minorEastAsia" w:hAnsiTheme="minorEastAsia" w:eastAsiaTheme="minorEastAsia"/>
                <w:color w:val="auto"/>
                <w:kern w:val="0"/>
                <w:sz w:val="24"/>
                <w:highlight w:val="none"/>
              </w:rPr>
            </w:pPr>
          </w:p>
        </w:tc>
      </w:tr>
    </w:tbl>
    <w:p w14:paraId="54C144A5">
      <w:pPr>
        <w:snapToGrid w:val="0"/>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0B3B807D">
      <w:pPr>
        <w:snapToGrid w:val="0"/>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C4E8F9C">
      <w:pPr>
        <w:snapToGrid w:val="0"/>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2.本表所指的控股关系仅限于直接控股关系，不包括间接的控股关系。公司实际控制人与公司之间的关系不属于本表所指的直接控股关系。</w:t>
      </w:r>
    </w:p>
    <w:p w14:paraId="6C86366D">
      <w:pPr>
        <w:snapToGrid w:val="0"/>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3.供应商不存在直接控股股东的，则在“</w:t>
      </w:r>
      <w:r>
        <w:rPr>
          <w:rFonts w:hint="eastAsia" w:cs="宋体" w:asciiTheme="minorEastAsia" w:hAnsiTheme="minorEastAsia" w:eastAsiaTheme="minorEastAsia"/>
          <w:b/>
          <w:bCs/>
          <w:color w:val="auto"/>
          <w:kern w:val="0"/>
          <w:sz w:val="24"/>
          <w:highlight w:val="none"/>
        </w:rPr>
        <w:t>直接控股股东名称</w:t>
      </w:r>
      <w:r>
        <w:rPr>
          <w:rFonts w:hint="eastAsia" w:asciiTheme="minorEastAsia" w:hAnsiTheme="minorEastAsia" w:eastAsiaTheme="minorEastAsia"/>
          <w:color w:val="auto"/>
          <w:sz w:val="24"/>
          <w:highlight w:val="none"/>
        </w:rPr>
        <w:t>”中填“无”。</w:t>
      </w:r>
    </w:p>
    <w:p w14:paraId="05C6FC99">
      <w:pPr>
        <w:snapToGrid w:val="0"/>
        <w:spacing w:line="360" w:lineRule="auto"/>
        <w:jc w:val="left"/>
        <w:rPr>
          <w:rFonts w:asciiTheme="minorEastAsia" w:hAnsiTheme="minorEastAsia" w:eastAsiaTheme="minorEastAsia"/>
          <w:color w:val="auto"/>
          <w:sz w:val="24"/>
          <w:highlight w:val="none"/>
        </w:rPr>
      </w:pPr>
    </w:p>
    <w:p w14:paraId="762B6E60">
      <w:pPr>
        <w:snapToGrid w:val="0"/>
        <w:spacing w:line="360" w:lineRule="auto"/>
        <w:ind w:left="-2" w:leftChars="-1" w:right="-817" w:rightChars="-38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法定代表人或者委托代理人（签字/电子签名）： </w:t>
      </w:r>
    </w:p>
    <w:p w14:paraId="74C53883">
      <w:pPr>
        <w:snapToGrid w:val="0"/>
        <w:spacing w:line="360" w:lineRule="auto"/>
        <w:ind w:left="-3" w:leftChars="-15" w:right="-817" w:rightChars="-389" w:hanging="28" w:hangingChars="1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62C33704">
      <w:pPr>
        <w:snapToGrid w:val="0"/>
        <w:spacing w:line="360"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 w:val="24"/>
          <w:highlight w:val="none"/>
        </w:rPr>
        <w:t xml:space="preserve">                                    日期：    年   月   日</w:t>
      </w:r>
    </w:p>
    <w:p w14:paraId="354C31AE">
      <w:pPr>
        <w:snapToGrid w:val="0"/>
        <w:spacing w:line="360" w:lineRule="auto"/>
        <w:jc w:val="center"/>
        <w:rPr>
          <w:rFonts w:asciiTheme="minorEastAsia" w:hAnsiTheme="minorEastAsia" w:eastAsiaTheme="minorEastAsia"/>
          <w:color w:val="auto"/>
          <w:sz w:val="32"/>
          <w:szCs w:val="32"/>
          <w:highlight w:val="none"/>
        </w:rPr>
      </w:pPr>
      <w:r>
        <w:rPr>
          <w:rFonts w:asciiTheme="minorEastAsia" w:hAnsiTheme="minorEastAsia" w:eastAsiaTheme="minorEastAsia"/>
          <w:b/>
          <w:color w:val="auto"/>
          <w:sz w:val="32"/>
          <w:szCs w:val="32"/>
          <w:highlight w:val="none"/>
        </w:rPr>
        <w:br w:type="page"/>
      </w:r>
      <w:r>
        <w:rPr>
          <w:rFonts w:hint="eastAsia" w:asciiTheme="minorEastAsia" w:hAnsiTheme="minorEastAsia" w:eastAsiaTheme="minorEastAsia"/>
          <w:b/>
          <w:color w:val="auto"/>
          <w:sz w:val="32"/>
          <w:szCs w:val="32"/>
          <w:highlight w:val="none"/>
        </w:rPr>
        <w:t>投标人直接管理关系信息表</w:t>
      </w:r>
    </w:p>
    <w:tbl>
      <w:tblPr>
        <w:tblStyle w:val="23"/>
        <w:tblW w:w="9652" w:type="dxa"/>
        <w:tblInd w:w="0" w:type="dxa"/>
        <w:shd w:val="clear" w:color="auto" w:fill="FBFBFB"/>
        <w:tblLayout w:type="fixed"/>
        <w:tblCellMar>
          <w:top w:w="0" w:type="dxa"/>
          <w:left w:w="0" w:type="dxa"/>
          <w:bottom w:w="0" w:type="dxa"/>
          <w:right w:w="0" w:type="dxa"/>
        </w:tblCellMar>
      </w:tblPr>
      <w:tblGrid>
        <w:gridCol w:w="1005"/>
        <w:gridCol w:w="2659"/>
        <w:gridCol w:w="3437"/>
        <w:gridCol w:w="2551"/>
      </w:tblGrid>
      <w:tr w14:paraId="6E4B9FA2">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B184E85">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7CCC1C6">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直接管理关系单位名称</w:t>
            </w:r>
          </w:p>
        </w:tc>
        <w:tc>
          <w:tcPr>
            <w:tcW w:w="343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3250118">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统一社会信用代码</w:t>
            </w:r>
          </w:p>
        </w:tc>
        <w:tc>
          <w:tcPr>
            <w:tcW w:w="255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2DEBA51">
            <w:pPr>
              <w:spacing w:line="360" w:lineRule="auto"/>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备注</w:t>
            </w:r>
          </w:p>
        </w:tc>
      </w:tr>
      <w:tr w14:paraId="613FF89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B58958">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C7C82B">
            <w:pPr>
              <w:spacing w:line="360" w:lineRule="auto"/>
              <w:jc w:val="center"/>
              <w:rPr>
                <w:rFonts w:cs="宋体" w:asciiTheme="minorEastAsia" w:hAnsiTheme="minorEastAsia" w:eastAsiaTheme="minorEastAsia"/>
                <w:color w:val="auto"/>
                <w:kern w:val="0"/>
                <w:sz w:val="24"/>
                <w:highlight w:val="none"/>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3CC6F4">
            <w:pPr>
              <w:spacing w:line="360" w:lineRule="auto"/>
              <w:jc w:val="center"/>
              <w:rPr>
                <w:rFonts w:cs="宋体" w:asciiTheme="minorEastAsia" w:hAnsiTheme="minorEastAsia" w:eastAsiaTheme="minorEastAsia"/>
                <w:color w:val="auto"/>
                <w:kern w:val="0"/>
                <w:sz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4BF2D4">
            <w:pPr>
              <w:spacing w:line="360" w:lineRule="auto"/>
              <w:jc w:val="center"/>
              <w:rPr>
                <w:rFonts w:cs="宋体" w:asciiTheme="minorEastAsia" w:hAnsiTheme="minorEastAsia" w:eastAsiaTheme="minorEastAsia"/>
                <w:color w:val="auto"/>
                <w:kern w:val="0"/>
                <w:sz w:val="24"/>
                <w:highlight w:val="none"/>
              </w:rPr>
            </w:pPr>
          </w:p>
        </w:tc>
      </w:tr>
      <w:tr w14:paraId="7B6983C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81327F">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D8F6F7">
            <w:pPr>
              <w:spacing w:line="360" w:lineRule="auto"/>
              <w:jc w:val="center"/>
              <w:rPr>
                <w:rFonts w:cs="宋体" w:asciiTheme="minorEastAsia" w:hAnsiTheme="minorEastAsia" w:eastAsiaTheme="minorEastAsia"/>
                <w:color w:val="auto"/>
                <w:kern w:val="0"/>
                <w:sz w:val="24"/>
                <w:highlight w:val="none"/>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DADC59">
            <w:pPr>
              <w:spacing w:line="360" w:lineRule="auto"/>
              <w:jc w:val="center"/>
              <w:rPr>
                <w:rFonts w:cs="宋体" w:asciiTheme="minorEastAsia" w:hAnsiTheme="minorEastAsia" w:eastAsiaTheme="minorEastAsia"/>
                <w:color w:val="auto"/>
                <w:kern w:val="0"/>
                <w:sz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5DED93">
            <w:pPr>
              <w:spacing w:line="360" w:lineRule="auto"/>
              <w:jc w:val="center"/>
              <w:rPr>
                <w:rFonts w:cs="宋体" w:asciiTheme="minorEastAsia" w:hAnsiTheme="minorEastAsia" w:eastAsiaTheme="minorEastAsia"/>
                <w:color w:val="auto"/>
                <w:kern w:val="0"/>
                <w:sz w:val="24"/>
                <w:highlight w:val="none"/>
              </w:rPr>
            </w:pPr>
          </w:p>
        </w:tc>
      </w:tr>
      <w:tr w14:paraId="1626ED1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4AB988">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0DB6A6">
            <w:pPr>
              <w:spacing w:line="360" w:lineRule="auto"/>
              <w:jc w:val="center"/>
              <w:rPr>
                <w:rFonts w:cs="宋体" w:asciiTheme="minorEastAsia" w:hAnsiTheme="minorEastAsia" w:eastAsiaTheme="minorEastAsia"/>
                <w:color w:val="auto"/>
                <w:kern w:val="0"/>
                <w:sz w:val="24"/>
                <w:highlight w:val="none"/>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CADDAB">
            <w:pPr>
              <w:spacing w:line="360" w:lineRule="auto"/>
              <w:jc w:val="center"/>
              <w:rPr>
                <w:rFonts w:cs="宋体" w:asciiTheme="minorEastAsia" w:hAnsiTheme="minorEastAsia" w:eastAsiaTheme="minorEastAsia"/>
                <w:color w:val="auto"/>
                <w:kern w:val="0"/>
                <w:sz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E6AC1C">
            <w:pPr>
              <w:spacing w:line="360" w:lineRule="auto"/>
              <w:jc w:val="center"/>
              <w:rPr>
                <w:rFonts w:cs="宋体" w:asciiTheme="minorEastAsia" w:hAnsiTheme="minorEastAsia" w:eastAsiaTheme="minorEastAsia"/>
                <w:color w:val="auto"/>
                <w:kern w:val="0"/>
                <w:sz w:val="24"/>
                <w:highlight w:val="none"/>
              </w:rPr>
            </w:pPr>
          </w:p>
        </w:tc>
      </w:tr>
      <w:tr w14:paraId="58B5A6ED">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D36806">
            <w:pPr>
              <w:spacing w:line="360" w:lineRule="auto"/>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26677F">
            <w:pPr>
              <w:spacing w:line="360" w:lineRule="auto"/>
              <w:jc w:val="center"/>
              <w:rPr>
                <w:rFonts w:cs="宋体" w:asciiTheme="minorEastAsia" w:hAnsiTheme="minorEastAsia" w:eastAsiaTheme="minorEastAsia"/>
                <w:color w:val="auto"/>
                <w:kern w:val="0"/>
                <w:sz w:val="24"/>
                <w:highlight w:val="none"/>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71FA61">
            <w:pPr>
              <w:spacing w:line="360" w:lineRule="auto"/>
              <w:jc w:val="center"/>
              <w:rPr>
                <w:rFonts w:cs="宋体" w:asciiTheme="minorEastAsia" w:hAnsiTheme="minorEastAsia" w:eastAsiaTheme="minorEastAsia"/>
                <w:color w:val="auto"/>
                <w:kern w:val="0"/>
                <w:sz w:val="24"/>
                <w:highlight w:val="none"/>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D8059D">
            <w:pPr>
              <w:spacing w:line="360" w:lineRule="auto"/>
              <w:jc w:val="center"/>
              <w:rPr>
                <w:rFonts w:cs="宋体" w:asciiTheme="minorEastAsia" w:hAnsiTheme="minorEastAsia" w:eastAsiaTheme="minorEastAsia"/>
                <w:color w:val="auto"/>
                <w:kern w:val="0"/>
                <w:sz w:val="24"/>
                <w:highlight w:val="none"/>
              </w:rPr>
            </w:pPr>
          </w:p>
        </w:tc>
      </w:tr>
    </w:tbl>
    <w:p w14:paraId="082B848A">
      <w:pPr>
        <w:snapToGrid w:val="0"/>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667F8E1A">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1.管理关系：是指不具有出资持股关系的其他单位之间存在的管理与被管理关系，如一些上下级关系的事业单位和团体组织。</w:t>
      </w:r>
    </w:p>
    <w:p w14:paraId="145DBB29">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pacing w:val="-6"/>
          <w:sz w:val="24"/>
          <w:highlight w:val="none"/>
        </w:rPr>
        <w:t>本表所指的管理关系仅限于直接管理关系，不包括间接的管理关系。</w:t>
      </w:r>
    </w:p>
    <w:p w14:paraId="6BF092BF">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3.供应商不存在直接管理关系的，则在“</w:t>
      </w:r>
      <w:r>
        <w:rPr>
          <w:rFonts w:hint="eastAsia" w:cs="宋体" w:asciiTheme="minorEastAsia" w:hAnsiTheme="minorEastAsia" w:eastAsiaTheme="minorEastAsia"/>
          <w:b/>
          <w:bCs/>
          <w:color w:val="auto"/>
          <w:kern w:val="0"/>
          <w:sz w:val="24"/>
          <w:highlight w:val="none"/>
        </w:rPr>
        <w:t>直接管理关系单位名称</w:t>
      </w:r>
      <w:r>
        <w:rPr>
          <w:rFonts w:hint="eastAsia" w:asciiTheme="minorEastAsia" w:hAnsiTheme="minorEastAsia" w:eastAsiaTheme="minorEastAsia"/>
          <w:color w:val="auto"/>
          <w:sz w:val="24"/>
          <w:highlight w:val="none"/>
        </w:rPr>
        <w:t>”中填“无”。</w:t>
      </w:r>
    </w:p>
    <w:p w14:paraId="1FF37113">
      <w:pPr>
        <w:snapToGrid w:val="0"/>
        <w:spacing w:line="360" w:lineRule="auto"/>
        <w:jc w:val="left"/>
        <w:rPr>
          <w:rFonts w:asciiTheme="minorEastAsia" w:hAnsiTheme="minorEastAsia" w:eastAsiaTheme="minorEastAsia"/>
          <w:color w:val="auto"/>
          <w:sz w:val="24"/>
          <w:highlight w:val="none"/>
        </w:rPr>
      </w:pPr>
    </w:p>
    <w:p w14:paraId="3B00CBFC">
      <w:pPr>
        <w:snapToGrid w:val="0"/>
        <w:spacing w:line="360" w:lineRule="auto"/>
        <w:jc w:val="left"/>
        <w:rPr>
          <w:rFonts w:asciiTheme="minorEastAsia" w:hAnsiTheme="minorEastAsia" w:eastAsiaTheme="minorEastAsia"/>
          <w:color w:val="auto"/>
          <w:sz w:val="24"/>
          <w:highlight w:val="none"/>
        </w:rPr>
      </w:pPr>
    </w:p>
    <w:p w14:paraId="4C458359">
      <w:pPr>
        <w:snapToGrid w:val="0"/>
        <w:spacing w:line="360" w:lineRule="auto"/>
        <w:jc w:val="left"/>
        <w:rPr>
          <w:rFonts w:asciiTheme="minorEastAsia" w:hAnsiTheme="minorEastAsia" w:eastAsiaTheme="minorEastAsia"/>
          <w:color w:val="auto"/>
          <w:sz w:val="24"/>
          <w:highlight w:val="none"/>
        </w:rPr>
      </w:pPr>
    </w:p>
    <w:p w14:paraId="1FC659B3">
      <w:pPr>
        <w:snapToGrid w:val="0"/>
        <w:spacing w:line="360" w:lineRule="auto"/>
        <w:jc w:val="left"/>
        <w:rPr>
          <w:rFonts w:asciiTheme="minorEastAsia" w:hAnsiTheme="minorEastAsia" w:eastAsiaTheme="minorEastAsia"/>
          <w:color w:val="auto"/>
          <w:sz w:val="24"/>
          <w:highlight w:val="none"/>
        </w:rPr>
      </w:pPr>
    </w:p>
    <w:p w14:paraId="6BE96E0C">
      <w:pPr>
        <w:snapToGrid w:val="0"/>
        <w:spacing w:line="360" w:lineRule="auto"/>
        <w:ind w:left="-2" w:leftChars="-1" w:right="-817" w:rightChars="-38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法定代表人或者委托代理人（签字/电子签名）： </w:t>
      </w:r>
    </w:p>
    <w:p w14:paraId="38659A57">
      <w:pPr>
        <w:snapToGrid w:val="0"/>
        <w:spacing w:line="360" w:lineRule="auto"/>
        <w:ind w:left="-3" w:leftChars="-15" w:right="-817" w:rightChars="-389" w:hanging="28" w:hangingChars="1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77CB9A26">
      <w:pPr>
        <w:snapToGrid w:val="0"/>
        <w:spacing w:line="360" w:lineRule="auto"/>
        <w:ind w:right="480" w:firstLine="240" w:firstLineChars="1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 w:val="24"/>
          <w:highlight w:val="none"/>
        </w:rPr>
        <w:t xml:space="preserve">                                日期：    年   月   日</w:t>
      </w:r>
    </w:p>
    <w:p w14:paraId="6000D2AD">
      <w:pPr>
        <w:snapToGrid w:val="0"/>
        <w:spacing w:beforeLines="50" w:after="50"/>
        <w:jc w:val="left"/>
        <w:rPr>
          <w:rFonts w:asciiTheme="minorEastAsia" w:hAnsiTheme="minorEastAsia" w:eastAsiaTheme="minorEastAsia"/>
          <w:b/>
          <w:color w:val="auto"/>
          <w:sz w:val="24"/>
          <w:szCs w:val="20"/>
          <w:highlight w:val="none"/>
        </w:rPr>
      </w:pPr>
    </w:p>
    <w:p w14:paraId="0706BB7F">
      <w:pPr>
        <w:numPr>
          <w:ilvl w:val="2"/>
          <w:numId w:val="5"/>
        </w:numPr>
        <w:snapToGrid w:val="0"/>
        <w:spacing w:beforeLines="50" w:after="50"/>
        <w:ind w:left="0" w:firstLine="0"/>
        <w:jc w:val="left"/>
        <w:outlineLvl w:val="2"/>
        <w:rPr>
          <w:rFonts w:asciiTheme="minorEastAsia" w:hAnsiTheme="minorEastAsia" w:eastAsiaTheme="minorEastAsia"/>
          <w:b/>
          <w:color w:val="auto"/>
          <w:sz w:val="24"/>
          <w:szCs w:val="20"/>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投标声明</w:t>
      </w:r>
    </w:p>
    <w:p w14:paraId="0B5C90C5">
      <w:pPr>
        <w:snapToGrid w:val="0"/>
        <w:spacing w:before="50" w:afterLines="50"/>
        <w:jc w:val="left"/>
        <w:rPr>
          <w:rFonts w:asciiTheme="minorEastAsia" w:hAnsiTheme="minorEastAsia" w:eastAsiaTheme="minorEastAsia"/>
          <w:color w:val="auto"/>
          <w:highlight w:val="none"/>
        </w:rPr>
      </w:pPr>
    </w:p>
    <w:p w14:paraId="7864C79B">
      <w:pPr>
        <w:snapToGrid w:val="0"/>
        <w:spacing w:before="50" w:afterLines="50"/>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投标声明</w:t>
      </w:r>
    </w:p>
    <w:p w14:paraId="754FB13D">
      <w:pPr>
        <w:spacing w:line="400" w:lineRule="exact"/>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（采购人名称）：</w:t>
      </w:r>
    </w:p>
    <w:p w14:paraId="4B3E70B1">
      <w:pPr>
        <w:spacing w:line="400" w:lineRule="exact"/>
        <w:ind w:firstLine="523" w:firstLineChars="218"/>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我方参加贵单位组织项目（项目编号：）的政府采购活动。我方在此郑重声明：</w:t>
      </w:r>
    </w:p>
    <w:p w14:paraId="1F75C23C">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882D05F">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2.我方不是为本次采购项目提供整体设计、规范编制或者项目管理、监理、检测等服务的供应商。</w:t>
      </w:r>
    </w:p>
    <w:p w14:paraId="50550CE3">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 我方承诺符合《中华人民共和国政府采购法》第二十二条规定：</w:t>
      </w:r>
    </w:p>
    <w:p w14:paraId="238AFCFA">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（一）具有独立承担民事责任的能力；</w:t>
      </w:r>
    </w:p>
    <w:p w14:paraId="71FBCC2A">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（二）具有良好的商业信誉和健全的财务会计制度；</w:t>
      </w:r>
    </w:p>
    <w:p w14:paraId="2B320DFA">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（三）具有履行合同所必需的设备和专业技术能力；</w:t>
      </w:r>
    </w:p>
    <w:p w14:paraId="078ED5A8">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（四）有依法缴纳税收和社会保障资金的良好记录；</w:t>
      </w:r>
    </w:p>
    <w:p w14:paraId="4846C370">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（五）参加政府采购活动前三年内，在经营活动中没有重大违法记录；</w:t>
      </w:r>
    </w:p>
    <w:p w14:paraId="585E4F8F">
      <w:pPr>
        <w:spacing w:line="400" w:lineRule="exact"/>
        <w:ind w:firstLine="480" w:firstLineChars="200"/>
        <w:contextualSpacing/>
        <w:jc w:val="left"/>
        <w:outlineLvl w:val="3"/>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（六）法律、行政法规规定的其他条件。</w:t>
      </w:r>
    </w:p>
    <w:p w14:paraId="7ED5F114">
      <w:pPr>
        <w:spacing w:line="400" w:lineRule="exact"/>
        <w:ind w:firstLine="480" w:firstLineChars="200"/>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4.以上事项如有虚假或者隐瞒，我方愿意承担一切后果，并不再寻求任何旨在减轻或者免除法律责任的辩解。</w:t>
      </w:r>
    </w:p>
    <w:p w14:paraId="6192F403">
      <w:pPr>
        <w:spacing w:line="400" w:lineRule="exact"/>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特此承诺。</w:t>
      </w:r>
    </w:p>
    <w:p w14:paraId="581791BE">
      <w:pPr>
        <w:spacing w:line="400" w:lineRule="exact"/>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法定代表人（签字或者盖章或者电子签名）：</w:t>
      </w:r>
    </w:p>
    <w:p w14:paraId="59EAC8EB">
      <w:pPr>
        <w:spacing w:line="400" w:lineRule="exact"/>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4195EC8F">
      <w:pPr>
        <w:spacing w:line="400" w:lineRule="exact"/>
        <w:contextualSpacing/>
        <w:jc w:val="left"/>
        <w:rPr>
          <w:rFonts w:asciiTheme="minorEastAsia" w:hAnsiTheme="minorEastAsia" w:eastAsiaTheme="minorEastAsia"/>
          <w:color w:val="auto"/>
          <w:highlight w:val="none"/>
        </w:rPr>
      </w:pPr>
      <w:r>
        <w:rPr>
          <w:rFonts w:hint="eastAsia" w:asciiTheme="minorEastAsia" w:hAnsiTheme="minorEastAsia" w:eastAsiaTheme="minorEastAsia"/>
          <w:color w:val="auto"/>
          <w:sz w:val="24"/>
          <w:highlight w:val="none"/>
        </w:rPr>
        <w:t xml:space="preserve">                                                  年    月    日</w:t>
      </w:r>
    </w:p>
    <w:p w14:paraId="2A856552">
      <w:pPr>
        <w:spacing w:line="440" w:lineRule="exact"/>
        <w:contextualSpacing/>
        <w:rPr>
          <w:rFonts w:asciiTheme="minorEastAsia" w:hAnsiTheme="minorEastAsia" w:eastAsiaTheme="minorEastAsia"/>
          <w:b/>
          <w:color w:val="auto"/>
          <w:sz w:val="24"/>
          <w:highlight w:val="none"/>
        </w:rPr>
      </w:pPr>
      <w:bookmarkStart w:id="140" w:name="_Toc19686838"/>
      <w:r>
        <w:rPr>
          <w:rFonts w:hint="eastAsia" w:asciiTheme="minorEastAsia" w:hAnsiTheme="minorEastAsia" w:eastAsiaTheme="minorEastAsia"/>
          <w:b/>
          <w:color w:val="auto"/>
          <w:sz w:val="24"/>
          <w:highlight w:val="none"/>
        </w:rPr>
        <w:t>注：1.如为联合体投标，盖章处须加盖联合体牵头人电子签章并由联合体各方法定代表人分别签字或者电子签名，否则投标无效。</w:t>
      </w:r>
    </w:p>
    <w:p w14:paraId="57C853E8">
      <w:pPr>
        <w:spacing w:line="440" w:lineRule="exact"/>
        <w:contextualSpacing/>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cs="仿宋_GB2312" w:asciiTheme="minorEastAsia" w:hAnsiTheme="minorEastAsia" w:eastAsiaTheme="minorEastAsia"/>
          <w:color w:val="auto"/>
          <w:sz w:val="24"/>
          <w:highlight w:val="none"/>
        </w:rPr>
        <w:t>.法定代表人必须在授权委托书上亲笔签字或者盖章</w:t>
      </w:r>
      <w:r>
        <w:rPr>
          <w:rFonts w:hint="eastAsia" w:asciiTheme="minorEastAsia" w:hAnsiTheme="minorEastAsia" w:eastAsiaTheme="minorEastAsia"/>
          <w:color w:val="auto"/>
          <w:sz w:val="24"/>
          <w:highlight w:val="none"/>
        </w:rPr>
        <w:t>或者电子签名</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b/>
          <w:bCs/>
          <w:color w:val="auto"/>
          <w:sz w:val="24"/>
          <w:highlight w:val="none"/>
        </w:rPr>
        <w:t>否则按无效投标处理</w:t>
      </w:r>
      <w:r>
        <w:rPr>
          <w:rFonts w:hint="eastAsia" w:cs="仿宋_GB2312" w:asciiTheme="minorEastAsia" w:hAnsiTheme="minorEastAsia" w:eastAsiaTheme="minorEastAsia"/>
          <w:color w:val="auto"/>
          <w:sz w:val="24"/>
          <w:highlight w:val="none"/>
        </w:rPr>
        <w:t>；</w:t>
      </w:r>
    </w:p>
    <w:bookmarkEnd w:id="140"/>
    <w:p w14:paraId="79388451">
      <w:pPr>
        <w:outlineLvl w:val="1"/>
        <w:rPr>
          <w:rFonts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br w:type="page"/>
      </w:r>
      <w:r>
        <w:rPr>
          <w:rFonts w:hint="eastAsia" w:asciiTheme="minorEastAsia" w:hAnsiTheme="minorEastAsia" w:eastAsiaTheme="minorEastAsia"/>
          <w:b/>
          <w:color w:val="auto"/>
          <w:sz w:val="28"/>
          <w:szCs w:val="28"/>
          <w:highlight w:val="none"/>
        </w:rPr>
        <w:t>三、商务文件格式</w:t>
      </w:r>
    </w:p>
    <w:p w14:paraId="1A876129">
      <w:pPr>
        <w:snapToGrid w:val="0"/>
        <w:spacing w:beforeLines="50" w:after="50" w:line="360" w:lineRule="auto"/>
        <w:jc w:val="left"/>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 xml:space="preserve">1.商务文件封面格式： </w:t>
      </w:r>
    </w:p>
    <w:p w14:paraId="284F3DEB">
      <w:pPr>
        <w:snapToGrid w:val="0"/>
        <w:spacing w:beforeLines="50" w:after="50"/>
        <w:jc w:val="center"/>
        <w:rPr>
          <w:rFonts w:asciiTheme="minorEastAsia" w:hAnsiTheme="minorEastAsia" w:eastAsiaTheme="minorEastAsia"/>
          <w:bCs/>
          <w:color w:val="auto"/>
          <w:sz w:val="48"/>
          <w:szCs w:val="48"/>
          <w:highlight w:val="none"/>
        </w:rPr>
      </w:pPr>
    </w:p>
    <w:p w14:paraId="7CEDD30E">
      <w:pPr>
        <w:snapToGrid w:val="0"/>
        <w:spacing w:beforeLines="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bCs/>
          <w:color w:val="auto"/>
          <w:sz w:val="48"/>
          <w:szCs w:val="48"/>
          <w:highlight w:val="none"/>
        </w:rPr>
        <w:t>电子投标文件</w:t>
      </w:r>
    </w:p>
    <w:p w14:paraId="40D940FA">
      <w:pPr>
        <w:snapToGrid w:val="0"/>
        <w:spacing w:beforeLines="50" w:after="50"/>
        <w:jc w:val="center"/>
        <w:rPr>
          <w:rFonts w:cs="方正小标宋简体" w:asciiTheme="minorEastAsia" w:hAnsiTheme="minorEastAsia" w:eastAsiaTheme="minorEastAsia"/>
          <w:bCs/>
          <w:color w:val="auto"/>
          <w:sz w:val="44"/>
          <w:szCs w:val="44"/>
          <w:highlight w:val="none"/>
        </w:rPr>
      </w:pPr>
    </w:p>
    <w:p w14:paraId="2985374E">
      <w:pPr>
        <w:snapToGrid w:val="0"/>
        <w:spacing w:beforeLines="50" w:after="50"/>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商  务  文  件</w:t>
      </w:r>
    </w:p>
    <w:p w14:paraId="5C183B6C">
      <w:pPr>
        <w:snapToGrid w:val="0"/>
        <w:spacing w:beforeLines="50" w:after="50"/>
        <w:rPr>
          <w:rFonts w:asciiTheme="minorEastAsia" w:hAnsiTheme="minorEastAsia" w:eastAsiaTheme="minorEastAsia"/>
          <w:bCs/>
          <w:color w:val="auto"/>
          <w:sz w:val="24"/>
          <w:szCs w:val="20"/>
          <w:highlight w:val="none"/>
        </w:rPr>
      </w:pPr>
    </w:p>
    <w:p w14:paraId="57485AD3">
      <w:pPr>
        <w:snapToGrid w:val="0"/>
        <w:spacing w:beforeLines="50" w:after="50"/>
        <w:ind w:firstLine="540" w:firstLineChars="225"/>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项目名称：</w:t>
      </w:r>
    </w:p>
    <w:p w14:paraId="7D7C4BB2">
      <w:pPr>
        <w:snapToGrid w:val="0"/>
        <w:spacing w:beforeLines="50" w:after="50"/>
        <w:ind w:firstLine="540" w:firstLineChars="225"/>
        <w:rPr>
          <w:rFonts w:asciiTheme="minorEastAsia" w:hAnsiTheme="minorEastAsia" w:eastAsiaTheme="minorEastAsia"/>
          <w:bCs/>
          <w:color w:val="auto"/>
          <w:sz w:val="24"/>
          <w:szCs w:val="20"/>
          <w:highlight w:val="none"/>
        </w:rPr>
      </w:pPr>
    </w:p>
    <w:p w14:paraId="103F0814">
      <w:pPr>
        <w:snapToGrid w:val="0"/>
        <w:spacing w:beforeLines="50" w:after="50"/>
        <w:ind w:firstLine="540" w:firstLineChars="225"/>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项目编号：</w:t>
      </w:r>
    </w:p>
    <w:p w14:paraId="13D5F2F1">
      <w:pPr>
        <w:snapToGrid w:val="0"/>
        <w:spacing w:beforeLines="50" w:after="50"/>
        <w:ind w:firstLine="540" w:firstLineChars="225"/>
        <w:rPr>
          <w:rFonts w:asciiTheme="minorEastAsia" w:hAnsiTheme="minorEastAsia" w:eastAsiaTheme="minorEastAsia"/>
          <w:bCs/>
          <w:color w:val="auto"/>
          <w:sz w:val="24"/>
          <w:szCs w:val="20"/>
          <w:highlight w:val="none"/>
        </w:rPr>
      </w:pPr>
    </w:p>
    <w:p w14:paraId="63256F2A">
      <w:pPr>
        <w:snapToGrid w:val="0"/>
        <w:spacing w:beforeLines="50" w:after="50"/>
        <w:ind w:firstLine="540" w:firstLineChars="225"/>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bCs/>
          <w:color w:val="auto"/>
          <w:sz w:val="24"/>
          <w:highlight w:val="none"/>
        </w:rPr>
        <w:t>：</w:t>
      </w:r>
    </w:p>
    <w:p w14:paraId="79F5D43E">
      <w:pPr>
        <w:snapToGrid w:val="0"/>
        <w:spacing w:beforeLines="50" w:after="50"/>
        <w:ind w:firstLine="540" w:firstLineChars="225"/>
        <w:rPr>
          <w:rFonts w:asciiTheme="minorEastAsia" w:hAnsiTheme="minorEastAsia" w:eastAsiaTheme="minorEastAsia"/>
          <w:bCs/>
          <w:color w:val="auto"/>
          <w:sz w:val="24"/>
          <w:szCs w:val="20"/>
          <w:highlight w:val="none"/>
        </w:rPr>
      </w:pPr>
    </w:p>
    <w:p w14:paraId="1EE07E25">
      <w:pPr>
        <w:pStyle w:val="8"/>
        <w:snapToGrid w:val="0"/>
        <w:spacing w:before="50" w:after="50"/>
        <w:ind w:firstLine="540" w:firstLineChars="225"/>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投标人名称：</w:t>
      </w:r>
    </w:p>
    <w:p w14:paraId="106DC1FF">
      <w:pPr>
        <w:pStyle w:val="8"/>
        <w:snapToGrid w:val="0"/>
        <w:spacing w:before="50" w:after="50"/>
        <w:ind w:firstLine="540" w:firstLineChars="225"/>
        <w:rPr>
          <w:rFonts w:asciiTheme="minorEastAsia" w:hAnsiTheme="minorEastAsia" w:eastAsiaTheme="minorEastAsia"/>
          <w:bCs/>
          <w:color w:val="auto"/>
          <w:sz w:val="24"/>
          <w:szCs w:val="24"/>
          <w:highlight w:val="none"/>
        </w:rPr>
      </w:pPr>
    </w:p>
    <w:p w14:paraId="18E7897B">
      <w:pPr>
        <w:pStyle w:val="8"/>
        <w:snapToGrid w:val="0"/>
        <w:spacing w:before="50" w:after="50"/>
        <w:ind w:firstLine="540" w:firstLineChars="225"/>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投标人地址：</w:t>
      </w:r>
    </w:p>
    <w:p w14:paraId="3616A02C">
      <w:pPr>
        <w:pStyle w:val="8"/>
        <w:snapToGrid w:val="0"/>
        <w:spacing w:before="50" w:after="50"/>
        <w:ind w:firstLine="960" w:firstLineChars="400"/>
        <w:rPr>
          <w:rFonts w:asciiTheme="minorEastAsia" w:hAnsiTheme="minorEastAsia" w:eastAsiaTheme="minorEastAsia"/>
          <w:bCs/>
          <w:color w:val="auto"/>
          <w:sz w:val="24"/>
          <w:szCs w:val="24"/>
          <w:highlight w:val="none"/>
        </w:rPr>
      </w:pPr>
    </w:p>
    <w:p w14:paraId="37FB66D0">
      <w:pPr>
        <w:snapToGrid w:val="0"/>
        <w:spacing w:beforeLines="50" w:after="50"/>
        <w:ind w:firstLine="64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年  月  日</w:t>
      </w:r>
    </w:p>
    <w:p w14:paraId="044840CA">
      <w:pPr>
        <w:snapToGrid w:val="0"/>
        <w:spacing w:beforeLines="50" w:after="50"/>
        <w:rPr>
          <w:rFonts w:asciiTheme="minorEastAsia" w:hAnsiTheme="minorEastAsia" w:eastAsiaTheme="minorEastAsia"/>
          <w:color w:val="auto"/>
          <w:sz w:val="24"/>
          <w:szCs w:val="20"/>
          <w:highlight w:val="none"/>
        </w:rPr>
      </w:pPr>
    </w:p>
    <w:p w14:paraId="5CDD14D1">
      <w:pPr>
        <w:snapToGrid w:val="0"/>
        <w:spacing w:line="360" w:lineRule="auto"/>
        <w:jc w:val="left"/>
        <w:outlineLvl w:val="2"/>
        <w:rPr>
          <w:rFonts w:asciiTheme="minorEastAsia" w:hAnsiTheme="minorEastAsia" w:eastAsiaTheme="minorEastAsia"/>
          <w:b/>
          <w:color w:val="auto"/>
          <w:sz w:val="24"/>
          <w:highlight w:val="none"/>
        </w:rPr>
      </w:pPr>
      <w:r>
        <w:rPr>
          <w:rFonts w:asciiTheme="minorEastAsia" w:hAnsiTheme="minorEastAsia" w:eastAsiaTheme="minorEastAsia"/>
          <w:color w:val="auto"/>
          <w:sz w:val="24"/>
          <w:szCs w:val="20"/>
          <w:highlight w:val="none"/>
        </w:rPr>
        <w:br w:type="page"/>
      </w:r>
      <w:r>
        <w:rPr>
          <w:rFonts w:hint="eastAsia" w:asciiTheme="minorEastAsia" w:hAnsiTheme="minorEastAsia" w:eastAsiaTheme="minorEastAsia"/>
          <w:b/>
          <w:color w:val="auto"/>
          <w:sz w:val="24"/>
          <w:highlight w:val="none"/>
        </w:rPr>
        <w:t>2.商务文件目录</w:t>
      </w:r>
    </w:p>
    <w:p w14:paraId="07686291">
      <w:pPr>
        <w:snapToGrid w:val="0"/>
        <w:spacing w:before="50" w:afterLines="50" w:line="360" w:lineRule="auto"/>
        <w:ind w:firstLine="560" w:firstLineChars="200"/>
        <w:jc w:val="left"/>
        <w:rPr>
          <w:rFonts w:asciiTheme="minorEastAsia" w:hAnsiTheme="minorEastAsia" w:eastAsiaTheme="minorEastAsia"/>
          <w:b/>
          <w:bCs/>
          <w:color w:val="auto"/>
          <w:sz w:val="32"/>
          <w:szCs w:val="32"/>
          <w:highlight w:val="none"/>
        </w:rPr>
      </w:pPr>
      <w:r>
        <w:rPr>
          <w:rFonts w:hint="eastAsia" w:asciiTheme="minorEastAsia" w:hAnsiTheme="minorEastAsia" w:eastAsiaTheme="minorEastAsia"/>
          <w:color w:val="auto"/>
          <w:sz w:val="28"/>
          <w:szCs w:val="28"/>
          <w:highlight w:val="none"/>
        </w:rPr>
        <w:t>根据招标文件规定及投标人提供的材料自行编写目录。</w:t>
      </w:r>
    </w:p>
    <w:p w14:paraId="65338462">
      <w:pPr>
        <w:snapToGrid w:val="0"/>
        <w:spacing w:before="50" w:afterLines="50"/>
        <w:jc w:val="left"/>
        <w:rPr>
          <w:rFonts w:asciiTheme="minorEastAsia" w:hAnsiTheme="minorEastAsia" w:eastAsiaTheme="minorEastAsia"/>
          <w:color w:val="auto"/>
          <w:highlight w:val="none"/>
        </w:rPr>
      </w:pPr>
    </w:p>
    <w:p w14:paraId="2A387890">
      <w:pPr>
        <w:snapToGrid w:val="0"/>
        <w:spacing w:beforeLines="50" w:after="50"/>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3.投标人参加本项目无围标串标行为的承诺</w:t>
      </w:r>
    </w:p>
    <w:p w14:paraId="3CD4DF7B">
      <w:pPr>
        <w:snapToGrid w:val="0"/>
        <w:spacing w:beforeLines="50" w:after="50"/>
        <w:jc w:val="left"/>
        <w:rPr>
          <w:rFonts w:asciiTheme="minorEastAsia" w:hAnsiTheme="minorEastAsia" w:eastAsiaTheme="minorEastAsia"/>
          <w:b/>
          <w:color w:val="auto"/>
          <w:sz w:val="24"/>
          <w:highlight w:val="none"/>
        </w:rPr>
      </w:pPr>
    </w:p>
    <w:p w14:paraId="3DE86BC0">
      <w:pPr>
        <w:spacing w:line="360" w:lineRule="auto"/>
        <w:ind w:left="420"/>
        <w:contextualSpacing/>
        <w:jc w:val="center"/>
        <w:outlineLvl w:val="1"/>
        <w:rPr>
          <w:rFonts w:asciiTheme="minorEastAsia" w:hAnsiTheme="minorEastAsia" w:eastAsiaTheme="minorEastAsia"/>
          <w:b/>
          <w:color w:val="auto"/>
          <w:sz w:val="24"/>
          <w:highlight w:val="none"/>
        </w:rPr>
      </w:pPr>
      <w:r>
        <w:rPr>
          <w:rFonts w:hint="eastAsia" w:cs="方正小标宋简体" w:asciiTheme="minorEastAsia" w:hAnsiTheme="minorEastAsia" w:eastAsiaTheme="minorEastAsia"/>
          <w:bCs/>
          <w:color w:val="auto"/>
          <w:spacing w:val="-11"/>
          <w:sz w:val="44"/>
          <w:szCs w:val="44"/>
          <w:highlight w:val="none"/>
        </w:rPr>
        <w:t>投标人参加本项目无围标串标行为的承诺函</w:t>
      </w:r>
    </w:p>
    <w:p w14:paraId="39540518">
      <w:pPr>
        <w:spacing w:line="420" w:lineRule="exact"/>
        <w:contextualSpacing/>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一、我方承诺无下列相互串通投标的情形：</w:t>
      </w:r>
    </w:p>
    <w:p w14:paraId="6F17CF5C">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1.不同投标人的投标文件由同一单位或者个人编制；</w:t>
      </w:r>
    </w:p>
    <w:p w14:paraId="6F70F64B">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2.不同投标人委托同一单位或者个人办理投标事宜；</w:t>
      </w:r>
    </w:p>
    <w:p w14:paraId="6EE17C03">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3.不同的投标人的投标文件载明的项目管理员为同一个人；</w:t>
      </w:r>
    </w:p>
    <w:p w14:paraId="5D6A2A0F">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4.不同投标人的投标文件异常一致或者投标报价呈规律性差异；</w:t>
      </w:r>
    </w:p>
    <w:p w14:paraId="48B8A644">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5.不同投标人的投标文件相互混装；</w:t>
      </w:r>
    </w:p>
    <w:p w14:paraId="24DC8F8B">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6.不同投标人的投标保证金从同一单位或者个人账户转出。</w:t>
      </w:r>
    </w:p>
    <w:p w14:paraId="70EA6FE2">
      <w:pPr>
        <w:spacing w:line="420" w:lineRule="exact"/>
        <w:contextualSpacing/>
        <w:jc w:val="left"/>
        <w:outlineLvl w:val="1"/>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二、我方承诺无下列恶意串通的情形：</w:t>
      </w:r>
    </w:p>
    <w:p w14:paraId="0F3F7024">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1.投标人直接或者间接从采购人或者采购代理机构处获得其他投标人的相关信息并修改其投标文件或者响应文件；</w:t>
      </w:r>
    </w:p>
    <w:p w14:paraId="174ED081">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2.投标人按照采购人或者采购代理机构的授意撤换、修改投标文件或者响应文件；</w:t>
      </w:r>
    </w:p>
    <w:p w14:paraId="02974474">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3.投标人之间协商报价、技术方案等投标文件或者响应文件的实质性内容；</w:t>
      </w:r>
    </w:p>
    <w:p w14:paraId="7B7EE605">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4.属于同一集团、协会、商会等组织成员的投标人按照该组织要求协同参加政府采购活动；</w:t>
      </w:r>
    </w:p>
    <w:p w14:paraId="39458B55">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E08C3FB">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6.投标人之间商定部分投标人放弃参加政府采购活动或者放弃中标；</w:t>
      </w:r>
    </w:p>
    <w:p w14:paraId="50F696FC">
      <w:pPr>
        <w:spacing w:line="420" w:lineRule="exact"/>
        <w:ind w:firstLine="470" w:firstLineChars="196"/>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7.投标人与采购人或者采购代理机构之间、投标人相互之间，为谋求特定投标人中标或者排斥其他投标人的其他串通行为。</w:t>
      </w:r>
    </w:p>
    <w:p w14:paraId="645E9E01">
      <w:pPr>
        <w:spacing w:line="420" w:lineRule="exact"/>
        <w:ind w:firstLine="472" w:firstLineChars="196"/>
        <w:contextualSpacing/>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以上情形一经核查属实，我方愿意承担一切后果，并不再寻求任何旨在减轻或者免除法律责任的辩解。</w:t>
      </w:r>
    </w:p>
    <w:p w14:paraId="7F76BC26">
      <w:pPr>
        <w:pStyle w:val="14"/>
        <w:spacing w:line="440" w:lineRule="exact"/>
        <w:ind w:firstLine="6840" w:firstLineChars="2850"/>
        <w:contextualSpacing/>
        <w:rPr>
          <w:rFonts w:asciiTheme="minorEastAsia" w:hAnsiTheme="minorEastAsia" w:eastAsiaTheme="minorEastAsia"/>
          <w:color w:val="auto"/>
          <w:sz w:val="24"/>
          <w:szCs w:val="24"/>
          <w:highlight w:val="none"/>
        </w:rPr>
      </w:pPr>
    </w:p>
    <w:p w14:paraId="398FB5EF">
      <w:pPr>
        <w:pStyle w:val="14"/>
        <w:spacing w:line="440" w:lineRule="exact"/>
        <w:ind w:firstLine="480"/>
        <w:contextualSpacing/>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投标人名称（电子签章）</w:t>
      </w:r>
    </w:p>
    <w:p w14:paraId="382658EF">
      <w:pPr>
        <w:pStyle w:val="14"/>
        <w:spacing w:line="440" w:lineRule="exact"/>
        <w:ind w:firstLine="48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年月日</w:t>
      </w:r>
    </w:p>
    <w:p w14:paraId="733A0259">
      <w:pPr>
        <w:snapToGrid w:val="0"/>
        <w:spacing w:beforeLines="50" w:after="50"/>
        <w:jc w:val="left"/>
        <w:outlineLvl w:val="2"/>
        <w:rPr>
          <w:rFonts w:asciiTheme="minorEastAsia" w:hAnsiTheme="minorEastAsia" w:eastAsiaTheme="minorEastAsia"/>
          <w:b/>
          <w:color w:val="auto"/>
          <w:sz w:val="24"/>
          <w:szCs w:val="20"/>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4.法定代表人身份证明</w:t>
      </w:r>
    </w:p>
    <w:p w14:paraId="6CD241F2">
      <w:pPr>
        <w:spacing w:beforeLines="100" w:afterLines="50"/>
        <w:ind w:left="540"/>
        <w:jc w:val="center"/>
        <w:rPr>
          <w:rFonts w:asciiTheme="minorEastAsia" w:hAnsiTheme="minorEastAsia" w:eastAsiaTheme="minorEastAsia"/>
          <w:b/>
          <w:color w:val="auto"/>
          <w:sz w:val="32"/>
          <w:szCs w:val="32"/>
          <w:highlight w:val="none"/>
        </w:rPr>
      </w:pPr>
    </w:p>
    <w:p w14:paraId="0ECD4192">
      <w:pPr>
        <w:spacing w:beforeLines="100" w:afterLines="50"/>
        <w:ind w:left="540"/>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法定代表人身份证明</w:t>
      </w:r>
    </w:p>
    <w:p w14:paraId="26CBD171">
      <w:pPr>
        <w:spacing w:line="500" w:lineRule="exact"/>
        <w:ind w:left="5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 标 人：</w:t>
      </w:r>
    </w:p>
    <w:p w14:paraId="52EE0431">
      <w:pPr>
        <w:spacing w:line="500" w:lineRule="exact"/>
        <w:ind w:left="5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地    址：</w:t>
      </w:r>
    </w:p>
    <w:p w14:paraId="11653603">
      <w:pPr>
        <w:spacing w:line="500" w:lineRule="exact"/>
        <w:ind w:left="5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姓    名：性      别：</w:t>
      </w:r>
    </w:p>
    <w:p w14:paraId="78448975">
      <w:pPr>
        <w:spacing w:line="500" w:lineRule="exact"/>
        <w:ind w:left="54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年    龄：职      务：</w:t>
      </w:r>
    </w:p>
    <w:p w14:paraId="2B3893C4">
      <w:pPr>
        <w:spacing w:line="500" w:lineRule="exact"/>
        <w:ind w:left="5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身份证号码：</w:t>
      </w:r>
    </w:p>
    <w:p w14:paraId="2D23B25F">
      <w:pPr>
        <w:spacing w:line="500" w:lineRule="exact"/>
        <w:ind w:left="5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系</w:t>
      </w:r>
      <w:r>
        <w:rPr>
          <w:rFonts w:hint="eastAsia" w:asciiTheme="minorEastAsia" w:hAnsiTheme="minorEastAsia" w:eastAsiaTheme="minorEastAsia"/>
          <w:color w:val="auto"/>
          <w:sz w:val="24"/>
          <w:highlight w:val="none"/>
          <w:u w:val="single"/>
        </w:rPr>
        <w:t xml:space="preserve">            （投标人名称）              </w:t>
      </w:r>
      <w:r>
        <w:rPr>
          <w:rFonts w:hint="eastAsia" w:asciiTheme="minorEastAsia" w:hAnsiTheme="minorEastAsia" w:eastAsiaTheme="minorEastAsia"/>
          <w:color w:val="auto"/>
          <w:sz w:val="24"/>
          <w:highlight w:val="none"/>
        </w:rPr>
        <w:t>的法定代表人。</w:t>
      </w:r>
    </w:p>
    <w:p w14:paraId="704F06BB">
      <w:pPr>
        <w:spacing w:line="500" w:lineRule="exact"/>
        <w:ind w:left="5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特此证明。</w:t>
      </w:r>
    </w:p>
    <w:p w14:paraId="1A0E40E8">
      <w:pPr>
        <w:spacing w:line="500" w:lineRule="exact"/>
        <w:ind w:left="540"/>
        <w:rPr>
          <w:rFonts w:asciiTheme="minorEastAsia" w:hAnsiTheme="minorEastAsia" w:eastAsiaTheme="minorEastAsia"/>
          <w:color w:val="auto"/>
          <w:sz w:val="24"/>
          <w:highlight w:val="none"/>
        </w:rPr>
      </w:pPr>
    </w:p>
    <w:p w14:paraId="213B6409">
      <w:pPr>
        <w:spacing w:line="500" w:lineRule="exact"/>
        <w:ind w:left="540"/>
        <w:rPr>
          <w:rFonts w:asciiTheme="minorEastAsia" w:hAnsiTheme="minorEastAsia" w:eastAsiaTheme="minorEastAsia"/>
          <w:color w:val="auto"/>
          <w:sz w:val="24"/>
          <w:highlight w:val="none"/>
        </w:rPr>
      </w:pPr>
    </w:p>
    <w:p w14:paraId="7347A901">
      <w:pPr>
        <w:spacing w:line="500" w:lineRule="exact"/>
        <w:ind w:left="540"/>
        <w:outlineLvl w:val="3"/>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附件：法定代表人有效身份证正反面复印件</w:t>
      </w:r>
    </w:p>
    <w:p w14:paraId="6FC2AC3A">
      <w:pPr>
        <w:spacing w:line="500" w:lineRule="exact"/>
        <w:ind w:left="540"/>
        <w:rPr>
          <w:rFonts w:asciiTheme="minorEastAsia" w:hAnsiTheme="minorEastAsia" w:eastAsiaTheme="minorEastAsia"/>
          <w:color w:val="auto"/>
          <w:sz w:val="24"/>
          <w:highlight w:val="none"/>
        </w:rPr>
      </w:pPr>
    </w:p>
    <w:p w14:paraId="089A8C45">
      <w:pPr>
        <w:spacing w:line="500" w:lineRule="exact"/>
        <w:ind w:left="54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投标人名称（电子签章）</w:t>
      </w:r>
    </w:p>
    <w:p w14:paraId="02F6220D">
      <w:pPr>
        <w:spacing w:line="500" w:lineRule="exact"/>
        <w:ind w:left="540"/>
        <w:jc w:val="right"/>
        <w:rPr>
          <w:rFonts w:asciiTheme="minorEastAsia" w:hAnsiTheme="minorEastAsia" w:eastAsiaTheme="minorEastAsia"/>
          <w:color w:val="auto"/>
          <w:sz w:val="24"/>
          <w:highlight w:val="none"/>
        </w:rPr>
      </w:pPr>
    </w:p>
    <w:p w14:paraId="128D0945">
      <w:pPr>
        <w:snapToGrid w:val="0"/>
        <w:spacing w:beforeLines="50" w:after="50"/>
        <w:ind w:left="54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年月日</w:t>
      </w:r>
    </w:p>
    <w:p w14:paraId="5B6E6D45">
      <w:pPr>
        <w:snapToGrid w:val="0"/>
        <w:spacing w:beforeLines="50" w:after="50"/>
        <w:jc w:val="center"/>
        <w:rPr>
          <w:rFonts w:asciiTheme="minorEastAsia" w:hAnsiTheme="minorEastAsia" w:eastAsiaTheme="minorEastAsia"/>
          <w:b/>
          <w:color w:val="auto"/>
          <w:sz w:val="24"/>
          <w:highlight w:val="none"/>
        </w:rPr>
      </w:pPr>
    </w:p>
    <w:p w14:paraId="5D71180F">
      <w:pPr>
        <w:snapToGrid w:val="0"/>
        <w:spacing w:beforeLines="50" w:after="50"/>
        <w:jc w:val="left"/>
        <w:rPr>
          <w:rFonts w:asciiTheme="minorEastAsia" w:hAnsiTheme="minorEastAsia" w:eastAsiaTheme="minorEastAsia"/>
          <w:b/>
          <w:color w:val="auto"/>
          <w:sz w:val="24"/>
          <w:szCs w:val="20"/>
          <w:highlight w:val="none"/>
        </w:rPr>
      </w:pPr>
      <w:r>
        <w:rPr>
          <w:rFonts w:hint="eastAsia" w:asciiTheme="minorEastAsia" w:hAnsiTheme="minorEastAsia" w:eastAsiaTheme="minorEastAsia"/>
          <w:color w:val="auto"/>
          <w:sz w:val="24"/>
          <w:highlight w:val="none"/>
        </w:rPr>
        <w:t>注：自然人投标的无需提供</w:t>
      </w:r>
    </w:p>
    <w:p w14:paraId="3803F9A9">
      <w:pPr>
        <w:snapToGrid w:val="0"/>
        <w:spacing w:beforeLines="50" w:after="50"/>
        <w:jc w:val="left"/>
        <w:outlineLvl w:val="2"/>
        <w:rPr>
          <w:rFonts w:asciiTheme="minorEastAsia" w:hAnsiTheme="minorEastAsia" w:eastAsiaTheme="minorEastAsia"/>
          <w:b/>
          <w:color w:val="auto"/>
          <w:sz w:val="24"/>
          <w:szCs w:val="20"/>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5.授权委托书格式</w:t>
      </w:r>
    </w:p>
    <w:p w14:paraId="368D13FC">
      <w:pPr>
        <w:spacing w:line="360" w:lineRule="auto"/>
        <w:contextualSpacing/>
        <w:jc w:val="center"/>
        <w:outlineLvl w:val="3"/>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授权委托书</w:t>
      </w:r>
    </w:p>
    <w:p w14:paraId="7C38985B">
      <w:pPr>
        <w:spacing w:line="360" w:lineRule="auto"/>
        <w:contextualSpacing/>
        <w:jc w:val="center"/>
        <w:rPr>
          <w:rFonts w:cs="方正小标宋简体" w:asciiTheme="minorEastAsia" w:hAnsiTheme="minorEastAsia" w:eastAsiaTheme="minorEastAsia"/>
          <w:bCs/>
          <w:color w:val="auto"/>
          <w:sz w:val="32"/>
          <w:szCs w:val="32"/>
          <w:highlight w:val="none"/>
        </w:rPr>
      </w:pPr>
      <w:r>
        <w:rPr>
          <w:rFonts w:hint="eastAsia" w:cs="方正小标宋简体" w:asciiTheme="minorEastAsia" w:hAnsiTheme="minorEastAsia" w:eastAsiaTheme="minorEastAsia"/>
          <w:bCs/>
          <w:color w:val="auto"/>
          <w:sz w:val="32"/>
          <w:szCs w:val="32"/>
          <w:highlight w:val="none"/>
        </w:rPr>
        <w:t>（非联合体投标格式）</w:t>
      </w:r>
    </w:p>
    <w:p w14:paraId="17334670">
      <w:pPr>
        <w:spacing w:line="360" w:lineRule="auto"/>
        <w:contextualSpacing/>
        <w:jc w:val="center"/>
        <w:rPr>
          <w:rFonts w:cs="方正小标宋简体" w:asciiTheme="minorEastAsia" w:hAnsiTheme="minorEastAsia" w:eastAsiaTheme="minorEastAsia"/>
          <w:bCs/>
          <w:color w:val="auto"/>
          <w:sz w:val="24"/>
          <w:highlight w:val="none"/>
        </w:rPr>
      </w:pPr>
      <w:r>
        <w:rPr>
          <w:rFonts w:hint="eastAsia" w:cs="方正小标宋简体" w:asciiTheme="minorEastAsia" w:hAnsiTheme="minorEastAsia" w:eastAsiaTheme="minorEastAsia"/>
          <w:bCs/>
          <w:color w:val="auto"/>
          <w:sz w:val="32"/>
          <w:szCs w:val="32"/>
          <w:highlight w:val="none"/>
        </w:rPr>
        <w:t>（如有委托时）</w:t>
      </w:r>
    </w:p>
    <w:p w14:paraId="75C8317B">
      <w:pPr>
        <w:spacing w:line="440" w:lineRule="exact"/>
        <w:contextualSpacing/>
        <w:rPr>
          <w:rFonts w:asciiTheme="minorEastAsia" w:hAnsiTheme="minorEastAsia" w:eastAsiaTheme="minorEastAsia"/>
          <w:b/>
          <w:bCs/>
          <w:color w:val="auto"/>
          <w:sz w:val="24"/>
          <w:highlight w:val="none"/>
        </w:rPr>
      </w:pPr>
      <w:r>
        <w:rPr>
          <w:rFonts w:hint="eastAsia" w:asciiTheme="minorEastAsia" w:hAnsiTheme="minorEastAsia" w:eastAsiaTheme="minorEastAsia"/>
          <w:bCs/>
          <w:color w:val="auto"/>
          <w:sz w:val="24"/>
          <w:highlight w:val="none"/>
        </w:rPr>
        <w:t>致：</w:t>
      </w:r>
      <w:r>
        <w:rPr>
          <w:rFonts w:hint="eastAsia" w:asciiTheme="minorEastAsia" w:hAnsiTheme="minorEastAsia" w:eastAsiaTheme="minorEastAsia"/>
          <w:color w:val="auto"/>
          <w:sz w:val="24"/>
          <w:highlight w:val="none"/>
          <w:u w:val="single"/>
        </w:rPr>
        <w:t>采购人名称</w:t>
      </w:r>
      <w:r>
        <w:rPr>
          <w:rFonts w:hint="eastAsia" w:asciiTheme="minorEastAsia" w:hAnsiTheme="minorEastAsia" w:eastAsiaTheme="minorEastAsia"/>
          <w:color w:val="auto"/>
          <w:sz w:val="24"/>
          <w:highlight w:val="none"/>
        </w:rPr>
        <w:t>：</w:t>
      </w:r>
    </w:p>
    <w:p w14:paraId="3FBBF46B">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我（姓名）系（投标人名称）的法定代表人，现授权委托</w:t>
      </w:r>
      <w:r>
        <w:rPr>
          <w:rFonts w:hint="eastAsia" w:asciiTheme="minorEastAsia" w:hAnsiTheme="minorEastAsia" w:eastAsiaTheme="minorEastAsia"/>
          <w:color w:val="auto"/>
          <w:sz w:val="24"/>
          <w:highlight w:val="none"/>
          <w:u w:val="single"/>
        </w:rPr>
        <w:t xml:space="preserve">              （姓名）</w:t>
      </w:r>
      <w:r>
        <w:rPr>
          <w:rFonts w:hint="eastAsia" w:asciiTheme="minorEastAsia" w:hAnsiTheme="minorEastAsia" w:eastAsiaTheme="minorEastAsia"/>
          <w:color w:val="auto"/>
          <w:sz w:val="24"/>
          <w:highlight w:val="none"/>
        </w:rPr>
        <w:t>以我方的名义参加项目的投标活动，并代表我方全权办理针对上述项目的所有采购程序和环节的具体事务和签署相关文件。</w:t>
      </w:r>
    </w:p>
    <w:p w14:paraId="112F5F02">
      <w:pPr>
        <w:spacing w:line="440" w:lineRule="exact"/>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我方对委托代理人的签字或者电子签名事项负全部责任。</w:t>
      </w:r>
    </w:p>
    <w:p w14:paraId="44A34229">
      <w:pPr>
        <w:spacing w:line="440" w:lineRule="exact"/>
        <w:ind w:firstLine="48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u w:val="single"/>
        </w:rPr>
        <w:t>本授权书自签署之日起生效，在撤销授权的书面通知以前，本授权书一直有效。委托代理人在授权书有效期内签署的所有文件不因授权的撤销而失效。</w:t>
      </w:r>
    </w:p>
    <w:p w14:paraId="0B77C7AF">
      <w:pPr>
        <w:spacing w:line="440" w:lineRule="exact"/>
        <w:ind w:firstLine="48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委托代理人无转委托权，特此委托。</w:t>
      </w:r>
    </w:p>
    <w:p w14:paraId="6920D46C">
      <w:pPr>
        <w:spacing w:line="440" w:lineRule="exact"/>
        <w:ind w:firstLine="48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附：法定代表人身份证明及委托代理人有效身份证正反面复印件</w:t>
      </w:r>
    </w:p>
    <w:p w14:paraId="1A361194">
      <w:pPr>
        <w:spacing w:line="440" w:lineRule="exact"/>
        <w:contextualSpacing/>
        <w:rPr>
          <w:rFonts w:asciiTheme="minorEastAsia" w:hAnsiTheme="minorEastAsia" w:eastAsiaTheme="minorEastAsia"/>
          <w:color w:val="auto"/>
          <w:sz w:val="24"/>
          <w:highlight w:val="none"/>
        </w:rPr>
      </w:pPr>
    </w:p>
    <w:p w14:paraId="45620EF0">
      <w:pPr>
        <w:spacing w:line="440" w:lineRule="exact"/>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委托代理人（签字/电子签名）：</w:t>
      </w:r>
    </w:p>
    <w:p w14:paraId="0C3ABBA8">
      <w:pPr>
        <w:spacing w:line="440" w:lineRule="exact"/>
        <w:contextualSpacing/>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委托代理人身份证号码：</w:t>
      </w:r>
    </w:p>
    <w:p w14:paraId="092BB5AC">
      <w:pPr>
        <w:spacing w:line="440" w:lineRule="exact"/>
        <w:contextualSpacing/>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法定代表人（签字或者盖章或者电子签名）：</w:t>
      </w:r>
    </w:p>
    <w:p w14:paraId="2DFB2897">
      <w:pPr>
        <w:spacing w:line="440" w:lineRule="exact"/>
        <w:contextualSpacing/>
        <w:rPr>
          <w:rFonts w:asciiTheme="minorEastAsia" w:hAnsiTheme="minorEastAsia" w:eastAsiaTheme="minorEastAsia"/>
          <w:color w:val="auto"/>
          <w:sz w:val="24"/>
          <w:highlight w:val="none"/>
        </w:rPr>
      </w:pPr>
    </w:p>
    <w:p w14:paraId="65727AFA">
      <w:pPr>
        <w:spacing w:line="440" w:lineRule="exact"/>
        <w:contextualSpacing/>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投标人名称（电子签章）：</w:t>
      </w:r>
    </w:p>
    <w:p w14:paraId="39862EA6">
      <w:pPr>
        <w:spacing w:line="440" w:lineRule="exact"/>
        <w:contextualSpacing/>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年    月    日</w:t>
      </w:r>
    </w:p>
    <w:p w14:paraId="18B4FF40">
      <w:pPr>
        <w:pStyle w:val="12"/>
        <w:rPr>
          <w:rFonts w:asciiTheme="minorEastAsia" w:hAnsiTheme="minorEastAsia" w:eastAsiaTheme="minorEastAsia"/>
          <w:color w:val="auto"/>
          <w:highlight w:val="none"/>
        </w:rPr>
      </w:pPr>
    </w:p>
    <w:p w14:paraId="0C562E26">
      <w:pPr>
        <w:spacing w:line="440" w:lineRule="exact"/>
        <w:contextualSpacing/>
        <w:rPr>
          <w:rFonts w:cs="仿宋_GB2312" w:asciiTheme="minorEastAsia" w:hAnsiTheme="minorEastAsia" w:eastAsiaTheme="minorEastAsia"/>
          <w:color w:val="auto"/>
          <w:sz w:val="24"/>
          <w:highlight w:val="none"/>
        </w:rPr>
      </w:pPr>
      <w:bookmarkStart w:id="141" w:name="_Hlk65851620"/>
      <w:bookmarkEnd w:id="141"/>
      <w:bookmarkStart w:id="142" w:name="_Hlk65851555"/>
      <w:bookmarkEnd w:id="142"/>
      <w:r>
        <w:rPr>
          <w:rFonts w:hint="eastAsia" w:cs="仿宋_GB2312" w:asciiTheme="minorEastAsia" w:hAnsiTheme="minorEastAsia" w:eastAsiaTheme="minorEastAsia"/>
          <w:color w:val="auto"/>
          <w:sz w:val="24"/>
          <w:highlight w:val="none"/>
        </w:rPr>
        <w:t>注：1.法定代表人必须在授权委托书上亲笔签字或者盖章</w:t>
      </w:r>
      <w:r>
        <w:rPr>
          <w:rFonts w:hint="eastAsia" w:asciiTheme="minorEastAsia" w:hAnsiTheme="minorEastAsia" w:eastAsiaTheme="minorEastAsia"/>
          <w:color w:val="auto"/>
          <w:sz w:val="24"/>
          <w:highlight w:val="none"/>
        </w:rPr>
        <w:t>或者电子签名</w:t>
      </w:r>
      <w:r>
        <w:rPr>
          <w:rFonts w:hint="eastAsia" w:cs="仿宋_GB2312" w:asciiTheme="minorEastAsia" w:hAnsiTheme="minorEastAsia" w:eastAsiaTheme="minorEastAsia"/>
          <w:color w:val="auto"/>
          <w:sz w:val="24"/>
          <w:highlight w:val="none"/>
        </w:rPr>
        <w:t>，委托代理人必须在授权委托书上亲笔签字</w:t>
      </w:r>
      <w:r>
        <w:rPr>
          <w:rFonts w:hint="eastAsia" w:asciiTheme="minorEastAsia" w:hAnsiTheme="minorEastAsia" w:eastAsiaTheme="minorEastAsia"/>
          <w:color w:val="auto"/>
          <w:sz w:val="24"/>
          <w:highlight w:val="none"/>
        </w:rPr>
        <w:t>或者电子签名</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b/>
          <w:bCs/>
          <w:color w:val="auto"/>
          <w:sz w:val="24"/>
          <w:highlight w:val="none"/>
        </w:rPr>
        <w:t>否则按无效投标处理</w:t>
      </w:r>
      <w:r>
        <w:rPr>
          <w:rFonts w:hint="eastAsia" w:cs="仿宋_GB2312" w:asciiTheme="minorEastAsia" w:hAnsiTheme="minorEastAsia" w:eastAsiaTheme="minorEastAsia"/>
          <w:color w:val="auto"/>
          <w:sz w:val="24"/>
          <w:highlight w:val="none"/>
        </w:rPr>
        <w:t>；</w:t>
      </w:r>
    </w:p>
    <w:p w14:paraId="6FC53C4B">
      <w:pPr>
        <w:spacing w:line="440" w:lineRule="exact"/>
        <w:ind w:firstLine="480" w:firstLineChars="200"/>
        <w:contextualSpacing/>
        <w:jc w:val="left"/>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2.法人、其他组织投标时“我方”是指“我单位”，自然人投标时“我方”是指“本人”。</w:t>
      </w:r>
    </w:p>
    <w:p w14:paraId="2B5E5475">
      <w:pPr>
        <w:snapToGrid w:val="0"/>
        <w:spacing w:beforeLines="50" w:after="50"/>
        <w:ind w:firstLine="566" w:firstLineChars="236"/>
        <w:jc w:val="center"/>
        <w:rPr>
          <w:rFonts w:cs="方正小标宋简体" w:asciiTheme="minorEastAsia" w:hAnsiTheme="minorEastAsia" w:eastAsiaTheme="minorEastAsia"/>
          <w:color w:val="auto"/>
          <w:sz w:val="44"/>
          <w:szCs w:val="44"/>
          <w:highlight w:val="none"/>
        </w:rPr>
      </w:pPr>
      <w:r>
        <w:rPr>
          <w:rFonts w:asciiTheme="minorEastAsia" w:hAnsiTheme="minorEastAsia" w:eastAsiaTheme="minorEastAsia"/>
          <w:color w:val="auto"/>
          <w:sz w:val="24"/>
          <w:highlight w:val="none"/>
        </w:rPr>
        <w:br w:type="page"/>
      </w:r>
      <w:r>
        <w:rPr>
          <w:rFonts w:hint="eastAsia" w:cs="方正小标宋简体" w:asciiTheme="minorEastAsia" w:hAnsiTheme="minorEastAsia" w:eastAsiaTheme="minorEastAsia"/>
          <w:color w:val="auto"/>
          <w:sz w:val="44"/>
          <w:szCs w:val="44"/>
          <w:highlight w:val="none"/>
        </w:rPr>
        <w:t>授权委托书</w:t>
      </w:r>
    </w:p>
    <w:p w14:paraId="60BB7C90">
      <w:pPr>
        <w:snapToGrid w:val="0"/>
        <w:spacing w:beforeLines="50" w:after="50"/>
        <w:ind w:firstLine="755" w:firstLineChars="236"/>
        <w:jc w:val="center"/>
        <w:rPr>
          <w:rFonts w:cs="方正小标宋简体" w:asciiTheme="minorEastAsia" w:hAnsiTheme="minorEastAsia" w:eastAsiaTheme="minorEastAsia"/>
          <w:color w:val="auto"/>
          <w:sz w:val="32"/>
          <w:szCs w:val="32"/>
          <w:highlight w:val="none"/>
        </w:rPr>
      </w:pPr>
      <w:r>
        <w:rPr>
          <w:rFonts w:hint="eastAsia" w:cs="方正小标宋简体" w:asciiTheme="minorEastAsia" w:hAnsiTheme="minorEastAsia" w:eastAsiaTheme="minorEastAsia"/>
          <w:color w:val="auto"/>
          <w:sz w:val="32"/>
          <w:szCs w:val="32"/>
          <w:highlight w:val="none"/>
        </w:rPr>
        <w:t>（联合体投标格式）</w:t>
      </w:r>
    </w:p>
    <w:p w14:paraId="6DAABC58">
      <w:pPr>
        <w:snapToGrid w:val="0"/>
        <w:spacing w:beforeLines="50" w:after="50"/>
        <w:ind w:firstLine="755" w:firstLineChars="236"/>
        <w:jc w:val="center"/>
        <w:rPr>
          <w:rFonts w:cs="方正小标宋简体" w:asciiTheme="minorEastAsia" w:hAnsiTheme="minorEastAsia" w:eastAsiaTheme="minorEastAsia"/>
          <w:color w:val="auto"/>
          <w:sz w:val="24"/>
          <w:highlight w:val="none"/>
        </w:rPr>
      </w:pPr>
      <w:r>
        <w:rPr>
          <w:rFonts w:hint="eastAsia" w:cs="方正小标宋简体" w:asciiTheme="minorEastAsia" w:hAnsiTheme="minorEastAsia" w:eastAsiaTheme="minorEastAsia"/>
          <w:color w:val="auto"/>
          <w:sz w:val="32"/>
          <w:szCs w:val="32"/>
          <w:highlight w:val="none"/>
        </w:rPr>
        <w:t>（如有委托时）</w:t>
      </w:r>
    </w:p>
    <w:p w14:paraId="57D1FA17">
      <w:pPr>
        <w:spacing w:line="440" w:lineRule="exact"/>
        <w:contextualSpacing/>
        <w:jc w:val="left"/>
        <w:rPr>
          <w:rFonts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致：</w:t>
      </w:r>
      <w:r>
        <w:rPr>
          <w:rFonts w:hint="eastAsia" w:asciiTheme="minorEastAsia" w:hAnsiTheme="minorEastAsia" w:eastAsiaTheme="minorEastAsia"/>
          <w:color w:val="auto"/>
          <w:sz w:val="24"/>
          <w:highlight w:val="none"/>
          <w:u w:val="single"/>
        </w:rPr>
        <w:t>采购人名称</w:t>
      </w:r>
      <w:r>
        <w:rPr>
          <w:rFonts w:hint="eastAsia" w:asciiTheme="minorEastAsia" w:hAnsiTheme="minorEastAsia" w:eastAsiaTheme="minorEastAsia"/>
          <w:color w:val="auto"/>
          <w:sz w:val="24"/>
          <w:highlight w:val="none"/>
        </w:rPr>
        <w:t>：</w:t>
      </w:r>
    </w:p>
    <w:p w14:paraId="75AE5104">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根据 </w:t>
      </w:r>
      <w:r>
        <w:rPr>
          <w:rFonts w:hint="eastAsia" w:asciiTheme="minorEastAsia" w:hAnsiTheme="minorEastAsia" w:eastAsiaTheme="minorEastAsia"/>
          <w:color w:val="auto"/>
          <w:sz w:val="24"/>
          <w:highlight w:val="none"/>
          <w:u w:val="single"/>
        </w:rPr>
        <w:t xml:space="preserve"> （牵头人名称）</w:t>
      </w:r>
      <w:r>
        <w:rPr>
          <w:rFonts w:hint="eastAsia" w:asciiTheme="minorEastAsia" w:hAnsiTheme="minorEastAsia" w:eastAsiaTheme="minorEastAsia"/>
          <w:color w:val="auto"/>
          <w:sz w:val="24"/>
          <w:highlight w:val="none"/>
        </w:rPr>
        <w:t>与</w:t>
      </w:r>
      <w:r>
        <w:rPr>
          <w:rFonts w:hint="eastAsia" w:asciiTheme="minorEastAsia" w:hAnsiTheme="minorEastAsia" w:eastAsiaTheme="minorEastAsia"/>
          <w:color w:val="auto"/>
          <w:sz w:val="24"/>
          <w:highlight w:val="none"/>
          <w:u w:val="single"/>
        </w:rPr>
        <w:t>（联合体其他成员名称）</w:t>
      </w:r>
      <w:r>
        <w:rPr>
          <w:rFonts w:hint="eastAsia" w:asciiTheme="minorEastAsia" w:hAnsiTheme="minorEastAsia" w:eastAsiaTheme="minorEastAsia"/>
          <w:color w:val="auto"/>
          <w:sz w:val="24"/>
          <w:highlight w:val="none"/>
        </w:rPr>
        <w:t>签订的《联合体投标协议书》的内容，</w:t>
      </w:r>
      <w:r>
        <w:rPr>
          <w:rFonts w:hint="eastAsia" w:asciiTheme="minorEastAsia" w:hAnsiTheme="minorEastAsia" w:eastAsiaTheme="minorEastAsia"/>
          <w:color w:val="auto"/>
          <w:sz w:val="24"/>
          <w:highlight w:val="none"/>
          <w:u w:val="single"/>
        </w:rPr>
        <w:t>（牵头人名称）</w:t>
      </w:r>
      <w:r>
        <w:rPr>
          <w:rFonts w:hint="eastAsia" w:asciiTheme="minorEastAsia" w:hAnsiTheme="minorEastAsia" w:eastAsiaTheme="minorEastAsia"/>
          <w:color w:val="auto"/>
          <w:sz w:val="24"/>
          <w:highlight w:val="none"/>
        </w:rPr>
        <w:t>的法定代表人</w:t>
      </w:r>
      <w:r>
        <w:rPr>
          <w:rFonts w:hint="eastAsia" w:asciiTheme="minorEastAsia" w:hAnsiTheme="minorEastAsia" w:eastAsiaTheme="minorEastAsia"/>
          <w:color w:val="auto"/>
          <w:sz w:val="24"/>
          <w:highlight w:val="none"/>
          <w:u w:val="single"/>
        </w:rPr>
        <w:t>（姓名）</w:t>
      </w:r>
      <w:r>
        <w:rPr>
          <w:rFonts w:hint="eastAsia" w:asciiTheme="minorEastAsia" w:hAnsiTheme="minorEastAsia" w:eastAsiaTheme="minorEastAsia"/>
          <w:color w:val="auto"/>
          <w:sz w:val="24"/>
          <w:highlight w:val="none"/>
        </w:rPr>
        <w:t>现授权委托</w:t>
      </w:r>
      <w:r>
        <w:rPr>
          <w:rFonts w:hint="eastAsia" w:asciiTheme="minorEastAsia" w:hAnsiTheme="minorEastAsia" w:eastAsiaTheme="minorEastAsia"/>
          <w:color w:val="auto"/>
          <w:sz w:val="24"/>
          <w:highlight w:val="none"/>
          <w:u w:val="single"/>
        </w:rPr>
        <w:t xml:space="preserve">              （姓名）</w:t>
      </w:r>
      <w:r>
        <w:rPr>
          <w:rFonts w:hint="eastAsia" w:asciiTheme="minorEastAsia" w:hAnsiTheme="minorEastAsia" w:eastAsiaTheme="minorEastAsia"/>
          <w:color w:val="auto"/>
          <w:sz w:val="24"/>
          <w:highlight w:val="none"/>
        </w:rPr>
        <w:t>以我方的名义参加项目的投标活动，并代表我方全权办理针对上述项目的所有采购程序和环节的具体事务和签署相关文件。</w:t>
      </w:r>
    </w:p>
    <w:p w14:paraId="4E9B6E56">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我方对委托代理人的签字或者电子签名事项负全部责任。</w:t>
      </w:r>
    </w:p>
    <w:p w14:paraId="5E82E8A3">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24FB2471">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委托代理人无转委托权，特此委托。</w:t>
      </w:r>
    </w:p>
    <w:p w14:paraId="06418EF7">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附：牵头人法定代表人身份证明及委托代理人有效身份证正反面复印件</w:t>
      </w:r>
    </w:p>
    <w:p w14:paraId="3C929BD0">
      <w:pPr>
        <w:spacing w:line="440" w:lineRule="exact"/>
        <w:ind w:firstLine="566" w:firstLineChars="236"/>
        <w:contextualSpacing/>
        <w:rPr>
          <w:rFonts w:asciiTheme="minorEastAsia" w:hAnsiTheme="minorEastAsia" w:eastAsiaTheme="minorEastAsia"/>
          <w:color w:val="auto"/>
          <w:sz w:val="24"/>
          <w:highlight w:val="none"/>
        </w:rPr>
      </w:pPr>
    </w:p>
    <w:p w14:paraId="0AE9F421">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牵头人法定代表人（签字或者盖章或者电子签名）：</w:t>
      </w:r>
    </w:p>
    <w:p w14:paraId="3A444FAE">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牵头人（电子签章）：</w:t>
      </w:r>
    </w:p>
    <w:p w14:paraId="6F7FB44B">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日期：    年   月   日</w:t>
      </w:r>
    </w:p>
    <w:p w14:paraId="49C9299A">
      <w:pPr>
        <w:spacing w:line="440" w:lineRule="exact"/>
        <w:ind w:firstLine="566" w:firstLineChars="236"/>
        <w:contextualSpacing/>
        <w:rPr>
          <w:rFonts w:asciiTheme="minorEastAsia" w:hAnsiTheme="minorEastAsia" w:eastAsiaTheme="minorEastAsia"/>
          <w:color w:val="auto"/>
          <w:sz w:val="24"/>
          <w:highlight w:val="none"/>
        </w:rPr>
      </w:pPr>
    </w:p>
    <w:p w14:paraId="7D5CABC4">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被授权人（签字/电子签名）：</w:t>
      </w:r>
    </w:p>
    <w:p w14:paraId="13A3F5E7">
      <w:pPr>
        <w:spacing w:line="440" w:lineRule="exact"/>
        <w:ind w:firstLine="566" w:firstLineChars="236"/>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日期：    年   月   日</w:t>
      </w:r>
    </w:p>
    <w:p w14:paraId="2A988646">
      <w:pPr>
        <w:pStyle w:val="12"/>
        <w:rPr>
          <w:rFonts w:asciiTheme="minorEastAsia" w:hAnsiTheme="minorEastAsia" w:eastAsiaTheme="minorEastAsia"/>
          <w:color w:val="auto"/>
          <w:highlight w:val="none"/>
        </w:rPr>
      </w:pPr>
    </w:p>
    <w:p w14:paraId="61D22EDB">
      <w:pPr>
        <w:spacing w:line="440" w:lineRule="exact"/>
        <w:contextualSpacing/>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注：1. 法定代表人必须在授权委托书上亲笔签字或者盖章</w:t>
      </w:r>
      <w:r>
        <w:rPr>
          <w:rFonts w:hint="eastAsia" w:asciiTheme="minorEastAsia" w:hAnsiTheme="minorEastAsia" w:eastAsiaTheme="minorEastAsia"/>
          <w:color w:val="auto"/>
          <w:sz w:val="24"/>
          <w:highlight w:val="none"/>
        </w:rPr>
        <w:t>或者电子签名</w:t>
      </w:r>
      <w:r>
        <w:rPr>
          <w:rFonts w:hint="eastAsia" w:cs="仿宋_GB2312" w:asciiTheme="minorEastAsia" w:hAnsiTheme="minorEastAsia" w:eastAsiaTheme="minorEastAsia"/>
          <w:color w:val="auto"/>
          <w:sz w:val="24"/>
          <w:highlight w:val="none"/>
        </w:rPr>
        <w:t>，委托代理人必须在授权委托书上亲笔签字或者电子签名，</w:t>
      </w:r>
      <w:r>
        <w:rPr>
          <w:rFonts w:hint="eastAsia" w:cs="仿宋_GB2312" w:asciiTheme="minorEastAsia" w:hAnsiTheme="minorEastAsia" w:eastAsiaTheme="minorEastAsia"/>
          <w:b/>
          <w:bCs/>
          <w:color w:val="auto"/>
          <w:sz w:val="24"/>
          <w:highlight w:val="none"/>
        </w:rPr>
        <w:t>否则按无效投标处理</w:t>
      </w:r>
      <w:r>
        <w:rPr>
          <w:rFonts w:hint="eastAsia" w:cs="仿宋_GB2312" w:asciiTheme="minorEastAsia" w:hAnsiTheme="minorEastAsia" w:eastAsiaTheme="minorEastAsia"/>
          <w:color w:val="auto"/>
          <w:sz w:val="24"/>
          <w:highlight w:val="none"/>
        </w:rPr>
        <w:t>；</w:t>
      </w:r>
    </w:p>
    <w:p w14:paraId="51DB9641">
      <w:pPr>
        <w:spacing w:line="440" w:lineRule="exact"/>
        <w:ind w:firstLine="480" w:firstLineChars="200"/>
        <w:contextualSpacing/>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2.本授权委托书应由联合体牵头人的法定代表人按上述规定</w:t>
      </w:r>
      <w:r>
        <w:rPr>
          <w:rFonts w:hint="eastAsia" w:asciiTheme="minorEastAsia" w:hAnsiTheme="minorEastAsia" w:eastAsiaTheme="minorEastAsia"/>
          <w:color w:val="auto"/>
          <w:sz w:val="24"/>
          <w:highlight w:val="none"/>
        </w:rPr>
        <w:t>签字或者盖章或者电子签名</w:t>
      </w:r>
      <w:r>
        <w:rPr>
          <w:rFonts w:hint="eastAsia" w:cs="仿宋_GB2312" w:asciiTheme="minorEastAsia" w:hAnsiTheme="minorEastAsia" w:eastAsiaTheme="minorEastAsia"/>
          <w:color w:val="auto"/>
          <w:sz w:val="24"/>
          <w:highlight w:val="none"/>
        </w:rPr>
        <w:t>。</w:t>
      </w:r>
    </w:p>
    <w:p w14:paraId="0AAEB155">
      <w:pPr>
        <w:spacing w:line="440" w:lineRule="exact"/>
        <w:ind w:firstLine="480" w:firstLineChars="200"/>
        <w:contextualSpacing/>
        <w:jc w:val="left"/>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r>
        <w:rPr>
          <w:rFonts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rPr>
        <w:t>法人、其他组织投标时“我方”是指“我单位”，自然人投标时“我方”是指“本人”。</w:t>
      </w:r>
    </w:p>
    <w:p w14:paraId="0C40C4CC">
      <w:pPr>
        <w:snapToGrid w:val="0"/>
        <w:spacing w:before="50" w:afterLines="50"/>
        <w:ind w:firstLine="480" w:firstLineChars="200"/>
        <w:jc w:val="left"/>
        <w:rPr>
          <w:rFonts w:asciiTheme="minorEastAsia" w:hAnsiTheme="minorEastAsia" w:eastAsiaTheme="minorEastAsia"/>
          <w:color w:val="auto"/>
          <w:sz w:val="24"/>
          <w:highlight w:val="none"/>
        </w:rPr>
        <w:sectPr>
          <w:pgSz w:w="11906" w:h="16838"/>
          <w:pgMar w:top="1701" w:right="1701" w:bottom="1701" w:left="1701" w:header="851" w:footer="992" w:gutter="0"/>
          <w:pgNumType w:fmt="decimal"/>
          <w:cols w:space="720" w:num="1"/>
          <w:titlePg/>
          <w:docGrid w:linePitch="312" w:charSpace="0"/>
        </w:sectPr>
      </w:pPr>
    </w:p>
    <w:p w14:paraId="47CACD4D">
      <w:pPr>
        <w:outlineLvl w:val="2"/>
        <w:rPr>
          <w:rFonts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highlight w:val="none"/>
        </w:rPr>
        <w:t>6.商务要求偏离表格式（注：按项目需求表具体项目修改）</w:t>
      </w:r>
    </w:p>
    <w:p w14:paraId="2890826F">
      <w:pPr>
        <w:snapToGrid w:val="0"/>
        <w:spacing w:before="50"/>
        <w:jc w:val="left"/>
        <w:rPr>
          <w:rFonts w:asciiTheme="minorEastAsia" w:hAnsiTheme="minorEastAsia" w:eastAsiaTheme="minorEastAsia"/>
          <w:color w:val="auto"/>
          <w:sz w:val="24"/>
          <w:highlight w:val="none"/>
        </w:rPr>
      </w:pPr>
    </w:p>
    <w:p w14:paraId="2D80AE2C">
      <w:pPr>
        <w:pStyle w:val="14"/>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color w:val="auto"/>
          <w:sz w:val="24"/>
          <w:szCs w:val="24"/>
          <w:highlight w:val="none"/>
        </w:rPr>
        <w:t>：分标</w:t>
      </w:r>
    </w:p>
    <w:tbl>
      <w:tblPr>
        <w:tblStyle w:val="23"/>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95"/>
        <w:gridCol w:w="2410"/>
        <w:gridCol w:w="1843"/>
        <w:gridCol w:w="1893"/>
      </w:tblGrid>
      <w:tr w14:paraId="750512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495" w:type="dxa"/>
            <w:tcBorders>
              <w:top w:val="single" w:color="auto" w:sz="4" w:space="0"/>
              <w:left w:val="single" w:color="auto" w:sz="4" w:space="0"/>
              <w:bottom w:val="single" w:color="auto" w:sz="4" w:space="0"/>
              <w:right w:val="single" w:color="auto" w:sz="4" w:space="0"/>
            </w:tcBorders>
          </w:tcPr>
          <w:p w14:paraId="59FF2387">
            <w:pPr>
              <w:snapToGrid w:val="0"/>
              <w:spacing w:beforeLines="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w:t>
            </w:r>
          </w:p>
        </w:tc>
        <w:tc>
          <w:tcPr>
            <w:tcW w:w="2410" w:type="dxa"/>
            <w:tcBorders>
              <w:top w:val="single" w:color="auto" w:sz="4" w:space="0"/>
              <w:left w:val="single" w:color="auto" w:sz="4" w:space="0"/>
              <w:bottom w:val="single" w:color="auto" w:sz="4" w:space="0"/>
              <w:right w:val="single" w:color="auto" w:sz="4" w:space="0"/>
            </w:tcBorders>
          </w:tcPr>
          <w:p w14:paraId="2E49B3AE">
            <w:pPr>
              <w:snapToGrid w:val="0"/>
              <w:spacing w:beforeLines="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招标文件商务要求</w:t>
            </w:r>
          </w:p>
        </w:tc>
        <w:tc>
          <w:tcPr>
            <w:tcW w:w="1843" w:type="dxa"/>
            <w:tcBorders>
              <w:top w:val="single" w:color="auto" w:sz="4" w:space="0"/>
              <w:left w:val="single" w:color="auto" w:sz="4" w:space="0"/>
              <w:bottom w:val="single" w:color="auto" w:sz="4" w:space="0"/>
              <w:right w:val="single" w:color="auto" w:sz="4" w:space="0"/>
            </w:tcBorders>
          </w:tcPr>
          <w:p w14:paraId="74C0956A">
            <w:pPr>
              <w:snapToGrid w:val="0"/>
              <w:spacing w:beforeLines="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投标人的承诺</w:t>
            </w:r>
          </w:p>
        </w:tc>
        <w:tc>
          <w:tcPr>
            <w:tcW w:w="1893" w:type="dxa"/>
            <w:tcBorders>
              <w:top w:val="single" w:color="auto" w:sz="4" w:space="0"/>
              <w:left w:val="single" w:color="auto" w:sz="4" w:space="0"/>
              <w:bottom w:val="single" w:color="auto" w:sz="4" w:space="0"/>
              <w:right w:val="single" w:color="auto" w:sz="4" w:space="0"/>
            </w:tcBorders>
          </w:tcPr>
          <w:p w14:paraId="61DE5185">
            <w:pPr>
              <w:snapToGrid w:val="0"/>
              <w:spacing w:beforeLines="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偏离说明</w:t>
            </w:r>
          </w:p>
        </w:tc>
      </w:tr>
      <w:tr w14:paraId="79ADB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495" w:type="dxa"/>
            <w:tcBorders>
              <w:top w:val="single" w:color="auto" w:sz="4" w:space="0"/>
              <w:left w:val="single" w:color="auto" w:sz="4" w:space="0"/>
              <w:bottom w:val="single" w:color="auto" w:sz="4" w:space="0"/>
              <w:right w:val="single" w:color="auto" w:sz="4" w:space="0"/>
            </w:tcBorders>
            <w:vAlign w:val="center"/>
          </w:tcPr>
          <w:p w14:paraId="1400E6A3">
            <w:pPr>
              <w:snapToGrid w:val="0"/>
              <w:spacing w:line="360" w:lineRule="exact"/>
              <w:jc w:val="center"/>
              <w:rPr>
                <w:rFonts w:asciiTheme="minorEastAsia" w:hAnsiTheme="minorEastAsia" w:eastAsiaTheme="minorEastAsia"/>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23A7B72A">
            <w:pPr>
              <w:snapToGrid w:val="0"/>
              <w:spacing w:beforeLines="50"/>
              <w:jc w:val="center"/>
              <w:rPr>
                <w:rFonts w:asciiTheme="minorEastAsia" w:hAnsiTheme="minorEastAsia" w:eastAsia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546E23EA">
            <w:pPr>
              <w:snapToGrid w:val="0"/>
              <w:spacing w:beforeLines="50"/>
              <w:jc w:val="center"/>
              <w:rPr>
                <w:rFonts w:asciiTheme="minorEastAsia" w:hAnsiTheme="minorEastAsia" w:eastAsiaTheme="minorEastAsia"/>
                <w:color w:val="auto"/>
                <w:sz w:val="24"/>
                <w:highlight w:val="none"/>
              </w:rPr>
            </w:pPr>
          </w:p>
        </w:tc>
        <w:tc>
          <w:tcPr>
            <w:tcW w:w="1893" w:type="dxa"/>
            <w:tcBorders>
              <w:top w:val="single" w:color="auto" w:sz="4" w:space="0"/>
              <w:left w:val="single" w:color="auto" w:sz="4" w:space="0"/>
              <w:bottom w:val="single" w:color="auto" w:sz="4" w:space="0"/>
              <w:right w:val="single" w:color="auto" w:sz="4" w:space="0"/>
            </w:tcBorders>
          </w:tcPr>
          <w:p w14:paraId="2B0161BD">
            <w:pPr>
              <w:snapToGrid w:val="0"/>
              <w:spacing w:beforeLines="50"/>
              <w:jc w:val="center"/>
              <w:rPr>
                <w:rFonts w:asciiTheme="minorEastAsia" w:hAnsiTheme="minorEastAsia" w:eastAsiaTheme="minorEastAsia"/>
                <w:color w:val="auto"/>
                <w:sz w:val="24"/>
                <w:highlight w:val="none"/>
              </w:rPr>
            </w:pPr>
          </w:p>
        </w:tc>
      </w:tr>
      <w:tr w14:paraId="5436A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14:paraId="488556EA">
            <w:pPr>
              <w:spacing w:line="360" w:lineRule="exact"/>
              <w:jc w:val="center"/>
              <w:rPr>
                <w:rFonts w:asciiTheme="minorEastAsia" w:hAnsiTheme="minorEastAsia" w:eastAsiaTheme="minorEastAsia"/>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405410F0">
            <w:pPr>
              <w:snapToGrid w:val="0"/>
              <w:spacing w:beforeLines="50"/>
              <w:rPr>
                <w:rFonts w:asciiTheme="minorEastAsia" w:hAnsiTheme="minorEastAsia" w:eastAsiaTheme="minorEastAsia"/>
                <w:color w:val="auto"/>
                <w:sz w:val="24"/>
                <w:highlight w:val="none"/>
                <w:u w:val="single"/>
              </w:rPr>
            </w:pPr>
          </w:p>
        </w:tc>
        <w:tc>
          <w:tcPr>
            <w:tcW w:w="1843" w:type="dxa"/>
            <w:tcBorders>
              <w:top w:val="single" w:color="auto" w:sz="4" w:space="0"/>
              <w:left w:val="single" w:color="auto" w:sz="4" w:space="0"/>
              <w:bottom w:val="single" w:color="auto" w:sz="4" w:space="0"/>
              <w:right w:val="single" w:color="auto" w:sz="4" w:space="0"/>
            </w:tcBorders>
          </w:tcPr>
          <w:p w14:paraId="469B71FA">
            <w:pPr>
              <w:snapToGrid w:val="0"/>
              <w:spacing w:beforeLines="50"/>
              <w:ind w:left="43"/>
              <w:jc w:val="center"/>
              <w:rPr>
                <w:rFonts w:asciiTheme="minorEastAsia" w:hAnsiTheme="minorEastAsia" w:eastAsiaTheme="minorEastAsia"/>
                <w:color w:val="auto"/>
                <w:sz w:val="24"/>
                <w:highlight w:val="none"/>
              </w:rPr>
            </w:pPr>
          </w:p>
        </w:tc>
        <w:tc>
          <w:tcPr>
            <w:tcW w:w="1893" w:type="dxa"/>
            <w:tcBorders>
              <w:top w:val="single" w:color="auto" w:sz="4" w:space="0"/>
              <w:left w:val="single" w:color="auto" w:sz="4" w:space="0"/>
              <w:bottom w:val="single" w:color="auto" w:sz="4" w:space="0"/>
              <w:right w:val="single" w:color="auto" w:sz="4" w:space="0"/>
            </w:tcBorders>
          </w:tcPr>
          <w:p w14:paraId="65C4E8BE">
            <w:pPr>
              <w:snapToGrid w:val="0"/>
              <w:spacing w:beforeLines="50"/>
              <w:ind w:left="43"/>
              <w:jc w:val="center"/>
              <w:rPr>
                <w:rFonts w:asciiTheme="minorEastAsia" w:hAnsiTheme="minorEastAsia" w:eastAsiaTheme="minorEastAsia"/>
                <w:color w:val="auto"/>
                <w:sz w:val="24"/>
                <w:highlight w:val="none"/>
              </w:rPr>
            </w:pPr>
          </w:p>
        </w:tc>
      </w:tr>
      <w:tr w14:paraId="4C032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14:paraId="6B0B7CC7">
            <w:pPr>
              <w:snapToGrid w:val="0"/>
              <w:spacing w:line="360" w:lineRule="exact"/>
              <w:jc w:val="center"/>
              <w:rPr>
                <w:rFonts w:asciiTheme="minorEastAsia" w:hAnsiTheme="minorEastAsia" w:eastAsiaTheme="minorEastAsia"/>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225BD5FD">
            <w:pPr>
              <w:snapToGrid w:val="0"/>
              <w:spacing w:beforeLines="50"/>
              <w:rPr>
                <w:rFonts w:asciiTheme="minorEastAsia" w:hAnsiTheme="minorEastAsia" w:eastAsiaTheme="minorEastAsia"/>
                <w:color w:val="auto"/>
                <w:sz w:val="24"/>
                <w:highlight w:val="none"/>
                <w:u w:val="single"/>
              </w:rPr>
            </w:pPr>
          </w:p>
        </w:tc>
        <w:tc>
          <w:tcPr>
            <w:tcW w:w="1843" w:type="dxa"/>
            <w:tcBorders>
              <w:top w:val="single" w:color="auto" w:sz="4" w:space="0"/>
              <w:left w:val="single" w:color="auto" w:sz="4" w:space="0"/>
              <w:bottom w:val="single" w:color="auto" w:sz="4" w:space="0"/>
              <w:right w:val="single" w:color="auto" w:sz="4" w:space="0"/>
            </w:tcBorders>
          </w:tcPr>
          <w:p w14:paraId="6C50D9B4">
            <w:pPr>
              <w:snapToGrid w:val="0"/>
              <w:spacing w:beforeLines="50"/>
              <w:ind w:left="43"/>
              <w:jc w:val="center"/>
              <w:rPr>
                <w:rFonts w:asciiTheme="minorEastAsia" w:hAnsiTheme="minorEastAsia" w:eastAsiaTheme="minorEastAsia"/>
                <w:color w:val="auto"/>
                <w:sz w:val="24"/>
                <w:highlight w:val="none"/>
              </w:rPr>
            </w:pPr>
          </w:p>
        </w:tc>
        <w:tc>
          <w:tcPr>
            <w:tcW w:w="1893" w:type="dxa"/>
            <w:tcBorders>
              <w:top w:val="single" w:color="auto" w:sz="4" w:space="0"/>
              <w:left w:val="single" w:color="auto" w:sz="4" w:space="0"/>
              <w:bottom w:val="single" w:color="auto" w:sz="4" w:space="0"/>
              <w:right w:val="single" w:color="auto" w:sz="4" w:space="0"/>
            </w:tcBorders>
          </w:tcPr>
          <w:p w14:paraId="15442768">
            <w:pPr>
              <w:snapToGrid w:val="0"/>
              <w:spacing w:beforeLines="50"/>
              <w:ind w:left="43"/>
              <w:jc w:val="center"/>
              <w:rPr>
                <w:rFonts w:asciiTheme="minorEastAsia" w:hAnsiTheme="minorEastAsia" w:eastAsiaTheme="minorEastAsia"/>
                <w:color w:val="auto"/>
                <w:sz w:val="24"/>
                <w:highlight w:val="none"/>
              </w:rPr>
            </w:pPr>
          </w:p>
        </w:tc>
      </w:tr>
      <w:tr w14:paraId="11134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14:paraId="31E5B2E2">
            <w:pPr>
              <w:snapToGrid w:val="0"/>
              <w:spacing w:line="360" w:lineRule="exact"/>
              <w:jc w:val="center"/>
              <w:rPr>
                <w:rFonts w:asciiTheme="minorEastAsia" w:hAnsiTheme="minorEastAsia" w:eastAsiaTheme="minorEastAsia"/>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6BEBF2E6">
            <w:pPr>
              <w:snapToGrid w:val="0"/>
              <w:spacing w:beforeLines="50"/>
              <w:rPr>
                <w:rFonts w:asciiTheme="minorEastAsia" w:hAnsiTheme="minorEastAsia" w:eastAsiaTheme="minorEastAsia"/>
                <w:color w:val="auto"/>
                <w:sz w:val="24"/>
                <w:highlight w:val="none"/>
                <w:u w:val="single"/>
              </w:rPr>
            </w:pPr>
          </w:p>
        </w:tc>
        <w:tc>
          <w:tcPr>
            <w:tcW w:w="1843" w:type="dxa"/>
            <w:tcBorders>
              <w:top w:val="single" w:color="auto" w:sz="4" w:space="0"/>
              <w:left w:val="single" w:color="auto" w:sz="4" w:space="0"/>
              <w:bottom w:val="single" w:color="auto" w:sz="4" w:space="0"/>
              <w:right w:val="single" w:color="auto" w:sz="4" w:space="0"/>
            </w:tcBorders>
          </w:tcPr>
          <w:p w14:paraId="793D0DBD">
            <w:pPr>
              <w:snapToGrid w:val="0"/>
              <w:spacing w:beforeLines="50"/>
              <w:ind w:left="43"/>
              <w:jc w:val="center"/>
              <w:rPr>
                <w:rFonts w:asciiTheme="minorEastAsia" w:hAnsiTheme="minorEastAsia" w:eastAsiaTheme="minorEastAsia"/>
                <w:color w:val="auto"/>
                <w:sz w:val="24"/>
                <w:highlight w:val="none"/>
              </w:rPr>
            </w:pPr>
          </w:p>
        </w:tc>
        <w:tc>
          <w:tcPr>
            <w:tcW w:w="1893" w:type="dxa"/>
            <w:tcBorders>
              <w:top w:val="single" w:color="auto" w:sz="4" w:space="0"/>
              <w:left w:val="single" w:color="auto" w:sz="4" w:space="0"/>
              <w:bottom w:val="single" w:color="auto" w:sz="4" w:space="0"/>
              <w:right w:val="single" w:color="auto" w:sz="4" w:space="0"/>
            </w:tcBorders>
          </w:tcPr>
          <w:p w14:paraId="4904040D">
            <w:pPr>
              <w:snapToGrid w:val="0"/>
              <w:spacing w:beforeLines="50"/>
              <w:ind w:left="43"/>
              <w:jc w:val="center"/>
              <w:rPr>
                <w:rFonts w:asciiTheme="minorEastAsia" w:hAnsiTheme="minorEastAsia" w:eastAsiaTheme="minorEastAsia"/>
                <w:color w:val="auto"/>
                <w:sz w:val="24"/>
                <w:highlight w:val="none"/>
              </w:rPr>
            </w:pPr>
          </w:p>
        </w:tc>
      </w:tr>
      <w:tr w14:paraId="79228D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95" w:type="dxa"/>
            <w:tcBorders>
              <w:top w:val="single" w:color="auto" w:sz="4" w:space="0"/>
              <w:left w:val="single" w:color="auto" w:sz="4" w:space="0"/>
              <w:bottom w:val="single" w:color="auto" w:sz="4" w:space="0"/>
              <w:right w:val="single" w:color="auto" w:sz="4" w:space="0"/>
            </w:tcBorders>
            <w:vAlign w:val="center"/>
          </w:tcPr>
          <w:p w14:paraId="1C8441BA">
            <w:pPr>
              <w:snapToGrid w:val="0"/>
              <w:spacing w:line="360" w:lineRule="exact"/>
              <w:jc w:val="center"/>
              <w:rPr>
                <w:rFonts w:asciiTheme="minorEastAsia" w:hAnsiTheme="minorEastAsia" w:eastAsiaTheme="minorEastAsia"/>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3862AA33">
            <w:pPr>
              <w:snapToGrid w:val="0"/>
              <w:spacing w:beforeLines="50"/>
              <w:jc w:val="center"/>
              <w:rPr>
                <w:rFonts w:asciiTheme="minorEastAsia" w:hAnsiTheme="minorEastAsia" w:eastAsia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5EA4D3B1">
            <w:pPr>
              <w:snapToGrid w:val="0"/>
              <w:spacing w:beforeLines="50"/>
              <w:jc w:val="center"/>
              <w:rPr>
                <w:rFonts w:asciiTheme="minorEastAsia" w:hAnsiTheme="minorEastAsia" w:eastAsiaTheme="minorEastAsia"/>
                <w:color w:val="auto"/>
                <w:sz w:val="24"/>
                <w:highlight w:val="none"/>
              </w:rPr>
            </w:pPr>
          </w:p>
        </w:tc>
        <w:tc>
          <w:tcPr>
            <w:tcW w:w="1893" w:type="dxa"/>
            <w:tcBorders>
              <w:top w:val="single" w:color="auto" w:sz="4" w:space="0"/>
              <w:left w:val="single" w:color="auto" w:sz="4" w:space="0"/>
              <w:bottom w:val="single" w:color="auto" w:sz="4" w:space="0"/>
              <w:right w:val="single" w:color="auto" w:sz="4" w:space="0"/>
            </w:tcBorders>
          </w:tcPr>
          <w:p w14:paraId="1596D71B">
            <w:pPr>
              <w:snapToGrid w:val="0"/>
              <w:spacing w:beforeLines="50"/>
              <w:jc w:val="center"/>
              <w:rPr>
                <w:rFonts w:asciiTheme="minorEastAsia" w:hAnsiTheme="minorEastAsia" w:eastAsiaTheme="minorEastAsia"/>
                <w:color w:val="auto"/>
                <w:sz w:val="24"/>
                <w:highlight w:val="none"/>
              </w:rPr>
            </w:pPr>
          </w:p>
        </w:tc>
      </w:tr>
      <w:tr w14:paraId="7EA51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95" w:type="dxa"/>
            <w:tcBorders>
              <w:top w:val="single" w:color="auto" w:sz="4" w:space="0"/>
              <w:left w:val="single" w:color="auto" w:sz="4" w:space="0"/>
              <w:bottom w:val="single" w:color="auto" w:sz="4" w:space="0"/>
              <w:right w:val="single" w:color="auto" w:sz="4" w:space="0"/>
            </w:tcBorders>
            <w:vAlign w:val="center"/>
          </w:tcPr>
          <w:p w14:paraId="30A1054E">
            <w:pPr>
              <w:snapToGrid w:val="0"/>
              <w:spacing w:line="360" w:lineRule="exact"/>
              <w:jc w:val="center"/>
              <w:rPr>
                <w:rFonts w:asciiTheme="minorEastAsia" w:hAnsiTheme="minorEastAsia" w:eastAsiaTheme="minorEastAsia"/>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1348950B">
            <w:pPr>
              <w:snapToGrid w:val="0"/>
              <w:spacing w:beforeLines="50"/>
              <w:jc w:val="center"/>
              <w:rPr>
                <w:rFonts w:asciiTheme="minorEastAsia" w:hAnsiTheme="minorEastAsia" w:eastAsia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480A730B">
            <w:pPr>
              <w:snapToGrid w:val="0"/>
              <w:spacing w:beforeLines="50"/>
              <w:jc w:val="center"/>
              <w:rPr>
                <w:rFonts w:asciiTheme="minorEastAsia" w:hAnsiTheme="minorEastAsia" w:eastAsiaTheme="minorEastAsia"/>
                <w:color w:val="auto"/>
                <w:sz w:val="24"/>
                <w:highlight w:val="none"/>
              </w:rPr>
            </w:pPr>
          </w:p>
        </w:tc>
        <w:tc>
          <w:tcPr>
            <w:tcW w:w="1893" w:type="dxa"/>
            <w:tcBorders>
              <w:top w:val="single" w:color="auto" w:sz="4" w:space="0"/>
              <w:left w:val="single" w:color="auto" w:sz="4" w:space="0"/>
              <w:bottom w:val="single" w:color="auto" w:sz="4" w:space="0"/>
              <w:right w:val="single" w:color="auto" w:sz="4" w:space="0"/>
            </w:tcBorders>
          </w:tcPr>
          <w:p w14:paraId="0A0BFD91">
            <w:pPr>
              <w:snapToGrid w:val="0"/>
              <w:spacing w:beforeLines="50"/>
              <w:jc w:val="center"/>
              <w:rPr>
                <w:rFonts w:asciiTheme="minorEastAsia" w:hAnsiTheme="minorEastAsia" w:eastAsiaTheme="minorEastAsia"/>
                <w:color w:val="auto"/>
                <w:sz w:val="24"/>
                <w:highlight w:val="none"/>
              </w:rPr>
            </w:pPr>
          </w:p>
        </w:tc>
      </w:tr>
    </w:tbl>
    <w:p w14:paraId="0198B904">
      <w:pPr>
        <w:pStyle w:val="11"/>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注：</w:t>
      </w:r>
    </w:p>
    <w:p w14:paraId="4BC6D75C">
      <w:pPr>
        <w:pStyle w:val="13"/>
        <w:spacing w:line="520" w:lineRule="exact"/>
        <w:ind w:firstLine="0" w:firstLineChars="0"/>
        <w:rPr>
          <w:rFonts w:cs="仿宋_GB2312" w:asciiTheme="minorEastAsia" w:hAnsiTheme="minorEastAsia" w:eastAsiaTheme="minorEastAsia"/>
          <w:color w:val="auto"/>
          <w:szCs w:val="32"/>
          <w:highlight w:val="none"/>
        </w:rPr>
      </w:pPr>
      <w:r>
        <w:rPr>
          <w:rFonts w:hint="eastAsia" w:asciiTheme="minorEastAsia" w:hAnsiTheme="minorEastAsia" w:eastAsiaTheme="minorEastAsia"/>
          <w:color w:val="auto"/>
          <w:sz w:val="24"/>
          <w:szCs w:val="24"/>
          <w:highlight w:val="none"/>
        </w:rPr>
        <w:t>1.说明：应对照招标文件“第二章 采购需求”中的商务要求逐条作明确的投标响应，并作出偏离说明。</w:t>
      </w:r>
    </w:p>
    <w:p w14:paraId="583B54EF">
      <w:pPr>
        <w:pStyle w:val="11"/>
        <w:rPr>
          <w:rFonts w:asciiTheme="minorEastAsia" w:hAnsiTheme="minorEastAsia" w:eastAsiaTheme="minorEastAsia"/>
          <w:b w:val="0"/>
          <w:bCs w:val="0"/>
          <w:color w:val="auto"/>
          <w:highlight w:val="none"/>
        </w:rPr>
      </w:pPr>
      <w:r>
        <w:rPr>
          <w:rFonts w:asciiTheme="minorEastAsia" w:hAnsiTheme="minorEastAsia" w:eastAsiaTheme="minorEastAsia"/>
          <w:b w:val="0"/>
          <w:bCs w:val="0"/>
          <w:color w:val="auto"/>
          <w:highlight w:val="none"/>
        </w:rPr>
        <w:t>2.</w:t>
      </w:r>
      <w:r>
        <w:rPr>
          <w:rFonts w:hint="eastAsia" w:asciiTheme="minorEastAsia" w:hAnsiTheme="minorEastAsia" w:eastAsiaTheme="minorEastAsia"/>
          <w:b w:val="0"/>
          <w:bCs w:val="0"/>
          <w:color w:val="auto"/>
          <w:highlight w:val="none"/>
        </w:rPr>
        <w:t>投标人应根据自身的承诺，对照招标文件要求在“偏离说明”中注明“</w:t>
      </w:r>
      <w:r>
        <w:rPr>
          <w:rFonts w:hint="eastAsia" w:asciiTheme="minorEastAsia" w:hAnsiTheme="minorEastAsia" w:eastAsiaTheme="minorEastAsia"/>
          <w:color w:val="auto"/>
          <w:highlight w:val="none"/>
        </w:rPr>
        <w:t>正偏离</w:t>
      </w:r>
      <w:r>
        <w:rPr>
          <w:rFonts w:hint="eastAsia" w:asciiTheme="minorEastAsia" w:hAnsiTheme="minorEastAsia" w:eastAsiaTheme="minorEastAsia"/>
          <w:b w:val="0"/>
          <w:bCs w:val="0"/>
          <w:color w:val="auto"/>
          <w:highlight w:val="none"/>
        </w:rPr>
        <w:t>”、“</w:t>
      </w:r>
      <w:r>
        <w:rPr>
          <w:rFonts w:hint="eastAsia" w:asciiTheme="minorEastAsia" w:hAnsiTheme="minorEastAsia" w:eastAsiaTheme="minorEastAsia"/>
          <w:color w:val="auto"/>
          <w:highlight w:val="none"/>
        </w:rPr>
        <w:t>负偏离</w:t>
      </w:r>
      <w:r>
        <w:rPr>
          <w:rFonts w:hint="eastAsia" w:asciiTheme="minorEastAsia" w:hAnsiTheme="minorEastAsia" w:eastAsiaTheme="minorEastAsia"/>
          <w:b w:val="0"/>
          <w:bCs w:val="0"/>
          <w:color w:val="auto"/>
          <w:highlight w:val="none"/>
        </w:rPr>
        <w:t>”或者“</w:t>
      </w:r>
      <w:r>
        <w:rPr>
          <w:rFonts w:hint="eastAsia" w:asciiTheme="minorEastAsia" w:hAnsiTheme="minorEastAsia" w:eastAsiaTheme="minorEastAsia"/>
          <w:color w:val="auto"/>
          <w:highlight w:val="none"/>
        </w:rPr>
        <w:t>无偏离</w:t>
      </w:r>
      <w:r>
        <w:rPr>
          <w:rFonts w:hint="eastAsia" w:asciiTheme="minorEastAsia" w:hAnsiTheme="minorEastAsia" w:eastAsiaTheme="minorEastAsia"/>
          <w:b w:val="0"/>
          <w:bCs w:val="0"/>
          <w:color w:val="auto"/>
          <w:highlight w:val="none"/>
        </w:rPr>
        <w:t>”。既不属于“</w:t>
      </w:r>
      <w:r>
        <w:rPr>
          <w:rFonts w:hint="eastAsia" w:asciiTheme="minorEastAsia" w:hAnsiTheme="minorEastAsia" w:eastAsiaTheme="minorEastAsia"/>
          <w:color w:val="auto"/>
          <w:highlight w:val="none"/>
        </w:rPr>
        <w:t>正偏离</w:t>
      </w:r>
      <w:r>
        <w:rPr>
          <w:rFonts w:hint="eastAsia" w:asciiTheme="minorEastAsia" w:hAnsiTheme="minorEastAsia" w:eastAsiaTheme="minorEastAsia"/>
          <w:b w:val="0"/>
          <w:bCs w:val="0"/>
          <w:color w:val="auto"/>
          <w:highlight w:val="none"/>
        </w:rPr>
        <w:t>”也不属于“</w:t>
      </w:r>
      <w:r>
        <w:rPr>
          <w:rFonts w:hint="eastAsia" w:asciiTheme="minorEastAsia" w:hAnsiTheme="minorEastAsia" w:eastAsiaTheme="minorEastAsia"/>
          <w:color w:val="auto"/>
          <w:highlight w:val="none"/>
        </w:rPr>
        <w:t>负偏离</w:t>
      </w:r>
      <w:r>
        <w:rPr>
          <w:rFonts w:hint="eastAsia" w:asciiTheme="minorEastAsia" w:hAnsiTheme="minorEastAsia" w:eastAsiaTheme="minorEastAsia"/>
          <w:b w:val="0"/>
          <w:bCs w:val="0"/>
          <w:color w:val="auto"/>
          <w:highlight w:val="none"/>
        </w:rPr>
        <w:t>”即为“</w:t>
      </w:r>
      <w:r>
        <w:rPr>
          <w:rFonts w:hint="eastAsia" w:asciiTheme="minorEastAsia" w:hAnsiTheme="minorEastAsia" w:eastAsiaTheme="minorEastAsia"/>
          <w:color w:val="auto"/>
          <w:highlight w:val="none"/>
        </w:rPr>
        <w:t>无偏离</w:t>
      </w:r>
      <w:r>
        <w:rPr>
          <w:rFonts w:hint="eastAsia" w:asciiTheme="minorEastAsia" w:hAnsiTheme="minorEastAsia" w:eastAsiaTheme="minorEastAsia"/>
          <w:b w:val="0"/>
          <w:bCs w:val="0"/>
          <w:color w:val="auto"/>
          <w:highlight w:val="none"/>
        </w:rPr>
        <w:t>”。</w:t>
      </w:r>
    </w:p>
    <w:p w14:paraId="06068114">
      <w:pPr>
        <w:snapToGrid w:val="0"/>
        <w:spacing w:before="50" w:after="50"/>
        <w:rPr>
          <w:rFonts w:asciiTheme="minorEastAsia" w:hAnsiTheme="minorEastAsia" w:eastAsiaTheme="minorEastAsia"/>
          <w:color w:val="auto"/>
          <w:sz w:val="24"/>
          <w:highlight w:val="none"/>
        </w:rPr>
      </w:pPr>
    </w:p>
    <w:p w14:paraId="1DC359B2">
      <w:pPr>
        <w:snapToGrid w:val="0"/>
        <w:spacing w:before="50" w:after="50"/>
        <w:rPr>
          <w:rFonts w:asciiTheme="minorEastAsia" w:hAnsiTheme="minorEastAsia" w:eastAsiaTheme="minorEastAsia"/>
          <w:color w:val="auto"/>
          <w:spacing w:val="20"/>
          <w:sz w:val="24"/>
          <w:highlight w:val="none"/>
          <w:u w:val="single"/>
        </w:rPr>
      </w:pPr>
      <w:r>
        <w:rPr>
          <w:rFonts w:hint="eastAsia"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pacing w:val="20"/>
          <w:sz w:val="24"/>
          <w:highlight w:val="none"/>
        </w:rPr>
        <w:t>（签字/电子签名）：</w:t>
      </w:r>
    </w:p>
    <w:p w14:paraId="3D6B9F9D">
      <w:pPr>
        <w:snapToGrid w:val="0"/>
        <w:spacing w:beforeLines="50"/>
        <w:rPr>
          <w:rFonts w:asciiTheme="minorEastAsia" w:hAnsiTheme="minorEastAsia" w:eastAsiaTheme="minorEastAsia"/>
          <w:color w:val="auto"/>
          <w:spacing w:val="20"/>
          <w:sz w:val="24"/>
          <w:highlight w:val="none"/>
        </w:rPr>
      </w:pPr>
      <w:r>
        <w:rPr>
          <w:rFonts w:hint="eastAsia" w:asciiTheme="minorEastAsia" w:hAnsiTheme="minorEastAsia" w:eastAsiaTheme="minorEastAsia"/>
          <w:color w:val="auto"/>
          <w:spacing w:val="20"/>
          <w:sz w:val="24"/>
          <w:highlight w:val="none"/>
        </w:rPr>
        <w:t>投标人名称（电子签章）：</w:t>
      </w:r>
    </w:p>
    <w:p w14:paraId="4328DBE3">
      <w:pPr>
        <w:snapToGrid w:val="0"/>
        <w:spacing w:beforeLines="50"/>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pacing w:val="20"/>
          <w:sz w:val="24"/>
          <w:highlight w:val="none"/>
        </w:rPr>
        <w:t>日  期：</w:t>
      </w:r>
    </w:p>
    <w:p w14:paraId="4C5C4053">
      <w:pPr>
        <w:snapToGrid w:val="0"/>
        <w:spacing w:beforeLines="50"/>
        <w:rPr>
          <w:rFonts w:asciiTheme="minorEastAsia" w:hAnsiTheme="minorEastAsia" w:eastAsiaTheme="minorEastAsia"/>
          <w:color w:val="auto"/>
          <w:sz w:val="24"/>
          <w:szCs w:val="20"/>
          <w:highlight w:val="none"/>
        </w:rPr>
      </w:pPr>
    </w:p>
    <w:p w14:paraId="4F421BE9">
      <w:pPr>
        <w:snapToGrid w:val="0"/>
        <w:spacing w:beforeLines="50" w:after="50"/>
        <w:jc w:val="left"/>
        <w:rPr>
          <w:rFonts w:asciiTheme="minorEastAsia" w:hAnsiTheme="minorEastAsia" w:eastAsiaTheme="minorEastAsia"/>
          <w:color w:val="auto"/>
          <w:sz w:val="24"/>
          <w:szCs w:val="20"/>
          <w:highlight w:val="none"/>
        </w:rPr>
      </w:pPr>
    </w:p>
    <w:p w14:paraId="2AD714DE">
      <w:pPr>
        <w:snapToGrid w:val="0"/>
        <w:spacing w:beforeLines="50" w:after="50"/>
        <w:jc w:val="left"/>
        <w:outlineLvl w:val="2"/>
        <w:rPr>
          <w:rFonts w:asciiTheme="minorEastAsia" w:hAnsiTheme="minorEastAsia" w:eastAsiaTheme="minorEastAsia"/>
          <w:b/>
          <w:color w:val="auto"/>
          <w:sz w:val="24"/>
          <w:highlight w:val="none"/>
        </w:rPr>
      </w:pPr>
      <w:r>
        <w:rPr>
          <w:rFonts w:asciiTheme="minorEastAsia" w:hAnsiTheme="minorEastAsia" w:eastAsiaTheme="minorEastAsia"/>
          <w:color w:val="auto"/>
          <w:sz w:val="24"/>
          <w:szCs w:val="20"/>
          <w:highlight w:val="none"/>
        </w:rPr>
        <w:br w:type="page"/>
      </w:r>
      <w:r>
        <w:rPr>
          <w:rFonts w:hint="eastAsia" w:asciiTheme="minorEastAsia" w:hAnsiTheme="minorEastAsia" w:eastAsiaTheme="minorEastAsia"/>
          <w:b/>
          <w:color w:val="auto"/>
          <w:sz w:val="24"/>
          <w:highlight w:val="none"/>
        </w:rPr>
        <w:t>7.投标人业绩证明材料</w:t>
      </w:r>
    </w:p>
    <w:p w14:paraId="2EBF5B29">
      <w:pPr>
        <w:pStyle w:val="19"/>
        <w:snapToGrid w:val="0"/>
        <w:ind w:left="480" w:hanging="480"/>
        <w:rPr>
          <w:rFonts w:asciiTheme="minorEastAsia" w:hAnsiTheme="minorEastAsia" w:eastAsiaTheme="minorEastAsia"/>
          <w:color w:val="auto"/>
          <w:sz w:val="24"/>
          <w:highlight w:val="none"/>
        </w:rPr>
      </w:pPr>
    </w:p>
    <w:p w14:paraId="38D8B43D">
      <w:pPr>
        <w:pStyle w:val="19"/>
        <w:snapToGrid w:val="0"/>
        <w:ind w:left="480" w:hanging="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投标人业绩情况一览表格式： </w:t>
      </w:r>
    </w:p>
    <w:tbl>
      <w:tblPr>
        <w:tblStyle w:val="2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3"/>
        <w:gridCol w:w="1770"/>
        <w:gridCol w:w="1770"/>
        <w:gridCol w:w="2855"/>
      </w:tblGrid>
      <w:tr w14:paraId="59A656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14:paraId="41A5CA21">
            <w:pPr>
              <w:snapToGrid w:val="0"/>
              <w:spacing w:line="240" w:lineRule="exact"/>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1E542491">
            <w:pPr>
              <w:snapToGrid w:val="0"/>
              <w:spacing w:line="240" w:lineRule="exact"/>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4EB33D2A">
            <w:pPr>
              <w:snapToGrid w:val="0"/>
              <w:spacing w:line="240" w:lineRule="exact"/>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合同金额</w:t>
            </w:r>
          </w:p>
          <w:p w14:paraId="790F07F2">
            <w:pPr>
              <w:snapToGrid w:val="0"/>
              <w:spacing w:line="240" w:lineRule="exact"/>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（万元）</w:t>
            </w:r>
          </w:p>
        </w:tc>
        <w:tc>
          <w:tcPr>
            <w:tcW w:w="2855" w:type="dxa"/>
            <w:vMerge w:val="restart"/>
            <w:tcBorders>
              <w:top w:val="single" w:color="auto" w:sz="4" w:space="0"/>
              <w:left w:val="single" w:color="auto" w:sz="4" w:space="0"/>
              <w:bottom w:val="single" w:color="auto" w:sz="4" w:space="0"/>
              <w:right w:val="single" w:color="auto" w:sz="4" w:space="0"/>
            </w:tcBorders>
            <w:vAlign w:val="center"/>
          </w:tcPr>
          <w:p w14:paraId="546173AB">
            <w:pPr>
              <w:snapToGrid w:val="0"/>
              <w:spacing w:line="240" w:lineRule="exact"/>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采购人联系人及</w:t>
            </w:r>
          </w:p>
          <w:p w14:paraId="08F202E0">
            <w:pPr>
              <w:snapToGrid w:val="0"/>
              <w:spacing w:line="240" w:lineRule="exact"/>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tc>
      </w:tr>
      <w:tr w14:paraId="7612F3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14:paraId="36A18394">
            <w:pPr>
              <w:jc w:val="left"/>
              <w:rPr>
                <w:rFonts w:asciiTheme="minorEastAsia" w:hAnsiTheme="minorEastAsia" w:eastAsiaTheme="minorEastAsia"/>
                <w:color w:val="auto"/>
                <w:sz w:val="24"/>
                <w:highlight w:val="none"/>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24B079EE">
            <w:pPr>
              <w:jc w:val="left"/>
              <w:rPr>
                <w:rFonts w:asciiTheme="minorEastAsia" w:hAnsiTheme="minorEastAsia" w:eastAsiaTheme="minorEastAsia"/>
                <w:color w:val="auto"/>
                <w:sz w:val="24"/>
                <w:highlight w:val="none"/>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5FBD0084">
            <w:pPr>
              <w:jc w:val="left"/>
              <w:rPr>
                <w:rFonts w:asciiTheme="minorEastAsia" w:hAnsiTheme="minorEastAsia" w:eastAsiaTheme="minorEastAsia"/>
                <w:color w:val="auto"/>
                <w:sz w:val="24"/>
                <w:highlight w:val="none"/>
              </w:rPr>
            </w:pPr>
          </w:p>
        </w:tc>
        <w:tc>
          <w:tcPr>
            <w:tcW w:w="2855" w:type="dxa"/>
            <w:vMerge w:val="continue"/>
            <w:tcBorders>
              <w:top w:val="single" w:color="auto" w:sz="4" w:space="0"/>
              <w:left w:val="single" w:color="auto" w:sz="4" w:space="0"/>
              <w:bottom w:val="single" w:color="auto" w:sz="4" w:space="0"/>
              <w:right w:val="single" w:color="auto" w:sz="4" w:space="0"/>
            </w:tcBorders>
            <w:vAlign w:val="center"/>
          </w:tcPr>
          <w:p w14:paraId="35B838BE">
            <w:pPr>
              <w:jc w:val="left"/>
              <w:rPr>
                <w:rFonts w:asciiTheme="minorEastAsia" w:hAnsiTheme="minorEastAsia" w:eastAsiaTheme="minorEastAsia"/>
                <w:color w:val="auto"/>
                <w:sz w:val="24"/>
                <w:highlight w:val="none"/>
              </w:rPr>
            </w:pPr>
          </w:p>
        </w:tc>
      </w:tr>
      <w:tr w14:paraId="71D0E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3" w:type="dxa"/>
            <w:tcBorders>
              <w:top w:val="single" w:color="auto" w:sz="4" w:space="0"/>
              <w:left w:val="single" w:color="auto" w:sz="4" w:space="0"/>
              <w:bottom w:val="single" w:color="auto" w:sz="4" w:space="0"/>
              <w:right w:val="single" w:color="auto" w:sz="4" w:space="0"/>
            </w:tcBorders>
          </w:tcPr>
          <w:p w14:paraId="0FF458AB">
            <w:pPr>
              <w:snapToGrid w:val="0"/>
              <w:spacing w:line="24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5D592381">
            <w:pPr>
              <w:snapToGrid w:val="0"/>
              <w:spacing w:line="24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4F1C5134">
            <w:pPr>
              <w:snapToGrid w:val="0"/>
              <w:spacing w:line="240" w:lineRule="exact"/>
              <w:jc w:val="left"/>
              <w:rPr>
                <w:rFonts w:asciiTheme="minorEastAsia" w:hAnsiTheme="minorEastAsia" w:eastAsiaTheme="minorEastAsia"/>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727E2369">
            <w:pPr>
              <w:snapToGrid w:val="0"/>
              <w:spacing w:line="240" w:lineRule="exact"/>
              <w:jc w:val="left"/>
              <w:rPr>
                <w:rFonts w:asciiTheme="minorEastAsia" w:hAnsiTheme="minorEastAsia" w:eastAsiaTheme="minorEastAsia"/>
                <w:color w:val="auto"/>
                <w:sz w:val="24"/>
                <w:highlight w:val="none"/>
              </w:rPr>
            </w:pPr>
          </w:p>
        </w:tc>
      </w:tr>
      <w:tr w14:paraId="079186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14:paraId="55462F2A">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69F282F2">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59F35573">
            <w:pPr>
              <w:snapToGrid w:val="0"/>
              <w:spacing w:before="50" w:afterLines="50" w:line="400" w:lineRule="exact"/>
              <w:jc w:val="left"/>
              <w:rPr>
                <w:rFonts w:asciiTheme="minorEastAsia" w:hAnsiTheme="minorEastAsia" w:eastAsiaTheme="minorEastAsia"/>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574B9F3E">
            <w:pPr>
              <w:snapToGrid w:val="0"/>
              <w:spacing w:before="50" w:afterLines="50" w:line="400" w:lineRule="exact"/>
              <w:jc w:val="left"/>
              <w:rPr>
                <w:rFonts w:asciiTheme="minorEastAsia" w:hAnsiTheme="minorEastAsia" w:eastAsiaTheme="minorEastAsia"/>
                <w:color w:val="auto"/>
                <w:sz w:val="24"/>
                <w:highlight w:val="none"/>
              </w:rPr>
            </w:pPr>
          </w:p>
        </w:tc>
      </w:tr>
      <w:tr w14:paraId="5983D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3" w:type="dxa"/>
            <w:tcBorders>
              <w:top w:val="single" w:color="auto" w:sz="4" w:space="0"/>
              <w:left w:val="single" w:color="auto" w:sz="4" w:space="0"/>
              <w:bottom w:val="single" w:color="auto" w:sz="4" w:space="0"/>
              <w:right w:val="single" w:color="auto" w:sz="4" w:space="0"/>
            </w:tcBorders>
          </w:tcPr>
          <w:p w14:paraId="3B004C8F">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1C4408F6">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1573F3E9">
            <w:pPr>
              <w:snapToGrid w:val="0"/>
              <w:spacing w:before="50" w:afterLines="50" w:line="400" w:lineRule="exact"/>
              <w:jc w:val="left"/>
              <w:rPr>
                <w:rFonts w:asciiTheme="minorEastAsia" w:hAnsiTheme="minorEastAsia" w:eastAsiaTheme="minorEastAsia"/>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49EB3029">
            <w:pPr>
              <w:snapToGrid w:val="0"/>
              <w:spacing w:before="50" w:afterLines="50" w:line="400" w:lineRule="exact"/>
              <w:jc w:val="left"/>
              <w:rPr>
                <w:rFonts w:asciiTheme="minorEastAsia" w:hAnsiTheme="minorEastAsia" w:eastAsiaTheme="minorEastAsia"/>
                <w:color w:val="auto"/>
                <w:sz w:val="24"/>
                <w:highlight w:val="none"/>
              </w:rPr>
            </w:pPr>
          </w:p>
        </w:tc>
      </w:tr>
      <w:tr w14:paraId="3B7388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14:paraId="02E38EBE">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660E5B0D">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044976A3">
            <w:pPr>
              <w:snapToGrid w:val="0"/>
              <w:spacing w:before="50" w:afterLines="50" w:line="400" w:lineRule="exact"/>
              <w:jc w:val="left"/>
              <w:rPr>
                <w:rFonts w:asciiTheme="minorEastAsia" w:hAnsiTheme="minorEastAsia" w:eastAsiaTheme="minorEastAsia"/>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70F8EB08">
            <w:pPr>
              <w:snapToGrid w:val="0"/>
              <w:spacing w:before="50" w:afterLines="50" w:line="400" w:lineRule="exact"/>
              <w:jc w:val="left"/>
              <w:rPr>
                <w:rFonts w:asciiTheme="minorEastAsia" w:hAnsiTheme="minorEastAsia" w:eastAsiaTheme="minorEastAsia"/>
                <w:color w:val="auto"/>
                <w:sz w:val="24"/>
                <w:highlight w:val="none"/>
              </w:rPr>
            </w:pPr>
          </w:p>
        </w:tc>
      </w:tr>
      <w:tr w14:paraId="21B632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14:paraId="1463D947">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10FAB0D0">
            <w:pPr>
              <w:snapToGrid w:val="0"/>
              <w:spacing w:before="50" w:afterLines="50" w:line="400" w:lineRule="exact"/>
              <w:jc w:val="left"/>
              <w:rPr>
                <w:rFonts w:asciiTheme="minorEastAsia" w:hAnsiTheme="minorEastAsia" w:eastAsiaTheme="minorEastAsia"/>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5A87F404">
            <w:pPr>
              <w:snapToGrid w:val="0"/>
              <w:spacing w:before="50" w:afterLines="50" w:line="400" w:lineRule="exact"/>
              <w:jc w:val="left"/>
              <w:rPr>
                <w:rFonts w:asciiTheme="minorEastAsia" w:hAnsiTheme="minorEastAsia" w:eastAsiaTheme="minorEastAsia"/>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5969FC9C">
            <w:pPr>
              <w:snapToGrid w:val="0"/>
              <w:spacing w:before="50" w:afterLines="50" w:line="400" w:lineRule="exact"/>
              <w:jc w:val="left"/>
              <w:rPr>
                <w:rFonts w:asciiTheme="minorEastAsia" w:hAnsiTheme="minorEastAsia" w:eastAsiaTheme="minorEastAsia"/>
                <w:color w:val="auto"/>
                <w:sz w:val="24"/>
                <w:highlight w:val="none"/>
              </w:rPr>
            </w:pPr>
          </w:p>
        </w:tc>
      </w:tr>
    </w:tbl>
    <w:p w14:paraId="4E073614">
      <w:pPr>
        <w:pStyle w:val="9"/>
        <w:spacing w:before="0" w:after="0" w:line="360" w:lineRule="auto"/>
        <w:contextualSpacing/>
        <w:rPr>
          <w:rFonts w:asciiTheme="minorEastAsia" w:hAnsiTheme="minorEastAsia" w:eastAsiaTheme="minorEastAsia"/>
          <w:color w:val="auto"/>
          <w:sz w:val="24"/>
          <w:szCs w:val="24"/>
          <w:highlight w:val="none"/>
        </w:rPr>
      </w:pPr>
    </w:p>
    <w:p w14:paraId="3F818F47">
      <w:pPr>
        <w:pStyle w:val="9"/>
        <w:spacing w:before="0" w:after="0" w:line="360" w:lineRule="auto"/>
        <w:contextualSpacing/>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w:t>
      </w:r>
      <w:r>
        <w:rPr>
          <w:rFonts w:hint="eastAsia" w:asciiTheme="minorEastAsia" w:hAnsiTheme="minorEastAsia" w:eastAsiaTheme="minorEastAsia"/>
          <w:color w:val="auto"/>
          <w:sz w:val="24"/>
          <w:highlight w:val="none"/>
        </w:rPr>
        <w:t>投标人根据评标标准具体要求附业绩证明材料。</w:t>
      </w:r>
    </w:p>
    <w:p w14:paraId="7089147C">
      <w:pPr>
        <w:pStyle w:val="9"/>
        <w:spacing w:before="0" w:after="0" w:line="360" w:lineRule="auto"/>
        <w:contextualSpacing/>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法定代表人或者委托代理人（签字/电子签名）：</w:t>
      </w:r>
      <w:r>
        <w:rPr>
          <w:rFonts w:hint="eastAsia" w:asciiTheme="minorEastAsia" w:hAnsiTheme="minorEastAsia" w:eastAsiaTheme="minorEastAsia"/>
          <w:color w:val="auto"/>
          <w:sz w:val="24"/>
          <w:szCs w:val="24"/>
          <w:highlight w:val="none"/>
          <w:u w:val="single"/>
        </w:rPr>
        <w:t>　　　　　</w:t>
      </w:r>
    </w:p>
    <w:p w14:paraId="04259BC6">
      <w:pPr>
        <w:spacing w:line="360" w:lineRule="auto"/>
        <w:ind w:right="480"/>
        <w:contextualSpacing/>
        <w:jc w:val="left"/>
        <w:rPr>
          <w:rFonts w:asciiTheme="minorEastAsia" w:hAnsiTheme="minorEastAsia" w:eastAsiaTheme="minorEastAsia"/>
          <w:color w:val="auto"/>
          <w:sz w:val="24"/>
          <w:szCs w:val="20"/>
          <w:highlight w:val="none"/>
        </w:rPr>
      </w:pPr>
      <w:r>
        <w:rPr>
          <w:rFonts w:hint="eastAsia" w:cs="Arial" w:asciiTheme="minorEastAsia" w:hAnsiTheme="minorEastAsia" w:eastAsiaTheme="minorEastAsia"/>
          <w:color w:val="auto"/>
          <w:sz w:val="24"/>
          <w:highlight w:val="none"/>
        </w:rPr>
        <w:t xml:space="preserve">投标人名称（电子签章）： </w:t>
      </w:r>
      <w:r>
        <w:rPr>
          <w:rFonts w:hint="eastAsia" w:asciiTheme="minorEastAsia" w:hAnsiTheme="minorEastAsia" w:eastAsiaTheme="minorEastAsia"/>
          <w:color w:val="auto"/>
          <w:sz w:val="24"/>
          <w:highlight w:val="none"/>
        </w:rPr>
        <w:t xml:space="preserve">                                                              年    月    日</w:t>
      </w:r>
    </w:p>
    <w:p w14:paraId="18003143">
      <w:pPr>
        <w:snapToGrid w:val="0"/>
        <w:spacing w:before="50"/>
        <w:ind w:firstLine="480" w:firstLineChars="200"/>
        <w:jc w:val="left"/>
        <w:rPr>
          <w:rFonts w:asciiTheme="minorEastAsia" w:hAnsiTheme="minorEastAsia" w:eastAsiaTheme="minorEastAsia"/>
          <w:color w:val="auto"/>
          <w:sz w:val="24"/>
          <w:szCs w:val="20"/>
          <w:highlight w:val="none"/>
        </w:rPr>
      </w:pPr>
    </w:p>
    <w:p w14:paraId="1089A62F">
      <w:pPr>
        <w:snapToGrid w:val="0"/>
        <w:spacing w:before="50"/>
        <w:jc w:val="left"/>
        <w:rPr>
          <w:rFonts w:asciiTheme="minorEastAsia" w:hAnsiTheme="minorEastAsia" w:eastAsiaTheme="minorEastAsia"/>
          <w:color w:val="auto"/>
          <w:sz w:val="24"/>
          <w:highlight w:val="none"/>
        </w:rPr>
      </w:pPr>
    </w:p>
    <w:p w14:paraId="2D473B3B">
      <w:pPr>
        <w:snapToGrid w:val="0"/>
        <w:spacing w:beforeLines="50"/>
        <w:rPr>
          <w:rFonts w:asciiTheme="minorEastAsia" w:hAnsiTheme="minorEastAsia" w:eastAsiaTheme="minorEastAsia"/>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1A18FDED">
      <w:pPr>
        <w:outlineLvl w:val="1"/>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四、技术文件格式</w:t>
      </w:r>
    </w:p>
    <w:p w14:paraId="3F79169C">
      <w:pPr>
        <w:snapToGrid w:val="0"/>
        <w:spacing w:beforeLines="50" w:after="50"/>
        <w:ind w:left="142"/>
        <w:jc w:val="left"/>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 xml:space="preserve">1. 技术文件封面格式： </w:t>
      </w:r>
    </w:p>
    <w:p w14:paraId="1DC4D8FC">
      <w:pPr>
        <w:snapToGrid w:val="0"/>
        <w:spacing w:beforeLines="50" w:after="50" w:line="360" w:lineRule="auto"/>
        <w:ind w:left="142"/>
        <w:jc w:val="center"/>
        <w:outlineLvl w:val="3"/>
        <w:rPr>
          <w:rFonts w:asciiTheme="minorEastAsia" w:hAnsiTheme="minorEastAsia" w:eastAsiaTheme="minorEastAsia"/>
          <w:bCs/>
          <w:color w:val="auto"/>
          <w:sz w:val="48"/>
          <w:szCs w:val="48"/>
          <w:highlight w:val="none"/>
        </w:rPr>
      </w:pPr>
      <w:r>
        <w:rPr>
          <w:rFonts w:hint="eastAsia" w:asciiTheme="minorEastAsia" w:hAnsiTheme="minorEastAsia" w:eastAsiaTheme="minorEastAsia"/>
          <w:bCs/>
          <w:color w:val="auto"/>
          <w:sz w:val="48"/>
          <w:szCs w:val="48"/>
          <w:highlight w:val="none"/>
        </w:rPr>
        <w:t>电子投标文件</w:t>
      </w:r>
    </w:p>
    <w:p w14:paraId="61FFE483">
      <w:pPr>
        <w:snapToGrid w:val="0"/>
        <w:spacing w:beforeLines="50" w:after="50"/>
        <w:jc w:val="center"/>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技术文件</w:t>
      </w:r>
    </w:p>
    <w:p w14:paraId="60540C78">
      <w:pPr>
        <w:snapToGrid w:val="0"/>
        <w:spacing w:beforeLines="50" w:after="50"/>
        <w:rPr>
          <w:rFonts w:asciiTheme="minorEastAsia" w:hAnsiTheme="minorEastAsia" w:eastAsiaTheme="minorEastAsia"/>
          <w:bCs/>
          <w:color w:val="auto"/>
          <w:sz w:val="24"/>
          <w:szCs w:val="20"/>
          <w:highlight w:val="none"/>
        </w:rPr>
      </w:pPr>
    </w:p>
    <w:p w14:paraId="3FFB29A5">
      <w:pPr>
        <w:snapToGrid w:val="0"/>
        <w:spacing w:beforeLines="50" w:after="50" w:line="400" w:lineRule="exact"/>
        <w:ind w:firstLine="360" w:firstLineChars="150"/>
        <w:rPr>
          <w:rFonts w:asciiTheme="minorEastAsia" w:hAnsiTheme="minorEastAsia" w:eastAsiaTheme="minorEastAsia"/>
          <w:bCs/>
          <w:color w:val="auto"/>
          <w:sz w:val="24"/>
          <w:szCs w:val="20"/>
          <w:highlight w:val="none"/>
        </w:rPr>
      </w:pPr>
      <w:r>
        <w:rPr>
          <w:rFonts w:hint="eastAsia" w:asciiTheme="minorEastAsia" w:hAnsiTheme="minorEastAsia" w:eastAsiaTheme="minorEastAsia"/>
          <w:bCs/>
          <w:color w:val="auto"/>
          <w:sz w:val="24"/>
          <w:highlight w:val="none"/>
        </w:rPr>
        <w:t xml:space="preserve">项目名称： </w:t>
      </w:r>
    </w:p>
    <w:p w14:paraId="1D7C632E">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项目编号： </w:t>
      </w:r>
    </w:p>
    <w:p w14:paraId="6621175F">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bCs/>
          <w:color w:val="auto"/>
          <w:sz w:val="24"/>
          <w:highlight w:val="none"/>
        </w:rPr>
        <w:t>：</w:t>
      </w:r>
    </w:p>
    <w:p w14:paraId="6AEC24EC">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投标人名称：</w:t>
      </w:r>
    </w:p>
    <w:p w14:paraId="5203FF00">
      <w:pPr>
        <w:snapToGrid w:val="0"/>
        <w:spacing w:beforeLines="50" w:after="50" w:line="400" w:lineRule="exact"/>
        <w:ind w:firstLine="360" w:firstLineChars="15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投标人地址：</w:t>
      </w:r>
    </w:p>
    <w:p w14:paraId="189F43F6">
      <w:pPr>
        <w:snapToGrid w:val="0"/>
        <w:spacing w:beforeLines="50" w:after="50"/>
        <w:ind w:firstLine="64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年    月    日</w:t>
      </w:r>
    </w:p>
    <w:p w14:paraId="0CA892B8">
      <w:pPr>
        <w:snapToGrid w:val="0"/>
        <w:spacing w:beforeLines="50" w:after="50"/>
        <w:ind w:firstLine="645"/>
        <w:jc w:val="center"/>
        <w:rPr>
          <w:rFonts w:asciiTheme="minorEastAsia" w:hAnsiTheme="minorEastAsia" w:eastAsiaTheme="minorEastAsia"/>
          <w:color w:val="auto"/>
          <w:sz w:val="24"/>
          <w:szCs w:val="20"/>
          <w:highlight w:val="none"/>
        </w:rPr>
      </w:pPr>
    </w:p>
    <w:p w14:paraId="265B90DB">
      <w:pPr>
        <w:snapToGrid w:val="0"/>
        <w:spacing w:beforeLines="50" w:after="50"/>
        <w:ind w:left="142"/>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bCs/>
          <w:color w:val="auto"/>
          <w:sz w:val="24"/>
          <w:highlight w:val="none"/>
        </w:rPr>
        <w:br w:type="page"/>
      </w:r>
      <w:r>
        <w:rPr>
          <w:rFonts w:hint="eastAsia" w:asciiTheme="minorEastAsia" w:hAnsiTheme="minorEastAsia" w:eastAsiaTheme="minorEastAsia"/>
          <w:b/>
          <w:color w:val="auto"/>
          <w:sz w:val="24"/>
          <w:highlight w:val="none"/>
        </w:rPr>
        <w:t>2.技术文件目录</w:t>
      </w:r>
    </w:p>
    <w:p w14:paraId="27B582D4">
      <w:pPr>
        <w:snapToGrid w:val="0"/>
        <w:spacing w:before="50" w:afterLines="50" w:line="360" w:lineRule="auto"/>
        <w:ind w:firstLine="560" w:firstLineChars="200"/>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根据招标文件规定及投标人提供的材料自行编写目录。</w:t>
      </w:r>
    </w:p>
    <w:p w14:paraId="1A23311F">
      <w:pPr>
        <w:snapToGrid w:val="0"/>
        <w:spacing w:beforeLines="50" w:after="50"/>
        <w:ind w:left="142"/>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3. 设备性能配置清单格式</w:t>
      </w:r>
    </w:p>
    <w:p w14:paraId="699EDE23">
      <w:pPr>
        <w:snapToGrid w:val="0"/>
        <w:spacing w:beforeLines="50" w:after="50"/>
        <w:ind w:left="142"/>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设备性能配置清单</w:t>
      </w:r>
    </w:p>
    <w:p w14:paraId="644F3EE3">
      <w:pPr>
        <w:pStyle w:val="14"/>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color w:val="auto"/>
          <w:sz w:val="24"/>
          <w:szCs w:val="24"/>
          <w:highlight w:val="none"/>
        </w:rPr>
        <w:t>：分标</w:t>
      </w: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187"/>
        <w:gridCol w:w="1052"/>
        <w:gridCol w:w="851"/>
        <w:gridCol w:w="1418"/>
        <w:gridCol w:w="1187"/>
        <w:gridCol w:w="703"/>
        <w:gridCol w:w="1426"/>
      </w:tblGrid>
      <w:tr w14:paraId="7A5431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BDDAAED">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序号</w:t>
            </w:r>
          </w:p>
        </w:tc>
        <w:tc>
          <w:tcPr>
            <w:tcW w:w="1187" w:type="dxa"/>
            <w:tcBorders>
              <w:top w:val="single" w:color="auto" w:sz="4" w:space="0"/>
              <w:left w:val="single" w:color="auto" w:sz="4" w:space="0"/>
              <w:bottom w:val="single" w:color="auto" w:sz="4" w:space="0"/>
              <w:right w:val="single" w:color="auto" w:sz="4" w:space="0"/>
            </w:tcBorders>
            <w:vAlign w:val="center"/>
          </w:tcPr>
          <w:p w14:paraId="7AF653D7">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货物名称</w:t>
            </w:r>
          </w:p>
        </w:tc>
        <w:tc>
          <w:tcPr>
            <w:tcW w:w="1052" w:type="dxa"/>
            <w:tcBorders>
              <w:top w:val="single" w:color="auto" w:sz="4" w:space="0"/>
              <w:left w:val="single" w:color="auto" w:sz="4" w:space="0"/>
              <w:bottom w:val="single" w:color="auto" w:sz="4" w:space="0"/>
              <w:right w:val="single" w:color="auto" w:sz="4" w:space="0"/>
            </w:tcBorders>
            <w:vAlign w:val="center"/>
          </w:tcPr>
          <w:p w14:paraId="2C9CE065">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数量及单位</w:t>
            </w:r>
          </w:p>
        </w:tc>
        <w:tc>
          <w:tcPr>
            <w:tcW w:w="851" w:type="dxa"/>
            <w:tcBorders>
              <w:top w:val="single" w:color="auto" w:sz="4" w:space="0"/>
              <w:left w:val="single" w:color="auto" w:sz="4" w:space="0"/>
              <w:bottom w:val="single" w:color="auto" w:sz="4" w:space="0"/>
              <w:right w:val="single" w:color="auto" w:sz="4" w:space="0"/>
            </w:tcBorders>
            <w:vAlign w:val="center"/>
          </w:tcPr>
          <w:p w14:paraId="67E0304C">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品牌</w:t>
            </w:r>
          </w:p>
        </w:tc>
        <w:tc>
          <w:tcPr>
            <w:tcW w:w="1418" w:type="dxa"/>
            <w:tcBorders>
              <w:top w:val="single" w:color="auto" w:sz="4" w:space="0"/>
              <w:left w:val="single" w:color="auto" w:sz="4" w:space="0"/>
              <w:bottom w:val="single" w:color="auto" w:sz="4" w:space="0"/>
              <w:right w:val="single" w:color="auto" w:sz="4" w:space="0"/>
            </w:tcBorders>
            <w:vAlign w:val="center"/>
          </w:tcPr>
          <w:p w14:paraId="04B449F8">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规格型号</w:t>
            </w:r>
          </w:p>
        </w:tc>
        <w:tc>
          <w:tcPr>
            <w:tcW w:w="1187" w:type="dxa"/>
            <w:tcBorders>
              <w:top w:val="single" w:color="auto" w:sz="4" w:space="0"/>
              <w:left w:val="single" w:color="auto" w:sz="4" w:space="0"/>
              <w:bottom w:val="single" w:color="auto" w:sz="4" w:space="0"/>
              <w:right w:val="single" w:color="auto" w:sz="4" w:space="0"/>
            </w:tcBorders>
            <w:vAlign w:val="center"/>
          </w:tcPr>
          <w:p w14:paraId="51E5C578">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制造商</w:t>
            </w:r>
          </w:p>
        </w:tc>
        <w:tc>
          <w:tcPr>
            <w:tcW w:w="703" w:type="dxa"/>
            <w:tcBorders>
              <w:top w:val="single" w:color="auto" w:sz="4" w:space="0"/>
              <w:left w:val="single" w:color="auto" w:sz="4" w:space="0"/>
              <w:bottom w:val="single" w:color="auto" w:sz="4" w:space="0"/>
              <w:right w:val="single" w:color="auto" w:sz="4" w:space="0"/>
            </w:tcBorders>
            <w:vAlign w:val="center"/>
          </w:tcPr>
          <w:p w14:paraId="1C142B5A">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原产地</w:t>
            </w:r>
          </w:p>
        </w:tc>
        <w:tc>
          <w:tcPr>
            <w:tcW w:w="1426" w:type="dxa"/>
            <w:tcBorders>
              <w:top w:val="single" w:color="auto" w:sz="4" w:space="0"/>
              <w:left w:val="single" w:color="auto" w:sz="4" w:space="0"/>
              <w:bottom w:val="single" w:color="auto" w:sz="4" w:space="0"/>
              <w:right w:val="single" w:color="auto" w:sz="4" w:space="0"/>
            </w:tcBorders>
            <w:vAlign w:val="center"/>
          </w:tcPr>
          <w:p w14:paraId="78556168">
            <w:pPr>
              <w:snapToGrid w:val="0"/>
              <w:spacing w:before="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参数性能、指标及配置</w:t>
            </w:r>
          </w:p>
        </w:tc>
      </w:tr>
      <w:tr w14:paraId="4F33D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A0A9E2F">
            <w:pPr>
              <w:snapToGrid w:val="0"/>
              <w:spacing w:before="50" w:after="50"/>
              <w:jc w:val="center"/>
              <w:rPr>
                <w:rFonts w:asciiTheme="minorEastAsia" w:hAnsiTheme="minorEastAsia" w:eastAsiaTheme="minorEastAsia"/>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4097F4DC">
            <w:pPr>
              <w:snapToGrid w:val="0"/>
              <w:spacing w:before="50" w:after="50"/>
              <w:jc w:val="center"/>
              <w:rPr>
                <w:rFonts w:asciiTheme="minorEastAsia" w:hAnsiTheme="minorEastAsia" w:eastAsiaTheme="minorEastAsia"/>
                <w:color w:val="auto"/>
                <w:sz w:val="24"/>
                <w:highlight w:val="none"/>
              </w:rPr>
            </w:pPr>
          </w:p>
        </w:tc>
        <w:tc>
          <w:tcPr>
            <w:tcW w:w="1052" w:type="dxa"/>
            <w:tcBorders>
              <w:top w:val="single" w:color="auto" w:sz="4" w:space="0"/>
              <w:left w:val="single" w:color="auto" w:sz="4" w:space="0"/>
              <w:bottom w:val="single" w:color="auto" w:sz="4" w:space="0"/>
              <w:right w:val="single" w:color="auto" w:sz="4" w:space="0"/>
            </w:tcBorders>
            <w:vAlign w:val="center"/>
          </w:tcPr>
          <w:p w14:paraId="65BADB5B">
            <w:pPr>
              <w:snapToGrid w:val="0"/>
              <w:spacing w:before="50" w:after="50"/>
              <w:jc w:val="center"/>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130DF63">
            <w:pPr>
              <w:snapToGrid w:val="0"/>
              <w:spacing w:before="50" w:after="50"/>
              <w:jc w:val="center"/>
              <w:rPr>
                <w:rFonts w:asciiTheme="minorEastAsia" w:hAnsiTheme="minorEastAsia" w:eastAsiaTheme="minorEastAsia"/>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6F0D8FA">
            <w:pPr>
              <w:snapToGrid w:val="0"/>
              <w:spacing w:before="50" w:after="50"/>
              <w:jc w:val="center"/>
              <w:rPr>
                <w:rFonts w:asciiTheme="minorEastAsia" w:hAnsiTheme="minorEastAsia" w:eastAsiaTheme="minorEastAsia"/>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703BD86F">
            <w:pPr>
              <w:snapToGrid w:val="0"/>
              <w:spacing w:before="50" w:after="50"/>
              <w:jc w:val="center"/>
              <w:rPr>
                <w:rFonts w:asciiTheme="minorEastAsia" w:hAnsiTheme="minorEastAsia" w:eastAsiaTheme="minorEastAsia"/>
                <w:color w:val="auto"/>
                <w:sz w:val="24"/>
                <w:highlight w:val="none"/>
              </w:rPr>
            </w:pPr>
          </w:p>
        </w:tc>
        <w:tc>
          <w:tcPr>
            <w:tcW w:w="703" w:type="dxa"/>
            <w:tcBorders>
              <w:top w:val="single" w:color="auto" w:sz="4" w:space="0"/>
              <w:left w:val="single" w:color="auto" w:sz="4" w:space="0"/>
              <w:bottom w:val="single" w:color="auto" w:sz="4" w:space="0"/>
              <w:right w:val="single" w:color="auto" w:sz="4" w:space="0"/>
            </w:tcBorders>
            <w:vAlign w:val="center"/>
          </w:tcPr>
          <w:p w14:paraId="6E4988BB">
            <w:pPr>
              <w:snapToGrid w:val="0"/>
              <w:spacing w:before="50" w:after="50"/>
              <w:jc w:val="center"/>
              <w:rPr>
                <w:rFonts w:asciiTheme="minorEastAsia" w:hAnsiTheme="minorEastAsia" w:eastAsiaTheme="minorEastAsia"/>
                <w:color w:val="auto"/>
                <w:sz w:val="24"/>
                <w:highlight w:val="none"/>
              </w:rPr>
            </w:pPr>
          </w:p>
        </w:tc>
        <w:tc>
          <w:tcPr>
            <w:tcW w:w="1426" w:type="dxa"/>
            <w:tcBorders>
              <w:top w:val="single" w:color="auto" w:sz="4" w:space="0"/>
              <w:left w:val="single" w:color="auto" w:sz="4" w:space="0"/>
              <w:bottom w:val="single" w:color="auto" w:sz="4" w:space="0"/>
              <w:right w:val="single" w:color="auto" w:sz="4" w:space="0"/>
            </w:tcBorders>
            <w:vAlign w:val="center"/>
          </w:tcPr>
          <w:p w14:paraId="7659EF3B">
            <w:pPr>
              <w:snapToGrid w:val="0"/>
              <w:spacing w:before="50" w:after="50"/>
              <w:jc w:val="center"/>
              <w:rPr>
                <w:rFonts w:asciiTheme="minorEastAsia" w:hAnsiTheme="minorEastAsia" w:eastAsiaTheme="minorEastAsia"/>
                <w:color w:val="auto"/>
                <w:sz w:val="24"/>
                <w:highlight w:val="none"/>
              </w:rPr>
            </w:pPr>
          </w:p>
        </w:tc>
      </w:tr>
      <w:tr w14:paraId="74C08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08951CC">
            <w:pPr>
              <w:snapToGrid w:val="0"/>
              <w:spacing w:before="50" w:after="50"/>
              <w:jc w:val="center"/>
              <w:rPr>
                <w:rFonts w:asciiTheme="minorEastAsia" w:hAnsiTheme="minorEastAsia" w:eastAsiaTheme="minorEastAsia"/>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6C1DF711">
            <w:pPr>
              <w:snapToGrid w:val="0"/>
              <w:spacing w:before="50" w:after="50"/>
              <w:jc w:val="center"/>
              <w:rPr>
                <w:rFonts w:asciiTheme="minorEastAsia" w:hAnsiTheme="minorEastAsia" w:eastAsiaTheme="minorEastAsia"/>
                <w:color w:val="auto"/>
                <w:sz w:val="24"/>
                <w:highlight w:val="none"/>
              </w:rPr>
            </w:pPr>
          </w:p>
        </w:tc>
        <w:tc>
          <w:tcPr>
            <w:tcW w:w="1052" w:type="dxa"/>
            <w:tcBorders>
              <w:top w:val="single" w:color="auto" w:sz="4" w:space="0"/>
              <w:left w:val="single" w:color="auto" w:sz="4" w:space="0"/>
              <w:bottom w:val="single" w:color="auto" w:sz="4" w:space="0"/>
              <w:right w:val="single" w:color="auto" w:sz="4" w:space="0"/>
            </w:tcBorders>
            <w:vAlign w:val="center"/>
          </w:tcPr>
          <w:p w14:paraId="3654EA86">
            <w:pPr>
              <w:snapToGrid w:val="0"/>
              <w:spacing w:before="50" w:after="50"/>
              <w:jc w:val="center"/>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1CF977F">
            <w:pPr>
              <w:snapToGrid w:val="0"/>
              <w:spacing w:before="50" w:after="50"/>
              <w:jc w:val="center"/>
              <w:rPr>
                <w:rFonts w:asciiTheme="minorEastAsia" w:hAnsiTheme="minorEastAsia" w:eastAsiaTheme="minorEastAsia"/>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33B55EF">
            <w:pPr>
              <w:snapToGrid w:val="0"/>
              <w:spacing w:before="50" w:after="50"/>
              <w:jc w:val="center"/>
              <w:rPr>
                <w:rFonts w:asciiTheme="minorEastAsia" w:hAnsiTheme="minorEastAsia" w:eastAsiaTheme="minorEastAsia"/>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4762AC98">
            <w:pPr>
              <w:snapToGrid w:val="0"/>
              <w:spacing w:before="50" w:after="50"/>
              <w:jc w:val="center"/>
              <w:rPr>
                <w:rFonts w:asciiTheme="minorEastAsia" w:hAnsiTheme="minorEastAsia" w:eastAsiaTheme="minorEastAsia"/>
                <w:color w:val="auto"/>
                <w:sz w:val="24"/>
                <w:highlight w:val="none"/>
              </w:rPr>
            </w:pPr>
          </w:p>
        </w:tc>
        <w:tc>
          <w:tcPr>
            <w:tcW w:w="703" w:type="dxa"/>
            <w:tcBorders>
              <w:top w:val="single" w:color="auto" w:sz="4" w:space="0"/>
              <w:left w:val="single" w:color="auto" w:sz="4" w:space="0"/>
              <w:bottom w:val="single" w:color="auto" w:sz="4" w:space="0"/>
              <w:right w:val="single" w:color="auto" w:sz="4" w:space="0"/>
            </w:tcBorders>
            <w:vAlign w:val="center"/>
          </w:tcPr>
          <w:p w14:paraId="111449AD">
            <w:pPr>
              <w:snapToGrid w:val="0"/>
              <w:spacing w:before="50" w:after="50"/>
              <w:jc w:val="center"/>
              <w:rPr>
                <w:rFonts w:asciiTheme="minorEastAsia" w:hAnsiTheme="minorEastAsia" w:eastAsiaTheme="minorEastAsia"/>
                <w:color w:val="auto"/>
                <w:sz w:val="24"/>
                <w:highlight w:val="none"/>
              </w:rPr>
            </w:pPr>
          </w:p>
        </w:tc>
        <w:tc>
          <w:tcPr>
            <w:tcW w:w="1426" w:type="dxa"/>
            <w:tcBorders>
              <w:top w:val="single" w:color="auto" w:sz="4" w:space="0"/>
              <w:left w:val="single" w:color="auto" w:sz="4" w:space="0"/>
              <w:bottom w:val="single" w:color="auto" w:sz="4" w:space="0"/>
              <w:right w:val="single" w:color="auto" w:sz="4" w:space="0"/>
            </w:tcBorders>
            <w:vAlign w:val="center"/>
          </w:tcPr>
          <w:p w14:paraId="29E3638F">
            <w:pPr>
              <w:snapToGrid w:val="0"/>
              <w:spacing w:before="50" w:after="50"/>
              <w:jc w:val="center"/>
              <w:rPr>
                <w:rFonts w:asciiTheme="minorEastAsia" w:hAnsiTheme="minorEastAsia" w:eastAsiaTheme="minorEastAsia"/>
                <w:color w:val="auto"/>
                <w:sz w:val="24"/>
                <w:highlight w:val="none"/>
              </w:rPr>
            </w:pPr>
          </w:p>
        </w:tc>
      </w:tr>
      <w:tr w14:paraId="715CE3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79CFB7E">
            <w:pPr>
              <w:snapToGrid w:val="0"/>
              <w:spacing w:before="50" w:after="50"/>
              <w:jc w:val="center"/>
              <w:rPr>
                <w:rFonts w:asciiTheme="minorEastAsia" w:hAnsiTheme="minorEastAsia" w:eastAsiaTheme="minorEastAsia"/>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30CF699E">
            <w:pPr>
              <w:snapToGrid w:val="0"/>
              <w:spacing w:before="50" w:after="50"/>
              <w:jc w:val="center"/>
              <w:rPr>
                <w:rFonts w:asciiTheme="minorEastAsia" w:hAnsiTheme="minorEastAsia" w:eastAsiaTheme="minorEastAsia"/>
                <w:color w:val="auto"/>
                <w:sz w:val="24"/>
                <w:highlight w:val="none"/>
              </w:rPr>
            </w:pPr>
          </w:p>
        </w:tc>
        <w:tc>
          <w:tcPr>
            <w:tcW w:w="1052" w:type="dxa"/>
            <w:tcBorders>
              <w:top w:val="single" w:color="auto" w:sz="4" w:space="0"/>
              <w:left w:val="single" w:color="auto" w:sz="4" w:space="0"/>
              <w:bottom w:val="single" w:color="auto" w:sz="4" w:space="0"/>
              <w:right w:val="single" w:color="auto" w:sz="4" w:space="0"/>
            </w:tcBorders>
            <w:vAlign w:val="center"/>
          </w:tcPr>
          <w:p w14:paraId="24015289">
            <w:pPr>
              <w:snapToGrid w:val="0"/>
              <w:spacing w:before="50" w:after="50"/>
              <w:jc w:val="center"/>
              <w:rPr>
                <w:rFonts w:asciiTheme="minorEastAsia" w:hAnsiTheme="minorEastAsia" w:eastAsiaTheme="minorEastAsia"/>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5F33F21">
            <w:pPr>
              <w:snapToGrid w:val="0"/>
              <w:spacing w:before="50" w:after="50"/>
              <w:jc w:val="center"/>
              <w:rPr>
                <w:rFonts w:asciiTheme="minorEastAsia" w:hAnsiTheme="minorEastAsia" w:eastAsiaTheme="minorEastAsia"/>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412A6C65">
            <w:pPr>
              <w:snapToGrid w:val="0"/>
              <w:spacing w:before="50" w:after="50"/>
              <w:jc w:val="center"/>
              <w:rPr>
                <w:rFonts w:asciiTheme="minorEastAsia" w:hAnsiTheme="minorEastAsia" w:eastAsiaTheme="minorEastAsia"/>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6CC0926D">
            <w:pPr>
              <w:snapToGrid w:val="0"/>
              <w:spacing w:before="50" w:after="50"/>
              <w:jc w:val="center"/>
              <w:rPr>
                <w:rFonts w:asciiTheme="minorEastAsia" w:hAnsiTheme="minorEastAsia" w:eastAsiaTheme="minorEastAsia"/>
                <w:color w:val="auto"/>
                <w:sz w:val="24"/>
                <w:highlight w:val="none"/>
              </w:rPr>
            </w:pPr>
          </w:p>
        </w:tc>
        <w:tc>
          <w:tcPr>
            <w:tcW w:w="703" w:type="dxa"/>
            <w:tcBorders>
              <w:top w:val="single" w:color="auto" w:sz="4" w:space="0"/>
              <w:left w:val="single" w:color="auto" w:sz="4" w:space="0"/>
              <w:bottom w:val="single" w:color="auto" w:sz="4" w:space="0"/>
              <w:right w:val="single" w:color="auto" w:sz="4" w:space="0"/>
            </w:tcBorders>
            <w:vAlign w:val="center"/>
          </w:tcPr>
          <w:p w14:paraId="59B3F75B">
            <w:pPr>
              <w:snapToGrid w:val="0"/>
              <w:spacing w:before="50" w:after="50"/>
              <w:jc w:val="center"/>
              <w:rPr>
                <w:rFonts w:asciiTheme="minorEastAsia" w:hAnsiTheme="minorEastAsia" w:eastAsiaTheme="minorEastAsia"/>
                <w:color w:val="auto"/>
                <w:sz w:val="24"/>
                <w:highlight w:val="none"/>
              </w:rPr>
            </w:pPr>
          </w:p>
        </w:tc>
        <w:tc>
          <w:tcPr>
            <w:tcW w:w="1426" w:type="dxa"/>
            <w:tcBorders>
              <w:top w:val="single" w:color="auto" w:sz="4" w:space="0"/>
              <w:left w:val="single" w:color="auto" w:sz="4" w:space="0"/>
              <w:bottom w:val="single" w:color="auto" w:sz="4" w:space="0"/>
              <w:right w:val="single" w:color="auto" w:sz="4" w:space="0"/>
            </w:tcBorders>
            <w:vAlign w:val="center"/>
          </w:tcPr>
          <w:p w14:paraId="544E069A">
            <w:pPr>
              <w:snapToGrid w:val="0"/>
              <w:spacing w:before="50" w:after="50"/>
              <w:jc w:val="center"/>
              <w:rPr>
                <w:rFonts w:asciiTheme="minorEastAsia" w:hAnsiTheme="minorEastAsia" w:eastAsiaTheme="minorEastAsia"/>
                <w:color w:val="auto"/>
                <w:sz w:val="24"/>
                <w:highlight w:val="none"/>
              </w:rPr>
            </w:pPr>
          </w:p>
        </w:tc>
      </w:tr>
    </w:tbl>
    <w:p w14:paraId="5376E4EC">
      <w:pPr>
        <w:spacing w:line="360" w:lineRule="auto"/>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备注：</w:t>
      </w:r>
    </w:p>
    <w:p w14:paraId="49BE1A05">
      <w:pPr>
        <w:spacing w:line="360" w:lineRule="auto"/>
        <w:ind w:firstLine="480" w:firstLineChars="200"/>
        <w:contextualSpacing/>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以上设备性能配置清单中“货物名称、数量及单位、品牌、规格型号、制造商、原产地、参数性能、指标及配置”必须如实填写完整，品牌、规格型号没有则填无，填写有缺漏</w:t>
      </w:r>
      <w:r>
        <w:rPr>
          <w:rFonts w:hint="eastAsia" w:asciiTheme="minorEastAsia" w:hAnsiTheme="minorEastAsia" w:eastAsiaTheme="minorEastAsia"/>
          <w:bCs/>
          <w:color w:val="auto"/>
          <w:sz w:val="24"/>
          <w:highlight w:val="none"/>
        </w:rPr>
        <w:t>的，</w:t>
      </w:r>
      <w:r>
        <w:rPr>
          <w:rFonts w:hint="eastAsia" w:asciiTheme="minorEastAsia" w:hAnsiTheme="minorEastAsia" w:eastAsiaTheme="minorEastAsia"/>
          <w:b/>
          <w:color w:val="auto"/>
          <w:sz w:val="24"/>
          <w:highlight w:val="none"/>
        </w:rPr>
        <w:t>作无效投标处理。</w:t>
      </w:r>
      <w:r>
        <w:rPr>
          <w:rFonts w:hint="eastAsia" w:asciiTheme="minorEastAsia" w:hAnsiTheme="minorEastAsia" w:eastAsiaTheme="minorEastAsia"/>
          <w:color w:val="auto"/>
          <w:sz w:val="24"/>
          <w:highlight w:val="none"/>
        </w:rPr>
        <w:t>货物名称、数量及单位、品牌必须与“开标一览表”一致，</w:t>
      </w:r>
      <w:r>
        <w:rPr>
          <w:rFonts w:hint="eastAsia" w:asciiTheme="minorEastAsia" w:hAnsiTheme="minorEastAsia" w:eastAsiaTheme="minorEastAsia"/>
          <w:b/>
          <w:color w:val="auto"/>
          <w:sz w:val="24"/>
          <w:highlight w:val="none"/>
        </w:rPr>
        <w:t>否则按无效投标处理。</w:t>
      </w:r>
    </w:p>
    <w:p w14:paraId="3A3010C6">
      <w:pPr>
        <w:spacing w:line="360" w:lineRule="auto"/>
        <w:ind w:firstLine="480" w:firstLineChars="200"/>
        <w:contextualSpacing/>
        <w:rPr>
          <w:rFonts w:asciiTheme="minorEastAsia" w:hAnsiTheme="minorEastAsia" w:eastAsiaTheme="minorEastAsia"/>
          <w:color w:val="auto"/>
          <w:sz w:val="24"/>
          <w:highlight w:val="none"/>
        </w:rPr>
      </w:pPr>
    </w:p>
    <w:p w14:paraId="770A5CBC">
      <w:pPr>
        <w:spacing w:line="360" w:lineRule="auto"/>
        <w:contextualSpacing/>
        <w:rPr>
          <w:rFonts w:asciiTheme="minorEastAsia" w:hAnsiTheme="minorEastAsia" w:eastAsiaTheme="minorEastAsia"/>
          <w:color w:val="auto"/>
          <w:spacing w:val="20"/>
          <w:sz w:val="24"/>
          <w:highlight w:val="none"/>
          <w:u w:val="single"/>
        </w:rPr>
      </w:pPr>
      <w:r>
        <w:rPr>
          <w:rFonts w:hint="eastAsia"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pacing w:val="20"/>
          <w:sz w:val="24"/>
          <w:highlight w:val="none"/>
        </w:rPr>
        <w:t>（签字/电子签名）：</w:t>
      </w:r>
    </w:p>
    <w:p w14:paraId="5BA88BE1">
      <w:pPr>
        <w:spacing w:line="360" w:lineRule="auto"/>
        <w:contextualSpacing/>
        <w:rPr>
          <w:rFonts w:asciiTheme="minorEastAsia" w:hAnsiTheme="minorEastAsia" w:eastAsiaTheme="minorEastAsia"/>
          <w:color w:val="auto"/>
          <w:spacing w:val="20"/>
          <w:sz w:val="24"/>
          <w:highlight w:val="none"/>
        </w:rPr>
      </w:pPr>
      <w:r>
        <w:rPr>
          <w:rFonts w:hint="eastAsia" w:asciiTheme="minorEastAsia" w:hAnsiTheme="minorEastAsia" w:eastAsiaTheme="minorEastAsia"/>
          <w:color w:val="auto"/>
          <w:spacing w:val="20"/>
          <w:sz w:val="24"/>
          <w:highlight w:val="none"/>
        </w:rPr>
        <w:t>投标人名称（电子签章）：</w:t>
      </w:r>
    </w:p>
    <w:p w14:paraId="6B52559E">
      <w:pPr>
        <w:spacing w:line="360" w:lineRule="auto"/>
        <w:contextualSpacing/>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pacing w:val="20"/>
          <w:sz w:val="24"/>
          <w:highlight w:val="none"/>
        </w:rPr>
        <w:t>日  期：</w:t>
      </w:r>
    </w:p>
    <w:p w14:paraId="55D78BB1">
      <w:pPr>
        <w:snapToGrid w:val="0"/>
        <w:spacing w:before="50" w:afterLines="50"/>
        <w:jc w:val="left"/>
        <w:rPr>
          <w:rFonts w:asciiTheme="minorEastAsia" w:hAnsiTheme="minorEastAsia" w:eastAsiaTheme="minorEastAsia"/>
          <w:color w:val="auto"/>
          <w:sz w:val="24"/>
          <w:szCs w:val="20"/>
          <w:highlight w:val="none"/>
        </w:rPr>
      </w:pPr>
    </w:p>
    <w:p w14:paraId="32305F99">
      <w:pPr>
        <w:snapToGrid w:val="0"/>
        <w:spacing w:before="50" w:afterLines="50"/>
        <w:jc w:val="left"/>
        <w:rPr>
          <w:rFonts w:asciiTheme="minorEastAsia" w:hAnsiTheme="minorEastAsia" w:eastAsiaTheme="minorEastAsia"/>
          <w:color w:val="auto"/>
          <w:sz w:val="24"/>
          <w:szCs w:val="20"/>
          <w:highlight w:val="none"/>
        </w:rPr>
      </w:pPr>
    </w:p>
    <w:p w14:paraId="215BDE45">
      <w:pPr>
        <w:snapToGrid w:val="0"/>
        <w:spacing w:beforeLines="50" w:after="50"/>
        <w:ind w:left="142"/>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4. 技术要求偏离表格式</w:t>
      </w:r>
    </w:p>
    <w:p w14:paraId="096D495D">
      <w:pPr>
        <w:snapToGrid w:val="0"/>
        <w:spacing w:beforeLines="50" w:after="50"/>
        <w:ind w:left="142"/>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技术要求偏离表</w:t>
      </w:r>
    </w:p>
    <w:p w14:paraId="31FFBFFC">
      <w:pPr>
        <w:pStyle w:val="14"/>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color w:val="auto"/>
          <w:sz w:val="24"/>
          <w:szCs w:val="24"/>
          <w:highlight w:val="none"/>
        </w:rPr>
        <w:t>：分标</w:t>
      </w:r>
    </w:p>
    <w:tbl>
      <w:tblPr>
        <w:tblStyle w:val="23"/>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441D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jc w:val="center"/>
        </w:trPr>
        <w:tc>
          <w:tcPr>
            <w:tcW w:w="852" w:type="dxa"/>
            <w:vAlign w:val="center"/>
          </w:tcPr>
          <w:p w14:paraId="3580668C">
            <w:pPr>
              <w:pStyle w:val="14"/>
              <w:spacing w:line="400" w:lineRule="exact"/>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序号</w:t>
            </w:r>
          </w:p>
        </w:tc>
        <w:tc>
          <w:tcPr>
            <w:tcW w:w="2143" w:type="dxa"/>
            <w:vAlign w:val="center"/>
          </w:tcPr>
          <w:p w14:paraId="78D7A251">
            <w:pPr>
              <w:pStyle w:val="14"/>
              <w:spacing w:line="400" w:lineRule="exact"/>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标的的名称</w:t>
            </w:r>
          </w:p>
        </w:tc>
        <w:tc>
          <w:tcPr>
            <w:tcW w:w="1834" w:type="dxa"/>
            <w:vAlign w:val="center"/>
          </w:tcPr>
          <w:p w14:paraId="7CB89C90">
            <w:pPr>
              <w:pStyle w:val="14"/>
              <w:spacing w:line="400" w:lineRule="exact"/>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技术要求</w:t>
            </w:r>
          </w:p>
        </w:tc>
        <w:tc>
          <w:tcPr>
            <w:tcW w:w="2181" w:type="dxa"/>
            <w:vAlign w:val="center"/>
          </w:tcPr>
          <w:p w14:paraId="73D887E3">
            <w:pPr>
              <w:pStyle w:val="14"/>
              <w:spacing w:line="400" w:lineRule="exact"/>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投标响应</w:t>
            </w:r>
          </w:p>
        </w:tc>
        <w:tc>
          <w:tcPr>
            <w:tcW w:w="1934" w:type="dxa"/>
            <w:vAlign w:val="center"/>
          </w:tcPr>
          <w:p w14:paraId="2D6EF524">
            <w:pPr>
              <w:pStyle w:val="14"/>
              <w:spacing w:line="400" w:lineRule="exact"/>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偏离说明</w:t>
            </w:r>
          </w:p>
        </w:tc>
      </w:tr>
      <w:tr w14:paraId="5792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6FBA29A">
            <w:pPr>
              <w:pStyle w:val="14"/>
              <w:spacing w:line="600" w:lineRule="exact"/>
              <w:ind w:firstLine="480"/>
              <w:jc w:val="center"/>
              <w:rPr>
                <w:rFonts w:cs="Courier New" w:asciiTheme="minorEastAsia" w:hAnsiTheme="minorEastAsia" w:eastAsiaTheme="minorEastAsia"/>
                <w:color w:val="auto"/>
                <w:kern w:val="2"/>
                <w:sz w:val="24"/>
                <w:szCs w:val="24"/>
                <w:highlight w:val="none"/>
              </w:rPr>
            </w:pPr>
          </w:p>
        </w:tc>
        <w:tc>
          <w:tcPr>
            <w:tcW w:w="2143" w:type="dxa"/>
            <w:vAlign w:val="center"/>
          </w:tcPr>
          <w:p w14:paraId="41D09CCE">
            <w:pPr>
              <w:pStyle w:val="14"/>
              <w:spacing w:line="600" w:lineRule="exact"/>
              <w:ind w:firstLine="480"/>
              <w:jc w:val="center"/>
              <w:rPr>
                <w:rFonts w:cs="Courier New" w:asciiTheme="minorEastAsia" w:hAnsiTheme="minorEastAsia" w:eastAsiaTheme="minorEastAsia"/>
                <w:color w:val="auto"/>
                <w:kern w:val="2"/>
                <w:sz w:val="24"/>
                <w:szCs w:val="24"/>
                <w:highlight w:val="none"/>
              </w:rPr>
            </w:pPr>
          </w:p>
        </w:tc>
        <w:tc>
          <w:tcPr>
            <w:tcW w:w="1834" w:type="dxa"/>
            <w:vAlign w:val="center"/>
          </w:tcPr>
          <w:p w14:paraId="4F2E8F0F">
            <w:pPr>
              <w:pStyle w:val="14"/>
              <w:spacing w:line="600" w:lineRule="exact"/>
              <w:ind w:firstLine="480"/>
              <w:jc w:val="center"/>
              <w:rPr>
                <w:rFonts w:cs="Courier New" w:asciiTheme="minorEastAsia" w:hAnsiTheme="minorEastAsia" w:eastAsiaTheme="minorEastAsia"/>
                <w:color w:val="auto"/>
                <w:kern w:val="2"/>
                <w:sz w:val="24"/>
                <w:szCs w:val="24"/>
                <w:highlight w:val="none"/>
              </w:rPr>
            </w:pPr>
          </w:p>
        </w:tc>
        <w:tc>
          <w:tcPr>
            <w:tcW w:w="2181" w:type="dxa"/>
            <w:vAlign w:val="center"/>
          </w:tcPr>
          <w:p w14:paraId="65A24079">
            <w:pPr>
              <w:pStyle w:val="14"/>
              <w:spacing w:line="600" w:lineRule="exact"/>
              <w:ind w:firstLine="480"/>
              <w:jc w:val="center"/>
              <w:rPr>
                <w:rFonts w:cs="Courier New" w:asciiTheme="minorEastAsia" w:hAnsiTheme="minorEastAsia" w:eastAsiaTheme="minorEastAsia"/>
                <w:color w:val="auto"/>
                <w:kern w:val="2"/>
                <w:sz w:val="24"/>
                <w:szCs w:val="24"/>
                <w:highlight w:val="none"/>
              </w:rPr>
            </w:pPr>
          </w:p>
        </w:tc>
        <w:tc>
          <w:tcPr>
            <w:tcW w:w="1934" w:type="dxa"/>
            <w:vAlign w:val="center"/>
          </w:tcPr>
          <w:p w14:paraId="04B8C2E3">
            <w:pPr>
              <w:pStyle w:val="14"/>
              <w:spacing w:line="600" w:lineRule="exact"/>
              <w:ind w:firstLine="480"/>
              <w:jc w:val="center"/>
              <w:rPr>
                <w:rFonts w:cs="Courier New" w:asciiTheme="minorEastAsia" w:hAnsiTheme="minorEastAsia" w:eastAsiaTheme="minorEastAsia"/>
                <w:color w:val="auto"/>
                <w:kern w:val="2"/>
                <w:sz w:val="24"/>
                <w:szCs w:val="24"/>
                <w:highlight w:val="none"/>
              </w:rPr>
            </w:pPr>
          </w:p>
        </w:tc>
      </w:tr>
      <w:tr w14:paraId="5464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DEE967C">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2143" w:type="dxa"/>
          </w:tcPr>
          <w:p w14:paraId="74B08660">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1834" w:type="dxa"/>
          </w:tcPr>
          <w:p w14:paraId="580F61BD">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2181" w:type="dxa"/>
          </w:tcPr>
          <w:p w14:paraId="14834C80">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1934" w:type="dxa"/>
          </w:tcPr>
          <w:p w14:paraId="482C11DD">
            <w:pPr>
              <w:pStyle w:val="14"/>
              <w:spacing w:line="600" w:lineRule="exact"/>
              <w:ind w:firstLine="480"/>
              <w:rPr>
                <w:rFonts w:cs="Courier New" w:asciiTheme="minorEastAsia" w:hAnsiTheme="minorEastAsia" w:eastAsiaTheme="minorEastAsia"/>
                <w:color w:val="auto"/>
                <w:kern w:val="2"/>
                <w:sz w:val="24"/>
                <w:szCs w:val="24"/>
                <w:highlight w:val="none"/>
              </w:rPr>
            </w:pPr>
          </w:p>
        </w:tc>
      </w:tr>
      <w:tr w14:paraId="348F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E35E7F5">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2143" w:type="dxa"/>
          </w:tcPr>
          <w:p w14:paraId="7AD547FA">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1834" w:type="dxa"/>
          </w:tcPr>
          <w:p w14:paraId="34ACE1E0">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2181" w:type="dxa"/>
          </w:tcPr>
          <w:p w14:paraId="78B09B4D">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1934" w:type="dxa"/>
          </w:tcPr>
          <w:p w14:paraId="1B0B5166">
            <w:pPr>
              <w:pStyle w:val="14"/>
              <w:spacing w:line="600" w:lineRule="exact"/>
              <w:ind w:firstLine="480"/>
              <w:rPr>
                <w:rFonts w:cs="Courier New" w:asciiTheme="minorEastAsia" w:hAnsiTheme="minorEastAsia" w:eastAsiaTheme="minorEastAsia"/>
                <w:color w:val="auto"/>
                <w:kern w:val="2"/>
                <w:sz w:val="24"/>
                <w:szCs w:val="24"/>
                <w:highlight w:val="none"/>
              </w:rPr>
            </w:pPr>
          </w:p>
        </w:tc>
      </w:tr>
      <w:tr w14:paraId="7904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00843C70">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2143" w:type="dxa"/>
          </w:tcPr>
          <w:p w14:paraId="06CDC8C7">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1834" w:type="dxa"/>
          </w:tcPr>
          <w:p w14:paraId="3C24CBF1">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2181" w:type="dxa"/>
          </w:tcPr>
          <w:p w14:paraId="161E794F">
            <w:pPr>
              <w:pStyle w:val="14"/>
              <w:spacing w:line="600" w:lineRule="exact"/>
              <w:ind w:firstLine="480"/>
              <w:rPr>
                <w:rFonts w:cs="Courier New" w:asciiTheme="minorEastAsia" w:hAnsiTheme="minorEastAsia" w:eastAsiaTheme="minorEastAsia"/>
                <w:color w:val="auto"/>
                <w:kern w:val="2"/>
                <w:sz w:val="24"/>
                <w:szCs w:val="24"/>
                <w:highlight w:val="none"/>
              </w:rPr>
            </w:pPr>
          </w:p>
        </w:tc>
        <w:tc>
          <w:tcPr>
            <w:tcW w:w="1934" w:type="dxa"/>
          </w:tcPr>
          <w:p w14:paraId="50BA41D4">
            <w:pPr>
              <w:pStyle w:val="14"/>
              <w:spacing w:line="600" w:lineRule="exact"/>
              <w:ind w:firstLine="480"/>
              <w:rPr>
                <w:rFonts w:cs="Courier New" w:asciiTheme="minorEastAsia" w:hAnsiTheme="minorEastAsia" w:eastAsiaTheme="minorEastAsia"/>
                <w:color w:val="auto"/>
                <w:kern w:val="2"/>
                <w:sz w:val="24"/>
                <w:szCs w:val="24"/>
                <w:highlight w:val="none"/>
              </w:rPr>
            </w:pPr>
          </w:p>
        </w:tc>
      </w:tr>
    </w:tbl>
    <w:p w14:paraId="78B4992D">
      <w:pPr>
        <w:pStyle w:val="11"/>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注：</w:t>
      </w:r>
    </w:p>
    <w:p w14:paraId="75C4DBB9">
      <w:pPr>
        <w:pStyle w:val="13"/>
        <w:spacing w:line="360" w:lineRule="auto"/>
        <w:ind w:firstLine="0" w:firstLineChars="0"/>
        <w:rPr>
          <w:rFonts w:cs="仿宋_GB2312" w:asciiTheme="minorEastAsia" w:hAnsiTheme="minorEastAsia" w:eastAsiaTheme="minorEastAsia"/>
          <w:color w:val="auto"/>
          <w:szCs w:val="32"/>
          <w:highlight w:val="none"/>
        </w:rPr>
      </w:pPr>
      <w:r>
        <w:rPr>
          <w:rFonts w:hint="eastAsia" w:asciiTheme="minorEastAsia" w:hAnsiTheme="minorEastAsia" w:eastAsiaTheme="minorEastAsia"/>
          <w:color w:val="auto"/>
          <w:sz w:val="24"/>
          <w:szCs w:val="24"/>
          <w:highlight w:val="none"/>
        </w:rPr>
        <w:t>1. 说明：应对照招标文件“第二章 采购需求”中的“技术要求”逐条作明确的投标响应，并作出偏离说明。</w:t>
      </w:r>
    </w:p>
    <w:p w14:paraId="619567FB">
      <w:pPr>
        <w:pStyle w:val="11"/>
        <w:spacing w:line="360" w:lineRule="auto"/>
        <w:rPr>
          <w:rFonts w:asciiTheme="minorEastAsia" w:hAnsiTheme="minorEastAsia" w:eastAsiaTheme="minorEastAsia"/>
          <w:b w:val="0"/>
          <w:bCs w:val="0"/>
          <w:color w:val="auto"/>
          <w:highlight w:val="none"/>
        </w:rPr>
      </w:pPr>
      <w:r>
        <w:rPr>
          <w:rFonts w:asciiTheme="minorEastAsia" w:hAnsiTheme="minorEastAsia" w:eastAsiaTheme="minorEastAsia"/>
          <w:b w:val="0"/>
          <w:bCs w:val="0"/>
          <w:color w:val="auto"/>
          <w:highlight w:val="none"/>
        </w:rPr>
        <w:t>2.</w:t>
      </w:r>
      <w:r>
        <w:rPr>
          <w:rFonts w:hint="eastAsia" w:asciiTheme="minorEastAsia" w:hAnsiTheme="minorEastAsia" w:eastAsiaTheme="minorEastAsia"/>
          <w:b w:val="0"/>
          <w:bCs w:val="0"/>
          <w:color w:val="auto"/>
          <w:highlight w:val="none"/>
        </w:rPr>
        <w:t>投标人根据投标货物的性能指标，对照招标文件技术要求，在“偏离说明”中注明“</w:t>
      </w:r>
      <w:r>
        <w:rPr>
          <w:rFonts w:hint="eastAsia" w:asciiTheme="minorEastAsia" w:hAnsiTheme="minorEastAsia" w:eastAsiaTheme="minorEastAsia"/>
          <w:color w:val="auto"/>
          <w:highlight w:val="none"/>
        </w:rPr>
        <w:t>正偏离</w:t>
      </w:r>
      <w:r>
        <w:rPr>
          <w:rFonts w:hint="eastAsia" w:asciiTheme="minorEastAsia" w:hAnsiTheme="minorEastAsia" w:eastAsiaTheme="minorEastAsia"/>
          <w:b w:val="0"/>
          <w:bCs w:val="0"/>
          <w:color w:val="auto"/>
          <w:highlight w:val="none"/>
        </w:rPr>
        <w:t>”、“</w:t>
      </w:r>
      <w:r>
        <w:rPr>
          <w:rFonts w:hint="eastAsia" w:asciiTheme="minorEastAsia" w:hAnsiTheme="minorEastAsia" w:eastAsiaTheme="minorEastAsia"/>
          <w:color w:val="auto"/>
          <w:highlight w:val="none"/>
        </w:rPr>
        <w:t>负偏离</w:t>
      </w:r>
      <w:r>
        <w:rPr>
          <w:rFonts w:hint="eastAsia" w:asciiTheme="minorEastAsia" w:hAnsiTheme="minorEastAsia" w:eastAsiaTheme="minorEastAsia"/>
          <w:b w:val="0"/>
          <w:bCs w:val="0"/>
          <w:color w:val="auto"/>
          <w:highlight w:val="none"/>
        </w:rPr>
        <w:t>”或者“</w:t>
      </w:r>
      <w:r>
        <w:rPr>
          <w:rFonts w:hint="eastAsia" w:asciiTheme="minorEastAsia" w:hAnsiTheme="minorEastAsia" w:eastAsiaTheme="minorEastAsia"/>
          <w:color w:val="auto"/>
          <w:highlight w:val="none"/>
        </w:rPr>
        <w:t>无偏离</w:t>
      </w:r>
      <w:r>
        <w:rPr>
          <w:rFonts w:hint="eastAsia" w:asciiTheme="minorEastAsia" w:hAnsiTheme="minorEastAsia" w:eastAsiaTheme="minorEastAsia"/>
          <w:b w:val="0"/>
          <w:bCs w:val="0"/>
          <w:color w:val="auto"/>
          <w:highlight w:val="none"/>
        </w:rPr>
        <w:t>”。既不属于“</w:t>
      </w:r>
      <w:r>
        <w:rPr>
          <w:rFonts w:hint="eastAsia" w:asciiTheme="minorEastAsia" w:hAnsiTheme="minorEastAsia" w:eastAsiaTheme="minorEastAsia"/>
          <w:color w:val="auto"/>
          <w:highlight w:val="none"/>
        </w:rPr>
        <w:t>正偏离</w:t>
      </w:r>
      <w:r>
        <w:rPr>
          <w:rFonts w:hint="eastAsia" w:asciiTheme="minorEastAsia" w:hAnsiTheme="minorEastAsia" w:eastAsiaTheme="minorEastAsia"/>
          <w:b w:val="0"/>
          <w:bCs w:val="0"/>
          <w:color w:val="auto"/>
          <w:highlight w:val="none"/>
        </w:rPr>
        <w:t>”也不属于“</w:t>
      </w:r>
      <w:r>
        <w:rPr>
          <w:rFonts w:hint="eastAsia" w:asciiTheme="minorEastAsia" w:hAnsiTheme="minorEastAsia" w:eastAsiaTheme="minorEastAsia"/>
          <w:color w:val="auto"/>
          <w:highlight w:val="none"/>
        </w:rPr>
        <w:t>负偏离</w:t>
      </w:r>
      <w:r>
        <w:rPr>
          <w:rFonts w:hint="eastAsia" w:asciiTheme="minorEastAsia" w:hAnsiTheme="minorEastAsia" w:eastAsiaTheme="minorEastAsia"/>
          <w:b w:val="0"/>
          <w:bCs w:val="0"/>
          <w:color w:val="auto"/>
          <w:highlight w:val="none"/>
        </w:rPr>
        <w:t>”即为“</w:t>
      </w:r>
      <w:r>
        <w:rPr>
          <w:rFonts w:hint="eastAsia" w:asciiTheme="minorEastAsia" w:hAnsiTheme="minorEastAsia" w:eastAsiaTheme="minorEastAsia"/>
          <w:color w:val="auto"/>
          <w:highlight w:val="none"/>
        </w:rPr>
        <w:t>无偏离</w:t>
      </w:r>
      <w:r>
        <w:rPr>
          <w:rFonts w:hint="eastAsia" w:asciiTheme="minorEastAsia" w:hAnsiTheme="minorEastAsia" w:eastAsiaTheme="minorEastAsia"/>
          <w:b w:val="0"/>
          <w:bCs w:val="0"/>
          <w:color w:val="auto"/>
          <w:highlight w:val="none"/>
        </w:rPr>
        <w:t>”。</w:t>
      </w:r>
    </w:p>
    <w:p w14:paraId="07858839">
      <w:pPr>
        <w:pStyle w:val="13"/>
        <w:spacing w:line="360" w:lineRule="auto"/>
        <w:ind w:firstLine="0" w:firstLineChars="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投标人认为其投标响应有正偏离的，请在技术要求偏离表中列明，且在投标文件中按技术需求或评标方法及评标标准的要求提供佐证材料，以上佐证材料均须加投标人电子公章，未按要求提供的评委可不予以认可。</w:t>
      </w:r>
    </w:p>
    <w:p w14:paraId="6FC92C91">
      <w:pPr>
        <w:pStyle w:val="13"/>
        <w:spacing w:line="360" w:lineRule="auto"/>
        <w:ind w:firstLine="0" w:firstLineChars="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r>
        <w:rPr>
          <w:rFonts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rPr>
        <w:t>如技术要求偏离表中的投标响应与佐证材料不一致的，以佐证材料为准。</w:t>
      </w:r>
    </w:p>
    <w:p w14:paraId="103E5653">
      <w:pPr>
        <w:snapToGrid w:val="0"/>
        <w:spacing w:before="50" w:after="50" w:line="360" w:lineRule="auto"/>
        <w:rPr>
          <w:rFonts w:asciiTheme="minorEastAsia" w:hAnsiTheme="minorEastAsia" w:eastAsiaTheme="minorEastAsia"/>
          <w:color w:val="auto"/>
          <w:sz w:val="24"/>
          <w:highlight w:val="none"/>
        </w:rPr>
      </w:pPr>
    </w:p>
    <w:p w14:paraId="01BB5E02">
      <w:pPr>
        <w:snapToGrid w:val="0"/>
        <w:spacing w:before="50" w:after="50" w:line="360" w:lineRule="auto"/>
        <w:rPr>
          <w:rFonts w:asciiTheme="minorEastAsia" w:hAnsiTheme="minorEastAsia" w:eastAsiaTheme="minorEastAsia"/>
          <w:color w:val="auto"/>
          <w:spacing w:val="20"/>
          <w:sz w:val="24"/>
          <w:highlight w:val="none"/>
          <w:u w:val="single"/>
        </w:rPr>
      </w:pPr>
      <w:r>
        <w:rPr>
          <w:rFonts w:hint="eastAsia"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pacing w:val="20"/>
          <w:sz w:val="24"/>
          <w:highlight w:val="none"/>
        </w:rPr>
        <w:t>（签字/电子签名）：</w:t>
      </w:r>
    </w:p>
    <w:p w14:paraId="5F4E856D">
      <w:pPr>
        <w:snapToGrid w:val="0"/>
        <w:spacing w:before="50" w:after="50" w:line="360" w:lineRule="auto"/>
        <w:rPr>
          <w:rFonts w:asciiTheme="minorEastAsia" w:hAnsiTheme="minorEastAsia" w:eastAsiaTheme="minorEastAsia"/>
          <w:color w:val="auto"/>
          <w:spacing w:val="20"/>
          <w:sz w:val="24"/>
          <w:highlight w:val="none"/>
        </w:rPr>
      </w:pPr>
      <w:r>
        <w:rPr>
          <w:rFonts w:hint="eastAsia" w:asciiTheme="minorEastAsia" w:hAnsiTheme="minorEastAsia" w:eastAsiaTheme="minorEastAsia"/>
          <w:color w:val="auto"/>
          <w:spacing w:val="20"/>
          <w:sz w:val="24"/>
          <w:highlight w:val="none"/>
        </w:rPr>
        <w:t>投标人名称（电子签章）：</w:t>
      </w:r>
    </w:p>
    <w:p w14:paraId="3E837B4B">
      <w:pPr>
        <w:snapToGrid w:val="0"/>
        <w:spacing w:before="50" w:after="50" w:line="360" w:lineRule="auto"/>
        <w:outlineLvl w:val="3"/>
        <w:rPr>
          <w:rFonts w:asciiTheme="minorEastAsia" w:hAnsiTheme="minorEastAsia" w:eastAsiaTheme="minorEastAsia"/>
          <w:b/>
          <w:color w:val="auto"/>
          <w:sz w:val="24"/>
          <w:highlight w:val="none"/>
        </w:rPr>
      </w:pPr>
      <w:r>
        <w:rPr>
          <w:rFonts w:hint="eastAsia" w:asciiTheme="minorEastAsia" w:hAnsiTheme="minorEastAsia" w:eastAsiaTheme="minorEastAsia"/>
          <w:color w:val="auto"/>
          <w:spacing w:val="20"/>
          <w:sz w:val="24"/>
          <w:highlight w:val="none"/>
        </w:rPr>
        <w:t>日 期：</w:t>
      </w: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5. 项目实施人员一览表格式</w:t>
      </w:r>
    </w:p>
    <w:p w14:paraId="1CD6C1D4">
      <w:pPr>
        <w:snapToGrid w:val="0"/>
        <w:spacing w:beforeLines="50" w:after="50"/>
        <w:ind w:left="142"/>
        <w:jc w:val="left"/>
        <w:rPr>
          <w:rFonts w:asciiTheme="minorEastAsia" w:hAnsiTheme="minorEastAsia" w:eastAsiaTheme="minorEastAsia"/>
          <w:b/>
          <w:color w:val="auto"/>
          <w:sz w:val="24"/>
          <w:highlight w:val="none"/>
        </w:rPr>
      </w:pPr>
    </w:p>
    <w:p w14:paraId="00A3D4A6">
      <w:pPr>
        <w:snapToGrid w:val="0"/>
        <w:spacing w:beforeLines="50" w:after="50"/>
        <w:ind w:left="142"/>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项目实施人员一览表</w:t>
      </w:r>
    </w:p>
    <w:p w14:paraId="23E04C69">
      <w:pPr>
        <w:pStyle w:val="14"/>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color w:val="auto"/>
          <w:sz w:val="24"/>
          <w:szCs w:val="24"/>
          <w:highlight w:val="none"/>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6AAD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CCB7DAE">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姓名</w:t>
            </w:r>
          </w:p>
        </w:tc>
        <w:tc>
          <w:tcPr>
            <w:tcW w:w="709" w:type="dxa"/>
            <w:vAlign w:val="center"/>
          </w:tcPr>
          <w:p w14:paraId="4A777DBF">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职务</w:t>
            </w:r>
          </w:p>
        </w:tc>
        <w:tc>
          <w:tcPr>
            <w:tcW w:w="1701" w:type="dxa"/>
            <w:vAlign w:val="center"/>
          </w:tcPr>
          <w:p w14:paraId="7335B3EF">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专业技术资格（职称）或者职业资格或者执业资格证或者其他证书</w:t>
            </w:r>
          </w:p>
        </w:tc>
        <w:tc>
          <w:tcPr>
            <w:tcW w:w="1420" w:type="dxa"/>
            <w:vAlign w:val="center"/>
          </w:tcPr>
          <w:p w14:paraId="3B548FA1">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证书编号</w:t>
            </w:r>
          </w:p>
        </w:tc>
        <w:tc>
          <w:tcPr>
            <w:tcW w:w="1698" w:type="dxa"/>
            <w:vAlign w:val="center"/>
          </w:tcPr>
          <w:p w14:paraId="54C25D73">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参加本单位</w:t>
            </w:r>
          </w:p>
          <w:p w14:paraId="0B33A276">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工作时间</w:t>
            </w:r>
          </w:p>
        </w:tc>
        <w:tc>
          <w:tcPr>
            <w:tcW w:w="1843" w:type="dxa"/>
            <w:vAlign w:val="center"/>
          </w:tcPr>
          <w:p w14:paraId="16642223">
            <w:pPr>
              <w:snapToGrid w:val="0"/>
              <w:spacing w:before="50" w:afterLines="50"/>
              <w:jc w:val="center"/>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劳动合同编号</w:t>
            </w:r>
          </w:p>
        </w:tc>
      </w:tr>
      <w:tr w14:paraId="6EF5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4C172A2">
            <w:pPr>
              <w:snapToGrid w:val="0"/>
              <w:spacing w:before="50" w:afterLines="50"/>
              <w:jc w:val="center"/>
              <w:rPr>
                <w:rFonts w:asciiTheme="minorEastAsia" w:hAnsiTheme="minorEastAsia" w:eastAsiaTheme="minorEastAsia"/>
                <w:color w:val="auto"/>
                <w:sz w:val="24"/>
                <w:szCs w:val="20"/>
                <w:highlight w:val="none"/>
              </w:rPr>
            </w:pPr>
          </w:p>
        </w:tc>
        <w:tc>
          <w:tcPr>
            <w:tcW w:w="709" w:type="dxa"/>
            <w:vAlign w:val="center"/>
          </w:tcPr>
          <w:p w14:paraId="0CE9D3FF">
            <w:pPr>
              <w:snapToGrid w:val="0"/>
              <w:spacing w:before="50" w:afterLines="50"/>
              <w:jc w:val="center"/>
              <w:rPr>
                <w:rFonts w:asciiTheme="minorEastAsia" w:hAnsiTheme="minorEastAsia" w:eastAsiaTheme="minorEastAsia"/>
                <w:color w:val="auto"/>
                <w:sz w:val="24"/>
                <w:szCs w:val="20"/>
                <w:highlight w:val="none"/>
              </w:rPr>
            </w:pPr>
          </w:p>
        </w:tc>
        <w:tc>
          <w:tcPr>
            <w:tcW w:w="1701" w:type="dxa"/>
            <w:vAlign w:val="center"/>
          </w:tcPr>
          <w:p w14:paraId="2185C2A4">
            <w:pPr>
              <w:snapToGrid w:val="0"/>
              <w:spacing w:before="50" w:afterLines="50"/>
              <w:jc w:val="center"/>
              <w:rPr>
                <w:rFonts w:asciiTheme="minorEastAsia" w:hAnsiTheme="minorEastAsia" w:eastAsiaTheme="minorEastAsia"/>
                <w:color w:val="auto"/>
                <w:sz w:val="24"/>
                <w:szCs w:val="20"/>
                <w:highlight w:val="none"/>
              </w:rPr>
            </w:pPr>
          </w:p>
        </w:tc>
        <w:tc>
          <w:tcPr>
            <w:tcW w:w="1420" w:type="dxa"/>
            <w:vAlign w:val="center"/>
          </w:tcPr>
          <w:p w14:paraId="6A6C1CA6">
            <w:pPr>
              <w:snapToGrid w:val="0"/>
              <w:spacing w:before="50" w:afterLines="50"/>
              <w:jc w:val="center"/>
              <w:rPr>
                <w:rFonts w:asciiTheme="minorEastAsia" w:hAnsiTheme="minorEastAsia" w:eastAsiaTheme="minorEastAsia"/>
                <w:color w:val="auto"/>
                <w:sz w:val="24"/>
                <w:szCs w:val="20"/>
                <w:highlight w:val="none"/>
              </w:rPr>
            </w:pPr>
          </w:p>
        </w:tc>
        <w:tc>
          <w:tcPr>
            <w:tcW w:w="1698" w:type="dxa"/>
            <w:vAlign w:val="center"/>
          </w:tcPr>
          <w:p w14:paraId="3B2FEAC8">
            <w:pPr>
              <w:snapToGrid w:val="0"/>
              <w:spacing w:before="50" w:afterLines="50"/>
              <w:jc w:val="center"/>
              <w:rPr>
                <w:rFonts w:asciiTheme="minorEastAsia" w:hAnsiTheme="minorEastAsia" w:eastAsiaTheme="minorEastAsia"/>
                <w:color w:val="auto"/>
                <w:sz w:val="24"/>
                <w:szCs w:val="20"/>
                <w:highlight w:val="none"/>
              </w:rPr>
            </w:pPr>
          </w:p>
        </w:tc>
        <w:tc>
          <w:tcPr>
            <w:tcW w:w="1843" w:type="dxa"/>
            <w:vAlign w:val="center"/>
          </w:tcPr>
          <w:p w14:paraId="4C097843">
            <w:pPr>
              <w:snapToGrid w:val="0"/>
              <w:spacing w:before="50" w:afterLines="50"/>
              <w:jc w:val="center"/>
              <w:rPr>
                <w:rFonts w:asciiTheme="minorEastAsia" w:hAnsiTheme="minorEastAsia" w:eastAsiaTheme="minorEastAsia"/>
                <w:color w:val="auto"/>
                <w:sz w:val="24"/>
                <w:szCs w:val="20"/>
                <w:highlight w:val="none"/>
              </w:rPr>
            </w:pPr>
          </w:p>
        </w:tc>
      </w:tr>
      <w:tr w14:paraId="6AFD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0D7D46C">
            <w:pPr>
              <w:snapToGrid w:val="0"/>
              <w:spacing w:before="50" w:afterLines="50"/>
              <w:jc w:val="center"/>
              <w:rPr>
                <w:rFonts w:asciiTheme="minorEastAsia" w:hAnsiTheme="minorEastAsia" w:eastAsiaTheme="minorEastAsia"/>
                <w:color w:val="auto"/>
                <w:sz w:val="24"/>
                <w:szCs w:val="20"/>
                <w:highlight w:val="none"/>
              </w:rPr>
            </w:pPr>
          </w:p>
        </w:tc>
        <w:tc>
          <w:tcPr>
            <w:tcW w:w="709" w:type="dxa"/>
            <w:vAlign w:val="center"/>
          </w:tcPr>
          <w:p w14:paraId="43966D11">
            <w:pPr>
              <w:snapToGrid w:val="0"/>
              <w:spacing w:before="50" w:afterLines="50"/>
              <w:jc w:val="center"/>
              <w:rPr>
                <w:rFonts w:asciiTheme="minorEastAsia" w:hAnsiTheme="minorEastAsia" w:eastAsiaTheme="minorEastAsia"/>
                <w:color w:val="auto"/>
                <w:sz w:val="24"/>
                <w:szCs w:val="20"/>
                <w:highlight w:val="none"/>
              </w:rPr>
            </w:pPr>
          </w:p>
        </w:tc>
        <w:tc>
          <w:tcPr>
            <w:tcW w:w="1701" w:type="dxa"/>
            <w:vAlign w:val="center"/>
          </w:tcPr>
          <w:p w14:paraId="744F01E7">
            <w:pPr>
              <w:snapToGrid w:val="0"/>
              <w:spacing w:before="50" w:afterLines="50"/>
              <w:jc w:val="center"/>
              <w:rPr>
                <w:rFonts w:asciiTheme="minorEastAsia" w:hAnsiTheme="minorEastAsia" w:eastAsiaTheme="minorEastAsia"/>
                <w:color w:val="auto"/>
                <w:sz w:val="24"/>
                <w:szCs w:val="20"/>
                <w:highlight w:val="none"/>
              </w:rPr>
            </w:pPr>
          </w:p>
        </w:tc>
        <w:tc>
          <w:tcPr>
            <w:tcW w:w="1420" w:type="dxa"/>
            <w:vAlign w:val="center"/>
          </w:tcPr>
          <w:p w14:paraId="6F97806E">
            <w:pPr>
              <w:snapToGrid w:val="0"/>
              <w:spacing w:before="50" w:afterLines="50"/>
              <w:jc w:val="center"/>
              <w:rPr>
                <w:rFonts w:asciiTheme="minorEastAsia" w:hAnsiTheme="minorEastAsia" w:eastAsiaTheme="minorEastAsia"/>
                <w:color w:val="auto"/>
                <w:sz w:val="24"/>
                <w:szCs w:val="20"/>
                <w:highlight w:val="none"/>
              </w:rPr>
            </w:pPr>
          </w:p>
        </w:tc>
        <w:tc>
          <w:tcPr>
            <w:tcW w:w="1698" w:type="dxa"/>
            <w:vAlign w:val="center"/>
          </w:tcPr>
          <w:p w14:paraId="0D4DC444">
            <w:pPr>
              <w:snapToGrid w:val="0"/>
              <w:spacing w:before="50" w:afterLines="50"/>
              <w:jc w:val="center"/>
              <w:rPr>
                <w:rFonts w:asciiTheme="minorEastAsia" w:hAnsiTheme="minorEastAsia" w:eastAsiaTheme="minorEastAsia"/>
                <w:color w:val="auto"/>
                <w:sz w:val="24"/>
                <w:szCs w:val="20"/>
                <w:highlight w:val="none"/>
              </w:rPr>
            </w:pPr>
          </w:p>
        </w:tc>
        <w:tc>
          <w:tcPr>
            <w:tcW w:w="1843" w:type="dxa"/>
            <w:vAlign w:val="center"/>
          </w:tcPr>
          <w:p w14:paraId="6A264CAD">
            <w:pPr>
              <w:snapToGrid w:val="0"/>
              <w:spacing w:before="50" w:afterLines="50"/>
              <w:jc w:val="center"/>
              <w:rPr>
                <w:rFonts w:asciiTheme="minorEastAsia" w:hAnsiTheme="minorEastAsia" w:eastAsiaTheme="minorEastAsia"/>
                <w:color w:val="auto"/>
                <w:sz w:val="24"/>
                <w:szCs w:val="20"/>
                <w:highlight w:val="none"/>
              </w:rPr>
            </w:pPr>
          </w:p>
        </w:tc>
      </w:tr>
      <w:tr w14:paraId="146A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F9FA2B">
            <w:pPr>
              <w:snapToGrid w:val="0"/>
              <w:spacing w:before="50" w:afterLines="50"/>
              <w:jc w:val="center"/>
              <w:rPr>
                <w:rFonts w:asciiTheme="minorEastAsia" w:hAnsiTheme="minorEastAsia" w:eastAsiaTheme="minorEastAsia"/>
                <w:color w:val="auto"/>
                <w:sz w:val="24"/>
                <w:szCs w:val="20"/>
                <w:highlight w:val="none"/>
              </w:rPr>
            </w:pPr>
          </w:p>
        </w:tc>
        <w:tc>
          <w:tcPr>
            <w:tcW w:w="709" w:type="dxa"/>
            <w:vAlign w:val="center"/>
          </w:tcPr>
          <w:p w14:paraId="2A0623FD">
            <w:pPr>
              <w:snapToGrid w:val="0"/>
              <w:spacing w:before="50" w:afterLines="50"/>
              <w:jc w:val="center"/>
              <w:rPr>
                <w:rFonts w:asciiTheme="minorEastAsia" w:hAnsiTheme="minorEastAsia" w:eastAsiaTheme="minorEastAsia"/>
                <w:color w:val="auto"/>
                <w:sz w:val="24"/>
                <w:szCs w:val="20"/>
                <w:highlight w:val="none"/>
              </w:rPr>
            </w:pPr>
          </w:p>
        </w:tc>
        <w:tc>
          <w:tcPr>
            <w:tcW w:w="1701" w:type="dxa"/>
            <w:vAlign w:val="center"/>
          </w:tcPr>
          <w:p w14:paraId="510B62AC">
            <w:pPr>
              <w:snapToGrid w:val="0"/>
              <w:spacing w:before="50" w:afterLines="50"/>
              <w:jc w:val="center"/>
              <w:rPr>
                <w:rFonts w:asciiTheme="minorEastAsia" w:hAnsiTheme="minorEastAsia" w:eastAsiaTheme="minorEastAsia"/>
                <w:color w:val="auto"/>
                <w:sz w:val="24"/>
                <w:szCs w:val="20"/>
                <w:highlight w:val="none"/>
              </w:rPr>
            </w:pPr>
          </w:p>
        </w:tc>
        <w:tc>
          <w:tcPr>
            <w:tcW w:w="1420" w:type="dxa"/>
            <w:vAlign w:val="center"/>
          </w:tcPr>
          <w:p w14:paraId="1694A7A0">
            <w:pPr>
              <w:snapToGrid w:val="0"/>
              <w:spacing w:before="50" w:afterLines="50"/>
              <w:jc w:val="center"/>
              <w:rPr>
                <w:rFonts w:asciiTheme="minorEastAsia" w:hAnsiTheme="minorEastAsia" w:eastAsiaTheme="minorEastAsia"/>
                <w:color w:val="auto"/>
                <w:sz w:val="24"/>
                <w:szCs w:val="20"/>
                <w:highlight w:val="none"/>
              </w:rPr>
            </w:pPr>
          </w:p>
        </w:tc>
        <w:tc>
          <w:tcPr>
            <w:tcW w:w="1698" w:type="dxa"/>
            <w:vAlign w:val="center"/>
          </w:tcPr>
          <w:p w14:paraId="0AB42F60">
            <w:pPr>
              <w:snapToGrid w:val="0"/>
              <w:spacing w:before="50" w:afterLines="50"/>
              <w:jc w:val="center"/>
              <w:rPr>
                <w:rFonts w:asciiTheme="minorEastAsia" w:hAnsiTheme="minorEastAsia" w:eastAsiaTheme="minorEastAsia"/>
                <w:color w:val="auto"/>
                <w:sz w:val="24"/>
                <w:szCs w:val="20"/>
                <w:highlight w:val="none"/>
              </w:rPr>
            </w:pPr>
          </w:p>
        </w:tc>
        <w:tc>
          <w:tcPr>
            <w:tcW w:w="1843" w:type="dxa"/>
            <w:vAlign w:val="center"/>
          </w:tcPr>
          <w:p w14:paraId="4D3F7F7C">
            <w:pPr>
              <w:snapToGrid w:val="0"/>
              <w:spacing w:before="50" w:afterLines="50"/>
              <w:jc w:val="center"/>
              <w:rPr>
                <w:rFonts w:asciiTheme="minorEastAsia" w:hAnsiTheme="minorEastAsia" w:eastAsiaTheme="minorEastAsia"/>
                <w:color w:val="auto"/>
                <w:sz w:val="24"/>
                <w:szCs w:val="20"/>
                <w:highlight w:val="none"/>
              </w:rPr>
            </w:pPr>
          </w:p>
        </w:tc>
      </w:tr>
    </w:tbl>
    <w:p w14:paraId="004317C7">
      <w:pPr>
        <w:snapToGrid w:val="0"/>
        <w:spacing w:before="50" w:afterLines="50"/>
        <w:jc w:val="left"/>
        <w:rPr>
          <w:rFonts w:asciiTheme="minorEastAsia" w:hAnsiTheme="minorEastAsia" w:eastAsiaTheme="minorEastAsia"/>
          <w:color w:val="auto"/>
          <w:sz w:val="24"/>
          <w:szCs w:val="20"/>
          <w:highlight w:val="none"/>
        </w:rPr>
      </w:pPr>
    </w:p>
    <w:p w14:paraId="0B1D97F0">
      <w:pPr>
        <w:spacing w:line="360" w:lineRule="auto"/>
        <w:contextualSpacing/>
        <w:jc w:val="left"/>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注：</w:t>
      </w:r>
    </w:p>
    <w:p w14:paraId="1D69D566">
      <w:pPr>
        <w:spacing w:line="360" w:lineRule="auto"/>
        <w:contextualSpacing/>
        <w:jc w:val="left"/>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w:t>
      </w:r>
      <w:r>
        <w:rPr>
          <w:rFonts w:asciiTheme="minorEastAsia" w:hAnsiTheme="minorEastAsia" w:eastAsiaTheme="minorEastAsia"/>
          <w:color w:val="auto"/>
          <w:sz w:val="24"/>
          <w:szCs w:val="20"/>
          <w:highlight w:val="none"/>
        </w:rPr>
        <w:t>.</w:t>
      </w:r>
      <w:r>
        <w:rPr>
          <w:rFonts w:hint="eastAsia" w:asciiTheme="minorEastAsia" w:hAnsiTheme="minorEastAsia" w:eastAsiaTheme="minorEastAsia"/>
          <w:color w:val="auto"/>
          <w:sz w:val="24"/>
          <w:szCs w:val="20"/>
          <w:highlight w:val="none"/>
        </w:rPr>
        <w:t>在填写时，如本表格不适合投标单位的实际情况，可根据本表格式自行制表填写。</w:t>
      </w:r>
    </w:p>
    <w:p w14:paraId="5438680B">
      <w:pPr>
        <w:spacing w:line="360" w:lineRule="auto"/>
        <w:contextualSpacing/>
        <w:jc w:val="left"/>
        <w:rPr>
          <w:rFonts w:asciiTheme="minorEastAsia" w:hAnsiTheme="minorEastAsia" w:eastAsiaTheme="minorEastAsia"/>
          <w:color w:val="auto"/>
          <w:sz w:val="24"/>
          <w:szCs w:val="20"/>
          <w:highlight w:val="none"/>
        </w:rPr>
      </w:pPr>
      <w:r>
        <w:rPr>
          <w:rFonts w:asciiTheme="minorEastAsia" w:hAnsiTheme="minorEastAsia" w:eastAsiaTheme="minorEastAsia"/>
          <w:color w:val="auto"/>
          <w:sz w:val="24"/>
          <w:szCs w:val="20"/>
          <w:highlight w:val="none"/>
        </w:rPr>
        <w:t>2.</w:t>
      </w:r>
      <w:r>
        <w:rPr>
          <w:rFonts w:hint="eastAsia" w:asciiTheme="minorEastAsia" w:hAnsiTheme="minorEastAsia" w:eastAsiaTheme="minorEastAsia"/>
          <w:color w:val="auto"/>
          <w:sz w:val="24"/>
          <w:szCs w:val="20"/>
          <w:highlight w:val="none"/>
        </w:rPr>
        <w:t>投标人应当附本表所列证书的复印件（如有）并加盖投标人公章。</w:t>
      </w:r>
    </w:p>
    <w:p w14:paraId="31096DD0">
      <w:pPr>
        <w:spacing w:line="360" w:lineRule="auto"/>
        <w:contextualSpacing/>
        <w:jc w:val="left"/>
        <w:rPr>
          <w:rFonts w:asciiTheme="minorEastAsia" w:hAnsiTheme="minorEastAsia" w:eastAsiaTheme="minorEastAsia"/>
          <w:color w:val="auto"/>
          <w:sz w:val="24"/>
          <w:szCs w:val="20"/>
          <w:highlight w:val="none"/>
        </w:rPr>
      </w:pPr>
    </w:p>
    <w:p w14:paraId="35C9541C">
      <w:pPr>
        <w:spacing w:line="360" w:lineRule="auto"/>
        <w:contextualSpacing/>
        <w:jc w:val="left"/>
        <w:rPr>
          <w:rFonts w:asciiTheme="minorEastAsia" w:hAnsiTheme="minorEastAsia" w:eastAsiaTheme="minorEastAsia"/>
          <w:color w:val="auto"/>
          <w:sz w:val="24"/>
          <w:szCs w:val="20"/>
          <w:highlight w:val="none"/>
        </w:rPr>
      </w:pPr>
    </w:p>
    <w:p w14:paraId="6D9CCCA6">
      <w:pPr>
        <w:spacing w:line="360" w:lineRule="auto"/>
        <w:contextualSpacing/>
        <w:rPr>
          <w:rFonts w:asciiTheme="minorEastAsia" w:hAnsiTheme="minorEastAsia" w:eastAsiaTheme="minorEastAsia"/>
          <w:color w:val="auto"/>
          <w:spacing w:val="20"/>
          <w:sz w:val="24"/>
          <w:szCs w:val="20"/>
          <w:highlight w:val="none"/>
          <w:u w:val="single"/>
        </w:rPr>
      </w:pPr>
      <w:r>
        <w:rPr>
          <w:rFonts w:hint="eastAsia"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pacing w:val="20"/>
          <w:sz w:val="24"/>
          <w:highlight w:val="none"/>
        </w:rPr>
        <w:t>（签字/电子签名）：</w:t>
      </w:r>
    </w:p>
    <w:p w14:paraId="2886A17E">
      <w:pPr>
        <w:spacing w:line="360" w:lineRule="auto"/>
        <w:contextualSpacing/>
        <w:jc w:val="left"/>
        <w:rPr>
          <w:rFonts w:asciiTheme="minorEastAsia" w:hAnsiTheme="minorEastAsia" w:eastAsiaTheme="minorEastAsia"/>
          <w:color w:val="auto"/>
          <w:spacing w:val="20"/>
          <w:sz w:val="24"/>
          <w:highlight w:val="none"/>
        </w:rPr>
      </w:pPr>
      <w:r>
        <w:rPr>
          <w:rFonts w:hint="eastAsia" w:asciiTheme="minorEastAsia" w:hAnsiTheme="minorEastAsia" w:eastAsiaTheme="minorEastAsia"/>
          <w:color w:val="auto"/>
          <w:spacing w:val="20"/>
          <w:sz w:val="24"/>
          <w:highlight w:val="none"/>
        </w:rPr>
        <w:t>投标人名称（电子签章）：</w:t>
      </w:r>
    </w:p>
    <w:p w14:paraId="13824732">
      <w:pPr>
        <w:spacing w:line="360" w:lineRule="auto"/>
        <w:contextualSpacing/>
        <w:jc w:val="left"/>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pacing w:val="20"/>
          <w:sz w:val="24"/>
          <w:highlight w:val="none"/>
        </w:rPr>
        <w:t>日 期：</w:t>
      </w:r>
    </w:p>
    <w:p w14:paraId="3CDF641D">
      <w:pPr>
        <w:snapToGrid w:val="0"/>
        <w:spacing w:before="50" w:afterLines="50"/>
        <w:jc w:val="left"/>
        <w:rPr>
          <w:rFonts w:asciiTheme="minorEastAsia" w:hAnsiTheme="minorEastAsia" w:eastAsiaTheme="minorEastAsia"/>
          <w:color w:val="auto"/>
          <w:sz w:val="24"/>
          <w:szCs w:val="20"/>
          <w:highlight w:val="none"/>
        </w:rPr>
      </w:pPr>
    </w:p>
    <w:p w14:paraId="1046D102">
      <w:pPr>
        <w:snapToGrid w:val="0"/>
        <w:spacing w:beforeLines="50" w:after="50"/>
        <w:ind w:left="142"/>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6. 选配件、专用耗材、售后服务优惠表格式（注：按项目需求表具体项目修改）</w:t>
      </w:r>
    </w:p>
    <w:p w14:paraId="79ECF73D">
      <w:pPr>
        <w:snapToGrid w:val="0"/>
        <w:spacing w:beforeLines="50" w:after="50"/>
        <w:ind w:left="142"/>
        <w:jc w:val="left"/>
        <w:rPr>
          <w:rFonts w:asciiTheme="minorEastAsia" w:hAnsiTheme="minorEastAsia" w:eastAsiaTheme="minorEastAsia"/>
          <w:b/>
          <w:color w:val="auto"/>
          <w:sz w:val="24"/>
          <w:highlight w:val="none"/>
        </w:rPr>
      </w:pPr>
    </w:p>
    <w:p w14:paraId="52BB2250">
      <w:pPr>
        <w:snapToGrid w:val="0"/>
        <w:spacing w:beforeLines="50" w:after="50"/>
        <w:ind w:left="142"/>
        <w:jc w:val="center"/>
        <w:outlineLvl w:val="1"/>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选配件、专用耗材、售后服务优惠表</w:t>
      </w:r>
    </w:p>
    <w:p w14:paraId="53E9D64D">
      <w:pPr>
        <w:pStyle w:val="14"/>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所投分标</w:t>
      </w:r>
      <w:r>
        <w:rPr>
          <w:rFonts w:hint="eastAsia" w:asciiTheme="minorEastAsia" w:hAnsiTheme="minorEastAsia" w:eastAsiaTheme="minorEastAsia"/>
          <w:color w:val="auto"/>
          <w:sz w:val="24"/>
          <w:highlight w:val="none"/>
        </w:rPr>
        <w:t>（如有）</w:t>
      </w:r>
      <w:r>
        <w:rPr>
          <w:rFonts w:hint="eastAsia" w:asciiTheme="minorEastAsia" w:hAnsiTheme="minorEastAsia" w:eastAsiaTheme="minorEastAsia"/>
          <w:color w:val="auto"/>
          <w:sz w:val="24"/>
          <w:szCs w:val="24"/>
          <w:highlight w:val="none"/>
        </w:rPr>
        <w:t>：分标</w:t>
      </w:r>
    </w:p>
    <w:tbl>
      <w:tblPr>
        <w:tblStyle w:val="2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1E2B9E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3DA861">
            <w:pPr>
              <w:pStyle w:val="14"/>
              <w:snapToGrid w:val="0"/>
              <w:spacing w:before="295" w:after="295"/>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序号</w:t>
            </w:r>
          </w:p>
        </w:tc>
        <w:tc>
          <w:tcPr>
            <w:tcW w:w="2700" w:type="dxa"/>
            <w:tcBorders>
              <w:top w:val="single" w:color="auto" w:sz="4" w:space="0"/>
              <w:left w:val="single" w:color="auto" w:sz="4" w:space="0"/>
              <w:bottom w:val="single" w:color="auto" w:sz="2" w:space="0"/>
              <w:right w:val="single" w:color="auto" w:sz="4" w:space="0"/>
            </w:tcBorders>
            <w:vAlign w:val="center"/>
          </w:tcPr>
          <w:p w14:paraId="35F7AC09">
            <w:pPr>
              <w:pStyle w:val="14"/>
              <w:snapToGrid w:val="0"/>
              <w:spacing w:before="295" w:after="295"/>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2C35A8E7">
            <w:pPr>
              <w:pStyle w:val="14"/>
              <w:snapToGrid w:val="0"/>
              <w:spacing w:before="295" w:after="295"/>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482016BA">
            <w:pPr>
              <w:pStyle w:val="14"/>
              <w:snapToGrid w:val="0"/>
              <w:spacing w:before="295" w:after="295"/>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单价</w:t>
            </w:r>
          </w:p>
        </w:tc>
        <w:tc>
          <w:tcPr>
            <w:tcW w:w="2340" w:type="dxa"/>
            <w:tcBorders>
              <w:top w:val="single" w:color="auto" w:sz="4" w:space="0"/>
              <w:left w:val="single" w:color="auto" w:sz="4" w:space="0"/>
              <w:bottom w:val="single" w:color="auto" w:sz="2" w:space="0"/>
              <w:right w:val="single" w:color="auto" w:sz="4" w:space="0"/>
            </w:tcBorders>
            <w:vAlign w:val="center"/>
          </w:tcPr>
          <w:p w14:paraId="703904BA">
            <w:pPr>
              <w:pStyle w:val="14"/>
              <w:snapToGrid w:val="0"/>
              <w:spacing w:before="295" w:after="295"/>
              <w:ind w:firstLine="480"/>
              <w:jc w:val="center"/>
              <w:rPr>
                <w:rFonts w:cs="Courier New" w:asciiTheme="minorEastAsia" w:hAnsiTheme="minorEastAsia" w:eastAsiaTheme="minorEastAsia"/>
                <w:color w:val="auto"/>
                <w:kern w:val="2"/>
                <w:sz w:val="24"/>
                <w:szCs w:val="24"/>
                <w:highlight w:val="none"/>
              </w:rPr>
            </w:pPr>
            <w:r>
              <w:rPr>
                <w:rFonts w:hint="eastAsia" w:cs="Courier New" w:asciiTheme="minorEastAsia" w:hAnsiTheme="minorEastAsia" w:eastAsiaTheme="minorEastAsia"/>
                <w:color w:val="auto"/>
                <w:kern w:val="2"/>
                <w:sz w:val="24"/>
                <w:szCs w:val="24"/>
                <w:highlight w:val="none"/>
              </w:rPr>
              <w:t>比市场价优惠率</w:t>
            </w:r>
          </w:p>
        </w:tc>
      </w:tr>
      <w:tr w14:paraId="68590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6071406F">
            <w:pPr>
              <w:pStyle w:val="14"/>
              <w:snapToGrid w:val="0"/>
              <w:spacing w:before="295" w:after="295"/>
              <w:ind w:firstLine="480"/>
              <w:jc w:val="center"/>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1</w:t>
            </w:r>
          </w:p>
        </w:tc>
        <w:tc>
          <w:tcPr>
            <w:tcW w:w="2700" w:type="dxa"/>
            <w:tcBorders>
              <w:top w:val="single" w:color="auto" w:sz="2" w:space="0"/>
              <w:left w:val="single" w:color="auto" w:sz="2" w:space="0"/>
              <w:bottom w:val="single" w:color="auto" w:sz="6" w:space="0"/>
              <w:right w:val="single" w:color="auto" w:sz="4" w:space="0"/>
            </w:tcBorders>
            <w:vAlign w:val="center"/>
          </w:tcPr>
          <w:p w14:paraId="2C46B6B7">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1440" w:type="dxa"/>
            <w:tcBorders>
              <w:top w:val="single" w:color="auto" w:sz="2" w:space="0"/>
              <w:left w:val="single" w:color="auto" w:sz="4" w:space="0"/>
              <w:bottom w:val="single" w:color="auto" w:sz="6" w:space="0"/>
              <w:right w:val="single" w:color="auto" w:sz="6" w:space="0"/>
            </w:tcBorders>
            <w:vAlign w:val="center"/>
          </w:tcPr>
          <w:p w14:paraId="7A92064F">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50DF15AA">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2340" w:type="dxa"/>
            <w:tcBorders>
              <w:top w:val="single" w:color="auto" w:sz="2" w:space="0"/>
              <w:left w:val="single" w:color="auto" w:sz="6" w:space="0"/>
              <w:bottom w:val="single" w:color="auto" w:sz="6" w:space="0"/>
              <w:right w:val="single" w:color="auto" w:sz="2" w:space="0"/>
            </w:tcBorders>
            <w:vAlign w:val="center"/>
          </w:tcPr>
          <w:p w14:paraId="286C8ECA">
            <w:pPr>
              <w:pStyle w:val="14"/>
              <w:snapToGrid w:val="0"/>
              <w:spacing w:before="295" w:after="295"/>
              <w:ind w:firstLine="480"/>
              <w:jc w:val="center"/>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w:t>
            </w:r>
          </w:p>
        </w:tc>
      </w:tr>
      <w:tr w14:paraId="07C36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012D9DC4">
            <w:pPr>
              <w:pStyle w:val="14"/>
              <w:snapToGrid w:val="0"/>
              <w:spacing w:before="295" w:after="295"/>
              <w:ind w:firstLine="480"/>
              <w:jc w:val="center"/>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2</w:t>
            </w:r>
          </w:p>
        </w:tc>
        <w:tc>
          <w:tcPr>
            <w:tcW w:w="2700" w:type="dxa"/>
            <w:tcBorders>
              <w:top w:val="single" w:color="auto" w:sz="6" w:space="0"/>
              <w:left w:val="single" w:color="auto" w:sz="2" w:space="0"/>
              <w:bottom w:val="single" w:color="auto" w:sz="6" w:space="0"/>
              <w:right w:val="single" w:color="auto" w:sz="4" w:space="0"/>
            </w:tcBorders>
            <w:vAlign w:val="center"/>
          </w:tcPr>
          <w:p w14:paraId="5E596014">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7E143E5D">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07C31D61">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78DAC46E">
            <w:pPr>
              <w:pStyle w:val="14"/>
              <w:snapToGrid w:val="0"/>
              <w:spacing w:before="295" w:after="295"/>
              <w:ind w:firstLine="480"/>
              <w:jc w:val="center"/>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w:t>
            </w:r>
          </w:p>
        </w:tc>
      </w:tr>
      <w:tr w14:paraId="7CF40A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2C20E1B">
            <w:pPr>
              <w:pStyle w:val="14"/>
              <w:snapToGrid w:val="0"/>
              <w:spacing w:before="295" w:after="295"/>
              <w:ind w:firstLine="480"/>
              <w:jc w:val="center"/>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3</w:t>
            </w:r>
          </w:p>
        </w:tc>
        <w:tc>
          <w:tcPr>
            <w:tcW w:w="2700" w:type="dxa"/>
            <w:tcBorders>
              <w:top w:val="single" w:color="auto" w:sz="6" w:space="0"/>
              <w:left w:val="single" w:color="auto" w:sz="2" w:space="0"/>
              <w:bottom w:val="single" w:color="auto" w:sz="6" w:space="0"/>
              <w:right w:val="single" w:color="auto" w:sz="4" w:space="0"/>
            </w:tcBorders>
            <w:vAlign w:val="center"/>
          </w:tcPr>
          <w:p w14:paraId="199790A9">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78984EAF">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49772C25">
            <w:pPr>
              <w:pStyle w:val="14"/>
              <w:snapToGrid w:val="0"/>
              <w:spacing w:before="295" w:after="295"/>
              <w:ind w:firstLine="480"/>
              <w:jc w:val="center"/>
              <w:rPr>
                <w:rFonts w:asciiTheme="minorEastAsia" w:hAnsiTheme="minorEastAsia" w:eastAsiaTheme="minorEastAsia"/>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1479276C">
            <w:pPr>
              <w:pStyle w:val="14"/>
              <w:snapToGrid w:val="0"/>
              <w:spacing w:before="295" w:after="295"/>
              <w:ind w:firstLine="480"/>
              <w:jc w:val="center"/>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w:t>
            </w:r>
          </w:p>
        </w:tc>
      </w:tr>
    </w:tbl>
    <w:p w14:paraId="24B6860A">
      <w:pPr>
        <w:spacing w:line="360" w:lineRule="auto"/>
        <w:contextualSpacing/>
        <w:rPr>
          <w:rFonts w:asciiTheme="minorEastAsia" w:hAnsiTheme="minorEastAsia" w:eastAsiaTheme="minorEastAsia"/>
          <w:color w:val="auto"/>
          <w:sz w:val="24"/>
          <w:highlight w:val="none"/>
        </w:rPr>
      </w:pPr>
    </w:p>
    <w:p w14:paraId="7E434138">
      <w:pPr>
        <w:spacing w:line="360" w:lineRule="auto"/>
        <w:contextualSpacing/>
        <w:rPr>
          <w:rFonts w:asciiTheme="minorEastAsia" w:hAnsiTheme="minorEastAsia" w:eastAsiaTheme="minorEastAsia"/>
          <w:color w:val="auto"/>
          <w:spacing w:val="20"/>
          <w:sz w:val="24"/>
          <w:highlight w:val="none"/>
          <w:u w:val="single"/>
        </w:rPr>
      </w:pPr>
      <w:r>
        <w:rPr>
          <w:rFonts w:hint="eastAsia" w:asciiTheme="minorEastAsia" w:hAnsiTheme="minorEastAsia" w:eastAsiaTheme="minorEastAsia"/>
          <w:color w:val="auto"/>
          <w:sz w:val="24"/>
          <w:highlight w:val="none"/>
        </w:rPr>
        <w:t>法定代表人或者委托代理人</w:t>
      </w:r>
      <w:r>
        <w:rPr>
          <w:rFonts w:hint="eastAsia" w:asciiTheme="minorEastAsia" w:hAnsiTheme="minorEastAsia" w:eastAsiaTheme="minorEastAsia"/>
          <w:color w:val="auto"/>
          <w:spacing w:val="20"/>
          <w:sz w:val="24"/>
          <w:highlight w:val="none"/>
        </w:rPr>
        <w:t>（签字/电子签名）：</w:t>
      </w:r>
    </w:p>
    <w:p w14:paraId="59B4A623">
      <w:pPr>
        <w:spacing w:line="360" w:lineRule="auto"/>
        <w:contextualSpacing/>
        <w:jc w:val="left"/>
        <w:rPr>
          <w:rFonts w:asciiTheme="minorEastAsia" w:hAnsiTheme="minorEastAsia" w:eastAsiaTheme="minorEastAsia"/>
          <w:color w:val="auto"/>
          <w:spacing w:val="20"/>
          <w:sz w:val="24"/>
          <w:highlight w:val="none"/>
        </w:rPr>
      </w:pPr>
      <w:r>
        <w:rPr>
          <w:rFonts w:hint="eastAsia" w:asciiTheme="minorEastAsia" w:hAnsiTheme="minorEastAsia" w:eastAsiaTheme="minorEastAsia"/>
          <w:color w:val="auto"/>
          <w:spacing w:val="20"/>
          <w:sz w:val="24"/>
          <w:highlight w:val="none"/>
        </w:rPr>
        <w:t>投标人名称（电子签章）：</w:t>
      </w:r>
    </w:p>
    <w:p w14:paraId="3B3315C8">
      <w:pPr>
        <w:spacing w:line="360" w:lineRule="auto"/>
        <w:contextualSpacing/>
        <w:jc w:val="left"/>
        <w:rPr>
          <w:rFonts w:asciiTheme="minorEastAsia" w:hAnsiTheme="minorEastAsia" w:eastAsiaTheme="minorEastAsia"/>
          <w:color w:val="auto"/>
          <w:sz w:val="24"/>
          <w:szCs w:val="20"/>
          <w:highlight w:val="none"/>
        </w:rPr>
      </w:pPr>
      <w:r>
        <w:rPr>
          <w:rFonts w:hint="eastAsia" w:asciiTheme="minorEastAsia" w:hAnsiTheme="minorEastAsia" w:eastAsiaTheme="minorEastAsia"/>
          <w:color w:val="auto"/>
          <w:spacing w:val="20"/>
          <w:sz w:val="24"/>
          <w:highlight w:val="none"/>
        </w:rPr>
        <w:t>日 期：</w:t>
      </w:r>
    </w:p>
    <w:p w14:paraId="4F9E5C84">
      <w:pPr>
        <w:snapToGrid w:val="0"/>
        <w:spacing w:before="50" w:afterLines="50"/>
        <w:jc w:val="left"/>
        <w:rPr>
          <w:rFonts w:asciiTheme="minorEastAsia" w:hAnsiTheme="minorEastAsia" w:eastAsiaTheme="minorEastAsia"/>
          <w:color w:val="auto"/>
          <w:sz w:val="24"/>
          <w:szCs w:val="20"/>
          <w:highlight w:val="none"/>
        </w:rPr>
      </w:pPr>
    </w:p>
    <w:p w14:paraId="51F89CCD">
      <w:pPr>
        <w:outlineLvl w:val="1"/>
        <w:rPr>
          <w:rFonts w:asciiTheme="minorEastAsia" w:hAnsiTheme="minorEastAsia" w:eastAsiaTheme="minorEastAsia"/>
          <w:b/>
          <w:color w:val="auto"/>
          <w:sz w:val="28"/>
          <w:szCs w:val="28"/>
          <w:highlight w:val="none"/>
        </w:rPr>
      </w:pPr>
      <w:r>
        <w:rPr>
          <w:rFonts w:asciiTheme="minorEastAsia" w:hAnsiTheme="minorEastAsia" w:eastAsiaTheme="minorEastAsia"/>
          <w:b/>
          <w:bCs/>
          <w:color w:val="auto"/>
          <w:sz w:val="24"/>
          <w:highlight w:val="none"/>
        </w:rPr>
        <w:br w:type="page"/>
      </w:r>
      <w:r>
        <w:rPr>
          <w:rFonts w:hint="eastAsia" w:asciiTheme="minorEastAsia" w:hAnsiTheme="minorEastAsia" w:eastAsiaTheme="minorEastAsia"/>
          <w:b/>
          <w:color w:val="auto"/>
          <w:sz w:val="28"/>
          <w:szCs w:val="28"/>
          <w:highlight w:val="none"/>
        </w:rPr>
        <w:t>五、其他文书、文件格式</w:t>
      </w:r>
    </w:p>
    <w:p w14:paraId="7B39C324">
      <w:pPr>
        <w:snapToGrid w:val="0"/>
        <w:spacing w:beforeLines="50" w:after="50"/>
        <w:ind w:left="142"/>
        <w:jc w:val="left"/>
        <w:outlineLvl w:val="2"/>
        <w:rPr>
          <w:rFonts w:asciiTheme="minorEastAsia" w:hAnsiTheme="minorEastAsia" w:eastAsiaTheme="minorEastAsia"/>
          <w:b/>
          <w:color w:val="auto"/>
          <w:spacing w:val="20"/>
          <w:sz w:val="24"/>
          <w:highlight w:val="none"/>
        </w:rPr>
      </w:pPr>
      <w:r>
        <w:rPr>
          <w:rFonts w:hint="eastAsia" w:asciiTheme="minorEastAsia" w:hAnsiTheme="minorEastAsia" w:eastAsiaTheme="minorEastAsia"/>
          <w:b/>
          <w:color w:val="auto"/>
          <w:spacing w:val="20"/>
          <w:sz w:val="24"/>
          <w:highlight w:val="none"/>
        </w:rPr>
        <w:t>1.联合投标协议书格式</w:t>
      </w:r>
    </w:p>
    <w:p w14:paraId="527D19B5">
      <w:pPr>
        <w:pStyle w:val="8"/>
        <w:overflowPunct w:val="0"/>
        <w:jc w:val="center"/>
        <w:outlineLvl w:val="3"/>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联合体协议书</w:t>
      </w:r>
    </w:p>
    <w:p w14:paraId="7C3A12EF">
      <w:pPr>
        <w:pStyle w:val="8"/>
        <w:overflowPunct w:val="0"/>
        <w:contextualSpacing/>
        <w:rPr>
          <w:rFonts w:asciiTheme="minorEastAsia" w:hAnsiTheme="minorEastAsia" w:eastAsiaTheme="minorEastAsia"/>
          <w:color w:val="auto"/>
          <w:sz w:val="24"/>
          <w:highlight w:val="none"/>
          <w:u w:val="single"/>
        </w:rPr>
      </w:pPr>
    </w:p>
    <w:p w14:paraId="78312123">
      <w:pPr>
        <w:pStyle w:val="8"/>
        <w:overflowPunct w:val="0"/>
        <w:contextualSpacing/>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rPr>
        <w:t>（所有成员单位名称）自愿组成</w:t>
      </w: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rPr>
        <w:t>（联合体名称）联合体，共同参加</w:t>
      </w: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u w:val="single"/>
        </w:rPr>
        <w:t>（项目名称）</w:t>
      </w:r>
      <w:r>
        <w:rPr>
          <w:rFonts w:hint="eastAsia" w:asciiTheme="minorEastAsia" w:hAnsiTheme="minorEastAsia" w:eastAsiaTheme="minorEastAsia"/>
          <w:color w:val="auto"/>
          <w:sz w:val="24"/>
          <w:highlight w:val="none"/>
        </w:rPr>
        <w:t>采购招标项目投标。现就联合体投标事宜订立如下协议。</w:t>
      </w:r>
    </w:p>
    <w:p w14:paraId="0383CBC7">
      <w:pPr>
        <w:pStyle w:val="8"/>
        <w:overflowPunct w:val="0"/>
        <w:contextualSpacing/>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1.  </w:t>
      </w: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rPr>
        <w:t>（某成员单位名称）为</w:t>
      </w: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rPr>
        <w:t>（联合体名称）牵头人。</w:t>
      </w:r>
    </w:p>
    <w:p w14:paraId="448191D4">
      <w:pPr>
        <w:pStyle w:val="8"/>
        <w:overflowPunct w:val="0"/>
        <w:contextualSpacing/>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492FA3BD">
      <w:pPr>
        <w:pStyle w:val="8"/>
        <w:overflowPunct w:val="0"/>
        <w:contextualSpacing/>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联合体牵头人在本项目中签署和盖章的一切文件和处理的一切事宜，联合体各成员均予以承认。联合体各成员将严格按照招标文件、投标文件和合同的要求全面履行义务，并向招标人承担连带责任。</w:t>
      </w:r>
    </w:p>
    <w:p w14:paraId="36D633B1">
      <w:pPr>
        <w:pStyle w:val="8"/>
        <w:overflowPunct w:val="0"/>
        <w:contextualSpacing/>
        <w:outlineLvl w:val="2"/>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联合体各成员单位内部的职责分工如下：</w:t>
      </w: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rPr>
        <w:t>。</w:t>
      </w:r>
    </w:p>
    <w:p w14:paraId="233D843B">
      <w:pPr>
        <w:pStyle w:val="8"/>
        <w:overflowPunct w:val="0"/>
        <w:contextualSpacing/>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本协议书自所有成员单位法定代表人或者其委托代理人签字（或者电子签名）或者盖公章之日起生效，合同履行完毕后自动失效。</w:t>
      </w:r>
    </w:p>
    <w:p w14:paraId="41B2D741">
      <w:pPr>
        <w:pStyle w:val="8"/>
        <w:overflowPunct w:val="0"/>
        <w:contextualSpacing/>
        <w:outlineLvl w:val="2"/>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本协议书一式</w:t>
      </w:r>
      <w:r>
        <w:rPr>
          <w:rFonts w:asciiTheme="minorEastAsia" w:hAnsiTheme="minorEastAsia" w:eastAsiaTheme="minorEastAsia"/>
          <w:color w:val="auto"/>
          <w:sz w:val="24"/>
          <w:highlight w:val="none"/>
          <w:u w:val="single"/>
        </w:rPr>
        <w:tab/>
      </w:r>
      <w:r>
        <w:rPr>
          <w:rFonts w:hint="eastAsia" w:asciiTheme="minorEastAsia" w:hAnsiTheme="minorEastAsia" w:eastAsiaTheme="minorEastAsia"/>
          <w:color w:val="auto"/>
          <w:sz w:val="24"/>
          <w:highlight w:val="none"/>
        </w:rPr>
        <w:t>份，联合体成员和招标人各执一份。</w:t>
      </w:r>
    </w:p>
    <w:p w14:paraId="6D080280">
      <w:pPr>
        <w:pStyle w:val="8"/>
        <w:overflowPunct w:val="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注：本协议书由法定代表人签字或者电子签名的，应附法定代表人身份证明；由委托代理人签字或者电子签名的，应附授权委托书。</w:t>
      </w:r>
    </w:p>
    <w:p w14:paraId="0BB9E7E9">
      <w:pPr>
        <w:pStyle w:val="8"/>
        <w:overflowPunct w:val="0"/>
        <w:contextualSpacing/>
        <w:rPr>
          <w:rFonts w:asciiTheme="minorEastAsia" w:hAnsiTheme="minorEastAsia" w:eastAsiaTheme="minorEastAsia"/>
          <w:color w:val="auto"/>
          <w:sz w:val="24"/>
          <w:highlight w:val="none"/>
        </w:rPr>
      </w:pPr>
    </w:p>
    <w:p w14:paraId="706AD91A">
      <w:pPr>
        <w:pStyle w:val="8"/>
        <w:overflowPunct w:val="0"/>
        <w:contextualSpacing/>
        <w:rPr>
          <w:rFonts w:asciiTheme="minorEastAsia" w:hAnsiTheme="minorEastAsia" w:eastAsiaTheme="minorEastAsia"/>
          <w:color w:val="auto"/>
          <w:sz w:val="24"/>
          <w:highlight w:val="none"/>
        </w:rPr>
      </w:pPr>
    </w:p>
    <w:p w14:paraId="2C587787">
      <w:pPr>
        <w:pStyle w:val="8"/>
        <w:overflowPunct w:val="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联合体牵头人名称（电子签章）：</w:t>
      </w:r>
    </w:p>
    <w:p w14:paraId="553E8902">
      <w:pPr>
        <w:pStyle w:val="8"/>
        <w:overflowPunct w:val="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法定代表人或者其委托代理人：</w:t>
      </w:r>
      <w:r>
        <w:rPr>
          <w:rFonts w:asciiTheme="minorEastAsia" w:hAnsiTheme="minorEastAsia" w:eastAsiaTheme="minorEastAsia"/>
          <w:color w:val="auto"/>
          <w:sz w:val="24"/>
          <w:highlight w:val="none"/>
        </w:rPr>
        <w:tab/>
      </w:r>
      <w:r>
        <w:rPr>
          <w:rFonts w:hint="eastAsia" w:asciiTheme="minorEastAsia" w:hAnsiTheme="minorEastAsia" w:eastAsiaTheme="minorEastAsia"/>
          <w:color w:val="auto"/>
          <w:sz w:val="24"/>
          <w:highlight w:val="none"/>
        </w:rPr>
        <w:t>（签字/电子签名）</w:t>
      </w:r>
    </w:p>
    <w:p w14:paraId="51519A23">
      <w:pPr>
        <w:pStyle w:val="8"/>
        <w:overflowPunct w:val="0"/>
        <w:contextualSpacing/>
        <w:rPr>
          <w:rFonts w:asciiTheme="minorEastAsia" w:hAnsiTheme="minorEastAsia" w:eastAsiaTheme="minorEastAsia"/>
          <w:color w:val="auto"/>
          <w:sz w:val="24"/>
          <w:highlight w:val="none"/>
        </w:rPr>
      </w:pPr>
    </w:p>
    <w:p w14:paraId="225091CB">
      <w:pPr>
        <w:pStyle w:val="8"/>
        <w:overflowPunct w:val="0"/>
        <w:contextualSpacing/>
        <w:rPr>
          <w:rFonts w:asciiTheme="minorEastAsia" w:hAnsiTheme="minorEastAsia" w:eastAsiaTheme="minorEastAsia"/>
          <w:color w:val="auto"/>
          <w:sz w:val="24"/>
          <w:highlight w:val="none"/>
        </w:rPr>
      </w:pPr>
    </w:p>
    <w:p w14:paraId="4A9AA17C">
      <w:pPr>
        <w:pStyle w:val="8"/>
        <w:overflowPunct w:val="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联合体成员名称（</w:t>
      </w:r>
      <w:r>
        <w:rPr>
          <w:rFonts w:asciiTheme="minorEastAsia" w:hAnsiTheme="minorEastAsia" w:eastAsiaTheme="minorEastAsia"/>
          <w:color w:val="auto"/>
          <w:sz w:val="24"/>
          <w:highlight w:val="none"/>
        </w:rPr>
        <w:t>盖公章</w:t>
      </w:r>
      <w:r>
        <w:rPr>
          <w:rFonts w:hint="eastAsia" w:asciiTheme="minorEastAsia" w:hAnsiTheme="minorEastAsia" w:eastAsiaTheme="minorEastAsia"/>
          <w:color w:val="auto"/>
          <w:sz w:val="24"/>
          <w:highlight w:val="none"/>
        </w:rPr>
        <w:t>）：</w:t>
      </w:r>
    </w:p>
    <w:p w14:paraId="7628E5E4">
      <w:pPr>
        <w:pStyle w:val="8"/>
        <w:overflowPunct w:val="0"/>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法定代表人或者其委托代理人：</w:t>
      </w:r>
      <w:r>
        <w:rPr>
          <w:rFonts w:asciiTheme="minorEastAsia" w:hAnsiTheme="minorEastAsia" w:eastAsiaTheme="minorEastAsia"/>
          <w:color w:val="auto"/>
          <w:sz w:val="24"/>
          <w:highlight w:val="none"/>
        </w:rPr>
        <w:tab/>
      </w:r>
      <w:r>
        <w:rPr>
          <w:rFonts w:hint="eastAsia" w:asciiTheme="minorEastAsia" w:hAnsiTheme="minorEastAsia" w:eastAsiaTheme="minorEastAsia"/>
          <w:color w:val="auto"/>
          <w:sz w:val="24"/>
          <w:highlight w:val="none"/>
        </w:rPr>
        <w:t>（签字/电子签名）</w:t>
      </w:r>
    </w:p>
    <w:p w14:paraId="74F004C4">
      <w:pPr>
        <w:pStyle w:val="8"/>
        <w:overflowPunct w:val="0"/>
        <w:contextualSpacing/>
        <w:rPr>
          <w:rFonts w:asciiTheme="minorEastAsia" w:hAnsiTheme="minorEastAsia" w:eastAsiaTheme="minorEastAsia"/>
          <w:color w:val="auto"/>
          <w:sz w:val="24"/>
          <w:highlight w:val="none"/>
        </w:rPr>
      </w:pPr>
    </w:p>
    <w:p w14:paraId="641F922A">
      <w:pPr>
        <w:pStyle w:val="8"/>
        <w:overflowPunct w:val="0"/>
        <w:contextualSpacing/>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w:t>
      </w:r>
    </w:p>
    <w:p w14:paraId="3996BB8C">
      <w:pPr>
        <w:pStyle w:val="8"/>
        <w:overflowPunct w:val="0"/>
        <w:contextualSpacing/>
        <w:rPr>
          <w:rFonts w:asciiTheme="minorEastAsia" w:hAnsiTheme="minorEastAsia" w:eastAsiaTheme="minorEastAsia"/>
          <w:color w:val="auto"/>
          <w:sz w:val="24"/>
          <w:highlight w:val="none"/>
        </w:rPr>
      </w:pPr>
    </w:p>
    <w:p w14:paraId="52AA7B9B">
      <w:pPr>
        <w:pStyle w:val="8"/>
        <w:overflowPunct w:val="0"/>
        <w:contextualSpacing/>
        <w:jc w:val="right"/>
        <w:rPr>
          <w:rFonts w:asciiTheme="minorEastAsia" w:hAnsiTheme="minorEastAsia" w:eastAsiaTheme="minorEastAsia"/>
          <w:b/>
          <w:color w:val="auto"/>
          <w:sz w:val="24"/>
          <w:highlight w:val="none"/>
        </w:rPr>
      </w:pPr>
      <w:r>
        <w:rPr>
          <w:rFonts w:asciiTheme="minorEastAsia" w:hAnsiTheme="minorEastAsia" w:eastAsiaTheme="minorEastAsia"/>
          <w:color w:val="auto"/>
          <w:sz w:val="24"/>
          <w:highlight w:val="none"/>
        </w:rPr>
        <w:tab/>
      </w: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ab/>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ab/>
      </w:r>
      <w:r>
        <w:rPr>
          <w:rFonts w:hint="eastAsia" w:asciiTheme="minorEastAsia" w:hAnsiTheme="minorEastAsia" w:eastAsiaTheme="minorEastAsia"/>
          <w:color w:val="auto"/>
          <w:sz w:val="24"/>
          <w:highlight w:val="none"/>
        </w:rPr>
        <w:t>日</w:t>
      </w:r>
    </w:p>
    <w:p w14:paraId="263EA0C9">
      <w:pPr>
        <w:snapToGrid w:val="0"/>
        <w:spacing w:beforeLines="50" w:after="50"/>
        <w:jc w:val="left"/>
        <w:rPr>
          <w:rFonts w:asciiTheme="minorEastAsia" w:hAnsiTheme="minorEastAsia" w:eastAsiaTheme="minorEastAsia"/>
          <w:b/>
          <w:color w:val="auto"/>
          <w:sz w:val="24"/>
          <w:highlight w:val="none"/>
        </w:rPr>
      </w:pPr>
    </w:p>
    <w:p w14:paraId="09D9D5BD">
      <w:pPr>
        <w:snapToGrid w:val="0"/>
        <w:spacing w:beforeLines="50" w:after="50"/>
        <w:jc w:val="left"/>
        <w:outlineLvl w:val="2"/>
        <w:rPr>
          <w:rFonts w:asciiTheme="minorEastAsia" w:hAnsiTheme="minorEastAsia" w:eastAsiaTheme="minorEastAsia"/>
          <w:color w:val="auto"/>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2.中小企业声明函格式</w:t>
      </w:r>
    </w:p>
    <w:p w14:paraId="66A34EC6">
      <w:pPr>
        <w:rPr>
          <w:rFonts w:asciiTheme="minorEastAsia" w:hAnsiTheme="minorEastAsia" w:eastAsiaTheme="minorEastAsia"/>
          <w:color w:val="auto"/>
          <w:highlight w:val="none"/>
        </w:rPr>
      </w:pPr>
    </w:p>
    <w:p w14:paraId="3EAD9196">
      <w:pPr>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中小企业声明函（货物）</w:t>
      </w:r>
    </w:p>
    <w:p w14:paraId="3A1520EE">
      <w:pPr>
        <w:pStyle w:val="12"/>
        <w:spacing w:line="240" w:lineRule="auto"/>
        <w:ind w:left="-426" w:leftChars="-203" w:right="142" w:firstLine="480" w:firstLineChars="200"/>
        <w:contextualSpacing/>
        <w:rPr>
          <w:rFonts w:asciiTheme="minorEastAsia" w:hAnsiTheme="minorEastAsia" w:eastAsiaTheme="minorEastAsia"/>
          <w:color w:val="auto"/>
          <w:kern w:val="24"/>
          <w:highlight w:val="none"/>
        </w:rPr>
      </w:pPr>
    </w:p>
    <w:p w14:paraId="38B295DA">
      <w:pPr>
        <w:pStyle w:val="12"/>
        <w:spacing w:line="240" w:lineRule="auto"/>
        <w:ind w:left="-426" w:leftChars="-203" w:right="142" w:firstLine="480" w:firstLineChars="200"/>
        <w:contextualSpacing/>
        <w:rPr>
          <w:rFonts w:asciiTheme="minorEastAsia" w:hAnsiTheme="minorEastAsia" w:eastAsiaTheme="minorEastAsia"/>
          <w:color w:val="auto"/>
          <w:kern w:val="24"/>
          <w:highlight w:val="none"/>
        </w:rPr>
      </w:pPr>
      <w:r>
        <w:rPr>
          <w:rFonts w:asciiTheme="minorEastAsia" w:hAnsiTheme="minorEastAsia" w:eastAsiaTheme="minorEastAsia"/>
          <w:color w:val="auto"/>
          <w:kern w:val="24"/>
          <w:highlight w:val="none"/>
        </w:rPr>
        <w:t>本公司（联合体）郑重声明，根据《政府采购促进中小企业发展管理办法》（财库﹝2020﹞46号）的规定，本公司（联合体）参加</w:t>
      </w:r>
      <w:r>
        <w:rPr>
          <w:rFonts w:asciiTheme="minorEastAsia" w:hAnsiTheme="minorEastAsia" w:eastAsiaTheme="minorEastAsia"/>
          <w:color w:val="auto"/>
          <w:kern w:val="24"/>
          <w:highlight w:val="none"/>
          <w:u w:val="single"/>
        </w:rPr>
        <w:t>（单位名称）</w:t>
      </w:r>
      <w:r>
        <w:rPr>
          <w:rFonts w:asciiTheme="minorEastAsia" w:hAnsiTheme="minorEastAsia" w:eastAsiaTheme="minorEastAsia"/>
          <w:color w:val="auto"/>
          <w:kern w:val="24"/>
          <w:highlight w:val="none"/>
        </w:rPr>
        <w:t>的</w:t>
      </w:r>
      <w:r>
        <w:rPr>
          <w:rFonts w:asciiTheme="minorEastAsia" w:hAnsiTheme="minorEastAsia" w:eastAsiaTheme="minorEastAsia"/>
          <w:color w:val="auto"/>
          <w:kern w:val="24"/>
          <w:highlight w:val="none"/>
          <w:u w:val="single"/>
        </w:rPr>
        <w:t>（项目名称）</w:t>
      </w:r>
      <w:r>
        <w:rPr>
          <w:rFonts w:asciiTheme="minorEastAsia" w:hAnsiTheme="minorEastAsia" w:eastAsiaTheme="minorEastAsia"/>
          <w:color w:val="auto"/>
          <w:kern w:val="24"/>
          <w:highlight w:val="none"/>
        </w:rPr>
        <w:t>采购活动，提供的货物全部由符合政策要求的中小企业制造。相关企业（含联合体中的中小企业、签订分包意向协议的中小企业）的具体情况如下：</w:t>
      </w:r>
    </w:p>
    <w:p w14:paraId="0A0F6FEA">
      <w:pPr>
        <w:tabs>
          <w:tab w:val="left" w:pos="1384"/>
          <w:tab w:val="left" w:pos="4562"/>
          <w:tab w:val="left" w:pos="6803"/>
        </w:tabs>
        <w:ind w:left="-426" w:right="-58" w:firstLine="655"/>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1.</w:t>
      </w:r>
      <w:r>
        <w:rPr>
          <w:rFonts w:asciiTheme="minorEastAsia" w:hAnsiTheme="minorEastAsia" w:eastAsiaTheme="minorEastAsia"/>
          <w:color w:val="auto"/>
          <w:kern w:val="24"/>
          <w:sz w:val="24"/>
          <w:highlight w:val="none"/>
          <w:u w:val="single"/>
        </w:rPr>
        <w:t>（标的名称）</w:t>
      </w:r>
      <w:r>
        <w:rPr>
          <w:rFonts w:asciiTheme="minorEastAsia" w:hAnsiTheme="minorEastAsia" w:eastAsiaTheme="minorEastAsia"/>
          <w:color w:val="auto"/>
          <w:kern w:val="24"/>
          <w:sz w:val="24"/>
          <w:highlight w:val="none"/>
        </w:rPr>
        <w:t>，属于</w:t>
      </w:r>
      <w:r>
        <w:rPr>
          <w:rFonts w:asciiTheme="minorEastAsia" w:hAnsiTheme="minorEastAsia" w:eastAsiaTheme="minorEastAsia"/>
          <w:color w:val="auto"/>
          <w:kern w:val="24"/>
          <w:sz w:val="24"/>
          <w:highlight w:val="none"/>
          <w:u w:val="single"/>
        </w:rPr>
        <w:t>（采购文件中明确的所属行业）</w:t>
      </w:r>
      <w:r>
        <w:rPr>
          <w:rFonts w:asciiTheme="minorEastAsia" w:hAnsiTheme="minorEastAsia" w:eastAsiaTheme="minorEastAsia"/>
          <w:color w:val="auto"/>
          <w:kern w:val="24"/>
          <w:sz w:val="24"/>
          <w:highlight w:val="none"/>
        </w:rPr>
        <w:t>行业；制造商为</w:t>
      </w:r>
      <w:r>
        <w:rPr>
          <w:rFonts w:asciiTheme="minorEastAsia" w:hAnsiTheme="minorEastAsia" w:eastAsiaTheme="minorEastAsia"/>
          <w:color w:val="auto"/>
          <w:kern w:val="24"/>
          <w:sz w:val="24"/>
          <w:highlight w:val="none"/>
          <w:u w:val="single"/>
        </w:rPr>
        <w:t>（企业名称）</w:t>
      </w:r>
      <w:r>
        <w:rPr>
          <w:rFonts w:asciiTheme="minorEastAsia" w:hAnsiTheme="minorEastAsia" w:eastAsiaTheme="minorEastAsia"/>
          <w:color w:val="auto"/>
          <w:kern w:val="24"/>
          <w:sz w:val="24"/>
          <w:highlight w:val="none"/>
        </w:rPr>
        <w:t>，从业人员人，营业收入为万元，资产总额为万元，属于</w:t>
      </w:r>
      <w:r>
        <w:rPr>
          <w:rFonts w:asciiTheme="minorEastAsia" w:hAnsiTheme="minorEastAsia" w:eastAsiaTheme="minorEastAsia"/>
          <w:color w:val="auto"/>
          <w:kern w:val="24"/>
          <w:sz w:val="24"/>
          <w:highlight w:val="none"/>
          <w:u w:val="single"/>
        </w:rPr>
        <w:t>（中型企业、小型企业、微型企业）</w:t>
      </w:r>
      <w:r>
        <w:rPr>
          <w:rFonts w:asciiTheme="minorEastAsia" w:hAnsiTheme="minorEastAsia" w:eastAsiaTheme="minorEastAsia"/>
          <w:color w:val="auto"/>
          <w:kern w:val="24"/>
          <w:sz w:val="24"/>
          <w:highlight w:val="none"/>
        </w:rPr>
        <w:t>；</w:t>
      </w:r>
    </w:p>
    <w:p w14:paraId="6144B6BD">
      <w:pPr>
        <w:tabs>
          <w:tab w:val="left" w:pos="1065"/>
          <w:tab w:val="left" w:pos="6477"/>
        </w:tabs>
        <w:ind w:left="-426" w:right="-58" w:firstLine="655"/>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2.</w:t>
      </w:r>
      <w:r>
        <w:rPr>
          <w:rFonts w:asciiTheme="minorEastAsia" w:hAnsiTheme="minorEastAsia" w:eastAsiaTheme="minorEastAsia"/>
          <w:color w:val="auto"/>
          <w:kern w:val="24"/>
          <w:sz w:val="24"/>
          <w:highlight w:val="none"/>
          <w:u w:val="single"/>
        </w:rPr>
        <w:t>（标的名称）</w:t>
      </w:r>
      <w:r>
        <w:rPr>
          <w:rFonts w:asciiTheme="minorEastAsia" w:hAnsiTheme="minorEastAsia" w:eastAsiaTheme="minorEastAsia"/>
          <w:color w:val="auto"/>
          <w:kern w:val="24"/>
          <w:sz w:val="24"/>
          <w:highlight w:val="none"/>
        </w:rPr>
        <w:t>，属于</w:t>
      </w:r>
      <w:r>
        <w:rPr>
          <w:rFonts w:asciiTheme="minorEastAsia" w:hAnsiTheme="minorEastAsia" w:eastAsiaTheme="minorEastAsia"/>
          <w:color w:val="auto"/>
          <w:kern w:val="24"/>
          <w:sz w:val="24"/>
          <w:highlight w:val="none"/>
          <w:u w:val="single"/>
        </w:rPr>
        <w:t>（采购文件中明确的所属行业）</w:t>
      </w:r>
      <w:r>
        <w:rPr>
          <w:rFonts w:asciiTheme="minorEastAsia" w:hAnsiTheme="minorEastAsia" w:eastAsiaTheme="minorEastAsia"/>
          <w:color w:val="auto"/>
          <w:kern w:val="24"/>
          <w:sz w:val="24"/>
          <w:highlight w:val="none"/>
        </w:rPr>
        <w:t>行业；制造商为</w:t>
      </w:r>
      <w:r>
        <w:rPr>
          <w:rFonts w:asciiTheme="minorEastAsia" w:hAnsiTheme="minorEastAsia" w:eastAsiaTheme="minorEastAsia"/>
          <w:color w:val="auto"/>
          <w:kern w:val="24"/>
          <w:sz w:val="24"/>
          <w:highlight w:val="none"/>
          <w:u w:val="single"/>
        </w:rPr>
        <w:t>（企业名称）</w:t>
      </w:r>
      <w:r>
        <w:rPr>
          <w:rFonts w:asciiTheme="minorEastAsia" w:hAnsiTheme="minorEastAsia" w:eastAsiaTheme="minorEastAsia"/>
          <w:color w:val="auto"/>
          <w:kern w:val="24"/>
          <w:sz w:val="24"/>
          <w:highlight w:val="none"/>
        </w:rPr>
        <w:t>，从业人员人，营业收入为万元，资产总额为万元，属于</w:t>
      </w:r>
      <w:r>
        <w:rPr>
          <w:rFonts w:asciiTheme="minorEastAsia" w:hAnsiTheme="minorEastAsia" w:eastAsiaTheme="minorEastAsia"/>
          <w:color w:val="auto"/>
          <w:kern w:val="24"/>
          <w:sz w:val="24"/>
          <w:highlight w:val="none"/>
          <w:u w:val="single"/>
        </w:rPr>
        <w:t>（中型企业、小型企业、微型企业）</w:t>
      </w:r>
      <w:r>
        <w:rPr>
          <w:rFonts w:asciiTheme="minorEastAsia" w:hAnsiTheme="minorEastAsia" w:eastAsiaTheme="minorEastAsia"/>
          <w:color w:val="auto"/>
          <w:kern w:val="24"/>
          <w:sz w:val="24"/>
          <w:highlight w:val="none"/>
        </w:rPr>
        <w:t>；</w:t>
      </w:r>
    </w:p>
    <w:p w14:paraId="2E9C4048">
      <w:pPr>
        <w:pStyle w:val="12"/>
        <w:spacing w:line="240" w:lineRule="auto"/>
        <w:ind w:left="142" w:right="142"/>
        <w:contextualSpacing/>
        <w:rPr>
          <w:rFonts w:asciiTheme="minorEastAsia" w:hAnsiTheme="minorEastAsia" w:eastAsiaTheme="minorEastAsia"/>
          <w:color w:val="auto"/>
          <w:kern w:val="24"/>
          <w:highlight w:val="none"/>
        </w:rPr>
      </w:pPr>
      <w:r>
        <w:rPr>
          <w:rFonts w:asciiTheme="minorEastAsia" w:hAnsiTheme="minorEastAsia" w:eastAsiaTheme="minorEastAsia"/>
          <w:color w:val="auto"/>
          <w:kern w:val="24"/>
          <w:highlight w:val="none"/>
        </w:rPr>
        <w:t xml:space="preserve">…… </w:t>
      </w:r>
    </w:p>
    <w:p w14:paraId="660ABE99">
      <w:pPr>
        <w:pStyle w:val="12"/>
        <w:spacing w:line="240" w:lineRule="auto"/>
        <w:ind w:left="-405" w:leftChars="-193" w:right="142" w:firstLine="453" w:firstLineChars="189"/>
        <w:contextualSpacing/>
        <w:rPr>
          <w:rFonts w:asciiTheme="minorEastAsia" w:hAnsiTheme="minorEastAsia" w:eastAsiaTheme="minorEastAsia"/>
          <w:color w:val="auto"/>
          <w:kern w:val="24"/>
          <w:highlight w:val="none"/>
        </w:rPr>
      </w:pPr>
      <w:r>
        <w:rPr>
          <w:rFonts w:asciiTheme="minorEastAsia" w:hAnsiTheme="minorEastAsia" w:eastAsiaTheme="minorEastAsia"/>
          <w:color w:val="auto"/>
          <w:kern w:val="24"/>
          <w:highlight w:val="none"/>
        </w:rPr>
        <w:t>以上企业，不属于大企业的分支机构，不存在控股股东为大企业的情形，也不存在与大企业的负责人为同一人的情形。</w:t>
      </w:r>
    </w:p>
    <w:p w14:paraId="08CFBF04">
      <w:pPr>
        <w:pStyle w:val="12"/>
        <w:spacing w:line="240" w:lineRule="auto"/>
        <w:ind w:left="-426" w:right="142" w:firstLine="567"/>
        <w:contextualSpacing/>
        <w:rPr>
          <w:rFonts w:asciiTheme="minorEastAsia" w:hAnsiTheme="minorEastAsia" w:eastAsiaTheme="minorEastAsia"/>
          <w:color w:val="auto"/>
          <w:kern w:val="24"/>
          <w:highlight w:val="none"/>
        </w:rPr>
      </w:pPr>
      <w:r>
        <w:rPr>
          <w:rFonts w:asciiTheme="minorEastAsia" w:hAnsiTheme="minorEastAsia" w:eastAsiaTheme="minorEastAsia"/>
          <w:color w:val="auto"/>
          <w:kern w:val="24"/>
          <w:highlight w:val="none"/>
        </w:rPr>
        <w:t>本企业对上述声明内容的真实性负责。如有虚假，将依法承担相应责任。</w:t>
      </w:r>
    </w:p>
    <w:p w14:paraId="2F3105E5">
      <w:pPr>
        <w:pStyle w:val="12"/>
        <w:spacing w:line="240" w:lineRule="auto"/>
        <w:ind w:left="3960" w:right="1808"/>
        <w:contextualSpacing/>
        <w:rPr>
          <w:rFonts w:asciiTheme="minorEastAsia" w:hAnsiTheme="minorEastAsia" w:eastAsiaTheme="minorEastAsia"/>
          <w:color w:val="auto"/>
          <w:kern w:val="24"/>
          <w:highlight w:val="none"/>
        </w:rPr>
      </w:pPr>
    </w:p>
    <w:p w14:paraId="0465AF45">
      <w:pPr>
        <w:pStyle w:val="12"/>
        <w:spacing w:line="240" w:lineRule="auto"/>
        <w:ind w:left="3960" w:right="1808"/>
        <w:contextualSpacing/>
        <w:rPr>
          <w:rFonts w:asciiTheme="minorEastAsia" w:hAnsiTheme="minorEastAsia" w:eastAsiaTheme="minorEastAsia"/>
          <w:color w:val="auto"/>
          <w:kern w:val="24"/>
          <w:highlight w:val="none"/>
        </w:rPr>
      </w:pPr>
      <w:r>
        <w:rPr>
          <w:rFonts w:asciiTheme="minorEastAsia" w:hAnsiTheme="minorEastAsia" w:eastAsiaTheme="minorEastAsia"/>
          <w:color w:val="auto"/>
          <w:kern w:val="24"/>
          <w:highlight w:val="none"/>
        </w:rPr>
        <w:t>企业名称（</w:t>
      </w:r>
      <w:r>
        <w:rPr>
          <w:rFonts w:hint="eastAsia" w:asciiTheme="minorEastAsia" w:hAnsiTheme="minorEastAsia" w:eastAsiaTheme="minorEastAsia"/>
          <w:color w:val="auto"/>
          <w:kern w:val="24"/>
          <w:highlight w:val="none"/>
        </w:rPr>
        <w:t>电子签章</w:t>
      </w:r>
      <w:r>
        <w:rPr>
          <w:rFonts w:asciiTheme="minorEastAsia" w:hAnsiTheme="minorEastAsia" w:eastAsiaTheme="minorEastAsia"/>
          <w:color w:val="auto"/>
          <w:kern w:val="24"/>
          <w:highlight w:val="none"/>
        </w:rPr>
        <w:t xml:space="preserve">）： </w:t>
      </w:r>
    </w:p>
    <w:p w14:paraId="1D997BE8">
      <w:pPr>
        <w:pStyle w:val="12"/>
        <w:spacing w:line="240" w:lineRule="auto"/>
        <w:ind w:left="3960" w:right="1808"/>
        <w:contextualSpacing/>
        <w:rPr>
          <w:rFonts w:asciiTheme="minorEastAsia" w:hAnsiTheme="minorEastAsia" w:eastAsiaTheme="minorEastAsia"/>
          <w:color w:val="auto"/>
          <w:kern w:val="24"/>
          <w:highlight w:val="none"/>
        </w:rPr>
      </w:pPr>
      <w:r>
        <w:rPr>
          <w:rFonts w:asciiTheme="minorEastAsia" w:hAnsiTheme="minorEastAsia" w:eastAsiaTheme="minorEastAsia"/>
          <w:color w:val="auto"/>
          <w:kern w:val="24"/>
          <w:highlight w:val="none"/>
        </w:rPr>
        <w:t>日期：</w:t>
      </w:r>
    </w:p>
    <w:p w14:paraId="5AE4FD01">
      <w:pPr>
        <w:pStyle w:val="12"/>
        <w:spacing w:line="240" w:lineRule="auto"/>
        <w:ind w:left="3960" w:right="1808"/>
        <w:contextualSpacing/>
        <w:rPr>
          <w:rFonts w:asciiTheme="minorEastAsia" w:hAnsiTheme="minorEastAsia" w:eastAsiaTheme="minorEastAsia"/>
          <w:color w:val="auto"/>
          <w:kern w:val="24"/>
          <w:highlight w:val="none"/>
        </w:rPr>
      </w:pPr>
    </w:p>
    <w:p w14:paraId="00259A09">
      <w:pPr>
        <w:pStyle w:val="12"/>
        <w:spacing w:line="240" w:lineRule="auto"/>
        <w:ind w:left="3960" w:right="1808"/>
        <w:contextualSpacing/>
        <w:rPr>
          <w:rFonts w:asciiTheme="minorEastAsia" w:hAnsiTheme="minorEastAsia" w:eastAsiaTheme="minorEastAsia"/>
          <w:color w:val="auto"/>
          <w:kern w:val="24"/>
          <w:highlight w:val="none"/>
        </w:rPr>
      </w:pPr>
    </w:p>
    <w:p w14:paraId="7B5A9613">
      <w:pPr>
        <w:pStyle w:val="12"/>
        <w:spacing w:line="240" w:lineRule="auto"/>
        <w:ind w:left="-426" w:right="142" w:firstLine="567"/>
        <w:contextualSpacing/>
        <w:rPr>
          <w:rFonts w:asciiTheme="minorEastAsia" w:hAnsiTheme="minorEastAsia" w:eastAsiaTheme="minorEastAsia"/>
          <w:color w:val="auto"/>
          <w:kern w:val="24"/>
          <w:highlight w:val="none"/>
        </w:rPr>
      </w:pPr>
      <w:r>
        <w:rPr>
          <w:rFonts w:hint="eastAsia" w:asciiTheme="minorEastAsia" w:hAnsiTheme="minorEastAsia" w:eastAsiaTheme="minorEastAsia"/>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37A22238">
      <w:pPr>
        <w:snapToGrid w:val="0"/>
        <w:spacing w:beforeLines="50" w:after="50"/>
        <w:ind w:left="142"/>
        <w:jc w:val="left"/>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3.残疾人福利性单位声明函格式</w:t>
      </w:r>
    </w:p>
    <w:p w14:paraId="5F0C7BF3">
      <w:pPr>
        <w:spacing w:line="588" w:lineRule="exact"/>
        <w:jc w:val="center"/>
        <w:rPr>
          <w:rFonts w:asciiTheme="minorEastAsia" w:hAnsiTheme="minorEastAsia" w:eastAsiaTheme="minorEastAsia"/>
          <w:b/>
          <w:color w:val="auto"/>
          <w:spacing w:val="6"/>
          <w:sz w:val="32"/>
          <w:szCs w:val="32"/>
          <w:highlight w:val="none"/>
        </w:rPr>
      </w:pPr>
    </w:p>
    <w:p w14:paraId="31A977B5">
      <w:pPr>
        <w:spacing w:line="588" w:lineRule="exact"/>
        <w:jc w:val="center"/>
        <w:outlineLvl w:val="3"/>
        <w:rPr>
          <w:rFonts w:cs="方正小标宋简体" w:asciiTheme="minorEastAsia" w:hAnsiTheme="minorEastAsia" w:eastAsiaTheme="minorEastAsia"/>
          <w:bCs/>
          <w:color w:val="auto"/>
          <w:spacing w:val="6"/>
          <w:sz w:val="44"/>
          <w:szCs w:val="44"/>
          <w:highlight w:val="none"/>
        </w:rPr>
      </w:pPr>
      <w:r>
        <w:rPr>
          <w:rFonts w:hint="eastAsia" w:cs="方正小标宋简体" w:asciiTheme="minorEastAsia" w:hAnsiTheme="minorEastAsia" w:eastAsiaTheme="minorEastAsia"/>
          <w:bCs/>
          <w:color w:val="auto"/>
          <w:spacing w:val="6"/>
          <w:sz w:val="44"/>
          <w:szCs w:val="44"/>
          <w:highlight w:val="none"/>
        </w:rPr>
        <w:t>残疾人福利性单位声明函</w:t>
      </w:r>
    </w:p>
    <w:p w14:paraId="6966DF7D">
      <w:pPr>
        <w:spacing w:line="360" w:lineRule="auto"/>
        <w:contextualSpacing/>
        <w:rPr>
          <w:rFonts w:asciiTheme="minorEastAsia" w:hAnsiTheme="minorEastAsia" w:eastAsiaTheme="minorEastAsia"/>
          <w:bCs/>
          <w:color w:val="auto"/>
          <w:spacing w:val="6"/>
          <w:sz w:val="30"/>
          <w:szCs w:val="30"/>
          <w:highlight w:val="none"/>
        </w:rPr>
      </w:pPr>
    </w:p>
    <w:p w14:paraId="505B6EAA">
      <w:pPr>
        <w:spacing w:line="360" w:lineRule="auto"/>
        <w:ind w:firstLine="504" w:firstLineChars="200"/>
        <w:contextualSpacing/>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本单位郑重声明，根据《财政部 民政部 中国残疾人联合会关于促进残疾人就业政府采购政策的通知》（财库</w:t>
      </w:r>
      <w:r>
        <w:rPr>
          <w:rFonts w:hint="eastAsia" w:asciiTheme="minorEastAsia" w:hAnsiTheme="minorEastAsia" w:eastAsiaTheme="minorEastAsia"/>
          <w:color w:val="auto"/>
          <w:sz w:val="24"/>
          <w:highlight w:val="none"/>
        </w:rPr>
        <w:t>〔2017〕 141</w:t>
      </w:r>
      <w:r>
        <w:rPr>
          <w:rFonts w:hint="eastAsia" w:asciiTheme="minorEastAsia" w:hAnsiTheme="minorEastAsia" w:eastAsiaTheme="minorEastAsia"/>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Theme="minorEastAsia" w:hAnsiTheme="minorEastAsia" w:eastAsiaTheme="minorEastAsia"/>
          <w:color w:val="auto"/>
          <w:spacing w:val="-6"/>
          <w:sz w:val="24"/>
          <w:highlight w:val="none"/>
        </w:rPr>
        <w:t>疾人福利性单位制造的货物（不包括使用非残疾人福利性单位注册商标的货物）。</w:t>
      </w:r>
    </w:p>
    <w:p w14:paraId="02784258">
      <w:pPr>
        <w:spacing w:line="360" w:lineRule="auto"/>
        <w:ind w:firstLine="504" w:firstLineChars="200"/>
        <w:contextualSpacing/>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本单位对上述声明的真实性负责。如有虚假，将依法承担相应责任。</w:t>
      </w:r>
    </w:p>
    <w:p w14:paraId="275558E7">
      <w:pPr>
        <w:spacing w:line="360" w:lineRule="auto"/>
        <w:ind w:firstLine="504" w:firstLineChars="200"/>
        <w:contextualSpacing/>
        <w:rPr>
          <w:rFonts w:asciiTheme="minorEastAsia" w:hAnsiTheme="minorEastAsia" w:eastAsiaTheme="minorEastAsia"/>
          <w:color w:val="auto"/>
          <w:spacing w:val="6"/>
          <w:sz w:val="24"/>
          <w:highlight w:val="none"/>
        </w:rPr>
      </w:pPr>
    </w:p>
    <w:p w14:paraId="50385BF1">
      <w:pPr>
        <w:spacing w:line="360" w:lineRule="auto"/>
        <w:ind w:firstLine="504" w:firstLineChars="200"/>
        <w:contextualSpacing/>
        <w:rPr>
          <w:rFonts w:asciiTheme="minorEastAsia" w:hAnsiTheme="minorEastAsia" w:eastAsiaTheme="minorEastAsia"/>
          <w:color w:val="auto"/>
          <w:spacing w:val="6"/>
          <w:sz w:val="24"/>
          <w:highlight w:val="none"/>
        </w:rPr>
      </w:pPr>
    </w:p>
    <w:p w14:paraId="21CA1EDD">
      <w:pPr>
        <w:tabs>
          <w:tab w:val="left" w:pos="4860"/>
        </w:tabs>
        <w:spacing w:line="360" w:lineRule="auto"/>
        <w:ind w:right="1560" w:firstLine="504" w:firstLineChars="200"/>
        <w:contextualSpacing/>
        <w:jc w:val="center"/>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单位名称（电子签章）：</w:t>
      </w:r>
    </w:p>
    <w:p w14:paraId="65CF4A8F">
      <w:pPr>
        <w:tabs>
          <w:tab w:val="left" w:pos="4860"/>
        </w:tabs>
        <w:spacing w:line="360" w:lineRule="auto"/>
        <w:ind w:right="1560" w:firstLine="504" w:firstLineChars="200"/>
        <w:contextualSpacing/>
        <w:jc w:val="center"/>
        <w:rPr>
          <w:rFonts w:asciiTheme="minorEastAsia" w:hAnsiTheme="minorEastAsia" w:eastAsiaTheme="minorEastAsia"/>
          <w:color w:val="auto"/>
          <w:spacing w:val="6"/>
          <w:sz w:val="24"/>
          <w:highlight w:val="none"/>
        </w:rPr>
      </w:pPr>
      <w:r>
        <w:rPr>
          <w:rFonts w:hint="eastAsia" w:asciiTheme="minorEastAsia" w:hAnsiTheme="minorEastAsia" w:eastAsiaTheme="minorEastAsia"/>
          <w:color w:val="auto"/>
          <w:spacing w:val="6"/>
          <w:sz w:val="24"/>
          <w:highlight w:val="none"/>
        </w:rPr>
        <w:t>日  期：</w:t>
      </w:r>
    </w:p>
    <w:p w14:paraId="0F621091">
      <w:pPr>
        <w:spacing w:line="360" w:lineRule="auto"/>
        <w:contextualSpacing/>
        <w:rPr>
          <w:rFonts w:asciiTheme="minorEastAsia" w:hAnsiTheme="minorEastAsia" w:eastAsiaTheme="minorEastAsia"/>
          <w:color w:val="auto"/>
          <w:sz w:val="24"/>
          <w:highlight w:val="none"/>
        </w:rPr>
      </w:pPr>
    </w:p>
    <w:p w14:paraId="23BFD667">
      <w:pPr>
        <w:spacing w:line="360" w:lineRule="auto"/>
        <w:contextualSpacing/>
        <w:rPr>
          <w:rFonts w:asciiTheme="minorEastAsia" w:hAnsiTheme="minorEastAsia" w:eastAsiaTheme="minorEastAsia"/>
          <w:color w:val="auto"/>
          <w:sz w:val="24"/>
          <w:highlight w:val="none"/>
        </w:rPr>
      </w:pPr>
    </w:p>
    <w:p w14:paraId="231DEBE4">
      <w:pPr>
        <w:spacing w:line="360" w:lineRule="auto"/>
        <w:contextualSpacing/>
        <w:rPr>
          <w:rFonts w:asciiTheme="minorEastAsia" w:hAnsiTheme="minorEastAsia" w:eastAsiaTheme="minorEastAsia"/>
          <w:color w:val="auto"/>
          <w:sz w:val="24"/>
          <w:highlight w:val="none"/>
        </w:rPr>
      </w:pPr>
    </w:p>
    <w:p w14:paraId="2C6E286D">
      <w:pPr>
        <w:spacing w:line="360" w:lineRule="auto"/>
        <w:contextualSpacing/>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163243A1">
      <w:pPr>
        <w:spacing w:line="360" w:lineRule="auto"/>
        <w:jc w:val="left"/>
        <w:outlineLvl w:val="2"/>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r>
        <w:rPr>
          <w:rFonts w:hint="eastAsia" w:asciiTheme="minorEastAsia" w:hAnsiTheme="minorEastAsia" w:eastAsiaTheme="minorEastAsia"/>
          <w:b/>
          <w:color w:val="auto"/>
          <w:sz w:val="24"/>
          <w:highlight w:val="none"/>
        </w:rPr>
        <w:t>4.质疑函（格式）</w:t>
      </w:r>
    </w:p>
    <w:p w14:paraId="7370BCEE">
      <w:pPr>
        <w:spacing w:line="360" w:lineRule="auto"/>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质疑函（格式）</w:t>
      </w:r>
    </w:p>
    <w:p w14:paraId="6E557AFA">
      <w:pPr>
        <w:pStyle w:val="14"/>
        <w:snapToGrid w:val="0"/>
        <w:ind w:left="1" w:leftChars="-67" w:hanging="142" w:hangingChars="59"/>
        <w:outlineLvl w:val="1"/>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一、质疑供应商基本信息：</w:t>
      </w:r>
    </w:p>
    <w:p w14:paraId="3EC5ED43">
      <w:pPr>
        <w:pStyle w:val="14"/>
        <w:snapToGrid w:val="0"/>
        <w:ind w:left="0" w:leftChars="-67" w:hanging="141" w:hangingChars="59"/>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质疑供应商：</w:t>
      </w:r>
    </w:p>
    <w:p w14:paraId="64A59DE2">
      <w:pPr>
        <w:pStyle w:val="14"/>
        <w:snapToGrid w:val="0"/>
        <w:ind w:left="0" w:leftChars="-67" w:hanging="141" w:hangingChars="59"/>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地址</w:t>
      </w:r>
      <w:r>
        <w:rPr>
          <w:rFonts w:hint="eastAsia" w:asciiTheme="minorEastAsia" w:hAnsiTheme="minorEastAsia" w:eastAsiaTheme="minorEastAsia"/>
          <w:bCs/>
          <w:color w:val="auto"/>
          <w:sz w:val="24"/>
          <w:szCs w:val="24"/>
          <w:highlight w:val="none"/>
        </w:rPr>
        <w:t>：</w:t>
      </w:r>
      <w:r>
        <w:rPr>
          <w:rFonts w:asciiTheme="minorEastAsia" w:hAnsiTheme="minorEastAsia" w:eastAsiaTheme="minorEastAsia"/>
          <w:bCs/>
          <w:color w:val="auto"/>
          <w:sz w:val="24"/>
          <w:szCs w:val="24"/>
          <w:highlight w:val="none"/>
        </w:rPr>
        <w:t>邮编</w:t>
      </w:r>
      <w:r>
        <w:rPr>
          <w:rFonts w:hint="eastAsia" w:asciiTheme="minorEastAsia" w:hAnsiTheme="minorEastAsia" w:eastAsiaTheme="minorEastAsia"/>
          <w:bCs/>
          <w:color w:val="auto"/>
          <w:sz w:val="24"/>
          <w:szCs w:val="24"/>
          <w:highlight w:val="none"/>
        </w:rPr>
        <w:t>：</w:t>
      </w:r>
    </w:p>
    <w:p w14:paraId="3FBE406D">
      <w:pPr>
        <w:pStyle w:val="14"/>
        <w:snapToGrid w:val="0"/>
        <w:ind w:left="0" w:leftChars="-67" w:hanging="141" w:hangingChars="59"/>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联系人</w:t>
      </w:r>
      <w:r>
        <w:rPr>
          <w:rFonts w:hint="eastAsia" w:asciiTheme="minorEastAsia" w:hAnsiTheme="minorEastAsia" w:eastAsiaTheme="minorEastAsia"/>
          <w:bCs/>
          <w:color w:val="auto"/>
          <w:sz w:val="24"/>
          <w:szCs w:val="24"/>
          <w:highlight w:val="none"/>
        </w:rPr>
        <w:t>：</w:t>
      </w:r>
      <w:r>
        <w:rPr>
          <w:rFonts w:asciiTheme="minorEastAsia" w:hAnsiTheme="minorEastAsia" w:eastAsiaTheme="minorEastAsia"/>
          <w:bCs/>
          <w:color w:val="auto"/>
          <w:sz w:val="24"/>
          <w:szCs w:val="24"/>
          <w:highlight w:val="none"/>
        </w:rPr>
        <w:t>联系电话</w:t>
      </w:r>
      <w:r>
        <w:rPr>
          <w:rFonts w:hint="eastAsia" w:asciiTheme="minorEastAsia" w:hAnsiTheme="minorEastAsia" w:eastAsiaTheme="minorEastAsia"/>
          <w:bCs/>
          <w:color w:val="auto"/>
          <w:sz w:val="24"/>
          <w:szCs w:val="24"/>
          <w:highlight w:val="none"/>
        </w:rPr>
        <w:t>：</w:t>
      </w:r>
    </w:p>
    <w:p w14:paraId="6F9FA28F">
      <w:pPr>
        <w:pStyle w:val="14"/>
        <w:snapToGrid w:val="0"/>
        <w:ind w:left="0" w:leftChars="-67" w:hanging="141" w:hangingChars="59"/>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授权代表：</w:t>
      </w:r>
    </w:p>
    <w:p w14:paraId="126FAB40">
      <w:pPr>
        <w:pStyle w:val="14"/>
        <w:snapToGrid w:val="0"/>
        <w:ind w:left="0" w:leftChars="-67" w:hanging="141" w:hangingChars="59"/>
        <w:rPr>
          <w:rFonts w:asciiTheme="minorEastAsia" w:hAnsiTheme="minorEastAsia" w:eastAsiaTheme="minorEastAsia"/>
          <w:bCs/>
          <w:color w:val="auto"/>
          <w:sz w:val="24"/>
          <w:szCs w:val="24"/>
          <w:highlight w:val="none"/>
          <w:u w:val="single"/>
        </w:rPr>
      </w:pPr>
      <w:r>
        <w:rPr>
          <w:rFonts w:asciiTheme="minorEastAsia" w:hAnsiTheme="minorEastAsia" w:eastAsiaTheme="minorEastAsia"/>
          <w:bCs/>
          <w:color w:val="auto"/>
          <w:sz w:val="24"/>
          <w:szCs w:val="24"/>
          <w:highlight w:val="none"/>
        </w:rPr>
        <w:t>联系</w:t>
      </w:r>
      <w:r>
        <w:rPr>
          <w:rFonts w:hint="eastAsia" w:asciiTheme="minorEastAsia" w:hAnsiTheme="minorEastAsia" w:eastAsiaTheme="minorEastAsia"/>
          <w:bCs/>
          <w:color w:val="auto"/>
          <w:sz w:val="24"/>
          <w:szCs w:val="24"/>
          <w:highlight w:val="none"/>
        </w:rPr>
        <w:t>电话：</w:t>
      </w:r>
    </w:p>
    <w:p w14:paraId="650310AB">
      <w:pPr>
        <w:pStyle w:val="14"/>
        <w:snapToGrid w:val="0"/>
        <w:ind w:left="0" w:leftChars="-67" w:hanging="141" w:hangingChars="59"/>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地址</w:t>
      </w:r>
      <w:r>
        <w:rPr>
          <w:rFonts w:hint="eastAsia" w:asciiTheme="minorEastAsia" w:hAnsiTheme="minorEastAsia" w:eastAsiaTheme="minorEastAsia"/>
          <w:bCs/>
          <w:color w:val="auto"/>
          <w:sz w:val="24"/>
          <w:szCs w:val="24"/>
          <w:highlight w:val="none"/>
        </w:rPr>
        <w:t>：</w:t>
      </w:r>
      <w:r>
        <w:rPr>
          <w:rFonts w:asciiTheme="minorEastAsia" w:hAnsiTheme="minorEastAsia" w:eastAsiaTheme="minorEastAsia"/>
          <w:bCs/>
          <w:color w:val="auto"/>
          <w:sz w:val="24"/>
          <w:szCs w:val="24"/>
          <w:highlight w:val="none"/>
        </w:rPr>
        <w:t>邮编</w:t>
      </w:r>
      <w:r>
        <w:rPr>
          <w:rFonts w:hint="eastAsia" w:asciiTheme="minorEastAsia" w:hAnsiTheme="minorEastAsia" w:eastAsiaTheme="minorEastAsia"/>
          <w:bCs/>
          <w:color w:val="auto"/>
          <w:sz w:val="24"/>
          <w:szCs w:val="24"/>
          <w:highlight w:val="none"/>
        </w:rPr>
        <w:t>：</w:t>
      </w:r>
    </w:p>
    <w:p w14:paraId="3A66CF11">
      <w:pPr>
        <w:pStyle w:val="14"/>
        <w:snapToGrid w:val="0"/>
        <w:ind w:left="1" w:leftChars="-67" w:hanging="142" w:hangingChars="59"/>
        <w:outlineLvl w:val="1"/>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二、质疑项目基本情况：</w:t>
      </w:r>
    </w:p>
    <w:p w14:paraId="711E1F7F">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质疑</w:t>
      </w:r>
      <w:r>
        <w:rPr>
          <w:rFonts w:hint="eastAsia" w:asciiTheme="minorEastAsia" w:hAnsiTheme="minorEastAsia" w:eastAsiaTheme="minorEastAsia"/>
          <w:color w:val="auto"/>
          <w:sz w:val="24"/>
          <w:szCs w:val="24"/>
          <w:highlight w:val="none"/>
        </w:rPr>
        <w:t>项目的名称：</w:t>
      </w:r>
    </w:p>
    <w:p w14:paraId="1A673C17">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质疑</w:t>
      </w:r>
      <w:r>
        <w:rPr>
          <w:rFonts w:hint="eastAsia" w:asciiTheme="minorEastAsia" w:hAnsiTheme="minorEastAsia" w:eastAsiaTheme="minorEastAsia"/>
          <w:color w:val="auto"/>
          <w:sz w:val="24"/>
          <w:szCs w:val="24"/>
          <w:highlight w:val="none"/>
        </w:rPr>
        <w:t>项目的编号：</w:t>
      </w:r>
    </w:p>
    <w:p w14:paraId="1062AF6C">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采购人名称：</w:t>
      </w:r>
    </w:p>
    <w:p w14:paraId="30C74131">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质疑事项：</w:t>
      </w:r>
    </w:p>
    <w:p w14:paraId="4E68CB5E">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□采购文件   采购文件获取日期：</w:t>
      </w:r>
    </w:p>
    <w:p w14:paraId="53FCB1E7">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□采购过程   </w:t>
      </w:r>
    </w:p>
    <w:p w14:paraId="3AA7197C">
      <w:pPr>
        <w:pStyle w:val="14"/>
        <w:ind w:left="0" w:leftChars="-67" w:hanging="141" w:hangingChars="59"/>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color w:val="auto"/>
          <w:sz w:val="24"/>
          <w:szCs w:val="24"/>
          <w:highlight w:val="none"/>
        </w:rPr>
        <w:t xml:space="preserve">□采购结果   </w:t>
      </w:r>
    </w:p>
    <w:p w14:paraId="234B6CC8">
      <w:pPr>
        <w:pStyle w:val="14"/>
        <w:ind w:left="1" w:leftChars="-67" w:hanging="142" w:hangingChars="59"/>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三、质疑事项具体内容</w:t>
      </w:r>
    </w:p>
    <w:p w14:paraId="627C94D6">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质疑事项1：</w:t>
      </w:r>
    </w:p>
    <w:p w14:paraId="4D164783">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事实依据：</w:t>
      </w:r>
    </w:p>
    <w:p w14:paraId="2A602CA6">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法律依据：</w:t>
      </w:r>
    </w:p>
    <w:p w14:paraId="78409324">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质疑事项2</w:t>
      </w:r>
    </w:p>
    <w:p w14:paraId="1969E636">
      <w:pPr>
        <w:pStyle w:val="14"/>
        <w:ind w:left="0" w:leftChars="-67" w:hanging="141" w:hangingChars="59"/>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w:t>
      </w:r>
    </w:p>
    <w:p w14:paraId="39A51F76">
      <w:pPr>
        <w:pStyle w:val="14"/>
        <w:ind w:left="0" w:leftChars="-67" w:hanging="141" w:hangingChars="59"/>
        <w:outlineLvl w:val="1"/>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四、与质疑事项相关的质疑请求：</w:t>
      </w:r>
    </w:p>
    <w:p w14:paraId="174EBB34">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请求：</w:t>
      </w:r>
    </w:p>
    <w:p w14:paraId="6428B3DB">
      <w:pPr>
        <w:pStyle w:val="14"/>
        <w:ind w:left="0" w:leftChars="-67" w:hanging="141" w:hangingChars="59"/>
        <w:rPr>
          <w:rFonts w:asciiTheme="minorEastAsia" w:hAnsiTheme="minorEastAsia" w:eastAsiaTheme="minorEastAsia"/>
          <w:color w:val="auto"/>
          <w:sz w:val="24"/>
          <w:szCs w:val="24"/>
          <w:highlight w:val="none"/>
        </w:rPr>
      </w:pPr>
    </w:p>
    <w:p w14:paraId="77748D25">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签字（签章）：                                       公章：</w:t>
      </w:r>
    </w:p>
    <w:p w14:paraId="48CD2A39">
      <w:pPr>
        <w:pStyle w:val="14"/>
        <w:ind w:left="0" w:leftChars="-67" w:hanging="141" w:hangingChars="59"/>
        <w:rPr>
          <w:rFonts w:asciiTheme="minorEastAsia" w:hAnsiTheme="minorEastAsia" w:eastAsiaTheme="minorEastAsia"/>
          <w:color w:val="auto"/>
          <w:sz w:val="24"/>
          <w:szCs w:val="24"/>
          <w:highlight w:val="none"/>
        </w:rPr>
      </w:pPr>
    </w:p>
    <w:p w14:paraId="4F1D901E">
      <w:pPr>
        <w:pStyle w:val="14"/>
        <w:ind w:left="0" w:leftChars="-67" w:hanging="141" w:hangingChars="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日期：</w:t>
      </w:r>
    </w:p>
    <w:p w14:paraId="4D999531">
      <w:pPr>
        <w:pStyle w:val="14"/>
        <w:snapToGrid w:val="0"/>
        <w:ind w:left="1" w:leftChars="-67" w:hanging="142" w:hangingChars="59"/>
        <w:rPr>
          <w:rFonts w:asciiTheme="minorEastAsia" w:hAnsiTheme="minorEastAsia" w:eastAsiaTheme="minorEastAsia"/>
          <w:b/>
          <w:color w:val="auto"/>
          <w:sz w:val="24"/>
          <w:szCs w:val="24"/>
          <w:highlight w:val="none"/>
        </w:rPr>
      </w:pPr>
    </w:p>
    <w:p w14:paraId="7AC8BCD4">
      <w:pPr>
        <w:pStyle w:val="14"/>
        <w:snapToGrid w:val="0"/>
        <w:ind w:left="1" w:leftChars="-67" w:hanging="142" w:hangingChars="59"/>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说明：</w:t>
      </w:r>
    </w:p>
    <w:p w14:paraId="06F45D66">
      <w:pPr>
        <w:pStyle w:val="14"/>
        <w:ind w:left="1" w:leftChars="-67" w:hanging="142" w:hangingChars="59"/>
        <w:outlineLvl w:val="2"/>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color w:val="auto"/>
          <w:sz w:val="24"/>
          <w:szCs w:val="24"/>
          <w:highlight w:val="none"/>
        </w:rPr>
        <w:t>1.供应商提出质疑时，应提交质疑函和必要的证明材料</w:t>
      </w:r>
      <w:r>
        <w:rPr>
          <w:rFonts w:hint="eastAsia" w:asciiTheme="minorEastAsia" w:hAnsiTheme="minorEastAsia" w:eastAsiaTheme="minorEastAsia"/>
          <w:b/>
          <w:bCs/>
          <w:color w:val="auto"/>
          <w:sz w:val="24"/>
          <w:szCs w:val="24"/>
          <w:highlight w:val="none"/>
        </w:rPr>
        <w:t>。</w:t>
      </w:r>
    </w:p>
    <w:p w14:paraId="07F22F53">
      <w:pPr>
        <w:pStyle w:val="14"/>
        <w:ind w:left="1" w:leftChars="-67" w:hanging="142" w:hangingChars="59"/>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FFEAB9F">
      <w:pPr>
        <w:pStyle w:val="14"/>
        <w:ind w:left="1" w:leftChars="-67" w:hanging="142" w:hangingChars="59"/>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3.质疑函的质疑事项应具体、明确，并有必要的事实依据和法律依据。</w:t>
      </w:r>
    </w:p>
    <w:p w14:paraId="7EE5D76E">
      <w:pPr>
        <w:pStyle w:val="14"/>
        <w:ind w:left="1" w:leftChars="-67" w:hanging="142" w:hangingChars="59"/>
        <w:outlineLvl w:val="2"/>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4.质疑函的质疑请求应与质疑事项相关。</w:t>
      </w:r>
    </w:p>
    <w:p w14:paraId="2F744428">
      <w:pPr>
        <w:pStyle w:val="14"/>
        <w:ind w:left="1" w:leftChars="-67" w:hanging="142" w:hangingChars="59"/>
        <w:rPr>
          <w:rFonts w:asciiTheme="minorEastAsia" w:hAnsiTheme="minorEastAsia" w:eastAsiaTheme="minorEastAsia"/>
          <w:b/>
          <w:color w:val="auto"/>
          <w:highlight w:val="none"/>
        </w:rPr>
      </w:pPr>
      <w:r>
        <w:rPr>
          <w:rFonts w:hint="eastAsia" w:asciiTheme="minorEastAsia" w:hAnsiTheme="minorEastAsia" w:eastAsiaTheme="minorEastAsia"/>
          <w:b/>
          <w:color w:val="auto"/>
          <w:sz w:val="24"/>
          <w:szCs w:val="24"/>
          <w:highlight w:val="none"/>
        </w:rPr>
        <w:t>5.质疑供应商为法人或者其他组织的，质疑函应由法定代表人、主要负责人，或者其授权代表签字或者盖章，并加盖公章。</w:t>
      </w:r>
    </w:p>
    <w:p w14:paraId="304BEC81">
      <w:pPr>
        <w:pStyle w:val="14"/>
        <w:snapToGrid w:val="0"/>
        <w:ind w:firstLine="482"/>
        <w:rPr>
          <w:rFonts w:asciiTheme="minorEastAsia" w:hAnsiTheme="minorEastAsia" w:eastAsiaTheme="minorEastAsia"/>
          <w:b/>
          <w:color w:val="auto"/>
          <w:sz w:val="24"/>
          <w:szCs w:val="24"/>
          <w:highlight w:val="none"/>
        </w:rPr>
      </w:pPr>
    </w:p>
    <w:p w14:paraId="61829B87">
      <w:pPr>
        <w:spacing w:line="360" w:lineRule="auto"/>
        <w:jc w:val="left"/>
        <w:outlineLvl w:val="2"/>
        <w:rPr>
          <w:rFonts w:asciiTheme="minorEastAsia" w:hAnsiTheme="minorEastAsia" w:eastAsiaTheme="minorEastAsia"/>
          <w:b/>
          <w:bCs/>
          <w:color w:val="auto"/>
          <w:sz w:val="32"/>
          <w:szCs w:val="32"/>
          <w:highlight w:val="none"/>
        </w:rPr>
      </w:pPr>
      <w:r>
        <w:rPr>
          <w:rFonts w:asciiTheme="minorEastAsia" w:hAnsiTheme="minorEastAsia" w:eastAsiaTheme="minorEastAsia"/>
          <w:color w:val="auto"/>
          <w:sz w:val="44"/>
          <w:highlight w:val="none"/>
        </w:rPr>
        <w:br w:type="page"/>
      </w:r>
      <w:r>
        <w:rPr>
          <w:rFonts w:hint="eastAsia" w:asciiTheme="minorEastAsia" w:hAnsiTheme="minorEastAsia" w:eastAsiaTheme="minorEastAsia"/>
          <w:b/>
          <w:color w:val="auto"/>
          <w:sz w:val="24"/>
          <w:highlight w:val="none"/>
        </w:rPr>
        <w:t>5.投诉书（格式）</w:t>
      </w:r>
    </w:p>
    <w:p w14:paraId="73EBEF6F">
      <w:pPr>
        <w:spacing w:line="360" w:lineRule="auto"/>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投诉书（格式）</w:t>
      </w:r>
    </w:p>
    <w:p w14:paraId="669CF0AA">
      <w:pPr>
        <w:pStyle w:val="14"/>
        <w:snapToGrid w:val="0"/>
        <w:ind w:firstLine="482"/>
        <w:outlineLvl w:val="1"/>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一、投诉相关主体基本情况：</w:t>
      </w:r>
    </w:p>
    <w:p w14:paraId="2EA564C2">
      <w:pPr>
        <w:pStyle w:val="14"/>
        <w:snapToGrid w:val="0"/>
        <w:ind w:firstLine="480"/>
        <w:jc w:val="left"/>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投标人：</w:t>
      </w:r>
    </w:p>
    <w:p w14:paraId="23F27067">
      <w:pPr>
        <w:pStyle w:val="14"/>
        <w:snapToGrid w:val="0"/>
        <w:ind w:firstLine="480"/>
        <w:jc w:val="left"/>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地址</w:t>
      </w:r>
      <w:r>
        <w:rPr>
          <w:rFonts w:hint="eastAsia" w:asciiTheme="minorEastAsia" w:hAnsiTheme="minorEastAsia" w:eastAsiaTheme="minorEastAsia"/>
          <w:bCs/>
          <w:color w:val="auto"/>
          <w:sz w:val="24"/>
          <w:szCs w:val="24"/>
          <w:highlight w:val="none"/>
        </w:rPr>
        <w:t>：</w:t>
      </w:r>
      <w:r>
        <w:rPr>
          <w:rFonts w:asciiTheme="minorEastAsia" w:hAnsiTheme="minorEastAsia" w:eastAsiaTheme="minorEastAsia"/>
          <w:bCs/>
          <w:color w:val="auto"/>
          <w:sz w:val="24"/>
          <w:szCs w:val="24"/>
          <w:highlight w:val="none"/>
        </w:rPr>
        <w:t>邮编</w:t>
      </w:r>
      <w:r>
        <w:rPr>
          <w:rFonts w:hint="eastAsia" w:asciiTheme="minorEastAsia" w:hAnsiTheme="minorEastAsia" w:eastAsiaTheme="minorEastAsia"/>
          <w:bCs/>
          <w:color w:val="auto"/>
          <w:sz w:val="24"/>
          <w:szCs w:val="24"/>
          <w:highlight w:val="none"/>
        </w:rPr>
        <w:t>：</w:t>
      </w:r>
    </w:p>
    <w:p w14:paraId="55A667E8">
      <w:pPr>
        <w:pStyle w:val="14"/>
        <w:snapToGrid w:val="0"/>
        <w:ind w:firstLine="480"/>
        <w:jc w:val="left"/>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法定代表人/主要负责人：</w:t>
      </w:r>
    </w:p>
    <w:p w14:paraId="0E3466D7">
      <w:pPr>
        <w:pStyle w:val="14"/>
        <w:snapToGrid w:val="0"/>
        <w:ind w:firstLine="480"/>
        <w:jc w:val="left"/>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联系电话</w:t>
      </w:r>
      <w:r>
        <w:rPr>
          <w:rFonts w:hint="eastAsia" w:asciiTheme="minorEastAsia" w:hAnsiTheme="minorEastAsia" w:eastAsiaTheme="minorEastAsia"/>
          <w:bCs/>
          <w:color w:val="auto"/>
          <w:sz w:val="24"/>
          <w:szCs w:val="24"/>
          <w:highlight w:val="none"/>
        </w:rPr>
        <w:t>：</w:t>
      </w:r>
    </w:p>
    <w:p w14:paraId="2304F02E">
      <w:pPr>
        <w:pStyle w:val="14"/>
        <w:snapToGrid w:val="0"/>
        <w:ind w:firstLine="480"/>
        <w:jc w:val="left"/>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授权代表：</w:t>
      </w:r>
      <w:r>
        <w:rPr>
          <w:rFonts w:asciiTheme="minorEastAsia" w:hAnsiTheme="minorEastAsia" w:eastAsiaTheme="minorEastAsia"/>
          <w:bCs/>
          <w:color w:val="auto"/>
          <w:sz w:val="24"/>
          <w:szCs w:val="24"/>
          <w:highlight w:val="none"/>
        </w:rPr>
        <w:t>联系</w:t>
      </w:r>
      <w:r>
        <w:rPr>
          <w:rFonts w:hint="eastAsia" w:asciiTheme="minorEastAsia" w:hAnsiTheme="minorEastAsia" w:eastAsiaTheme="minorEastAsia"/>
          <w:bCs/>
          <w:color w:val="auto"/>
          <w:sz w:val="24"/>
          <w:szCs w:val="24"/>
          <w:highlight w:val="none"/>
        </w:rPr>
        <w:t>电话：</w:t>
      </w:r>
    </w:p>
    <w:p w14:paraId="79CEAA49">
      <w:pPr>
        <w:pStyle w:val="14"/>
        <w:snapToGrid w:val="0"/>
        <w:ind w:firstLine="480"/>
        <w:jc w:val="left"/>
        <w:rPr>
          <w:rFonts w:asciiTheme="minorEastAsia" w:hAnsiTheme="minorEastAsia" w:eastAsiaTheme="minorEastAsia"/>
          <w:bCs/>
          <w:color w:val="auto"/>
          <w:sz w:val="24"/>
          <w:szCs w:val="24"/>
          <w:highlight w:val="none"/>
          <w:u w:val="single"/>
        </w:rPr>
      </w:pPr>
      <w:r>
        <w:rPr>
          <w:rFonts w:asciiTheme="minorEastAsia" w:hAnsiTheme="minorEastAsia" w:eastAsiaTheme="minorEastAsia"/>
          <w:bCs/>
          <w:color w:val="auto"/>
          <w:sz w:val="24"/>
          <w:szCs w:val="24"/>
          <w:highlight w:val="none"/>
        </w:rPr>
        <w:t>地址</w:t>
      </w:r>
      <w:r>
        <w:rPr>
          <w:rFonts w:hint="eastAsia" w:asciiTheme="minorEastAsia" w:hAnsiTheme="minorEastAsia" w:eastAsiaTheme="minorEastAsia"/>
          <w:bCs/>
          <w:color w:val="auto"/>
          <w:sz w:val="24"/>
          <w:szCs w:val="24"/>
          <w:highlight w:val="none"/>
        </w:rPr>
        <w:t>：</w:t>
      </w:r>
    </w:p>
    <w:p w14:paraId="149F9DE2">
      <w:pPr>
        <w:pStyle w:val="14"/>
        <w:snapToGrid w:val="0"/>
        <w:ind w:firstLine="480"/>
        <w:jc w:val="left"/>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邮编</w:t>
      </w:r>
      <w:r>
        <w:rPr>
          <w:rFonts w:hint="eastAsia" w:asciiTheme="minorEastAsia" w:hAnsiTheme="minorEastAsia" w:eastAsiaTheme="minorEastAsia"/>
          <w:bCs/>
          <w:color w:val="auto"/>
          <w:sz w:val="24"/>
          <w:szCs w:val="24"/>
          <w:highlight w:val="none"/>
        </w:rPr>
        <w:t>：</w:t>
      </w:r>
    </w:p>
    <w:p w14:paraId="0587F700">
      <w:pPr>
        <w:pStyle w:val="14"/>
        <w:snapToGrid w:val="0"/>
        <w:ind w:firstLine="480"/>
        <w:jc w:val="left"/>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被投诉人1：</w:t>
      </w:r>
    </w:p>
    <w:p w14:paraId="19DD6912">
      <w:pPr>
        <w:pStyle w:val="14"/>
        <w:snapToGrid w:val="0"/>
        <w:ind w:firstLine="480"/>
        <w:jc w:val="left"/>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地址：</w:t>
      </w:r>
    </w:p>
    <w:p w14:paraId="57769C64">
      <w:pPr>
        <w:pStyle w:val="14"/>
        <w:snapToGrid w:val="0"/>
        <w:ind w:firstLine="480"/>
        <w:jc w:val="left"/>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邮编</w:t>
      </w:r>
      <w:r>
        <w:rPr>
          <w:rFonts w:hint="eastAsia" w:asciiTheme="minorEastAsia" w:hAnsiTheme="minorEastAsia" w:eastAsiaTheme="minorEastAsia"/>
          <w:bCs/>
          <w:color w:val="auto"/>
          <w:sz w:val="24"/>
          <w:szCs w:val="24"/>
          <w:highlight w:val="none"/>
        </w:rPr>
        <w:t>：</w:t>
      </w:r>
    </w:p>
    <w:p w14:paraId="7BBAABBB">
      <w:pPr>
        <w:pStyle w:val="14"/>
        <w:snapToGrid w:val="0"/>
        <w:ind w:firstLine="480"/>
        <w:jc w:val="left"/>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联系人：</w:t>
      </w:r>
      <w:r>
        <w:rPr>
          <w:rFonts w:asciiTheme="minorEastAsia" w:hAnsiTheme="minorEastAsia" w:eastAsiaTheme="minorEastAsia"/>
          <w:bCs/>
          <w:color w:val="auto"/>
          <w:sz w:val="24"/>
          <w:szCs w:val="24"/>
          <w:highlight w:val="none"/>
        </w:rPr>
        <w:t>联系</w:t>
      </w:r>
      <w:r>
        <w:rPr>
          <w:rFonts w:hint="eastAsia" w:asciiTheme="minorEastAsia" w:hAnsiTheme="minorEastAsia" w:eastAsiaTheme="minorEastAsia"/>
          <w:bCs/>
          <w:color w:val="auto"/>
          <w:sz w:val="24"/>
          <w:szCs w:val="24"/>
          <w:highlight w:val="none"/>
        </w:rPr>
        <w:t>电话：</w:t>
      </w:r>
    </w:p>
    <w:p w14:paraId="4F2161A9">
      <w:pPr>
        <w:pStyle w:val="14"/>
        <w:snapToGrid w:val="0"/>
        <w:ind w:firstLine="480"/>
        <w:jc w:val="left"/>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被投诉人2：</w:t>
      </w:r>
    </w:p>
    <w:p w14:paraId="14A6BFA0">
      <w:pPr>
        <w:pStyle w:val="14"/>
        <w:snapToGrid w:val="0"/>
        <w:ind w:firstLine="480"/>
        <w:jc w:val="left"/>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w:t>
      </w:r>
    </w:p>
    <w:p w14:paraId="2F76CA36">
      <w:pPr>
        <w:pStyle w:val="14"/>
        <w:snapToGrid w:val="0"/>
        <w:ind w:firstLine="480"/>
        <w:jc w:val="left"/>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相关供应商：</w:t>
      </w:r>
    </w:p>
    <w:p w14:paraId="73530D90">
      <w:pPr>
        <w:pStyle w:val="14"/>
        <w:snapToGrid w:val="0"/>
        <w:ind w:firstLine="480"/>
        <w:jc w:val="left"/>
        <w:rPr>
          <w:rFonts w:asciiTheme="minorEastAsia" w:hAnsiTheme="minorEastAsia" w:eastAsiaTheme="minorEastAsia"/>
          <w:bCs/>
          <w:color w:val="auto"/>
          <w:sz w:val="24"/>
          <w:szCs w:val="24"/>
          <w:highlight w:val="none"/>
          <w:u w:val="single"/>
        </w:rPr>
      </w:pPr>
      <w:r>
        <w:rPr>
          <w:rFonts w:asciiTheme="minorEastAsia" w:hAnsiTheme="minorEastAsia" w:eastAsiaTheme="minorEastAsia"/>
          <w:bCs/>
          <w:color w:val="auto"/>
          <w:sz w:val="24"/>
          <w:szCs w:val="24"/>
          <w:highlight w:val="none"/>
        </w:rPr>
        <w:t>地址</w:t>
      </w:r>
      <w:r>
        <w:rPr>
          <w:rFonts w:hint="eastAsia" w:asciiTheme="minorEastAsia" w:hAnsiTheme="minorEastAsia" w:eastAsiaTheme="minorEastAsia"/>
          <w:bCs/>
          <w:color w:val="auto"/>
          <w:sz w:val="24"/>
          <w:szCs w:val="24"/>
          <w:highlight w:val="none"/>
        </w:rPr>
        <w:t>：</w:t>
      </w:r>
      <w:r>
        <w:rPr>
          <w:rFonts w:asciiTheme="minorEastAsia" w:hAnsiTheme="minorEastAsia" w:eastAsiaTheme="minorEastAsia"/>
          <w:bCs/>
          <w:color w:val="auto"/>
          <w:sz w:val="24"/>
          <w:szCs w:val="24"/>
          <w:highlight w:val="none"/>
        </w:rPr>
        <w:t>邮编</w:t>
      </w:r>
      <w:r>
        <w:rPr>
          <w:rFonts w:hint="eastAsia" w:asciiTheme="minorEastAsia" w:hAnsiTheme="minorEastAsia" w:eastAsiaTheme="minorEastAsia"/>
          <w:bCs/>
          <w:color w:val="auto"/>
          <w:sz w:val="24"/>
          <w:szCs w:val="24"/>
          <w:highlight w:val="none"/>
        </w:rPr>
        <w:t>：</w:t>
      </w:r>
    </w:p>
    <w:p w14:paraId="653035FE">
      <w:pPr>
        <w:pStyle w:val="14"/>
        <w:snapToGrid w:val="0"/>
        <w:ind w:firstLine="480"/>
        <w:jc w:val="left"/>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联系人：</w:t>
      </w:r>
      <w:r>
        <w:rPr>
          <w:rFonts w:asciiTheme="minorEastAsia" w:hAnsiTheme="minorEastAsia" w:eastAsiaTheme="minorEastAsia"/>
          <w:bCs/>
          <w:color w:val="auto"/>
          <w:sz w:val="24"/>
          <w:szCs w:val="24"/>
          <w:highlight w:val="none"/>
        </w:rPr>
        <w:t>联系</w:t>
      </w:r>
      <w:r>
        <w:rPr>
          <w:rFonts w:hint="eastAsia" w:asciiTheme="minorEastAsia" w:hAnsiTheme="minorEastAsia" w:eastAsiaTheme="minorEastAsia"/>
          <w:bCs/>
          <w:color w:val="auto"/>
          <w:sz w:val="24"/>
          <w:szCs w:val="24"/>
          <w:highlight w:val="none"/>
        </w:rPr>
        <w:t>电话：</w:t>
      </w:r>
    </w:p>
    <w:p w14:paraId="66840191">
      <w:pPr>
        <w:pStyle w:val="14"/>
        <w:snapToGrid w:val="0"/>
        <w:ind w:firstLine="482"/>
        <w:outlineLvl w:val="1"/>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二、投诉项目基本情况：</w:t>
      </w:r>
    </w:p>
    <w:p w14:paraId="50832B97">
      <w:pPr>
        <w:pStyle w:val="14"/>
        <w:ind w:left="25" w:leftChars="1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采购</w:t>
      </w:r>
      <w:r>
        <w:rPr>
          <w:rFonts w:hint="eastAsia" w:asciiTheme="minorEastAsia" w:hAnsiTheme="minorEastAsia" w:eastAsiaTheme="minorEastAsia"/>
          <w:color w:val="auto"/>
          <w:sz w:val="24"/>
          <w:szCs w:val="24"/>
          <w:highlight w:val="none"/>
        </w:rPr>
        <w:t>项目的名称：</w:t>
      </w:r>
    </w:p>
    <w:p w14:paraId="38C507D4">
      <w:pPr>
        <w:pStyle w:val="14"/>
        <w:ind w:left="25" w:leftChars="1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采购</w:t>
      </w:r>
      <w:r>
        <w:rPr>
          <w:rFonts w:hint="eastAsia" w:asciiTheme="minorEastAsia" w:hAnsiTheme="minorEastAsia" w:eastAsiaTheme="minorEastAsia"/>
          <w:color w:val="auto"/>
          <w:sz w:val="24"/>
          <w:szCs w:val="24"/>
          <w:highlight w:val="none"/>
        </w:rPr>
        <w:t>项目的编号：</w:t>
      </w:r>
    </w:p>
    <w:p w14:paraId="21EB0080">
      <w:pPr>
        <w:pStyle w:val="14"/>
        <w:ind w:left="25" w:leftChars="12" w:firstLine="48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color w:val="auto"/>
          <w:sz w:val="24"/>
          <w:szCs w:val="24"/>
          <w:highlight w:val="none"/>
        </w:rPr>
        <w:t>采购人名称：</w:t>
      </w:r>
    </w:p>
    <w:p w14:paraId="6E264270">
      <w:pPr>
        <w:pStyle w:val="14"/>
        <w:ind w:left="25" w:leftChars="12" w:firstLine="48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color w:val="auto"/>
          <w:sz w:val="24"/>
          <w:szCs w:val="24"/>
          <w:highlight w:val="none"/>
        </w:rPr>
        <w:t>代理机构名称：</w:t>
      </w:r>
    </w:p>
    <w:p w14:paraId="3472553B">
      <w:pPr>
        <w:pStyle w:val="14"/>
        <w:ind w:left="25" w:leftChars="12" w:firstLine="48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采购文件公告：</w:t>
      </w:r>
      <w:r>
        <w:rPr>
          <w:rFonts w:hint="eastAsia" w:asciiTheme="minorEastAsia" w:hAnsiTheme="minorEastAsia" w:eastAsiaTheme="minorEastAsia"/>
          <w:bCs/>
          <w:color w:val="auto"/>
          <w:sz w:val="24"/>
          <w:szCs w:val="24"/>
          <w:highlight w:val="none"/>
          <w:u w:val="single"/>
        </w:rPr>
        <w:t>是/否</w:t>
      </w:r>
      <w:r>
        <w:rPr>
          <w:rFonts w:hint="eastAsia" w:asciiTheme="minorEastAsia" w:hAnsiTheme="minorEastAsia" w:eastAsiaTheme="minorEastAsia"/>
          <w:bCs/>
          <w:color w:val="auto"/>
          <w:sz w:val="24"/>
          <w:szCs w:val="24"/>
          <w:highlight w:val="none"/>
        </w:rPr>
        <w:t>公告期限：</w:t>
      </w:r>
    </w:p>
    <w:p w14:paraId="680A124E">
      <w:pPr>
        <w:pStyle w:val="14"/>
        <w:ind w:left="25" w:leftChars="12" w:firstLine="480"/>
        <w:rPr>
          <w:rFonts w:asciiTheme="minorEastAsia" w:hAnsiTheme="minorEastAsia" w:eastAsiaTheme="minorEastAsia"/>
          <w:b/>
          <w:color w:val="auto"/>
          <w:sz w:val="24"/>
          <w:szCs w:val="24"/>
          <w:highlight w:val="none"/>
        </w:rPr>
      </w:pPr>
      <w:r>
        <w:rPr>
          <w:rFonts w:hint="eastAsia" w:asciiTheme="minorEastAsia" w:hAnsiTheme="minorEastAsia" w:eastAsiaTheme="minorEastAsia"/>
          <w:bCs/>
          <w:color w:val="auto"/>
          <w:sz w:val="24"/>
          <w:szCs w:val="24"/>
          <w:highlight w:val="none"/>
        </w:rPr>
        <w:t>采购结果公告：</w:t>
      </w:r>
      <w:r>
        <w:rPr>
          <w:rFonts w:hint="eastAsia" w:asciiTheme="minorEastAsia" w:hAnsiTheme="minorEastAsia" w:eastAsiaTheme="minorEastAsia"/>
          <w:bCs/>
          <w:color w:val="auto"/>
          <w:sz w:val="24"/>
          <w:szCs w:val="24"/>
          <w:highlight w:val="none"/>
          <w:u w:val="single"/>
        </w:rPr>
        <w:t>是/否</w:t>
      </w:r>
      <w:r>
        <w:rPr>
          <w:rFonts w:hint="eastAsia" w:asciiTheme="minorEastAsia" w:hAnsiTheme="minorEastAsia" w:eastAsiaTheme="minorEastAsia"/>
          <w:bCs/>
          <w:color w:val="auto"/>
          <w:sz w:val="24"/>
          <w:szCs w:val="24"/>
          <w:highlight w:val="none"/>
        </w:rPr>
        <w:t>公告期限：</w:t>
      </w:r>
    </w:p>
    <w:p w14:paraId="2B726EFA">
      <w:pPr>
        <w:pStyle w:val="14"/>
        <w:ind w:left="25" w:leftChars="12" w:firstLine="482"/>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三、质疑基本情况</w:t>
      </w:r>
    </w:p>
    <w:p w14:paraId="18CCE2D7">
      <w:pPr>
        <w:pStyle w:val="14"/>
        <w:ind w:left="25" w:leftChars="1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投诉人于年月日，向提出质疑，质疑事项为：</w:t>
      </w:r>
    </w:p>
    <w:p w14:paraId="15386556">
      <w:pPr>
        <w:pStyle w:val="14"/>
        <w:ind w:firstLine="480"/>
        <w:rPr>
          <w:rFonts w:asciiTheme="minorEastAsia" w:hAnsiTheme="minorEastAsia" w:eastAsiaTheme="minorEastAsia"/>
          <w:bCs/>
          <w:color w:val="auto"/>
          <w:sz w:val="24"/>
          <w:szCs w:val="24"/>
          <w:highlight w:val="none"/>
          <w:u w:val="single"/>
        </w:rPr>
      </w:pPr>
    </w:p>
    <w:p w14:paraId="19FC290F">
      <w:pPr>
        <w:pStyle w:val="14"/>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u w:val="single"/>
        </w:rPr>
        <w:t>采购人/代理机构</w:t>
      </w:r>
      <w:r>
        <w:rPr>
          <w:rFonts w:hint="eastAsia" w:asciiTheme="minorEastAsia" w:hAnsiTheme="minorEastAsia" w:eastAsiaTheme="minorEastAsia"/>
          <w:bCs/>
          <w:color w:val="auto"/>
          <w:sz w:val="24"/>
          <w:szCs w:val="24"/>
          <w:highlight w:val="none"/>
        </w:rPr>
        <w:t>于</w:t>
      </w:r>
      <w:r>
        <w:rPr>
          <w:rFonts w:hint="eastAsia" w:asciiTheme="minorEastAsia" w:hAnsiTheme="minorEastAsia" w:eastAsiaTheme="minorEastAsia"/>
          <w:color w:val="auto"/>
          <w:sz w:val="24"/>
          <w:szCs w:val="24"/>
          <w:highlight w:val="none"/>
        </w:rPr>
        <w:t>年月日，</w:t>
      </w:r>
      <w:r>
        <w:rPr>
          <w:rFonts w:hint="eastAsia" w:asciiTheme="minorEastAsia" w:hAnsiTheme="minorEastAsia" w:eastAsiaTheme="minorEastAsia"/>
          <w:bCs/>
          <w:color w:val="auto"/>
          <w:sz w:val="24"/>
          <w:szCs w:val="24"/>
          <w:highlight w:val="none"/>
        </w:rPr>
        <w:t xml:space="preserve">就质疑事项作出了答复/没有在法定期限内作出答复。                                                                                             </w:t>
      </w:r>
    </w:p>
    <w:p w14:paraId="07EB703F">
      <w:pPr>
        <w:pStyle w:val="14"/>
        <w:ind w:left="25" w:leftChars="12" w:firstLine="482"/>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四、投诉事项具体内容</w:t>
      </w:r>
    </w:p>
    <w:p w14:paraId="1FC96D34">
      <w:pPr>
        <w:pStyle w:val="14"/>
        <w:ind w:left="25" w:leftChars="12" w:firstLine="48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color w:val="auto"/>
          <w:sz w:val="24"/>
          <w:szCs w:val="24"/>
          <w:highlight w:val="none"/>
        </w:rPr>
        <w:t>投诉事项1：</w:t>
      </w:r>
    </w:p>
    <w:p w14:paraId="35DFCBB1">
      <w:pPr>
        <w:pStyle w:val="14"/>
        <w:ind w:firstLine="48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事实依据：</w:t>
      </w:r>
    </w:p>
    <w:p w14:paraId="3FE41048">
      <w:pPr>
        <w:pStyle w:val="14"/>
        <w:ind w:firstLine="48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bCs/>
          <w:color w:val="auto"/>
          <w:sz w:val="24"/>
          <w:szCs w:val="24"/>
          <w:highlight w:val="none"/>
        </w:rPr>
        <w:t>法律依据：</w:t>
      </w:r>
    </w:p>
    <w:p w14:paraId="7B59A9DC">
      <w:pPr>
        <w:pStyle w:val="14"/>
        <w:ind w:left="25" w:leftChars="12" w:firstLine="480"/>
        <w:rPr>
          <w:rFonts w:asciiTheme="minorEastAsia" w:hAnsiTheme="minorEastAsia" w:eastAsiaTheme="minorEastAsia"/>
          <w:bCs/>
          <w:color w:val="auto"/>
          <w:sz w:val="24"/>
          <w:szCs w:val="24"/>
          <w:highlight w:val="none"/>
        </w:rPr>
      </w:pPr>
      <w:r>
        <w:rPr>
          <w:rFonts w:hint="eastAsia" w:asciiTheme="minorEastAsia" w:hAnsiTheme="minorEastAsia" w:eastAsiaTheme="minorEastAsia"/>
          <w:color w:val="auto"/>
          <w:sz w:val="24"/>
          <w:szCs w:val="24"/>
          <w:highlight w:val="none"/>
        </w:rPr>
        <w:t xml:space="preserve">投诉事项2  </w:t>
      </w:r>
    </w:p>
    <w:p w14:paraId="626B4B61">
      <w:pPr>
        <w:pStyle w:val="14"/>
        <w:ind w:left="25" w:leftChars="12" w:firstLine="480"/>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w:t>
      </w:r>
    </w:p>
    <w:p w14:paraId="021DDFA6">
      <w:pPr>
        <w:pStyle w:val="14"/>
        <w:ind w:left="25" w:leftChars="12" w:firstLine="482"/>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五、与投诉事项相关的投诉请求：</w:t>
      </w:r>
    </w:p>
    <w:p w14:paraId="1BA241B3">
      <w:pPr>
        <w:pStyle w:val="14"/>
        <w:ind w:left="25" w:leftChars="1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请求：</w:t>
      </w:r>
    </w:p>
    <w:p w14:paraId="0852175B">
      <w:pPr>
        <w:pStyle w:val="14"/>
        <w:ind w:left="25" w:leftChars="12" w:firstLine="480"/>
        <w:rPr>
          <w:rFonts w:asciiTheme="minorEastAsia" w:hAnsiTheme="minorEastAsia" w:eastAsiaTheme="minorEastAsia"/>
          <w:color w:val="auto"/>
          <w:sz w:val="24"/>
          <w:szCs w:val="24"/>
          <w:highlight w:val="none"/>
        </w:rPr>
      </w:pPr>
    </w:p>
    <w:p w14:paraId="1DD78DB7">
      <w:pPr>
        <w:pStyle w:val="14"/>
        <w:ind w:left="25" w:leftChars="1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签字（签章）：                                       公章：</w:t>
      </w:r>
    </w:p>
    <w:p w14:paraId="50A838C3">
      <w:pPr>
        <w:pStyle w:val="14"/>
        <w:ind w:left="25" w:leftChars="12" w:firstLine="480"/>
        <w:rPr>
          <w:rFonts w:asciiTheme="minorEastAsia" w:hAnsiTheme="minorEastAsia" w:eastAsiaTheme="minorEastAsia"/>
          <w:color w:val="auto"/>
          <w:sz w:val="24"/>
          <w:szCs w:val="24"/>
          <w:highlight w:val="none"/>
        </w:rPr>
      </w:pPr>
    </w:p>
    <w:p w14:paraId="6A5EE1FC">
      <w:pPr>
        <w:pStyle w:val="14"/>
        <w:ind w:left="25" w:leftChars="1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日期：</w:t>
      </w:r>
    </w:p>
    <w:p w14:paraId="430006BE">
      <w:pPr>
        <w:pStyle w:val="14"/>
        <w:ind w:left="25" w:leftChars="12" w:firstLine="472" w:firstLineChars="197"/>
        <w:rPr>
          <w:rFonts w:asciiTheme="minorEastAsia" w:hAnsiTheme="minorEastAsia" w:eastAsiaTheme="minorEastAsia"/>
          <w:color w:val="auto"/>
          <w:sz w:val="24"/>
          <w:szCs w:val="24"/>
          <w:highlight w:val="none"/>
        </w:rPr>
      </w:pPr>
    </w:p>
    <w:p w14:paraId="5D59D9C8">
      <w:pPr>
        <w:pStyle w:val="14"/>
        <w:snapToGrid w:val="0"/>
        <w:ind w:firstLine="482"/>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说明：</w:t>
      </w:r>
    </w:p>
    <w:p w14:paraId="70E0D864">
      <w:pPr>
        <w:pStyle w:val="14"/>
        <w:ind w:left="25" w:leftChars="12" w:firstLine="354" w:firstLineChars="147"/>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b/>
          <w:bCs/>
          <w:color w:val="auto"/>
          <w:sz w:val="24"/>
          <w:szCs w:val="24"/>
          <w:highlight w:val="none"/>
        </w:rPr>
        <w:t>。</w:t>
      </w:r>
    </w:p>
    <w:p w14:paraId="5F6A3FAE">
      <w:pPr>
        <w:pStyle w:val="14"/>
        <w:ind w:left="25" w:leftChars="12" w:firstLine="354" w:firstLineChars="147"/>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07DBBEB">
      <w:pPr>
        <w:pStyle w:val="14"/>
        <w:ind w:left="25" w:leftChars="12" w:firstLine="354" w:firstLineChars="147"/>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3.投诉书应简要列明质疑事项，质疑函、质疑答复等作为附件材料提供。</w:t>
      </w:r>
    </w:p>
    <w:p w14:paraId="1CE2ECDA">
      <w:pPr>
        <w:pStyle w:val="14"/>
        <w:ind w:left="25" w:leftChars="12" w:firstLine="354" w:firstLineChars="147"/>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4.投诉书的投诉事项应具体、明确，并有必要的事实依据和法律依据。</w:t>
      </w:r>
    </w:p>
    <w:p w14:paraId="2D8779AD">
      <w:pPr>
        <w:pStyle w:val="14"/>
        <w:ind w:left="25" w:leftChars="12" w:firstLine="354" w:firstLineChars="147"/>
        <w:outlineLvl w:val="2"/>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5.投诉书的投诉请求应与投诉事项相关。</w:t>
      </w:r>
    </w:p>
    <w:p w14:paraId="14549207">
      <w:pPr>
        <w:pStyle w:val="14"/>
        <w:ind w:left="25" w:leftChars="12" w:firstLine="354" w:firstLineChars="147"/>
        <w:rPr>
          <w:rFonts w:asciiTheme="minorEastAsia" w:hAnsiTheme="minorEastAsia" w:eastAsiaTheme="minorEastAsia"/>
          <w:b/>
          <w:color w:val="auto"/>
          <w:highlight w:val="none"/>
        </w:rPr>
      </w:pPr>
      <w:r>
        <w:rPr>
          <w:rFonts w:hint="eastAsia" w:asciiTheme="minorEastAsia" w:hAnsiTheme="minorEastAsia" w:eastAsiaTheme="minorEastAsia"/>
          <w:b/>
          <w:color w:val="auto"/>
          <w:sz w:val="24"/>
          <w:szCs w:val="24"/>
          <w:highlight w:val="none"/>
        </w:rPr>
        <w:t>6.投诉人为法人或者其他组织的，投诉书应由法定代表人、主要负责人，或者其授权代表签字或者盖章，并加盖公章。</w:t>
      </w:r>
    </w:p>
    <w:p w14:paraId="1D2BBDCA">
      <w:pPr>
        <w:rPr>
          <w:rFonts w:asciiTheme="minorEastAsia" w:hAnsiTheme="minorEastAsia" w:eastAsiaTheme="minorEastAsia"/>
          <w:color w:val="auto"/>
          <w:highlight w:val="none"/>
        </w:rPr>
      </w:pPr>
    </w:p>
    <w:sectPr>
      <w:footerReference r:id="rId19" w:type="first"/>
      <w:headerReference r:id="rId16" w:type="default"/>
      <w:footerReference r:id="rId17" w:type="default"/>
      <w:footerReference r:id="rId18"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95E281E-BF31-4373-8DE7-632DE0A82E65}"/>
  </w:font>
  <w:font w:name="黑体">
    <w:panose1 w:val="02010609060101010101"/>
    <w:charset w:val="86"/>
    <w:family w:val="auto"/>
    <w:pitch w:val="default"/>
    <w:sig w:usb0="800002BF" w:usb1="38CF7CFA" w:usb2="00000016" w:usb3="00000000" w:csb0="00040001" w:csb1="00000000"/>
    <w:embedRegular r:id="rId2" w:fontKey="{64C1C33E-BE80-49FC-9E8A-8B2BED846963}"/>
  </w:font>
  <w:font w:name="Courier New">
    <w:panose1 w:val="02070309020205020404"/>
    <w:charset w:val="01"/>
    <w:family w:val="modern"/>
    <w:pitch w:val="default"/>
    <w:sig w:usb0="E0002EFF" w:usb1="C0007843" w:usb2="00000009" w:usb3="00000000" w:csb0="400001FF" w:csb1="FFFF0000"/>
    <w:embedRegular r:id="rId3" w:fontKey="{5B25C3D8-DB02-444C-A0B9-46AF2681055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81A6B8E-0556-412C-876E-267F7FFC72D9}"/>
  </w:font>
  <w:font w:name="Ђˎ̥">
    <w:altName w:val="宋体"/>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632F0E9F-B3FF-498B-A68A-4B4DAC4D0FEE}"/>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embedRegular r:id="rId6" w:fontKey="{ECC1BFD7-0D6C-4645-A6C0-F6E29459BBFF}"/>
  </w:font>
  <w:font w:name="微软雅黑">
    <w:panose1 w:val="020B0503020204020204"/>
    <w:charset w:val="86"/>
    <w:family w:val="swiss"/>
    <w:pitch w:val="default"/>
    <w:sig w:usb0="80000287" w:usb1="2ACF3C50" w:usb2="00000016" w:usb3="00000000" w:csb0="0004001F" w:csb1="00000000"/>
    <w:embedRegular r:id="rId7" w:fontKey="{7963AF00-FEE4-42E3-8E99-FB8581AD2678}"/>
  </w:font>
  <w:font w:name="Arial Unicode MS">
    <w:altName w:val="Arial"/>
    <w:panose1 w:val="020B0604020202020204"/>
    <w:charset w:val="00"/>
    <w:family w:val="roman"/>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0" w:csb1="00000000"/>
    <w:embedRegular r:id="rId8" w:fontKey="{270877F3-DAF6-4980-A762-8CDAF97A4D6A}"/>
  </w:font>
  <w:font w:name="方正小标宋简体">
    <w:panose1 w:val="02000000000000000000"/>
    <w:charset w:val="86"/>
    <w:family w:val="auto"/>
    <w:pitch w:val="default"/>
    <w:sig w:usb0="A00002BF" w:usb1="184F6CFA" w:usb2="00000012" w:usb3="00000000" w:csb0="00040001" w:csb1="00000000"/>
    <w:embedRegular r:id="rId9" w:fontKey="{6F3BFFF5-6661-4CC9-855D-28F40D99F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FCDBB">
    <w:pPr>
      <w:spacing w:line="182" w:lineRule="auto"/>
      <w:ind w:left="4076"/>
      <w:rPr>
        <w:rFonts w:hint="eastAsia" w:ascii="Arial" w:hAnsi="Arial" w:cs="Arial" w:eastAsiaTheme="minorEastAsia"/>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C3B6">
    <w:pPr>
      <w:pStyle w:val="16"/>
      <w:jc w:val="center"/>
    </w:pPr>
    <w:r>
      <w:rPr>
        <w:sz w:val="18"/>
      </w:rPr>
      <w:pict>
        <v:shape id="_x0000_s2055" o:spid="_x0000_s205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70C65B0E">
                <w:pPr>
                  <w:pStyle w:val="16"/>
                  <w:jc w:val="center"/>
                </w:pPr>
                <w:r>
                  <w:fldChar w:fldCharType="begin"/>
                </w:r>
                <w:r>
                  <w:instrText xml:space="preserve">PAGE   \* MERGEFORMAT</w:instrText>
                </w:r>
                <w:r>
                  <w:fldChar w:fldCharType="separate"/>
                </w:r>
                <w:r>
                  <w:rPr>
                    <w:lang w:val="zh-CN"/>
                  </w:rPr>
                  <w:t>83</w:t>
                </w:r>
                <w:r>
                  <w:rPr>
                    <w:lang w:val="zh-CN"/>
                  </w:rPr>
                  <w:fldChar w:fldCharType="end"/>
                </w:r>
              </w:p>
            </w:txbxContent>
          </v:textbox>
        </v:shape>
      </w:pict>
    </w:r>
  </w:p>
  <w:p w14:paraId="77F0ED7E">
    <w:pPr>
      <w:pStyle w:val="16"/>
      <w:ind w:right="360"/>
      <w:jc w:val="both"/>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1046">
    <w:pPr>
      <w:pStyle w:val="16"/>
      <w:jc w:val="center"/>
    </w:pPr>
    <w:r>
      <w:rPr>
        <w:sz w:val="18"/>
      </w:rPr>
      <w:pict>
        <v:shape id="_x0000_s2056" o:spid="_x0000_s2056"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2DDBE051">
                <w:pPr>
                  <w:pStyle w:val="16"/>
                  <w:jc w:val="center"/>
                </w:pPr>
                <w:r>
                  <w:fldChar w:fldCharType="begin"/>
                </w:r>
                <w:r>
                  <w:instrText xml:space="preserve"> PAGE   \* MERGEFORMAT </w:instrText>
                </w:r>
                <w:r>
                  <w:fldChar w:fldCharType="separate"/>
                </w:r>
                <w:r>
                  <w:rPr>
                    <w:lang w:val="zh-CN"/>
                  </w:rPr>
                  <w:t>107</w:t>
                </w:r>
                <w:r>
                  <w:rPr>
                    <w:lang w:val="zh-CN"/>
                  </w:rPr>
                  <w:fldChar w:fldCharType="end"/>
                </w:r>
              </w:p>
            </w:txbxContent>
          </v:textbox>
        </v:shape>
      </w:pict>
    </w:r>
  </w:p>
  <w:p w14:paraId="656133E6">
    <w:pPr>
      <w:pStyle w:val="1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F38DA">
    <w:pPr>
      <w:pStyle w:val="16"/>
      <w:framePr w:wrap="around" w:vAnchor="text" w:hAnchor="margin" w:xAlign="center" w:y="1"/>
      <w:rPr>
        <w:rStyle w:val="26"/>
      </w:rPr>
    </w:pPr>
    <w:r>
      <w:fldChar w:fldCharType="begin"/>
    </w:r>
    <w:r>
      <w:rPr>
        <w:rStyle w:val="26"/>
      </w:rPr>
      <w:instrText xml:space="preserve">PAGE  </w:instrText>
    </w:r>
    <w:r>
      <w:fldChar w:fldCharType="end"/>
    </w:r>
  </w:p>
  <w:p w14:paraId="37B0C955">
    <w:pPr>
      <w:pStyle w:val="1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BA7B3">
    <w:pPr>
      <w:pStyle w:val="16"/>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948D9">
    <w:pPr>
      <w:spacing w:line="182" w:lineRule="auto"/>
      <w:ind w:left="4076"/>
      <w:rPr>
        <w:rFonts w:hint="eastAsia" w:ascii="Arial" w:hAnsi="Arial" w:cs="Arial" w:eastAsiaTheme="minorEastAsia"/>
        <w:sz w:val="18"/>
        <w:szCs w:val="18"/>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385C18DB">
                <w:pPr>
                  <w:pStyle w:val="16"/>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D5B00">
    <w:pPr>
      <w:pStyle w:val="16"/>
      <w:jc w:val="center"/>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F671A51">
                <w:pPr>
                  <w:pStyle w:val="16"/>
                  <w:jc w:val="center"/>
                </w:pPr>
                <w:r>
                  <w:fldChar w:fldCharType="begin"/>
                </w:r>
                <w:r>
                  <w:instrText xml:space="preserve"> PAGE   \* MERGEFORMAT </w:instrText>
                </w:r>
                <w:r>
                  <w:fldChar w:fldCharType="separate"/>
                </w:r>
                <w:r>
                  <w:rPr>
                    <w:lang w:val="zh-CN"/>
                  </w:rPr>
                  <w:t>78</w:t>
                </w:r>
                <w:r>
                  <w:rPr>
                    <w:lang w:val="zh-CN"/>
                  </w:rPr>
                  <w:fldChar w:fldCharType="end"/>
                </w:r>
              </w:p>
            </w:txbxContent>
          </v:textbox>
        </v:shape>
      </w:pict>
    </w:r>
  </w:p>
  <w:p w14:paraId="0DDB4587">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9CA62">
    <w:pPr>
      <w:pStyle w:val="16"/>
      <w:framePr w:wrap="around" w:vAnchor="text" w:hAnchor="margin" w:xAlign="center" w:y="1"/>
      <w:rPr>
        <w:rStyle w:val="26"/>
      </w:rPr>
    </w:pPr>
    <w:r>
      <w:fldChar w:fldCharType="begin"/>
    </w:r>
    <w:r>
      <w:rPr>
        <w:rStyle w:val="26"/>
      </w:rPr>
      <w:instrText xml:space="preserve">PAGE  </w:instrText>
    </w:r>
    <w:r>
      <w:fldChar w:fldCharType="end"/>
    </w:r>
  </w:p>
  <w:p w14:paraId="335AB315">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72A08">
    <w:pPr>
      <w:pStyle w:val="16"/>
      <w:jc w:val="cente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236491B9">
                <w:pPr>
                  <w:pStyle w:val="16"/>
                  <w:jc w:val="center"/>
                </w:pPr>
                <w:r>
                  <w:fldChar w:fldCharType="begin"/>
                </w:r>
                <w:r>
                  <w:instrText xml:space="preserve">PAGE   \* MERGEFORMAT</w:instrText>
                </w:r>
                <w:r>
                  <w:fldChar w:fldCharType="separate"/>
                </w:r>
                <w:r>
                  <w:rPr>
                    <w:lang w:val="zh-CN"/>
                  </w:rPr>
                  <w:t>72</w:t>
                </w:r>
                <w:r>
                  <w:rPr>
                    <w:lang w:val="zh-CN"/>
                  </w:rPr>
                  <w:fldChar w:fldCharType="end"/>
                </w:r>
              </w:p>
            </w:txbxContent>
          </v:textbox>
        </v:shape>
      </w:pict>
    </w:r>
  </w:p>
  <w:p w14:paraId="53677D7D">
    <w:pPr>
      <w:pStyle w:val="16"/>
      <w:ind w:right="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18B9C">
    <w:pPr>
      <w:pStyle w:val="16"/>
      <w:jc w:val="cente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03067EE9">
                <w:pPr>
                  <w:pStyle w:val="16"/>
                  <w:jc w:val="center"/>
                </w:pPr>
                <w:r>
                  <w:fldChar w:fldCharType="begin"/>
                </w:r>
                <w:r>
                  <w:instrText xml:space="preserve"> PAGE   \* MERGEFORMAT </w:instrText>
                </w:r>
                <w:r>
                  <w:fldChar w:fldCharType="separate"/>
                </w:r>
                <w:r>
                  <w:rPr>
                    <w:lang w:val="zh-CN"/>
                  </w:rPr>
                  <w:t>80</w:t>
                </w:r>
                <w:r>
                  <w:rPr>
                    <w:lang w:val="zh-CN"/>
                  </w:rPr>
                  <w:fldChar w:fldCharType="end"/>
                </w:r>
              </w:p>
            </w:txbxContent>
          </v:textbox>
        </v:shape>
      </w:pict>
    </w:r>
  </w:p>
  <w:p w14:paraId="197B4577">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B221A">
    <w:pPr>
      <w:pStyle w:val="16"/>
      <w:jc w:val="cente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BFCDDFB">
                <w:pPr>
                  <w:pStyle w:val="16"/>
                  <w:jc w:val="center"/>
                </w:pPr>
                <w:r>
                  <w:fldChar w:fldCharType="begin"/>
                </w:r>
                <w:r>
                  <w:instrText xml:space="preserve">PAGE   \* MERGEFORMAT</w:instrText>
                </w:r>
                <w:r>
                  <w:fldChar w:fldCharType="separate"/>
                </w:r>
                <w:r>
                  <w:rPr>
                    <w:lang w:val="zh-CN"/>
                  </w:rPr>
                  <w:t>79</w:t>
                </w:r>
                <w:r>
                  <w:rPr>
                    <w:lang w:val="zh-CN"/>
                  </w:rPr>
                  <w:fldChar w:fldCharType="end"/>
                </w:r>
              </w:p>
            </w:txbxContent>
          </v:textbox>
        </v:shape>
      </w:pict>
    </w:r>
  </w:p>
  <w:p w14:paraId="005FE295">
    <w:pPr>
      <w:pStyle w:val="16"/>
      <w:ind w:right="360"/>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ECFA0">
    <w:pPr>
      <w:pStyle w:val="16"/>
      <w:jc w:val="center"/>
    </w:pPr>
    <w:r>
      <w:rPr>
        <w:sz w:val="18"/>
      </w:rPr>
      <w:pict>
        <v:shape id="_x0000_s2054" o:spid="_x0000_s205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1CB5CF7E">
                <w:pPr>
                  <w:pStyle w:val="16"/>
                  <w:jc w:val="center"/>
                </w:pPr>
                <w:r>
                  <w:fldChar w:fldCharType="begin"/>
                </w:r>
                <w:r>
                  <w:instrText xml:space="preserve"> PAGE   \* MERGEFORMAT </w:instrText>
                </w:r>
                <w:r>
                  <w:fldChar w:fldCharType="separate"/>
                </w:r>
                <w:r>
                  <w:rPr>
                    <w:lang w:val="zh-CN"/>
                  </w:rPr>
                  <w:t>95</w:t>
                </w:r>
                <w:r>
                  <w:rPr>
                    <w:lang w:val="zh-CN"/>
                  </w:rPr>
                  <w:fldChar w:fldCharType="end"/>
                </w:r>
              </w:p>
            </w:txbxContent>
          </v:textbox>
        </v:shape>
      </w:pict>
    </w:r>
  </w:p>
  <w:p w14:paraId="1F100607">
    <w:pPr>
      <w:pStyle w:val="1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02AF">
    <w:pPr>
      <w:pStyle w:val="16"/>
      <w:framePr w:wrap="around" w:vAnchor="text" w:hAnchor="margin" w:xAlign="center" w:y="1"/>
      <w:rPr>
        <w:rStyle w:val="26"/>
      </w:rPr>
    </w:pPr>
    <w:r>
      <w:fldChar w:fldCharType="begin"/>
    </w:r>
    <w:r>
      <w:rPr>
        <w:rStyle w:val="26"/>
      </w:rPr>
      <w:instrText xml:space="preserve">PAGE  </w:instrText>
    </w:r>
    <w:r>
      <w:fldChar w:fldCharType="end"/>
    </w:r>
  </w:p>
  <w:p w14:paraId="1BEDE9D6">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EB412">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748B4">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532A8">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A425">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1183A0"/>
    <w:multiLevelType w:val="singleLevel"/>
    <w:tmpl w:val="1F1183A0"/>
    <w:lvl w:ilvl="0" w:tentative="0">
      <w:start w:val="1"/>
      <w:numFmt w:val="decimal"/>
      <w:lvlText w:val="%1."/>
      <w:lvlJc w:val="left"/>
      <w:pPr>
        <w:ind w:left="425" w:hanging="425"/>
      </w:pPr>
      <w:rPr>
        <w:rFonts w:hint="default"/>
      </w:rPr>
    </w:lvl>
  </w:abstractNum>
  <w:abstractNum w:abstractNumId="1">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4C601917"/>
    <w:multiLevelType w:val="singleLevel"/>
    <w:tmpl w:val="4C601917"/>
    <w:lvl w:ilvl="0" w:tentative="0">
      <w:start w:val="1"/>
      <w:numFmt w:val="decimal"/>
      <w:suff w:val="nothing"/>
      <w:lvlText w:val="（%1）"/>
      <w:lvlJc w:val="left"/>
      <w:pPr>
        <w:ind w:left="-2"/>
      </w:pPr>
    </w:lvl>
  </w:abstractNum>
  <w:abstractNum w:abstractNumId="3">
    <w:nsid w:val="5FABD14B"/>
    <w:multiLevelType w:val="singleLevel"/>
    <w:tmpl w:val="5FABD14B"/>
    <w:lvl w:ilvl="0" w:tentative="0">
      <w:start w:val="1"/>
      <w:numFmt w:val="decimal"/>
      <w:suff w:val="nothing"/>
      <w:lvlText w:val="（%1）"/>
      <w:lvlJc w:val="left"/>
    </w:lvl>
  </w:abstractNum>
  <w:abstractNum w:abstractNumId="4">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E1YjBhOGI3YWRkZWYyOTQwYjdhY2VlOTZlNTVhMTkifQ=="/>
  </w:docVars>
  <w:rsids>
    <w:rsidRoot w:val="00172A27"/>
    <w:rsid w:val="00000C29"/>
    <w:rsid w:val="000014EE"/>
    <w:rsid w:val="0000291E"/>
    <w:rsid w:val="00002A89"/>
    <w:rsid w:val="00002ED0"/>
    <w:rsid w:val="00003F93"/>
    <w:rsid w:val="0000534B"/>
    <w:rsid w:val="00005C20"/>
    <w:rsid w:val="000075AB"/>
    <w:rsid w:val="00007898"/>
    <w:rsid w:val="00007E79"/>
    <w:rsid w:val="000108FE"/>
    <w:rsid w:val="000111F2"/>
    <w:rsid w:val="000112B3"/>
    <w:rsid w:val="00011732"/>
    <w:rsid w:val="000138FF"/>
    <w:rsid w:val="00013A20"/>
    <w:rsid w:val="0001670A"/>
    <w:rsid w:val="000168F8"/>
    <w:rsid w:val="00016D8F"/>
    <w:rsid w:val="0001783A"/>
    <w:rsid w:val="00017D79"/>
    <w:rsid w:val="00017FCE"/>
    <w:rsid w:val="00020713"/>
    <w:rsid w:val="00020F7C"/>
    <w:rsid w:val="000217BD"/>
    <w:rsid w:val="00021D54"/>
    <w:rsid w:val="00022379"/>
    <w:rsid w:val="00022F34"/>
    <w:rsid w:val="00023AEA"/>
    <w:rsid w:val="00023B45"/>
    <w:rsid w:val="00025357"/>
    <w:rsid w:val="000261FC"/>
    <w:rsid w:val="000270FE"/>
    <w:rsid w:val="00027AF6"/>
    <w:rsid w:val="00031435"/>
    <w:rsid w:val="00032214"/>
    <w:rsid w:val="0003459A"/>
    <w:rsid w:val="00034B9A"/>
    <w:rsid w:val="00035255"/>
    <w:rsid w:val="00035576"/>
    <w:rsid w:val="000374C7"/>
    <w:rsid w:val="00037E39"/>
    <w:rsid w:val="00040124"/>
    <w:rsid w:val="00040DFE"/>
    <w:rsid w:val="000423CE"/>
    <w:rsid w:val="000424DF"/>
    <w:rsid w:val="00042638"/>
    <w:rsid w:val="00042C8E"/>
    <w:rsid w:val="000447F5"/>
    <w:rsid w:val="0004674B"/>
    <w:rsid w:val="00046B5B"/>
    <w:rsid w:val="000501DF"/>
    <w:rsid w:val="00050AEA"/>
    <w:rsid w:val="00050F81"/>
    <w:rsid w:val="00052A79"/>
    <w:rsid w:val="00052FD5"/>
    <w:rsid w:val="00053283"/>
    <w:rsid w:val="00053365"/>
    <w:rsid w:val="00054C16"/>
    <w:rsid w:val="00054C9C"/>
    <w:rsid w:val="000577FF"/>
    <w:rsid w:val="000609C9"/>
    <w:rsid w:val="00061468"/>
    <w:rsid w:val="000638FA"/>
    <w:rsid w:val="0006447B"/>
    <w:rsid w:val="00066AC4"/>
    <w:rsid w:val="00067777"/>
    <w:rsid w:val="0007047A"/>
    <w:rsid w:val="00070F0B"/>
    <w:rsid w:val="00071DD1"/>
    <w:rsid w:val="00071ED1"/>
    <w:rsid w:val="00074193"/>
    <w:rsid w:val="00074758"/>
    <w:rsid w:val="000771A5"/>
    <w:rsid w:val="0008044B"/>
    <w:rsid w:val="000805E7"/>
    <w:rsid w:val="00082CA0"/>
    <w:rsid w:val="00084A92"/>
    <w:rsid w:val="00087691"/>
    <w:rsid w:val="0008785F"/>
    <w:rsid w:val="0009065C"/>
    <w:rsid w:val="0009178C"/>
    <w:rsid w:val="000919F8"/>
    <w:rsid w:val="00091A09"/>
    <w:rsid w:val="0009263C"/>
    <w:rsid w:val="0009313B"/>
    <w:rsid w:val="00093335"/>
    <w:rsid w:val="00093C3D"/>
    <w:rsid w:val="000969F7"/>
    <w:rsid w:val="00097DCE"/>
    <w:rsid w:val="00097EE8"/>
    <w:rsid w:val="000A019C"/>
    <w:rsid w:val="000A05F9"/>
    <w:rsid w:val="000A0924"/>
    <w:rsid w:val="000A0D94"/>
    <w:rsid w:val="000A1417"/>
    <w:rsid w:val="000A612B"/>
    <w:rsid w:val="000A64C0"/>
    <w:rsid w:val="000A7283"/>
    <w:rsid w:val="000B0C48"/>
    <w:rsid w:val="000B1020"/>
    <w:rsid w:val="000B16C8"/>
    <w:rsid w:val="000B21F2"/>
    <w:rsid w:val="000B2347"/>
    <w:rsid w:val="000B2828"/>
    <w:rsid w:val="000B3561"/>
    <w:rsid w:val="000B391F"/>
    <w:rsid w:val="000B3F6A"/>
    <w:rsid w:val="000B47A6"/>
    <w:rsid w:val="000B47B4"/>
    <w:rsid w:val="000B6C19"/>
    <w:rsid w:val="000B6DD4"/>
    <w:rsid w:val="000B72AB"/>
    <w:rsid w:val="000B7EC3"/>
    <w:rsid w:val="000C01A2"/>
    <w:rsid w:val="000C2036"/>
    <w:rsid w:val="000C3862"/>
    <w:rsid w:val="000C41A0"/>
    <w:rsid w:val="000C7FC4"/>
    <w:rsid w:val="000D0079"/>
    <w:rsid w:val="000D0F33"/>
    <w:rsid w:val="000D10E1"/>
    <w:rsid w:val="000D1140"/>
    <w:rsid w:val="000D390D"/>
    <w:rsid w:val="000D3C3E"/>
    <w:rsid w:val="000D3F9B"/>
    <w:rsid w:val="000D620E"/>
    <w:rsid w:val="000D659E"/>
    <w:rsid w:val="000D72DA"/>
    <w:rsid w:val="000E0D1A"/>
    <w:rsid w:val="000E0D47"/>
    <w:rsid w:val="000E0FCE"/>
    <w:rsid w:val="000E1AD0"/>
    <w:rsid w:val="000E3B1B"/>
    <w:rsid w:val="000E6E72"/>
    <w:rsid w:val="000E7D63"/>
    <w:rsid w:val="000F0FBD"/>
    <w:rsid w:val="000F20D7"/>
    <w:rsid w:val="000F2873"/>
    <w:rsid w:val="000F3DDA"/>
    <w:rsid w:val="000F5DBD"/>
    <w:rsid w:val="000F7718"/>
    <w:rsid w:val="00100354"/>
    <w:rsid w:val="00100944"/>
    <w:rsid w:val="00100964"/>
    <w:rsid w:val="00101264"/>
    <w:rsid w:val="0010225E"/>
    <w:rsid w:val="00102ADE"/>
    <w:rsid w:val="00102CCB"/>
    <w:rsid w:val="00103C6B"/>
    <w:rsid w:val="00105445"/>
    <w:rsid w:val="00106DAE"/>
    <w:rsid w:val="00111272"/>
    <w:rsid w:val="00111841"/>
    <w:rsid w:val="001128E6"/>
    <w:rsid w:val="0011490A"/>
    <w:rsid w:val="001163FD"/>
    <w:rsid w:val="00116C39"/>
    <w:rsid w:val="0011761E"/>
    <w:rsid w:val="0012184A"/>
    <w:rsid w:val="00124839"/>
    <w:rsid w:val="00124D29"/>
    <w:rsid w:val="001252E2"/>
    <w:rsid w:val="001269B3"/>
    <w:rsid w:val="0013058D"/>
    <w:rsid w:val="00131605"/>
    <w:rsid w:val="00132856"/>
    <w:rsid w:val="00132911"/>
    <w:rsid w:val="001331F7"/>
    <w:rsid w:val="00133749"/>
    <w:rsid w:val="00134F54"/>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810"/>
    <w:rsid w:val="00154D07"/>
    <w:rsid w:val="00155792"/>
    <w:rsid w:val="0015609F"/>
    <w:rsid w:val="00156885"/>
    <w:rsid w:val="00157606"/>
    <w:rsid w:val="00161045"/>
    <w:rsid w:val="00161B8D"/>
    <w:rsid w:val="001620AA"/>
    <w:rsid w:val="001638DA"/>
    <w:rsid w:val="0016569F"/>
    <w:rsid w:val="00170F7D"/>
    <w:rsid w:val="00172A27"/>
    <w:rsid w:val="00173427"/>
    <w:rsid w:val="00174055"/>
    <w:rsid w:val="001751D6"/>
    <w:rsid w:val="001772C6"/>
    <w:rsid w:val="00180276"/>
    <w:rsid w:val="00181D21"/>
    <w:rsid w:val="0018289A"/>
    <w:rsid w:val="00182ABD"/>
    <w:rsid w:val="00183679"/>
    <w:rsid w:val="00184B71"/>
    <w:rsid w:val="00185BAB"/>
    <w:rsid w:val="00186E85"/>
    <w:rsid w:val="00187064"/>
    <w:rsid w:val="0018782A"/>
    <w:rsid w:val="00187CDC"/>
    <w:rsid w:val="00187FF6"/>
    <w:rsid w:val="00190A09"/>
    <w:rsid w:val="00191F8F"/>
    <w:rsid w:val="0019204B"/>
    <w:rsid w:val="001930F1"/>
    <w:rsid w:val="00193E67"/>
    <w:rsid w:val="00193F23"/>
    <w:rsid w:val="00195478"/>
    <w:rsid w:val="00195F7E"/>
    <w:rsid w:val="001963DB"/>
    <w:rsid w:val="00197A05"/>
    <w:rsid w:val="001A1A8E"/>
    <w:rsid w:val="001A2ADB"/>
    <w:rsid w:val="001A2D0D"/>
    <w:rsid w:val="001A2E34"/>
    <w:rsid w:val="001A444B"/>
    <w:rsid w:val="001A579B"/>
    <w:rsid w:val="001A6031"/>
    <w:rsid w:val="001A78C3"/>
    <w:rsid w:val="001B0B19"/>
    <w:rsid w:val="001B2B42"/>
    <w:rsid w:val="001B2C7B"/>
    <w:rsid w:val="001B5D2B"/>
    <w:rsid w:val="001C16C4"/>
    <w:rsid w:val="001C196E"/>
    <w:rsid w:val="001C21EB"/>
    <w:rsid w:val="001C275C"/>
    <w:rsid w:val="001C5567"/>
    <w:rsid w:val="001C6785"/>
    <w:rsid w:val="001C67ED"/>
    <w:rsid w:val="001C7DB7"/>
    <w:rsid w:val="001D01C1"/>
    <w:rsid w:val="001D153B"/>
    <w:rsid w:val="001D2181"/>
    <w:rsid w:val="001D271B"/>
    <w:rsid w:val="001D27E2"/>
    <w:rsid w:val="001D4855"/>
    <w:rsid w:val="001D5000"/>
    <w:rsid w:val="001D5276"/>
    <w:rsid w:val="001D57DF"/>
    <w:rsid w:val="001D5C95"/>
    <w:rsid w:val="001D61A0"/>
    <w:rsid w:val="001D63B7"/>
    <w:rsid w:val="001D662F"/>
    <w:rsid w:val="001D6D94"/>
    <w:rsid w:val="001D7D64"/>
    <w:rsid w:val="001E00CF"/>
    <w:rsid w:val="001E04D6"/>
    <w:rsid w:val="001E1483"/>
    <w:rsid w:val="001E15B6"/>
    <w:rsid w:val="001E4540"/>
    <w:rsid w:val="001E62DF"/>
    <w:rsid w:val="001E6838"/>
    <w:rsid w:val="001E7392"/>
    <w:rsid w:val="001F01F4"/>
    <w:rsid w:val="001F0A5D"/>
    <w:rsid w:val="001F2521"/>
    <w:rsid w:val="001F2EAD"/>
    <w:rsid w:val="001F3134"/>
    <w:rsid w:val="001F4B56"/>
    <w:rsid w:val="001F60CD"/>
    <w:rsid w:val="002002D1"/>
    <w:rsid w:val="00201470"/>
    <w:rsid w:val="00201621"/>
    <w:rsid w:val="002020F9"/>
    <w:rsid w:val="00203430"/>
    <w:rsid w:val="002050E1"/>
    <w:rsid w:val="00205DE8"/>
    <w:rsid w:val="00207032"/>
    <w:rsid w:val="00210D87"/>
    <w:rsid w:val="00210FF8"/>
    <w:rsid w:val="00211B3A"/>
    <w:rsid w:val="00211D76"/>
    <w:rsid w:val="00212FE2"/>
    <w:rsid w:val="00213F77"/>
    <w:rsid w:val="00215032"/>
    <w:rsid w:val="00215266"/>
    <w:rsid w:val="00215C3D"/>
    <w:rsid w:val="00215E72"/>
    <w:rsid w:val="002168B2"/>
    <w:rsid w:val="00221609"/>
    <w:rsid w:val="002223C4"/>
    <w:rsid w:val="0022350D"/>
    <w:rsid w:val="002249D3"/>
    <w:rsid w:val="00225D31"/>
    <w:rsid w:val="00231AC6"/>
    <w:rsid w:val="00234E90"/>
    <w:rsid w:val="00235D1E"/>
    <w:rsid w:val="00236545"/>
    <w:rsid w:val="002366E5"/>
    <w:rsid w:val="00236940"/>
    <w:rsid w:val="00236FFE"/>
    <w:rsid w:val="002378B9"/>
    <w:rsid w:val="00241E80"/>
    <w:rsid w:val="00242006"/>
    <w:rsid w:val="00243A3D"/>
    <w:rsid w:val="00245B20"/>
    <w:rsid w:val="00245E17"/>
    <w:rsid w:val="00246FF3"/>
    <w:rsid w:val="002508AE"/>
    <w:rsid w:val="002511DA"/>
    <w:rsid w:val="002514E8"/>
    <w:rsid w:val="00253196"/>
    <w:rsid w:val="002556F2"/>
    <w:rsid w:val="00257A58"/>
    <w:rsid w:val="00262027"/>
    <w:rsid w:val="002622E9"/>
    <w:rsid w:val="002625CC"/>
    <w:rsid w:val="00262E12"/>
    <w:rsid w:val="00263D10"/>
    <w:rsid w:val="00265859"/>
    <w:rsid w:val="0027006F"/>
    <w:rsid w:val="002714D6"/>
    <w:rsid w:val="002722F7"/>
    <w:rsid w:val="00272EA4"/>
    <w:rsid w:val="00273031"/>
    <w:rsid w:val="002730B1"/>
    <w:rsid w:val="00275DF3"/>
    <w:rsid w:val="00275F06"/>
    <w:rsid w:val="00280037"/>
    <w:rsid w:val="002806B1"/>
    <w:rsid w:val="00280CD2"/>
    <w:rsid w:val="00280ECB"/>
    <w:rsid w:val="0028180D"/>
    <w:rsid w:val="00281F6E"/>
    <w:rsid w:val="00282959"/>
    <w:rsid w:val="00285C60"/>
    <w:rsid w:val="00287C42"/>
    <w:rsid w:val="00291023"/>
    <w:rsid w:val="00291903"/>
    <w:rsid w:val="002926AB"/>
    <w:rsid w:val="00293AFD"/>
    <w:rsid w:val="00293C56"/>
    <w:rsid w:val="00293F3E"/>
    <w:rsid w:val="0029439F"/>
    <w:rsid w:val="0029592C"/>
    <w:rsid w:val="00295A6A"/>
    <w:rsid w:val="00295F30"/>
    <w:rsid w:val="002A039E"/>
    <w:rsid w:val="002A1667"/>
    <w:rsid w:val="002A1E4A"/>
    <w:rsid w:val="002A56A4"/>
    <w:rsid w:val="002A680E"/>
    <w:rsid w:val="002A6E41"/>
    <w:rsid w:val="002B1BB7"/>
    <w:rsid w:val="002B1DF8"/>
    <w:rsid w:val="002B2220"/>
    <w:rsid w:val="002B25A4"/>
    <w:rsid w:val="002B57EE"/>
    <w:rsid w:val="002B7418"/>
    <w:rsid w:val="002B7D56"/>
    <w:rsid w:val="002C06E8"/>
    <w:rsid w:val="002C0FEA"/>
    <w:rsid w:val="002C10DB"/>
    <w:rsid w:val="002C1BD8"/>
    <w:rsid w:val="002C2156"/>
    <w:rsid w:val="002C2D38"/>
    <w:rsid w:val="002C340B"/>
    <w:rsid w:val="002C3498"/>
    <w:rsid w:val="002C5014"/>
    <w:rsid w:val="002D10C1"/>
    <w:rsid w:val="002D1FC8"/>
    <w:rsid w:val="002D26D8"/>
    <w:rsid w:val="002D2B6D"/>
    <w:rsid w:val="002D2BA1"/>
    <w:rsid w:val="002D5ED9"/>
    <w:rsid w:val="002D5EF5"/>
    <w:rsid w:val="002D660B"/>
    <w:rsid w:val="002D6BA6"/>
    <w:rsid w:val="002D6E42"/>
    <w:rsid w:val="002D76E1"/>
    <w:rsid w:val="002E01B3"/>
    <w:rsid w:val="002E13F6"/>
    <w:rsid w:val="002E18F1"/>
    <w:rsid w:val="002E1ADC"/>
    <w:rsid w:val="002E1F72"/>
    <w:rsid w:val="002E4EF1"/>
    <w:rsid w:val="002E520E"/>
    <w:rsid w:val="002E5488"/>
    <w:rsid w:val="002E6098"/>
    <w:rsid w:val="002E6859"/>
    <w:rsid w:val="002E7E7E"/>
    <w:rsid w:val="002F0064"/>
    <w:rsid w:val="002F0D40"/>
    <w:rsid w:val="002F14AF"/>
    <w:rsid w:val="002F3C44"/>
    <w:rsid w:val="002F3DB9"/>
    <w:rsid w:val="002F430B"/>
    <w:rsid w:val="002F4B3B"/>
    <w:rsid w:val="002F5CBD"/>
    <w:rsid w:val="002F5FC6"/>
    <w:rsid w:val="00301B10"/>
    <w:rsid w:val="00303017"/>
    <w:rsid w:val="00304189"/>
    <w:rsid w:val="00304E5E"/>
    <w:rsid w:val="0030799C"/>
    <w:rsid w:val="003102E9"/>
    <w:rsid w:val="00310412"/>
    <w:rsid w:val="003117EA"/>
    <w:rsid w:val="0031244A"/>
    <w:rsid w:val="00312EE1"/>
    <w:rsid w:val="003131DA"/>
    <w:rsid w:val="00313A8C"/>
    <w:rsid w:val="00313E06"/>
    <w:rsid w:val="003146FD"/>
    <w:rsid w:val="00314DBF"/>
    <w:rsid w:val="003155F6"/>
    <w:rsid w:val="00320443"/>
    <w:rsid w:val="00322EC4"/>
    <w:rsid w:val="00323431"/>
    <w:rsid w:val="00323786"/>
    <w:rsid w:val="0032459B"/>
    <w:rsid w:val="003268D1"/>
    <w:rsid w:val="00326F38"/>
    <w:rsid w:val="00327750"/>
    <w:rsid w:val="00331010"/>
    <w:rsid w:val="00331829"/>
    <w:rsid w:val="00331BCA"/>
    <w:rsid w:val="0033318D"/>
    <w:rsid w:val="00333D4C"/>
    <w:rsid w:val="003363DE"/>
    <w:rsid w:val="003376E2"/>
    <w:rsid w:val="00337AC4"/>
    <w:rsid w:val="003419FE"/>
    <w:rsid w:val="00342009"/>
    <w:rsid w:val="00343578"/>
    <w:rsid w:val="0034397C"/>
    <w:rsid w:val="00344DFD"/>
    <w:rsid w:val="00345098"/>
    <w:rsid w:val="00345B73"/>
    <w:rsid w:val="00346A8B"/>
    <w:rsid w:val="00346FB8"/>
    <w:rsid w:val="00350E46"/>
    <w:rsid w:val="00351A58"/>
    <w:rsid w:val="00353468"/>
    <w:rsid w:val="003534B8"/>
    <w:rsid w:val="00353A65"/>
    <w:rsid w:val="003546AC"/>
    <w:rsid w:val="003551DE"/>
    <w:rsid w:val="00355F06"/>
    <w:rsid w:val="003569B7"/>
    <w:rsid w:val="003603A7"/>
    <w:rsid w:val="00360718"/>
    <w:rsid w:val="00360E54"/>
    <w:rsid w:val="00360F57"/>
    <w:rsid w:val="00361753"/>
    <w:rsid w:val="0036373C"/>
    <w:rsid w:val="00363958"/>
    <w:rsid w:val="003662EB"/>
    <w:rsid w:val="003671E8"/>
    <w:rsid w:val="00370540"/>
    <w:rsid w:val="0037104F"/>
    <w:rsid w:val="003714E4"/>
    <w:rsid w:val="003715E9"/>
    <w:rsid w:val="0037233E"/>
    <w:rsid w:val="00375622"/>
    <w:rsid w:val="00375EFA"/>
    <w:rsid w:val="00376B24"/>
    <w:rsid w:val="00377583"/>
    <w:rsid w:val="00380056"/>
    <w:rsid w:val="003806F6"/>
    <w:rsid w:val="0038164B"/>
    <w:rsid w:val="00381D09"/>
    <w:rsid w:val="00382CEE"/>
    <w:rsid w:val="0038313C"/>
    <w:rsid w:val="0038384F"/>
    <w:rsid w:val="003841B3"/>
    <w:rsid w:val="00384464"/>
    <w:rsid w:val="0038502D"/>
    <w:rsid w:val="00385F2D"/>
    <w:rsid w:val="00386888"/>
    <w:rsid w:val="00386F55"/>
    <w:rsid w:val="00390168"/>
    <w:rsid w:val="00390271"/>
    <w:rsid w:val="00390573"/>
    <w:rsid w:val="00391024"/>
    <w:rsid w:val="00392261"/>
    <w:rsid w:val="0039282E"/>
    <w:rsid w:val="003933CD"/>
    <w:rsid w:val="00395769"/>
    <w:rsid w:val="003A3955"/>
    <w:rsid w:val="003B16C4"/>
    <w:rsid w:val="003B54F6"/>
    <w:rsid w:val="003B575D"/>
    <w:rsid w:val="003B6189"/>
    <w:rsid w:val="003B68AB"/>
    <w:rsid w:val="003B6965"/>
    <w:rsid w:val="003B6B84"/>
    <w:rsid w:val="003B73E9"/>
    <w:rsid w:val="003C065E"/>
    <w:rsid w:val="003C1CFF"/>
    <w:rsid w:val="003C1F57"/>
    <w:rsid w:val="003C2324"/>
    <w:rsid w:val="003C234E"/>
    <w:rsid w:val="003C2AA9"/>
    <w:rsid w:val="003C3C5B"/>
    <w:rsid w:val="003C779F"/>
    <w:rsid w:val="003D0728"/>
    <w:rsid w:val="003D2AA7"/>
    <w:rsid w:val="003D2FCE"/>
    <w:rsid w:val="003D32C3"/>
    <w:rsid w:val="003D34D7"/>
    <w:rsid w:val="003D3E6C"/>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F0A58"/>
    <w:rsid w:val="003F1616"/>
    <w:rsid w:val="003F1D6B"/>
    <w:rsid w:val="003F2563"/>
    <w:rsid w:val="003F3D58"/>
    <w:rsid w:val="003F3EDB"/>
    <w:rsid w:val="003F5287"/>
    <w:rsid w:val="003F541E"/>
    <w:rsid w:val="003F5A5D"/>
    <w:rsid w:val="003F615B"/>
    <w:rsid w:val="003F6164"/>
    <w:rsid w:val="003F6980"/>
    <w:rsid w:val="0040039B"/>
    <w:rsid w:val="00401736"/>
    <w:rsid w:val="00401A2C"/>
    <w:rsid w:val="00402085"/>
    <w:rsid w:val="004022EF"/>
    <w:rsid w:val="00402FCD"/>
    <w:rsid w:val="004046BE"/>
    <w:rsid w:val="00405807"/>
    <w:rsid w:val="0040584D"/>
    <w:rsid w:val="00405BF8"/>
    <w:rsid w:val="004060A4"/>
    <w:rsid w:val="00406509"/>
    <w:rsid w:val="004068BC"/>
    <w:rsid w:val="00406C73"/>
    <w:rsid w:val="004077A5"/>
    <w:rsid w:val="004131C1"/>
    <w:rsid w:val="0041384C"/>
    <w:rsid w:val="00413D74"/>
    <w:rsid w:val="00415692"/>
    <w:rsid w:val="004171EE"/>
    <w:rsid w:val="00417AEA"/>
    <w:rsid w:val="00423CC4"/>
    <w:rsid w:val="00424359"/>
    <w:rsid w:val="00426656"/>
    <w:rsid w:val="00426B86"/>
    <w:rsid w:val="0042767B"/>
    <w:rsid w:val="004305C8"/>
    <w:rsid w:val="004307BA"/>
    <w:rsid w:val="00430C03"/>
    <w:rsid w:val="00432263"/>
    <w:rsid w:val="00432539"/>
    <w:rsid w:val="00433173"/>
    <w:rsid w:val="004354EF"/>
    <w:rsid w:val="00435EC5"/>
    <w:rsid w:val="0044035D"/>
    <w:rsid w:val="00441944"/>
    <w:rsid w:val="004437EA"/>
    <w:rsid w:val="00443AC5"/>
    <w:rsid w:val="004447A9"/>
    <w:rsid w:val="004469C8"/>
    <w:rsid w:val="00450F8C"/>
    <w:rsid w:val="00451C64"/>
    <w:rsid w:val="00453152"/>
    <w:rsid w:val="00453CCC"/>
    <w:rsid w:val="00453F0F"/>
    <w:rsid w:val="004541FE"/>
    <w:rsid w:val="004566B0"/>
    <w:rsid w:val="00456CA4"/>
    <w:rsid w:val="0045757D"/>
    <w:rsid w:val="004602D0"/>
    <w:rsid w:val="00462443"/>
    <w:rsid w:val="004635B8"/>
    <w:rsid w:val="00463807"/>
    <w:rsid w:val="004675A8"/>
    <w:rsid w:val="0047131C"/>
    <w:rsid w:val="00477243"/>
    <w:rsid w:val="00481486"/>
    <w:rsid w:val="00482F2E"/>
    <w:rsid w:val="00483E1C"/>
    <w:rsid w:val="004850B8"/>
    <w:rsid w:val="0048687C"/>
    <w:rsid w:val="0048774E"/>
    <w:rsid w:val="00487FCE"/>
    <w:rsid w:val="00491AAF"/>
    <w:rsid w:val="00491AB8"/>
    <w:rsid w:val="00491FDE"/>
    <w:rsid w:val="00492284"/>
    <w:rsid w:val="00492D57"/>
    <w:rsid w:val="004934FA"/>
    <w:rsid w:val="00496489"/>
    <w:rsid w:val="00497813"/>
    <w:rsid w:val="004A01ED"/>
    <w:rsid w:val="004A05FF"/>
    <w:rsid w:val="004A0BDD"/>
    <w:rsid w:val="004A2230"/>
    <w:rsid w:val="004A2B32"/>
    <w:rsid w:val="004A3F23"/>
    <w:rsid w:val="004A4EAB"/>
    <w:rsid w:val="004A5EF1"/>
    <w:rsid w:val="004A7471"/>
    <w:rsid w:val="004B28A9"/>
    <w:rsid w:val="004B3AF8"/>
    <w:rsid w:val="004B3CF9"/>
    <w:rsid w:val="004B448C"/>
    <w:rsid w:val="004B49FA"/>
    <w:rsid w:val="004B5499"/>
    <w:rsid w:val="004B5F2E"/>
    <w:rsid w:val="004B7221"/>
    <w:rsid w:val="004B7EAD"/>
    <w:rsid w:val="004C055E"/>
    <w:rsid w:val="004C0987"/>
    <w:rsid w:val="004C5605"/>
    <w:rsid w:val="004C6842"/>
    <w:rsid w:val="004C6C9E"/>
    <w:rsid w:val="004C711D"/>
    <w:rsid w:val="004C7825"/>
    <w:rsid w:val="004D0941"/>
    <w:rsid w:val="004D1421"/>
    <w:rsid w:val="004D21DB"/>
    <w:rsid w:val="004D3C15"/>
    <w:rsid w:val="004D5555"/>
    <w:rsid w:val="004D57D2"/>
    <w:rsid w:val="004D6280"/>
    <w:rsid w:val="004D6D0F"/>
    <w:rsid w:val="004D7FE5"/>
    <w:rsid w:val="004E06B7"/>
    <w:rsid w:val="004E1486"/>
    <w:rsid w:val="004E2471"/>
    <w:rsid w:val="004E4045"/>
    <w:rsid w:val="004E59A7"/>
    <w:rsid w:val="004E622E"/>
    <w:rsid w:val="004F0206"/>
    <w:rsid w:val="004F0D1F"/>
    <w:rsid w:val="004F0E0B"/>
    <w:rsid w:val="004F156E"/>
    <w:rsid w:val="004F279A"/>
    <w:rsid w:val="004F4866"/>
    <w:rsid w:val="004F4F81"/>
    <w:rsid w:val="004F57ED"/>
    <w:rsid w:val="004F60F3"/>
    <w:rsid w:val="004F6474"/>
    <w:rsid w:val="004F77DC"/>
    <w:rsid w:val="004F7E5F"/>
    <w:rsid w:val="005004E6"/>
    <w:rsid w:val="00500598"/>
    <w:rsid w:val="00501A69"/>
    <w:rsid w:val="00506D25"/>
    <w:rsid w:val="0050746F"/>
    <w:rsid w:val="00507567"/>
    <w:rsid w:val="005102A1"/>
    <w:rsid w:val="00510602"/>
    <w:rsid w:val="00512332"/>
    <w:rsid w:val="00512C16"/>
    <w:rsid w:val="00513B66"/>
    <w:rsid w:val="00514140"/>
    <w:rsid w:val="00515C35"/>
    <w:rsid w:val="00517735"/>
    <w:rsid w:val="0052023C"/>
    <w:rsid w:val="005210FE"/>
    <w:rsid w:val="00523490"/>
    <w:rsid w:val="0052562A"/>
    <w:rsid w:val="005258F1"/>
    <w:rsid w:val="00526234"/>
    <w:rsid w:val="00530E95"/>
    <w:rsid w:val="00532675"/>
    <w:rsid w:val="0053629B"/>
    <w:rsid w:val="00537183"/>
    <w:rsid w:val="00540271"/>
    <w:rsid w:val="0054196C"/>
    <w:rsid w:val="00542A2B"/>
    <w:rsid w:val="00542B6D"/>
    <w:rsid w:val="0054307F"/>
    <w:rsid w:val="0054342E"/>
    <w:rsid w:val="00544279"/>
    <w:rsid w:val="00547958"/>
    <w:rsid w:val="00547E46"/>
    <w:rsid w:val="00547FE3"/>
    <w:rsid w:val="00550AF5"/>
    <w:rsid w:val="00551874"/>
    <w:rsid w:val="00552584"/>
    <w:rsid w:val="00552A7D"/>
    <w:rsid w:val="00553765"/>
    <w:rsid w:val="005537B2"/>
    <w:rsid w:val="00555F17"/>
    <w:rsid w:val="00557983"/>
    <w:rsid w:val="0056022E"/>
    <w:rsid w:val="00560BD3"/>
    <w:rsid w:val="00562F9A"/>
    <w:rsid w:val="00563031"/>
    <w:rsid w:val="00565755"/>
    <w:rsid w:val="005674C6"/>
    <w:rsid w:val="005677B8"/>
    <w:rsid w:val="00567DBB"/>
    <w:rsid w:val="005706C3"/>
    <w:rsid w:val="00571448"/>
    <w:rsid w:val="005741CB"/>
    <w:rsid w:val="00575DD5"/>
    <w:rsid w:val="00576F82"/>
    <w:rsid w:val="00577236"/>
    <w:rsid w:val="0058004B"/>
    <w:rsid w:val="00580151"/>
    <w:rsid w:val="0058095E"/>
    <w:rsid w:val="00580C71"/>
    <w:rsid w:val="0058313F"/>
    <w:rsid w:val="0058336F"/>
    <w:rsid w:val="00584EE2"/>
    <w:rsid w:val="0058648D"/>
    <w:rsid w:val="00587CA6"/>
    <w:rsid w:val="0059025F"/>
    <w:rsid w:val="005920D1"/>
    <w:rsid w:val="00592C06"/>
    <w:rsid w:val="00593B20"/>
    <w:rsid w:val="00594D60"/>
    <w:rsid w:val="00595D9A"/>
    <w:rsid w:val="00596835"/>
    <w:rsid w:val="00596F12"/>
    <w:rsid w:val="00597099"/>
    <w:rsid w:val="00597A70"/>
    <w:rsid w:val="00597BA1"/>
    <w:rsid w:val="005A0CF2"/>
    <w:rsid w:val="005A1507"/>
    <w:rsid w:val="005A1729"/>
    <w:rsid w:val="005A2C05"/>
    <w:rsid w:val="005A3D73"/>
    <w:rsid w:val="005A58F8"/>
    <w:rsid w:val="005A6574"/>
    <w:rsid w:val="005B086A"/>
    <w:rsid w:val="005B1F04"/>
    <w:rsid w:val="005B379C"/>
    <w:rsid w:val="005B6495"/>
    <w:rsid w:val="005B71FB"/>
    <w:rsid w:val="005C0001"/>
    <w:rsid w:val="005C1687"/>
    <w:rsid w:val="005C196C"/>
    <w:rsid w:val="005C210F"/>
    <w:rsid w:val="005C2E32"/>
    <w:rsid w:val="005C4E5D"/>
    <w:rsid w:val="005C52CC"/>
    <w:rsid w:val="005C54F6"/>
    <w:rsid w:val="005C5D2A"/>
    <w:rsid w:val="005D029E"/>
    <w:rsid w:val="005D1B42"/>
    <w:rsid w:val="005D21C6"/>
    <w:rsid w:val="005D49F8"/>
    <w:rsid w:val="005D4E2F"/>
    <w:rsid w:val="005D545C"/>
    <w:rsid w:val="005D5523"/>
    <w:rsid w:val="005D5718"/>
    <w:rsid w:val="005D6B09"/>
    <w:rsid w:val="005D6CCB"/>
    <w:rsid w:val="005E015F"/>
    <w:rsid w:val="005E1BFB"/>
    <w:rsid w:val="005E2D71"/>
    <w:rsid w:val="005E32F3"/>
    <w:rsid w:val="005E4481"/>
    <w:rsid w:val="005E53A3"/>
    <w:rsid w:val="005E64C2"/>
    <w:rsid w:val="005E7557"/>
    <w:rsid w:val="005E75E0"/>
    <w:rsid w:val="005E7A0A"/>
    <w:rsid w:val="005F049F"/>
    <w:rsid w:val="005F147E"/>
    <w:rsid w:val="005F1F28"/>
    <w:rsid w:val="005F2BF3"/>
    <w:rsid w:val="005F395D"/>
    <w:rsid w:val="005F3992"/>
    <w:rsid w:val="005F41F9"/>
    <w:rsid w:val="005F5976"/>
    <w:rsid w:val="005F5C94"/>
    <w:rsid w:val="005F5FB0"/>
    <w:rsid w:val="005F6397"/>
    <w:rsid w:val="005F6AAF"/>
    <w:rsid w:val="005F78F6"/>
    <w:rsid w:val="00600045"/>
    <w:rsid w:val="00601C83"/>
    <w:rsid w:val="0060248E"/>
    <w:rsid w:val="0060270B"/>
    <w:rsid w:val="006060AA"/>
    <w:rsid w:val="006065D7"/>
    <w:rsid w:val="006068A8"/>
    <w:rsid w:val="00607525"/>
    <w:rsid w:val="00607D43"/>
    <w:rsid w:val="00607FB1"/>
    <w:rsid w:val="00610C34"/>
    <w:rsid w:val="00611043"/>
    <w:rsid w:val="00611880"/>
    <w:rsid w:val="006121BD"/>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EAE"/>
    <w:rsid w:val="00636DBC"/>
    <w:rsid w:val="006414AF"/>
    <w:rsid w:val="00641FCB"/>
    <w:rsid w:val="006429E3"/>
    <w:rsid w:val="006439AE"/>
    <w:rsid w:val="006445FF"/>
    <w:rsid w:val="00644A50"/>
    <w:rsid w:val="00645614"/>
    <w:rsid w:val="00646C0A"/>
    <w:rsid w:val="00647498"/>
    <w:rsid w:val="006478CE"/>
    <w:rsid w:val="00651DA8"/>
    <w:rsid w:val="00651EDD"/>
    <w:rsid w:val="00651FDC"/>
    <w:rsid w:val="00655A7F"/>
    <w:rsid w:val="00655C26"/>
    <w:rsid w:val="006575A6"/>
    <w:rsid w:val="006578E4"/>
    <w:rsid w:val="00657903"/>
    <w:rsid w:val="00660279"/>
    <w:rsid w:val="00661DF3"/>
    <w:rsid w:val="00662513"/>
    <w:rsid w:val="00664208"/>
    <w:rsid w:val="0066491F"/>
    <w:rsid w:val="00666BBE"/>
    <w:rsid w:val="00667340"/>
    <w:rsid w:val="00667F15"/>
    <w:rsid w:val="00670504"/>
    <w:rsid w:val="006706EF"/>
    <w:rsid w:val="006707E7"/>
    <w:rsid w:val="00670EC6"/>
    <w:rsid w:val="00672104"/>
    <w:rsid w:val="00673594"/>
    <w:rsid w:val="006746AA"/>
    <w:rsid w:val="00675294"/>
    <w:rsid w:val="00676223"/>
    <w:rsid w:val="00676DA7"/>
    <w:rsid w:val="00677BEE"/>
    <w:rsid w:val="00677DFD"/>
    <w:rsid w:val="00680E11"/>
    <w:rsid w:val="00680EB8"/>
    <w:rsid w:val="00680FDA"/>
    <w:rsid w:val="0068124A"/>
    <w:rsid w:val="00681437"/>
    <w:rsid w:val="00681669"/>
    <w:rsid w:val="006829D4"/>
    <w:rsid w:val="006836D5"/>
    <w:rsid w:val="00683705"/>
    <w:rsid w:val="006837E8"/>
    <w:rsid w:val="006849B0"/>
    <w:rsid w:val="00684B1F"/>
    <w:rsid w:val="00684C8F"/>
    <w:rsid w:val="006864AE"/>
    <w:rsid w:val="006908DE"/>
    <w:rsid w:val="006923B5"/>
    <w:rsid w:val="006930E8"/>
    <w:rsid w:val="006934A8"/>
    <w:rsid w:val="0069361E"/>
    <w:rsid w:val="00695CDC"/>
    <w:rsid w:val="00696DBC"/>
    <w:rsid w:val="00697273"/>
    <w:rsid w:val="00697AAF"/>
    <w:rsid w:val="00697FE2"/>
    <w:rsid w:val="006A1012"/>
    <w:rsid w:val="006A11B5"/>
    <w:rsid w:val="006A2210"/>
    <w:rsid w:val="006A232A"/>
    <w:rsid w:val="006A26D8"/>
    <w:rsid w:val="006A35C9"/>
    <w:rsid w:val="006A38AD"/>
    <w:rsid w:val="006A3CBB"/>
    <w:rsid w:val="006A5B6C"/>
    <w:rsid w:val="006A6126"/>
    <w:rsid w:val="006A6609"/>
    <w:rsid w:val="006A7D34"/>
    <w:rsid w:val="006B0B10"/>
    <w:rsid w:val="006B2D67"/>
    <w:rsid w:val="006B5D40"/>
    <w:rsid w:val="006B61DC"/>
    <w:rsid w:val="006B6329"/>
    <w:rsid w:val="006B66F5"/>
    <w:rsid w:val="006C0FCA"/>
    <w:rsid w:val="006C1681"/>
    <w:rsid w:val="006C1D0A"/>
    <w:rsid w:val="006C3867"/>
    <w:rsid w:val="006C38D1"/>
    <w:rsid w:val="006C48B4"/>
    <w:rsid w:val="006D07C3"/>
    <w:rsid w:val="006D198F"/>
    <w:rsid w:val="006D2AF7"/>
    <w:rsid w:val="006D2FDA"/>
    <w:rsid w:val="006D3072"/>
    <w:rsid w:val="006D4D5C"/>
    <w:rsid w:val="006D4F4C"/>
    <w:rsid w:val="006D7985"/>
    <w:rsid w:val="006D7D63"/>
    <w:rsid w:val="006E1BA7"/>
    <w:rsid w:val="006E276A"/>
    <w:rsid w:val="006E5585"/>
    <w:rsid w:val="006E68D1"/>
    <w:rsid w:val="006E7593"/>
    <w:rsid w:val="006E78CB"/>
    <w:rsid w:val="006E796F"/>
    <w:rsid w:val="006E7C93"/>
    <w:rsid w:val="006E7D31"/>
    <w:rsid w:val="006E7F56"/>
    <w:rsid w:val="006F1C22"/>
    <w:rsid w:val="006F2574"/>
    <w:rsid w:val="006F33E8"/>
    <w:rsid w:val="006F35AB"/>
    <w:rsid w:val="006F3682"/>
    <w:rsid w:val="006F442E"/>
    <w:rsid w:val="006F4E30"/>
    <w:rsid w:val="006F54BD"/>
    <w:rsid w:val="006F6426"/>
    <w:rsid w:val="007000C6"/>
    <w:rsid w:val="00700CFE"/>
    <w:rsid w:val="0070365F"/>
    <w:rsid w:val="00703CC0"/>
    <w:rsid w:val="00704606"/>
    <w:rsid w:val="0070531F"/>
    <w:rsid w:val="007055F8"/>
    <w:rsid w:val="00705AD7"/>
    <w:rsid w:val="0071078D"/>
    <w:rsid w:val="00714EAD"/>
    <w:rsid w:val="00715575"/>
    <w:rsid w:val="00715E5D"/>
    <w:rsid w:val="00716583"/>
    <w:rsid w:val="00716E63"/>
    <w:rsid w:val="00717F89"/>
    <w:rsid w:val="00721169"/>
    <w:rsid w:val="0072300E"/>
    <w:rsid w:val="00723195"/>
    <w:rsid w:val="00723B1A"/>
    <w:rsid w:val="00723C49"/>
    <w:rsid w:val="007241CA"/>
    <w:rsid w:val="00724D6A"/>
    <w:rsid w:val="00725308"/>
    <w:rsid w:val="00726FA5"/>
    <w:rsid w:val="007273AE"/>
    <w:rsid w:val="00731C00"/>
    <w:rsid w:val="0073277D"/>
    <w:rsid w:val="007327BF"/>
    <w:rsid w:val="00732DA0"/>
    <w:rsid w:val="00734FE3"/>
    <w:rsid w:val="0073609F"/>
    <w:rsid w:val="00736323"/>
    <w:rsid w:val="00736A25"/>
    <w:rsid w:val="00736F9C"/>
    <w:rsid w:val="007375BE"/>
    <w:rsid w:val="00740D22"/>
    <w:rsid w:val="0074102C"/>
    <w:rsid w:val="007427BD"/>
    <w:rsid w:val="00742834"/>
    <w:rsid w:val="00742D78"/>
    <w:rsid w:val="00743578"/>
    <w:rsid w:val="007437FF"/>
    <w:rsid w:val="0074592E"/>
    <w:rsid w:val="00747EAA"/>
    <w:rsid w:val="00752D67"/>
    <w:rsid w:val="007530CA"/>
    <w:rsid w:val="00753FA1"/>
    <w:rsid w:val="00755C8E"/>
    <w:rsid w:val="00755EAF"/>
    <w:rsid w:val="00756C47"/>
    <w:rsid w:val="007578BD"/>
    <w:rsid w:val="0076142F"/>
    <w:rsid w:val="00762250"/>
    <w:rsid w:val="0076310F"/>
    <w:rsid w:val="00765C22"/>
    <w:rsid w:val="00766BA5"/>
    <w:rsid w:val="00770CB9"/>
    <w:rsid w:val="00771908"/>
    <w:rsid w:val="00771FB9"/>
    <w:rsid w:val="0077255A"/>
    <w:rsid w:val="0077345E"/>
    <w:rsid w:val="00773C69"/>
    <w:rsid w:val="00775053"/>
    <w:rsid w:val="0077532D"/>
    <w:rsid w:val="0077563A"/>
    <w:rsid w:val="00775761"/>
    <w:rsid w:val="007766F7"/>
    <w:rsid w:val="00780342"/>
    <w:rsid w:val="007808FF"/>
    <w:rsid w:val="007824B8"/>
    <w:rsid w:val="00782DD6"/>
    <w:rsid w:val="00786A5E"/>
    <w:rsid w:val="0078709C"/>
    <w:rsid w:val="0078744B"/>
    <w:rsid w:val="00787FD3"/>
    <w:rsid w:val="0079026B"/>
    <w:rsid w:val="00790311"/>
    <w:rsid w:val="007916D5"/>
    <w:rsid w:val="00791EE6"/>
    <w:rsid w:val="007921F3"/>
    <w:rsid w:val="007937B3"/>
    <w:rsid w:val="00793AE8"/>
    <w:rsid w:val="00793E18"/>
    <w:rsid w:val="0079545A"/>
    <w:rsid w:val="00795E89"/>
    <w:rsid w:val="007961C2"/>
    <w:rsid w:val="007A412F"/>
    <w:rsid w:val="007A4769"/>
    <w:rsid w:val="007A531C"/>
    <w:rsid w:val="007A73FD"/>
    <w:rsid w:val="007B1F2C"/>
    <w:rsid w:val="007B3DF4"/>
    <w:rsid w:val="007B4139"/>
    <w:rsid w:val="007B543A"/>
    <w:rsid w:val="007C1168"/>
    <w:rsid w:val="007C186A"/>
    <w:rsid w:val="007C1BBC"/>
    <w:rsid w:val="007C1F0D"/>
    <w:rsid w:val="007C2405"/>
    <w:rsid w:val="007C357E"/>
    <w:rsid w:val="007C49F6"/>
    <w:rsid w:val="007C72D8"/>
    <w:rsid w:val="007C7501"/>
    <w:rsid w:val="007D008C"/>
    <w:rsid w:val="007D19B7"/>
    <w:rsid w:val="007D20FD"/>
    <w:rsid w:val="007D3C66"/>
    <w:rsid w:val="007D431B"/>
    <w:rsid w:val="007D4545"/>
    <w:rsid w:val="007D4D15"/>
    <w:rsid w:val="007E3C40"/>
    <w:rsid w:val="007E41ED"/>
    <w:rsid w:val="007E48AC"/>
    <w:rsid w:val="007E4E5A"/>
    <w:rsid w:val="007E6906"/>
    <w:rsid w:val="007F1237"/>
    <w:rsid w:val="007F3E87"/>
    <w:rsid w:val="007F3F34"/>
    <w:rsid w:val="007F4248"/>
    <w:rsid w:val="007F43D0"/>
    <w:rsid w:val="007F4776"/>
    <w:rsid w:val="007F51E9"/>
    <w:rsid w:val="007F636C"/>
    <w:rsid w:val="007F73E6"/>
    <w:rsid w:val="00802AF8"/>
    <w:rsid w:val="00802D2E"/>
    <w:rsid w:val="00804A6A"/>
    <w:rsid w:val="00811A3D"/>
    <w:rsid w:val="008135CF"/>
    <w:rsid w:val="008141D8"/>
    <w:rsid w:val="008143DE"/>
    <w:rsid w:val="00814CF2"/>
    <w:rsid w:val="00815863"/>
    <w:rsid w:val="00815895"/>
    <w:rsid w:val="00817932"/>
    <w:rsid w:val="00817A26"/>
    <w:rsid w:val="008214BD"/>
    <w:rsid w:val="00822021"/>
    <w:rsid w:val="00824A30"/>
    <w:rsid w:val="00824CE4"/>
    <w:rsid w:val="00825538"/>
    <w:rsid w:val="00826635"/>
    <w:rsid w:val="008268F3"/>
    <w:rsid w:val="0082723C"/>
    <w:rsid w:val="0082735C"/>
    <w:rsid w:val="0083027C"/>
    <w:rsid w:val="008311E1"/>
    <w:rsid w:val="00831A21"/>
    <w:rsid w:val="00831F13"/>
    <w:rsid w:val="00832FE4"/>
    <w:rsid w:val="008333FA"/>
    <w:rsid w:val="00833BAC"/>
    <w:rsid w:val="008347D4"/>
    <w:rsid w:val="00836FF0"/>
    <w:rsid w:val="008404C0"/>
    <w:rsid w:val="0084136A"/>
    <w:rsid w:val="00843CDD"/>
    <w:rsid w:val="00843F56"/>
    <w:rsid w:val="00844A35"/>
    <w:rsid w:val="008452BD"/>
    <w:rsid w:val="00845948"/>
    <w:rsid w:val="00846345"/>
    <w:rsid w:val="00851352"/>
    <w:rsid w:val="00851E0C"/>
    <w:rsid w:val="00851FD4"/>
    <w:rsid w:val="008521A5"/>
    <w:rsid w:val="008536C1"/>
    <w:rsid w:val="00854A9A"/>
    <w:rsid w:val="00854E1D"/>
    <w:rsid w:val="00856D21"/>
    <w:rsid w:val="00857085"/>
    <w:rsid w:val="00857BFF"/>
    <w:rsid w:val="0086072A"/>
    <w:rsid w:val="008607D6"/>
    <w:rsid w:val="008616D1"/>
    <w:rsid w:val="008620E1"/>
    <w:rsid w:val="0086295E"/>
    <w:rsid w:val="008639EF"/>
    <w:rsid w:val="0086609F"/>
    <w:rsid w:val="00867A97"/>
    <w:rsid w:val="008717F0"/>
    <w:rsid w:val="00871870"/>
    <w:rsid w:val="008730CC"/>
    <w:rsid w:val="0087575E"/>
    <w:rsid w:val="00875874"/>
    <w:rsid w:val="00875DDC"/>
    <w:rsid w:val="0087602E"/>
    <w:rsid w:val="00877B55"/>
    <w:rsid w:val="00880751"/>
    <w:rsid w:val="00880CFF"/>
    <w:rsid w:val="00883CDC"/>
    <w:rsid w:val="00884FEF"/>
    <w:rsid w:val="0088510B"/>
    <w:rsid w:val="00885B4A"/>
    <w:rsid w:val="008867F0"/>
    <w:rsid w:val="008873F3"/>
    <w:rsid w:val="00891064"/>
    <w:rsid w:val="0089114F"/>
    <w:rsid w:val="0089153C"/>
    <w:rsid w:val="00891B76"/>
    <w:rsid w:val="00892637"/>
    <w:rsid w:val="0089267B"/>
    <w:rsid w:val="008938D2"/>
    <w:rsid w:val="00893E36"/>
    <w:rsid w:val="008960A7"/>
    <w:rsid w:val="008A0515"/>
    <w:rsid w:val="008A0B06"/>
    <w:rsid w:val="008A0C91"/>
    <w:rsid w:val="008A4060"/>
    <w:rsid w:val="008A4F7F"/>
    <w:rsid w:val="008A50B2"/>
    <w:rsid w:val="008A57FB"/>
    <w:rsid w:val="008A7825"/>
    <w:rsid w:val="008A79B2"/>
    <w:rsid w:val="008B0064"/>
    <w:rsid w:val="008B0B5A"/>
    <w:rsid w:val="008B160F"/>
    <w:rsid w:val="008B1F1A"/>
    <w:rsid w:val="008B4B72"/>
    <w:rsid w:val="008B745B"/>
    <w:rsid w:val="008B7494"/>
    <w:rsid w:val="008C039B"/>
    <w:rsid w:val="008C0B2B"/>
    <w:rsid w:val="008C1C0A"/>
    <w:rsid w:val="008C2DFF"/>
    <w:rsid w:val="008C5887"/>
    <w:rsid w:val="008C61DC"/>
    <w:rsid w:val="008C7E7E"/>
    <w:rsid w:val="008D07D9"/>
    <w:rsid w:val="008D1B75"/>
    <w:rsid w:val="008D47E1"/>
    <w:rsid w:val="008D53BC"/>
    <w:rsid w:val="008D562D"/>
    <w:rsid w:val="008D5E81"/>
    <w:rsid w:val="008D66A4"/>
    <w:rsid w:val="008D6FF1"/>
    <w:rsid w:val="008D7AA2"/>
    <w:rsid w:val="008E00EC"/>
    <w:rsid w:val="008E0B1F"/>
    <w:rsid w:val="008E1073"/>
    <w:rsid w:val="008E1702"/>
    <w:rsid w:val="008E2641"/>
    <w:rsid w:val="008E296F"/>
    <w:rsid w:val="008E2CBB"/>
    <w:rsid w:val="008E2CF0"/>
    <w:rsid w:val="008E3432"/>
    <w:rsid w:val="008E4185"/>
    <w:rsid w:val="008E4305"/>
    <w:rsid w:val="008E4868"/>
    <w:rsid w:val="008E55BB"/>
    <w:rsid w:val="008E6E7E"/>
    <w:rsid w:val="008E717E"/>
    <w:rsid w:val="008F1A47"/>
    <w:rsid w:val="008F1C8A"/>
    <w:rsid w:val="008F76F6"/>
    <w:rsid w:val="008F7D96"/>
    <w:rsid w:val="0090350C"/>
    <w:rsid w:val="00903A65"/>
    <w:rsid w:val="009056E7"/>
    <w:rsid w:val="00907C44"/>
    <w:rsid w:val="00910A50"/>
    <w:rsid w:val="00911090"/>
    <w:rsid w:val="009111C1"/>
    <w:rsid w:val="0091148F"/>
    <w:rsid w:val="00911747"/>
    <w:rsid w:val="0091296A"/>
    <w:rsid w:val="00914A80"/>
    <w:rsid w:val="00914BBD"/>
    <w:rsid w:val="00915054"/>
    <w:rsid w:val="00916387"/>
    <w:rsid w:val="00916D6B"/>
    <w:rsid w:val="00917068"/>
    <w:rsid w:val="009171F7"/>
    <w:rsid w:val="0092209F"/>
    <w:rsid w:val="0092273D"/>
    <w:rsid w:val="00923AEA"/>
    <w:rsid w:val="00924AD0"/>
    <w:rsid w:val="0092792A"/>
    <w:rsid w:val="0093394B"/>
    <w:rsid w:val="00936356"/>
    <w:rsid w:val="0094004B"/>
    <w:rsid w:val="00944796"/>
    <w:rsid w:val="00944D14"/>
    <w:rsid w:val="00946026"/>
    <w:rsid w:val="00947FFA"/>
    <w:rsid w:val="00950D5E"/>
    <w:rsid w:val="009512AB"/>
    <w:rsid w:val="00951A3C"/>
    <w:rsid w:val="00951E96"/>
    <w:rsid w:val="0095359B"/>
    <w:rsid w:val="00955214"/>
    <w:rsid w:val="009560FF"/>
    <w:rsid w:val="00956C2F"/>
    <w:rsid w:val="00957B53"/>
    <w:rsid w:val="00963478"/>
    <w:rsid w:val="00963A73"/>
    <w:rsid w:val="0096460C"/>
    <w:rsid w:val="00965D51"/>
    <w:rsid w:val="00970049"/>
    <w:rsid w:val="009705D1"/>
    <w:rsid w:val="0097067E"/>
    <w:rsid w:val="00970910"/>
    <w:rsid w:val="00970917"/>
    <w:rsid w:val="009716DB"/>
    <w:rsid w:val="00972657"/>
    <w:rsid w:val="00972901"/>
    <w:rsid w:val="0097320A"/>
    <w:rsid w:val="0097376D"/>
    <w:rsid w:val="00973B0A"/>
    <w:rsid w:val="009748AB"/>
    <w:rsid w:val="00975394"/>
    <w:rsid w:val="0097562F"/>
    <w:rsid w:val="00980084"/>
    <w:rsid w:val="00980840"/>
    <w:rsid w:val="009808A9"/>
    <w:rsid w:val="00984013"/>
    <w:rsid w:val="00984797"/>
    <w:rsid w:val="00984896"/>
    <w:rsid w:val="009851D6"/>
    <w:rsid w:val="0098740A"/>
    <w:rsid w:val="00987856"/>
    <w:rsid w:val="00987E62"/>
    <w:rsid w:val="0099041F"/>
    <w:rsid w:val="009917AC"/>
    <w:rsid w:val="00991CAD"/>
    <w:rsid w:val="0099339E"/>
    <w:rsid w:val="00993F36"/>
    <w:rsid w:val="00994189"/>
    <w:rsid w:val="009941B1"/>
    <w:rsid w:val="00994D32"/>
    <w:rsid w:val="00996E01"/>
    <w:rsid w:val="009A1077"/>
    <w:rsid w:val="009A1351"/>
    <w:rsid w:val="009A5047"/>
    <w:rsid w:val="009A5A2E"/>
    <w:rsid w:val="009A783F"/>
    <w:rsid w:val="009B07D7"/>
    <w:rsid w:val="009B0AAA"/>
    <w:rsid w:val="009B17C1"/>
    <w:rsid w:val="009B20A6"/>
    <w:rsid w:val="009B27B9"/>
    <w:rsid w:val="009B4363"/>
    <w:rsid w:val="009B4403"/>
    <w:rsid w:val="009C03DE"/>
    <w:rsid w:val="009C03E3"/>
    <w:rsid w:val="009C19B0"/>
    <w:rsid w:val="009C2263"/>
    <w:rsid w:val="009C6CFD"/>
    <w:rsid w:val="009C7103"/>
    <w:rsid w:val="009C73D8"/>
    <w:rsid w:val="009D068A"/>
    <w:rsid w:val="009D0A4D"/>
    <w:rsid w:val="009D2678"/>
    <w:rsid w:val="009D29E6"/>
    <w:rsid w:val="009D36F4"/>
    <w:rsid w:val="009E0451"/>
    <w:rsid w:val="009E2FEC"/>
    <w:rsid w:val="009E4550"/>
    <w:rsid w:val="009E5166"/>
    <w:rsid w:val="009E6776"/>
    <w:rsid w:val="009E6A6D"/>
    <w:rsid w:val="009F01CE"/>
    <w:rsid w:val="009F0BF3"/>
    <w:rsid w:val="009F0D7B"/>
    <w:rsid w:val="009F11EC"/>
    <w:rsid w:val="009F2787"/>
    <w:rsid w:val="009F281A"/>
    <w:rsid w:val="009F2956"/>
    <w:rsid w:val="009F3C9E"/>
    <w:rsid w:val="009F4F4F"/>
    <w:rsid w:val="009F5D05"/>
    <w:rsid w:val="009F636A"/>
    <w:rsid w:val="009F6A0B"/>
    <w:rsid w:val="009F7C7C"/>
    <w:rsid w:val="00A00D56"/>
    <w:rsid w:val="00A01F96"/>
    <w:rsid w:val="00A0295A"/>
    <w:rsid w:val="00A04DE5"/>
    <w:rsid w:val="00A05156"/>
    <w:rsid w:val="00A0536D"/>
    <w:rsid w:val="00A05CE6"/>
    <w:rsid w:val="00A06197"/>
    <w:rsid w:val="00A11979"/>
    <w:rsid w:val="00A12757"/>
    <w:rsid w:val="00A1304D"/>
    <w:rsid w:val="00A135B5"/>
    <w:rsid w:val="00A139F6"/>
    <w:rsid w:val="00A14185"/>
    <w:rsid w:val="00A1470A"/>
    <w:rsid w:val="00A171BF"/>
    <w:rsid w:val="00A174C7"/>
    <w:rsid w:val="00A1780F"/>
    <w:rsid w:val="00A20D07"/>
    <w:rsid w:val="00A215C5"/>
    <w:rsid w:val="00A21DAB"/>
    <w:rsid w:val="00A2240A"/>
    <w:rsid w:val="00A22C90"/>
    <w:rsid w:val="00A22C97"/>
    <w:rsid w:val="00A246E7"/>
    <w:rsid w:val="00A262B7"/>
    <w:rsid w:val="00A266BC"/>
    <w:rsid w:val="00A276D8"/>
    <w:rsid w:val="00A30BF7"/>
    <w:rsid w:val="00A316A3"/>
    <w:rsid w:val="00A317B7"/>
    <w:rsid w:val="00A31888"/>
    <w:rsid w:val="00A318BF"/>
    <w:rsid w:val="00A31FCB"/>
    <w:rsid w:val="00A32183"/>
    <w:rsid w:val="00A331CA"/>
    <w:rsid w:val="00A34EA7"/>
    <w:rsid w:val="00A35B2F"/>
    <w:rsid w:val="00A36AEA"/>
    <w:rsid w:val="00A36B62"/>
    <w:rsid w:val="00A40AF4"/>
    <w:rsid w:val="00A4364C"/>
    <w:rsid w:val="00A438B2"/>
    <w:rsid w:val="00A448FE"/>
    <w:rsid w:val="00A449A7"/>
    <w:rsid w:val="00A4607C"/>
    <w:rsid w:val="00A5013E"/>
    <w:rsid w:val="00A51A6D"/>
    <w:rsid w:val="00A52B06"/>
    <w:rsid w:val="00A5425A"/>
    <w:rsid w:val="00A555BA"/>
    <w:rsid w:val="00A55D52"/>
    <w:rsid w:val="00A60986"/>
    <w:rsid w:val="00A60B6B"/>
    <w:rsid w:val="00A627A5"/>
    <w:rsid w:val="00A62BE0"/>
    <w:rsid w:val="00A63F00"/>
    <w:rsid w:val="00A6404B"/>
    <w:rsid w:val="00A64235"/>
    <w:rsid w:val="00A66956"/>
    <w:rsid w:val="00A67D32"/>
    <w:rsid w:val="00A70C3F"/>
    <w:rsid w:val="00A71137"/>
    <w:rsid w:val="00A720CF"/>
    <w:rsid w:val="00A73E24"/>
    <w:rsid w:val="00A748B6"/>
    <w:rsid w:val="00A74D6E"/>
    <w:rsid w:val="00A752D6"/>
    <w:rsid w:val="00A7543B"/>
    <w:rsid w:val="00A758CD"/>
    <w:rsid w:val="00A77AF7"/>
    <w:rsid w:val="00A77BF8"/>
    <w:rsid w:val="00A77C63"/>
    <w:rsid w:val="00A8310B"/>
    <w:rsid w:val="00A843A1"/>
    <w:rsid w:val="00A85038"/>
    <w:rsid w:val="00A86D77"/>
    <w:rsid w:val="00A87013"/>
    <w:rsid w:val="00A910C8"/>
    <w:rsid w:val="00A91302"/>
    <w:rsid w:val="00A93079"/>
    <w:rsid w:val="00A935C9"/>
    <w:rsid w:val="00A945DE"/>
    <w:rsid w:val="00A9583E"/>
    <w:rsid w:val="00A97224"/>
    <w:rsid w:val="00AA07F2"/>
    <w:rsid w:val="00AA0E45"/>
    <w:rsid w:val="00AA2C2F"/>
    <w:rsid w:val="00AA491C"/>
    <w:rsid w:val="00AA498D"/>
    <w:rsid w:val="00AA5240"/>
    <w:rsid w:val="00AB152B"/>
    <w:rsid w:val="00AB1563"/>
    <w:rsid w:val="00AB35AB"/>
    <w:rsid w:val="00AB379A"/>
    <w:rsid w:val="00AB3E95"/>
    <w:rsid w:val="00AB41CA"/>
    <w:rsid w:val="00AB544C"/>
    <w:rsid w:val="00AB5BCC"/>
    <w:rsid w:val="00AB5C1B"/>
    <w:rsid w:val="00AB6A86"/>
    <w:rsid w:val="00AB78EF"/>
    <w:rsid w:val="00AC0616"/>
    <w:rsid w:val="00AC0A0D"/>
    <w:rsid w:val="00AC0B1C"/>
    <w:rsid w:val="00AC0D6A"/>
    <w:rsid w:val="00AC16EC"/>
    <w:rsid w:val="00AC3641"/>
    <w:rsid w:val="00AC4A00"/>
    <w:rsid w:val="00AC510F"/>
    <w:rsid w:val="00AC55E9"/>
    <w:rsid w:val="00AC70D2"/>
    <w:rsid w:val="00AD0179"/>
    <w:rsid w:val="00AD320A"/>
    <w:rsid w:val="00AD342C"/>
    <w:rsid w:val="00AD3CAD"/>
    <w:rsid w:val="00AD4DB5"/>
    <w:rsid w:val="00AD50C6"/>
    <w:rsid w:val="00AD621A"/>
    <w:rsid w:val="00AD781C"/>
    <w:rsid w:val="00AE1DD0"/>
    <w:rsid w:val="00AE25A3"/>
    <w:rsid w:val="00AE5E60"/>
    <w:rsid w:val="00AF7F80"/>
    <w:rsid w:val="00B02DE5"/>
    <w:rsid w:val="00B07508"/>
    <w:rsid w:val="00B07950"/>
    <w:rsid w:val="00B105D1"/>
    <w:rsid w:val="00B115F3"/>
    <w:rsid w:val="00B13C1C"/>
    <w:rsid w:val="00B150DA"/>
    <w:rsid w:val="00B15196"/>
    <w:rsid w:val="00B15372"/>
    <w:rsid w:val="00B16408"/>
    <w:rsid w:val="00B16633"/>
    <w:rsid w:val="00B16680"/>
    <w:rsid w:val="00B17063"/>
    <w:rsid w:val="00B17082"/>
    <w:rsid w:val="00B17A68"/>
    <w:rsid w:val="00B20285"/>
    <w:rsid w:val="00B221BB"/>
    <w:rsid w:val="00B22D6C"/>
    <w:rsid w:val="00B24B56"/>
    <w:rsid w:val="00B251A1"/>
    <w:rsid w:val="00B26AF5"/>
    <w:rsid w:val="00B30BB9"/>
    <w:rsid w:val="00B30C94"/>
    <w:rsid w:val="00B31021"/>
    <w:rsid w:val="00B32574"/>
    <w:rsid w:val="00B33028"/>
    <w:rsid w:val="00B33D72"/>
    <w:rsid w:val="00B34595"/>
    <w:rsid w:val="00B369D4"/>
    <w:rsid w:val="00B420FE"/>
    <w:rsid w:val="00B4451C"/>
    <w:rsid w:val="00B4610A"/>
    <w:rsid w:val="00B46E2E"/>
    <w:rsid w:val="00B50F6F"/>
    <w:rsid w:val="00B5265D"/>
    <w:rsid w:val="00B52A43"/>
    <w:rsid w:val="00B52C07"/>
    <w:rsid w:val="00B5327F"/>
    <w:rsid w:val="00B5433B"/>
    <w:rsid w:val="00B54C4E"/>
    <w:rsid w:val="00B5569B"/>
    <w:rsid w:val="00B56CCA"/>
    <w:rsid w:val="00B57392"/>
    <w:rsid w:val="00B63817"/>
    <w:rsid w:val="00B65841"/>
    <w:rsid w:val="00B65DCE"/>
    <w:rsid w:val="00B65FE9"/>
    <w:rsid w:val="00B67BD9"/>
    <w:rsid w:val="00B717BC"/>
    <w:rsid w:val="00B733B5"/>
    <w:rsid w:val="00B75F76"/>
    <w:rsid w:val="00B76399"/>
    <w:rsid w:val="00B76FBE"/>
    <w:rsid w:val="00B770C8"/>
    <w:rsid w:val="00B77B0E"/>
    <w:rsid w:val="00B77E09"/>
    <w:rsid w:val="00B8191B"/>
    <w:rsid w:val="00B82573"/>
    <w:rsid w:val="00B828D1"/>
    <w:rsid w:val="00B82C8F"/>
    <w:rsid w:val="00B82DE0"/>
    <w:rsid w:val="00B83D21"/>
    <w:rsid w:val="00B843E0"/>
    <w:rsid w:val="00B84AEA"/>
    <w:rsid w:val="00B84EC5"/>
    <w:rsid w:val="00B85B86"/>
    <w:rsid w:val="00B909F5"/>
    <w:rsid w:val="00B912E4"/>
    <w:rsid w:val="00B91E9B"/>
    <w:rsid w:val="00B9297E"/>
    <w:rsid w:val="00B93A41"/>
    <w:rsid w:val="00B94E39"/>
    <w:rsid w:val="00B95C17"/>
    <w:rsid w:val="00BA0A0E"/>
    <w:rsid w:val="00BA18F6"/>
    <w:rsid w:val="00BA2BC7"/>
    <w:rsid w:val="00BA3DE8"/>
    <w:rsid w:val="00BA42D3"/>
    <w:rsid w:val="00BA56A4"/>
    <w:rsid w:val="00BA5BB0"/>
    <w:rsid w:val="00BA6552"/>
    <w:rsid w:val="00BA6A21"/>
    <w:rsid w:val="00BA762F"/>
    <w:rsid w:val="00BB1178"/>
    <w:rsid w:val="00BB14C0"/>
    <w:rsid w:val="00BB5507"/>
    <w:rsid w:val="00BB567C"/>
    <w:rsid w:val="00BC211D"/>
    <w:rsid w:val="00BC21E0"/>
    <w:rsid w:val="00BC231A"/>
    <w:rsid w:val="00BC39AD"/>
    <w:rsid w:val="00BC44E4"/>
    <w:rsid w:val="00BC723C"/>
    <w:rsid w:val="00BD0A91"/>
    <w:rsid w:val="00BD0FD2"/>
    <w:rsid w:val="00BD50C3"/>
    <w:rsid w:val="00BD5157"/>
    <w:rsid w:val="00BD6876"/>
    <w:rsid w:val="00BD6E95"/>
    <w:rsid w:val="00BD737F"/>
    <w:rsid w:val="00BE052B"/>
    <w:rsid w:val="00BE07F0"/>
    <w:rsid w:val="00BE2E32"/>
    <w:rsid w:val="00BE36A4"/>
    <w:rsid w:val="00BE3DA6"/>
    <w:rsid w:val="00BE3F55"/>
    <w:rsid w:val="00BE5CFA"/>
    <w:rsid w:val="00BE5F07"/>
    <w:rsid w:val="00BE63AF"/>
    <w:rsid w:val="00BE7364"/>
    <w:rsid w:val="00BE7A8E"/>
    <w:rsid w:val="00BE7FB4"/>
    <w:rsid w:val="00BF0C3A"/>
    <w:rsid w:val="00BF16A9"/>
    <w:rsid w:val="00BF19D7"/>
    <w:rsid w:val="00BF1A74"/>
    <w:rsid w:val="00BF3125"/>
    <w:rsid w:val="00BF36BD"/>
    <w:rsid w:val="00BF4652"/>
    <w:rsid w:val="00BF4A90"/>
    <w:rsid w:val="00BF55F7"/>
    <w:rsid w:val="00BF5D3D"/>
    <w:rsid w:val="00BF74DB"/>
    <w:rsid w:val="00BF77CB"/>
    <w:rsid w:val="00BF7C0F"/>
    <w:rsid w:val="00C013B2"/>
    <w:rsid w:val="00C038CA"/>
    <w:rsid w:val="00C04019"/>
    <w:rsid w:val="00C041D6"/>
    <w:rsid w:val="00C05328"/>
    <w:rsid w:val="00C0754D"/>
    <w:rsid w:val="00C07E00"/>
    <w:rsid w:val="00C11878"/>
    <w:rsid w:val="00C122B2"/>
    <w:rsid w:val="00C1413A"/>
    <w:rsid w:val="00C14BE0"/>
    <w:rsid w:val="00C1768B"/>
    <w:rsid w:val="00C20818"/>
    <w:rsid w:val="00C22307"/>
    <w:rsid w:val="00C223C9"/>
    <w:rsid w:val="00C22AB2"/>
    <w:rsid w:val="00C231BF"/>
    <w:rsid w:val="00C2325B"/>
    <w:rsid w:val="00C23489"/>
    <w:rsid w:val="00C24D24"/>
    <w:rsid w:val="00C24E92"/>
    <w:rsid w:val="00C24FD8"/>
    <w:rsid w:val="00C2626C"/>
    <w:rsid w:val="00C26E3D"/>
    <w:rsid w:val="00C30072"/>
    <w:rsid w:val="00C30760"/>
    <w:rsid w:val="00C30BA5"/>
    <w:rsid w:val="00C31700"/>
    <w:rsid w:val="00C3174D"/>
    <w:rsid w:val="00C32994"/>
    <w:rsid w:val="00C32FED"/>
    <w:rsid w:val="00C339B7"/>
    <w:rsid w:val="00C33B7E"/>
    <w:rsid w:val="00C34455"/>
    <w:rsid w:val="00C34D62"/>
    <w:rsid w:val="00C3588C"/>
    <w:rsid w:val="00C36682"/>
    <w:rsid w:val="00C36A40"/>
    <w:rsid w:val="00C373A5"/>
    <w:rsid w:val="00C37A28"/>
    <w:rsid w:val="00C403D5"/>
    <w:rsid w:val="00C40668"/>
    <w:rsid w:val="00C40B71"/>
    <w:rsid w:val="00C41209"/>
    <w:rsid w:val="00C41431"/>
    <w:rsid w:val="00C42453"/>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DAE"/>
    <w:rsid w:val="00C5325E"/>
    <w:rsid w:val="00C5364C"/>
    <w:rsid w:val="00C537F2"/>
    <w:rsid w:val="00C5495B"/>
    <w:rsid w:val="00C559B2"/>
    <w:rsid w:val="00C576D5"/>
    <w:rsid w:val="00C57EE7"/>
    <w:rsid w:val="00C615B1"/>
    <w:rsid w:val="00C62A20"/>
    <w:rsid w:val="00C62EEB"/>
    <w:rsid w:val="00C6333F"/>
    <w:rsid w:val="00C64808"/>
    <w:rsid w:val="00C679E5"/>
    <w:rsid w:val="00C70522"/>
    <w:rsid w:val="00C70A86"/>
    <w:rsid w:val="00C72137"/>
    <w:rsid w:val="00C73B25"/>
    <w:rsid w:val="00C752B1"/>
    <w:rsid w:val="00C75331"/>
    <w:rsid w:val="00C80D1C"/>
    <w:rsid w:val="00C80DD9"/>
    <w:rsid w:val="00C80EA1"/>
    <w:rsid w:val="00C811E7"/>
    <w:rsid w:val="00C81F08"/>
    <w:rsid w:val="00C82332"/>
    <w:rsid w:val="00C85CFD"/>
    <w:rsid w:val="00C85EAC"/>
    <w:rsid w:val="00C8628E"/>
    <w:rsid w:val="00C8744C"/>
    <w:rsid w:val="00C904C4"/>
    <w:rsid w:val="00C911C3"/>
    <w:rsid w:val="00C918AF"/>
    <w:rsid w:val="00C91D10"/>
    <w:rsid w:val="00C91D44"/>
    <w:rsid w:val="00C943E9"/>
    <w:rsid w:val="00C944AF"/>
    <w:rsid w:val="00C960FF"/>
    <w:rsid w:val="00CA1640"/>
    <w:rsid w:val="00CA26AF"/>
    <w:rsid w:val="00CA3C0D"/>
    <w:rsid w:val="00CA6B8F"/>
    <w:rsid w:val="00CB0507"/>
    <w:rsid w:val="00CB105A"/>
    <w:rsid w:val="00CB13B7"/>
    <w:rsid w:val="00CB213D"/>
    <w:rsid w:val="00CB2C2D"/>
    <w:rsid w:val="00CB3299"/>
    <w:rsid w:val="00CB387B"/>
    <w:rsid w:val="00CB4738"/>
    <w:rsid w:val="00CB4BF4"/>
    <w:rsid w:val="00CB5171"/>
    <w:rsid w:val="00CB6537"/>
    <w:rsid w:val="00CB6697"/>
    <w:rsid w:val="00CC142E"/>
    <w:rsid w:val="00CC158D"/>
    <w:rsid w:val="00CC1AA7"/>
    <w:rsid w:val="00CC1D77"/>
    <w:rsid w:val="00CC2E18"/>
    <w:rsid w:val="00CC372F"/>
    <w:rsid w:val="00CC40E9"/>
    <w:rsid w:val="00CC4683"/>
    <w:rsid w:val="00CC591E"/>
    <w:rsid w:val="00CD0180"/>
    <w:rsid w:val="00CD0CF3"/>
    <w:rsid w:val="00CD0FD8"/>
    <w:rsid w:val="00CD299A"/>
    <w:rsid w:val="00CD4763"/>
    <w:rsid w:val="00CD527D"/>
    <w:rsid w:val="00CD5910"/>
    <w:rsid w:val="00CD59D2"/>
    <w:rsid w:val="00CD60AB"/>
    <w:rsid w:val="00CD723A"/>
    <w:rsid w:val="00CE10EB"/>
    <w:rsid w:val="00CE145E"/>
    <w:rsid w:val="00CE1C58"/>
    <w:rsid w:val="00CE1FDE"/>
    <w:rsid w:val="00CE251A"/>
    <w:rsid w:val="00CE2857"/>
    <w:rsid w:val="00CE4DB5"/>
    <w:rsid w:val="00CE6563"/>
    <w:rsid w:val="00CE6572"/>
    <w:rsid w:val="00CE6B64"/>
    <w:rsid w:val="00CE7A02"/>
    <w:rsid w:val="00CE7AD7"/>
    <w:rsid w:val="00CE7E51"/>
    <w:rsid w:val="00CF0800"/>
    <w:rsid w:val="00CF11C8"/>
    <w:rsid w:val="00CF1940"/>
    <w:rsid w:val="00CF26F6"/>
    <w:rsid w:val="00CF2D0D"/>
    <w:rsid w:val="00CF2FD6"/>
    <w:rsid w:val="00CF33FA"/>
    <w:rsid w:val="00CF554C"/>
    <w:rsid w:val="00CF55C5"/>
    <w:rsid w:val="00CF5B62"/>
    <w:rsid w:val="00CF5D62"/>
    <w:rsid w:val="00CF64AF"/>
    <w:rsid w:val="00CF657B"/>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31329"/>
    <w:rsid w:val="00D3212F"/>
    <w:rsid w:val="00D32A63"/>
    <w:rsid w:val="00D352DC"/>
    <w:rsid w:val="00D354C8"/>
    <w:rsid w:val="00D355AD"/>
    <w:rsid w:val="00D36BEB"/>
    <w:rsid w:val="00D374FA"/>
    <w:rsid w:val="00D37E3D"/>
    <w:rsid w:val="00D40232"/>
    <w:rsid w:val="00D41812"/>
    <w:rsid w:val="00D42237"/>
    <w:rsid w:val="00D44BE6"/>
    <w:rsid w:val="00D45CCC"/>
    <w:rsid w:val="00D51AAF"/>
    <w:rsid w:val="00D52A1E"/>
    <w:rsid w:val="00D52D4C"/>
    <w:rsid w:val="00D53F1E"/>
    <w:rsid w:val="00D55B96"/>
    <w:rsid w:val="00D560FF"/>
    <w:rsid w:val="00D56A99"/>
    <w:rsid w:val="00D576A7"/>
    <w:rsid w:val="00D57A20"/>
    <w:rsid w:val="00D57F3F"/>
    <w:rsid w:val="00D60181"/>
    <w:rsid w:val="00D602E8"/>
    <w:rsid w:val="00D61A64"/>
    <w:rsid w:val="00D61EAF"/>
    <w:rsid w:val="00D61FA6"/>
    <w:rsid w:val="00D63D76"/>
    <w:rsid w:val="00D66265"/>
    <w:rsid w:val="00D6642D"/>
    <w:rsid w:val="00D67ED4"/>
    <w:rsid w:val="00D70814"/>
    <w:rsid w:val="00D72427"/>
    <w:rsid w:val="00D7363A"/>
    <w:rsid w:val="00D73A1F"/>
    <w:rsid w:val="00D73CD7"/>
    <w:rsid w:val="00D7418F"/>
    <w:rsid w:val="00D75710"/>
    <w:rsid w:val="00D7672D"/>
    <w:rsid w:val="00D76916"/>
    <w:rsid w:val="00D80863"/>
    <w:rsid w:val="00D811EB"/>
    <w:rsid w:val="00D83186"/>
    <w:rsid w:val="00D84834"/>
    <w:rsid w:val="00D84FA1"/>
    <w:rsid w:val="00D858DE"/>
    <w:rsid w:val="00D85C35"/>
    <w:rsid w:val="00D86818"/>
    <w:rsid w:val="00D8720A"/>
    <w:rsid w:val="00D87E35"/>
    <w:rsid w:val="00D9146E"/>
    <w:rsid w:val="00D92EE1"/>
    <w:rsid w:val="00D95A7E"/>
    <w:rsid w:val="00D96188"/>
    <w:rsid w:val="00D968F7"/>
    <w:rsid w:val="00D97333"/>
    <w:rsid w:val="00D9757C"/>
    <w:rsid w:val="00DA031C"/>
    <w:rsid w:val="00DA1C51"/>
    <w:rsid w:val="00DA235F"/>
    <w:rsid w:val="00DA2D9C"/>
    <w:rsid w:val="00DA3018"/>
    <w:rsid w:val="00DA30D0"/>
    <w:rsid w:val="00DA3357"/>
    <w:rsid w:val="00DA46F6"/>
    <w:rsid w:val="00DA47C7"/>
    <w:rsid w:val="00DA784C"/>
    <w:rsid w:val="00DB061B"/>
    <w:rsid w:val="00DB0BA6"/>
    <w:rsid w:val="00DB1AA7"/>
    <w:rsid w:val="00DB309D"/>
    <w:rsid w:val="00DB3249"/>
    <w:rsid w:val="00DB5148"/>
    <w:rsid w:val="00DB6094"/>
    <w:rsid w:val="00DB61D6"/>
    <w:rsid w:val="00DB70C1"/>
    <w:rsid w:val="00DB7FDF"/>
    <w:rsid w:val="00DC06F5"/>
    <w:rsid w:val="00DC2E6B"/>
    <w:rsid w:val="00DC3317"/>
    <w:rsid w:val="00DC3D39"/>
    <w:rsid w:val="00DC3DB0"/>
    <w:rsid w:val="00DC4EAF"/>
    <w:rsid w:val="00DC51B0"/>
    <w:rsid w:val="00DC5974"/>
    <w:rsid w:val="00DC71E9"/>
    <w:rsid w:val="00DC7864"/>
    <w:rsid w:val="00DD0A38"/>
    <w:rsid w:val="00DD20CC"/>
    <w:rsid w:val="00DD2AD2"/>
    <w:rsid w:val="00DD35C8"/>
    <w:rsid w:val="00DD3E15"/>
    <w:rsid w:val="00DD4AF8"/>
    <w:rsid w:val="00DD4C35"/>
    <w:rsid w:val="00DD7240"/>
    <w:rsid w:val="00DE07A2"/>
    <w:rsid w:val="00DE0845"/>
    <w:rsid w:val="00DE0B23"/>
    <w:rsid w:val="00DE3674"/>
    <w:rsid w:val="00DE39DA"/>
    <w:rsid w:val="00DE4E30"/>
    <w:rsid w:val="00DE754C"/>
    <w:rsid w:val="00DE784D"/>
    <w:rsid w:val="00DF044E"/>
    <w:rsid w:val="00DF0479"/>
    <w:rsid w:val="00DF0DEA"/>
    <w:rsid w:val="00DF1399"/>
    <w:rsid w:val="00DF153E"/>
    <w:rsid w:val="00DF2923"/>
    <w:rsid w:val="00DF4F2A"/>
    <w:rsid w:val="00DF59CC"/>
    <w:rsid w:val="00DF6B06"/>
    <w:rsid w:val="00E012C9"/>
    <w:rsid w:val="00E039A0"/>
    <w:rsid w:val="00E04CFC"/>
    <w:rsid w:val="00E05936"/>
    <w:rsid w:val="00E05E0A"/>
    <w:rsid w:val="00E06891"/>
    <w:rsid w:val="00E070FC"/>
    <w:rsid w:val="00E10C15"/>
    <w:rsid w:val="00E11260"/>
    <w:rsid w:val="00E11687"/>
    <w:rsid w:val="00E11EF4"/>
    <w:rsid w:val="00E14943"/>
    <w:rsid w:val="00E15771"/>
    <w:rsid w:val="00E17AD9"/>
    <w:rsid w:val="00E20C74"/>
    <w:rsid w:val="00E214BB"/>
    <w:rsid w:val="00E23F1C"/>
    <w:rsid w:val="00E26A26"/>
    <w:rsid w:val="00E26A46"/>
    <w:rsid w:val="00E26A5E"/>
    <w:rsid w:val="00E26E4D"/>
    <w:rsid w:val="00E306B1"/>
    <w:rsid w:val="00E30739"/>
    <w:rsid w:val="00E315C6"/>
    <w:rsid w:val="00E31BD5"/>
    <w:rsid w:val="00E31E46"/>
    <w:rsid w:val="00E32544"/>
    <w:rsid w:val="00E327F8"/>
    <w:rsid w:val="00E34787"/>
    <w:rsid w:val="00E352F7"/>
    <w:rsid w:val="00E354FF"/>
    <w:rsid w:val="00E366ED"/>
    <w:rsid w:val="00E403B7"/>
    <w:rsid w:val="00E404DD"/>
    <w:rsid w:val="00E40565"/>
    <w:rsid w:val="00E41904"/>
    <w:rsid w:val="00E41E56"/>
    <w:rsid w:val="00E42319"/>
    <w:rsid w:val="00E42375"/>
    <w:rsid w:val="00E42F79"/>
    <w:rsid w:val="00E43DBE"/>
    <w:rsid w:val="00E442A9"/>
    <w:rsid w:val="00E449BB"/>
    <w:rsid w:val="00E45C59"/>
    <w:rsid w:val="00E46E4E"/>
    <w:rsid w:val="00E47509"/>
    <w:rsid w:val="00E50454"/>
    <w:rsid w:val="00E5185E"/>
    <w:rsid w:val="00E5241F"/>
    <w:rsid w:val="00E53306"/>
    <w:rsid w:val="00E53BEB"/>
    <w:rsid w:val="00E54620"/>
    <w:rsid w:val="00E54EC5"/>
    <w:rsid w:val="00E55456"/>
    <w:rsid w:val="00E55E5B"/>
    <w:rsid w:val="00E56677"/>
    <w:rsid w:val="00E5699A"/>
    <w:rsid w:val="00E56CA3"/>
    <w:rsid w:val="00E56CB6"/>
    <w:rsid w:val="00E56D8A"/>
    <w:rsid w:val="00E57492"/>
    <w:rsid w:val="00E575BB"/>
    <w:rsid w:val="00E5790F"/>
    <w:rsid w:val="00E600EC"/>
    <w:rsid w:val="00E601FA"/>
    <w:rsid w:val="00E60D3B"/>
    <w:rsid w:val="00E614E4"/>
    <w:rsid w:val="00E62686"/>
    <w:rsid w:val="00E62919"/>
    <w:rsid w:val="00E633BC"/>
    <w:rsid w:val="00E639E7"/>
    <w:rsid w:val="00E64BE1"/>
    <w:rsid w:val="00E650FB"/>
    <w:rsid w:val="00E65636"/>
    <w:rsid w:val="00E65795"/>
    <w:rsid w:val="00E672D5"/>
    <w:rsid w:val="00E675DD"/>
    <w:rsid w:val="00E67CA4"/>
    <w:rsid w:val="00E721E8"/>
    <w:rsid w:val="00E7244E"/>
    <w:rsid w:val="00E730C1"/>
    <w:rsid w:val="00E739DC"/>
    <w:rsid w:val="00E757F1"/>
    <w:rsid w:val="00E7684F"/>
    <w:rsid w:val="00E77271"/>
    <w:rsid w:val="00E7767A"/>
    <w:rsid w:val="00E776B3"/>
    <w:rsid w:val="00E77A19"/>
    <w:rsid w:val="00E800C6"/>
    <w:rsid w:val="00E80CC4"/>
    <w:rsid w:val="00E827B0"/>
    <w:rsid w:val="00E8592E"/>
    <w:rsid w:val="00E871B5"/>
    <w:rsid w:val="00E91389"/>
    <w:rsid w:val="00E920F5"/>
    <w:rsid w:val="00E93004"/>
    <w:rsid w:val="00E9304F"/>
    <w:rsid w:val="00E94B2A"/>
    <w:rsid w:val="00E94CCC"/>
    <w:rsid w:val="00E97C76"/>
    <w:rsid w:val="00EA03FB"/>
    <w:rsid w:val="00EA293F"/>
    <w:rsid w:val="00EA2CE5"/>
    <w:rsid w:val="00EA3B60"/>
    <w:rsid w:val="00EA3BD9"/>
    <w:rsid w:val="00EA43F9"/>
    <w:rsid w:val="00EA4672"/>
    <w:rsid w:val="00EA5FD2"/>
    <w:rsid w:val="00EA6819"/>
    <w:rsid w:val="00EA7DCB"/>
    <w:rsid w:val="00EB06DB"/>
    <w:rsid w:val="00EB0970"/>
    <w:rsid w:val="00EB1795"/>
    <w:rsid w:val="00EB1B95"/>
    <w:rsid w:val="00EB2025"/>
    <w:rsid w:val="00EB275D"/>
    <w:rsid w:val="00EB30B1"/>
    <w:rsid w:val="00EB40CD"/>
    <w:rsid w:val="00EB4783"/>
    <w:rsid w:val="00EB52B7"/>
    <w:rsid w:val="00EB555A"/>
    <w:rsid w:val="00EB6917"/>
    <w:rsid w:val="00EB6D9E"/>
    <w:rsid w:val="00EB714A"/>
    <w:rsid w:val="00EB73BF"/>
    <w:rsid w:val="00EC30D6"/>
    <w:rsid w:val="00EC48A2"/>
    <w:rsid w:val="00EC5D4A"/>
    <w:rsid w:val="00EC5F81"/>
    <w:rsid w:val="00EC61E1"/>
    <w:rsid w:val="00EC7476"/>
    <w:rsid w:val="00ED02AA"/>
    <w:rsid w:val="00ED1532"/>
    <w:rsid w:val="00ED1A51"/>
    <w:rsid w:val="00ED2622"/>
    <w:rsid w:val="00ED317E"/>
    <w:rsid w:val="00ED5D1F"/>
    <w:rsid w:val="00ED71C8"/>
    <w:rsid w:val="00ED7A21"/>
    <w:rsid w:val="00EE12DA"/>
    <w:rsid w:val="00EE21F5"/>
    <w:rsid w:val="00EE21FC"/>
    <w:rsid w:val="00EE39CE"/>
    <w:rsid w:val="00EE3CF7"/>
    <w:rsid w:val="00EE4AD7"/>
    <w:rsid w:val="00EE57F8"/>
    <w:rsid w:val="00EF13B0"/>
    <w:rsid w:val="00EF14F8"/>
    <w:rsid w:val="00EF1D87"/>
    <w:rsid w:val="00EF26ED"/>
    <w:rsid w:val="00EF2A7B"/>
    <w:rsid w:val="00EF5A96"/>
    <w:rsid w:val="00EF61EE"/>
    <w:rsid w:val="00EF7B43"/>
    <w:rsid w:val="00F01F5D"/>
    <w:rsid w:val="00F02042"/>
    <w:rsid w:val="00F055CD"/>
    <w:rsid w:val="00F05AEE"/>
    <w:rsid w:val="00F05F97"/>
    <w:rsid w:val="00F075BE"/>
    <w:rsid w:val="00F11393"/>
    <w:rsid w:val="00F1370D"/>
    <w:rsid w:val="00F13A79"/>
    <w:rsid w:val="00F13DCF"/>
    <w:rsid w:val="00F14705"/>
    <w:rsid w:val="00F14FBE"/>
    <w:rsid w:val="00F15419"/>
    <w:rsid w:val="00F16228"/>
    <w:rsid w:val="00F16680"/>
    <w:rsid w:val="00F16CA2"/>
    <w:rsid w:val="00F203B9"/>
    <w:rsid w:val="00F205AA"/>
    <w:rsid w:val="00F205F2"/>
    <w:rsid w:val="00F230F8"/>
    <w:rsid w:val="00F2397A"/>
    <w:rsid w:val="00F243D3"/>
    <w:rsid w:val="00F244F7"/>
    <w:rsid w:val="00F24D1D"/>
    <w:rsid w:val="00F25BE3"/>
    <w:rsid w:val="00F306A6"/>
    <w:rsid w:val="00F307FE"/>
    <w:rsid w:val="00F30FE5"/>
    <w:rsid w:val="00F325DD"/>
    <w:rsid w:val="00F32BD7"/>
    <w:rsid w:val="00F33BF5"/>
    <w:rsid w:val="00F33ED7"/>
    <w:rsid w:val="00F35539"/>
    <w:rsid w:val="00F36769"/>
    <w:rsid w:val="00F37338"/>
    <w:rsid w:val="00F3783E"/>
    <w:rsid w:val="00F4109E"/>
    <w:rsid w:val="00F41B76"/>
    <w:rsid w:val="00F433FC"/>
    <w:rsid w:val="00F45873"/>
    <w:rsid w:val="00F4642C"/>
    <w:rsid w:val="00F466DD"/>
    <w:rsid w:val="00F46A6E"/>
    <w:rsid w:val="00F50803"/>
    <w:rsid w:val="00F53395"/>
    <w:rsid w:val="00F553BB"/>
    <w:rsid w:val="00F558D0"/>
    <w:rsid w:val="00F56A57"/>
    <w:rsid w:val="00F60506"/>
    <w:rsid w:val="00F61CAD"/>
    <w:rsid w:val="00F62A3B"/>
    <w:rsid w:val="00F62CD5"/>
    <w:rsid w:val="00F63621"/>
    <w:rsid w:val="00F65A65"/>
    <w:rsid w:val="00F65E30"/>
    <w:rsid w:val="00F66D1E"/>
    <w:rsid w:val="00F70069"/>
    <w:rsid w:val="00F70305"/>
    <w:rsid w:val="00F70669"/>
    <w:rsid w:val="00F70887"/>
    <w:rsid w:val="00F71590"/>
    <w:rsid w:val="00F71D5A"/>
    <w:rsid w:val="00F7239C"/>
    <w:rsid w:val="00F726D2"/>
    <w:rsid w:val="00F74BE7"/>
    <w:rsid w:val="00F75A35"/>
    <w:rsid w:val="00F77F9B"/>
    <w:rsid w:val="00F808FA"/>
    <w:rsid w:val="00F80F47"/>
    <w:rsid w:val="00F81BC9"/>
    <w:rsid w:val="00F82A26"/>
    <w:rsid w:val="00F84BEF"/>
    <w:rsid w:val="00F84C68"/>
    <w:rsid w:val="00F84D80"/>
    <w:rsid w:val="00F90162"/>
    <w:rsid w:val="00F9060E"/>
    <w:rsid w:val="00F91424"/>
    <w:rsid w:val="00F948AF"/>
    <w:rsid w:val="00F96FBC"/>
    <w:rsid w:val="00F97E2A"/>
    <w:rsid w:val="00FA0E2A"/>
    <w:rsid w:val="00FA104D"/>
    <w:rsid w:val="00FA1BC6"/>
    <w:rsid w:val="00FA24AD"/>
    <w:rsid w:val="00FA3644"/>
    <w:rsid w:val="00FA4057"/>
    <w:rsid w:val="00FA41FD"/>
    <w:rsid w:val="00FA4592"/>
    <w:rsid w:val="00FA4CBF"/>
    <w:rsid w:val="00FA5427"/>
    <w:rsid w:val="00FA7A31"/>
    <w:rsid w:val="00FB2D8D"/>
    <w:rsid w:val="00FB2DCE"/>
    <w:rsid w:val="00FB3FB6"/>
    <w:rsid w:val="00FB4934"/>
    <w:rsid w:val="00FB4DCB"/>
    <w:rsid w:val="00FB5654"/>
    <w:rsid w:val="00FB6BA1"/>
    <w:rsid w:val="00FB7293"/>
    <w:rsid w:val="00FC0803"/>
    <w:rsid w:val="00FC0A93"/>
    <w:rsid w:val="00FC2FA9"/>
    <w:rsid w:val="00FC415E"/>
    <w:rsid w:val="00FC429D"/>
    <w:rsid w:val="00FC4424"/>
    <w:rsid w:val="00FC4810"/>
    <w:rsid w:val="00FC4E8E"/>
    <w:rsid w:val="00FC55EA"/>
    <w:rsid w:val="00FC6DCD"/>
    <w:rsid w:val="00FC6E56"/>
    <w:rsid w:val="00FC7256"/>
    <w:rsid w:val="00FC7763"/>
    <w:rsid w:val="00FD0565"/>
    <w:rsid w:val="00FD0ADE"/>
    <w:rsid w:val="00FD0EB4"/>
    <w:rsid w:val="00FD101C"/>
    <w:rsid w:val="00FD1288"/>
    <w:rsid w:val="00FD2C95"/>
    <w:rsid w:val="00FD4B57"/>
    <w:rsid w:val="00FD573E"/>
    <w:rsid w:val="00FD5A11"/>
    <w:rsid w:val="00FD686C"/>
    <w:rsid w:val="00FE4C50"/>
    <w:rsid w:val="00FE4E37"/>
    <w:rsid w:val="00FE5E15"/>
    <w:rsid w:val="00FE6042"/>
    <w:rsid w:val="00FE68A4"/>
    <w:rsid w:val="00FF0769"/>
    <w:rsid w:val="00FF29C1"/>
    <w:rsid w:val="00FF3171"/>
    <w:rsid w:val="00FF383F"/>
    <w:rsid w:val="00FF3DC6"/>
    <w:rsid w:val="00FF7FD1"/>
    <w:rsid w:val="010A06C2"/>
    <w:rsid w:val="015C3189"/>
    <w:rsid w:val="01D17056"/>
    <w:rsid w:val="02345166"/>
    <w:rsid w:val="026A1647"/>
    <w:rsid w:val="028D6557"/>
    <w:rsid w:val="02A76688"/>
    <w:rsid w:val="038B442D"/>
    <w:rsid w:val="041F1464"/>
    <w:rsid w:val="06E40EB7"/>
    <w:rsid w:val="0787318A"/>
    <w:rsid w:val="07AB6C6D"/>
    <w:rsid w:val="08115BCE"/>
    <w:rsid w:val="08D579D6"/>
    <w:rsid w:val="0A740967"/>
    <w:rsid w:val="0BFF6C44"/>
    <w:rsid w:val="0ECA7307"/>
    <w:rsid w:val="0F133DC8"/>
    <w:rsid w:val="0FEA1E99"/>
    <w:rsid w:val="11205B6F"/>
    <w:rsid w:val="11A834FE"/>
    <w:rsid w:val="128738E2"/>
    <w:rsid w:val="136F776B"/>
    <w:rsid w:val="13BD78BD"/>
    <w:rsid w:val="14126D1C"/>
    <w:rsid w:val="145E4F90"/>
    <w:rsid w:val="1706478A"/>
    <w:rsid w:val="174A0978"/>
    <w:rsid w:val="18C232D1"/>
    <w:rsid w:val="19103768"/>
    <w:rsid w:val="19E440DD"/>
    <w:rsid w:val="1A42165B"/>
    <w:rsid w:val="1AC10CF3"/>
    <w:rsid w:val="1B662986"/>
    <w:rsid w:val="1C632B49"/>
    <w:rsid w:val="1D855326"/>
    <w:rsid w:val="1E0934A6"/>
    <w:rsid w:val="1E0B1FC4"/>
    <w:rsid w:val="1F057CB3"/>
    <w:rsid w:val="2225345A"/>
    <w:rsid w:val="22A15D8C"/>
    <w:rsid w:val="23080E27"/>
    <w:rsid w:val="239504E5"/>
    <w:rsid w:val="242E2914"/>
    <w:rsid w:val="248400FD"/>
    <w:rsid w:val="25350A97"/>
    <w:rsid w:val="25EA6A75"/>
    <w:rsid w:val="261E5162"/>
    <w:rsid w:val="2676630B"/>
    <w:rsid w:val="28133675"/>
    <w:rsid w:val="283E4B96"/>
    <w:rsid w:val="28AD5878"/>
    <w:rsid w:val="28BC5ABB"/>
    <w:rsid w:val="29E277A3"/>
    <w:rsid w:val="2BD5603C"/>
    <w:rsid w:val="2D4A545C"/>
    <w:rsid w:val="2E57648C"/>
    <w:rsid w:val="2E872659"/>
    <w:rsid w:val="2EDA4EED"/>
    <w:rsid w:val="2F280E0A"/>
    <w:rsid w:val="2F3F5EDD"/>
    <w:rsid w:val="2F5E78DC"/>
    <w:rsid w:val="2F6316AC"/>
    <w:rsid w:val="2F665AD5"/>
    <w:rsid w:val="2F7215C9"/>
    <w:rsid w:val="2FAF7284"/>
    <w:rsid w:val="2FB44AFF"/>
    <w:rsid w:val="31085D41"/>
    <w:rsid w:val="319C3EB6"/>
    <w:rsid w:val="322746E6"/>
    <w:rsid w:val="33102FE4"/>
    <w:rsid w:val="33A44626"/>
    <w:rsid w:val="34965A99"/>
    <w:rsid w:val="34BB4712"/>
    <w:rsid w:val="34EE2CE3"/>
    <w:rsid w:val="352D4996"/>
    <w:rsid w:val="35B56CBA"/>
    <w:rsid w:val="3623361D"/>
    <w:rsid w:val="36894C7C"/>
    <w:rsid w:val="37084DD9"/>
    <w:rsid w:val="37182A56"/>
    <w:rsid w:val="372D6F39"/>
    <w:rsid w:val="375A7A49"/>
    <w:rsid w:val="379E2C79"/>
    <w:rsid w:val="37EE6074"/>
    <w:rsid w:val="392A68EA"/>
    <w:rsid w:val="399F260B"/>
    <w:rsid w:val="39E81604"/>
    <w:rsid w:val="3A58543D"/>
    <w:rsid w:val="3A7F6446"/>
    <w:rsid w:val="3B033D64"/>
    <w:rsid w:val="3C1023D0"/>
    <w:rsid w:val="3C8057A8"/>
    <w:rsid w:val="3C945361"/>
    <w:rsid w:val="3DB33860"/>
    <w:rsid w:val="3DD3678B"/>
    <w:rsid w:val="3E1E407C"/>
    <w:rsid w:val="3F063891"/>
    <w:rsid w:val="3F0B2E4A"/>
    <w:rsid w:val="3FAE3F57"/>
    <w:rsid w:val="3FDF193C"/>
    <w:rsid w:val="40C2612F"/>
    <w:rsid w:val="40CC580E"/>
    <w:rsid w:val="4177490C"/>
    <w:rsid w:val="4190470F"/>
    <w:rsid w:val="426425B1"/>
    <w:rsid w:val="42AC41EC"/>
    <w:rsid w:val="433257F7"/>
    <w:rsid w:val="435766B4"/>
    <w:rsid w:val="44EF02E4"/>
    <w:rsid w:val="45A97379"/>
    <w:rsid w:val="46B302C4"/>
    <w:rsid w:val="46EB2E4B"/>
    <w:rsid w:val="4824348B"/>
    <w:rsid w:val="4B557640"/>
    <w:rsid w:val="4B8D1C10"/>
    <w:rsid w:val="4C5B1E58"/>
    <w:rsid w:val="4CA70C55"/>
    <w:rsid w:val="4D7621EC"/>
    <w:rsid w:val="4EDB5509"/>
    <w:rsid w:val="4F0A109E"/>
    <w:rsid w:val="50ED6702"/>
    <w:rsid w:val="515B1FDA"/>
    <w:rsid w:val="520D4D8B"/>
    <w:rsid w:val="5264494A"/>
    <w:rsid w:val="526D7731"/>
    <w:rsid w:val="52FB68F0"/>
    <w:rsid w:val="53892B32"/>
    <w:rsid w:val="54085ED4"/>
    <w:rsid w:val="557D7747"/>
    <w:rsid w:val="55885455"/>
    <w:rsid w:val="560172E8"/>
    <w:rsid w:val="56335103"/>
    <w:rsid w:val="56375EB3"/>
    <w:rsid w:val="56F808AB"/>
    <w:rsid w:val="578C0BCA"/>
    <w:rsid w:val="5799052B"/>
    <w:rsid w:val="57E3621A"/>
    <w:rsid w:val="58E70947"/>
    <w:rsid w:val="59210374"/>
    <w:rsid w:val="597A370B"/>
    <w:rsid w:val="59E5200B"/>
    <w:rsid w:val="5A1C50E2"/>
    <w:rsid w:val="5AC870B5"/>
    <w:rsid w:val="5B2E1BF4"/>
    <w:rsid w:val="5D7E2782"/>
    <w:rsid w:val="5DE61799"/>
    <w:rsid w:val="5F35215C"/>
    <w:rsid w:val="5FE027CD"/>
    <w:rsid w:val="605A31E7"/>
    <w:rsid w:val="60A2320D"/>
    <w:rsid w:val="63047C37"/>
    <w:rsid w:val="64C768E1"/>
    <w:rsid w:val="66705C2C"/>
    <w:rsid w:val="66A85FD7"/>
    <w:rsid w:val="672E1997"/>
    <w:rsid w:val="67BC3EB5"/>
    <w:rsid w:val="692844CB"/>
    <w:rsid w:val="69886878"/>
    <w:rsid w:val="69DC7610"/>
    <w:rsid w:val="69E77795"/>
    <w:rsid w:val="6A2B6EE6"/>
    <w:rsid w:val="6AE24013"/>
    <w:rsid w:val="6B602687"/>
    <w:rsid w:val="6BC01105"/>
    <w:rsid w:val="6BD72ECB"/>
    <w:rsid w:val="6D7B106D"/>
    <w:rsid w:val="6F2D3F54"/>
    <w:rsid w:val="6FD22B71"/>
    <w:rsid w:val="70197129"/>
    <w:rsid w:val="70235122"/>
    <w:rsid w:val="703E0E1F"/>
    <w:rsid w:val="70A5325C"/>
    <w:rsid w:val="70FB3778"/>
    <w:rsid w:val="70FD013C"/>
    <w:rsid w:val="71115BC0"/>
    <w:rsid w:val="71936A2A"/>
    <w:rsid w:val="71A333EF"/>
    <w:rsid w:val="722E105A"/>
    <w:rsid w:val="72521675"/>
    <w:rsid w:val="73280205"/>
    <w:rsid w:val="73E47E00"/>
    <w:rsid w:val="75B275F6"/>
    <w:rsid w:val="75FE2976"/>
    <w:rsid w:val="77493F8A"/>
    <w:rsid w:val="779F348D"/>
    <w:rsid w:val="785C0313"/>
    <w:rsid w:val="79100361"/>
    <w:rsid w:val="79B53322"/>
    <w:rsid w:val="79FA4AE7"/>
    <w:rsid w:val="7AE91D0C"/>
    <w:rsid w:val="7B771652"/>
    <w:rsid w:val="7CE84A64"/>
    <w:rsid w:val="7D34238C"/>
    <w:rsid w:val="7D934FD8"/>
    <w:rsid w:val="7D9836D6"/>
    <w:rsid w:val="7EDB3CD2"/>
    <w:rsid w:val="7FD15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uiPriority="0" w:name="heading 6"/>
    <w:lsdException w:uiPriority="0" w:name="heading 7"/>
    <w:lsdException w:uiPriority="0" w:name="heading 8"/>
    <w:lsdException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2"/>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7"/>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0"/>
    <w:pPr>
      <w:keepNext/>
      <w:keepLines/>
      <w:widowControl/>
      <w:spacing w:before="120" w:after="120" w:line="360" w:lineRule="auto"/>
      <w:jc w:val="center"/>
      <w:outlineLvl w:val="3"/>
    </w:pPr>
    <w:rPr>
      <w:rFonts w:eastAsia="Ђˎ̥"/>
      <w:kern w:val="0"/>
      <w:sz w:val="28"/>
      <w:szCs w:val="20"/>
    </w:rPr>
  </w:style>
  <w:style w:type="paragraph" w:styleId="6">
    <w:name w:val="heading 5"/>
    <w:basedOn w:val="1"/>
    <w:next w:val="1"/>
    <w:link w:val="43"/>
    <w:autoRedefine/>
    <w:qFormat/>
    <w:uiPriority w:val="0"/>
    <w:pPr>
      <w:keepNext/>
      <w:keepLines/>
      <w:numPr>
        <w:ilvl w:val="4"/>
        <w:numId w:val="1"/>
      </w:numPr>
      <w:spacing w:before="280" w:after="290" w:line="376" w:lineRule="auto"/>
      <w:outlineLvl w:val="4"/>
    </w:pPr>
    <w:rPr>
      <w:b/>
      <w:sz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autoRedefine/>
    <w:qFormat/>
    <w:uiPriority w:val="0"/>
    <w:pPr>
      <w:ind w:left="2520" w:leftChars="1200"/>
    </w:pPr>
  </w:style>
  <w:style w:type="paragraph" w:styleId="8">
    <w:name w:val="Normal Indent"/>
    <w:basedOn w:val="1"/>
    <w:autoRedefine/>
    <w:qFormat/>
    <w:uiPriority w:val="0"/>
    <w:pPr>
      <w:ind w:firstLine="420"/>
    </w:pPr>
    <w:rPr>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annotation text"/>
    <w:basedOn w:val="1"/>
    <w:link w:val="33"/>
    <w:unhideWhenUsed/>
    <w:qFormat/>
    <w:uiPriority w:val="99"/>
    <w:pPr>
      <w:jc w:val="left"/>
    </w:pPr>
  </w:style>
  <w:style w:type="paragraph" w:styleId="11">
    <w:name w:val="Body Text 3"/>
    <w:basedOn w:val="1"/>
    <w:link w:val="44"/>
    <w:autoRedefine/>
    <w:qFormat/>
    <w:uiPriority w:val="0"/>
    <w:pPr>
      <w:spacing w:line="500" w:lineRule="exact"/>
    </w:pPr>
    <w:rPr>
      <w:b/>
      <w:bCs/>
      <w:kern w:val="0"/>
      <w:sz w:val="24"/>
    </w:rPr>
  </w:style>
  <w:style w:type="paragraph" w:styleId="12">
    <w:name w:val="Body Text"/>
    <w:basedOn w:val="1"/>
    <w:link w:val="40"/>
    <w:qFormat/>
    <w:uiPriority w:val="99"/>
    <w:pPr>
      <w:spacing w:line="380" w:lineRule="exact"/>
    </w:pPr>
    <w:rPr>
      <w:kern w:val="0"/>
      <w:sz w:val="24"/>
    </w:rPr>
  </w:style>
  <w:style w:type="paragraph" w:styleId="13">
    <w:name w:val="Body Text Indent"/>
    <w:basedOn w:val="1"/>
    <w:link w:val="45"/>
    <w:qFormat/>
    <w:uiPriority w:val="0"/>
    <w:pPr>
      <w:ind w:firstLine="830" w:firstLineChars="352"/>
    </w:pPr>
    <w:rPr>
      <w:rFonts w:ascii="仿宋_GB2312" w:eastAsia="仿宋_GB2312"/>
      <w:kern w:val="0"/>
      <w:sz w:val="32"/>
      <w:szCs w:val="20"/>
    </w:rPr>
  </w:style>
  <w:style w:type="paragraph" w:styleId="14">
    <w:name w:val="Plain Text"/>
    <w:basedOn w:val="1"/>
    <w:next w:val="5"/>
    <w:link w:val="38"/>
    <w:qFormat/>
    <w:uiPriority w:val="0"/>
    <w:rPr>
      <w:rFonts w:ascii="宋体" w:hAnsi="Courier New"/>
      <w:kern w:val="0"/>
      <w:sz w:val="20"/>
      <w:szCs w:val="21"/>
    </w:rPr>
  </w:style>
  <w:style w:type="paragraph" w:styleId="15">
    <w:name w:val="Balloon Text"/>
    <w:basedOn w:val="1"/>
    <w:link w:val="32"/>
    <w:autoRedefine/>
    <w:qFormat/>
    <w:uiPriority w:val="0"/>
    <w:rPr>
      <w:sz w:val="18"/>
      <w:szCs w:val="18"/>
    </w:rPr>
  </w:style>
  <w:style w:type="paragraph" w:styleId="16">
    <w:name w:val="footer"/>
    <w:basedOn w:val="1"/>
    <w:link w:val="46"/>
    <w:autoRedefine/>
    <w:unhideWhenUsed/>
    <w:qFormat/>
    <w:uiPriority w:val="99"/>
    <w:pPr>
      <w:tabs>
        <w:tab w:val="center" w:pos="4153"/>
        <w:tab w:val="right" w:pos="8306"/>
      </w:tabs>
      <w:snapToGrid w:val="0"/>
      <w:jc w:val="left"/>
    </w:pPr>
    <w:rPr>
      <w:kern w:val="0"/>
      <w:sz w:val="18"/>
      <w:szCs w:val="18"/>
    </w:rPr>
  </w:style>
  <w:style w:type="paragraph" w:styleId="17">
    <w:name w:val="header"/>
    <w:basedOn w:val="1"/>
    <w:link w:val="47"/>
    <w:autoRedefine/>
    <w:unhideWhenUsed/>
    <w:qFormat/>
    <w:uiPriority w:val="99"/>
    <w:pPr>
      <w:pBdr>
        <w:bottom w:val="single" w:color="auto" w:sz="6" w:space="1"/>
      </w:pBdr>
      <w:tabs>
        <w:tab w:val="center" w:pos="0"/>
        <w:tab w:val="left" w:pos="8306"/>
      </w:tabs>
      <w:snapToGrid w:val="0"/>
      <w:jc w:val="center"/>
    </w:pPr>
    <w:rPr>
      <w:sz w:val="18"/>
      <w:szCs w:val="18"/>
    </w:rPr>
  </w:style>
  <w:style w:type="paragraph" w:styleId="18">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19">
    <w:name w:val="List"/>
    <w:basedOn w:val="1"/>
    <w:autoRedefine/>
    <w:qFormat/>
    <w:uiPriority w:val="0"/>
    <w:pPr>
      <w:ind w:left="200" w:hanging="200" w:hangingChars="200"/>
    </w:pPr>
    <w:rPr>
      <w:sz w:val="28"/>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autoRedefine/>
    <w:qFormat/>
    <w:uiPriority w:val="10"/>
    <w:pPr>
      <w:spacing w:before="240" w:after="60"/>
      <w:jc w:val="center"/>
      <w:outlineLvl w:val="0"/>
    </w:pPr>
    <w:rPr>
      <w:rFonts w:ascii="Cambria" w:hAnsi="Cambria"/>
      <w:b/>
      <w:bCs/>
      <w:sz w:val="32"/>
      <w:szCs w:val="32"/>
    </w:rPr>
  </w:style>
  <w:style w:type="paragraph" w:styleId="22">
    <w:name w:val="annotation subject"/>
    <w:basedOn w:val="10"/>
    <w:next w:val="10"/>
    <w:link w:val="34"/>
    <w:autoRedefine/>
    <w:qFormat/>
    <w:uiPriority w:val="0"/>
    <w:rPr>
      <w:b/>
      <w:bCs/>
    </w:rPr>
  </w:style>
  <w:style w:type="character" w:styleId="25">
    <w:name w:val="Strong"/>
    <w:basedOn w:val="24"/>
    <w:autoRedefine/>
    <w:qFormat/>
    <w:uiPriority w:val="0"/>
    <w:rPr>
      <w:b/>
    </w:rPr>
  </w:style>
  <w:style w:type="character" w:styleId="26">
    <w:name w:val="page number"/>
    <w:autoRedefine/>
    <w:qFormat/>
    <w:uiPriority w:val="0"/>
  </w:style>
  <w:style w:type="character" w:styleId="27">
    <w:name w:val="Hyperlink"/>
    <w:autoRedefine/>
    <w:qFormat/>
    <w:uiPriority w:val="99"/>
    <w:rPr>
      <w:color w:val="0000FF"/>
      <w:u w:val="single"/>
    </w:rPr>
  </w:style>
  <w:style w:type="character" w:styleId="28">
    <w:name w:val="annotation reference"/>
    <w:autoRedefine/>
    <w:unhideWhenUsed/>
    <w:qFormat/>
    <w:uiPriority w:val="0"/>
    <w:rPr>
      <w:sz w:val="21"/>
      <w:szCs w:val="21"/>
    </w:rPr>
  </w:style>
  <w:style w:type="paragraph" w:customStyle="1" w:styleId="29">
    <w:name w:val="Table Paragraph"/>
    <w:basedOn w:val="1"/>
    <w:autoRedefine/>
    <w:qFormat/>
    <w:uiPriority w:val="1"/>
    <w:pPr>
      <w:jc w:val="left"/>
    </w:pPr>
    <w:rPr>
      <w:rFonts w:ascii="Calibri" w:hAnsi="Calibri"/>
      <w:kern w:val="0"/>
      <w:sz w:val="22"/>
      <w:szCs w:val="22"/>
      <w:lang w:eastAsia="en-US"/>
    </w:rPr>
  </w:style>
  <w:style w:type="character" w:customStyle="1" w:styleId="30">
    <w:name w:val="正文文本 (26) + 间距 0 pt"/>
    <w:autoRedefine/>
    <w:qFormat/>
    <w:uiPriority w:val="0"/>
    <w:rPr>
      <w:rFonts w:ascii="宋体" w:hAnsi="宋体" w:eastAsia="宋体" w:cs="宋体"/>
      <w:color w:val="000000"/>
      <w:spacing w:val="0"/>
      <w:w w:val="100"/>
      <w:sz w:val="22"/>
      <w:szCs w:val="22"/>
      <w:u w:val="none"/>
      <w:lang w:val="zh-CN" w:eastAsia="zh-CN" w:bidi="zh-CN"/>
    </w:rPr>
  </w:style>
  <w:style w:type="paragraph" w:customStyle="1" w:styleId="31">
    <w:name w:val="正文2"/>
    <w:basedOn w:val="1"/>
    <w:qFormat/>
    <w:uiPriority w:val="0"/>
    <w:pPr>
      <w:adjustRightInd w:val="0"/>
      <w:spacing w:before="156" w:line="360" w:lineRule="auto"/>
      <w:ind w:firstLine="510" w:firstLineChars="200"/>
    </w:pPr>
    <w:rPr>
      <w:sz w:val="24"/>
      <w:szCs w:val="20"/>
    </w:rPr>
  </w:style>
  <w:style w:type="character" w:customStyle="1" w:styleId="32">
    <w:name w:val="批注框文本 Char"/>
    <w:basedOn w:val="24"/>
    <w:link w:val="15"/>
    <w:autoRedefine/>
    <w:qFormat/>
    <w:uiPriority w:val="0"/>
    <w:rPr>
      <w:rFonts w:ascii="Times New Roman" w:hAnsi="Times New Roman" w:eastAsia="宋体" w:cs="Times New Roman"/>
      <w:kern w:val="2"/>
      <w:sz w:val="18"/>
      <w:szCs w:val="18"/>
    </w:rPr>
  </w:style>
  <w:style w:type="character" w:customStyle="1" w:styleId="33">
    <w:name w:val="批注文字 Char"/>
    <w:basedOn w:val="24"/>
    <w:link w:val="10"/>
    <w:autoRedefine/>
    <w:qFormat/>
    <w:uiPriority w:val="99"/>
    <w:rPr>
      <w:rFonts w:ascii="Times New Roman" w:hAnsi="Times New Roman" w:eastAsia="宋体" w:cs="Times New Roman"/>
      <w:kern w:val="2"/>
      <w:sz w:val="21"/>
      <w:szCs w:val="24"/>
    </w:rPr>
  </w:style>
  <w:style w:type="character" w:customStyle="1" w:styleId="34">
    <w:name w:val="批注主题 Char"/>
    <w:basedOn w:val="33"/>
    <w:link w:val="22"/>
    <w:autoRedefine/>
    <w:qFormat/>
    <w:uiPriority w:val="0"/>
    <w:rPr>
      <w:rFonts w:ascii="Times New Roman" w:hAnsi="Times New Roman" w:eastAsia="宋体" w:cs="Times New Roman"/>
      <w:kern w:val="2"/>
      <w:sz w:val="21"/>
      <w:szCs w:val="24"/>
    </w:rPr>
  </w:style>
  <w:style w:type="character" w:customStyle="1" w:styleId="35">
    <w:name w:val="font41"/>
    <w:basedOn w:val="24"/>
    <w:autoRedefine/>
    <w:qFormat/>
    <w:uiPriority w:val="0"/>
    <w:rPr>
      <w:rFonts w:hint="eastAsia" w:ascii="仿宋" w:hAnsi="仿宋" w:eastAsia="仿宋" w:cs="仿宋"/>
      <w:color w:val="000000"/>
      <w:sz w:val="20"/>
      <w:szCs w:val="20"/>
      <w:u w:val="none"/>
    </w:rPr>
  </w:style>
  <w:style w:type="character" w:customStyle="1" w:styleId="36">
    <w:name w:val="批注文字 Char2"/>
    <w:autoRedefine/>
    <w:qFormat/>
    <w:uiPriority w:val="0"/>
    <w:rPr>
      <w:rFonts w:ascii="Times New Roman" w:hAnsi="Times New Roman"/>
      <w:kern w:val="2"/>
      <w:sz w:val="21"/>
      <w:szCs w:val="24"/>
    </w:rPr>
  </w:style>
  <w:style w:type="character" w:customStyle="1" w:styleId="37">
    <w:name w:val="标题 3 Char"/>
    <w:link w:val="4"/>
    <w:autoRedefine/>
    <w:qFormat/>
    <w:uiPriority w:val="0"/>
    <w:rPr>
      <w:rFonts w:ascii="Times New Roman" w:hAnsi="Times New Roman" w:eastAsia="宋体" w:cs="Times New Roman"/>
      <w:b/>
      <w:bCs/>
      <w:sz w:val="32"/>
      <w:szCs w:val="32"/>
    </w:rPr>
  </w:style>
  <w:style w:type="character" w:customStyle="1" w:styleId="38">
    <w:name w:val="纯文本 Char"/>
    <w:link w:val="14"/>
    <w:autoRedefine/>
    <w:qFormat/>
    <w:uiPriority w:val="0"/>
    <w:rPr>
      <w:rFonts w:ascii="宋体" w:hAnsi="Courier New" w:eastAsia="宋体" w:cs="Times New Roman"/>
      <w:szCs w:val="21"/>
    </w:rPr>
  </w:style>
  <w:style w:type="paragraph" w:styleId="39">
    <w:name w:val="List Paragraph"/>
    <w:basedOn w:val="1"/>
    <w:autoRedefine/>
    <w:qFormat/>
    <w:uiPriority w:val="99"/>
    <w:pPr>
      <w:ind w:firstLine="420" w:firstLineChars="200"/>
    </w:pPr>
  </w:style>
  <w:style w:type="character" w:customStyle="1" w:styleId="40">
    <w:name w:val="正文文本 Char"/>
    <w:basedOn w:val="24"/>
    <w:link w:val="12"/>
    <w:autoRedefine/>
    <w:qFormat/>
    <w:uiPriority w:val="99"/>
    <w:rPr>
      <w:rFonts w:ascii="Times New Roman" w:hAnsi="Times New Roman" w:eastAsia="宋体" w:cs="Times New Roman"/>
      <w:sz w:val="24"/>
      <w:szCs w:val="24"/>
    </w:rPr>
  </w:style>
  <w:style w:type="character" w:customStyle="1" w:styleId="41">
    <w:name w:val="标题 1 Char"/>
    <w:basedOn w:val="24"/>
    <w:link w:val="2"/>
    <w:autoRedefine/>
    <w:qFormat/>
    <w:uiPriority w:val="0"/>
    <w:rPr>
      <w:rFonts w:ascii="Times New Roman" w:hAnsi="Times New Roman" w:eastAsia="宋体" w:cs="Times New Roman"/>
      <w:b/>
      <w:bCs/>
      <w:kern w:val="44"/>
      <w:sz w:val="44"/>
      <w:szCs w:val="44"/>
    </w:rPr>
  </w:style>
  <w:style w:type="character" w:customStyle="1" w:styleId="42">
    <w:name w:val="标题 2 Char"/>
    <w:basedOn w:val="24"/>
    <w:link w:val="3"/>
    <w:autoRedefine/>
    <w:qFormat/>
    <w:uiPriority w:val="0"/>
    <w:rPr>
      <w:rFonts w:ascii="Arial" w:hAnsi="Arial" w:eastAsia="黑体" w:cs="Times New Roman"/>
      <w:b/>
      <w:bCs/>
      <w:sz w:val="32"/>
      <w:szCs w:val="32"/>
    </w:rPr>
  </w:style>
  <w:style w:type="character" w:customStyle="1" w:styleId="43">
    <w:name w:val="标题 5 Char"/>
    <w:basedOn w:val="24"/>
    <w:link w:val="6"/>
    <w:autoRedefine/>
    <w:qFormat/>
    <w:uiPriority w:val="0"/>
    <w:rPr>
      <w:rFonts w:ascii="Times New Roman" w:hAnsi="Times New Roman" w:eastAsia="宋体" w:cs="Times New Roman"/>
      <w:b/>
      <w:kern w:val="2"/>
      <w:sz w:val="28"/>
      <w:szCs w:val="24"/>
    </w:rPr>
  </w:style>
  <w:style w:type="character" w:customStyle="1" w:styleId="44">
    <w:name w:val="正文文本 3 Char"/>
    <w:basedOn w:val="24"/>
    <w:link w:val="11"/>
    <w:autoRedefine/>
    <w:qFormat/>
    <w:uiPriority w:val="0"/>
    <w:rPr>
      <w:rFonts w:ascii="Times New Roman" w:hAnsi="Times New Roman" w:eastAsia="宋体" w:cs="Times New Roman"/>
      <w:b/>
      <w:bCs/>
      <w:sz w:val="24"/>
      <w:szCs w:val="24"/>
    </w:rPr>
  </w:style>
  <w:style w:type="character" w:customStyle="1" w:styleId="45">
    <w:name w:val="正文文本缩进 Char"/>
    <w:basedOn w:val="24"/>
    <w:link w:val="13"/>
    <w:autoRedefine/>
    <w:qFormat/>
    <w:uiPriority w:val="0"/>
    <w:rPr>
      <w:rFonts w:ascii="仿宋_GB2312" w:hAnsi="Times New Roman" w:eastAsia="仿宋_GB2312" w:cs="Times New Roman"/>
      <w:sz w:val="32"/>
    </w:rPr>
  </w:style>
  <w:style w:type="character" w:customStyle="1" w:styleId="46">
    <w:name w:val="页脚 Char"/>
    <w:basedOn w:val="24"/>
    <w:link w:val="16"/>
    <w:autoRedefine/>
    <w:qFormat/>
    <w:uiPriority w:val="99"/>
    <w:rPr>
      <w:rFonts w:ascii="Times New Roman" w:hAnsi="Times New Roman" w:eastAsia="宋体" w:cs="Times New Roman"/>
      <w:sz w:val="18"/>
      <w:szCs w:val="18"/>
    </w:rPr>
  </w:style>
  <w:style w:type="character" w:customStyle="1" w:styleId="47">
    <w:name w:val="页眉 Char"/>
    <w:basedOn w:val="24"/>
    <w:link w:val="17"/>
    <w:autoRedefine/>
    <w:qFormat/>
    <w:uiPriority w:val="99"/>
    <w:rPr>
      <w:rFonts w:ascii="Times New Roman" w:hAnsi="Times New Roman" w:eastAsia="宋体" w:cs="Times New Roman"/>
      <w:kern w:val="2"/>
      <w:sz w:val="18"/>
      <w:szCs w:val="18"/>
    </w:rPr>
  </w:style>
  <w:style w:type="paragraph" w:customStyle="1" w:styleId="48">
    <w:name w:val="Default"/>
    <w:basedOn w:val="21"/>
    <w:autoRedefine/>
    <w:qFormat/>
    <w:uiPriority w:val="0"/>
    <w:pPr>
      <w:autoSpaceDE w:val="0"/>
      <w:autoSpaceDN w:val="0"/>
      <w:adjustRightInd w:val="0"/>
    </w:pPr>
    <w:rPr>
      <w:rFonts w:ascii="宋体" w:hAnsi="Times New Roman" w:cs="宋体"/>
      <w:color w:val="000000"/>
      <w:sz w:val="24"/>
      <w:szCs w:val="24"/>
    </w:rPr>
  </w:style>
  <w:style w:type="character" w:customStyle="1" w:styleId="49">
    <w:name w:val="纯文本 Char1"/>
    <w:autoRedefine/>
    <w:qFormat/>
    <w:uiPriority w:val="0"/>
    <w:rPr>
      <w:rFonts w:ascii="宋体" w:hAnsi="Courier New" w:eastAsia="宋体" w:cs="Courier New"/>
      <w:szCs w:val="21"/>
    </w:rPr>
  </w:style>
  <w:style w:type="character" w:customStyle="1" w:styleId="50">
    <w:name w:val="正文文本 Char2"/>
    <w:autoRedefine/>
    <w:qFormat/>
    <w:uiPriority w:val="99"/>
    <w:rPr>
      <w:rFonts w:ascii="Times New Roman" w:hAnsi="Times New Roman" w:eastAsia="宋体" w:cs="Times New Roman"/>
      <w:sz w:val="24"/>
      <w:szCs w:val="24"/>
    </w:rPr>
  </w:style>
  <w:style w:type="character" w:customStyle="1" w:styleId="51">
    <w:name w:val="纯文本 Char2"/>
    <w:autoRedefine/>
    <w:qFormat/>
    <w:uiPriority w:val="0"/>
    <w:rPr>
      <w:rFonts w:ascii="宋体" w:hAnsi="Courier New" w:eastAsia="宋体" w:cs="Courier New"/>
      <w:szCs w:val="21"/>
    </w:rPr>
  </w:style>
  <w:style w:type="paragraph" w:customStyle="1" w:styleId="52">
    <w:name w:val="Normal (Web)_file_123"/>
    <w:basedOn w:val="1"/>
    <w:autoRedefine/>
    <w:semiHidden/>
    <w:unhideWhenUsed/>
    <w:qFormat/>
    <w:uiPriority w:val="99"/>
    <w:pPr>
      <w:widowControl/>
      <w:spacing w:before="100" w:beforeAutospacing="1" w:after="100" w:afterAutospacing="1"/>
      <w:jc w:val="left"/>
    </w:pPr>
    <w:rPr>
      <w:rFonts w:ascii="宋体" w:hAnsi="宋体" w:cs="宋体"/>
      <w:kern w:val="0"/>
      <w:sz w:val="24"/>
    </w:rPr>
  </w:style>
  <w:style w:type="paragraph" w:customStyle="1" w:styleId="53">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54">
    <w:name w:val="Table Text"/>
    <w:basedOn w:val="1"/>
    <w:autoRedefine/>
    <w:semiHidden/>
    <w:qFormat/>
    <w:uiPriority w:val="0"/>
    <w:rPr>
      <w:rFonts w:ascii="宋体" w:hAnsi="宋体" w:cs="宋体"/>
      <w:sz w:val="22"/>
      <w:szCs w:val="22"/>
      <w:lang w:eastAsia="en-US"/>
    </w:rPr>
  </w:style>
  <w:style w:type="table" w:customStyle="1" w:styleId="55">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2054" textRotate="1"/>
    <customShpInfo spid="_x0000_s2055" textRotate="1"/>
    <customShpInfo spid="_x0000_s2056"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210</Words>
  <Characters>261</Characters>
  <Lines>567</Lines>
  <Paragraphs>159</Paragraphs>
  <TotalTime>11</TotalTime>
  <ScaleCrop>false</ScaleCrop>
  <LinksUpToDate>false</LinksUpToDate>
  <CharactersWithSpaces>278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2023-10-07T01:18:00Z</dcterms:created>
  <dc:creator>轻舞1426163351</dc:creator>
  <cp:lastModifiedBy>池塘</cp:lastModifiedBy>
  <cp:lastPrinted>2025-04-02T03:04:00Z</cp:lastPrinted>
  <dcterms:modified xsi:type="dcterms:W3CDTF">2025-04-03T02:10:52Z</dcterms:modified>
  <cp:revision>2060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71A72564DFB547F6AFCA999602BEDF06_13</vt:lpwstr>
  </property>
  <property fmtid="{D5CDD505-2E9C-101B-9397-08002B2CF9AE}" pid="4" name="KSOTemplateDocerSaveRecord">
    <vt:lpwstr>eyJoZGlkIjoiNzI1N2VhZDA4ZjkxNTE5ZGQ3MTRhM2E4YTAzNGYyNTYiLCJ1c2VySWQiOiI2NzgwNDkyNDAifQ==</vt:lpwstr>
  </property>
</Properties>
</file>