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bCs/>
          <w:color w:val="auto"/>
          <w:sz w:val="44"/>
          <w:szCs w:val="44"/>
          <w:highlight w:val="none"/>
        </w:rPr>
      </w:pPr>
      <w:bookmarkStart w:id="0" w:name="_Toc7014_WPSOffice_Level1"/>
      <w:bookmarkStart w:id="1" w:name="_Toc10319"/>
      <w:r>
        <w:rPr>
          <w:rFonts w:hint="eastAsia" w:ascii="宋体" w:hAnsi="宋体" w:cs="宋体"/>
          <w:b/>
          <w:color w:val="auto"/>
          <w:sz w:val="52"/>
          <w:highlight w:val="none"/>
        </w:rPr>
        <w:t xml:space="preserve"> </w:t>
      </w:r>
      <w:r>
        <w:rPr>
          <w:rFonts w:hint="eastAsia" w:ascii="宋体" w:hAnsi="宋体" w:cs="宋体"/>
          <w:b/>
          <w:color w:val="auto"/>
          <w:sz w:val="56"/>
          <w:szCs w:val="56"/>
          <w:highlight w:val="none"/>
        </w:rPr>
        <w:t>广西天罡工程项目管理有限公司</w:t>
      </w:r>
    </w:p>
    <w:p>
      <w:pPr>
        <w:pStyle w:val="17"/>
        <w:rPr>
          <w:rFonts w:ascii="宋体" w:hAnsi="宋体" w:cs="宋体"/>
          <w:b/>
          <w:bCs/>
          <w:color w:val="auto"/>
          <w:sz w:val="52"/>
          <w:szCs w:val="52"/>
          <w:highlight w:val="none"/>
        </w:rPr>
      </w:pPr>
    </w:p>
    <w:p>
      <w:pPr>
        <w:pStyle w:val="17"/>
        <w:rPr>
          <w:rFonts w:ascii="宋体" w:hAnsi="宋体" w:cs="宋体"/>
          <w:b/>
          <w:bCs/>
          <w:color w:val="auto"/>
          <w:sz w:val="52"/>
          <w:szCs w:val="52"/>
          <w:highlight w:val="none"/>
        </w:rPr>
      </w:pPr>
    </w:p>
    <w:p>
      <w:pPr>
        <w:pStyle w:val="17"/>
        <w:rPr>
          <w:rFonts w:ascii="宋体" w:hAnsi="宋体" w:cs="宋体"/>
          <w:b/>
          <w:bCs/>
          <w:color w:val="auto"/>
          <w:sz w:val="52"/>
          <w:szCs w:val="52"/>
          <w:highlight w:val="none"/>
        </w:rPr>
      </w:pPr>
    </w:p>
    <w:p>
      <w:pPr>
        <w:ind w:left="558" w:right="683"/>
        <w:jc w:val="center"/>
        <w:rPr>
          <w:rFonts w:ascii="宋体" w:hAnsi="宋体" w:cs="宋体"/>
          <w:b/>
          <w:color w:val="auto"/>
          <w:sz w:val="56"/>
          <w:szCs w:val="56"/>
          <w:highlight w:val="none"/>
        </w:rPr>
      </w:pPr>
      <w:r>
        <w:rPr>
          <w:rFonts w:hint="eastAsia" w:ascii="宋体" w:hAnsi="宋体" w:cs="宋体"/>
          <w:b/>
          <w:color w:val="auto"/>
          <w:spacing w:val="93"/>
          <w:sz w:val="56"/>
          <w:szCs w:val="56"/>
          <w:highlight w:val="none"/>
        </w:rPr>
        <w:t>竞争性磋商文件</w:t>
      </w:r>
    </w:p>
    <w:p>
      <w:pPr>
        <w:jc w:val="center"/>
        <w:rPr>
          <w:rFonts w:ascii="宋体" w:hAnsi="宋体" w:cs="宋体"/>
          <w:b/>
          <w:bCs/>
          <w:color w:val="auto"/>
          <w:sz w:val="52"/>
          <w:szCs w:val="52"/>
          <w:highlight w:val="none"/>
        </w:rPr>
      </w:pPr>
    </w:p>
    <w:p>
      <w:pPr>
        <w:jc w:val="center"/>
        <w:rPr>
          <w:rFonts w:ascii="宋体" w:hAnsi="宋体" w:cs="宋体"/>
          <w:b/>
          <w:bCs/>
          <w:color w:val="auto"/>
          <w:sz w:val="52"/>
          <w:szCs w:val="52"/>
          <w:highlight w:val="none"/>
        </w:rPr>
      </w:pPr>
    </w:p>
    <w:p>
      <w:pPr>
        <w:jc w:val="center"/>
        <w:rPr>
          <w:rFonts w:ascii="宋体" w:hAnsi="宋体" w:cs="宋体"/>
          <w:b/>
          <w:bCs/>
          <w:color w:val="auto"/>
          <w:sz w:val="52"/>
          <w:szCs w:val="52"/>
          <w:highlight w:val="none"/>
        </w:rPr>
      </w:pPr>
    </w:p>
    <w:p>
      <w:pPr>
        <w:ind w:left="3200" w:hanging="3200" w:hangingChars="1000"/>
        <w:jc w:val="left"/>
        <w:rPr>
          <w:rFonts w:ascii="宋体" w:hAnsi="宋体" w:cs="宋体"/>
          <w:color w:val="auto"/>
          <w:sz w:val="32"/>
          <w:szCs w:val="32"/>
          <w:highlight w:val="none"/>
        </w:rPr>
      </w:pPr>
      <w:r>
        <w:rPr>
          <w:rFonts w:hint="eastAsia" w:ascii="宋体" w:hAnsi="宋体" w:cs="宋体"/>
          <w:color w:val="auto"/>
          <w:sz w:val="32"/>
          <w:szCs w:val="32"/>
          <w:highlight w:val="none"/>
        </w:rPr>
        <w:t xml:space="preserve">         项 目 名 称：广西花坪国家级自然保护区保护监测系统</w:t>
      </w:r>
    </w:p>
    <w:p>
      <w:pPr>
        <w:ind w:left="3200" w:hanging="3200" w:hangingChars="1000"/>
        <w:jc w:val="center"/>
        <w:rPr>
          <w:rFonts w:ascii="宋体" w:hAnsi="宋体" w:cs="宋体"/>
          <w:color w:val="auto"/>
          <w:sz w:val="32"/>
          <w:szCs w:val="32"/>
          <w:highlight w:val="none"/>
        </w:rPr>
      </w:pPr>
      <w:r>
        <w:rPr>
          <w:rFonts w:hint="eastAsia" w:ascii="宋体" w:hAnsi="宋体" w:cs="宋体"/>
          <w:color w:val="auto"/>
          <w:sz w:val="32"/>
          <w:szCs w:val="32"/>
          <w:highlight w:val="none"/>
        </w:rPr>
        <w:t>建设项目</w:t>
      </w:r>
    </w:p>
    <w:p>
      <w:pPr>
        <w:rPr>
          <w:rFonts w:ascii="宋体" w:hAnsi="宋体" w:cs="宋体"/>
          <w:color w:val="auto"/>
          <w:sz w:val="32"/>
          <w:szCs w:val="32"/>
          <w:highlight w:val="none"/>
        </w:rPr>
      </w:pPr>
      <w:r>
        <w:rPr>
          <w:rFonts w:hint="eastAsia" w:ascii="宋体" w:hAnsi="宋体" w:cs="宋体"/>
          <w:color w:val="auto"/>
          <w:sz w:val="32"/>
          <w:szCs w:val="32"/>
          <w:highlight w:val="none"/>
        </w:rPr>
        <w:t xml:space="preserve">         项 目 编 号：</w:t>
      </w:r>
      <w:r>
        <w:rPr>
          <w:rFonts w:hint="eastAsia" w:ascii="宋体" w:hAnsi="宋体" w:cs="宋体"/>
          <w:color w:val="auto"/>
          <w:sz w:val="32"/>
          <w:szCs w:val="32"/>
          <w:highlight w:val="none"/>
          <w:lang w:eastAsia="zh-CN"/>
        </w:rPr>
        <w:t>GLZC2024-C3-990969-GXTG</w:t>
      </w:r>
    </w:p>
    <w:p>
      <w:pPr>
        <w:ind w:firstLine="1600" w:firstLineChars="500"/>
        <w:rPr>
          <w:rFonts w:ascii="宋体" w:hAnsi="宋体" w:cs="宋体"/>
          <w:color w:val="auto"/>
          <w:sz w:val="32"/>
          <w:szCs w:val="32"/>
          <w:highlight w:val="none"/>
        </w:rPr>
      </w:pPr>
    </w:p>
    <w:p>
      <w:pPr>
        <w:jc w:val="center"/>
        <w:rPr>
          <w:rFonts w:ascii="宋体" w:hAnsi="宋体" w:cs="宋体"/>
          <w:color w:val="auto"/>
          <w:sz w:val="32"/>
          <w:szCs w:val="32"/>
          <w:highlight w:val="none"/>
        </w:rPr>
      </w:pPr>
    </w:p>
    <w:p>
      <w:pPr>
        <w:rPr>
          <w:rFonts w:ascii="宋体" w:hAnsi="宋体" w:cs="宋体"/>
          <w:color w:val="auto"/>
          <w:sz w:val="32"/>
          <w:szCs w:val="32"/>
          <w:highlight w:val="none"/>
        </w:rPr>
      </w:pPr>
    </w:p>
    <w:p>
      <w:pPr>
        <w:pStyle w:val="17"/>
        <w:rPr>
          <w:color w:val="auto"/>
          <w:highlight w:val="none"/>
        </w:rPr>
      </w:pPr>
    </w:p>
    <w:p>
      <w:pPr>
        <w:rPr>
          <w:rFonts w:ascii="宋体" w:hAnsi="宋体" w:cs="宋体"/>
          <w:color w:val="auto"/>
          <w:sz w:val="32"/>
          <w:szCs w:val="32"/>
          <w:highlight w:val="none"/>
        </w:rPr>
      </w:pPr>
    </w:p>
    <w:p>
      <w:pPr>
        <w:ind w:firstLine="1600" w:firstLineChars="500"/>
        <w:rPr>
          <w:rFonts w:ascii="宋体" w:hAnsi="宋体" w:cs="宋体"/>
          <w:color w:val="auto"/>
          <w:sz w:val="32"/>
          <w:szCs w:val="32"/>
          <w:highlight w:val="none"/>
        </w:rPr>
      </w:pPr>
      <w:r>
        <w:rPr>
          <w:rFonts w:hint="eastAsia" w:ascii="宋体" w:hAnsi="宋体" w:cs="宋体"/>
          <w:color w:val="auto"/>
          <w:sz w:val="32"/>
          <w:szCs w:val="32"/>
          <w:highlight w:val="none"/>
        </w:rPr>
        <w:t>采购代理机构：广西天罡工程项目管理有限公司</w:t>
      </w:r>
    </w:p>
    <w:p>
      <w:pPr>
        <w:pStyle w:val="10"/>
        <w:rPr>
          <w:rFonts w:ascii="宋体" w:hAnsi="宋体" w:cs="宋体"/>
          <w:color w:val="auto"/>
          <w:highlight w:val="none"/>
        </w:rPr>
      </w:pPr>
    </w:p>
    <w:p>
      <w:pPr>
        <w:ind w:firstLine="3840" w:firstLineChars="1200"/>
        <w:rPr>
          <w:rFonts w:ascii="宋体" w:hAnsi="宋体" w:cs="宋体"/>
          <w:color w:val="auto"/>
          <w:sz w:val="48"/>
          <w:szCs w:val="48"/>
          <w:highlight w:val="none"/>
        </w:rPr>
        <w:sectPr>
          <w:footerReference r:id="rId3" w:type="default"/>
          <w:pgSz w:w="11906" w:h="16838"/>
          <w:pgMar w:top="1440" w:right="935" w:bottom="1440" w:left="777" w:header="851" w:footer="992" w:gutter="0"/>
          <w:pgNumType w:start="1"/>
          <w:cols w:space="720" w:num="1"/>
          <w:docGrid w:type="linesAndChars" w:linePitch="312" w:charSpace="0"/>
        </w:sectPr>
      </w:pPr>
      <w:r>
        <w:rPr>
          <w:rFonts w:hint="eastAsia" w:ascii="宋体" w:hAnsi="宋体" w:cs="宋体"/>
          <w:color w:val="auto"/>
          <w:sz w:val="32"/>
          <w:szCs w:val="32"/>
          <w:highlight w:val="none"/>
        </w:rPr>
        <w:t>2024年11月</w:t>
      </w: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lang w:val="zh-CN"/>
        </w:rPr>
        <w:t>目</w:t>
      </w:r>
      <w:r>
        <w:rPr>
          <w:rFonts w:hint="eastAsia" w:ascii="宋体" w:hAnsi="宋体" w:cs="宋体"/>
          <w:b/>
          <w:bCs/>
          <w:color w:val="auto"/>
          <w:sz w:val="36"/>
          <w:szCs w:val="36"/>
          <w:highlight w:val="none"/>
        </w:rPr>
        <w:t xml:space="preserve">  </w:t>
      </w:r>
      <w:r>
        <w:rPr>
          <w:rFonts w:hint="eastAsia" w:ascii="宋体" w:hAnsi="宋体" w:cs="宋体"/>
          <w:b/>
          <w:bCs/>
          <w:color w:val="auto"/>
          <w:sz w:val="36"/>
          <w:szCs w:val="36"/>
          <w:highlight w:val="none"/>
          <w:lang w:val="zh-CN"/>
        </w:rPr>
        <w:t>录</w:t>
      </w:r>
    </w:p>
    <w:p>
      <w:pPr>
        <w:pStyle w:val="19"/>
        <w:tabs>
          <w:tab w:val="right" w:leader="dot" w:pos="10194"/>
        </w:tabs>
        <w:rPr>
          <w:rFonts w:ascii="宋体" w:hAnsi="宋体" w:cs="宋体"/>
          <w:color w:val="auto"/>
          <w:sz w:val="30"/>
          <w:szCs w:val="30"/>
          <w:highlight w:val="none"/>
        </w:rPr>
      </w:pPr>
      <w:r>
        <w:rPr>
          <w:rFonts w:hint="eastAsia" w:ascii="宋体" w:hAnsi="宋体" w:cs="宋体"/>
          <w:b/>
          <w:bCs/>
          <w:color w:val="auto"/>
          <w:sz w:val="30"/>
          <w:szCs w:val="30"/>
          <w:highlight w:val="none"/>
        </w:rPr>
        <w:fldChar w:fldCharType="begin"/>
      </w:r>
      <w:r>
        <w:rPr>
          <w:rFonts w:hint="eastAsia" w:ascii="宋体" w:hAnsi="宋体" w:cs="宋体"/>
          <w:b/>
          <w:bCs/>
          <w:color w:val="auto"/>
          <w:sz w:val="30"/>
          <w:szCs w:val="30"/>
          <w:highlight w:val="none"/>
        </w:rPr>
        <w:instrText xml:space="preserve">TOC \o "1-1" \h \u </w:instrText>
      </w:r>
      <w:r>
        <w:rPr>
          <w:rFonts w:hint="eastAsia" w:ascii="宋体" w:hAnsi="宋体" w:cs="宋体"/>
          <w:b/>
          <w:bCs/>
          <w:color w:val="auto"/>
          <w:sz w:val="30"/>
          <w:szCs w:val="30"/>
          <w:highlight w:val="none"/>
        </w:rPr>
        <w:fldChar w:fldCharType="separate"/>
      </w:r>
      <w:r>
        <w:rPr>
          <w:color w:val="auto"/>
          <w:highlight w:val="none"/>
        </w:rPr>
        <w:fldChar w:fldCharType="begin"/>
      </w:r>
      <w:r>
        <w:rPr>
          <w:color w:val="auto"/>
          <w:highlight w:val="none"/>
        </w:rPr>
        <w:instrText xml:space="preserve"> HYPERLINK \l "_Toc17502" </w:instrText>
      </w:r>
      <w:r>
        <w:rPr>
          <w:color w:val="auto"/>
          <w:highlight w:val="none"/>
        </w:rPr>
        <w:fldChar w:fldCharType="separate"/>
      </w:r>
      <w:r>
        <w:rPr>
          <w:rFonts w:hint="eastAsia" w:ascii="宋体" w:hAnsi="宋体" w:cs="宋体"/>
          <w:color w:val="auto"/>
          <w:sz w:val="30"/>
          <w:szCs w:val="30"/>
          <w:highlight w:val="none"/>
        </w:rPr>
        <w:t>第一章 竞争性磋商公告</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_Toc17502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3</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pPr>
        <w:pStyle w:val="19"/>
        <w:tabs>
          <w:tab w:val="right" w:leader="dot" w:pos="10194"/>
        </w:tabs>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"_Toc8849" </w:instrText>
      </w:r>
      <w:r>
        <w:rPr>
          <w:color w:val="auto"/>
          <w:highlight w:val="none"/>
        </w:rPr>
        <w:fldChar w:fldCharType="separate"/>
      </w:r>
      <w:r>
        <w:rPr>
          <w:rFonts w:hint="eastAsia" w:ascii="宋体" w:hAnsi="宋体" w:cs="宋体"/>
          <w:color w:val="auto"/>
          <w:sz w:val="30"/>
          <w:szCs w:val="30"/>
          <w:highlight w:val="none"/>
        </w:rPr>
        <w:t>第二章  供应商须知</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_Toc8849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6</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pPr>
        <w:pStyle w:val="19"/>
        <w:tabs>
          <w:tab w:val="right" w:leader="dot" w:pos="10194"/>
        </w:tabs>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"_Toc10892" </w:instrText>
      </w:r>
      <w:r>
        <w:rPr>
          <w:color w:val="auto"/>
          <w:highlight w:val="none"/>
        </w:rPr>
        <w:fldChar w:fldCharType="separate"/>
      </w:r>
      <w:r>
        <w:rPr>
          <w:rFonts w:hint="eastAsia" w:ascii="宋体" w:hAnsi="宋体" w:cs="宋体"/>
          <w:color w:val="auto"/>
          <w:sz w:val="30"/>
          <w:szCs w:val="30"/>
          <w:highlight w:val="none"/>
        </w:rPr>
        <w:t>第三章 采购需求</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_Toc10892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22</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pPr>
        <w:pStyle w:val="19"/>
        <w:tabs>
          <w:tab w:val="right" w:leader="dot" w:pos="10194"/>
        </w:tabs>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"_Toc24716" </w:instrText>
      </w:r>
      <w:r>
        <w:rPr>
          <w:color w:val="auto"/>
          <w:highlight w:val="none"/>
        </w:rPr>
        <w:fldChar w:fldCharType="separate"/>
      </w:r>
      <w:r>
        <w:rPr>
          <w:rFonts w:hint="eastAsia" w:ascii="宋体" w:hAnsi="宋体" w:cs="宋体"/>
          <w:color w:val="auto"/>
          <w:sz w:val="30"/>
          <w:szCs w:val="30"/>
          <w:highlight w:val="none"/>
        </w:rPr>
        <w:t>第四章 评审办法</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_Toc24716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24</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pPr>
        <w:pStyle w:val="19"/>
        <w:tabs>
          <w:tab w:val="right" w:leader="dot" w:pos="10194"/>
        </w:tabs>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"_Toc25360" </w:instrText>
      </w:r>
      <w:r>
        <w:rPr>
          <w:color w:val="auto"/>
          <w:highlight w:val="none"/>
        </w:rPr>
        <w:fldChar w:fldCharType="separate"/>
      </w:r>
      <w:r>
        <w:rPr>
          <w:rFonts w:hint="eastAsia" w:ascii="宋体" w:hAnsi="宋体" w:cs="宋体"/>
          <w:color w:val="auto"/>
          <w:sz w:val="30"/>
          <w:szCs w:val="30"/>
          <w:highlight w:val="none"/>
        </w:rPr>
        <w:t>第五章 采购合同（合同主要条款及格式）</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_Toc25360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52</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pPr>
        <w:pStyle w:val="19"/>
        <w:tabs>
          <w:tab w:val="right" w:leader="dot" w:pos="10194"/>
        </w:tabs>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"_Toc16171" </w:instrText>
      </w:r>
      <w:r>
        <w:rPr>
          <w:color w:val="auto"/>
          <w:highlight w:val="none"/>
        </w:rPr>
        <w:fldChar w:fldCharType="separate"/>
      </w:r>
      <w:r>
        <w:rPr>
          <w:rFonts w:hint="eastAsia" w:ascii="宋体" w:hAnsi="宋体" w:cs="宋体"/>
          <w:color w:val="auto"/>
          <w:sz w:val="30"/>
          <w:szCs w:val="30"/>
          <w:highlight w:val="none"/>
        </w:rPr>
        <w:t>第六章  响应文件（格式）</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_Toc16171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55</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pPr>
        <w:jc w:val="center"/>
        <w:rPr>
          <w:rFonts w:ascii="宋体" w:hAnsi="宋体" w:cs="宋体"/>
          <w:b/>
          <w:bCs/>
          <w:color w:val="auto"/>
          <w:sz w:val="32"/>
          <w:szCs w:val="32"/>
          <w:highlight w:val="none"/>
        </w:rPr>
      </w:pPr>
      <w:r>
        <w:rPr>
          <w:rFonts w:hint="eastAsia" w:ascii="宋体" w:hAnsi="宋体" w:cs="宋体"/>
          <w:bCs/>
          <w:color w:val="auto"/>
          <w:sz w:val="30"/>
          <w:szCs w:val="30"/>
          <w:highlight w:val="none"/>
        </w:rPr>
        <w:fldChar w:fldCharType="end"/>
      </w:r>
    </w:p>
    <w:p>
      <w:pPr>
        <w:rPr>
          <w:rFonts w:ascii="宋体" w:hAnsi="宋体" w:cs="宋体"/>
          <w:b/>
          <w:bCs/>
          <w:color w:val="auto"/>
          <w:sz w:val="32"/>
          <w:szCs w:val="32"/>
          <w:highlight w:val="none"/>
        </w:rPr>
        <w:sectPr>
          <w:pgSz w:w="11906" w:h="16838"/>
          <w:pgMar w:top="1440" w:right="935" w:bottom="1440" w:left="777" w:header="851" w:footer="992" w:gutter="0"/>
          <w:cols w:space="720" w:num="1"/>
          <w:docGrid w:type="linesAndChars" w:linePitch="312" w:charSpace="0"/>
        </w:sectPr>
      </w:pPr>
    </w:p>
    <w:p>
      <w:pPr>
        <w:pStyle w:val="2"/>
        <w:numPr>
          <w:ilvl w:val="0"/>
          <w:numId w:val="1"/>
        </w:numPr>
        <w:spacing w:line="360" w:lineRule="exact"/>
        <w:rPr>
          <w:rFonts w:ascii="宋体" w:hAnsi="宋体" w:cs="宋体"/>
          <w:color w:val="auto"/>
          <w:highlight w:val="none"/>
        </w:rPr>
      </w:pPr>
      <w:bookmarkStart w:id="2" w:name="_Toc35393797"/>
      <w:bookmarkStart w:id="3" w:name="_Toc30170"/>
      <w:bookmarkStart w:id="4" w:name="_Toc28359011"/>
      <w:bookmarkStart w:id="5" w:name="_Toc29067"/>
      <w:bookmarkStart w:id="6" w:name="_Toc26809"/>
      <w:bookmarkStart w:id="7" w:name="_Toc17502"/>
      <w:r>
        <w:rPr>
          <w:rFonts w:hint="eastAsia"/>
          <w:color w:val="auto"/>
          <w:highlight w:val="none"/>
        </w:rPr>
        <w:t>竞争性磋商公告</w:t>
      </w:r>
      <w:bookmarkEnd w:id="2"/>
      <w:bookmarkEnd w:id="3"/>
      <w:bookmarkEnd w:id="4"/>
      <w:bookmarkEnd w:id="5"/>
      <w:bookmarkEnd w:id="6"/>
      <w:bookmarkEnd w:id="7"/>
    </w:p>
    <w:tbl>
      <w:tblPr>
        <w:tblStyle w:val="25"/>
        <w:tblpPr w:leftFromText="180" w:rightFromText="180" w:vertAnchor="text" w:tblpX="38" w:tblpY="134"/>
        <w:tblOverlap w:val="never"/>
        <w:tblW w:w="9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9702" w:type="dxa"/>
          </w:tcPr>
          <w:p>
            <w:pPr>
              <w:keepNext w:val="0"/>
              <w:keepLines w:val="0"/>
              <w:suppressLineNumbers w:val="0"/>
              <w:spacing w:before="0" w:beforeAutospacing="0" w:after="0" w:afterAutospacing="0" w:line="36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项目概况</w:t>
            </w:r>
          </w:p>
          <w:p>
            <w:pPr>
              <w:keepNext w:val="0"/>
              <w:keepLines w:val="0"/>
              <w:suppressLineNumbers w:val="0"/>
              <w:spacing w:before="0" w:beforeAutospacing="0" w:after="0" w:afterAutospacing="0" w:line="36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广西花坪国家级自然保护区保护监测系统建设项目</w:t>
            </w:r>
            <w:r>
              <w:rPr>
                <w:rFonts w:hint="eastAsia" w:ascii="宋体" w:hAnsi="宋体" w:cs="宋体"/>
                <w:color w:val="auto"/>
                <w:szCs w:val="21"/>
                <w:highlight w:val="none"/>
              </w:rPr>
              <w:t>的潜在供应商应在广西政府采购云平台（https://www.gcy.zfcg.gxzf.gov.cn/）获取磋商文件，并于</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日</w:t>
            </w:r>
            <w:r>
              <w:rPr>
                <w:rFonts w:hint="eastAsia" w:ascii="宋体" w:hAnsi="宋体" w:cs="宋体"/>
                <w:bCs/>
                <w:color w:val="auto"/>
                <w:szCs w:val="21"/>
                <w:highlight w:val="none"/>
                <w:u w:val="single"/>
              </w:rPr>
              <w:t>9时30分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tc>
      </w:tr>
    </w:tbl>
    <w:p>
      <w:pPr>
        <w:spacing w:line="360" w:lineRule="exact"/>
        <w:rPr>
          <w:rFonts w:ascii="宋体" w:hAnsi="宋体" w:cs="宋体"/>
          <w:color w:val="auto"/>
          <w:szCs w:val="21"/>
          <w:highlight w:val="none"/>
        </w:rPr>
      </w:pPr>
      <w:bookmarkStart w:id="8" w:name="_Toc28359012"/>
      <w:bookmarkStart w:id="9" w:name="_Toc28359089"/>
      <w:bookmarkStart w:id="10" w:name="_Toc35393629"/>
      <w:bookmarkStart w:id="11" w:name="_Toc35393798"/>
      <w:r>
        <w:rPr>
          <w:rFonts w:hint="eastAsia" w:ascii="宋体" w:hAnsi="宋体" w:cs="宋体"/>
          <w:color w:val="auto"/>
          <w:szCs w:val="21"/>
          <w:highlight w:val="none"/>
        </w:rPr>
        <w:t>一、项目基本情况</w:t>
      </w:r>
      <w:bookmarkEnd w:id="8"/>
      <w:bookmarkEnd w:id="9"/>
      <w:bookmarkEnd w:id="10"/>
      <w:bookmarkEnd w:id="11"/>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GLZC2024-C3-990969-GXTG</w:t>
      </w:r>
    </w:p>
    <w:p>
      <w:pPr>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项目名称：广西花坪国家级自然保护区保护监测系统建设项目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采购方式：竞争性磋商</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预算金额：人民币</w:t>
      </w:r>
      <w:r>
        <w:rPr>
          <w:rFonts w:hint="eastAsia" w:ascii="宋体" w:hAnsi="宋体" w:cs="宋体"/>
          <w:color w:val="auto"/>
          <w:szCs w:val="21"/>
          <w:highlight w:val="none"/>
          <w:lang w:eastAsia="zh-CN"/>
        </w:rPr>
        <w:t>贰佰肆拾陆万元整</w:t>
      </w:r>
      <w:r>
        <w:rPr>
          <w:rFonts w:hint="eastAsia" w:ascii="宋体" w:hAnsi="宋体" w:cs="宋体"/>
          <w:color w:val="auto"/>
          <w:szCs w:val="21"/>
          <w:highlight w:val="none"/>
        </w:rPr>
        <w:t>（¥</w:t>
      </w:r>
      <w:r>
        <w:rPr>
          <w:rFonts w:hint="eastAsia" w:ascii="宋体" w:hAnsi="宋体" w:cs="宋体"/>
          <w:color w:val="auto"/>
          <w:szCs w:val="21"/>
          <w:highlight w:val="none"/>
          <w:lang w:eastAsia="zh-CN"/>
        </w:rPr>
        <w:t>2460000</w:t>
      </w:r>
      <w:r>
        <w:rPr>
          <w:rFonts w:hint="eastAsia" w:ascii="宋体" w:hAnsi="宋体" w:cs="宋体"/>
          <w:color w:val="auto"/>
          <w:szCs w:val="21"/>
          <w:highlight w:val="none"/>
        </w:rPr>
        <w:t>.00元）</w:t>
      </w:r>
    </w:p>
    <w:p>
      <w:pPr>
        <w:spacing w:line="360" w:lineRule="exact"/>
        <w:ind w:firstLine="422" w:firstLineChars="200"/>
        <w:rPr>
          <w:rFonts w:ascii="宋体" w:hAnsi="宋体" w:cs="宋体"/>
          <w:color w:val="auto"/>
          <w:szCs w:val="21"/>
          <w:highlight w:val="none"/>
          <w:u w:val="single"/>
        </w:rPr>
      </w:pPr>
      <w:r>
        <w:rPr>
          <w:rFonts w:hint="eastAsia" w:ascii="宋体" w:hAnsi="宋体" w:cs="宋体"/>
          <w:b/>
          <w:bCs/>
          <w:color w:val="auto"/>
          <w:szCs w:val="21"/>
          <w:highlight w:val="none"/>
        </w:rPr>
        <w:t>采购需求</w:t>
      </w:r>
      <w:r>
        <w:rPr>
          <w:rFonts w:hint="eastAsia" w:ascii="宋体" w:hAnsi="宋体" w:cs="宋体"/>
          <w:color w:val="auto"/>
          <w:szCs w:val="21"/>
          <w:highlight w:val="none"/>
        </w:rPr>
        <w:t>：</w:t>
      </w:r>
    </w:p>
    <w:tbl>
      <w:tblPr>
        <w:tblStyle w:val="24"/>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93"/>
        <w:gridCol w:w="1039"/>
        <w:gridCol w:w="1114"/>
        <w:gridCol w:w="3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259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103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  单位</w:t>
            </w:r>
          </w:p>
        </w:tc>
        <w:tc>
          <w:tcPr>
            <w:tcW w:w="323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w:t>
            </w:r>
          </w:p>
          <w:p>
            <w:pPr>
              <w:keepNext w:val="0"/>
              <w:keepLines w:val="0"/>
              <w:suppressLineNumbers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介绍、用途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59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广西花坪国家级自然保护区保护监测系统建设项目</w:t>
            </w:r>
          </w:p>
        </w:tc>
        <w:tc>
          <w:tcPr>
            <w:tcW w:w="103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323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如需进一步了解详细内容，详见竞争性磋商文件。</w:t>
            </w:r>
          </w:p>
          <w:p>
            <w:pPr>
              <w:keepNext w:val="0"/>
              <w:keepLines w:val="0"/>
              <w:suppressLineNumbers w:val="0"/>
              <w:spacing w:before="0" w:beforeAutospacing="0" w:after="0" w:afterAutospacing="0" w:line="360" w:lineRule="exact"/>
              <w:ind w:left="0" w:right="0"/>
              <w:rPr>
                <w:rFonts w:hint="eastAsia" w:ascii="宋体" w:hAnsi="宋体" w:cs="宋体"/>
                <w:color w:val="auto"/>
                <w:szCs w:val="21"/>
                <w:highlight w:val="none"/>
              </w:rPr>
            </w:pPr>
          </w:p>
        </w:tc>
      </w:tr>
    </w:tbl>
    <w:p>
      <w:pPr>
        <w:widowControl/>
        <w:snapToGrid w:val="0"/>
        <w:spacing w:line="400" w:lineRule="exact"/>
        <w:ind w:firstLine="420" w:firstLineChars="0"/>
        <w:jc w:val="left"/>
        <w:rPr>
          <w:rFonts w:hint="default" w:eastAsia="宋体"/>
          <w:color w:val="auto"/>
          <w:highlight w:val="none"/>
          <w:lang w:val="en-US" w:eastAsia="zh-CN"/>
        </w:rPr>
      </w:pPr>
      <w:r>
        <w:rPr>
          <w:rFonts w:hint="eastAsia" w:ascii="宋体" w:hAnsi="宋体" w:cs="宋体"/>
          <w:color w:val="auto"/>
          <w:szCs w:val="21"/>
          <w:highlight w:val="none"/>
        </w:rPr>
        <w:t>合同履行期限：</w:t>
      </w:r>
      <w:r>
        <w:rPr>
          <w:rFonts w:hint="eastAsia" w:ascii="宋体" w:hAnsi="宋体"/>
          <w:b/>
          <w:color w:val="auto"/>
          <w:highlight w:val="none"/>
          <w:lang w:eastAsia="zh-CN"/>
        </w:rPr>
        <w:t>（</w:t>
      </w:r>
      <w:r>
        <w:rPr>
          <w:rFonts w:hint="eastAsia" w:ascii="宋体" w:hAnsi="宋体"/>
          <w:b/>
          <w:color w:val="auto"/>
          <w:highlight w:val="none"/>
          <w:lang w:val="en-US" w:eastAsia="zh-CN"/>
        </w:rPr>
        <w:t>1</w:t>
      </w:r>
      <w:r>
        <w:rPr>
          <w:rFonts w:hint="eastAsia" w:ascii="宋体" w:hAnsi="宋体"/>
          <w:b/>
          <w:color w:val="auto"/>
          <w:highlight w:val="none"/>
          <w:lang w:eastAsia="zh-CN"/>
        </w:rPr>
        <w:t>）</w:t>
      </w:r>
      <w:r>
        <w:rPr>
          <w:rFonts w:hint="eastAsia" w:ascii="宋体" w:hAnsi="宋体"/>
          <w:b/>
          <w:color w:val="auto"/>
          <w:highlight w:val="none"/>
        </w:rPr>
        <w:t>.交付使用时间：签订合同后</w:t>
      </w:r>
      <w:r>
        <w:rPr>
          <w:rFonts w:hint="eastAsia" w:ascii="宋体" w:hAnsi="宋体"/>
          <w:b/>
          <w:color w:val="auto"/>
          <w:highlight w:val="none"/>
          <w:lang w:val="en-US" w:eastAsia="zh-CN"/>
        </w:rPr>
        <w:t>4个月</w:t>
      </w:r>
      <w:r>
        <w:rPr>
          <w:rFonts w:hint="eastAsia" w:ascii="宋体" w:hAnsi="宋体"/>
          <w:b/>
          <w:color w:val="auto"/>
          <w:highlight w:val="none"/>
        </w:rPr>
        <w:t>内建设完毕通过验收并交付使用。</w:t>
      </w:r>
      <w:r>
        <w:rPr>
          <w:rFonts w:hint="eastAsia" w:ascii="宋体" w:hAnsi="宋体"/>
          <w:b/>
          <w:color w:val="auto"/>
          <w:highlight w:val="none"/>
          <w:lang w:eastAsia="zh-CN"/>
        </w:rPr>
        <w:t>（</w:t>
      </w:r>
      <w:r>
        <w:rPr>
          <w:rFonts w:hint="eastAsia" w:ascii="宋体" w:hAnsi="宋体"/>
          <w:b/>
          <w:color w:val="auto"/>
          <w:highlight w:val="none"/>
          <w:lang w:val="en-US" w:eastAsia="zh-CN"/>
        </w:rPr>
        <w:t>2</w:t>
      </w:r>
      <w:r>
        <w:rPr>
          <w:rFonts w:hint="eastAsia" w:ascii="宋体" w:hAnsi="宋体"/>
          <w:b/>
          <w:color w:val="auto"/>
          <w:highlight w:val="none"/>
          <w:lang w:eastAsia="zh-CN"/>
        </w:rPr>
        <w:t>）</w:t>
      </w:r>
      <w:r>
        <w:rPr>
          <w:rFonts w:hint="eastAsia" w:ascii="宋体" w:hAnsi="宋体"/>
          <w:b/>
          <w:color w:val="auto"/>
          <w:highlight w:val="none"/>
        </w:rPr>
        <w:t>.运维服务期限：</w:t>
      </w:r>
      <w:r>
        <w:rPr>
          <w:rFonts w:hint="eastAsia" w:ascii="宋体" w:hAnsi="宋体"/>
          <w:b/>
          <w:color w:val="auto"/>
          <w:highlight w:val="none"/>
          <w:lang w:eastAsia="zh-CN"/>
        </w:rPr>
        <w:t>采购需求中有规定的按其规定，没有规定的</w:t>
      </w:r>
      <w:r>
        <w:rPr>
          <w:rFonts w:hint="eastAsia" w:ascii="宋体" w:hAnsi="宋体"/>
          <w:b/>
          <w:color w:val="auto"/>
          <w:highlight w:val="none"/>
        </w:rPr>
        <w:t>签订合同后自项目通过验收交付使用之日起3年</w:t>
      </w:r>
      <w:r>
        <w:rPr>
          <w:rFonts w:hint="eastAsia" w:ascii="宋体" w:hAnsi="宋体"/>
          <w:b/>
          <w:color w:val="auto"/>
          <w:highlight w:val="none"/>
          <w:lang w:eastAsia="zh-CN"/>
        </w:rPr>
        <w:t>，</w:t>
      </w:r>
      <w:r>
        <w:rPr>
          <w:rFonts w:hint="eastAsia" w:ascii="宋体" w:hAnsi="宋体"/>
          <w:b/>
          <w:color w:val="auto"/>
          <w:highlight w:val="none"/>
          <w:lang w:val="en-US" w:eastAsia="zh-CN"/>
        </w:rPr>
        <w:t>其中软件运维5年</w:t>
      </w:r>
      <w:r>
        <w:rPr>
          <w:rFonts w:hint="eastAsia" w:ascii="宋体" w:hAnsi="宋体"/>
          <w:b/>
          <w:color w:val="auto"/>
          <w:highlight w:val="none"/>
        </w:rPr>
        <w:t>。</w:t>
      </w:r>
    </w:p>
    <w:p>
      <w:pPr>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本项目不接受联合体参与磋商。</w:t>
      </w:r>
    </w:p>
    <w:p>
      <w:pPr>
        <w:spacing w:line="360" w:lineRule="exact"/>
        <w:rPr>
          <w:rFonts w:ascii="宋体" w:hAnsi="宋体" w:cs="宋体"/>
          <w:color w:val="auto"/>
          <w:szCs w:val="21"/>
          <w:highlight w:val="none"/>
        </w:rPr>
      </w:pPr>
      <w:bookmarkStart w:id="12" w:name="_Toc35393630"/>
      <w:bookmarkStart w:id="13" w:name="_Toc28359013"/>
      <w:bookmarkStart w:id="14" w:name="_Toc28359090"/>
      <w:bookmarkStart w:id="15" w:name="_Toc35393799"/>
      <w:r>
        <w:rPr>
          <w:rFonts w:hint="eastAsia" w:ascii="宋体" w:hAnsi="宋体" w:cs="宋体"/>
          <w:color w:val="auto"/>
          <w:szCs w:val="21"/>
          <w:highlight w:val="none"/>
        </w:rPr>
        <w:t>二、申请人的资格要求：</w:t>
      </w:r>
      <w:bookmarkEnd w:id="12"/>
      <w:bookmarkEnd w:id="13"/>
      <w:bookmarkEnd w:id="14"/>
      <w:bookmarkEnd w:id="15"/>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spacing w:line="440" w:lineRule="exact"/>
        <w:ind w:firstLine="420" w:firstLineChars="200"/>
        <w:rPr>
          <w:rFonts w:ascii="宋体" w:hAnsi="宋体" w:cs="宋体"/>
          <w:b/>
          <w:bCs/>
          <w:color w:val="auto"/>
          <w:szCs w:val="21"/>
          <w:highlight w:val="none"/>
        </w:rPr>
      </w:pPr>
      <w:bookmarkStart w:id="16" w:name="_Toc28359091"/>
      <w:bookmarkStart w:id="17" w:name="_Toc28359014"/>
      <w:r>
        <w:rPr>
          <w:rFonts w:hint="eastAsia" w:ascii="宋体" w:hAnsi="宋体" w:cs="宋体"/>
          <w:color w:val="auto"/>
          <w:szCs w:val="21"/>
          <w:highlight w:val="none"/>
        </w:rPr>
        <w:t>3.落实政府采购政策需满足的资格要求：无。</w:t>
      </w:r>
    </w:p>
    <w:p>
      <w:pPr>
        <w:spacing w:line="36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4.本项目的特定资格要求：</w:t>
      </w:r>
      <w:bookmarkStart w:id="18" w:name="_Toc35393631"/>
      <w:bookmarkStart w:id="19" w:name="_Toc35393800"/>
      <w:r>
        <w:rPr>
          <w:rFonts w:hint="eastAsia" w:ascii="宋体" w:hAnsi="宋体" w:cs="宋体"/>
          <w:color w:val="auto"/>
          <w:szCs w:val="21"/>
          <w:highlight w:val="none"/>
        </w:rPr>
        <w:t>无。</w:t>
      </w:r>
    </w:p>
    <w:bookmarkEnd w:id="16"/>
    <w:bookmarkEnd w:id="17"/>
    <w:bookmarkEnd w:id="18"/>
    <w:bookmarkEnd w:id="19"/>
    <w:p>
      <w:pPr>
        <w:rPr>
          <w:rFonts w:ascii="宋体" w:hAnsi="宋体" w:cs="宋体"/>
          <w:color w:val="auto"/>
          <w:szCs w:val="21"/>
          <w:highlight w:val="none"/>
        </w:rPr>
      </w:pPr>
      <w:bookmarkStart w:id="20" w:name="_Toc35393792"/>
      <w:bookmarkStart w:id="21" w:name="_Toc35393623"/>
      <w:bookmarkStart w:id="22" w:name="_Toc35393636"/>
      <w:bookmarkStart w:id="23" w:name="_Toc35393805"/>
      <w:bookmarkStart w:id="24" w:name="_Toc28359018"/>
      <w:bookmarkStart w:id="25" w:name="_Toc28359095"/>
      <w:r>
        <w:rPr>
          <w:rFonts w:hint="eastAsia" w:ascii="宋体" w:hAnsi="宋体" w:cs="宋体"/>
          <w:color w:val="auto"/>
          <w:szCs w:val="21"/>
          <w:highlight w:val="none"/>
        </w:rPr>
        <w:t>三、获取采购文件</w:t>
      </w:r>
      <w:bookmarkEnd w:id="20"/>
      <w:bookmarkEnd w:id="21"/>
    </w:p>
    <w:p>
      <w:pPr>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    1.采购文件获取时间：2024年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日至2024年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日9时30分。</w:t>
      </w:r>
    </w:p>
    <w:p>
      <w:pPr>
        <w:rPr>
          <w:rFonts w:ascii="宋体" w:hAnsi="宋体" w:cs="宋体"/>
          <w:color w:val="auto"/>
          <w:szCs w:val="21"/>
          <w:highlight w:val="none"/>
        </w:rPr>
      </w:pPr>
      <w:bookmarkStart w:id="26" w:name="_Toc28359005"/>
      <w:bookmarkStart w:id="27" w:name="_Toc28359082"/>
      <w:bookmarkStart w:id="28" w:name="_Toc35393624"/>
      <w:bookmarkStart w:id="29" w:name="_Toc35393793"/>
      <w:r>
        <w:rPr>
          <w:rFonts w:hint="eastAsia" w:ascii="宋体" w:hAnsi="宋体" w:cs="宋体"/>
          <w:color w:val="auto"/>
          <w:szCs w:val="21"/>
          <w:highlight w:val="none"/>
        </w:rPr>
        <w:t xml:space="preserve">    2.地点（网址）：广西政府采购云平台（www.zcygov.cn） </w:t>
      </w:r>
    </w:p>
    <w:p>
      <w:pPr>
        <w:rPr>
          <w:rFonts w:ascii="宋体" w:hAnsi="宋体" w:cs="宋体"/>
          <w:color w:val="auto"/>
          <w:szCs w:val="21"/>
          <w:highlight w:val="none"/>
        </w:rPr>
      </w:pPr>
      <w:r>
        <w:rPr>
          <w:rFonts w:hint="eastAsia" w:ascii="宋体" w:hAnsi="宋体" w:cs="宋体"/>
          <w:color w:val="auto"/>
          <w:szCs w:val="21"/>
          <w:highlight w:val="none"/>
        </w:rPr>
        <w:t>   3.方式：潜在供应商登录广西政府采购云平台（www.zcygov.cn）免费获取竞争性磋商文件电子版。供应商应在广西政府采购云平台进行“申请获取采购文件”操作，否则，将导致无法在线编制响应文件并参与竞标，其不利后果由供应商自行承担。 </w:t>
      </w:r>
    </w:p>
    <w:p>
      <w:pPr>
        <w:rPr>
          <w:rFonts w:ascii="宋体" w:hAnsi="宋体" w:cs="宋体"/>
          <w:color w:val="auto"/>
          <w:szCs w:val="21"/>
          <w:highlight w:val="none"/>
        </w:rPr>
      </w:pPr>
      <w:r>
        <w:rPr>
          <w:rFonts w:hint="eastAsia" w:ascii="宋体" w:hAnsi="宋体" w:cs="宋体"/>
          <w:color w:val="auto"/>
          <w:szCs w:val="21"/>
          <w:highlight w:val="none"/>
        </w:rPr>
        <w:t>   4.售价（元）：0 </w:t>
      </w:r>
    </w:p>
    <w:p>
      <w:pPr>
        <w:rPr>
          <w:rFonts w:ascii="宋体" w:hAnsi="宋体" w:cs="宋体"/>
          <w:color w:val="auto"/>
          <w:szCs w:val="21"/>
          <w:highlight w:val="none"/>
        </w:rPr>
      </w:pPr>
      <w:r>
        <w:rPr>
          <w:rFonts w:hint="eastAsia" w:ascii="宋体" w:hAnsi="宋体" w:cs="宋体"/>
          <w:color w:val="auto"/>
          <w:szCs w:val="21"/>
          <w:highlight w:val="none"/>
        </w:rPr>
        <w:t>四、响应文件</w:t>
      </w:r>
      <w:bookmarkEnd w:id="26"/>
      <w:bookmarkEnd w:id="27"/>
      <w:r>
        <w:rPr>
          <w:rFonts w:hint="eastAsia" w:ascii="宋体" w:hAnsi="宋体" w:cs="宋体"/>
          <w:color w:val="auto"/>
          <w:szCs w:val="21"/>
          <w:highlight w:val="none"/>
        </w:rPr>
        <w:t>提交时间和地点</w:t>
      </w:r>
      <w:bookmarkEnd w:id="28"/>
      <w:bookmarkEnd w:id="29"/>
    </w:p>
    <w:p>
      <w:pPr>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截止时间：</w:t>
      </w:r>
      <w:r>
        <w:rPr>
          <w:rFonts w:hint="eastAsia" w:ascii="宋体" w:hAnsi="宋体" w:cs="宋体"/>
          <w:color w:val="auto"/>
          <w:szCs w:val="21"/>
          <w:highlight w:val="none"/>
        </w:rPr>
        <w:t>2024年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日09时30分(</w:t>
      </w:r>
      <w:r>
        <w:rPr>
          <w:rFonts w:hint="eastAsia" w:ascii="宋体" w:hAnsi="宋体" w:cs="宋体"/>
          <w:bCs/>
          <w:color w:val="auto"/>
          <w:szCs w:val="21"/>
          <w:highlight w:val="none"/>
        </w:rPr>
        <w:t>北京时间）。</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    点：通过广西政府采购云平台实行在线响应。</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五、开启</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 xml:space="preserve">    时间：2024年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日09时30分(北京时间）截标后。</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 xml:space="preserve">    地点：通过广西政府采购云平台实行在线解密开启。</w:t>
      </w:r>
    </w:p>
    <w:p>
      <w:pPr>
        <w:rPr>
          <w:rFonts w:ascii="宋体" w:hAnsi="宋体" w:cs="宋体"/>
          <w:color w:val="auto"/>
          <w:szCs w:val="21"/>
          <w:highlight w:val="none"/>
        </w:rPr>
      </w:pPr>
      <w:bookmarkStart w:id="30" w:name="_Toc28359007"/>
      <w:bookmarkStart w:id="31" w:name="_Toc28359084"/>
      <w:bookmarkStart w:id="32" w:name="_Toc35393794"/>
      <w:bookmarkStart w:id="33" w:name="_Toc35393625"/>
      <w:r>
        <w:rPr>
          <w:rFonts w:hint="eastAsia" w:ascii="宋体" w:hAnsi="宋体" w:cs="宋体"/>
          <w:color w:val="auto"/>
          <w:szCs w:val="21"/>
          <w:highlight w:val="none"/>
        </w:rPr>
        <w:t>六、公告期限</w:t>
      </w:r>
      <w:bookmarkEnd w:id="30"/>
      <w:bookmarkEnd w:id="31"/>
      <w:bookmarkEnd w:id="32"/>
      <w:bookmarkEnd w:id="33"/>
    </w:p>
    <w:p>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rPr>
          <w:rFonts w:ascii="宋体" w:hAnsi="宋体" w:cs="宋体"/>
          <w:color w:val="auto"/>
          <w:szCs w:val="21"/>
          <w:highlight w:val="none"/>
        </w:rPr>
      </w:pPr>
      <w:bookmarkStart w:id="34" w:name="_Toc35393626"/>
      <w:bookmarkStart w:id="35" w:name="_Toc35393795"/>
      <w:r>
        <w:rPr>
          <w:rFonts w:hint="eastAsia" w:ascii="宋体" w:hAnsi="宋体" w:cs="宋体"/>
          <w:color w:val="auto"/>
          <w:szCs w:val="21"/>
          <w:highlight w:val="none"/>
        </w:rPr>
        <w:t>七、其他补充事宜</w:t>
      </w:r>
      <w:bookmarkEnd w:id="34"/>
      <w:bookmarkEnd w:id="35"/>
    </w:p>
    <w:p>
      <w:pPr>
        <w:spacing w:line="38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1.本项目无需缴纳磋商保证金。</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2.本项目信息发布媒体：</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中国政府采购网（http://www.ccgp.gov.cn）</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广西壮族自治区政府采购网（http://www.ccgp-guangxi.gov.cn/）</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桂林市政府采购网（zfcg.czj.guilin.gov.cn）</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全国公共资源交易平台(广西•桂林)（http://ggzy.jgswj.gxzf.gov.cn/glggzy/）</w:t>
      </w:r>
    </w:p>
    <w:p>
      <w:pPr>
        <w:pStyle w:val="40"/>
        <w:numPr>
          <w:ilvl w:val="0"/>
          <w:numId w:val="2"/>
        </w:numPr>
        <w:ind w:firstLine="480"/>
        <w:rPr>
          <w:rFonts w:ascii="宋体" w:hAnsi="宋体" w:cs="宋体"/>
          <w:color w:val="auto"/>
          <w:sz w:val="21"/>
          <w:szCs w:val="21"/>
          <w:highlight w:val="none"/>
        </w:rPr>
      </w:pPr>
      <w:r>
        <w:rPr>
          <w:rFonts w:hint="eastAsia" w:ascii="宋体" w:hAnsi="宋体" w:cs="宋体"/>
          <w:color w:val="auto"/>
          <w:sz w:val="21"/>
          <w:szCs w:val="21"/>
          <w:highlight w:val="none"/>
        </w:rPr>
        <w:t>磋商响应文件解密时间：截标时间后</w:t>
      </w:r>
      <w:r>
        <w:rPr>
          <w:rFonts w:hint="eastAsia" w:ascii="宋体" w:hAnsi="宋体" w:cs="宋体"/>
          <w:color w:val="auto"/>
          <w:sz w:val="21"/>
          <w:szCs w:val="21"/>
          <w:highlight w:val="none"/>
          <w:u w:val="single"/>
        </w:rPr>
        <w:t>30</w:t>
      </w:r>
      <w:r>
        <w:rPr>
          <w:rFonts w:hint="eastAsia" w:ascii="宋体" w:hAnsi="宋体" w:cs="宋体"/>
          <w:color w:val="auto"/>
          <w:sz w:val="21"/>
          <w:szCs w:val="21"/>
          <w:highlight w:val="none"/>
        </w:rPr>
        <w:t>分钟内（</w:t>
      </w:r>
      <w:r>
        <w:rPr>
          <w:rFonts w:hint="eastAsia" w:ascii="宋体" w:hAnsi="宋体" w:cs="宋体"/>
          <w:color w:val="auto"/>
          <w:sz w:val="21"/>
          <w:szCs w:val="21"/>
          <w:highlight w:val="none"/>
          <w:u w:val="single"/>
        </w:rPr>
        <w:t>2024年</w:t>
      </w:r>
      <w:r>
        <w:rPr>
          <w:rFonts w:hint="eastAsia" w:ascii="宋体" w:hAnsi="宋体" w:cs="宋体"/>
          <w:color w:val="auto"/>
          <w:sz w:val="21"/>
          <w:szCs w:val="21"/>
          <w:highlight w:val="none"/>
          <w:u w:val="single"/>
          <w:lang w:eastAsia="zh-CN"/>
        </w:rPr>
        <w:t>1</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eastAsia="zh-CN"/>
        </w:rPr>
        <w:t>1</w:t>
      </w:r>
      <w:r>
        <w:rPr>
          <w:rFonts w:hint="eastAsia" w:ascii="宋体" w:hAnsi="宋体" w:cs="宋体"/>
          <w:color w:val="auto"/>
          <w:sz w:val="21"/>
          <w:szCs w:val="21"/>
          <w:highlight w:val="none"/>
          <w:u w:val="single"/>
          <w:lang w:val="en-US" w:eastAsia="zh-CN"/>
        </w:rPr>
        <w:t>1</w:t>
      </w:r>
      <w:r>
        <w:rPr>
          <w:rFonts w:hint="eastAsia" w:ascii="宋体" w:hAnsi="宋体" w:cs="宋体"/>
          <w:color w:val="auto"/>
          <w:sz w:val="21"/>
          <w:szCs w:val="21"/>
          <w:highlight w:val="none"/>
          <w:u w:val="single"/>
        </w:rPr>
        <w:t>日上午9时30分至10时00分</w:t>
      </w:r>
      <w:r>
        <w:rPr>
          <w:rFonts w:hint="eastAsia" w:ascii="宋体" w:hAnsi="宋体" w:cs="宋体"/>
          <w:color w:val="auto"/>
          <w:sz w:val="21"/>
          <w:szCs w:val="21"/>
          <w:highlight w:val="none"/>
        </w:rPr>
        <w:t>)磋商供应商可以登录广西政府采购云平台，用“项目采购-开标评标”功能进行解密电子磋商响应文件。</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4.本项目需要落实的政府采购政策：</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4.1《政府采购促进中小企业发展管理办法》（财库[2020]46号）。</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    4.2《关于政府采购支持监狱企业发展有关问题的通知》（财库[2014]68号）。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    4.3《关于促进残疾人就业政府采购政策的通知》（财库[2017]141号）。</w:t>
      </w:r>
    </w:p>
    <w:p>
      <w:pPr>
        <w:pStyle w:val="17"/>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5.本项目所属行业为“软件和信息技术服务业”。</w:t>
      </w:r>
    </w:p>
    <w:p>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6.资格条件特别说明：</w:t>
      </w:r>
    </w:p>
    <w:p>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20"/>
        <w:rPr>
          <w:rFonts w:ascii="宋体" w:hAnsi="宋体" w:cs="宋体"/>
          <w:color w:val="auto"/>
          <w:highlight w:val="none"/>
        </w:rPr>
      </w:pPr>
      <w:r>
        <w:rPr>
          <w:rFonts w:hint="eastAsia" w:ascii="宋体" w:hAnsi="宋体" w:cs="宋体"/>
          <w:color w:val="auto"/>
          <w:highlight w:val="none"/>
        </w:rPr>
        <w:t>（2）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7.广西政府采购云平台电子竞标相关事宜：</w:t>
      </w:r>
    </w:p>
    <w:p>
      <w:pPr>
        <w:adjustRightInd w:val="0"/>
        <w:snapToGrid w:val="0"/>
        <w:spacing w:line="400" w:lineRule="exact"/>
        <w:ind w:firstLine="420"/>
        <w:rPr>
          <w:rFonts w:ascii="宋体" w:hAnsi="宋体" w:cs="宋体"/>
          <w:bCs/>
          <w:color w:val="auto"/>
          <w:szCs w:val="21"/>
          <w:highlight w:val="none"/>
        </w:rPr>
      </w:pPr>
      <w:r>
        <w:rPr>
          <w:rFonts w:hint="eastAsia" w:ascii="宋体" w:hAnsi="宋体" w:cs="宋体"/>
          <w:bCs/>
          <w:color w:val="auto"/>
          <w:szCs w:val="21"/>
          <w:highlight w:val="none"/>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③下载“广西壮族自治区全流程电子招投标项目管理系统--供应商客户端”（操作方法详见广西壮族自治区政府采购网—办事服务—下载专区，以下称“政采云电子投标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电子竞标或竞标失败的，造成的一切后果，由供应商自行承担。</w:t>
      </w:r>
    </w:p>
    <w:p>
      <w:pPr>
        <w:adjustRightInd w:val="0"/>
        <w:snapToGrid w:val="0"/>
        <w:spacing w:line="400" w:lineRule="exact"/>
        <w:ind w:firstLine="420"/>
        <w:rPr>
          <w:rFonts w:ascii="宋体" w:hAnsi="宋体" w:cs="宋体"/>
          <w:bCs/>
          <w:color w:val="auto"/>
          <w:szCs w:val="21"/>
          <w:highlight w:val="none"/>
        </w:rPr>
      </w:pPr>
      <w:r>
        <w:rPr>
          <w:rFonts w:hint="eastAsia" w:ascii="宋体" w:hAnsi="宋体" w:cs="宋体"/>
          <w:bCs/>
          <w:color w:val="auto"/>
          <w:szCs w:val="21"/>
          <w:highlight w:val="none"/>
        </w:rPr>
        <w:t>（2）电子竞标具体操作流程参考《政府采购项目电子交易管理操作指南-供应商》（详见桂林市政府采购网—采购资讯—重要通知）；如遇平台技术问题详询95763。</w:t>
      </w:r>
    </w:p>
    <w:p>
      <w:pPr>
        <w:adjustRightInd w:val="0"/>
        <w:snapToGrid w:val="0"/>
        <w:spacing w:line="400" w:lineRule="exact"/>
        <w:ind w:firstLine="420"/>
        <w:rPr>
          <w:color w:val="auto"/>
          <w:highlight w:val="none"/>
        </w:rPr>
      </w:pPr>
      <w:r>
        <w:rPr>
          <w:rFonts w:hint="eastAsia" w:ascii="宋体" w:hAnsi="宋体" w:cs="宋体"/>
          <w:bCs/>
          <w:color w:val="auto"/>
          <w:szCs w:val="21"/>
          <w:highlight w:val="none"/>
        </w:rPr>
        <w:t>（3）</w:t>
      </w:r>
      <w:r>
        <w:rPr>
          <w:rFonts w:hint="eastAsia" w:ascii="宋体" w:hAnsi="宋体" w:cs="宋体"/>
          <w:color w:val="auto"/>
          <w:kern w:val="0"/>
          <w:szCs w:val="21"/>
          <w:highlight w:val="none"/>
        </w:rPr>
        <w:t>电子响应文件的制作、加密、</w:t>
      </w:r>
      <w:r>
        <w:rPr>
          <w:rFonts w:hint="eastAsia" w:ascii="宋体" w:hAnsi="宋体" w:cs="宋体"/>
          <w:color w:val="auto"/>
          <w:szCs w:val="21"/>
          <w:highlight w:val="none"/>
        </w:rPr>
        <w:t>提交、解密等相关事宜详见第二章 “供应商须知”。</w:t>
      </w:r>
    </w:p>
    <w:p>
      <w:pPr>
        <w:spacing w:line="500" w:lineRule="exact"/>
        <w:rPr>
          <w:rFonts w:ascii="宋体" w:hAnsi="宋体" w:cs="宋体"/>
          <w:b/>
          <w:color w:val="auto"/>
          <w:szCs w:val="21"/>
          <w:highlight w:val="none"/>
        </w:rPr>
      </w:pPr>
      <w:r>
        <w:rPr>
          <w:rFonts w:hint="eastAsia" w:ascii="宋体" w:hAnsi="宋体" w:cs="宋体"/>
          <w:b/>
          <w:color w:val="auto"/>
          <w:szCs w:val="21"/>
          <w:highlight w:val="none"/>
        </w:rPr>
        <w:t>八、</w:t>
      </w:r>
      <w:bookmarkEnd w:id="22"/>
      <w:bookmarkEnd w:id="23"/>
      <w:bookmarkEnd w:id="24"/>
      <w:bookmarkEnd w:id="25"/>
      <w:r>
        <w:rPr>
          <w:rFonts w:hint="eastAsia" w:ascii="宋体" w:hAnsi="宋体" w:cs="宋体"/>
          <w:b/>
          <w:color w:val="auto"/>
          <w:szCs w:val="21"/>
          <w:highlight w:val="none"/>
        </w:rPr>
        <w:t>凡对本次采购提出询问，请按以下方式联系。</w:t>
      </w:r>
      <w:bookmarkStart w:id="36" w:name="_Toc28359019"/>
      <w:bookmarkStart w:id="37" w:name="_Toc35393637"/>
      <w:bookmarkStart w:id="38" w:name="_Toc28359096"/>
      <w:bookmarkStart w:id="39" w:name="_Toc35393806"/>
    </w:p>
    <w:p>
      <w:pPr>
        <w:spacing w:line="5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1.采购人信息</w:t>
      </w:r>
      <w:bookmarkEnd w:id="36"/>
      <w:bookmarkEnd w:id="37"/>
      <w:bookmarkEnd w:id="38"/>
      <w:bookmarkEnd w:id="39"/>
    </w:p>
    <w:p>
      <w:pPr>
        <w:spacing w:line="500" w:lineRule="exact"/>
        <w:ind w:firstLine="420" w:firstLineChars="200"/>
        <w:jc w:val="left"/>
        <w:rPr>
          <w:rFonts w:ascii="宋体" w:hAnsi="宋体" w:cs="宋体"/>
          <w:color w:val="auto"/>
          <w:szCs w:val="21"/>
          <w:highlight w:val="none"/>
        </w:rPr>
      </w:pPr>
      <w:bookmarkStart w:id="40" w:name="_Toc35393807"/>
      <w:bookmarkStart w:id="41" w:name="_Toc35393638"/>
      <w:bookmarkStart w:id="42" w:name="_Toc28359097"/>
      <w:bookmarkStart w:id="43" w:name="_Toc28359020"/>
      <w:r>
        <w:rPr>
          <w:rFonts w:hint="eastAsia" w:ascii="宋体" w:hAnsi="宋体" w:cs="宋体"/>
          <w:color w:val="auto"/>
          <w:szCs w:val="21"/>
          <w:highlight w:val="none"/>
        </w:rPr>
        <w:t>名  称：广西桂林花坪国家级自然保护区管理处 </w:t>
      </w:r>
    </w:p>
    <w:p>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  址：广西桂林市临桂区世纪东路32号 </w:t>
      </w:r>
    </w:p>
    <w:p>
      <w:pPr>
        <w:spacing w:line="5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联系方式：</w:t>
      </w:r>
      <w:r>
        <w:rPr>
          <w:rFonts w:hint="eastAsia" w:ascii="宋体" w:hAnsi="宋体" w:cs="宋体"/>
          <w:color w:val="auto"/>
          <w:sz w:val="21"/>
          <w:szCs w:val="21"/>
          <w:highlight w:val="none"/>
          <w:lang w:eastAsia="zh-CN"/>
        </w:rPr>
        <w:t>0773-55</w:t>
      </w:r>
      <w:bookmarkStart w:id="244" w:name="_GoBack"/>
      <w:bookmarkEnd w:id="244"/>
      <w:r>
        <w:rPr>
          <w:rFonts w:hint="eastAsia" w:ascii="宋体" w:hAnsi="宋体" w:cs="宋体"/>
          <w:color w:val="auto"/>
          <w:sz w:val="21"/>
          <w:szCs w:val="21"/>
          <w:highlight w:val="none"/>
          <w:lang w:eastAsia="zh-CN"/>
        </w:rPr>
        <w:t>84148</w:t>
      </w:r>
    </w:p>
    <w:p>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2.采购代理机构信息</w:t>
      </w:r>
      <w:bookmarkEnd w:id="40"/>
      <w:bookmarkEnd w:id="41"/>
      <w:bookmarkEnd w:id="42"/>
      <w:bookmarkEnd w:id="43"/>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名    称：广西天罡工程项目管理有限公司</w:t>
      </w:r>
    </w:p>
    <w:p>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　　址：桂林市七星区七里店路108号桂林国家大学科技园2栋2单元5楼</w:t>
      </w:r>
    </w:p>
    <w:p>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联系方式：0773-5896688</w:t>
      </w:r>
    </w:p>
    <w:p>
      <w:pPr>
        <w:spacing w:line="500" w:lineRule="exact"/>
        <w:ind w:firstLine="420" w:firstLineChars="200"/>
        <w:jc w:val="left"/>
        <w:rPr>
          <w:rFonts w:ascii="宋体" w:hAnsi="宋体" w:cs="宋体"/>
          <w:color w:val="auto"/>
          <w:szCs w:val="21"/>
          <w:highlight w:val="none"/>
        </w:rPr>
      </w:pPr>
      <w:bookmarkStart w:id="44" w:name="_Toc28359098"/>
      <w:bookmarkStart w:id="45" w:name="_Toc28359021"/>
      <w:bookmarkStart w:id="46" w:name="_Toc35393639"/>
      <w:bookmarkStart w:id="47" w:name="_Toc35393808"/>
      <w:r>
        <w:rPr>
          <w:rFonts w:hint="eastAsia" w:ascii="宋体" w:hAnsi="宋体" w:cs="宋体"/>
          <w:color w:val="auto"/>
          <w:szCs w:val="21"/>
          <w:highlight w:val="none"/>
        </w:rPr>
        <w:t>3.项目联系方式</w:t>
      </w:r>
      <w:bookmarkEnd w:id="44"/>
      <w:bookmarkEnd w:id="45"/>
      <w:bookmarkEnd w:id="46"/>
      <w:bookmarkEnd w:id="47"/>
    </w:p>
    <w:p>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项目联系人：张工</w:t>
      </w:r>
    </w:p>
    <w:p>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　　 话：0773-5896688</w:t>
      </w:r>
    </w:p>
    <w:p>
      <w:pPr>
        <w:pStyle w:val="10"/>
        <w:spacing w:line="500" w:lineRule="exact"/>
        <w:rPr>
          <w:rFonts w:ascii="宋体" w:hAnsi="宋体" w:cs="宋体"/>
          <w:color w:val="auto"/>
          <w:szCs w:val="21"/>
          <w:highlight w:val="none"/>
        </w:rPr>
      </w:pPr>
    </w:p>
    <w:p>
      <w:pPr>
        <w:pStyle w:val="10"/>
        <w:spacing w:line="500" w:lineRule="exact"/>
        <w:rPr>
          <w:rFonts w:ascii="宋体" w:hAnsi="宋体" w:cs="宋体"/>
          <w:color w:val="auto"/>
          <w:szCs w:val="21"/>
          <w:highlight w:val="none"/>
        </w:rPr>
      </w:pPr>
    </w:p>
    <w:p>
      <w:pPr>
        <w:pStyle w:val="2"/>
        <w:rPr>
          <w:color w:val="auto"/>
          <w:highlight w:val="none"/>
        </w:rPr>
      </w:pPr>
      <w:bookmarkStart w:id="48" w:name="_Toc8849"/>
      <w:bookmarkStart w:id="49" w:name="_Toc10668"/>
    </w:p>
    <w:p>
      <w:pPr>
        <w:pStyle w:val="2"/>
        <w:rPr>
          <w:color w:val="auto"/>
          <w:highlight w:val="none"/>
        </w:rPr>
      </w:pPr>
    </w:p>
    <w:p>
      <w:pPr>
        <w:rPr>
          <w:color w:val="auto"/>
          <w:highlight w:val="none"/>
        </w:rPr>
      </w:pPr>
    </w:p>
    <w:p>
      <w:pPr>
        <w:pStyle w:val="10"/>
        <w:rPr>
          <w:color w:val="auto"/>
          <w:highlight w:val="none"/>
        </w:rPr>
      </w:pPr>
    </w:p>
    <w:p>
      <w:pPr>
        <w:pStyle w:val="11"/>
        <w:rPr>
          <w:color w:val="auto"/>
          <w:highlight w:val="none"/>
        </w:rPr>
      </w:pPr>
    </w:p>
    <w:p>
      <w:pPr>
        <w:pStyle w:val="11"/>
        <w:rPr>
          <w:color w:val="auto"/>
          <w:highlight w:val="none"/>
        </w:rPr>
      </w:pPr>
    </w:p>
    <w:p>
      <w:pPr>
        <w:pStyle w:val="11"/>
        <w:rPr>
          <w:color w:val="auto"/>
          <w:highlight w:val="none"/>
        </w:rPr>
      </w:pPr>
    </w:p>
    <w:p>
      <w:pPr>
        <w:pStyle w:val="11"/>
        <w:rPr>
          <w:color w:val="auto"/>
          <w:highlight w:val="none"/>
        </w:rPr>
      </w:pPr>
    </w:p>
    <w:p>
      <w:pPr>
        <w:pStyle w:val="11"/>
        <w:rPr>
          <w:color w:val="auto"/>
          <w:highlight w:val="none"/>
        </w:rPr>
      </w:pPr>
    </w:p>
    <w:p>
      <w:pPr>
        <w:pStyle w:val="2"/>
        <w:rPr>
          <w:color w:val="auto"/>
          <w:highlight w:val="none"/>
        </w:rPr>
      </w:pPr>
      <w:r>
        <w:rPr>
          <w:rFonts w:hint="eastAsia"/>
          <w:color w:val="auto"/>
          <w:highlight w:val="none"/>
        </w:rPr>
        <w:t>第二章  供应商须知</w:t>
      </w:r>
      <w:bookmarkEnd w:id="0"/>
      <w:bookmarkEnd w:id="1"/>
      <w:bookmarkEnd w:id="48"/>
      <w:bookmarkEnd w:id="49"/>
      <w:bookmarkStart w:id="50" w:name="_Toc25063"/>
      <w:bookmarkStart w:id="51" w:name="_Toc9508"/>
      <w:bookmarkStart w:id="52" w:name="_Toc13547"/>
    </w:p>
    <w:p>
      <w:pPr>
        <w:pStyle w:val="2"/>
        <w:spacing w:line="400" w:lineRule="exact"/>
        <w:ind w:left="425"/>
        <w:rPr>
          <w:rFonts w:ascii="宋体" w:hAnsi="宋体" w:cs="宋体"/>
          <w:bCs w:val="0"/>
          <w:color w:val="auto"/>
          <w:sz w:val="24"/>
          <w:szCs w:val="24"/>
          <w:highlight w:val="none"/>
        </w:rPr>
      </w:pPr>
      <w:bookmarkStart w:id="53" w:name="_Toc15488"/>
      <w:r>
        <w:rPr>
          <w:rFonts w:hint="eastAsia" w:ascii="宋体" w:hAnsi="宋体" w:cs="宋体"/>
          <w:bCs w:val="0"/>
          <w:color w:val="auto"/>
          <w:sz w:val="24"/>
          <w:szCs w:val="24"/>
          <w:highlight w:val="none"/>
        </w:rPr>
        <w:t>供 应 商 须 知 前 附 表</w:t>
      </w:r>
      <w:bookmarkEnd w:id="50"/>
      <w:bookmarkEnd w:id="51"/>
      <w:bookmarkEnd w:id="52"/>
      <w:bookmarkEnd w:id="53"/>
    </w:p>
    <w:tbl>
      <w:tblPr>
        <w:tblStyle w:val="24"/>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652"/>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94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165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条款名称</w:t>
            </w:r>
          </w:p>
        </w:tc>
        <w:tc>
          <w:tcPr>
            <w:tcW w:w="703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4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65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项目名称及项目编号</w:t>
            </w:r>
          </w:p>
        </w:tc>
        <w:tc>
          <w:tcPr>
            <w:tcW w:w="7035" w:type="dxa"/>
          </w:tcPr>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项目名称：广西花坪国家级自然保护区保护监测系统建设项目</w:t>
            </w:r>
          </w:p>
          <w:p>
            <w:pPr>
              <w:keepNext w:val="0"/>
              <w:keepLines w:val="0"/>
              <w:suppressLineNumbers w:val="0"/>
              <w:spacing w:before="0" w:beforeAutospacing="0" w:after="0" w:afterAutospacing="0" w:line="360" w:lineRule="auto"/>
              <w:ind w:left="0" w:right="0"/>
              <w:jc w:val="left"/>
              <w:rPr>
                <w:rFonts w:hint="eastAsia" w:ascii="宋体" w:hAnsi="宋体" w:cs="宋体"/>
                <w:color w:val="auto"/>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GLZC2024-C3-990969-GXTG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4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65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供应商资格</w:t>
            </w:r>
          </w:p>
        </w:tc>
        <w:tc>
          <w:tcPr>
            <w:tcW w:w="7035" w:type="dxa"/>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3.1.满足《中华人民共和国政府采购法》第二十二条规定；</w:t>
            </w:r>
          </w:p>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3.2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3.3.落实政府采购政策需满足的资格要求：无。</w:t>
            </w:r>
          </w:p>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3.4.本项目的特定资格要求：无。</w:t>
            </w:r>
          </w:p>
          <w:p>
            <w:pPr>
              <w:keepNext w:val="0"/>
              <w:keepLines w:val="0"/>
              <w:suppressLineNumbers w:val="0"/>
              <w:spacing w:before="0" w:beforeAutospacing="0" w:after="0" w:afterAutospacing="0"/>
              <w:ind w:left="0" w:right="0"/>
              <w:rPr>
                <w:rFonts w:hint="eastAsia" w:ascii="宋体" w:hAnsi="宋体" w:cs="宋体"/>
                <w:color w:val="auto"/>
                <w:highlight w:val="none"/>
              </w:rPr>
            </w:pPr>
            <w:r>
              <w:rPr>
                <w:rFonts w:hint="eastAsia" w:ascii="宋体" w:hAnsi="宋体" w:cs="宋体"/>
                <w:color w:val="auto"/>
                <w:szCs w:val="21"/>
                <w:highlight w:val="none"/>
              </w:rPr>
              <w:t>3.5.本项目不接受联合体。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4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65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磋商费用</w:t>
            </w:r>
          </w:p>
        </w:tc>
        <w:tc>
          <w:tcPr>
            <w:tcW w:w="7035" w:type="dxa"/>
            <w:vAlign w:val="center"/>
          </w:tcPr>
          <w:p>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94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position w:val="-2"/>
                <w:szCs w:val="21"/>
                <w:highlight w:val="none"/>
              </w:rPr>
            </w:pPr>
            <w:r>
              <w:rPr>
                <w:rFonts w:hint="eastAsia" w:ascii="宋体" w:hAnsi="宋体" w:cs="宋体"/>
                <w:color w:val="auto"/>
                <w:position w:val="-2"/>
                <w:szCs w:val="21"/>
                <w:highlight w:val="none"/>
              </w:rPr>
              <w:t>13</w:t>
            </w:r>
          </w:p>
        </w:tc>
        <w:tc>
          <w:tcPr>
            <w:tcW w:w="165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position w:val="-2"/>
                <w:szCs w:val="21"/>
                <w:highlight w:val="none"/>
              </w:rPr>
            </w:pPr>
            <w:r>
              <w:rPr>
                <w:rFonts w:hint="eastAsia" w:ascii="宋体" w:hAnsi="宋体" w:cs="宋体"/>
                <w:color w:val="auto"/>
                <w:szCs w:val="21"/>
                <w:highlight w:val="none"/>
              </w:rPr>
              <w:t>磋商报价及采购预算金额</w:t>
            </w:r>
          </w:p>
        </w:tc>
        <w:tc>
          <w:tcPr>
            <w:tcW w:w="7035" w:type="dxa"/>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13.1 磋商报价应按磋商文件中相关附表格式填写。</w:t>
            </w:r>
            <w:r>
              <w:rPr>
                <w:rFonts w:hint="eastAsia" w:ascii="宋体" w:hAnsi="宋体" w:cs="宋体"/>
                <w:b/>
                <w:bCs/>
                <w:color w:val="auto"/>
                <w:szCs w:val="21"/>
                <w:highlight w:val="none"/>
              </w:rPr>
              <w:t>采购预算金额人民币贰佰</w:t>
            </w:r>
            <w:r>
              <w:rPr>
                <w:rFonts w:hint="eastAsia" w:ascii="宋体" w:hAnsi="宋体" w:cs="宋体"/>
                <w:b/>
                <w:bCs/>
                <w:color w:val="auto"/>
                <w:szCs w:val="21"/>
                <w:highlight w:val="none"/>
                <w:lang w:val="en-US" w:eastAsia="zh-CN"/>
              </w:rPr>
              <w:t>肆拾</w:t>
            </w:r>
            <w:r>
              <w:rPr>
                <w:rFonts w:hint="eastAsia" w:ascii="宋体" w:hAnsi="宋体" w:cs="宋体"/>
                <w:b/>
                <w:bCs/>
                <w:color w:val="auto"/>
                <w:szCs w:val="21"/>
                <w:highlight w:val="none"/>
              </w:rPr>
              <w:t>陆万元整（¥</w:t>
            </w:r>
            <w:r>
              <w:rPr>
                <w:rFonts w:hint="eastAsia" w:ascii="宋体" w:hAnsi="宋体" w:cs="宋体"/>
                <w:b/>
                <w:bCs/>
                <w:color w:val="auto"/>
                <w:szCs w:val="21"/>
                <w:highlight w:val="none"/>
                <w:lang w:val="en-US" w:eastAsia="zh-CN"/>
              </w:rPr>
              <w:t>246</w:t>
            </w:r>
            <w:r>
              <w:rPr>
                <w:rFonts w:hint="eastAsia" w:ascii="宋体" w:hAnsi="宋体" w:cs="宋体"/>
                <w:b/>
                <w:bCs/>
                <w:color w:val="auto"/>
                <w:szCs w:val="21"/>
                <w:highlight w:val="none"/>
              </w:rPr>
              <w:t>0000.00元）。</w:t>
            </w:r>
            <w:r>
              <w:rPr>
                <w:rFonts w:hint="eastAsia" w:ascii="宋体" w:hAnsi="宋体" w:cs="宋体"/>
                <w:color w:val="auto"/>
                <w:szCs w:val="21"/>
                <w:highlight w:val="none"/>
              </w:rPr>
              <w:t>供应商报价</w:t>
            </w:r>
            <w:r>
              <w:rPr>
                <w:rFonts w:hint="eastAsia" w:ascii="宋体" w:hAnsi="宋体" w:cs="宋体"/>
                <w:color w:val="auto"/>
                <w:kern w:val="0"/>
                <w:szCs w:val="21"/>
                <w:highlight w:val="none"/>
              </w:rPr>
              <w:t>超出采购预算金额的，响应文件按无效处理。</w:t>
            </w:r>
          </w:p>
          <w:p>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13.2供应商必须就“采购需求”中所有内容作完整唯一报价，否则，其响应文件无效；响应文件只允许有一个报价，有选择的或有条件的报价将不予接受。</w:t>
            </w:r>
          </w:p>
          <w:p>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13.4</w:t>
            </w:r>
            <w:r>
              <w:rPr>
                <w:rFonts w:hint="eastAsia" w:ascii="宋体" w:hAnsi="宋体" w:cs="宋体"/>
                <w:color w:val="auto"/>
                <w:kern w:val="0"/>
                <w:szCs w:val="21"/>
                <w:highlight w:val="none"/>
              </w:rPr>
              <w:t>供应商应在规定时间内在政采云系统上提交最后报价，超出评委设定的最后报价时限或其最后报价超出采购预算导致已通过评审的响应文件无效的，按供应商在提交响应文件截止时间后撤回响应文件处理。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94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position w:val="-2"/>
                <w:szCs w:val="21"/>
                <w:highlight w:val="none"/>
              </w:rPr>
            </w:pPr>
            <w:r>
              <w:rPr>
                <w:rFonts w:hint="eastAsia" w:ascii="宋体" w:hAnsi="宋体" w:cs="宋体"/>
                <w:color w:val="auto"/>
                <w:position w:val="-2"/>
                <w:szCs w:val="21"/>
                <w:highlight w:val="none"/>
              </w:rPr>
              <w:t>14.1</w:t>
            </w:r>
          </w:p>
        </w:tc>
        <w:tc>
          <w:tcPr>
            <w:tcW w:w="165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position w:val="-2"/>
                <w:szCs w:val="21"/>
                <w:highlight w:val="none"/>
              </w:rPr>
            </w:pPr>
            <w:r>
              <w:rPr>
                <w:rFonts w:hint="eastAsia" w:ascii="宋体" w:hAnsi="宋体" w:cs="宋体"/>
                <w:color w:val="auto"/>
                <w:position w:val="-2"/>
                <w:szCs w:val="21"/>
                <w:highlight w:val="none"/>
              </w:rPr>
              <w:t>响应文件有效期</w:t>
            </w:r>
          </w:p>
        </w:tc>
        <w:tc>
          <w:tcPr>
            <w:tcW w:w="7035" w:type="dxa"/>
          </w:tcPr>
          <w:p>
            <w:pPr>
              <w:keepNext w:val="0"/>
              <w:keepLines w:val="0"/>
              <w:suppressLineNumbers w:val="0"/>
              <w:tabs>
                <w:tab w:val="left" w:pos="1305"/>
              </w:tabs>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94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position w:val="-2"/>
                <w:szCs w:val="21"/>
                <w:highlight w:val="none"/>
              </w:rPr>
            </w:pPr>
            <w:r>
              <w:rPr>
                <w:rFonts w:hint="eastAsia" w:ascii="宋体" w:hAnsi="宋体" w:cs="宋体"/>
                <w:color w:val="auto"/>
                <w:position w:val="-2"/>
                <w:szCs w:val="21"/>
                <w:highlight w:val="none"/>
              </w:rPr>
              <w:t>15</w:t>
            </w:r>
          </w:p>
        </w:tc>
        <w:tc>
          <w:tcPr>
            <w:tcW w:w="165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position w:val="-2"/>
                <w:szCs w:val="21"/>
                <w:highlight w:val="none"/>
              </w:rPr>
            </w:pPr>
            <w:r>
              <w:rPr>
                <w:rFonts w:hint="eastAsia" w:ascii="宋体" w:hAnsi="宋体" w:cs="宋体"/>
                <w:color w:val="auto"/>
                <w:position w:val="-2"/>
                <w:szCs w:val="21"/>
                <w:highlight w:val="none"/>
              </w:rPr>
              <w:t>保证金</w:t>
            </w:r>
          </w:p>
        </w:tc>
        <w:tc>
          <w:tcPr>
            <w:tcW w:w="7035" w:type="dxa"/>
          </w:tcPr>
          <w:p>
            <w:pPr>
              <w:keepNext w:val="0"/>
              <w:keepLines w:val="0"/>
              <w:suppressLineNumbers w:val="0"/>
              <w:tabs>
                <w:tab w:val="left" w:pos="1305"/>
              </w:tabs>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94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1652" w:type="dxa"/>
            <w:vAlign w:val="center"/>
          </w:tcPr>
          <w:p>
            <w:pPr>
              <w:pStyle w:val="5"/>
              <w:suppressLineNumbers w:val="0"/>
              <w:spacing w:before="0" w:beforeAutospacing="0" w:after="0" w:afterAutospacing="0" w:line="360" w:lineRule="auto"/>
              <w:ind w:left="0" w:right="0"/>
              <w:jc w:val="center"/>
              <w:rPr>
                <w:rFonts w:hint="eastAsia" w:ascii="宋体" w:hAnsi="宋体" w:cs="宋体"/>
                <w:b w:val="0"/>
                <w:bCs/>
                <w:color w:val="auto"/>
                <w:sz w:val="21"/>
                <w:szCs w:val="21"/>
                <w:highlight w:val="none"/>
              </w:rPr>
            </w:pPr>
            <w:bookmarkStart w:id="54" w:name="_Toc19911"/>
            <w:bookmarkStart w:id="55" w:name="_Toc27452"/>
            <w:r>
              <w:rPr>
                <w:rFonts w:hint="eastAsia" w:ascii="宋体" w:hAnsi="宋体" w:cs="宋体"/>
                <w:b w:val="0"/>
                <w:bCs/>
                <w:color w:val="auto"/>
                <w:sz w:val="21"/>
                <w:szCs w:val="21"/>
                <w:highlight w:val="none"/>
              </w:rPr>
              <w:t>竞争性磋商响应文件的制作</w:t>
            </w:r>
            <w:bookmarkEnd w:id="54"/>
            <w:bookmarkEnd w:id="55"/>
          </w:p>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7035" w:type="dxa"/>
            <w:vAlign w:val="center"/>
          </w:tcPr>
          <w:p>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16.1 电子磋商响应文件中须加盖供应商公章部分均采用 CA 证书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16.2供应商法人（负责人）或授权代表持有政采云个人CA证书签章的，应在响应文件中涉及到签字的位置使用个人CA证书签章，没有办理政采云个人CA证书签章的可在响应文件中涉及到签字的位置手写签字后扫描或者拍照做成 PDF 的格式上传即可。</w:t>
            </w:r>
          </w:p>
          <w:p>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16.3 磋商响应文件不得涂改，若有修改错漏处，须法定代表人（负责人）或授权委托人签字（或个人CA证书签章）。磋商响应文件因字迹潦草或表达不清所引起的后果由供应商负责。</w:t>
            </w:r>
          </w:p>
          <w:p>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16.4磋商前准备 </w:t>
            </w:r>
          </w:p>
          <w:p>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16.4.1本项目实行在线磋商，采用电子磋商响应文件。若供应商参与磋商，自行承担磋商一切费用。 </w:t>
            </w:r>
          </w:p>
          <w:p>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16.4.3供应商将政采云电子交易客户端下载、安装完成后，可通过账号密码或 CA 登录客户端进行响应文件制作。客户端请至网站下载专区查看，如有问题可拨打政采云客户服务热线 95763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94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18.1</w:t>
            </w:r>
          </w:p>
        </w:tc>
        <w:tc>
          <w:tcPr>
            <w:tcW w:w="165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响应文件递交截止时间</w:t>
            </w:r>
          </w:p>
        </w:tc>
        <w:tc>
          <w:tcPr>
            <w:tcW w:w="7035" w:type="dxa"/>
            <w:vAlign w:val="center"/>
          </w:tcPr>
          <w:p>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u w:val="single"/>
              </w:rPr>
              <w:t>于</w:t>
            </w:r>
            <w:r>
              <w:rPr>
                <w:rFonts w:hint="eastAsia" w:ascii="宋体" w:hAnsi="宋体" w:cs="宋体"/>
                <w:color w:val="auto"/>
                <w:szCs w:val="21"/>
                <w:highlight w:val="none"/>
                <w:u w:val="single"/>
                <w:lang w:eastAsia="zh-CN"/>
              </w:rPr>
              <w:t>2024年12月11日</w:t>
            </w:r>
            <w:r>
              <w:rPr>
                <w:rFonts w:hint="eastAsia" w:ascii="宋体" w:hAnsi="宋体" w:cs="宋体"/>
                <w:color w:val="auto"/>
                <w:szCs w:val="21"/>
                <w:highlight w:val="none"/>
                <w:u w:val="single"/>
              </w:rPr>
              <w:t>9时30分</w:t>
            </w:r>
            <w:r>
              <w:rPr>
                <w:rFonts w:hint="eastAsia" w:ascii="宋体" w:hAnsi="宋体" w:cs="宋体"/>
                <w:color w:val="auto"/>
                <w:szCs w:val="21"/>
                <w:highlight w:val="none"/>
              </w:rPr>
              <w:t>之前将电子磋商响应文件上传到广西政府采购云平台。应按照本项目磋商文件和广西政府采购云平台的要求编制、加密传输磋商响应文件。供应商在使用系统进行投标的过程中遇到涉及平台使用的任何问题，可致电广西政府采购云平台技术支持热线咨询，联系方式：95763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position w:val="-2"/>
                <w:szCs w:val="21"/>
                <w:highlight w:val="none"/>
              </w:rPr>
            </w:pPr>
            <w:r>
              <w:rPr>
                <w:rFonts w:hint="eastAsia" w:ascii="宋体" w:hAnsi="宋体" w:cs="宋体"/>
                <w:color w:val="auto"/>
                <w:position w:val="-2"/>
                <w:szCs w:val="21"/>
                <w:highlight w:val="none"/>
              </w:rPr>
              <w:t>9</w:t>
            </w:r>
          </w:p>
        </w:tc>
        <w:tc>
          <w:tcPr>
            <w:tcW w:w="94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position w:val="-2"/>
                <w:szCs w:val="21"/>
                <w:highlight w:val="none"/>
              </w:rPr>
            </w:pPr>
            <w:r>
              <w:rPr>
                <w:rFonts w:hint="eastAsia" w:ascii="宋体" w:hAnsi="宋体" w:cs="宋体"/>
                <w:color w:val="auto"/>
                <w:position w:val="-2"/>
                <w:szCs w:val="21"/>
                <w:highlight w:val="none"/>
              </w:rPr>
              <w:t>18.2</w:t>
            </w:r>
          </w:p>
        </w:tc>
        <w:tc>
          <w:tcPr>
            <w:tcW w:w="165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position w:val="-2"/>
                <w:szCs w:val="21"/>
                <w:highlight w:val="none"/>
              </w:rPr>
            </w:pPr>
            <w:r>
              <w:rPr>
                <w:rFonts w:hint="eastAsia" w:ascii="宋体" w:hAnsi="宋体" w:cs="宋体"/>
                <w:color w:val="auto"/>
                <w:szCs w:val="21"/>
                <w:highlight w:val="none"/>
              </w:rPr>
              <w:t>磋商响应文件解密时间</w:t>
            </w:r>
          </w:p>
        </w:tc>
        <w:tc>
          <w:tcPr>
            <w:tcW w:w="7035" w:type="dxa"/>
            <w:vAlign w:val="center"/>
          </w:tcPr>
          <w:p>
            <w:pPr>
              <w:pStyle w:val="9"/>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磋商响应文件解密时间</w:t>
            </w:r>
            <w:r>
              <w:rPr>
                <w:rFonts w:hint="eastAsia" w:ascii="宋体" w:hAnsi="宋体" w:cs="宋体"/>
                <w:color w:val="auto"/>
                <w:highlight w:val="none"/>
              </w:rPr>
              <w:t>：截标时间后</w:t>
            </w:r>
            <w:r>
              <w:rPr>
                <w:rFonts w:hint="eastAsia" w:ascii="宋体" w:hAnsi="宋体" w:cs="宋体"/>
                <w:color w:val="auto"/>
                <w:highlight w:val="none"/>
                <w:u w:val="single"/>
              </w:rPr>
              <w:t>30</w:t>
            </w:r>
            <w:r>
              <w:rPr>
                <w:rFonts w:hint="eastAsia" w:ascii="宋体" w:hAnsi="宋体" w:cs="宋体"/>
                <w:color w:val="auto"/>
                <w:highlight w:val="none"/>
              </w:rPr>
              <w:t>分钟内（</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日09时30分</w:t>
            </w:r>
            <w:r>
              <w:rPr>
                <w:rFonts w:hint="eastAsia" w:ascii="宋体" w:hAnsi="宋体" w:cs="宋体"/>
                <w:color w:val="auto"/>
                <w:highlight w:val="none"/>
                <w:u w:val="single"/>
              </w:rPr>
              <w:t>至10时00分</w:t>
            </w:r>
            <w:r>
              <w:rPr>
                <w:rFonts w:hint="eastAsia" w:ascii="宋体" w:hAnsi="宋体" w:cs="宋体"/>
                <w:color w:val="auto"/>
                <w:highlight w:val="none"/>
              </w:rPr>
              <w:t>)磋商供应商可以登录广西政府采购云平台，用“项目采购-开标评标”功能进行解密磋商响应文件。</w:t>
            </w:r>
            <w:r>
              <w:rPr>
                <w:rFonts w:hint="eastAsia" w:ascii="宋体" w:hAnsi="宋体" w:cs="宋体"/>
                <w:b/>
                <w:bCs/>
                <w:color w:val="auto"/>
                <w:szCs w:val="21"/>
                <w:highlight w:val="none"/>
              </w:rPr>
              <w:t>若磋商供应商在规定时间内无法解密或解密失败，</w:t>
            </w:r>
            <w:r>
              <w:rPr>
                <w:rFonts w:hint="eastAsia" w:ascii="宋体" w:hAnsi="宋体" w:cs="宋体"/>
                <w:b/>
                <w:bCs/>
                <w:color w:val="auto"/>
                <w:kern w:val="0"/>
                <w:szCs w:val="21"/>
                <w:highlight w:val="none"/>
              </w:rPr>
              <w:t>视为供应商放弃磋商</w:t>
            </w:r>
            <w:r>
              <w:rPr>
                <w:rFonts w:hint="eastAsia" w:ascii="宋体" w:hAnsi="宋体" w:cs="宋体"/>
                <w:b/>
                <w:bCs/>
                <w:color w:val="auto"/>
                <w:szCs w:val="21"/>
                <w:highlight w:val="none"/>
              </w:rPr>
              <w:t>，造成响应无效的后果由供应商自行承担。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942" w:type="dxa"/>
            <w:vAlign w:val="center"/>
          </w:tcPr>
          <w:p>
            <w:pPr>
              <w:keepNext w:val="0"/>
              <w:keepLines w:val="0"/>
              <w:suppressLineNumbers w:val="0"/>
              <w:spacing w:before="0" w:beforeAutospacing="0" w:after="0" w:afterAutospacing="0" w:line="360" w:lineRule="auto"/>
              <w:ind w:left="0" w:right="0" w:firstLine="105" w:firstLineChars="50"/>
              <w:jc w:val="center"/>
              <w:rPr>
                <w:rFonts w:hint="eastAsia" w:ascii="宋体" w:hAnsi="宋体" w:cs="宋体"/>
                <w:color w:val="auto"/>
                <w:position w:val="-2"/>
                <w:szCs w:val="21"/>
                <w:highlight w:val="none"/>
              </w:rPr>
            </w:pPr>
            <w:r>
              <w:rPr>
                <w:rFonts w:hint="eastAsia" w:ascii="宋体" w:hAnsi="宋体" w:cs="宋体"/>
                <w:color w:val="auto"/>
                <w:position w:val="-2"/>
                <w:szCs w:val="21"/>
                <w:highlight w:val="none"/>
              </w:rPr>
              <w:t>19.1</w:t>
            </w:r>
          </w:p>
        </w:tc>
        <w:tc>
          <w:tcPr>
            <w:tcW w:w="165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磋商小组组成</w:t>
            </w:r>
          </w:p>
        </w:tc>
        <w:tc>
          <w:tcPr>
            <w:tcW w:w="7035" w:type="dxa"/>
            <w:vAlign w:val="center"/>
          </w:tcPr>
          <w:p>
            <w:pPr>
              <w:keepNext w:val="0"/>
              <w:keepLines w:val="0"/>
              <w:suppressLineNumbers w:val="0"/>
              <w:spacing w:before="0" w:beforeAutospacing="0" w:after="0" w:afterAutospacing="0" w:line="360" w:lineRule="auto"/>
              <w:ind w:left="15" w:right="0" w:hanging="14" w:hangingChars="7"/>
              <w:rPr>
                <w:rFonts w:hint="eastAsia" w:ascii="宋体" w:hAnsi="宋体" w:cs="宋体"/>
                <w:color w:val="auto"/>
                <w:szCs w:val="21"/>
                <w:highlight w:val="none"/>
              </w:rPr>
            </w:pPr>
            <w:r>
              <w:rPr>
                <w:rFonts w:hint="eastAsia" w:ascii="宋体" w:hAnsi="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人，其中采购人代表</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人，专家</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94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19.2</w:t>
            </w:r>
          </w:p>
        </w:tc>
        <w:tc>
          <w:tcPr>
            <w:tcW w:w="165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磋商时间、地点、人员</w:t>
            </w:r>
          </w:p>
        </w:tc>
        <w:tc>
          <w:tcPr>
            <w:tcW w:w="7035" w:type="dxa"/>
          </w:tcPr>
          <w:p>
            <w:pPr>
              <w:keepNext w:val="0"/>
              <w:keepLines w:val="0"/>
              <w:suppressLineNumbers w:val="0"/>
              <w:spacing w:before="0" w:beforeAutospacing="0" w:after="0" w:afterAutospacing="0" w:line="360" w:lineRule="auto"/>
              <w:ind w:left="315" w:right="0" w:hanging="315" w:hangingChars="150"/>
              <w:jc w:val="left"/>
              <w:rPr>
                <w:rFonts w:hint="eastAsia" w:ascii="宋体" w:hAnsi="宋体" w:cs="宋体"/>
                <w:color w:val="auto"/>
                <w:szCs w:val="21"/>
                <w:highlight w:val="none"/>
              </w:rPr>
            </w:pPr>
            <w:r>
              <w:rPr>
                <w:rFonts w:hint="eastAsia" w:ascii="宋体" w:hAnsi="宋体" w:cs="宋体"/>
                <w:color w:val="auto"/>
                <w:szCs w:val="21"/>
                <w:highlight w:val="none"/>
              </w:rPr>
              <w:t>19.2.1磋商时间：响应文件递交截止时间后。</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19.2.2磋商地点：本项目需要磋商供应商代表在截标当天截标后，按磋商小组要求及时登陆广西政府采购云平台等候在线磋商。</w:t>
            </w:r>
          </w:p>
          <w:p>
            <w:pPr>
              <w:keepNext w:val="0"/>
              <w:keepLines w:val="0"/>
              <w:suppressLineNumbers w:val="0"/>
              <w:spacing w:before="0" w:beforeAutospacing="0" w:after="0" w:afterAutospacing="0" w:line="360" w:lineRule="auto"/>
              <w:ind w:left="15" w:right="0" w:hanging="14" w:hangingChars="7"/>
              <w:jc w:val="left"/>
              <w:rPr>
                <w:rFonts w:hint="eastAsia" w:ascii="宋体" w:hAnsi="宋体" w:cs="宋体"/>
                <w:color w:val="auto"/>
                <w:szCs w:val="21"/>
                <w:highlight w:val="none"/>
              </w:rPr>
            </w:pPr>
            <w:r>
              <w:rPr>
                <w:rFonts w:hint="eastAsia" w:ascii="宋体" w:hAnsi="宋体" w:cs="宋体"/>
                <w:color w:val="auto"/>
                <w:szCs w:val="21"/>
                <w:highlight w:val="none"/>
              </w:rPr>
              <w:t>19.2.3磋商参加人员：供应商法定代表人、负责人、自然人或相应的委托代理人持有效身份证原件和供应商广西政府采购云平台CA数字证书参加磋商。请供应商按时到达指定地点等候磋商。</w:t>
            </w:r>
          </w:p>
          <w:p>
            <w:pPr>
              <w:keepNext w:val="0"/>
              <w:keepLines w:val="0"/>
              <w:suppressLineNumbers w:val="0"/>
              <w:tabs>
                <w:tab w:val="left" w:pos="1140"/>
              </w:tabs>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19.2.4响应文件递交截止时间后，由磋商小组在评标室内线上开启响应文件。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kern w:val="0"/>
                <w:szCs w:val="21"/>
                <w:highlight w:val="none"/>
              </w:rPr>
              <w:t>12</w:t>
            </w:r>
          </w:p>
        </w:tc>
        <w:tc>
          <w:tcPr>
            <w:tcW w:w="94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20.2</w:t>
            </w:r>
          </w:p>
        </w:tc>
        <w:tc>
          <w:tcPr>
            <w:tcW w:w="1652" w:type="dxa"/>
            <w:vAlign w:val="center"/>
          </w:tcPr>
          <w:p>
            <w:pPr>
              <w:pStyle w:val="16"/>
              <w:keepNext w:val="0"/>
              <w:keepLines w:val="0"/>
              <w:suppressLineNumbers w:val="0"/>
              <w:spacing w:before="0" w:beforeAutospacing="0" w:after="0" w:afterAutospacing="0" w:line="360" w:lineRule="auto"/>
              <w:ind w:left="0" w:right="0"/>
              <w:jc w:val="center"/>
              <w:rPr>
                <w:rFonts w:hint="eastAsia" w:hAnsi="宋体" w:cs="宋体"/>
                <w:color w:val="auto"/>
                <w:kern w:val="0"/>
                <w:szCs w:val="21"/>
                <w:highlight w:val="none"/>
              </w:rPr>
            </w:pPr>
            <w:r>
              <w:rPr>
                <w:rFonts w:hint="eastAsia" w:hAnsi="宋体" w:cs="宋体"/>
                <w:color w:val="auto"/>
                <w:kern w:val="0"/>
                <w:szCs w:val="21"/>
                <w:highlight w:val="none"/>
              </w:rPr>
              <w:t>评审办法</w:t>
            </w:r>
          </w:p>
        </w:tc>
        <w:tc>
          <w:tcPr>
            <w:tcW w:w="7035" w:type="dxa"/>
            <w:vAlign w:val="center"/>
          </w:tcPr>
          <w:p>
            <w:pPr>
              <w:keepNext w:val="0"/>
              <w:keepLines w:val="0"/>
              <w:suppressLineNumbers w:val="0"/>
              <w:tabs>
                <w:tab w:val="left" w:pos="1140"/>
              </w:tabs>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94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26</w:t>
            </w:r>
          </w:p>
        </w:tc>
        <w:tc>
          <w:tcPr>
            <w:tcW w:w="165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信用查询</w:t>
            </w:r>
          </w:p>
        </w:tc>
        <w:tc>
          <w:tcPr>
            <w:tcW w:w="7035" w:type="dxa"/>
            <w:vAlign w:val="center"/>
          </w:tcPr>
          <w:p>
            <w:pPr>
              <w:keepNext w:val="0"/>
              <w:keepLines w:val="0"/>
              <w:suppressLineNumbers w:val="0"/>
              <w:spacing w:before="0" w:beforeAutospacing="0" w:after="0" w:afterAutospacing="0" w:line="360" w:lineRule="auto"/>
              <w:ind w:left="15" w:right="0" w:hanging="14" w:hangingChars="7"/>
              <w:rPr>
                <w:rFonts w:hint="eastAsia"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w:t>
            </w:r>
            <w:r>
              <w:rPr>
                <w:rFonts w:hint="eastAsia"/>
                <w:color w:val="auto"/>
                <w:highlight w:val="none"/>
              </w:rPr>
              <w:t>号</w:t>
            </w:r>
            <w:r>
              <w:rPr>
                <w:rFonts w:hint="eastAsia" w:ascii="宋体" w:hAnsi="宋体" w:cs="宋体"/>
                <w:color w:val="auto"/>
                <w:szCs w:val="21"/>
                <w:highlight w:val="none"/>
              </w:rPr>
              <w:t>），由采购代理机构对第一成交候选人进行信用查询：</w:t>
            </w:r>
          </w:p>
          <w:p>
            <w:pPr>
              <w:keepNext w:val="0"/>
              <w:keepLines w:val="0"/>
              <w:suppressLineNumbers w:val="0"/>
              <w:spacing w:before="0" w:beforeAutospacing="0" w:after="0" w:afterAutospacing="0" w:line="360" w:lineRule="auto"/>
              <w:ind w:left="15" w:right="0" w:hanging="14" w:hangingChars="7"/>
              <w:rPr>
                <w:rFonts w:hint="eastAsia" w:ascii="宋体" w:hAnsi="宋体" w:cs="宋体"/>
                <w:color w:val="auto"/>
                <w:szCs w:val="21"/>
                <w:highlight w:val="none"/>
              </w:rPr>
            </w:pPr>
            <w:r>
              <w:rPr>
                <w:rFonts w:hint="eastAsia" w:ascii="宋体" w:hAnsi="宋体" w:cs="宋体"/>
                <w:color w:val="auto"/>
                <w:szCs w:val="21"/>
                <w:highlight w:val="none"/>
              </w:rPr>
              <w:t>⑴查询渠道：“信用中国”网站(www.creditchina.gov.cn)、中国政府采购网(www.ccgp.gov.cn)等；</w:t>
            </w:r>
          </w:p>
          <w:p>
            <w:pPr>
              <w:keepNext w:val="0"/>
              <w:keepLines w:val="0"/>
              <w:suppressLineNumbers w:val="0"/>
              <w:spacing w:before="0" w:beforeAutospacing="0" w:after="0" w:afterAutospacing="0" w:line="360" w:lineRule="auto"/>
              <w:ind w:left="315" w:right="0" w:hanging="315" w:hangingChars="150"/>
              <w:rPr>
                <w:rFonts w:hint="eastAsia" w:ascii="宋体" w:hAnsi="宋体" w:cs="宋体"/>
                <w:color w:val="auto"/>
                <w:szCs w:val="21"/>
                <w:highlight w:val="none"/>
              </w:rPr>
            </w:pPr>
            <w:r>
              <w:rPr>
                <w:rFonts w:hint="eastAsia" w:ascii="宋体" w:hAnsi="宋体" w:cs="宋体"/>
                <w:color w:val="auto"/>
                <w:szCs w:val="21"/>
                <w:highlight w:val="none"/>
              </w:rPr>
              <w:t>⑵查询时间：成交通知书发出前；</w:t>
            </w:r>
          </w:p>
          <w:p>
            <w:pPr>
              <w:keepNext w:val="0"/>
              <w:keepLines w:val="0"/>
              <w:suppressLineNumbers w:val="0"/>
              <w:spacing w:before="0" w:beforeAutospacing="0" w:after="0" w:afterAutospacing="0" w:line="360" w:lineRule="auto"/>
              <w:ind w:left="15" w:right="0" w:hanging="14" w:hangingChars="7"/>
              <w:rPr>
                <w:rFonts w:hint="eastAsia" w:ascii="宋体" w:hAnsi="宋体" w:cs="宋体"/>
                <w:color w:val="auto"/>
                <w:szCs w:val="21"/>
                <w:highlight w:val="none"/>
              </w:rPr>
            </w:pPr>
            <w:r>
              <w:rPr>
                <w:rFonts w:hint="eastAsia" w:ascii="宋体" w:hAnsi="宋体" w:cs="宋体"/>
                <w:color w:val="auto"/>
                <w:szCs w:val="21"/>
                <w:highlight w:val="none"/>
              </w:rPr>
              <w:t>⑶信用信息查询记录和证据留存方式：在查询网站中直接打印查询记录，打印材料作为采购活动资料保存；</w:t>
            </w:r>
          </w:p>
          <w:p>
            <w:pPr>
              <w:keepNext w:val="0"/>
              <w:keepLines w:val="0"/>
              <w:suppressLineNumbers w:val="0"/>
              <w:spacing w:before="0" w:beforeAutospacing="0" w:after="0" w:afterAutospacing="0" w:line="360" w:lineRule="auto"/>
              <w:ind w:left="15" w:right="0" w:hanging="14" w:hangingChars="7"/>
              <w:rPr>
                <w:rFonts w:hint="eastAsia" w:ascii="宋体" w:hAnsi="宋体" w:cs="宋体"/>
                <w:color w:val="auto"/>
                <w:szCs w:val="21"/>
                <w:highlight w:val="none"/>
              </w:rPr>
            </w:pPr>
            <w:r>
              <w:rPr>
                <w:rFonts w:hint="eastAsia" w:ascii="宋体" w:hAnsi="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94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27</w:t>
            </w:r>
          </w:p>
        </w:tc>
        <w:tc>
          <w:tcPr>
            <w:tcW w:w="165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成交结果公告</w:t>
            </w:r>
          </w:p>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及成交通知书</w:t>
            </w:r>
          </w:p>
        </w:tc>
        <w:tc>
          <w:tcPr>
            <w:tcW w:w="7035" w:type="dxa"/>
          </w:tcPr>
          <w:p>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27.2在发布成交公告的同时，采购代理机构向成交供应商发出成交通知书。成交供应商自接到通知之日起七个工作日内，办理成交通知书领取手续。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6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94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165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7035" w:type="dxa"/>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auto"/>
                <w:szCs w:val="21"/>
                <w:highlight w:val="none"/>
              </w:rPr>
            </w:pPr>
            <w:r>
              <w:rPr>
                <w:rFonts w:hint="eastAsia" w:hAnsi="宋体" w:cs="宋体"/>
                <w:color w:val="auto"/>
                <w:szCs w:val="21"/>
                <w:highlight w:val="none"/>
              </w:rPr>
              <w:t>本项目无需缴纳履约保证金。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94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29.1</w:t>
            </w:r>
          </w:p>
        </w:tc>
        <w:tc>
          <w:tcPr>
            <w:tcW w:w="165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签订合同时间</w:t>
            </w:r>
          </w:p>
        </w:tc>
        <w:tc>
          <w:tcPr>
            <w:tcW w:w="7035" w:type="dxa"/>
          </w:tcPr>
          <w:p>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bCs/>
                <w:color w:val="auto"/>
                <w:kern w:val="0"/>
                <w:szCs w:val="21"/>
                <w:highlight w:val="none"/>
              </w:rPr>
              <w:t>成交通知书发出之日起八个工作日内签订合同</w:t>
            </w:r>
            <w:r>
              <w:rPr>
                <w:rFonts w:hint="eastAsia" w:ascii="宋体" w:hAnsi="宋体" w:cs="宋体"/>
                <w:color w:val="auto"/>
                <w:highlight w:val="none"/>
              </w:rPr>
              <w:t>。</w:t>
            </w:r>
            <w:r>
              <w:rPr>
                <w:rFonts w:hint="eastAsia" w:ascii="宋体" w:hAnsi="宋体" w:cs="宋体"/>
                <w:color w:val="auto"/>
                <w:szCs w:val="21"/>
                <w:highlight w:val="none"/>
              </w:rPr>
              <w:t>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94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29.3</w:t>
            </w:r>
          </w:p>
        </w:tc>
        <w:tc>
          <w:tcPr>
            <w:tcW w:w="165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合同备案存档</w:t>
            </w:r>
          </w:p>
        </w:tc>
        <w:tc>
          <w:tcPr>
            <w:tcW w:w="7035" w:type="dxa"/>
            <w:vAlign w:val="center"/>
          </w:tcPr>
          <w:p>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广西天罡工程项目管理有限公司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94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30</w:t>
            </w:r>
          </w:p>
        </w:tc>
        <w:tc>
          <w:tcPr>
            <w:tcW w:w="165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采购代理服务费</w:t>
            </w:r>
          </w:p>
        </w:tc>
        <w:tc>
          <w:tcPr>
            <w:tcW w:w="7035" w:type="dxa"/>
          </w:tcPr>
          <w:p>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olor w:val="auto"/>
                <w:szCs w:val="21"/>
                <w:highlight w:val="none"/>
              </w:rPr>
              <w:t>本项目代理服务费按本须知第30.2条“代理服务收费标准”中服务类收费标准计算，由成交供应商在领取成交通知书前，向采购代理机构一次性支付（不足人民币6000元的，按6000元支付）。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19</w:t>
            </w:r>
          </w:p>
        </w:tc>
        <w:tc>
          <w:tcPr>
            <w:tcW w:w="94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165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解释权</w:t>
            </w:r>
          </w:p>
        </w:tc>
        <w:tc>
          <w:tcPr>
            <w:tcW w:w="7035" w:type="dxa"/>
          </w:tcPr>
          <w:p>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94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32</w:t>
            </w:r>
          </w:p>
        </w:tc>
        <w:tc>
          <w:tcPr>
            <w:tcW w:w="165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监督管理机构</w:t>
            </w:r>
          </w:p>
        </w:tc>
        <w:tc>
          <w:tcPr>
            <w:tcW w:w="7035" w:type="dxa"/>
            <w:vAlign w:val="center"/>
          </w:tcPr>
          <w:p>
            <w:pPr>
              <w:keepNext w:val="0"/>
              <w:keepLines w:val="0"/>
              <w:suppressLineNumbers w:val="0"/>
              <w:spacing w:before="0" w:beforeAutospacing="0" w:after="0" w:afterAutospacing="0" w:line="340" w:lineRule="exact"/>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桂林市政府采购管理办公室          </w:t>
            </w:r>
          </w:p>
          <w:p>
            <w:pPr>
              <w:keepNext w:val="0"/>
              <w:keepLines w:val="0"/>
              <w:suppressLineNumbers w:val="0"/>
              <w:spacing w:before="0" w:beforeAutospacing="0" w:after="0" w:afterAutospacing="0" w:line="340" w:lineRule="exact"/>
              <w:ind w:left="0" w:right="0"/>
              <w:rPr>
                <w:rFonts w:hint="eastAsia" w:ascii="宋体" w:hAnsi="宋体" w:cs="宋体"/>
                <w:color w:val="auto"/>
                <w:szCs w:val="21"/>
                <w:highlight w:val="none"/>
              </w:rPr>
            </w:pPr>
            <w:r>
              <w:rPr>
                <w:rFonts w:hint="eastAsia" w:ascii="宋体" w:hAnsi="宋体" w:cs="宋体"/>
                <w:color w:val="auto"/>
                <w:kern w:val="0"/>
                <w:szCs w:val="21"/>
                <w:highlight w:val="none"/>
              </w:rPr>
              <w:t>联系电话：0773-2862142</w:t>
            </w:r>
          </w:p>
        </w:tc>
      </w:tr>
    </w:tbl>
    <w:p>
      <w:pPr>
        <w:rPr>
          <w:rFonts w:ascii="宋体" w:hAnsi="宋体" w:cs="宋体"/>
          <w:color w:val="auto"/>
          <w:highlight w:val="none"/>
        </w:rPr>
      </w:pPr>
    </w:p>
    <w:p>
      <w:pPr>
        <w:pStyle w:val="3"/>
        <w:jc w:val="center"/>
        <w:rPr>
          <w:rFonts w:ascii="宋体" w:hAnsi="宋体" w:cs="宋体"/>
          <w:b/>
          <w:bCs w:val="0"/>
          <w:color w:val="auto"/>
          <w:szCs w:val="28"/>
          <w:highlight w:val="none"/>
        </w:rPr>
      </w:pPr>
      <w:bookmarkStart w:id="56" w:name="_Toc22792"/>
      <w:bookmarkStart w:id="57" w:name="_Toc10058"/>
    </w:p>
    <w:p>
      <w:pPr>
        <w:pStyle w:val="3"/>
        <w:jc w:val="center"/>
        <w:rPr>
          <w:rFonts w:ascii="宋体" w:hAnsi="宋体" w:cs="宋体"/>
          <w:b/>
          <w:bCs w:val="0"/>
          <w:color w:val="auto"/>
          <w:szCs w:val="28"/>
          <w:highlight w:val="none"/>
        </w:rPr>
      </w:pPr>
    </w:p>
    <w:p>
      <w:pPr>
        <w:pStyle w:val="3"/>
        <w:jc w:val="center"/>
        <w:rPr>
          <w:rFonts w:ascii="宋体" w:hAnsi="宋体" w:cs="宋体"/>
          <w:b/>
          <w:bCs w:val="0"/>
          <w:color w:val="auto"/>
          <w:szCs w:val="28"/>
          <w:highlight w:val="none"/>
        </w:rPr>
      </w:pPr>
    </w:p>
    <w:p>
      <w:pPr>
        <w:pStyle w:val="3"/>
        <w:ind w:left="0" w:firstLine="0"/>
        <w:rPr>
          <w:rFonts w:ascii="宋体" w:hAnsi="宋体" w:cs="宋体"/>
          <w:b/>
          <w:bCs w:val="0"/>
          <w:color w:val="auto"/>
          <w:szCs w:val="28"/>
          <w:highlight w:val="none"/>
        </w:rPr>
      </w:pPr>
    </w:p>
    <w:p>
      <w:pPr>
        <w:rPr>
          <w:rFonts w:ascii="宋体" w:hAnsi="宋体" w:cs="宋体"/>
          <w:b/>
          <w:color w:val="auto"/>
          <w:szCs w:val="28"/>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17"/>
        <w:rPr>
          <w:rFonts w:ascii="宋体" w:hAnsi="宋体" w:cs="宋体"/>
          <w:b/>
          <w:color w:val="auto"/>
          <w:szCs w:val="28"/>
          <w:highlight w:val="none"/>
        </w:rPr>
      </w:pPr>
    </w:p>
    <w:p>
      <w:pPr>
        <w:pStyle w:val="17"/>
        <w:rPr>
          <w:rFonts w:ascii="宋体" w:hAnsi="宋体" w:cs="宋体"/>
          <w:b/>
          <w:color w:val="auto"/>
          <w:szCs w:val="28"/>
          <w:highlight w:val="none"/>
        </w:rPr>
      </w:pPr>
    </w:p>
    <w:p>
      <w:pPr>
        <w:pStyle w:val="17"/>
        <w:rPr>
          <w:rFonts w:ascii="宋体" w:hAnsi="宋体" w:cs="宋体"/>
          <w:b/>
          <w:color w:val="auto"/>
          <w:szCs w:val="28"/>
          <w:highlight w:val="none"/>
        </w:rPr>
      </w:pPr>
    </w:p>
    <w:p>
      <w:pPr>
        <w:pStyle w:val="17"/>
        <w:rPr>
          <w:rFonts w:ascii="宋体" w:hAnsi="宋体" w:cs="宋体"/>
          <w:b/>
          <w:color w:val="auto"/>
          <w:szCs w:val="28"/>
          <w:highlight w:val="none"/>
        </w:rPr>
      </w:pPr>
    </w:p>
    <w:p>
      <w:pPr>
        <w:pStyle w:val="3"/>
        <w:jc w:val="center"/>
        <w:rPr>
          <w:rFonts w:ascii="宋体" w:hAnsi="宋体" w:cs="宋体"/>
          <w:b/>
          <w:bCs w:val="0"/>
          <w:color w:val="auto"/>
          <w:szCs w:val="28"/>
          <w:highlight w:val="none"/>
        </w:rPr>
      </w:pPr>
      <w:r>
        <w:rPr>
          <w:rFonts w:hint="eastAsia" w:ascii="宋体" w:hAnsi="宋体" w:cs="宋体"/>
          <w:b/>
          <w:bCs w:val="0"/>
          <w:color w:val="auto"/>
          <w:szCs w:val="28"/>
          <w:highlight w:val="none"/>
        </w:rPr>
        <w:t>一、总则</w:t>
      </w:r>
      <w:bookmarkEnd w:id="56"/>
      <w:bookmarkEnd w:id="57"/>
    </w:p>
    <w:p>
      <w:pPr>
        <w:pStyle w:val="5"/>
        <w:spacing w:line="360" w:lineRule="auto"/>
        <w:ind w:firstLine="422" w:firstLineChars="200"/>
        <w:rPr>
          <w:rFonts w:ascii="宋体" w:hAnsi="宋体" w:cs="宋体"/>
          <w:color w:val="auto"/>
          <w:sz w:val="21"/>
          <w:szCs w:val="21"/>
          <w:highlight w:val="none"/>
        </w:rPr>
      </w:pPr>
      <w:bookmarkStart w:id="58" w:name="_Toc6626"/>
      <w:bookmarkStart w:id="59" w:name="_Toc24721"/>
      <w:r>
        <w:rPr>
          <w:rFonts w:hint="eastAsia" w:ascii="宋体" w:hAnsi="宋体" w:cs="宋体"/>
          <w:color w:val="auto"/>
          <w:sz w:val="21"/>
          <w:szCs w:val="21"/>
          <w:highlight w:val="none"/>
        </w:rPr>
        <w:t>1. 适应范围</w:t>
      </w:r>
      <w:bookmarkEnd w:id="58"/>
      <w:bookmarkEnd w:id="59"/>
    </w:p>
    <w:p>
      <w:pPr>
        <w:spacing w:line="360" w:lineRule="exact"/>
        <w:ind w:firstLine="435"/>
        <w:rPr>
          <w:rFonts w:ascii="宋体" w:hAnsi="宋体" w:cs="宋体"/>
          <w:color w:val="auto"/>
          <w:szCs w:val="21"/>
          <w:highlight w:val="none"/>
        </w:rPr>
      </w:pPr>
      <w:r>
        <w:rPr>
          <w:rFonts w:hint="eastAsia" w:ascii="宋体" w:hAnsi="宋体" w:cs="宋体"/>
          <w:color w:val="auto"/>
          <w:szCs w:val="21"/>
          <w:highlight w:val="none"/>
        </w:rPr>
        <w:t>1.1  项目名称及项目编号：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项目名称：广西花坪国家级自然保护区保护监测系统建设项目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GLZC2024-C3-990969-GXTG</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1.2本竞争性磋商文件（以下简称磋商文件）适用于本磋商项目的磋商、评审、合同履约、验收、付款等行为（法律、法规另有规定的，从其规定）。</w:t>
      </w:r>
    </w:p>
    <w:p>
      <w:pPr>
        <w:pStyle w:val="5"/>
        <w:spacing w:line="360" w:lineRule="auto"/>
        <w:ind w:firstLine="422" w:firstLineChars="200"/>
        <w:rPr>
          <w:rFonts w:ascii="宋体" w:hAnsi="宋体" w:cs="宋体"/>
          <w:color w:val="auto"/>
          <w:sz w:val="21"/>
          <w:szCs w:val="21"/>
          <w:highlight w:val="none"/>
        </w:rPr>
      </w:pPr>
      <w:bookmarkStart w:id="60" w:name="_Toc3355"/>
      <w:bookmarkStart w:id="61" w:name="_Toc28336"/>
      <w:r>
        <w:rPr>
          <w:rFonts w:hint="eastAsia" w:ascii="宋体" w:hAnsi="宋体" w:cs="宋体"/>
          <w:color w:val="auto"/>
          <w:sz w:val="21"/>
          <w:szCs w:val="21"/>
          <w:highlight w:val="none"/>
        </w:rPr>
        <w:t>2. 定义</w:t>
      </w:r>
      <w:bookmarkEnd w:id="60"/>
      <w:bookmarkEnd w:id="61"/>
    </w:p>
    <w:p>
      <w:pPr>
        <w:spacing w:line="360" w:lineRule="exact"/>
        <w:ind w:firstLine="435"/>
        <w:rPr>
          <w:rFonts w:ascii="宋体" w:hAnsi="宋体" w:cs="宋体"/>
          <w:color w:val="auto"/>
          <w:szCs w:val="21"/>
          <w:highlight w:val="none"/>
        </w:rPr>
      </w:pPr>
      <w:r>
        <w:rPr>
          <w:rFonts w:hint="eastAsia" w:ascii="宋体" w:hAnsi="宋体" w:cs="宋体"/>
          <w:color w:val="auto"/>
          <w:szCs w:val="21"/>
          <w:highlight w:val="none"/>
        </w:rPr>
        <w:t>2.1“供应商”是指符合本次采购项目的供应商资格并提交响应文件、参加磋商的供应商。如果该供应商在本次磋商中成交，即成为“成交供应商”。</w:t>
      </w:r>
    </w:p>
    <w:p>
      <w:pPr>
        <w:spacing w:line="360" w:lineRule="exact"/>
        <w:ind w:firstLine="435"/>
        <w:rPr>
          <w:rFonts w:ascii="宋体" w:hAnsi="宋体" w:cs="宋体"/>
          <w:color w:val="auto"/>
          <w:szCs w:val="21"/>
          <w:highlight w:val="none"/>
        </w:rPr>
      </w:pPr>
      <w:r>
        <w:rPr>
          <w:rFonts w:hint="eastAsia" w:ascii="宋体" w:hAnsi="宋体" w:cs="宋体"/>
          <w:color w:val="auto"/>
          <w:szCs w:val="21"/>
          <w:highlight w:val="none"/>
        </w:rPr>
        <w:t>2.2“货物”系指按磋商文件规定，供应商须向采购人提供的一切设备、保险、税金、备品备件、工具、手册及其它有关技术资料和材料。</w:t>
      </w:r>
    </w:p>
    <w:p>
      <w:pPr>
        <w:spacing w:line="360" w:lineRule="exact"/>
        <w:ind w:firstLine="435"/>
        <w:rPr>
          <w:rFonts w:ascii="宋体" w:hAnsi="宋体" w:cs="宋体"/>
          <w:color w:val="auto"/>
          <w:szCs w:val="21"/>
          <w:highlight w:val="none"/>
        </w:rPr>
      </w:pPr>
      <w:r>
        <w:rPr>
          <w:rFonts w:hint="eastAsia" w:ascii="宋体" w:hAnsi="宋体" w:cs="宋体"/>
          <w:color w:val="auto"/>
          <w:szCs w:val="21"/>
          <w:highlight w:val="none"/>
        </w:rPr>
        <w:t>2.3“服务”系指按磋商文件规定，供应商须承担的安装、调试、技术协助、校准、培训、技术指导以及其他类似的义务。</w:t>
      </w:r>
    </w:p>
    <w:p>
      <w:pPr>
        <w:spacing w:line="360" w:lineRule="exact"/>
        <w:ind w:firstLine="435"/>
        <w:rPr>
          <w:rFonts w:ascii="宋体" w:hAnsi="宋体" w:cs="宋体"/>
          <w:color w:val="auto"/>
          <w:szCs w:val="21"/>
          <w:highlight w:val="none"/>
        </w:rPr>
      </w:pPr>
      <w:r>
        <w:rPr>
          <w:rFonts w:hint="eastAsia" w:ascii="宋体" w:hAnsi="宋体" w:cs="宋体"/>
          <w:color w:val="auto"/>
          <w:szCs w:val="21"/>
          <w:highlight w:val="none"/>
        </w:rPr>
        <w:t>2.4“项目”系指供应商按磋商文件规定向采购人提供的货物和服务。</w:t>
      </w:r>
    </w:p>
    <w:p>
      <w:pPr>
        <w:spacing w:line="360" w:lineRule="exact"/>
        <w:ind w:firstLine="435"/>
        <w:rPr>
          <w:rFonts w:ascii="宋体" w:hAnsi="宋体" w:cs="宋体"/>
          <w:color w:val="auto"/>
          <w:szCs w:val="21"/>
          <w:highlight w:val="none"/>
        </w:rPr>
      </w:pPr>
      <w:r>
        <w:rPr>
          <w:rFonts w:hint="eastAsia" w:ascii="宋体" w:hAnsi="宋体" w:cs="宋体"/>
          <w:color w:val="auto"/>
          <w:szCs w:val="21"/>
          <w:highlight w:val="none"/>
        </w:rPr>
        <w:t>2.5“书面形式”包括信函、传真、电报等。</w:t>
      </w:r>
    </w:p>
    <w:p>
      <w:pPr>
        <w:spacing w:line="360" w:lineRule="exact"/>
        <w:ind w:firstLine="435"/>
        <w:rPr>
          <w:rFonts w:ascii="宋体" w:hAnsi="宋体" w:cs="宋体"/>
          <w:b/>
          <w:color w:val="auto"/>
          <w:sz w:val="24"/>
          <w:highlight w:val="none"/>
        </w:rPr>
      </w:pPr>
      <w:r>
        <w:rPr>
          <w:rFonts w:hint="eastAsia" w:ascii="宋体" w:hAnsi="宋体" w:cs="宋体"/>
          <w:b/>
          <w:color w:val="auto"/>
          <w:sz w:val="24"/>
          <w:highlight w:val="none"/>
          <w:u w:val="single"/>
        </w:rPr>
        <w:t>2.</w:t>
      </w:r>
      <w:r>
        <w:rPr>
          <w:rFonts w:hint="eastAsia" w:ascii="宋体" w:hAnsi="宋体" w:cs="宋体"/>
          <w:b/>
          <w:color w:val="auto"/>
          <w:szCs w:val="21"/>
          <w:highlight w:val="none"/>
          <w:u w:val="single"/>
        </w:rPr>
        <w:t>6实质性要求：“采购需求”中的所有内容均为实质性要求，不允许负偏离，否则响应无效。</w:t>
      </w:r>
    </w:p>
    <w:p>
      <w:pPr>
        <w:pStyle w:val="5"/>
        <w:spacing w:line="360" w:lineRule="auto"/>
        <w:ind w:firstLine="422" w:firstLineChars="200"/>
        <w:rPr>
          <w:rFonts w:ascii="宋体" w:hAnsi="宋体" w:cs="宋体"/>
          <w:color w:val="auto"/>
          <w:sz w:val="21"/>
          <w:szCs w:val="21"/>
          <w:highlight w:val="none"/>
        </w:rPr>
      </w:pPr>
      <w:bookmarkStart w:id="62" w:name="_Toc25441"/>
      <w:bookmarkStart w:id="63" w:name="_Toc23631"/>
      <w:r>
        <w:rPr>
          <w:rFonts w:hint="eastAsia" w:ascii="宋体" w:hAnsi="宋体" w:cs="宋体"/>
          <w:color w:val="auto"/>
          <w:sz w:val="21"/>
          <w:szCs w:val="21"/>
          <w:highlight w:val="none"/>
        </w:rPr>
        <w:t>3. 供应商资格</w:t>
      </w:r>
      <w:bookmarkEnd w:id="62"/>
      <w:bookmarkEnd w:id="63"/>
    </w:p>
    <w:p>
      <w:pPr>
        <w:ind w:firstLine="420" w:firstLineChars="200"/>
        <w:rPr>
          <w:rFonts w:ascii="宋体" w:hAnsi="宋体" w:cs="宋体"/>
          <w:color w:val="auto"/>
          <w:szCs w:val="21"/>
          <w:highlight w:val="none"/>
        </w:rPr>
      </w:pPr>
      <w:bookmarkStart w:id="64" w:name="_Toc16496"/>
      <w:r>
        <w:rPr>
          <w:rFonts w:hint="eastAsia" w:ascii="宋体" w:hAnsi="宋体" w:cs="宋体"/>
          <w:color w:val="auto"/>
          <w:szCs w:val="21"/>
          <w:highlight w:val="none"/>
        </w:rPr>
        <w:t>3.1.满足《中华人民共和国政府采购法》第二十二条规定；</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3.3.落实政府采购政策需满足的资格要求：无。</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3.4.本项目的特定资格要求：无。</w:t>
      </w:r>
    </w:p>
    <w:p>
      <w:pPr>
        <w:pStyle w:val="14"/>
        <w:rPr>
          <w:color w:val="auto"/>
          <w:highlight w:val="none"/>
        </w:rPr>
      </w:pPr>
      <w:r>
        <w:rPr>
          <w:rFonts w:hint="eastAsia" w:ascii="宋体" w:hAnsi="宋体" w:cs="宋体"/>
          <w:b/>
          <w:bCs/>
          <w:color w:val="auto"/>
          <w:szCs w:val="21"/>
          <w:highlight w:val="none"/>
        </w:rPr>
        <w:t>3.5.本项目不接受联合体</w:t>
      </w:r>
      <w:r>
        <w:rPr>
          <w:rFonts w:hint="eastAsia" w:ascii="宋体" w:hAnsi="宋体" w:cs="宋体"/>
          <w:color w:val="auto"/>
          <w:szCs w:val="21"/>
          <w:highlight w:val="none"/>
        </w:rPr>
        <w:t>。</w:t>
      </w:r>
    </w:p>
    <w:p>
      <w:pPr>
        <w:pStyle w:val="5"/>
        <w:spacing w:line="360" w:lineRule="auto"/>
        <w:ind w:firstLine="422" w:firstLineChars="200"/>
        <w:rPr>
          <w:rFonts w:ascii="宋体" w:hAnsi="宋体" w:cs="宋体"/>
          <w:color w:val="auto"/>
          <w:sz w:val="21"/>
          <w:szCs w:val="21"/>
          <w:highlight w:val="none"/>
        </w:rPr>
      </w:pPr>
      <w:bookmarkStart w:id="65" w:name="_Toc15983"/>
      <w:r>
        <w:rPr>
          <w:rFonts w:hint="eastAsia" w:ascii="宋体" w:hAnsi="宋体" w:cs="宋体"/>
          <w:color w:val="auto"/>
          <w:sz w:val="21"/>
          <w:szCs w:val="21"/>
          <w:highlight w:val="none"/>
        </w:rPr>
        <w:t>4. 磋商费用</w:t>
      </w:r>
      <w:bookmarkEnd w:id="64"/>
      <w:bookmarkEnd w:id="65"/>
    </w:p>
    <w:p>
      <w:pPr>
        <w:tabs>
          <w:tab w:val="left" w:pos="1635"/>
        </w:tabs>
        <w:spacing w:line="360" w:lineRule="exact"/>
        <w:ind w:firstLine="435"/>
        <w:rPr>
          <w:rFonts w:ascii="宋体" w:hAnsi="宋体" w:cs="宋体"/>
          <w:color w:val="auto"/>
          <w:szCs w:val="21"/>
          <w:highlight w:val="none"/>
        </w:rPr>
      </w:pPr>
      <w:r>
        <w:rPr>
          <w:rFonts w:hint="eastAsia" w:ascii="宋体" w:hAnsi="宋体" w:cs="宋体"/>
          <w:color w:val="auto"/>
          <w:szCs w:val="21"/>
          <w:highlight w:val="none"/>
        </w:rPr>
        <w:t>不论磋商结果如何，供应商均应自行承担所有与磋商有关的全部费用。</w:t>
      </w:r>
    </w:p>
    <w:p>
      <w:pPr>
        <w:pStyle w:val="5"/>
        <w:numPr>
          <w:ilvl w:val="0"/>
          <w:numId w:val="3"/>
        </w:numPr>
        <w:spacing w:line="360" w:lineRule="auto"/>
        <w:ind w:firstLine="422" w:firstLineChars="200"/>
        <w:rPr>
          <w:rFonts w:ascii="宋体" w:hAnsi="宋体" w:cs="宋体"/>
          <w:color w:val="auto"/>
          <w:sz w:val="21"/>
          <w:szCs w:val="21"/>
          <w:highlight w:val="none"/>
        </w:rPr>
      </w:pPr>
      <w:bookmarkStart w:id="66" w:name="_Toc6933"/>
      <w:bookmarkStart w:id="67" w:name="_Toc31376"/>
      <w:r>
        <w:rPr>
          <w:rFonts w:hint="eastAsia" w:ascii="宋体" w:hAnsi="宋体" w:cs="宋体"/>
          <w:color w:val="auto"/>
          <w:sz w:val="21"/>
          <w:szCs w:val="21"/>
          <w:highlight w:val="none"/>
        </w:rPr>
        <w:t>联合体要求</w:t>
      </w:r>
      <w:bookmarkEnd w:id="66"/>
      <w:bookmarkEnd w:id="67"/>
    </w:p>
    <w:p>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本项目不接受联合体参与磋商</w:t>
      </w:r>
    </w:p>
    <w:p>
      <w:pPr>
        <w:pStyle w:val="5"/>
        <w:spacing w:line="360" w:lineRule="auto"/>
        <w:ind w:firstLine="422" w:firstLineChars="200"/>
        <w:rPr>
          <w:rFonts w:ascii="宋体" w:hAnsi="宋体" w:cs="宋体"/>
          <w:color w:val="auto"/>
          <w:sz w:val="21"/>
          <w:szCs w:val="21"/>
          <w:highlight w:val="none"/>
        </w:rPr>
      </w:pPr>
      <w:bookmarkStart w:id="68" w:name="_Toc16359"/>
      <w:bookmarkStart w:id="69" w:name="_Toc4152"/>
      <w:r>
        <w:rPr>
          <w:rFonts w:hint="eastAsia" w:ascii="宋体" w:hAnsi="宋体" w:cs="宋体"/>
          <w:color w:val="auto"/>
          <w:sz w:val="21"/>
          <w:szCs w:val="21"/>
          <w:highlight w:val="none"/>
        </w:rPr>
        <w:t>6. 质疑和投诉</w:t>
      </w:r>
      <w:bookmarkEnd w:id="68"/>
      <w:bookmarkEnd w:id="69"/>
      <w:r>
        <w:rPr>
          <w:rFonts w:hint="eastAsia" w:ascii="宋体" w:hAnsi="宋体" w:cs="宋体"/>
          <w:color w:val="auto"/>
          <w:sz w:val="21"/>
          <w:szCs w:val="21"/>
          <w:highlight w:val="none"/>
        </w:rPr>
        <w:tab/>
      </w:r>
    </w:p>
    <w:p>
      <w:pPr>
        <w:tabs>
          <w:tab w:val="left" w:pos="2190"/>
        </w:tabs>
        <w:spacing w:line="360" w:lineRule="exact"/>
        <w:ind w:firstLine="435"/>
        <w:rPr>
          <w:rFonts w:ascii="宋体" w:hAnsi="宋体" w:cs="宋体"/>
          <w:color w:val="auto"/>
          <w:szCs w:val="21"/>
          <w:highlight w:val="none"/>
        </w:rPr>
      </w:pPr>
      <w:bookmarkStart w:id="70" w:name="_Toc26087"/>
      <w:bookmarkStart w:id="71" w:name="_Toc8195"/>
      <w:r>
        <w:rPr>
          <w:rFonts w:hint="eastAsia" w:ascii="宋体" w:hAnsi="宋体" w:cs="宋体"/>
          <w:color w:val="auto"/>
          <w:szCs w:val="21"/>
          <w:highlight w:val="none"/>
        </w:rPr>
        <w:t>6.1供应对政府采购活动事项有疑问的，可以向采购人提出询问。</w:t>
      </w:r>
    </w:p>
    <w:p>
      <w:pPr>
        <w:tabs>
          <w:tab w:val="left" w:pos="2190"/>
        </w:tabs>
        <w:spacing w:line="360" w:lineRule="exact"/>
        <w:ind w:firstLine="435"/>
        <w:rPr>
          <w:rFonts w:ascii="宋体" w:hAnsi="宋体" w:cs="宋体"/>
          <w:color w:val="auto"/>
          <w:szCs w:val="21"/>
          <w:highlight w:val="none"/>
        </w:rPr>
      </w:pPr>
      <w:r>
        <w:rPr>
          <w:rFonts w:hint="eastAsia" w:ascii="宋体" w:hAnsi="宋体" w:cs="宋体"/>
          <w:color w:val="auto"/>
          <w:szCs w:val="21"/>
          <w:highlight w:val="none"/>
        </w:rPr>
        <w:t>6.2供应商认为磋商文件使自己的合法权益受到损害的，应当在竞争性磋商公告期限届满之日起七个工作日内，以书面形式向采购代理机构（广西天罡工程项目管理有限公司）提出质疑。供应商认为采购过程或成交结果使自己的合法权益受到损害的，应当在各采购程序环节结束之日起七个工作日内，以书面形式向采购代理机构（广西天罡工程项目管理有限公司）提出质疑。采购代理机构应认真做好质疑处理工作。</w:t>
      </w:r>
    </w:p>
    <w:p>
      <w:pPr>
        <w:tabs>
          <w:tab w:val="left" w:pos="2190"/>
        </w:tabs>
        <w:spacing w:line="360" w:lineRule="exact"/>
        <w:ind w:firstLine="435"/>
        <w:rPr>
          <w:rFonts w:ascii="宋体" w:hAnsi="宋体" w:cs="宋体"/>
          <w:color w:val="auto"/>
          <w:szCs w:val="21"/>
          <w:highlight w:val="none"/>
        </w:rPr>
      </w:pPr>
      <w:r>
        <w:rPr>
          <w:rFonts w:hint="eastAsia" w:ascii="宋体" w:hAnsi="宋体" w:cs="宋体"/>
          <w:color w:val="auto"/>
          <w:szCs w:val="21"/>
          <w:highlight w:val="none"/>
        </w:rPr>
        <w:t>6.3供应商对采购代理机构的质疑答复不满意或者采购代理机构未在规定的时间内作出答复的，可以在答复期满后十五个工作日内向本级财政部门投诉。</w:t>
      </w:r>
    </w:p>
    <w:p>
      <w:pPr>
        <w:tabs>
          <w:tab w:val="left" w:pos="2190"/>
        </w:tabs>
        <w:spacing w:line="360" w:lineRule="exact"/>
        <w:ind w:firstLine="435"/>
        <w:rPr>
          <w:rFonts w:ascii="宋体" w:hAnsi="宋体" w:cs="宋体"/>
          <w:color w:val="auto"/>
          <w:szCs w:val="21"/>
          <w:highlight w:val="none"/>
        </w:rPr>
      </w:pPr>
      <w:r>
        <w:rPr>
          <w:rFonts w:hint="eastAsia" w:ascii="宋体" w:hAnsi="宋体" w:cs="宋体"/>
          <w:color w:val="auto"/>
          <w:szCs w:val="21"/>
          <w:highlight w:val="none"/>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pPr>
        <w:tabs>
          <w:tab w:val="left" w:pos="219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6.5质疑联系方式详见公告。</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6.6 投诉联系部门：</w:t>
      </w:r>
      <w:bookmarkEnd w:id="70"/>
      <w:bookmarkEnd w:id="71"/>
      <w:r>
        <w:rPr>
          <w:rFonts w:hint="eastAsia" w:ascii="宋体" w:hAnsi="宋体" w:cs="宋体"/>
          <w:color w:val="auto"/>
          <w:szCs w:val="21"/>
          <w:highlight w:val="none"/>
        </w:rPr>
        <w:t>桂林市政府采购管理办公室</w:t>
      </w:r>
      <w:r>
        <w:rPr>
          <w:rFonts w:hint="eastAsia" w:ascii="宋体" w:hAnsi="宋体" w:cs="宋体"/>
          <w:color w:val="auto"/>
          <w:kern w:val="0"/>
          <w:szCs w:val="21"/>
          <w:highlight w:val="none"/>
        </w:rPr>
        <w:t xml:space="preserve">   联系电话：</w:t>
      </w:r>
      <w:r>
        <w:rPr>
          <w:rFonts w:hint="eastAsia" w:ascii="宋体" w:hAnsi="宋体" w:cs="宋体"/>
          <w:color w:val="auto"/>
          <w:szCs w:val="21"/>
          <w:highlight w:val="none"/>
        </w:rPr>
        <w:t>0773-2862142</w:t>
      </w:r>
    </w:p>
    <w:p>
      <w:pPr>
        <w:pStyle w:val="40"/>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6.7 供应商在法定质疑期内应当一次性提出针对同一采购程序环节的质疑。</w:t>
      </w:r>
    </w:p>
    <w:p>
      <w:pPr>
        <w:pStyle w:val="40"/>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6.8 不在法定质疑期内提出的质疑函可以拒收。不符合要求的质疑函在法定质疑期内及时补充完整，否则作质疑不成立处理。</w:t>
      </w:r>
    </w:p>
    <w:p>
      <w:pPr>
        <w:pStyle w:val="5"/>
        <w:spacing w:line="360" w:lineRule="auto"/>
        <w:ind w:firstLine="422" w:firstLineChars="200"/>
        <w:rPr>
          <w:rFonts w:ascii="宋体" w:hAnsi="宋体" w:cs="宋体"/>
          <w:color w:val="auto"/>
          <w:sz w:val="21"/>
          <w:szCs w:val="21"/>
          <w:highlight w:val="none"/>
        </w:rPr>
      </w:pPr>
      <w:bookmarkStart w:id="72" w:name="_Toc6998"/>
      <w:bookmarkStart w:id="73" w:name="_Toc13910"/>
      <w:r>
        <w:rPr>
          <w:rFonts w:hint="eastAsia" w:ascii="宋体" w:hAnsi="宋体" w:cs="宋体"/>
          <w:color w:val="auto"/>
          <w:sz w:val="21"/>
          <w:szCs w:val="21"/>
          <w:highlight w:val="none"/>
        </w:rPr>
        <w:t>7. 转包与分包</w:t>
      </w:r>
      <w:bookmarkEnd w:id="72"/>
      <w:bookmarkEnd w:id="73"/>
    </w:p>
    <w:p>
      <w:pPr>
        <w:tabs>
          <w:tab w:val="left" w:pos="2190"/>
        </w:tabs>
        <w:spacing w:line="360" w:lineRule="exact"/>
        <w:ind w:firstLine="435"/>
        <w:rPr>
          <w:rFonts w:ascii="宋体" w:hAnsi="宋体" w:cs="宋体"/>
          <w:color w:val="auto"/>
          <w:szCs w:val="21"/>
          <w:highlight w:val="none"/>
        </w:rPr>
      </w:pPr>
      <w:r>
        <w:rPr>
          <w:rFonts w:hint="eastAsia" w:ascii="宋体" w:hAnsi="宋体" w:cs="宋体"/>
          <w:color w:val="auto"/>
          <w:szCs w:val="21"/>
          <w:highlight w:val="none"/>
        </w:rPr>
        <w:t>7.1 本项目不允许转包。</w:t>
      </w:r>
    </w:p>
    <w:p>
      <w:pPr>
        <w:tabs>
          <w:tab w:val="left" w:pos="2190"/>
        </w:tabs>
        <w:spacing w:line="360" w:lineRule="exact"/>
        <w:ind w:firstLine="435"/>
        <w:rPr>
          <w:rFonts w:ascii="宋体" w:hAnsi="宋体" w:cs="宋体"/>
          <w:color w:val="auto"/>
          <w:szCs w:val="21"/>
          <w:highlight w:val="none"/>
        </w:rPr>
      </w:pPr>
      <w:r>
        <w:rPr>
          <w:rFonts w:hint="eastAsia" w:ascii="宋体" w:hAnsi="宋体" w:cs="宋体"/>
          <w:color w:val="auto"/>
          <w:szCs w:val="21"/>
          <w:highlight w:val="none"/>
        </w:rPr>
        <w:t>7.2 本项目不可以分包。</w:t>
      </w:r>
    </w:p>
    <w:p>
      <w:pPr>
        <w:pStyle w:val="5"/>
        <w:spacing w:line="360" w:lineRule="auto"/>
        <w:ind w:firstLine="422" w:firstLineChars="200"/>
        <w:rPr>
          <w:rFonts w:ascii="宋体" w:hAnsi="宋体" w:cs="宋体"/>
          <w:color w:val="auto"/>
          <w:sz w:val="21"/>
          <w:szCs w:val="21"/>
          <w:highlight w:val="none"/>
        </w:rPr>
      </w:pPr>
      <w:bookmarkStart w:id="74" w:name="_Toc9415"/>
      <w:bookmarkStart w:id="75" w:name="_Toc3368"/>
      <w:r>
        <w:rPr>
          <w:rFonts w:hint="eastAsia" w:ascii="宋体" w:hAnsi="宋体" w:cs="宋体"/>
          <w:color w:val="auto"/>
          <w:sz w:val="21"/>
          <w:szCs w:val="21"/>
          <w:highlight w:val="none"/>
        </w:rPr>
        <w:t>8. 特别说明</w:t>
      </w:r>
      <w:bookmarkEnd w:id="74"/>
      <w:bookmarkEnd w:id="75"/>
    </w:p>
    <w:p>
      <w:pPr>
        <w:tabs>
          <w:tab w:val="left" w:pos="1635"/>
        </w:tabs>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8.1关联供应商不得参加同一合同项下政府采购活动，否则响应文件将被视为无效：</w:t>
      </w:r>
    </w:p>
    <w:p>
      <w:pPr>
        <w:tabs>
          <w:tab w:val="left" w:pos="163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（1）单位负责人为同一人或者存在直接控股、管理关系的，不得参加同一合同项下的政府采购活动。</w:t>
      </w:r>
    </w:p>
    <w:p>
      <w:pPr>
        <w:tabs>
          <w:tab w:val="left" w:pos="163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（2）为本采购项目提供整体设计、规范编制或者项目管理、监理、检测等服务的供应商，不得再参加本次采购活动。</w:t>
      </w:r>
    </w:p>
    <w:p>
      <w:pPr>
        <w:tabs>
          <w:tab w:val="left" w:pos="1635"/>
        </w:tabs>
        <w:spacing w:line="360" w:lineRule="exact"/>
        <w:ind w:firstLine="435"/>
        <w:rPr>
          <w:rFonts w:ascii="宋体" w:hAnsi="宋体" w:cs="宋体"/>
          <w:b/>
          <w:bCs/>
          <w:color w:val="auto"/>
          <w:szCs w:val="21"/>
          <w:highlight w:val="none"/>
        </w:rPr>
      </w:pPr>
      <w:r>
        <w:rPr>
          <w:rFonts w:hint="eastAsia" w:ascii="宋体" w:hAnsi="宋体" w:cs="宋体"/>
          <w:b/>
          <w:color w:val="auto"/>
          <w:szCs w:val="21"/>
          <w:highlight w:val="none"/>
        </w:rPr>
        <w:t>8.2</w:t>
      </w:r>
      <w:r>
        <w:rPr>
          <w:rFonts w:hint="eastAsia" w:ascii="宋体" w:hAnsi="宋体" w:cs="宋体"/>
          <w:b/>
          <w:bCs/>
          <w:color w:val="auto"/>
          <w:szCs w:val="21"/>
          <w:highlight w:val="none"/>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pPr>
        <w:pStyle w:val="10"/>
        <w:rPr>
          <w:rFonts w:ascii="宋体" w:hAnsi="宋体" w:cs="宋体"/>
          <w:color w:val="auto"/>
          <w:highlight w:val="none"/>
        </w:rPr>
      </w:pPr>
    </w:p>
    <w:p>
      <w:pPr>
        <w:pStyle w:val="3"/>
        <w:jc w:val="center"/>
        <w:rPr>
          <w:rFonts w:ascii="宋体" w:hAnsi="宋体" w:cs="宋体"/>
          <w:b/>
          <w:bCs w:val="0"/>
          <w:color w:val="auto"/>
          <w:szCs w:val="28"/>
          <w:highlight w:val="none"/>
        </w:rPr>
      </w:pPr>
      <w:bookmarkStart w:id="76" w:name="_Toc8933"/>
      <w:bookmarkStart w:id="77" w:name="_Toc22498"/>
      <w:r>
        <w:rPr>
          <w:rFonts w:hint="eastAsia" w:ascii="宋体" w:hAnsi="宋体" w:cs="宋体"/>
          <w:b/>
          <w:bCs w:val="0"/>
          <w:color w:val="auto"/>
          <w:szCs w:val="28"/>
          <w:highlight w:val="none"/>
        </w:rPr>
        <w:t>二、磋商文件</w:t>
      </w:r>
      <w:bookmarkEnd w:id="76"/>
      <w:bookmarkEnd w:id="77"/>
    </w:p>
    <w:p>
      <w:pPr>
        <w:pStyle w:val="5"/>
        <w:spacing w:line="360" w:lineRule="auto"/>
        <w:ind w:firstLine="422" w:firstLineChars="200"/>
        <w:rPr>
          <w:rFonts w:ascii="宋体" w:hAnsi="宋体" w:cs="宋体"/>
          <w:color w:val="auto"/>
          <w:sz w:val="21"/>
          <w:szCs w:val="21"/>
          <w:highlight w:val="none"/>
          <w:lang w:val="pt-BR"/>
        </w:rPr>
      </w:pPr>
      <w:bookmarkStart w:id="78" w:name="_Toc18964"/>
      <w:bookmarkStart w:id="79" w:name="_Toc20523"/>
      <w:r>
        <w:rPr>
          <w:rFonts w:hint="eastAsia" w:ascii="宋体" w:hAnsi="宋体" w:cs="宋体"/>
          <w:color w:val="auto"/>
          <w:sz w:val="21"/>
          <w:szCs w:val="21"/>
          <w:highlight w:val="none"/>
          <w:lang w:val="pt-BR"/>
        </w:rPr>
        <w:t xml:space="preserve">9. </w:t>
      </w:r>
      <w:r>
        <w:rPr>
          <w:rFonts w:hint="eastAsia" w:ascii="宋体" w:hAnsi="宋体" w:cs="宋体"/>
          <w:color w:val="auto"/>
          <w:sz w:val="21"/>
          <w:szCs w:val="21"/>
          <w:highlight w:val="none"/>
        </w:rPr>
        <w:t>磋商文件的构成</w:t>
      </w:r>
      <w:bookmarkEnd w:id="78"/>
      <w:bookmarkEnd w:id="7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（1）竞争性磋商公告；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（2）供应商须知；</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（3）采购需求</w:t>
      </w:r>
      <w:r>
        <w:rPr>
          <w:rFonts w:hint="eastAsia" w:ascii="宋体" w:hAnsi="宋体" w:cs="宋体"/>
          <w:bCs/>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（4）评审办法；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（5）采购合同（合同主要条款及格式）；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（6）响应文件（格式）。</w:t>
      </w:r>
    </w:p>
    <w:p>
      <w:pPr>
        <w:pStyle w:val="5"/>
        <w:spacing w:line="360" w:lineRule="auto"/>
        <w:ind w:firstLine="422" w:firstLineChars="200"/>
        <w:rPr>
          <w:rFonts w:ascii="宋体" w:hAnsi="宋体" w:cs="宋体"/>
          <w:color w:val="auto"/>
          <w:sz w:val="21"/>
          <w:szCs w:val="21"/>
          <w:highlight w:val="none"/>
        </w:rPr>
      </w:pPr>
      <w:bookmarkStart w:id="80" w:name="_Toc9103"/>
      <w:bookmarkStart w:id="81" w:name="_Toc1452"/>
      <w:r>
        <w:rPr>
          <w:rFonts w:hint="eastAsia" w:ascii="宋体" w:hAnsi="宋体" w:cs="宋体"/>
          <w:color w:val="auto"/>
          <w:sz w:val="21"/>
          <w:szCs w:val="21"/>
          <w:highlight w:val="none"/>
        </w:rPr>
        <w:t>10. 磋商文件的澄清与修改</w:t>
      </w:r>
      <w:bookmarkEnd w:id="80"/>
      <w:bookmarkEnd w:id="81"/>
    </w:p>
    <w:p>
      <w:pPr>
        <w:spacing w:line="360" w:lineRule="auto"/>
        <w:ind w:left="420" w:leftChars="200"/>
        <w:jc w:val="left"/>
        <w:rPr>
          <w:rFonts w:ascii="宋体" w:hAnsi="宋体" w:cs="宋体"/>
          <w:color w:val="auto"/>
          <w:szCs w:val="21"/>
          <w:highlight w:val="none"/>
        </w:rPr>
      </w:pPr>
      <w:r>
        <w:rPr>
          <w:rFonts w:hint="eastAsia" w:ascii="宋体" w:hAnsi="宋体" w:cs="宋体"/>
          <w:color w:val="auto"/>
          <w:szCs w:val="21"/>
          <w:highlight w:val="none"/>
        </w:rPr>
        <w:t>10.1 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w:t>
      </w:r>
      <w:r>
        <w:rPr>
          <w:rFonts w:hint="eastAsia" w:ascii="宋体" w:hAnsi="宋体" w:cs="宋体"/>
          <w:b/>
          <w:bCs/>
          <w:color w:val="auto"/>
          <w:szCs w:val="21"/>
          <w:highlight w:val="none"/>
        </w:rPr>
        <w:t>五日</w:t>
      </w:r>
      <w:r>
        <w:rPr>
          <w:rFonts w:hint="eastAsia" w:ascii="宋体" w:hAnsi="宋体" w:cs="宋体"/>
          <w:color w:val="auto"/>
          <w:szCs w:val="21"/>
          <w:highlight w:val="none"/>
        </w:rPr>
        <w:t>前在本项目竞争性磋商公告发布的同一媒体上发布更正公告，不足</w:t>
      </w:r>
      <w:r>
        <w:rPr>
          <w:rFonts w:hint="eastAsia" w:ascii="宋体" w:hAnsi="宋体" w:cs="宋体"/>
          <w:b/>
          <w:bCs/>
          <w:color w:val="auto"/>
          <w:szCs w:val="21"/>
          <w:highlight w:val="none"/>
        </w:rPr>
        <w:t>五日</w:t>
      </w:r>
      <w:r>
        <w:rPr>
          <w:rFonts w:hint="eastAsia" w:ascii="宋体" w:hAnsi="宋体" w:cs="宋体"/>
          <w:color w:val="auto"/>
          <w:szCs w:val="21"/>
          <w:highlight w:val="none"/>
        </w:rPr>
        <w:t>的，应当顺延首次响应文件递交截止时间。</w:t>
      </w:r>
    </w:p>
    <w:p>
      <w:pPr>
        <w:spacing w:line="360" w:lineRule="auto"/>
        <w:ind w:left="420" w:leftChars="200"/>
        <w:jc w:val="left"/>
        <w:rPr>
          <w:rFonts w:ascii="宋体" w:hAnsi="宋体" w:cs="宋体"/>
          <w:b/>
          <w:bCs/>
          <w:color w:val="auto"/>
          <w:szCs w:val="21"/>
          <w:highlight w:val="none"/>
        </w:rPr>
      </w:pPr>
      <w:r>
        <w:rPr>
          <w:rFonts w:hint="eastAsia" w:ascii="宋体" w:hAnsi="宋体" w:cs="宋体"/>
          <w:color w:val="auto"/>
          <w:szCs w:val="21"/>
          <w:highlight w:val="none"/>
        </w:rPr>
        <w:t>10.2</w:t>
      </w:r>
      <w:r>
        <w:rPr>
          <w:rFonts w:hint="eastAsia" w:ascii="宋体" w:hAnsi="宋体" w:cs="宋体"/>
          <w:b/>
          <w:bCs/>
          <w:color w:val="auto"/>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pPr>
        <w:spacing w:line="360" w:lineRule="auto"/>
        <w:ind w:left="420" w:leftChars="200"/>
        <w:jc w:val="left"/>
        <w:rPr>
          <w:rFonts w:ascii="宋体" w:hAnsi="宋体" w:cs="宋体"/>
          <w:color w:val="auto"/>
          <w:szCs w:val="21"/>
          <w:highlight w:val="none"/>
        </w:rPr>
      </w:pPr>
      <w:r>
        <w:rPr>
          <w:rFonts w:hint="eastAsia" w:ascii="宋体" w:hAnsi="宋体" w:cs="宋体"/>
          <w:color w:val="auto"/>
          <w:szCs w:val="21"/>
          <w:highlight w:val="none"/>
        </w:rPr>
        <w:t>10.3澄清或者修改的内容为磋商文件的组成部分。当澄清或者修改通知就同一内容的表述不一致时，以最后发出的文件为准。</w:t>
      </w:r>
    </w:p>
    <w:p>
      <w:pPr>
        <w:spacing w:line="360" w:lineRule="auto"/>
        <w:ind w:left="420" w:leftChars="200"/>
        <w:jc w:val="left"/>
        <w:rPr>
          <w:rFonts w:ascii="宋体" w:hAnsi="宋体" w:cs="宋体"/>
          <w:color w:val="auto"/>
          <w:szCs w:val="21"/>
          <w:highlight w:val="none"/>
        </w:rPr>
      </w:pPr>
      <w:r>
        <w:rPr>
          <w:rFonts w:hint="eastAsia" w:ascii="宋体" w:hAnsi="宋体" w:cs="宋体"/>
          <w:color w:val="auto"/>
          <w:szCs w:val="21"/>
          <w:highlight w:val="none"/>
        </w:rPr>
        <w:t>10.4 磋商文件的澄清或者修改都应该通过本项目采购代理机构以法定形式发布，采购人非通过本机构，不得擅自澄清或者修改磋商文件。</w:t>
      </w:r>
    </w:p>
    <w:p>
      <w:pPr>
        <w:spacing w:line="360" w:lineRule="auto"/>
        <w:ind w:left="420" w:leftChars="200"/>
        <w:jc w:val="left"/>
        <w:rPr>
          <w:rFonts w:ascii="宋体" w:hAnsi="宋体" w:cs="宋体"/>
          <w:color w:val="auto"/>
          <w:szCs w:val="21"/>
          <w:highlight w:val="none"/>
        </w:rPr>
      </w:pPr>
      <w:r>
        <w:rPr>
          <w:rFonts w:hint="eastAsia" w:ascii="宋体" w:hAnsi="宋体" w:cs="宋体"/>
          <w:color w:val="auto"/>
          <w:szCs w:val="21"/>
          <w:highlight w:val="none"/>
        </w:rPr>
        <w:t>10.5采购单位可以视采购具体情况，延长响应文件截止时间和磋商时间，在本项目竞争性磋商公告发布的同一媒体上发布变更公告。</w:t>
      </w:r>
    </w:p>
    <w:p>
      <w:pPr>
        <w:pStyle w:val="40"/>
        <w:rPr>
          <w:rFonts w:ascii="宋体" w:hAnsi="宋体" w:cs="宋体"/>
          <w:color w:val="auto"/>
          <w:highlight w:val="none"/>
        </w:rPr>
      </w:pPr>
    </w:p>
    <w:p>
      <w:pPr>
        <w:pStyle w:val="3"/>
        <w:jc w:val="center"/>
        <w:rPr>
          <w:rFonts w:ascii="宋体" w:hAnsi="宋体" w:cs="宋体"/>
          <w:b/>
          <w:bCs w:val="0"/>
          <w:color w:val="auto"/>
          <w:szCs w:val="28"/>
          <w:highlight w:val="none"/>
        </w:rPr>
      </w:pPr>
      <w:bookmarkStart w:id="82" w:name="_Toc20641"/>
      <w:bookmarkStart w:id="83" w:name="_Toc20830"/>
      <w:r>
        <w:rPr>
          <w:rFonts w:hint="eastAsia" w:ascii="宋体" w:hAnsi="宋体" w:cs="宋体"/>
          <w:b/>
          <w:bCs w:val="0"/>
          <w:color w:val="auto"/>
          <w:szCs w:val="28"/>
          <w:highlight w:val="none"/>
        </w:rPr>
        <w:t>三、竞争性磋商响应文件的编制</w:t>
      </w:r>
      <w:bookmarkEnd w:id="82"/>
      <w:bookmarkEnd w:id="83"/>
    </w:p>
    <w:p>
      <w:pPr>
        <w:pStyle w:val="5"/>
        <w:spacing w:line="360" w:lineRule="auto"/>
        <w:ind w:firstLine="422" w:firstLineChars="200"/>
        <w:rPr>
          <w:rFonts w:ascii="宋体" w:hAnsi="宋体" w:cs="宋体"/>
          <w:color w:val="auto"/>
          <w:sz w:val="21"/>
          <w:szCs w:val="21"/>
          <w:highlight w:val="none"/>
        </w:rPr>
      </w:pPr>
      <w:bookmarkStart w:id="84" w:name="_Toc772"/>
      <w:r>
        <w:rPr>
          <w:rFonts w:hint="eastAsia" w:ascii="宋体" w:hAnsi="宋体" w:cs="宋体"/>
          <w:color w:val="auto"/>
          <w:sz w:val="21"/>
          <w:szCs w:val="21"/>
          <w:highlight w:val="none"/>
        </w:rPr>
        <w:t>11.竞争性磋商响应文件编制基本要求</w:t>
      </w:r>
      <w:bookmarkEnd w:id="84"/>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11.1 本项目实行电子投标，供应商应准备电子磋商响应文件：</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11.1.1 电子响应文件按广西政府采购云平台要求及本磋商文件要求制作、加密并递交。具体操作流程可参考《政府采购项目电子交易管理操作指南-供应商》，指南可在 “http://www.ccgp-guangxi.gov.cn/PurchaseAdvisory/ImportantNotice/2866753.html”下载。 </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11.2竞争性磋商响应文件（以下简称响应文件）的组成及要求</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11.2.1响应文件组成【格式见第六章“响应文件（格式）”】</w:t>
      </w:r>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11.2.1.1资格性响应证明材料：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（1）供应商相应的法定代表人、负责人、自然人身份证正反两面复印件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①如供应商为截标时间前60日以内成立的公司，可以提供供应商与委托代理人签订的劳动合同复印件代替社保证明复印件；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②如供应商为事业单位，可以提供事业单位机构编制管理证复印件或事业单位机构为其发放工资的工资条复印件代替社保证明复印件；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③如委托代理人为免缴纳社保人员，提供免缴纳社保的证明材料复印件及供应商与委托代理人签订的劳动合同复印件代替社保证明复印件。</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cs="宋体"/>
          <w:color w:val="auto"/>
          <w:szCs w:val="21"/>
          <w:highlight w:val="none"/>
        </w:rPr>
        <w:t>】</w:t>
      </w:r>
      <w:r>
        <w:rPr>
          <w:rFonts w:hint="eastAsia" w:ascii="宋体" w:hAnsi="宋体" w:cs="宋体"/>
          <w:b/>
          <w:bCs/>
          <w:color w:val="auto"/>
          <w:szCs w:val="21"/>
          <w:highlight w:val="none"/>
        </w:rPr>
        <w:t>（委托代理时必须提供；如为联合体的，授权委托书原件须由牵头人出具）</w:t>
      </w:r>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（3）供应商参加政府采购活动前3年内在经营活动中没有重大违法记录及有关信用信息的书面声明</w:t>
      </w:r>
      <w:r>
        <w:rPr>
          <w:rFonts w:hint="eastAsia" w:ascii="宋体" w:hAnsi="宋体" w:cs="宋体"/>
          <w:b/>
          <w:bCs/>
          <w:color w:val="auto"/>
          <w:szCs w:val="21"/>
          <w:highlight w:val="none"/>
        </w:rPr>
        <w:t>（必须提供）；</w:t>
      </w:r>
    </w:p>
    <w:p>
      <w:pPr>
        <w:numPr>
          <w:ilvl w:val="0"/>
          <w:numId w:val="4"/>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供应商的法人或者其他组织营业执照等证明文件复印件</w:t>
      </w:r>
      <w:r>
        <w:rPr>
          <w:rFonts w:hint="eastAsia" w:ascii="宋体" w:hAnsi="宋体" w:cs="宋体"/>
          <w:b/>
          <w:bCs/>
          <w:color w:val="auto"/>
          <w:szCs w:val="21"/>
          <w:highlight w:val="none"/>
        </w:rPr>
        <w:t>（必须提供，自然人除外）；</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11"/>
        <w:ind w:left="0" w:leftChars="0" w:firstLine="422"/>
        <w:rPr>
          <w:rFonts w:ascii="宋体" w:hAnsi="宋体" w:cs="宋体"/>
          <w:color w:val="auto"/>
          <w:highlight w:val="none"/>
        </w:rPr>
      </w:pPr>
      <w:r>
        <w:rPr>
          <w:rFonts w:hint="eastAsia" w:ascii="宋体" w:hAnsi="宋体" w:cs="宋体"/>
          <w:b/>
          <w:bCs/>
          <w:color w:val="auto"/>
          <w:szCs w:val="21"/>
          <w:highlight w:val="none"/>
        </w:rPr>
        <w:t>11.2.1.2符合性响应证明材料：</w:t>
      </w:r>
    </w:p>
    <w:p>
      <w:pPr>
        <w:pStyle w:val="3"/>
        <w:ind w:leftChars="200" w:hanging="147" w:hangingChars="70"/>
        <w:rPr>
          <w:rFonts w:ascii="宋体" w:hAnsi="宋体" w:cs="宋体"/>
          <w:color w:val="auto"/>
          <w:szCs w:val="21"/>
          <w:highlight w:val="none"/>
        </w:rPr>
      </w:pPr>
      <w:bookmarkStart w:id="85" w:name="_Toc16312"/>
      <w:bookmarkStart w:id="86" w:name="_Toc2809"/>
      <w:bookmarkStart w:id="87" w:name="_Toc28932"/>
      <w:r>
        <w:rPr>
          <w:rFonts w:hint="eastAsia" w:ascii="宋体" w:hAnsi="宋体" w:cs="宋体"/>
          <w:bCs w:val="0"/>
          <w:color w:val="auto"/>
          <w:sz w:val="21"/>
          <w:szCs w:val="21"/>
          <w:highlight w:val="none"/>
          <w:lang w:val="en-US"/>
        </w:rPr>
        <w:t>（1）响应函（格式见附件）</w:t>
      </w:r>
      <w:r>
        <w:rPr>
          <w:rFonts w:hint="eastAsia" w:ascii="宋体" w:hAnsi="宋体" w:cs="宋体"/>
          <w:b/>
          <w:color w:val="auto"/>
          <w:sz w:val="21"/>
          <w:szCs w:val="21"/>
          <w:highlight w:val="none"/>
          <w:lang w:val="en-US"/>
        </w:rPr>
        <w:t>（必须提供）</w:t>
      </w:r>
      <w:bookmarkEnd w:id="85"/>
      <w:r>
        <w:rPr>
          <w:rFonts w:hint="eastAsia" w:ascii="宋体" w:hAnsi="宋体" w:cs="宋体"/>
          <w:b/>
          <w:color w:val="auto"/>
          <w:sz w:val="21"/>
          <w:szCs w:val="21"/>
          <w:highlight w:val="none"/>
          <w:lang w:val="en-US"/>
        </w:rPr>
        <w:t>；</w:t>
      </w:r>
      <w:bookmarkEnd w:id="86"/>
      <w:bookmarkEnd w:id="87"/>
    </w:p>
    <w:p>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（2）磋商报价表（格式见附件）</w:t>
      </w:r>
      <w:r>
        <w:rPr>
          <w:rFonts w:hint="eastAsia" w:ascii="宋体" w:hAnsi="宋体" w:cs="宋体"/>
          <w:b/>
          <w:bCs/>
          <w:color w:val="auto"/>
          <w:szCs w:val="21"/>
          <w:highlight w:val="none"/>
        </w:rPr>
        <w:t>（必须提供）；</w:t>
      </w:r>
    </w:p>
    <w:p>
      <w:pPr>
        <w:ind w:firstLine="420" w:firstLineChars="200"/>
        <w:rPr>
          <w:rFonts w:ascii="宋体" w:hAnsi="宋体" w:cs="宋体"/>
          <w:b/>
          <w:bCs/>
          <w:color w:val="auto"/>
          <w:szCs w:val="21"/>
          <w:highlight w:val="none"/>
        </w:rPr>
      </w:pPr>
      <w:r>
        <w:rPr>
          <w:rFonts w:hint="eastAsia" w:ascii="宋体" w:hAnsi="宋体" w:cs="宋体"/>
          <w:color w:val="auto"/>
          <w:szCs w:val="21"/>
          <w:highlight w:val="none"/>
        </w:rPr>
        <w:t>（3）采购需求响应说明表（格式见附件）</w:t>
      </w:r>
      <w:r>
        <w:rPr>
          <w:rFonts w:hint="eastAsia" w:ascii="宋体" w:hAnsi="宋体" w:cs="宋体"/>
          <w:b/>
          <w:bCs/>
          <w:color w:val="auto"/>
          <w:szCs w:val="21"/>
          <w:highlight w:val="none"/>
        </w:rPr>
        <w:t>(必须提供)；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（4）售后服务承诺书（格式见附件）</w:t>
      </w:r>
      <w:r>
        <w:rPr>
          <w:rFonts w:hint="eastAsia" w:ascii="宋体" w:hAnsi="宋体" w:cs="宋体"/>
          <w:b/>
          <w:bCs/>
          <w:color w:val="auto"/>
          <w:szCs w:val="21"/>
          <w:highlight w:val="none"/>
        </w:rPr>
        <w:t>（必须提供）。</w:t>
      </w:r>
    </w:p>
    <w:p>
      <w:pPr>
        <w:pStyle w:val="11"/>
        <w:ind w:left="0" w:leftChars="0" w:firstLine="422"/>
        <w:rPr>
          <w:rFonts w:ascii="宋体" w:hAnsi="宋体" w:cs="宋体"/>
          <w:b/>
          <w:bCs/>
          <w:color w:val="auto"/>
          <w:szCs w:val="21"/>
          <w:highlight w:val="none"/>
        </w:rPr>
      </w:pPr>
      <w:r>
        <w:rPr>
          <w:rFonts w:hint="eastAsia" w:ascii="宋体" w:hAnsi="宋体" w:cs="宋体"/>
          <w:b/>
          <w:bCs/>
          <w:color w:val="auto"/>
          <w:szCs w:val="21"/>
          <w:highlight w:val="none"/>
        </w:rPr>
        <w:t>11.2.1.3其他有效证明材料</w:t>
      </w:r>
    </w:p>
    <w:p>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（1）项目实施人员一览表（格式见附件）</w:t>
      </w:r>
      <w:r>
        <w:rPr>
          <w:rFonts w:hint="eastAsia" w:ascii="宋体" w:hAnsi="宋体" w:cs="宋体"/>
          <w:b/>
          <w:bCs/>
          <w:color w:val="auto"/>
          <w:szCs w:val="21"/>
          <w:highlight w:val="none"/>
        </w:rPr>
        <w:t>（如有，请提供）；</w:t>
      </w:r>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（2）“采购需求”需提供的有效证明文件</w:t>
      </w:r>
      <w:r>
        <w:rPr>
          <w:rFonts w:hint="eastAsia" w:ascii="宋体" w:hAnsi="宋体" w:cs="宋体"/>
          <w:b/>
          <w:bCs/>
          <w:color w:val="auto"/>
          <w:szCs w:val="21"/>
          <w:highlight w:val="none"/>
        </w:rPr>
        <w:t>（如有，请提供）；</w:t>
      </w:r>
    </w:p>
    <w:p>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（3）供应商2018年1月1日以来具有同类项目的业绩相关证明材料（无不良记录，以中标、成交通知书或签订的合同为准，并能清晰反映项目的名称、采购内容、采购金额、采购时间）</w:t>
      </w:r>
      <w:r>
        <w:rPr>
          <w:rFonts w:hint="eastAsia" w:ascii="宋体" w:hAnsi="宋体" w:cs="宋体"/>
          <w:b/>
          <w:bCs/>
          <w:color w:val="auto"/>
          <w:szCs w:val="21"/>
          <w:highlight w:val="none"/>
        </w:rPr>
        <w:t>（如有，请提供）；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（4）供应商可结合本项目的评审办法视自身情况自行提交其它相关证明材料。</w:t>
      </w:r>
    </w:p>
    <w:p>
      <w:pPr>
        <w:spacing w:line="400" w:lineRule="exact"/>
        <w:ind w:firstLine="420"/>
        <w:rPr>
          <w:rFonts w:ascii="宋体" w:hAnsi="宋体" w:cs="宋体"/>
          <w:color w:val="auto"/>
          <w:szCs w:val="21"/>
          <w:highlight w:val="none"/>
        </w:rPr>
      </w:pPr>
      <w:r>
        <w:rPr>
          <w:rFonts w:hint="eastAsia" w:ascii="宋体" w:hAnsi="宋体" w:cs="宋体"/>
          <w:b/>
          <w:bCs/>
          <w:color w:val="auto"/>
          <w:szCs w:val="21"/>
          <w:highlight w:val="none"/>
        </w:rPr>
        <w:t>供应商</w:t>
      </w:r>
      <w:r>
        <w:rPr>
          <w:rFonts w:hint="eastAsia" w:ascii="宋体" w:hAnsi="宋体" w:cs="宋体"/>
          <w:b/>
          <w:bCs/>
          <w:color w:val="auto"/>
          <w:highlight w:val="none"/>
        </w:rPr>
        <w:t>提供的以上相关证明材料属于“必须提供”的文件应加盖磋商供应商CA证书签章/自然人签字或个人CA证书签章，否则响应无效。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供应商应按竞争性磋商文件第六章“响应文件（格式）”编制响应文件。</w:t>
      </w:r>
    </w:p>
    <w:p>
      <w:pPr>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特别说明：</w:t>
      </w:r>
    </w:p>
    <w:p>
      <w:pPr>
        <w:spacing w:line="36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（1）响</w:t>
      </w:r>
      <w:r>
        <w:rPr>
          <w:rFonts w:hint="eastAsia" w:ascii="宋体" w:hAnsi="宋体" w:cs="宋体"/>
          <w:b/>
          <w:color w:val="auto"/>
          <w:szCs w:val="21"/>
          <w:highlight w:val="none"/>
        </w:rPr>
        <w:t>应文件（电子响应文件），其中电子响应文件中所须加盖公章部分均采用CA证书签章。若磋商文件中有专门标注的某关联点，并要求供应商在电子投标系统中作出磋商响应的，如供应商未对关联点进行响应或者在响应文件其它内容进行描述，造成电子评审不能查询的责任由供应商自行承担。</w:t>
      </w:r>
    </w:p>
    <w:p>
      <w:pPr>
        <w:numPr>
          <w:ilvl w:val="0"/>
          <w:numId w:val="5"/>
        </w:numPr>
        <w:spacing w:line="36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磋商文件要求法定代表人（负责人）或委托代理人签字的部分必须签字然后扫描或者拍照做成 pdf 格式上传（或加盖个人CA证书签章），无签字的视为响应无效。</w:t>
      </w:r>
    </w:p>
    <w:p>
      <w:pPr>
        <w:pStyle w:val="5"/>
        <w:spacing w:line="360" w:lineRule="auto"/>
        <w:ind w:firstLine="422" w:firstLineChars="200"/>
        <w:rPr>
          <w:rFonts w:ascii="宋体" w:hAnsi="宋体" w:cs="宋体"/>
          <w:color w:val="auto"/>
          <w:sz w:val="21"/>
          <w:szCs w:val="21"/>
          <w:highlight w:val="none"/>
        </w:rPr>
      </w:pPr>
      <w:bookmarkStart w:id="88" w:name="_Toc2180"/>
      <w:bookmarkStart w:id="89" w:name="_Toc6845"/>
      <w:r>
        <w:rPr>
          <w:rFonts w:hint="eastAsia" w:ascii="宋体" w:hAnsi="宋体" w:cs="宋体"/>
          <w:color w:val="auto"/>
          <w:sz w:val="21"/>
          <w:szCs w:val="21"/>
          <w:highlight w:val="none"/>
        </w:rPr>
        <w:t>12. 响应文件的语言及计量</w:t>
      </w:r>
      <w:bookmarkEnd w:id="88"/>
      <w:bookmarkEnd w:id="8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磋商计量单位，磋商文件已有明确规定的，使用磋商文件规定的计量单位；磋商文件没有规定的，应采用中华人民共和国法定计量单位（货币单位：人民币元），否则视同未响应。</w:t>
      </w:r>
    </w:p>
    <w:p>
      <w:pPr>
        <w:pStyle w:val="5"/>
        <w:spacing w:line="360" w:lineRule="auto"/>
        <w:ind w:firstLine="422" w:firstLineChars="200"/>
        <w:rPr>
          <w:rFonts w:ascii="宋体" w:hAnsi="宋体" w:cs="宋体"/>
          <w:color w:val="auto"/>
          <w:sz w:val="21"/>
          <w:szCs w:val="21"/>
          <w:highlight w:val="none"/>
        </w:rPr>
      </w:pPr>
      <w:bookmarkStart w:id="90" w:name="_Toc30930"/>
      <w:bookmarkStart w:id="91" w:name="_Toc10838"/>
      <w:r>
        <w:rPr>
          <w:rFonts w:hint="eastAsia" w:ascii="宋体" w:hAnsi="宋体" w:cs="宋体"/>
          <w:color w:val="auto"/>
          <w:sz w:val="21"/>
          <w:szCs w:val="21"/>
          <w:highlight w:val="none"/>
        </w:rPr>
        <w:t>13. 磋商报价及采购预算金额</w:t>
      </w:r>
      <w:bookmarkEnd w:id="90"/>
      <w:bookmarkEnd w:id="91"/>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磋商报价应按磋商文件中相关附表格式填写。采购预算金额（人民币）：</w:t>
      </w:r>
      <w:r>
        <w:rPr>
          <w:rFonts w:hint="eastAsia" w:ascii="宋体" w:hAnsi="宋体" w:cs="宋体"/>
          <w:b/>
          <w:bCs/>
          <w:color w:val="auto"/>
          <w:szCs w:val="21"/>
          <w:highlight w:val="none"/>
          <w:u w:val="single"/>
        </w:rPr>
        <w:t>预算金额：人民币</w:t>
      </w:r>
      <w:r>
        <w:rPr>
          <w:rFonts w:hint="eastAsia" w:ascii="宋体" w:hAnsi="宋体" w:cs="宋体"/>
          <w:b/>
          <w:bCs/>
          <w:color w:val="auto"/>
          <w:szCs w:val="21"/>
          <w:highlight w:val="none"/>
          <w:u w:val="single"/>
          <w:lang w:eastAsia="zh-CN"/>
        </w:rPr>
        <w:t>贰佰肆拾陆万元整</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eastAsia="zh-CN"/>
        </w:rPr>
        <w:t>2460000</w:t>
      </w:r>
      <w:r>
        <w:rPr>
          <w:rFonts w:hint="eastAsia" w:ascii="宋体" w:hAnsi="宋体" w:cs="宋体"/>
          <w:b/>
          <w:bCs/>
          <w:color w:val="auto"/>
          <w:szCs w:val="21"/>
          <w:highlight w:val="none"/>
          <w:u w:val="single"/>
        </w:rPr>
        <w:t>.00元）</w:t>
      </w:r>
      <w:r>
        <w:rPr>
          <w:rFonts w:hint="eastAsia" w:ascii="宋体" w:hAnsi="宋体" w:cs="宋体"/>
          <w:color w:val="auto"/>
          <w:szCs w:val="21"/>
          <w:highlight w:val="none"/>
        </w:rPr>
        <w:t>。报价超过相应采购预算金额的，响应文件按无效处理。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13.2供应商必须就“采购需求”中所竞所有内容作完整唯一报价，否则，其响应文件无效。响应文件只允许有一个报价，有选择的或有条件的报价将不予接受。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13.3 </w:t>
      </w:r>
      <w:r>
        <w:rPr>
          <w:rFonts w:hint="eastAsia" w:ascii="宋体" w:hAnsi="宋体" w:cs="宋体"/>
          <w:color w:val="auto"/>
          <w:spacing w:val="-6"/>
          <w:szCs w:val="21"/>
          <w:highlight w:val="none"/>
        </w:rPr>
        <w:t>磋商</w:t>
      </w:r>
      <w:r>
        <w:rPr>
          <w:rFonts w:hint="eastAsia" w:ascii="宋体" w:hAnsi="宋体" w:cs="宋体"/>
          <w:color w:val="auto"/>
          <w:szCs w:val="21"/>
          <w:highlight w:val="none"/>
        </w:rPr>
        <w:t>报价指本次招标采购范围内服务价款、保险、税金及其他所有成本费用的总和；供应商综合考虑在报价中。</w:t>
      </w:r>
    </w:p>
    <w:p>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13.4供应商应在规定时间内在政采云系统上提交最后报价，超出评委设定的最后报价时限或其最后报价超出采购预算导致已通过评审的响应文件无效的，按供应商在提交响应文件截止时间后撤回响应文件处理。</w:t>
      </w:r>
    </w:p>
    <w:p>
      <w:pPr>
        <w:pStyle w:val="5"/>
        <w:spacing w:line="360" w:lineRule="auto"/>
        <w:ind w:firstLine="422" w:firstLineChars="200"/>
        <w:rPr>
          <w:rFonts w:ascii="宋体" w:hAnsi="宋体" w:cs="宋体"/>
          <w:color w:val="auto"/>
          <w:sz w:val="21"/>
          <w:szCs w:val="21"/>
          <w:highlight w:val="none"/>
        </w:rPr>
      </w:pPr>
      <w:bookmarkStart w:id="92" w:name="_Toc27015"/>
      <w:bookmarkStart w:id="93" w:name="_Toc26881"/>
      <w:r>
        <w:rPr>
          <w:rFonts w:hint="eastAsia" w:ascii="宋体" w:hAnsi="宋体" w:cs="宋体"/>
          <w:color w:val="auto"/>
          <w:sz w:val="21"/>
          <w:szCs w:val="21"/>
          <w:highlight w:val="none"/>
        </w:rPr>
        <w:t>14. 响应文件有效期</w:t>
      </w:r>
      <w:bookmarkEnd w:id="92"/>
      <w:bookmarkEnd w:id="93"/>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响应文件有效期：响应文件递交截止时间之日起90天，有效期不足的响应文件将被拒绝。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 出现特殊情况下，需要延长响应文件有效期的，采购代理机构书面通知供应商延长响应文件有效期。供应商同意延长的，但不能修改响应文件。供应商拒绝延长的，其响应文件无效。</w:t>
      </w:r>
    </w:p>
    <w:p>
      <w:pPr>
        <w:pStyle w:val="5"/>
        <w:spacing w:line="360" w:lineRule="auto"/>
        <w:ind w:firstLine="422" w:firstLineChars="200"/>
        <w:rPr>
          <w:rFonts w:ascii="宋体" w:hAnsi="宋体" w:cs="宋体"/>
          <w:color w:val="auto"/>
          <w:sz w:val="21"/>
          <w:szCs w:val="21"/>
          <w:highlight w:val="none"/>
        </w:rPr>
      </w:pPr>
      <w:bookmarkStart w:id="94" w:name="_Toc22602"/>
      <w:bookmarkStart w:id="95" w:name="_Toc24706"/>
      <w:r>
        <w:rPr>
          <w:rFonts w:hint="eastAsia" w:ascii="宋体" w:hAnsi="宋体" w:cs="宋体"/>
          <w:color w:val="auto"/>
          <w:sz w:val="21"/>
          <w:szCs w:val="21"/>
          <w:highlight w:val="none"/>
        </w:rPr>
        <w:t>15. 保证金</w:t>
      </w:r>
      <w:bookmarkEnd w:id="94"/>
      <w:bookmarkEnd w:id="95"/>
    </w:p>
    <w:p>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本项目无需缴纳磋商保证金。</w:t>
      </w:r>
    </w:p>
    <w:p>
      <w:pPr>
        <w:pStyle w:val="5"/>
        <w:spacing w:line="360" w:lineRule="auto"/>
        <w:ind w:firstLine="422" w:firstLineChars="200"/>
        <w:rPr>
          <w:rFonts w:ascii="宋体" w:hAnsi="宋体" w:cs="宋体"/>
          <w:color w:val="auto"/>
          <w:sz w:val="21"/>
          <w:szCs w:val="21"/>
          <w:highlight w:val="none"/>
        </w:rPr>
      </w:pPr>
      <w:bookmarkStart w:id="96" w:name="_Toc387"/>
      <w:bookmarkStart w:id="97" w:name="_Toc8815"/>
      <w:r>
        <w:rPr>
          <w:rFonts w:hint="eastAsia" w:ascii="宋体" w:hAnsi="宋体" w:cs="宋体"/>
          <w:color w:val="auto"/>
          <w:sz w:val="21"/>
          <w:szCs w:val="21"/>
          <w:highlight w:val="none"/>
        </w:rPr>
        <w:t>16. 竞争性磋商响应文件的</w:t>
      </w:r>
      <w:bookmarkEnd w:id="96"/>
      <w:r>
        <w:rPr>
          <w:rFonts w:hint="eastAsia" w:ascii="宋体" w:hAnsi="宋体" w:cs="宋体"/>
          <w:color w:val="auto"/>
          <w:sz w:val="21"/>
          <w:szCs w:val="21"/>
          <w:highlight w:val="none"/>
        </w:rPr>
        <w:t>制作</w:t>
      </w:r>
      <w:bookmarkEnd w:id="9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电子磋商响应文件中须加盖供应商公章部分均采用 CA 证书签章，并根据“政府采购项目电子交易管理操作指南-供应商”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供应商法人（负责人）或授权代表持有政采云个人CA证书签章的，应在响应文件中涉及到签字的位置使用个人CA证书签章，没有办理政采云个人CA证书签章的可在响应文件中涉及到签字的位置手写签字后扫描或者拍照做成 PDF 的格式上传即可。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 磋商响应文件不得涂改，若有修改错漏处，须法定代表人（负责人）或授权委托人签字（或个人CA证书签章）。磋商响应文件因字迹潦草或表达不清所引起的后果由供应商负责。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16.4磋商前准备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16.4.1本项目实行在线磋商，采用电子磋商响应文件。若供应商参与磋商，自行承担磋商一切费用。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16.4.3供应商将政采云电子交易客户端下载、安装完成后，可通过账号密码或 CA 登录客户端进行响应文件制作。客户端请至网站下载专区查看，如有问题可拨打政采云客户服务热线 95763 进行咨询。</w:t>
      </w:r>
    </w:p>
    <w:p>
      <w:pPr>
        <w:pStyle w:val="5"/>
        <w:spacing w:line="360" w:lineRule="auto"/>
        <w:ind w:firstLine="422" w:firstLineChars="200"/>
        <w:rPr>
          <w:rFonts w:ascii="宋体" w:hAnsi="宋体" w:cs="宋体"/>
          <w:color w:val="auto"/>
          <w:sz w:val="21"/>
          <w:szCs w:val="21"/>
          <w:highlight w:val="none"/>
        </w:rPr>
      </w:pPr>
      <w:bookmarkStart w:id="98" w:name="_Toc8570"/>
      <w:r>
        <w:rPr>
          <w:rFonts w:hint="eastAsia" w:ascii="宋体" w:hAnsi="宋体" w:cs="宋体"/>
          <w:color w:val="auto"/>
          <w:sz w:val="21"/>
          <w:szCs w:val="21"/>
          <w:highlight w:val="none"/>
        </w:rPr>
        <w:t>17. 响应文件的修改和撤回</w:t>
      </w:r>
      <w:bookmarkEnd w:id="98"/>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 在响应文件递交截止时间后的响应文件有效期内，供应商不得撤回其响应文件。</w:t>
      </w:r>
    </w:p>
    <w:p>
      <w:pPr>
        <w:pStyle w:val="5"/>
        <w:spacing w:line="360" w:lineRule="auto"/>
        <w:ind w:firstLine="422" w:firstLineChars="200"/>
        <w:rPr>
          <w:rFonts w:ascii="宋体" w:hAnsi="宋体" w:cs="宋体"/>
          <w:color w:val="auto"/>
          <w:sz w:val="21"/>
          <w:szCs w:val="21"/>
          <w:highlight w:val="none"/>
        </w:rPr>
      </w:pPr>
      <w:bookmarkStart w:id="99" w:name="_Toc27030"/>
      <w:bookmarkStart w:id="100" w:name="_Toc30156"/>
      <w:r>
        <w:rPr>
          <w:rFonts w:hint="eastAsia" w:ascii="宋体" w:hAnsi="宋体" w:cs="宋体"/>
          <w:color w:val="auto"/>
          <w:sz w:val="21"/>
          <w:szCs w:val="21"/>
          <w:highlight w:val="none"/>
        </w:rPr>
        <w:t>18. 响应文件的递交和解密</w:t>
      </w:r>
      <w:bookmarkEnd w:id="99"/>
      <w:bookmarkEnd w:id="100"/>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18.1响应文件递交截止时间：于</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日09时30分</w:t>
      </w:r>
      <w:r>
        <w:rPr>
          <w:rFonts w:hint="eastAsia" w:ascii="宋体" w:hAnsi="宋体" w:cs="宋体"/>
          <w:color w:val="auto"/>
          <w:szCs w:val="21"/>
          <w:highlight w:val="none"/>
        </w:rPr>
        <w:t>之前将电子磋商响应文件上传到广西政府采购云平台。应按照本项目磋商文件和广西政府采购云平台的要求编制、加密传输磋商响应文件。供应商在使用系统进行投标的过程中遇到涉及平台使用的任何问题，可致电广西政府采购云平台技术支持热线咨询，联系方式：95763。</w:t>
      </w:r>
    </w:p>
    <w:p>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18.2磋商响应文件解密时间：截标时间后</w:t>
      </w:r>
      <w:r>
        <w:rPr>
          <w:rFonts w:hint="eastAsia" w:ascii="宋体" w:hAnsi="宋体" w:cs="宋体"/>
          <w:color w:val="auto"/>
          <w:szCs w:val="21"/>
          <w:highlight w:val="none"/>
          <w:u w:val="single"/>
        </w:rPr>
        <w:t>30</w:t>
      </w:r>
      <w:r>
        <w:rPr>
          <w:rFonts w:hint="eastAsia" w:ascii="宋体" w:hAnsi="宋体" w:cs="宋体"/>
          <w:color w:val="auto"/>
          <w:szCs w:val="21"/>
          <w:highlight w:val="none"/>
        </w:rPr>
        <w:t>分钟内（</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日09时30分至10时00分</w:t>
      </w:r>
      <w:r>
        <w:rPr>
          <w:rFonts w:hint="eastAsia" w:ascii="宋体" w:hAnsi="宋体" w:cs="宋体"/>
          <w:color w:val="auto"/>
          <w:szCs w:val="21"/>
          <w:highlight w:val="none"/>
        </w:rPr>
        <w:t>)磋商供应商可以登录广西政府采购云平台，用“项目采购-开标评标”功能进行解密磋商文件。</w:t>
      </w:r>
      <w:r>
        <w:rPr>
          <w:rFonts w:ascii="宋体" w:hAnsi="宋体" w:cs="宋体"/>
          <w:b/>
          <w:bCs/>
          <w:color w:val="auto"/>
          <w:kern w:val="0"/>
          <w:szCs w:val="21"/>
          <w:highlight w:val="none"/>
        </w:rPr>
        <w:t>若供应商在上述规定的时间内无法解密或解密失败的，视为供应商放弃</w:t>
      </w:r>
      <w:r>
        <w:rPr>
          <w:rFonts w:hint="eastAsia" w:ascii="宋体" w:hAnsi="宋体" w:cs="宋体"/>
          <w:b/>
          <w:bCs/>
          <w:color w:val="auto"/>
          <w:kern w:val="0"/>
          <w:szCs w:val="21"/>
          <w:highlight w:val="none"/>
        </w:rPr>
        <w:t>磋商</w:t>
      </w:r>
      <w:r>
        <w:rPr>
          <w:rFonts w:hint="eastAsia" w:ascii="宋体" w:hAnsi="宋体" w:cs="宋体"/>
          <w:b/>
          <w:bCs/>
          <w:color w:val="auto"/>
          <w:szCs w:val="21"/>
          <w:highlight w:val="none"/>
        </w:rPr>
        <w:t>，造成响应无效的后果由供应商自行承担。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 除竞争性磋商文件另有规定外，供应商所递交的响应文件不予退还。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 电子响应文件的相关说明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（2）如有特殊情况，采购代理机构延长截止时间和开标时间，采购代理机构和供应商的权利和义务将受到新的截止时间和开标时间的约束。</w:t>
      </w:r>
    </w:p>
    <w:p>
      <w:pPr>
        <w:pStyle w:val="3"/>
        <w:jc w:val="center"/>
        <w:rPr>
          <w:rFonts w:ascii="宋体" w:hAnsi="宋体" w:cs="宋体"/>
          <w:b/>
          <w:bCs w:val="0"/>
          <w:color w:val="auto"/>
          <w:szCs w:val="28"/>
          <w:highlight w:val="none"/>
        </w:rPr>
      </w:pPr>
      <w:bookmarkStart w:id="101" w:name="_Toc18044"/>
      <w:bookmarkStart w:id="102" w:name="_Toc2433"/>
      <w:r>
        <w:rPr>
          <w:rFonts w:hint="eastAsia" w:ascii="宋体" w:hAnsi="宋体" w:cs="宋体"/>
          <w:b/>
          <w:bCs w:val="0"/>
          <w:color w:val="auto"/>
          <w:szCs w:val="28"/>
          <w:highlight w:val="none"/>
        </w:rPr>
        <w:t>四、竞争性磋商（简称磋商）与评审</w:t>
      </w:r>
      <w:bookmarkEnd w:id="101"/>
      <w:bookmarkEnd w:id="102"/>
    </w:p>
    <w:p>
      <w:pPr>
        <w:pStyle w:val="5"/>
        <w:spacing w:line="360" w:lineRule="auto"/>
        <w:ind w:firstLine="422" w:firstLineChars="200"/>
        <w:rPr>
          <w:rFonts w:ascii="宋体" w:hAnsi="宋体" w:cs="宋体"/>
          <w:color w:val="auto"/>
          <w:sz w:val="21"/>
          <w:szCs w:val="21"/>
          <w:highlight w:val="none"/>
        </w:rPr>
      </w:pPr>
      <w:bookmarkStart w:id="103" w:name="_Toc31588"/>
      <w:bookmarkStart w:id="104" w:name="_Toc16714"/>
      <w:r>
        <w:rPr>
          <w:rFonts w:hint="eastAsia" w:ascii="宋体" w:hAnsi="宋体" w:cs="宋体"/>
          <w:color w:val="auto"/>
          <w:sz w:val="21"/>
          <w:szCs w:val="21"/>
          <w:highlight w:val="none"/>
        </w:rPr>
        <w:t>19. 磋商小组组成及磋商时间、地点、人员</w:t>
      </w:r>
      <w:bookmarkEnd w:id="103"/>
      <w:bookmarkEnd w:id="104"/>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 磋商小组组成：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人，其中采购人代表</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人， 专家</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磋商时间、地点、人员：</w:t>
      </w:r>
    </w:p>
    <w:p>
      <w:pPr>
        <w:spacing w:line="360" w:lineRule="auto"/>
        <w:ind w:firstLine="420" w:firstLineChars="200"/>
        <w:rPr>
          <w:rFonts w:ascii="宋体" w:hAnsi="宋体" w:cs="宋体"/>
          <w:color w:val="auto"/>
          <w:szCs w:val="21"/>
          <w:highlight w:val="none"/>
        </w:rPr>
      </w:pPr>
      <w:bookmarkStart w:id="105" w:name="_Toc9878"/>
      <w:r>
        <w:rPr>
          <w:rFonts w:hint="eastAsia" w:ascii="宋体" w:hAnsi="宋体" w:cs="宋体"/>
          <w:color w:val="auto"/>
          <w:szCs w:val="21"/>
          <w:highlight w:val="none"/>
        </w:rPr>
        <w:t>19.2.1磋商时间：响应文件递交截止时间后。</w:t>
      </w:r>
      <w:bookmarkEnd w:id="105"/>
    </w:p>
    <w:p>
      <w:pPr>
        <w:spacing w:line="360" w:lineRule="auto"/>
        <w:ind w:firstLine="420" w:firstLineChars="200"/>
        <w:rPr>
          <w:rFonts w:ascii="宋体" w:hAnsi="宋体" w:cs="宋体"/>
          <w:color w:val="auto"/>
          <w:szCs w:val="21"/>
          <w:highlight w:val="none"/>
        </w:rPr>
      </w:pPr>
      <w:bookmarkStart w:id="106" w:name="_Toc29268"/>
      <w:r>
        <w:rPr>
          <w:rFonts w:hint="eastAsia" w:ascii="宋体" w:hAnsi="宋体" w:cs="宋体"/>
          <w:color w:val="auto"/>
          <w:szCs w:val="21"/>
          <w:highlight w:val="none"/>
        </w:rPr>
        <w:t>19.2.2磋商地点：</w:t>
      </w:r>
      <w:bookmarkEnd w:id="106"/>
      <w:r>
        <w:rPr>
          <w:rFonts w:hint="eastAsia" w:ascii="宋体" w:hAnsi="宋体" w:cs="宋体"/>
          <w:color w:val="auto"/>
          <w:szCs w:val="21"/>
          <w:highlight w:val="none"/>
        </w:rPr>
        <w:t>本项目需要磋商供应商代表在截标当天截标后，按磋商小组要求及时登陆广西政府采购云平台等候在线磋商。</w:t>
      </w:r>
    </w:p>
    <w:p>
      <w:pPr>
        <w:spacing w:line="360" w:lineRule="auto"/>
        <w:ind w:firstLine="420" w:firstLineChars="200"/>
        <w:rPr>
          <w:rFonts w:ascii="宋体" w:hAnsi="宋体" w:cs="宋体"/>
          <w:bCs/>
          <w:color w:val="auto"/>
          <w:szCs w:val="21"/>
          <w:highlight w:val="none"/>
        </w:rPr>
      </w:pPr>
      <w:bookmarkStart w:id="107" w:name="_Toc21307"/>
      <w:r>
        <w:rPr>
          <w:rFonts w:hint="eastAsia" w:ascii="宋体" w:hAnsi="宋体" w:cs="宋体"/>
          <w:color w:val="auto"/>
          <w:szCs w:val="21"/>
          <w:highlight w:val="none"/>
        </w:rPr>
        <w:t>19</w:t>
      </w:r>
      <w:r>
        <w:rPr>
          <w:rFonts w:hint="eastAsia" w:ascii="宋体" w:hAnsi="宋体" w:cs="宋体"/>
          <w:bCs/>
          <w:color w:val="auto"/>
          <w:szCs w:val="21"/>
          <w:highlight w:val="none"/>
        </w:rPr>
        <w:t>.2.3磋商参加人员：供应商法定代表人、负责人、自然人或相应的委托代理人持</w:t>
      </w:r>
      <w:r>
        <w:rPr>
          <w:rFonts w:hint="eastAsia" w:ascii="宋体" w:hAnsi="宋体" w:cs="宋体"/>
          <w:bCs/>
          <w:color w:val="auto"/>
          <w:szCs w:val="21"/>
          <w:highlight w:val="none"/>
          <w:u w:val="single"/>
        </w:rPr>
        <w:t>有效身份证原件</w:t>
      </w:r>
      <w:r>
        <w:rPr>
          <w:rFonts w:hint="eastAsia" w:ascii="宋体" w:hAnsi="宋体" w:cs="宋体"/>
          <w:bCs/>
          <w:color w:val="auto"/>
          <w:szCs w:val="21"/>
          <w:highlight w:val="none"/>
        </w:rPr>
        <w:t>和供应商</w:t>
      </w:r>
      <w:r>
        <w:rPr>
          <w:rFonts w:hint="eastAsia" w:ascii="宋体" w:hAnsi="宋体" w:cs="宋体"/>
          <w:bCs/>
          <w:color w:val="auto"/>
          <w:szCs w:val="21"/>
          <w:highlight w:val="none"/>
          <w:u w:val="single"/>
        </w:rPr>
        <w:t>广西政府采购云平台CA数字证书</w:t>
      </w:r>
      <w:r>
        <w:rPr>
          <w:rFonts w:hint="eastAsia" w:ascii="宋体" w:hAnsi="宋体" w:cs="宋体"/>
          <w:bCs/>
          <w:color w:val="auto"/>
          <w:szCs w:val="21"/>
          <w:highlight w:val="none"/>
        </w:rPr>
        <w:t>参加磋商。请供应商按时到达指定地点等候磋商。</w:t>
      </w:r>
      <w:bookmarkEnd w:id="107"/>
    </w:p>
    <w:p>
      <w:pPr>
        <w:spacing w:line="360" w:lineRule="auto"/>
        <w:ind w:firstLine="420" w:firstLineChars="200"/>
        <w:rPr>
          <w:rFonts w:ascii="宋体" w:hAnsi="宋体" w:cs="宋体"/>
          <w:bCs/>
          <w:color w:val="auto"/>
          <w:szCs w:val="21"/>
          <w:highlight w:val="none"/>
        </w:rPr>
      </w:pPr>
      <w:bookmarkStart w:id="108" w:name="_Toc6288"/>
      <w:r>
        <w:rPr>
          <w:rFonts w:hint="eastAsia" w:ascii="宋体" w:hAnsi="宋体" w:cs="宋体"/>
          <w:bCs/>
          <w:color w:val="auto"/>
          <w:szCs w:val="21"/>
          <w:highlight w:val="none"/>
        </w:rPr>
        <w:t>19.2.4响应文件递交截止时间后，由磋商小组在评标室内线上开启响应文件。</w:t>
      </w:r>
      <w:bookmarkEnd w:id="108"/>
    </w:p>
    <w:p>
      <w:pPr>
        <w:pStyle w:val="5"/>
        <w:spacing w:line="360" w:lineRule="auto"/>
        <w:ind w:firstLine="422" w:firstLineChars="200"/>
        <w:rPr>
          <w:rFonts w:ascii="宋体" w:hAnsi="宋体" w:cs="宋体"/>
          <w:color w:val="auto"/>
          <w:sz w:val="21"/>
          <w:szCs w:val="21"/>
          <w:highlight w:val="none"/>
        </w:rPr>
      </w:pPr>
      <w:bookmarkStart w:id="109" w:name="_Toc18640"/>
      <w:bookmarkStart w:id="110" w:name="_Toc25258"/>
      <w:r>
        <w:rPr>
          <w:rFonts w:hint="eastAsia" w:ascii="宋体" w:hAnsi="宋体" w:cs="宋体"/>
          <w:color w:val="auto"/>
          <w:sz w:val="21"/>
          <w:szCs w:val="21"/>
          <w:highlight w:val="none"/>
        </w:rPr>
        <w:t>20. 评审原则</w:t>
      </w:r>
      <w:bookmarkEnd w:id="109"/>
      <w:bookmarkEnd w:id="110"/>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 磋商小组必须坚持公平、公正、科学和择优的原则。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评审办法：综合评分法，具体详见第四章评审办法。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磋商小组应按磋商文件进行评审，不得擅自更改评审办法。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在评审过程中，磋商小组任何人不得对某个供应商发表任何倾向性意见，不得向其他磋商小组成员明示或者暗示自己的评审意见。</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20.5 磋商小组成员对需要共同认定的事项存在争议的，按照少数服从多数的原则作出结论。持不同意见的磋商小组成员应当在评审报告上签署不同意见并说明理由，否则视为同意。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20.6 响应文件最后报价出现前后不一致的，除竞争性磋商文件另有规定外，按照下列规定修正：</w:t>
      </w:r>
    </w:p>
    <w:p>
      <w:pPr>
        <w:pStyle w:val="41"/>
        <w:tabs>
          <w:tab w:val="left" w:pos="1099"/>
        </w:tabs>
        <w:spacing w:before="130"/>
        <w:ind w:left="420" w:leftChars="200" w:firstLine="0" w:firstLineChars="0"/>
        <w:jc w:val="left"/>
        <w:rPr>
          <w:rFonts w:ascii="宋体" w:hAnsi="宋体" w:cs="宋体"/>
          <w:color w:val="auto"/>
          <w:highlight w:val="none"/>
        </w:rPr>
      </w:pPr>
      <w:r>
        <w:rPr>
          <w:rFonts w:hint="eastAsia" w:ascii="宋体" w:hAnsi="宋体" w:cs="宋体"/>
          <w:color w:val="auto"/>
          <w:szCs w:val="21"/>
          <w:highlight w:val="none"/>
        </w:rPr>
        <w:t xml:space="preserve">(1) </w:t>
      </w:r>
      <w:r>
        <w:rPr>
          <w:rFonts w:hint="eastAsia" w:ascii="宋体" w:hAnsi="宋体" w:cs="宋体"/>
          <w:color w:val="auto"/>
          <w:highlight w:val="none"/>
        </w:rPr>
        <w:t>响应文件中磋商报价表内容与响应文件中相应内容不一致的，以最后磋商报价表为准；</w:t>
      </w:r>
    </w:p>
    <w:p>
      <w:pPr>
        <w:pStyle w:val="41"/>
        <w:tabs>
          <w:tab w:val="left" w:pos="1099"/>
        </w:tabs>
        <w:spacing w:before="130"/>
        <w:ind w:left="420" w:leftChars="200" w:firstLine="0" w:firstLineChars="0"/>
        <w:jc w:val="left"/>
        <w:rPr>
          <w:rFonts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highlight w:val="none"/>
        </w:rPr>
        <w:t xml:space="preserve"> 大写金额和小写金额不一致的，以大写金额为准；</w:t>
      </w:r>
    </w:p>
    <w:p>
      <w:pPr>
        <w:pStyle w:val="41"/>
        <w:tabs>
          <w:tab w:val="left" w:pos="1099"/>
        </w:tabs>
        <w:spacing w:before="130"/>
        <w:ind w:left="420" w:leftChars="200" w:firstLine="0" w:firstLineChars="0"/>
        <w:jc w:val="left"/>
        <w:rPr>
          <w:rFonts w:ascii="宋体" w:hAnsi="宋体" w:cs="宋体"/>
          <w:color w:val="auto"/>
          <w:highlight w:val="none"/>
        </w:rPr>
      </w:pPr>
      <w:r>
        <w:rPr>
          <w:rFonts w:hint="eastAsia" w:ascii="宋体" w:hAnsi="宋体" w:cs="宋体"/>
          <w:color w:val="auto"/>
          <w:szCs w:val="21"/>
          <w:highlight w:val="none"/>
        </w:rPr>
        <w:t>(3)</w:t>
      </w:r>
      <w:r>
        <w:rPr>
          <w:rFonts w:hint="eastAsia" w:ascii="宋体" w:hAnsi="宋体" w:cs="宋体"/>
          <w:color w:val="auto"/>
          <w:highlight w:val="none"/>
        </w:rPr>
        <w:t xml:space="preserve"> 单价金额小数点或者百分比有明显错位的，以报价表的总价为准，并修改单价；</w:t>
      </w:r>
    </w:p>
    <w:p>
      <w:pPr>
        <w:pStyle w:val="41"/>
        <w:tabs>
          <w:tab w:val="left" w:pos="1099"/>
        </w:tabs>
        <w:spacing w:before="130"/>
        <w:ind w:left="420" w:leftChars="200" w:firstLine="0" w:firstLineChars="0"/>
        <w:jc w:val="left"/>
        <w:rPr>
          <w:rFonts w:ascii="宋体" w:hAnsi="宋体" w:cs="宋体"/>
          <w:color w:val="auto"/>
          <w:highlight w:val="none"/>
        </w:rPr>
      </w:pPr>
      <w:r>
        <w:rPr>
          <w:rFonts w:hint="eastAsia" w:ascii="宋体" w:hAnsi="宋体" w:cs="宋体"/>
          <w:color w:val="auto"/>
          <w:szCs w:val="21"/>
          <w:highlight w:val="none"/>
        </w:rPr>
        <w:t xml:space="preserve">(4) </w:t>
      </w:r>
      <w:r>
        <w:rPr>
          <w:rFonts w:hint="eastAsia" w:ascii="宋体" w:hAnsi="宋体" w:cs="宋体"/>
          <w:color w:val="auto"/>
          <w:highlight w:val="none"/>
        </w:rPr>
        <w:t>总价金额与按单价汇总金额不一致的，以单价金额计算结果为准。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pPr>
        <w:pStyle w:val="5"/>
        <w:spacing w:line="360" w:lineRule="auto"/>
        <w:ind w:firstLine="422" w:firstLineChars="200"/>
        <w:rPr>
          <w:rFonts w:ascii="宋体" w:hAnsi="宋体" w:cs="宋体"/>
          <w:color w:val="auto"/>
          <w:sz w:val="21"/>
          <w:szCs w:val="21"/>
          <w:highlight w:val="none"/>
        </w:rPr>
      </w:pPr>
      <w:bookmarkStart w:id="111" w:name="_Toc1312"/>
      <w:bookmarkStart w:id="112" w:name="_Toc27193"/>
      <w:r>
        <w:rPr>
          <w:rFonts w:hint="eastAsia" w:ascii="宋体" w:hAnsi="宋体" w:cs="宋体"/>
          <w:color w:val="auto"/>
          <w:sz w:val="21"/>
          <w:szCs w:val="21"/>
          <w:highlight w:val="none"/>
        </w:rPr>
        <w:t>21. 评审程序及磋商要求</w:t>
      </w:r>
      <w:bookmarkEnd w:id="111"/>
      <w:bookmarkEnd w:id="112"/>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21.1磋商小组成员的通讯工具或相关电子设备交由桂林市公共资源交易中心统一保管后到达评标室，采购代理机构核实磋商小组成员身份，告知回避要求，宣布评审工作纪律和程序，推选磋商小组组长。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21.3 磋商小组依据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 </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21.4.1 查询渠道：《国家企业信用信息公示系统》（网址：www.gsxt.gov.cn/index.html）</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21.4.2 审查流程：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（1）进入《国家企业信用信息公示系统》（网址：www.gsxt.gov.cn/index.html），输入企业名称，进入企业信息主页面；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（2）查看主页“股东及出资信息”栏，或年报中的“股东及出资信息”栏信息；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（3）将各供应商的股东及出资信息进行比对，得出审查结论；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（4）将相关资料作为评审资料打印存档。</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21.5 磋商小组如发现供应商提供的证明文件不齐全或不符合规定格式的，应一次性告知供应商，供应商应在规定的时间内线上补正或更正。</w:t>
      </w:r>
    </w:p>
    <w:p>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21.6 磋商小组在对响应文件的有效性、完整性和响应程度进行审查时，可以要求供应商对响应文件中含义不明确、同类问题表述不一致或者有明显文字和计算错误的内容等作出必要的澄清、说明或者更正。供应商的 澄清、说明或者更正不得超出响应文件的范围或者改变响应文件的实质性内容。澄清、说明或者更正应由其法定代表人或相应的授权委托代表签字（</w:t>
      </w:r>
      <w:r>
        <w:rPr>
          <w:rFonts w:hint="eastAsia" w:ascii="宋体" w:hAnsi="宋体" w:cs="宋体"/>
          <w:color w:val="auto"/>
          <w:highlight w:val="none"/>
        </w:rPr>
        <w:t>个人CA证书签章)</w:t>
      </w:r>
      <w:r>
        <w:rPr>
          <w:rFonts w:hint="eastAsia" w:ascii="宋体" w:hAnsi="宋体" w:cs="宋体"/>
          <w:color w:val="auto"/>
          <w:szCs w:val="21"/>
          <w:highlight w:val="none"/>
        </w:rPr>
        <w:t>或者加盖</w:t>
      </w:r>
      <w:r>
        <w:rPr>
          <w:rFonts w:hint="eastAsia" w:ascii="宋体" w:hAnsi="宋体"/>
          <w:color w:val="auto"/>
          <w:szCs w:val="21"/>
          <w:highlight w:val="none"/>
        </w:rPr>
        <w:t>供应商CA证书签章</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根据磋商文件规定的程序、评定成交的标准等事项与实质性响应竞争性磋商文件要求的供应商进行磋商。未实质性响应磋商文件的响应文件按无效处理，磋商小组应当告知有关供应商。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磋商小组所有成员应当按已确定的磋商顺序集中与单一供应商分别进行磋商，并给予所有实质性响应竞争性磋商文件要求的供应商平等的磋商机会。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磋商中，磋商小组不得透露与磋商有关的其他供应商的技术资料、价格和其他信息。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磋商小组对磋商过程和重要磋商内容进行记录，磋商双方在记录上签字确认。 </w:t>
      </w:r>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对磋商文件作出的实质性变动是磋商文件的有效组成部分，磋商小组应当及时通过广西政府采购云平台同时通知所有参加磋商的供应商。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供应商应当按照磋商文件的变动情况和磋商小组的要求重新提交响应文件，并由其法定代表人、负责人、自然人或相应的授权委托代表签字（个人CA证书签章）或者加盖</w:t>
      </w:r>
      <w:r>
        <w:rPr>
          <w:rFonts w:hint="eastAsia" w:ascii="宋体" w:hAnsi="宋体"/>
          <w:color w:val="auto"/>
          <w:szCs w:val="21"/>
          <w:highlight w:val="none"/>
        </w:rPr>
        <w:t>供应商CA证书签章</w:t>
      </w:r>
      <w:r>
        <w:rPr>
          <w:rFonts w:hint="eastAsia" w:ascii="宋体" w:hAnsi="宋体" w:cs="宋体"/>
          <w:color w:val="auto"/>
          <w:szCs w:val="21"/>
          <w:highlight w:val="none"/>
        </w:rPr>
        <w:t xml:space="preserve">。逾时不交的，视同放弃磋商。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21.9 第二轮磋商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磋商小组集中就重新提交的响应文件或磋商小组提出的磋商意见与单一响应供应商分别进行磋商。磋商小组对磋商过程和重要磋商内容进行记录，磋商双方在记录上签字确认（CA证书签章确认）。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磋商后，供应商根据磋商小组统一整理的书面磋商记录要求做出书面承诺，并由其法定代表人或授权代表签字或者加盖公章（CA证书签章）后按时线上提交。</w:t>
      </w:r>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21.10 在采购过程中符合竞争要求的供应商或者报价未超过采购预算的供应商不足 3 家的，采购人或者采购代理机构应当终止竞争性磋商采购活动。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21.11 最后报价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21.11.1 磋商文件能够详细列明采购标的的技术、服务要求的，磋商结束后，磋商小组应当要求所有继续参加磋商的供应商在规定时间内线上提交最后报价，提交最后报价的供应商不得少于 3 家。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 xml:space="preserve">21.11.3 根据《财政部关于政府采购竞争性磋商采购方式管理暂行办法有关问题的补充通知》(财库〔2014〕214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21.11.4 根据《政府采购竞争性磋商采购方式管理暂行办法》(财库〔2014〕214 号)的规定：</w:t>
      </w:r>
      <w:r>
        <w:rPr>
          <w:rFonts w:hint="eastAsia" w:ascii="宋体" w:hAnsi="宋体" w:cs="宋体"/>
          <w:b/>
          <w:bCs/>
          <w:color w:val="auto"/>
          <w:szCs w:val="21"/>
          <w:highlight w:val="none"/>
        </w:rPr>
        <w:t xml:space="preserve">最后报价是供应商响应文件的有效组成部分。 </w:t>
      </w:r>
      <w:r>
        <w:rPr>
          <w:rFonts w:hint="eastAsia" w:ascii="宋体" w:hAnsi="宋体" w:cs="宋体"/>
          <w:color w:val="auto"/>
          <w:szCs w:val="21"/>
          <w:highlight w:val="none"/>
        </w:rPr>
        <w:t>符合本办法(财库〔2014〕214号)第三条第四项情形的，提交最后报价的供应商可以为2家。</w:t>
      </w:r>
      <w:r>
        <w:rPr>
          <w:rFonts w:hint="eastAsia" w:ascii="宋体" w:hAnsi="宋体" w:cs="宋体"/>
          <w:b/>
          <w:bCs/>
          <w:color w:val="auto"/>
          <w:szCs w:val="21"/>
          <w:highlight w:val="none"/>
        </w:rPr>
        <w:t>（财库〔2014〕214号文第三条第四项：市场竞争不充分的科研项目，以及需要扶持的科技成果转化项目。）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21.12 已提交响应文件的供应商，在提交最后报价之前，可以根据磋商情况书面退出磋商。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未书面退出磋商的供应商在规定时间内线上提交最后报价，其最后报价超出采购预算导致已通过评审的响应文件无效的，按供应商在提交响应文件截止时间后撤回响应文件处理。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21.13 评审报告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磋商小组应当从质量和服务均能满足磋商文件全部实质性响应要求的供应商中，按照最后综合得分由高到低的顺序提出 3 名以上（含 3 名）成交候选人，并编写评审报告。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21.14 在评审过程中出现法律法规和磋商文件均没有明确规定的情形时，由磋商小组现场协商解决，协商不一致的，由全体磋商小组投票表决，以得票率二分之一以上磋商小组成员的意见为准。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21.15 采购代理机构发现磋商小组有明显的违规倾向或歧视现象，或不按评审办法进行，或其他不正常行为的，应当及时制止。如制止无效，应及时向桂林市财政局报告。</w:t>
      </w:r>
    </w:p>
    <w:p>
      <w:pPr>
        <w:spacing w:line="360" w:lineRule="auto"/>
        <w:ind w:firstLine="420" w:firstLineChars="200"/>
        <w:rPr>
          <w:rFonts w:ascii="宋体" w:hAnsi="宋体" w:cs="宋体"/>
          <w:b/>
          <w:bCs/>
          <w:color w:val="auto"/>
          <w:highlight w:val="none"/>
        </w:rPr>
      </w:pPr>
      <w:r>
        <w:rPr>
          <w:rFonts w:hint="eastAsia" w:ascii="宋体" w:hAnsi="宋体" w:cs="宋体"/>
          <w:color w:val="auto"/>
          <w:szCs w:val="21"/>
          <w:highlight w:val="none"/>
        </w:rPr>
        <w:t>21.16 本采购项目的评审依据为竞争性磋商文件和竞争性磋商响应文件，采用的评审方法为</w:t>
      </w:r>
      <w:r>
        <w:rPr>
          <w:rFonts w:hint="eastAsia" w:ascii="宋体" w:hAnsi="宋体" w:cs="宋体"/>
          <w:b/>
          <w:bCs/>
          <w:color w:val="auto"/>
          <w:szCs w:val="21"/>
          <w:highlight w:val="none"/>
        </w:rPr>
        <w:t>综合评分法。</w:t>
      </w:r>
    </w:p>
    <w:p>
      <w:pPr>
        <w:spacing w:line="400" w:lineRule="exact"/>
        <w:ind w:firstLine="422" w:firstLineChars="200"/>
        <w:rPr>
          <w:rFonts w:ascii="宋体" w:hAnsi="宋体" w:cs="宋体"/>
          <w:b/>
          <w:bCs/>
          <w:color w:val="auto"/>
          <w:szCs w:val="21"/>
          <w:highlight w:val="none"/>
        </w:rPr>
      </w:pPr>
      <w:bookmarkStart w:id="113" w:name="_Toc2766"/>
      <w:bookmarkStart w:id="114" w:name="_Toc21715"/>
      <w:r>
        <w:rPr>
          <w:rFonts w:hint="eastAsia" w:ascii="宋体" w:hAnsi="宋体" w:cs="宋体"/>
          <w:b/>
          <w:bCs/>
          <w:color w:val="auto"/>
          <w:szCs w:val="21"/>
          <w:highlight w:val="none"/>
        </w:rPr>
        <w:t>22.推荐成交候选供应商原则</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22.1磋商小组应当根据综合评分情况，按照综合得分由高到低顺序推荐成交候选供应商，并编写评审报告。磋商小组根据综合得分由高到低排列次序，若得分相同时，依次按照服务保障</w:t>
      </w:r>
      <w:r>
        <w:rPr>
          <w:rFonts w:hint="eastAsia" w:ascii="宋体" w:hAnsi="宋体" w:cs="宋体"/>
          <w:color w:val="auto"/>
          <w:szCs w:val="21"/>
          <w:highlight w:val="none"/>
          <w:lang w:val="en-US" w:eastAsia="zh-CN"/>
        </w:rPr>
        <w:t>方案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项目实施</w:t>
      </w:r>
      <w:r>
        <w:rPr>
          <w:rFonts w:hint="eastAsia" w:ascii="宋体" w:hAnsi="宋体" w:cs="宋体"/>
          <w:color w:val="auto"/>
          <w:szCs w:val="21"/>
          <w:highlight w:val="none"/>
        </w:rPr>
        <w:t>、服务（技术）响应得分由高到低顺序排列。</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22.2采购单位应当确定磋商小组推荐排名第一的成交候选人为成交供应商。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22.3排名第一的成交候选人放弃成交、因不可抗力提出不能履行合同，或者磋商文件规定应当提交履约保证金而在规定的期限内未能提交的，采购单位可以确定排名第二的成交候选人为成交供应商。</w:t>
      </w:r>
    </w:p>
    <w:p>
      <w:pPr>
        <w:pStyle w:val="1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22.4排名第二的成交候选人因前款规定的同样原因不能签订合同的，采购单位可以确定排名第三的成交候选人为成交供应商。</w:t>
      </w:r>
    </w:p>
    <w:p>
      <w:pPr>
        <w:pStyle w:val="10"/>
        <w:spacing w:line="360" w:lineRule="auto"/>
        <w:ind w:firstLine="420"/>
        <w:rPr>
          <w:rFonts w:ascii="宋体" w:hAnsi="宋体" w:cs="宋体"/>
          <w:b/>
          <w:bCs/>
          <w:color w:val="auto"/>
          <w:szCs w:val="21"/>
          <w:highlight w:val="none"/>
        </w:rPr>
      </w:pPr>
      <w:r>
        <w:rPr>
          <w:rFonts w:hint="eastAsia" w:ascii="宋体" w:hAnsi="宋体" w:cs="宋体"/>
          <w:b/>
          <w:bCs/>
          <w:color w:val="auto"/>
          <w:szCs w:val="21"/>
          <w:highlight w:val="none"/>
        </w:rPr>
        <w:t>23. 属于下列情况之一者，响应文件无效</w:t>
      </w:r>
      <w:bookmarkEnd w:id="113"/>
      <w:bookmarkEnd w:id="114"/>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（1）未按磋商文件规定完整线上提交响应文件或未按规定要求线上签字、签章的；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（2）不具备磋商文件规定的资格要求的；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（3）响应文件未按磋商文件的内容和要求编制，或提供虚假材料的；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（4）响应文件有效期、售后服务承诺不能满足磋商文件要求的；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（5）供应商未就“采购需求”中的所有内容作完整唯一报价的，或报价超出采购预算总金额的；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（6）未在磋商小组规定的时间内提交响应文件(包括最后报价)的；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（7）超越了按照法律法规规定必须获得行政许可或者行政审批的经营范围的；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（8）未满足磋商文件实质性要求的或者响应文件有采购人不能接受的附加条件的；</w:t>
      </w:r>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（9）响应文件实质性要求未做变动，供应商最后报价高于第一次报价的；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（10）不符合法律、法规和磋商文件规定的其他实质性要求和条件的。</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供应商有下列情形之一的视为供应商相互串通磋商，响应文件将被视为无效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（1）不同供应商的响应文件由同一单位或者个人编制；或不同供应商报名的IP地址一致的；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（2）不同供应商委托同一单位或者个人办理磋商事宜；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（4）不同供应商的响应文件异常一致或竞标报价呈规律性差异；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p>
    <w:p>
      <w:pPr>
        <w:pStyle w:val="5"/>
        <w:spacing w:line="360" w:lineRule="auto"/>
        <w:ind w:firstLine="422" w:firstLineChars="200"/>
        <w:rPr>
          <w:rFonts w:ascii="宋体" w:hAnsi="宋体" w:cs="宋体"/>
          <w:color w:val="auto"/>
          <w:sz w:val="21"/>
          <w:szCs w:val="21"/>
          <w:highlight w:val="none"/>
        </w:rPr>
      </w:pPr>
      <w:bookmarkStart w:id="115" w:name="_Toc20770"/>
      <w:bookmarkStart w:id="116" w:name="_Toc5714"/>
      <w:r>
        <w:rPr>
          <w:rFonts w:hint="eastAsia" w:ascii="宋体" w:hAnsi="宋体" w:cs="宋体"/>
          <w:color w:val="auto"/>
          <w:sz w:val="21"/>
          <w:szCs w:val="21"/>
          <w:highlight w:val="none"/>
        </w:rPr>
        <w:t>24. 出现下列情形之一的，采购人或者采购代理机构应当终止竞争性磋商采购活动，发布项目终止公告并说明原因，重新开展采购活动</w:t>
      </w:r>
      <w:bookmarkEnd w:id="115"/>
      <w:bookmarkEnd w:id="116"/>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（1）因情况变化，不再符合规定的竞争性磋商采购方式适用情形的；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（2）出现影响采购公正的违法、违规行为的； </w:t>
      </w:r>
    </w:p>
    <w:p>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（3）在采购过程中符合竞争要求的供应商或者报价未超过采购预算的供应商不足3家的。</w:t>
      </w:r>
      <w:r>
        <w:rPr>
          <w:rFonts w:hint="eastAsia" w:ascii="宋体" w:hAnsi="宋体" w:cs="宋体"/>
          <w:b/>
          <w:bCs/>
          <w:color w:val="auto"/>
          <w:szCs w:val="21"/>
          <w:highlight w:val="none"/>
        </w:rPr>
        <w:t xml:space="preserve">（除财库〔2014〕214 号《政府采购竞争性磋商采购方式管理暂行办法》第二十一条第三款规定的情形外） </w:t>
      </w:r>
    </w:p>
    <w:p>
      <w:pPr>
        <w:pStyle w:val="5"/>
        <w:spacing w:line="360" w:lineRule="auto"/>
        <w:ind w:firstLine="422" w:firstLineChars="200"/>
        <w:rPr>
          <w:rFonts w:ascii="宋体" w:hAnsi="宋体" w:cs="宋体"/>
          <w:color w:val="auto"/>
          <w:sz w:val="21"/>
          <w:szCs w:val="21"/>
          <w:highlight w:val="none"/>
        </w:rPr>
      </w:pPr>
      <w:bookmarkStart w:id="117" w:name="_Toc19105"/>
      <w:bookmarkStart w:id="118" w:name="_Toc32461"/>
      <w:r>
        <w:rPr>
          <w:rFonts w:hint="eastAsia" w:ascii="宋体" w:hAnsi="宋体" w:cs="宋体"/>
          <w:color w:val="auto"/>
          <w:sz w:val="21"/>
          <w:szCs w:val="21"/>
          <w:highlight w:val="none"/>
        </w:rPr>
        <w:t>25. 磋商过程的监控</w:t>
      </w:r>
      <w:bookmarkEnd w:id="117"/>
      <w:bookmarkEnd w:id="118"/>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本项目磋商过程实行全程录音、录像监控，供应商在磋商过程中所进行的试图影响磋商结果的不公正活动，可能导致其磋商被拒绝。</w:t>
      </w:r>
    </w:p>
    <w:p>
      <w:pPr>
        <w:pStyle w:val="5"/>
        <w:numPr>
          <w:ilvl w:val="0"/>
          <w:numId w:val="6"/>
        </w:numPr>
        <w:spacing w:line="360" w:lineRule="auto"/>
        <w:ind w:firstLine="422" w:firstLineChars="200"/>
        <w:rPr>
          <w:rFonts w:ascii="宋体" w:hAnsi="宋体" w:cs="宋体"/>
          <w:color w:val="auto"/>
          <w:sz w:val="21"/>
          <w:szCs w:val="21"/>
          <w:highlight w:val="none"/>
        </w:rPr>
      </w:pPr>
      <w:bookmarkStart w:id="119" w:name="_Toc32457"/>
      <w:bookmarkStart w:id="120" w:name="_Toc14787"/>
      <w:r>
        <w:rPr>
          <w:rFonts w:hint="eastAsia" w:ascii="宋体" w:hAnsi="宋体" w:cs="宋体"/>
          <w:color w:val="auto"/>
          <w:sz w:val="21"/>
          <w:szCs w:val="21"/>
          <w:highlight w:val="none"/>
        </w:rPr>
        <w:t>信用查询</w:t>
      </w:r>
      <w:bookmarkEnd w:id="119"/>
      <w:bookmarkEnd w:id="120"/>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根据《关于做好政府采购有关信用主体标识码登记及在政府采购活动中查询使用信用记录有关问题的通知》（桂财采〔2016〕37号</w:t>
      </w:r>
      <w:r>
        <w:rPr>
          <w:rFonts w:hint="eastAsia"/>
          <w:color w:val="auto"/>
          <w:highlight w:val="none"/>
        </w:rPr>
        <w:t>）</w:t>
      </w:r>
      <w:r>
        <w:rPr>
          <w:rFonts w:hint="eastAsia" w:ascii="宋体" w:hAnsi="宋体" w:cs="宋体"/>
          <w:color w:val="auto"/>
          <w:szCs w:val="21"/>
          <w:highlight w:val="none"/>
        </w:rPr>
        <w:t>，采购代理机构对成交人的成交资格进行信用查询：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（1）查询渠道：“信用中国”网站(www.creditchina.gov.cn)、中国政府采购网(www.ccgp.gov.cn)等；</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（2）查询时间：成交通知书发出前；</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（3）信用信息查询记录和证据留存方式：在查询网站中直接打印查询记录，打印材料作为采购活动资料保存。</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5"/>
        <w:spacing w:line="360" w:lineRule="auto"/>
        <w:ind w:firstLine="422" w:firstLineChars="200"/>
        <w:rPr>
          <w:rFonts w:ascii="宋体" w:hAnsi="宋体" w:cs="宋体"/>
          <w:color w:val="auto"/>
          <w:sz w:val="21"/>
          <w:szCs w:val="21"/>
          <w:highlight w:val="none"/>
        </w:rPr>
      </w:pPr>
      <w:bookmarkStart w:id="121" w:name="_Toc778"/>
      <w:bookmarkStart w:id="122" w:name="_Toc9438"/>
      <w:r>
        <w:rPr>
          <w:rFonts w:hint="eastAsia" w:ascii="宋体" w:hAnsi="宋体" w:cs="宋体"/>
          <w:color w:val="auto"/>
          <w:sz w:val="21"/>
          <w:szCs w:val="21"/>
          <w:highlight w:val="none"/>
        </w:rPr>
        <w:t>27. 成交结果公告及成交通知书</w:t>
      </w:r>
      <w:bookmarkEnd w:id="121"/>
      <w:bookmarkEnd w:id="122"/>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 在发布成交公告的同时，采购代理机构向成交供应商发出成交通知书。成交供应商自接到通知之日起七个工作日内，办理成交通知书领取手续。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 采购代理机构无义务向未成交的供应商解释未成交原因和退还响应文件。</w:t>
      </w:r>
    </w:p>
    <w:p>
      <w:pPr>
        <w:pStyle w:val="3"/>
        <w:spacing w:line="288" w:lineRule="auto"/>
        <w:jc w:val="center"/>
        <w:rPr>
          <w:rFonts w:ascii="宋体" w:hAnsi="宋体" w:cs="宋体"/>
          <w:b/>
          <w:bCs w:val="0"/>
          <w:color w:val="auto"/>
          <w:szCs w:val="28"/>
          <w:highlight w:val="none"/>
        </w:rPr>
      </w:pPr>
      <w:bookmarkStart w:id="123" w:name="_Toc19479"/>
      <w:bookmarkStart w:id="124" w:name="_Toc25593"/>
      <w:r>
        <w:rPr>
          <w:rFonts w:hint="eastAsia" w:ascii="宋体" w:hAnsi="宋体" w:cs="宋体"/>
          <w:b/>
          <w:bCs w:val="0"/>
          <w:color w:val="auto"/>
          <w:szCs w:val="28"/>
          <w:highlight w:val="none"/>
        </w:rPr>
        <w:t>五、签订合同</w:t>
      </w:r>
      <w:bookmarkEnd w:id="123"/>
      <w:bookmarkEnd w:id="124"/>
    </w:p>
    <w:p>
      <w:pPr>
        <w:ind w:firstLine="422" w:firstLineChars="200"/>
        <w:rPr>
          <w:b/>
          <w:bCs/>
          <w:color w:val="auto"/>
          <w:highlight w:val="none"/>
        </w:rPr>
      </w:pPr>
      <w:bookmarkStart w:id="125" w:name="_Toc2100"/>
      <w:bookmarkStart w:id="126" w:name="_Toc26520"/>
      <w:r>
        <w:rPr>
          <w:rFonts w:hint="eastAsia"/>
          <w:b/>
          <w:bCs/>
          <w:color w:val="auto"/>
          <w:highlight w:val="none"/>
        </w:rPr>
        <w:t>28. 履约保证金</w:t>
      </w:r>
      <w:bookmarkEnd w:id="125"/>
      <w:bookmarkEnd w:id="126"/>
      <w:r>
        <w:rPr>
          <w:rFonts w:hint="eastAsia"/>
          <w:b/>
          <w:bCs/>
          <w:color w:val="auto"/>
          <w:highlight w:val="none"/>
        </w:rPr>
        <w:t>：</w:t>
      </w:r>
    </w:p>
    <w:p>
      <w:pPr>
        <w:pStyle w:val="17"/>
        <w:rPr>
          <w:rFonts w:hint="eastAsia" w:eastAsia="宋体"/>
          <w:color w:val="auto"/>
          <w:highlight w:val="none"/>
          <w:lang w:eastAsia="zh-CN"/>
        </w:rPr>
      </w:pPr>
      <w:r>
        <w:rPr>
          <w:rFonts w:hint="eastAsia"/>
          <w:color w:val="auto"/>
          <w:highlight w:val="none"/>
          <w:lang w:val="en-US" w:eastAsia="zh-CN"/>
        </w:rPr>
        <w:t xml:space="preserve">        </w:t>
      </w:r>
      <w:r>
        <w:rPr>
          <w:rFonts w:hint="eastAsia"/>
          <w:color w:val="auto"/>
          <w:sz w:val="21"/>
          <w:szCs w:val="21"/>
          <w:highlight w:val="none"/>
          <w:lang w:eastAsia="zh-CN"/>
        </w:rPr>
        <w:t>无。</w:t>
      </w:r>
    </w:p>
    <w:p>
      <w:pPr>
        <w:ind w:firstLine="422" w:firstLineChars="200"/>
        <w:jc w:val="left"/>
        <w:rPr>
          <w:b/>
          <w:bCs/>
          <w:color w:val="auto"/>
          <w:highlight w:val="none"/>
        </w:rPr>
      </w:pPr>
      <w:bookmarkStart w:id="127" w:name="_Toc1023"/>
      <w:bookmarkStart w:id="128" w:name="_Toc4956"/>
      <w:r>
        <w:rPr>
          <w:rFonts w:hint="eastAsia"/>
          <w:b/>
          <w:bCs/>
          <w:color w:val="auto"/>
          <w:highlight w:val="none"/>
        </w:rPr>
        <w:t>29. 签订合同</w:t>
      </w:r>
      <w:bookmarkEnd w:id="127"/>
      <w:bookmarkEnd w:id="128"/>
    </w:p>
    <w:p>
      <w:pPr>
        <w:spacing w:line="288"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29.1 签订合同时间：成交通知书发出之日起八个工作日内签订合同。成交供应商领取成交通知书后，应按规定与采购人签订合同。</w:t>
      </w:r>
    </w:p>
    <w:p>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（1）成交后不与采购人签订合同的（不可抗力除外）；</w:t>
      </w:r>
    </w:p>
    <w:p>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（2）将成交项目转让给他人，或者在响应文件中未说明，且未经采购人同意，将成交项目分包给他人的；</w:t>
      </w:r>
    </w:p>
    <w:p>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（3）拒绝履行合同义务的。</w:t>
      </w:r>
    </w:p>
    <w:p>
      <w:pPr>
        <w:spacing w:line="288" w:lineRule="auto"/>
        <w:ind w:firstLine="420" w:firstLineChars="200"/>
        <w:rPr>
          <w:rFonts w:ascii="宋体" w:hAnsi="宋体" w:cs="宋体"/>
          <w:color w:val="auto"/>
          <w:highlight w:val="none"/>
        </w:rPr>
      </w:pPr>
      <w:r>
        <w:rPr>
          <w:rFonts w:hint="eastAsia" w:ascii="宋体" w:hAnsi="宋体" w:cs="宋体"/>
          <w:color w:val="auto"/>
          <w:szCs w:val="21"/>
          <w:highlight w:val="none"/>
        </w:rPr>
        <w:t>29.3 合同备案存档：</w:t>
      </w:r>
      <w:r>
        <w:rPr>
          <w:rFonts w:hint="eastAsia" w:ascii="宋体" w:hAnsi="宋体" w:cs="宋体"/>
          <w:color w:val="auto"/>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广西天罡工程项目管理有限公司存档。</w:t>
      </w:r>
    </w:p>
    <w:p>
      <w:pPr>
        <w:pStyle w:val="3"/>
        <w:spacing w:line="288" w:lineRule="auto"/>
        <w:jc w:val="center"/>
        <w:rPr>
          <w:rFonts w:ascii="宋体" w:hAnsi="宋体" w:cs="宋体"/>
          <w:b/>
          <w:bCs w:val="0"/>
          <w:color w:val="auto"/>
          <w:szCs w:val="28"/>
          <w:highlight w:val="none"/>
        </w:rPr>
      </w:pPr>
      <w:bookmarkStart w:id="129" w:name="_Toc24170"/>
      <w:bookmarkStart w:id="130" w:name="_Toc16348"/>
      <w:r>
        <w:rPr>
          <w:rFonts w:hint="eastAsia" w:ascii="宋体" w:hAnsi="宋体" w:cs="宋体"/>
          <w:b/>
          <w:bCs w:val="0"/>
          <w:color w:val="auto"/>
          <w:szCs w:val="28"/>
          <w:highlight w:val="none"/>
        </w:rPr>
        <w:t>六、其他事项</w:t>
      </w:r>
      <w:bookmarkEnd w:id="129"/>
      <w:bookmarkEnd w:id="130"/>
    </w:p>
    <w:p>
      <w:pPr>
        <w:ind w:firstLine="422" w:firstLineChars="200"/>
        <w:rPr>
          <w:b/>
          <w:bCs/>
          <w:color w:val="auto"/>
          <w:highlight w:val="none"/>
        </w:rPr>
      </w:pPr>
      <w:bookmarkStart w:id="131" w:name="_Toc28647"/>
      <w:bookmarkStart w:id="132" w:name="_Toc2872"/>
      <w:r>
        <w:rPr>
          <w:rFonts w:hint="eastAsia"/>
          <w:b/>
          <w:bCs/>
          <w:color w:val="auto"/>
          <w:highlight w:val="none"/>
        </w:rPr>
        <w:t>30. 采购代理服务费</w:t>
      </w:r>
      <w:bookmarkEnd w:id="131"/>
      <w:bookmarkEnd w:id="132"/>
    </w:p>
    <w:p>
      <w:pPr>
        <w:spacing w:line="380" w:lineRule="exact"/>
        <w:ind w:firstLine="420" w:firstLineChars="200"/>
        <w:rPr>
          <w:color w:val="auto"/>
          <w:szCs w:val="21"/>
          <w:highlight w:val="none"/>
        </w:rPr>
      </w:pPr>
      <w:bookmarkStart w:id="133" w:name="_Toc8271"/>
      <w:bookmarkStart w:id="134" w:name="_Toc12374"/>
      <w:r>
        <w:rPr>
          <w:rFonts w:hint="eastAsia" w:ascii="宋体" w:hAnsi="宋体"/>
          <w:color w:val="auto"/>
          <w:szCs w:val="21"/>
          <w:highlight w:val="none"/>
        </w:rPr>
        <w:t>30.1代理服务费：本项目代理服务费按本须知第30.2条“代理服务收费标准”中服务类收费标准计算，由成交供应商在领取成交通知书前，向采购代理机构一次性支付（不足人民币6000元的，按6000元支付）。</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30.2代理服务收费标准：</w:t>
      </w:r>
    </w:p>
    <w:tbl>
      <w:tblPr>
        <w:tblStyle w:val="24"/>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880" w:type="dxa"/>
          </w:tcPr>
          <w:p>
            <w:pPr>
              <w:pStyle w:val="16"/>
              <w:keepNext w:val="0"/>
              <w:keepLines w:val="0"/>
              <w:suppressLineNumbers w:val="0"/>
              <w:spacing w:before="0" w:beforeAutospacing="0" w:after="0" w:afterAutospacing="0" w:line="380" w:lineRule="exact"/>
              <w:ind w:left="25" w:right="0"/>
              <w:rPr>
                <w:rFonts w:hint="eastAsia" w:hAnsi="宋体"/>
                <w:color w:val="auto"/>
                <w:highlight w:val="none"/>
              </w:rPr>
            </w:pPr>
            <w:r>
              <w:rPr>
                <w:rFonts w:hint="eastAsia"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5" name="直线 2"/>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23.35pt;margin-top:0.85pt;height:51.45pt;width:115.25pt;z-index:251660288;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IBUzTWAAAACAEAAA8AAAAAAAAAAQAgAAAAIgAAAGRycy9kb3ducmV2LnhtbFBLAQIUABQAAAAI&#10;AIdO4kAvKvIl7wEAAO4DAAAOAAAAAAAAAAEAIAAAACUBAABkcnMvZTJvRG9jLnhtbFBLBQYAAAAA&#10;BgAGAFkBAACGBQAAAAA=&#10;">
                      <v:fill on="f" focussize="0,0"/>
                      <v:stroke color="#000000" joinstyle="round"/>
                      <v:imagedata o:title=""/>
                      <o:lock v:ext="edit" aspectratio="f"/>
                    </v:line>
                  </w:pict>
                </mc:Fallback>
              </mc:AlternateContent>
            </w:r>
            <w:r>
              <w:rPr>
                <w:rFonts w:hint="eastAsia" w:hAnsi="宋体"/>
                <w:color w:val="auto"/>
                <w:highlight w:val="none"/>
              </w:rPr>
              <w:t>费率           服务类型</w:t>
            </w:r>
          </w:p>
          <w:p>
            <w:pPr>
              <w:pStyle w:val="16"/>
              <w:keepNext w:val="0"/>
              <w:keepLines w:val="0"/>
              <w:suppressLineNumbers w:val="0"/>
              <w:spacing w:before="0" w:beforeAutospacing="0" w:after="0" w:afterAutospacing="0" w:line="380" w:lineRule="exact"/>
              <w:ind w:left="25" w:right="0"/>
              <w:rPr>
                <w:rFonts w:hint="eastAsia" w:hAnsi="宋体"/>
                <w:color w:val="auto"/>
                <w:highlight w:val="none"/>
              </w:rPr>
            </w:pPr>
            <w:r>
              <w:rPr>
                <w:rFonts w:hint="eastAsia" w:hAnsi="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6" name="直线 3"/>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Dq9E1gAAAAgBAAAPAAAAAAAAAAEAIAAAACIAAABkcnMvZG93bnJldi54bWxQSwECFAAU&#10;AAAACACHTuJApTIUgPMBAADuAwAADgAAAAAAAAABACAAAAAlAQAAZHJzL2Uyb0RvYy54bWxQSwUG&#10;AAAAAAYABgBZAQAAigUAAAAA&#10;">
                      <v:fill on="f" focussize="0,0"/>
                      <v:stroke color="#000000" joinstyle="round"/>
                      <v:imagedata o:title=""/>
                      <o:lock v:ext="edit" aspectratio="f"/>
                    </v:line>
                  </w:pict>
                </mc:Fallback>
              </mc:AlternateContent>
            </w:r>
          </w:p>
          <w:p>
            <w:pPr>
              <w:pStyle w:val="16"/>
              <w:keepNext w:val="0"/>
              <w:keepLines w:val="0"/>
              <w:suppressLineNumbers w:val="0"/>
              <w:spacing w:before="0" w:beforeAutospacing="0" w:after="0" w:afterAutospacing="0" w:line="380" w:lineRule="exact"/>
              <w:ind w:left="25" w:right="0"/>
              <w:rPr>
                <w:rFonts w:hint="eastAsia" w:hAnsi="宋体"/>
                <w:color w:val="auto"/>
                <w:highlight w:val="none"/>
              </w:rPr>
            </w:pPr>
            <w:r>
              <w:rPr>
                <w:rFonts w:hint="eastAsia" w:hAnsi="宋体"/>
                <w:color w:val="auto"/>
                <w:highlight w:val="none"/>
              </w:rPr>
              <w:t>成交金额</w:t>
            </w:r>
          </w:p>
        </w:tc>
        <w:tc>
          <w:tcPr>
            <w:tcW w:w="1841" w:type="dxa"/>
            <w:vAlign w:val="center"/>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货物采购</w:t>
            </w:r>
          </w:p>
        </w:tc>
        <w:tc>
          <w:tcPr>
            <w:tcW w:w="1992" w:type="dxa"/>
            <w:vAlign w:val="center"/>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服务采购</w:t>
            </w:r>
          </w:p>
        </w:tc>
        <w:tc>
          <w:tcPr>
            <w:tcW w:w="2293" w:type="dxa"/>
            <w:vAlign w:val="center"/>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pPr>
              <w:pStyle w:val="16"/>
              <w:keepNext w:val="0"/>
              <w:keepLines w:val="0"/>
              <w:suppressLineNumbers w:val="0"/>
              <w:spacing w:before="0" w:beforeAutospacing="0" w:after="0" w:afterAutospacing="0" w:line="380" w:lineRule="exact"/>
              <w:ind w:left="25" w:right="0"/>
              <w:rPr>
                <w:rFonts w:hint="eastAsia" w:hAnsi="宋体"/>
                <w:color w:val="auto"/>
                <w:highlight w:val="none"/>
              </w:rPr>
            </w:pPr>
            <w:r>
              <w:rPr>
                <w:rFonts w:hint="eastAsia" w:hAnsi="宋体"/>
                <w:color w:val="auto"/>
                <w:highlight w:val="none"/>
              </w:rPr>
              <w:t>100万元以下</w:t>
            </w:r>
          </w:p>
        </w:tc>
        <w:tc>
          <w:tcPr>
            <w:tcW w:w="1841" w:type="dxa"/>
          </w:tcPr>
          <w:p>
            <w:pPr>
              <w:pStyle w:val="44"/>
              <w:keepNext w:val="0"/>
              <w:keepLines w:val="0"/>
              <w:suppressLineNumbers w:val="0"/>
              <w:spacing w:before="0" w:beforeAutospacing="0" w:after="0" w:afterAutospacing="0" w:line="380" w:lineRule="exact"/>
              <w:ind w:left="25" w:right="0"/>
              <w:jc w:val="center"/>
              <w:rPr>
                <w:rFonts w:hint="eastAsia" w:ascii="宋体" w:hAnsi="宋体"/>
                <w:color w:val="auto"/>
                <w:highlight w:val="none"/>
              </w:rPr>
            </w:pPr>
            <w:r>
              <w:rPr>
                <w:rFonts w:hint="eastAsia" w:ascii="宋体" w:hAnsi="宋体"/>
                <w:color w:val="auto"/>
                <w:highlight w:val="none"/>
              </w:rPr>
              <w:t>1.5%</w:t>
            </w:r>
          </w:p>
        </w:tc>
        <w:tc>
          <w:tcPr>
            <w:tcW w:w="1992" w:type="dxa"/>
          </w:tcPr>
          <w:p>
            <w:pPr>
              <w:pStyle w:val="44"/>
              <w:keepNext w:val="0"/>
              <w:keepLines w:val="0"/>
              <w:suppressLineNumbers w:val="0"/>
              <w:spacing w:before="0" w:beforeAutospacing="0" w:after="0" w:afterAutospacing="0" w:line="380" w:lineRule="exact"/>
              <w:ind w:left="25" w:right="0"/>
              <w:jc w:val="center"/>
              <w:rPr>
                <w:rFonts w:hint="eastAsia" w:ascii="宋体" w:hAnsi="宋体"/>
                <w:color w:val="auto"/>
                <w:highlight w:val="none"/>
              </w:rPr>
            </w:pPr>
            <w:r>
              <w:rPr>
                <w:rFonts w:hint="eastAsia" w:ascii="宋体" w:hAnsi="宋体"/>
                <w:color w:val="auto"/>
                <w:highlight w:val="none"/>
              </w:rPr>
              <w:t>1.5%</w:t>
            </w:r>
          </w:p>
        </w:tc>
        <w:tc>
          <w:tcPr>
            <w:tcW w:w="2293" w:type="dxa"/>
          </w:tcPr>
          <w:p>
            <w:pPr>
              <w:pStyle w:val="44"/>
              <w:keepNext w:val="0"/>
              <w:keepLines w:val="0"/>
              <w:suppressLineNumbers w:val="0"/>
              <w:spacing w:before="0" w:beforeAutospacing="0" w:after="0" w:afterAutospacing="0" w:line="380" w:lineRule="exact"/>
              <w:ind w:left="25" w:right="0"/>
              <w:jc w:val="center"/>
              <w:rPr>
                <w:rFonts w:hint="eastAsia" w:ascii="宋体" w:hAnsi="宋体"/>
                <w:color w:val="auto"/>
                <w:highlight w:val="none"/>
              </w:rPr>
            </w:pPr>
            <w:r>
              <w:rPr>
                <w:rFonts w:hint="eastAsia" w:ascii="宋体" w:hAnsi="宋体"/>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pPr>
              <w:pStyle w:val="16"/>
              <w:keepNext w:val="0"/>
              <w:keepLines w:val="0"/>
              <w:suppressLineNumbers w:val="0"/>
              <w:spacing w:before="0" w:beforeAutospacing="0" w:after="0" w:afterAutospacing="0" w:line="380" w:lineRule="exact"/>
              <w:ind w:left="25" w:right="0"/>
              <w:rPr>
                <w:rFonts w:hint="eastAsia" w:hAnsi="宋体"/>
                <w:color w:val="auto"/>
                <w:highlight w:val="none"/>
              </w:rPr>
            </w:pPr>
            <w:r>
              <w:rPr>
                <w:rFonts w:hint="eastAsia" w:hAnsi="宋体"/>
                <w:color w:val="auto"/>
                <w:highlight w:val="none"/>
              </w:rPr>
              <w:t>100～500万元</w:t>
            </w:r>
          </w:p>
        </w:tc>
        <w:tc>
          <w:tcPr>
            <w:tcW w:w="1841" w:type="dxa"/>
          </w:tcPr>
          <w:p>
            <w:pPr>
              <w:pStyle w:val="44"/>
              <w:keepNext w:val="0"/>
              <w:keepLines w:val="0"/>
              <w:suppressLineNumbers w:val="0"/>
              <w:spacing w:before="0" w:beforeAutospacing="0" w:after="0" w:afterAutospacing="0" w:line="380" w:lineRule="exact"/>
              <w:ind w:left="25" w:right="0"/>
              <w:jc w:val="center"/>
              <w:rPr>
                <w:rFonts w:hint="eastAsia" w:ascii="宋体" w:hAnsi="宋体"/>
                <w:color w:val="auto"/>
                <w:highlight w:val="none"/>
              </w:rPr>
            </w:pPr>
            <w:r>
              <w:rPr>
                <w:rFonts w:hint="eastAsia" w:ascii="宋体" w:hAnsi="宋体"/>
                <w:color w:val="auto"/>
                <w:highlight w:val="none"/>
              </w:rPr>
              <w:t>1.1%</w:t>
            </w:r>
          </w:p>
        </w:tc>
        <w:tc>
          <w:tcPr>
            <w:tcW w:w="1992" w:type="dxa"/>
          </w:tcPr>
          <w:p>
            <w:pPr>
              <w:pStyle w:val="44"/>
              <w:keepNext w:val="0"/>
              <w:keepLines w:val="0"/>
              <w:suppressLineNumbers w:val="0"/>
              <w:spacing w:before="0" w:beforeAutospacing="0" w:after="0" w:afterAutospacing="0" w:line="380" w:lineRule="exact"/>
              <w:ind w:left="25" w:right="0"/>
              <w:jc w:val="center"/>
              <w:rPr>
                <w:rFonts w:hint="eastAsia" w:ascii="宋体" w:hAnsi="宋体"/>
                <w:color w:val="auto"/>
                <w:highlight w:val="none"/>
              </w:rPr>
            </w:pPr>
            <w:r>
              <w:rPr>
                <w:rFonts w:hint="eastAsia" w:ascii="宋体" w:hAnsi="宋体"/>
                <w:color w:val="auto"/>
                <w:highlight w:val="none"/>
              </w:rPr>
              <w:t>0.8%</w:t>
            </w:r>
          </w:p>
        </w:tc>
        <w:tc>
          <w:tcPr>
            <w:tcW w:w="2293" w:type="dxa"/>
          </w:tcPr>
          <w:p>
            <w:pPr>
              <w:pStyle w:val="44"/>
              <w:keepNext w:val="0"/>
              <w:keepLines w:val="0"/>
              <w:suppressLineNumbers w:val="0"/>
              <w:spacing w:before="0" w:beforeAutospacing="0" w:after="0" w:afterAutospacing="0" w:line="380" w:lineRule="exact"/>
              <w:ind w:left="25" w:right="0"/>
              <w:jc w:val="center"/>
              <w:rPr>
                <w:rFonts w:hint="eastAsia" w:ascii="宋体" w:hAnsi="宋体"/>
                <w:color w:val="auto"/>
                <w:highlight w:val="none"/>
              </w:rPr>
            </w:pPr>
            <w:r>
              <w:rPr>
                <w:rFonts w:hint="eastAsia" w:ascii="宋体" w:hAnsi="宋体"/>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16"/>
              <w:keepNext w:val="0"/>
              <w:keepLines w:val="0"/>
              <w:suppressLineNumbers w:val="0"/>
              <w:spacing w:before="0" w:beforeAutospacing="0" w:after="0" w:afterAutospacing="0" w:line="380" w:lineRule="exact"/>
              <w:ind w:left="25" w:right="0"/>
              <w:rPr>
                <w:rFonts w:hint="eastAsia" w:hAnsi="宋体"/>
                <w:color w:val="auto"/>
                <w:highlight w:val="none"/>
              </w:rPr>
            </w:pPr>
            <w:r>
              <w:rPr>
                <w:rFonts w:hint="eastAsia" w:hAnsi="宋体"/>
                <w:color w:val="auto"/>
                <w:highlight w:val="none"/>
              </w:rPr>
              <w:t>500～1000万元</w:t>
            </w:r>
          </w:p>
        </w:tc>
        <w:tc>
          <w:tcPr>
            <w:tcW w:w="1841" w:type="dxa"/>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0.8%</w:t>
            </w:r>
          </w:p>
        </w:tc>
        <w:tc>
          <w:tcPr>
            <w:tcW w:w="1992" w:type="dxa"/>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0.45%</w:t>
            </w:r>
          </w:p>
        </w:tc>
        <w:tc>
          <w:tcPr>
            <w:tcW w:w="2293" w:type="dxa"/>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16"/>
              <w:keepNext w:val="0"/>
              <w:keepLines w:val="0"/>
              <w:suppressLineNumbers w:val="0"/>
              <w:spacing w:before="0" w:beforeAutospacing="0" w:after="0" w:afterAutospacing="0" w:line="380" w:lineRule="exact"/>
              <w:ind w:left="25" w:right="0"/>
              <w:rPr>
                <w:rFonts w:hint="eastAsia" w:hAnsi="宋体"/>
                <w:color w:val="auto"/>
                <w:highlight w:val="none"/>
              </w:rPr>
            </w:pPr>
            <w:r>
              <w:rPr>
                <w:rFonts w:hint="eastAsia" w:hAnsi="宋体"/>
                <w:color w:val="auto"/>
                <w:highlight w:val="none"/>
              </w:rPr>
              <w:t>1000～5000万元</w:t>
            </w:r>
          </w:p>
        </w:tc>
        <w:tc>
          <w:tcPr>
            <w:tcW w:w="1841" w:type="dxa"/>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0.5%</w:t>
            </w:r>
          </w:p>
        </w:tc>
        <w:tc>
          <w:tcPr>
            <w:tcW w:w="1992" w:type="dxa"/>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0.25%</w:t>
            </w:r>
          </w:p>
        </w:tc>
        <w:tc>
          <w:tcPr>
            <w:tcW w:w="2293" w:type="dxa"/>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16"/>
              <w:keepNext w:val="0"/>
              <w:keepLines w:val="0"/>
              <w:suppressLineNumbers w:val="0"/>
              <w:spacing w:before="0" w:beforeAutospacing="0" w:after="0" w:afterAutospacing="0" w:line="380" w:lineRule="exact"/>
              <w:ind w:left="25" w:right="0"/>
              <w:rPr>
                <w:rFonts w:hint="eastAsia" w:hAnsi="宋体"/>
                <w:color w:val="auto"/>
                <w:highlight w:val="none"/>
              </w:rPr>
            </w:pPr>
            <w:r>
              <w:rPr>
                <w:rFonts w:hint="eastAsia" w:hAnsi="宋体"/>
                <w:color w:val="auto"/>
                <w:highlight w:val="none"/>
              </w:rPr>
              <w:t>5000万元～1亿元</w:t>
            </w:r>
          </w:p>
        </w:tc>
        <w:tc>
          <w:tcPr>
            <w:tcW w:w="1841" w:type="dxa"/>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0.25%</w:t>
            </w:r>
          </w:p>
        </w:tc>
        <w:tc>
          <w:tcPr>
            <w:tcW w:w="1992" w:type="dxa"/>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0.1%</w:t>
            </w:r>
          </w:p>
        </w:tc>
        <w:tc>
          <w:tcPr>
            <w:tcW w:w="2293" w:type="dxa"/>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16"/>
              <w:keepNext w:val="0"/>
              <w:keepLines w:val="0"/>
              <w:suppressLineNumbers w:val="0"/>
              <w:spacing w:before="0" w:beforeAutospacing="0" w:after="0" w:afterAutospacing="0" w:line="380" w:lineRule="exact"/>
              <w:ind w:left="25" w:right="0"/>
              <w:rPr>
                <w:rFonts w:hint="eastAsia" w:hAnsi="宋体"/>
                <w:color w:val="auto"/>
                <w:highlight w:val="none"/>
              </w:rPr>
            </w:pPr>
            <w:r>
              <w:rPr>
                <w:rFonts w:hint="eastAsia" w:hAnsi="宋体"/>
                <w:color w:val="auto"/>
                <w:highlight w:val="none"/>
              </w:rPr>
              <w:t>1～5亿元</w:t>
            </w:r>
          </w:p>
        </w:tc>
        <w:tc>
          <w:tcPr>
            <w:tcW w:w="1841" w:type="dxa"/>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0.05%</w:t>
            </w:r>
          </w:p>
        </w:tc>
        <w:tc>
          <w:tcPr>
            <w:tcW w:w="1992" w:type="dxa"/>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0.05%</w:t>
            </w:r>
          </w:p>
        </w:tc>
        <w:tc>
          <w:tcPr>
            <w:tcW w:w="2293" w:type="dxa"/>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16"/>
              <w:keepNext w:val="0"/>
              <w:keepLines w:val="0"/>
              <w:suppressLineNumbers w:val="0"/>
              <w:spacing w:before="0" w:beforeAutospacing="0" w:after="0" w:afterAutospacing="0" w:line="380" w:lineRule="exact"/>
              <w:ind w:left="25" w:right="0"/>
              <w:rPr>
                <w:rFonts w:hint="eastAsia" w:hAnsi="宋体"/>
                <w:color w:val="auto"/>
                <w:highlight w:val="none"/>
              </w:rPr>
            </w:pPr>
            <w:r>
              <w:rPr>
                <w:rFonts w:hint="eastAsia" w:hAnsi="宋体"/>
                <w:color w:val="auto"/>
                <w:highlight w:val="none"/>
              </w:rPr>
              <w:t>5～10亿元</w:t>
            </w:r>
          </w:p>
        </w:tc>
        <w:tc>
          <w:tcPr>
            <w:tcW w:w="1841" w:type="dxa"/>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0.035%</w:t>
            </w:r>
          </w:p>
        </w:tc>
        <w:tc>
          <w:tcPr>
            <w:tcW w:w="1992" w:type="dxa"/>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0.035%</w:t>
            </w:r>
          </w:p>
        </w:tc>
        <w:tc>
          <w:tcPr>
            <w:tcW w:w="2293" w:type="dxa"/>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16"/>
              <w:keepNext w:val="0"/>
              <w:keepLines w:val="0"/>
              <w:suppressLineNumbers w:val="0"/>
              <w:spacing w:before="0" w:beforeAutospacing="0" w:after="0" w:afterAutospacing="0" w:line="380" w:lineRule="exact"/>
              <w:ind w:left="25" w:right="0"/>
              <w:rPr>
                <w:rFonts w:hint="eastAsia" w:hAnsi="宋体"/>
                <w:color w:val="auto"/>
                <w:highlight w:val="none"/>
              </w:rPr>
            </w:pPr>
            <w:r>
              <w:rPr>
                <w:rFonts w:hint="eastAsia" w:hAnsi="宋体"/>
                <w:color w:val="auto"/>
                <w:highlight w:val="none"/>
              </w:rPr>
              <w:t>10～50亿元</w:t>
            </w:r>
          </w:p>
        </w:tc>
        <w:tc>
          <w:tcPr>
            <w:tcW w:w="1841" w:type="dxa"/>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0.008%</w:t>
            </w:r>
          </w:p>
        </w:tc>
        <w:tc>
          <w:tcPr>
            <w:tcW w:w="1992" w:type="dxa"/>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0.008%</w:t>
            </w:r>
          </w:p>
        </w:tc>
        <w:tc>
          <w:tcPr>
            <w:tcW w:w="2293" w:type="dxa"/>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16"/>
              <w:keepNext w:val="0"/>
              <w:keepLines w:val="0"/>
              <w:suppressLineNumbers w:val="0"/>
              <w:spacing w:before="0" w:beforeAutospacing="0" w:after="0" w:afterAutospacing="0" w:line="380" w:lineRule="exact"/>
              <w:ind w:left="25" w:right="0"/>
              <w:rPr>
                <w:rFonts w:hint="eastAsia" w:hAnsi="宋体"/>
                <w:color w:val="auto"/>
                <w:highlight w:val="none"/>
              </w:rPr>
            </w:pPr>
            <w:r>
              <w:rPr>
                <w:rFonts w:hint="eastAsia" w:hAnsi="宋体"/>
                <w:color w:val="auto"/>
                <w:highlight w:val="none"/>
              </w:rPr>
              <w:t>50～100亿元</w:t>
            </w:r>
          </w:p>
        </w:tc>
        <w:tc>
          <w:tcPr>
            <w:tcW w:w="1841" w:type="dxa"/>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0.006%</w:t>
            </w:r>
          </w:p>
        </w:tc>
        <w:tc>
          <w:tcPr>
            <w:tcW w:w="1992" w:type="dxa"/>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0.006%</w:t>
            </w:r>
          </w:p>
        </w:tc>
        <w:tc>
          <w:tcPr>
            <w:tcW w:w="2293" w:type="dxa"/>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16"/>
              <w:keepNext w:val="0"/>
              <w:keepLines w:val="0"/>
              <w:suppressLineNumbers w:val="0"/>
              <w:spacing w:before="0" w:beforeAutospacing="0" w:after="0" w:afterAutospacing="0" w:line="380" w:lineRule="exact"/>
              <w:ind w:left="25" w:right="0"/>
              <w:rPr>
                <w:rFonts w:hint="eastAsia" w:hAnsi="宋体"/>
                <w:color w:val="auto"/>
                <w:highlight w:val="none"/>
              </w:rPr>
            </w:pPr>
            <w:r>
              <w:rPr>
                <w:rFonts w:hint="eastAsia" w:hAnsi="宋体"/>
                <w:color w:val="auto"/>
                <w:highlight w:val="none"/>
              </w:rPr>
              <w:t>100亿以上</w:t>
            </w:r>
          </w:p>
        </w:tc>
        <w:tc>
          <w:tcPr>
            <w:tcW w:w="1841" w:type="dxa"/>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0.004%</w:t>
            </w:r>
          </w:p>
        </w:tc>
        <w:tc>
          <w:tcPr>
            <w:tcW w:w="1992" w:type="dxa"/>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0.004%</w:t>
            </w:r>
          </w:p>
        </w:tc>
        <w:tc>
          <w:tcPr>
            <w:tcW w:w="2293" w:type="dxa"/>
          </w:tcPr>
          <w:p>
            <w:pPr>
              <w:pStyle w:val="16"/>
              <w:keepNext w:val="0"/>
              <w:keepLines w:val="0"/>
              <w:suppressLineNumbers w:val="0"/>
              <w:spacing w:before="0" w:beforeAutospacing="0" w:after="0" w:afterAutospacing="0" w:line="380" w:lineRule="exact"/>
              <w:ind w:left="25" w:right="0"/>
              <w:jc w:val="center"/>
              <w:rPr>
                <w:rFonts w:hint="eastAsia" w:hAnsi="宋体"/>
                <w:color w:val="auto"/>
                <w:highlight w:val="none"/>
              </w:rPr>
            </w:pPr>
            <w:r>
              <w:rPr>
                <w:rFonts w:hint="eastAsia" w:hAnsi="宋体"/>
                <w:color w:val="auto"/>
                <w:highlight w:val="none"/>
              </w:rPr>
              <w:t>0.004%</w:t>
            </w:r>
          </w:p>
        </w:tc>
      </w:tr>
    </w:tbl>
    <w:p>
      <w:pPr>
        <w:pStyle w:val="16"/>
        <w:spacing w:line="380" w:lineRule="exact"/>
        <w:ind w:left="25"/>
        <w:rPr>
          <w:rFonts w:hAnsi="宋体"/>
          <w:color w:val="auto"/>
          <w:highlight w:val="none"/>
        </w:rPr>
      </w:pPr>
      <w:r>
        <w:rPr>
          <w:rFonts w:hint="eastAsia" w:hAnsi="宋体"/>
          <w:color w:val="auto"/>
          <w:highlight w:val="none"/>
        </w:rPr>
        <w:t>注：代理服务收费按差额定率累进法计算。</w:t>
      </w:r>
    </w:p>
    <w:p>
      <w:pPr>
        <w:spacing w:line="380" w:lineRule="exact"/>
        <w:ind w:firstLine="422" w:firstLineChars="200"/>
        <w:rPr>
          <w:rFonts w:ascii="宋体" w:hAnsi="宋体"/>
          <w:b/>
          <w:color w:val="auto"/>
          <w:highlight w:val="none"/>
        </w:rPr>
      </w:pPr>
      <w:r>
        <w:rPr>
          <w:rFonts w:hint="eastAsia" w:ascii="宋体" w:hAnsi="宋体"/>
          <w:b/>
          <w:color w:val="auto"/>
          <w:highlight w:val="none"/>
        </w:rPr>
        <w:t>采购代理机构银行账户：</w:t>
      </w:r>
    </w:p>
    <w:p>
      <w:pPr>
        <w:spacing w:line="380" w:lineRule="exact"/>
        <w:ind w:firstLine="420" w:firstLineChars="200"/>
        <w:rPr>
          <w:rFonts w:ascii="宋体" w:hAnsi="宋体" w:cs="宋体"/>
          <w:bCs/>
          <w:color w:val="auto"/>
          <w:highlight w:val="none"/>
        </w:rPr>
      </w:pPr>
      <w:r>
        <w:rPr>
          <w:rFonts w:hint="eastAsia" w:ascii="宋体" w:hAnsi="宋体" w:cs="宋体"/>
          <w:bCs/>
          <w:color w:val="auto"/>
          <w:highlight w:val="none"/>
        </w:rPr>
        <w:t>账户名称：广西天罡工程项目管理有限公司</w:t>
      </w:r>
    </w:p>
    <w:p>
      <w:pPr>
        <w:spacing w:line="380" w:lineRule="exact"/>
        <w:ind w:firstLine="420" w:firstLineChars="200"/>
        <w:rPr>
          <w:rFonts w:ascii="宋体" w:hAnsi="宋体" w:cs="宋体"/>
          <w:bCs/>
          <w:color w:val="auto"/>
          <w:highlight w:val="none"/>
        </w:rPr>
      </w:pPr>
      <w:r>
        <w:rPr>
          <w:rFonts w:hint="eastAsia" w:ascii="宋体" w:hAnsi="宋体" w:cs="宋体"/>
          <w:bCs/>
          <w:color w:val="auto"/>
          <w:highlight w:val="none"/>
        </w:rPr>
        <w:t>开户银行：</w:t>
      </w:r>
      <w:r>
        <w:rPr>
          <w:rFonts w:ascii="宋体" w:hAnsi="宋体" w:cs="宋体"/>
          <w:bCs/>
          <w:color w:val="auto"/>
          <w:highlight w:val="none"/>
        </w:rPr>
        <w:t>中国建设银行股份有限公司南宁安吉路支行</w:t>
      </w:r>
    </w:p>
    <w:p>
      <w:pPr>
        <w:rPr>
          <w:color w:val="auto"/>
          <w:highlight w:val="none"/>
        </w:rPr>
      </w:pPr>
      <w:r>
        <w:rPr>
          <w:rFonts w:hint="eastAsia" w:ascii="宋体" w:hAnsi="宋体" w:cs="宋体"/>
          <w:bCs/>
          <w:color w:val="auto"/>
          <w:highlight w:val="none"/>
        </w:rPr>
        <w:t xml:space="preserve">    银行账号：</w:t>
      </w:r>
      <w:r>
        <w:rPr>
          <w:rFonts w:ascii="宋体" w:hAnsi="宋体" w:cs="宋体"/>
          <w:bCs/>
          <w:color w:val="auto"/>
          <w:highlight w:val="none"/>
        </w:rPr>
        <w:t>4505 0160 4771 0966 9988</w:t>
      </w:r>
      <w:r>
        <w:rPr>
          <w:rFonts w:hint="eastAsia" w:hAnsi="宋体"/>
          <w:color w:val="auto"/>
          <w:highlight w:val="none"/>
        </w:rPr>
        <w:t xml:space="preserve">           </w:t>
      </w:r>
    </w:p>
    <w:p>
      <w:pPr>
        <w:numPr>
          <w:ilvl w:val="0"/>
          <w:numId w:val="7"/>
        </w:numPr>
        <w:spacing w:line="288" w:lineRule="auto"/>
        <w:ind w:firstLine="422" w:firstLineChars="200"/>
        <w:rPr>
          <w:color w:val="auto"/>
          <w:highlight w:val="none"/>
        </w:rPr>
      </w:pPr>
      <w:r>
        <w:rPr>
          <w:rStyle w:val="42"/>
          <w:rFonts w:hint="eastAsia" w:ascii="宋体" w:hAnsi="宋体" w:cs="宋体"/>
          <w:color w:val="auto"/>
          <w:sz w:val="21"/>
          <w:szCs w:val="21"/>
          <w:highlight w:val="none"/>
        </w:rPr>
        <w:t>解释权</w:t>
      </w:r>
      <w:bookmarkEnd w:id="133"/>
      <w:bookmarkEnd w:id="134"/>
      <w:r>
        <w:rPr>
          <w:rFonts w:hint="eastAsia" w:ascii="宋体" w:hAnsi="宋体" w:cs="宋体"/>
          <w:color w:val="auto"/>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spacing w:line="360" w:lineRule="exact"/>
        <w:rPr>
          <w:rFonts w:ascii="宋体" w:hAnsi="宋体" w:cs="宋体"/>
          <w:color w:val="auto"/>
          <w:kern w:val="0"/>
          <w:szCs w:val="21"/>
          <w:highlight w:val="none"/>
        </w:rPr>
      </w:pPr>
      <w:bookmarkStart w:id="135" w:name="_Toc24443"/>
      <w:r>
        <w:rPr>
          <w:rStyle w:val="42"/>
          <w:rFonts w:hint="eastAsia" w:ascii="宋体" w:hAnsi="宋体" w:cs="宋体"/>
          <w:color w:val="auto"/>
          <w:sz w:val="21"/>
          <w:szCs w:val="21"/>
          <w:highlight w:val="none"/>
        </w:rPr>
        <w:t xml:space="preserve">    32. 监督管理机构</w:t>
      </w:r>
      <w:bookmarkEnd w:id="135"/>
      <w:r>
        <w:rPr>
          <w:rFonts w:hint="eastAsia" w:ascii="宋体" w:hAnsi="宋体" w:cs="宋体"/>
          <w:color w:val="auto"/>
          <w:szCs w:val="21"/>
          <w:highlight w:val="none"/>
        </w:rPr>
        <w:t>：</w:t>
      </w:r>
      <w:r>
        <w:rPr>
          <w:rFonts w:hint="eastAsia" w:ascii="宋体" w:hAnsi="宋体" w:cs="宋体"/>
          <w:color w:val="auto"/>
          <w:sz w:val="20"/>
          <w:szCs w:val="20"/>
          <w:highlight w:val="none"/>
        </w:rPr>
        <w:t>桂林市政府采购管理办公室</w:t>
      </w:r>
      <w:r>
        <w:rPr>
          <w:rFonts w:hint="eastAsia" w:ascii="宋体" w:hAnsi="宋体" w:cs="宋体"/>
          <w:color w:val="auto"/>
          <w:kern w:val="0"/>
          <w:szCs w:val="21"/>
          <w:highlight w:val="none"/>
        </w:rPr>
        <w:t xml:space="preserve">       联系电话：0773-2862142</w:t>
      </w:r>
    </w:p>
    <w:p>
      <w:pPr>
        <w:pStyle w:val="10"/>
        <w:numPr>
          <w:ilvl w:val="0"/>
          <w:numId w:val="8"/>
        </w:numPr>
        <w:spacing w:line="360" w:lineRule="exact"/>
        <w:ind w:firstLine="422" w:firstLineChars="200"/>
        <w:rPr>
          <w:rFonts w:ascii="宋体" w:hAnsi="宋体" w:cs="宋体"/>
          <w:color w:val="auto"/>
          <w:kern w:val="0"/>
          <w:szCs w:val="21"/>
          <w:highlight w:val="none"/>
        </w:rPr>
      </w:pPr>
      <w:bookmarkStart w:id="136" w:name="_Toc29649"/>
      <w:bookmarkStart w:id="137" w:name="_Toc10892"/>
      <w:r>
        <w:rPr>
          <w:rFonts w:hint="eastAsia" w:ascii="宋体" w:hAnsi="宋体" w:cs="宋体"/>
          <w:b/>
          <w:bCs/>
          <w:color w:val="auto"/>
          <w:kern w:val="0"/>
          <w:szCs w:val="21"/>
          <w:highlight w:val="none"/>
        </w:rPr>
        <w:t>其他：</w:t>
      </w:r>
      <w:r>
        <w:rPr>
          <w:rFonts w:hint="eastAsia" w:ascii="宋体" w:hAnsi="宋体" w:cs="宋体"/>
          <w:color w:val="auto"/>
          <w:kern w:val="0"/>
          <w:szCs w:val="21"/>
          <w:highlight w:val="none"/>
        </w:rPr>
        <w:t>为让政府采购供应商知晓运用政采贷政策，加强政采贷的推广力度，现将《中国人民银行桂林市中心支行桂林市财政局关于转发《中国人民银行南宁中心支行广西壮族自治区财政厅关于推广线上“政采贷”融资模式的通知》的通知》转发。具体内容详见附表。</w:t>
      </w:r>
    </w:p>
    <w:p>
      <w:pPr>
        <w:pStyle w:val="11"/>
        <w:ind w:left="840" w:leftChars="400" w:firstLine="0" w:firstLineChars="0"/>
        <w:rPr>
          <w:color w:val="auto"/>
          <w:highlight w:val="none"/>
        </w:rPr>
      </w:pPr>
    </w:p>
    <w:p>
      <w:pPr>
        <w:pStyle w:val="11"/>
        <w:ind w:left="840" w:leftChars="400" w:firstLine="0" w:firstLineChars="0"/>
        <w:rPr>
          <w:color w:val="auto"/>
          <w:highlight w:val="none"/>
        </w:rPr>
      </w:pPr>
    </w:p>
    <w:p>
      <w:pPr>
        <w:pStyle w:val="11"/>
        <w:ind w:left="840" w:leftChars="400" w:firstLine="0" w:firstLineChars="0"/>
        <w:rPr>
          <w:color w:val="auto"/>
          <w:highlight w:val="none"/>
        </w:rPr>
      </w:pPr>
    </w:p>
    <w:p>
      <w:pPr>
        <w:pStyle w:val="11"/>
        <w:ind w:left="840" w:leftChars="400" w:firstLine="0" w:firstLineChars="0"/>
        <w:rPr>
          <w:color w:val="auto"/>
          <w:highlight w:val="none"/>
        </w:rPr>
      </w:pPr>
    </w:p>
    <w:p>
      <w:pPr>
        <w:pStyle w:val="11"/>
        <w:ind w:left="840" w:leftChars="400" w:firstLine="0" w:firstLineChars="0"/>
        <w:rPr>
          <w:color w:val="auto"/>
          <w:highlight w:val="none"/>
        </w:rPr>
      </w:pPr>
    </w:p>
    <w:p>
      <w:pPr>
        <w:pStyle w:val="11"/>
        <w:ind w:left="840" w:leftChars="400" w:firstLine="0" w:firstLineChars="0"/>
        <w:rPr>
          <w:color w:val="auto"/>
          <w:highlight w:val="none"/>
        </w:rPr>
      </w:pPr>
    </w:p>
    <w:p>
      <w:pPr>
        <w:pStyle w:val="11"/>
        <w:ind w:left="840" w:leftChars="400" w:firstLine="0" w:firstLineChars="0"/>
        <w:rPr>
          <w:color w:val="auto"/>
          <w:highlight w:val="none"/>
        </w:rPr>
      </w:pPr>
    </w:p>
    <w:p>
      <w:pPr>
        <w:pStyle w:val="11"/>
        <w:ind w:left="840" w:leftChars="400" w:firstLine="0" w:firstLineChars="0"/>
        <w:rPr>
          <w:color w:val="auto"/>
          <w:highlight w:val="none"/>
        </w:rPr>
      </w:pPr>
    </w:p>
    <w:p>
      <w:pPr>
        <w:pStyle w:val="11"/>
        <w:ind w:left="840" w:leftChars="400" w:firstLine="0" w:firstLineChars="0"/>
        <w:rPr>
          <w:color w:val="auto"/>
          <w:highlight w:val="none"/>
        </w:rPr>
      </w:pPr>
    </w:p>
    <w:p>
      <w:pPr>
        <w:pStyle w:val="11"/>
        <w:ind w:left="840" w:leftChars="400" w:firstLine="0" w:firstLineChars="0"/>
        <w:rPr>
          <w:color w:val="auto"/>
          <w:highlight w:val="none"/>
        </w:rPr>
      </w:pPr>
    </w:p>
    <w:p>
      <w:pPr>
        <w:pStyle w:val="11"/>
        <w:ind w:left="840" w:leftChars="400" w:firstLine="0" w:firstLineChars="0"/>
        <w:rPr>
          <w:color w:val="auto"/>
          <w:highlight w:val="none"/>
        </w:rPr>
      </w:pPr>
    </w:p>
    <w:p>
      <w:pPr>
        <w:pStyle w:val="11"/>
        <w:ind w:left="840" w:leftChars="400" w:firstLine="0" w:firstLineChars="0"/>
        <w:rPr>
          <w:color w:val="auto"/>
          <w:highlight w:val="none"/>
        </w:rPr>
      </w:pPr>
    </w:p>
    <w:p>
      <w:pPr>
        <w:pStyle w:val="11"/>
        <w:ind w:left="840" w:leftChars="400" w:firstLine="0" w:firstLineChars="0"/>
        <w:rPr>
          <w:color w:val="auto"/>
          <w:highlight w:val="none"/>
        </w:rPr>
      </w:pPr>
    </w:p>
    <w:p>
      <w:pPr>
        <w:pStyle w:val="11"/>
        <w:ind w:left="840" w:leftChars="400" w:firstLine="0" w:firstLineChars="0"/>
        <w:rPr>
          <w:color w:val="auto"/>
          <w:highlight w:val="none"/>
        </w:rPr>
      </w:pPr>
    </w:p>
    <w:p>
      <w:pPr>
        <w:pStyle w:val="11"/>
        <w:ind w:left="840" w:leftChars="400" w:firstLine="0" w:firstLineChars="0"/>
        <w:rPr>
          <w:color w:val="auto"/>
          <w:highlight w:val="none"/>
        </w:rPr>
      </w:pPr>
    </w:p>
    <w:p>
      <w:pPr>
        <w:pStyle w:val="11"/>
        <w:ind w:left="840" w:leftChars="400" w:firstLine="0" w:firstLineChars="0"/>
        <w:rPr>
          <w:color w:val="auto"/>
          <w:highlight w:val="none"/>
        </w:rPr>
      </w:pPr>
    </w:p>
    <w:p>
      <w:pPr>
        <w:pStyle w:val="11"/>
        <w:ind w:left="0" w:leftChars="0" w:firstLine="0" w:firstLineChars="0"/>
        <w:rPr>
          <w:color w:val="auto"/>
          <w:highlight w:val="none"/>
        </w:rPr>
      </w:pPr>
    </w:p>
    <w:p>
      <w:pPr>
        <w:pStyle w:val="2"/>
        <w:jc w:val="both"/>
        <w:rPr>
          <w:color w:val="auto"/>
          <w:highlight w:val="none"/>
        </w:rPr>
      </w:pPr>
      <w:r>
        <w:rPr>
          <w:color w:val="auto"/>
          <w:highlight w:val="none"/>
        </w:rPr>
        <w:drawing>
          <wp:anchor distT="0" distB="0" distL="114300" distR="114300" simplePos="0" relativeHeight="251662336" behindDoc="0" locked="0" layoutInCell="1" allowOverlap="1">
            <wp:simplePos x="0" y="0"/>
            <wp:positionH relativeFrom="column">
              <wp:posOffset>-207010</wp:posOffset>
            </wp:positionH>
            <wp:positionV relativeFrom="paragraph">
              <wp:posOffset>65405</wp:posOffset>
            </wp:positionV>
            <wp:extent cx="6113780" cy="6652895"/>
            <wp:effectExtent l="0" t="0" r="1270" b="14605"/>
            <wp:wrapNone/>
            <wp:docPr id="10"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29"/>
                    <pic:cNvPicPr>
                      <a:picLocks noChangeAspect="1"/>
                    </pic:cNvPicPr>
                  </pic:nvPicPr>
                  <pic:blipFill>
                    <a:blip r:embed="rId9" cstate="print"/>
                    <a:stretch>
                      <a:fillRect/>
                    </a:stretch>
                  </pic:blipFill>
                  <pic:spPr>
                    <a:xfrm>
                      <a:off x="0" y="0"/>
                      <a:ext cx="6113780" cy="6652895"/>
                    </a:xfrm>
                    <a:prstGeom prst="rect">
                      <a:avLst/>
                    </a:prstGeom>
                    <a:noFill/>
                    <a:ln w="9525">
                      <a:noFill/>
                      <a:miter/>
                    </a:ln>
                  </pic:spPr>
                </pic:pic>
              </a:graphicData>
            </a:graphic>
          </wp:anchor>
        </w:drawing>
      </w:r>
    </w:p>
    <w:p>
      <w:pPr>
        <w:rPr>
          <w:color w:val="auto"/>
          <w:highlight w:val="none"/>
        </w:rPr>
      </w:pPr>
    </w:p>
    <w:p>
      <w:pPr>
        <w:pStyle w:val="17"/>
        <w:rPr>
          <w:color w:val="auto"/>
          <w:highlight w:val="none"/>
        </w:rPr>
      </w:pPr>
    </w:p>
    <w:p>
      <w:pPr>
        <w:pStyle w:val="17"/>
        <w:rPr>
          <w:color w:val="auto"/>
          <w:highlight w:val="none"/>
        </w:rPr>
      </w:pPr>
    </w:p>
    <w:p>
      <w:pPr>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jc w:val="both"/>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rPr>
          <w:color w:val="auto"/>
          <w:highlight w:val="none"/>
        </w:rPr>
      </w:pPr>
    </w:p>
    <w:p>
      <w:pPr>
        <w:pStyle w:val="2"/>
        <w:numPr>
          <w:ilvl w:val="0"/>
          <w:numId w:val="9"/>
        </w:numPr>
        <w:rPr>
          <w:color w:val="auto"/>
          <w:highlight w:val="none"/>
        </w:rPr>
      </w:pPr>
      <w:bookmarkStart w:id="138" w:name="_Toc22353"/>
      <w:bookmarkStart w:id="139" w:name="_Toc24601"/>
      <w:r>
        <w:rPr>
          <w:rFonts w:hint="eastAsia"/>
          <w:color w:val="auto"/>
          <w:highlight w:val="none"/>
        </w:rPr>
        <w:t>采购需求</w:t>
      </w:r>
      <w:bookmarkEnd w:id="136"/>
      <w:bookmarkEnd w:id="137"/>
      <w:bookmarkEnd w:id="138"/>
      <w:bookmarkEnd w:id="139"/>
    </w:p>
    <w:p>
      <w:pPr>
        <w:adjustRightInd w:val="0"/>
        <w:snapToGrid w:val="0"/>
        <w:spacing w:line="400" w:lineRule="exact"/>
        <w:rPr>
          <w:rFonts w:ascii="宋体" w:hAnsi="宋体" w:cs="宋体"/>
          <w:b/>
          <w:bCs/>
          <w:color w:val="auto"/>
          <w:kern w:val="0"/>
          <w:szCs w:val="21"/>
          <w:highlight w:val="none"/>
        </w:rPr>
      </w:pPr>
      <w:bookmarkStart w:id="140" w:name="_Toc28234"/>
      <w:bookmarkStart w:id="141" w:name="_Toc520975384"/>
      <w:bookmarkStart w:id="142" w:name="_Toc520975245"/>
      <w:bookmarkStart w:id="143" w:name="_Toc515350297"/>
      <w:bookmarkStart w:id="144" w:name="_Toc520972654"/>
      <w:bookmarkStart w:id="145" w:name="_Toc1018"/>
      <w:bookmarkStart w:id="146" w:name="_Toc24716"/>
      <w:r>
        <w:rPr>
          <w:rFonts w:hint="eastAsia" w:ascii="宋体" w:hAnsi="宋体" w:cs="宋体"/>
          <w:b/>
          <w:bCs/>
          <w:color w:val="auto"/>
          <w:kern w:val="0"/>
          <w:szCs w:val="21"/>
          <w:highlight w:val="none"/>
        </w:rPr>
        <w:t xml:space="preserve">    本项目所要执行的政府采购政策：</w:t>
      </w:r>
    </w:p>
    <w:p>
      <w:pPr>
        <w:adjustRightInd w:val="0"/>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1、根据《政府采购促进中小企业发展办法》（财库[2020]46号），供应商认定为小型和微型企业且所提供的服务均为小型、微型企业服务的，供应商最后报价给予20%的扣除。</w:t>
      </w:r>
      <w:r>
        <w:rPr>
          <w:rFonts w:hint="eastAsia" w:ascii="宋体" w:hAnsi="宋体" w:cs="宋体"/>
          <w:color w:val="auto"/>
          <w:spacing w:val="-8"/>
          <w:szCs w:val="21"/>
          <w:highlight w:val="none"/>
        </w:rPr>
        <w:t>本项目非专门面向中小微企业采购。</w:t>
      </w:r>
    </w:p>
    <w:p>
      <w:pPr>
        <w:adjustRightInd w:val="0"/>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2、根据财政部、司法部关于政府采购支持监狱企业发展有关问题的通知（财库[2014]68号），监狱企业视同小型、微型企业，享受预留份额、评审中价格扣除等政府采购政策。</w:t>
      </w:r>
    </w:p>
    <w:p>
      <w:pPr>
        <w:adjustRightInd w:val="0"/>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adjustRightInd w:val="0"/>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4、优先采购环境标志产品、节能产品。</w:t>
      </w:r>
    </w:p>
    <w:p>
      <w:pPr>
        <w:spacing w:line="40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 xml:space="preserve"> 5、政府采购支持采用本国产品的政策。</w:t>
      </w:r>
    </w:p>
    <w:p>
      <w:pPr>
        <w:pStyle w:val="3"/>
        <w:tabs>
          <w:tab w:val="clear" w:pos="567"/>
        </w:tabs>
        <w:spacing w:line="40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rPr>
        <w:t xml:space="preserve">    </w:t>
      </w:r>
      <w:r>
        <w:rPr>
          <w:rFonts w:hint="eastAsia" w:ascii="宋体" w:hAnsi="宋体" w:cs="宋体"/>
          <w:color w:val="auto"/>
          <w:kern w:val="0"/>
          <w:sz w:val="21"/>
          <w:szCs w:val="21"/>
          <w:highlight w:val="none"/>
        </w:rPr>
        <w:t>6、本项目为服务采购项目，执行相应政府采购政策。</w:t>
      </w:r>
      <w:bookmarkEnd w:id="140"/>
      <w:bookmarkEnd w:id="141"/>
      <w:bookmarkEnd w:id="142"/>
      <w:bookmarkEnd w:id="143"/>
      <w:bookmarkEnd w:id="144"/>
      <w:bookmarkEnd w:id="145"/>
    </w:p>
    <w:p>
      <w:pPr>
        <w:pStyle w:val="3"/>
        <w:tabs>
          <w:tab w:val="clear" w:pos="567"/>
        </w:tabs>
        <w:spacing w:line="400" w:lineRule="exact"/>
        <w:rPr>
          <w:rFonts w:hint="eastAsia" w:ascii="宋体" w:hAnsi="宋体" w:cs="宋体"/>
          <w:b/>
          <w:bCs/>
          <w:color w:val="auto"/>
          <w:sz w:val="21"/>
          <w:szCs w:val="21"/>
          <w:highlight w:val="none"/>
          <w:lang w:val="en-US" w:eastAsia="zh-CN"/>
        </w:rPr>
      </w:pPr>
      <w:r>
        <w:rPr>
          <w:rFonts w:hint="eastAsia" w:ascii="宋体" w:hAnsi="宋体" w:cs="宋体"/>
          <w:b/>
          <w:color w:val="auto"/>
          <w:sz w:val="21"/>
          <w:szCs w:val="21"/>
          <w:highlight w:val="none"/>
          <w:lang w:val="en-US"/>
        </w:rPr>
        <w:t xml:space="preserve"> </w:t>
      </w:r>
      <w:r>
        <w:rPr>
          <w:rFonts w:hint="eastAsia" w:ascii="宋体" w:hAnsi="宋体" w:cs="宋体"/>
          <w:b/>
          <w:color w:val="auto"/>
          <w:sz w:val="21"/>
          <w:szCs w:val="21"/>
          <w:highlight w:val="none"/>
          <w:lang w:val="en-US" w:eastAsia="zh-CN"/>
        </w:rPr>
        <w:t xml:space="preserve">   一</w:t>
      </w:r>
      <w:r>
        <w:rPr>
          <w:rFonts w:hint="eastAsia" w:ascii="宋体" w:hAnsi="宋体" w:cs="宋体"/>
          <w:b/>
          <w:bCs/>
          <w:color w:val="auto"/>
          <w:sz w:val="21"/>
          <w:szCs w:val="21"/>
          <w:highlight w:val="none"/>
          <w:lang w:val="en-US"/>
        </w:rPr>
        <w:t>、</w:t>
      </w:r>
      <w:r>
        <w:rPr>
          <w:rFonts w:hint="eastAsia" w:ascii="宋体" w:hAnsi="宋体" w:cs="宋体"/>
          <w:b/>
          <w:bCs/>
          <w:color w:val="auto"/>
          <w:sz w:val="21"/>
          <w:szCs w:val="21"/>
          <w:highlight w:val="none"/>
          <w:lang w:val="en-US" w:eastAsia="zh-CN"/>
        </w:rPr>
        <w:t>采购需求</w:t>
      </w:r>
    </w:p>
    <w:tbl>
      <w:tblPr>
        <w:tblStyle w:val="24"/>
        <w:tblW w:w="9781" w:type="dxa"/>
        <w:tblInd w:w="-296" w:type="dxa"/>
        <w:tblLayout w:type="fixed"/>
        <w:tblCellMar>
          <w:top w:w="0" w:type="dxa"/>
          <w:left w:w="108" w:type="dxa"/>
          <w:bottom w:w="0" w:type="dxa"/>
          <w:right w:w="108" w:type="dxa"/>
        </w:tblCellMar>
      </w:tblPr>
      <w:tblGrid>
        <w:gridCol w:w="404"/>
        <w:gridCol w:w="2127"/>
        <w:gridCol w:w="5882"/>
        <w:gridCol w:w="638"/>
        <w:gridCol w:w="730"/>
      </w:tblGrid>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序号</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服务</w:t>
            </w:r>
            <w:r>
              <w:rPr>
                <w:rFonts w:hint="eastAsia" w:ascii="宋体" w:hAnsi="宋体" w:cs="宋体"/>
                <w:color w:val="auto"/>
                <w:kern w:val="0"/>
                <w:sz w:val="24"/>
                <w:highlight w:val="none"/>
                <w:lang w:bidi="ar"/>
              </w:rPr>
              <w:t>名称</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b/>
                <w:bCs/>
                <w:color w:val="auto"/>
                <w:sz w:val="24"/>
                <w:highlight w:val="none"/>
              </w:rPr>
              <w:t>服务内容及技术要求</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数量</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单位</w:t>
            </w:r>
          </w:p>
        </w:tc>
      </w:tr>
      <w:tr>
        <w:tblPrEx>
          <w:tblCellMar>
            <w:top w:w="0" w:type="dxa"/>
            <w:left w:w="108" w:type="dxa"/>
            <w:bottom w:w="0" w:type="dxa"/>
            <w:right w:w="108" w:type="dxa"/>
          </w:tblCellMar>
        </w:tblPrEx>
        <w:trPr>
          <w:trHeight w:val="23" w:hRule="atLeast"/>
        </w:trPr>
        <w:tc>
          <w:tcPr>
            <w:tcW w:w="978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1"/>
                <w:numId w:val="0"/>
              </w:numPr>
              <w:suppressLineNumbers w:val="0"/>
              <w:tabs>
                <w:tab w:val="left" w:pos="2053"/>
              </w:tabs>
              <w:spacing w:before="0" w:beforeAutospacing="0" w:after="0" w:afterAutospacing="0" w:line="440" w:lineRule="exact"/>
              <w:ind w:left="0" w:right="0"/>
              <w:jc w:val="left"/>
              <w:textAlignment w:val="center"/>
              <w:rPr>
                <w:rFonts w:hint="eastAsia" w:ascii="宋体" w:hAnsi="宋体" w:eastAsia="宋体" w:cs="宋体"/>
                <w:b/>
                <w:bCs/>
                <w:color w:val="auto"/>
                <w:kern w:val="0"/>
                <w:sz w:val="22"/>
                <w:szCs w:val="22"/>
                <w:highlight w:val="none"/>
                <w:lang w:val="en-US" w:eastAsia="zh-CN" w:bidi="ar"/>
              </w:rPr>
            </w:pPr>
            <w:r>
              <w:rPr>
                <w:rFonts w:hint="eastAsia" w:ascii="宋体" w:hAnsi="宋体" w:cs="宋体"/>
                <w:b/>
                <w:bCs/>
                <w:color w:val="auto"/>
                <w:kern w:val="0"/>
                <w:sz w:val="22"/>
                <w:szCs w:val="22"/>
                <w:highlight w:val="none"/>
                <w:lang w:val="en-US" w:eastAsia="zh-CN" w:bidi="ar"/>
              </w:rPr>
              <w:t>第一部分：软件开发服务</w:t>
            </w:r>
          </w:p>
        </w:tc>
      </w:tr>
      <w:tr>
        <w:tblPrEx>
          <w:tblCellMar>
            <w:top w:w="0" w:type="dxa"/>
            <w:left w:w="108" w:type="dxa"/>
            <w:bottom w:w="0" w:type="dxa"/>
            <w:right w:w="108" w:type="dxa"/>
          </w:tblCellMar>
        </w:tblPrEx>
        <w:trPr>
          <w:trHeight w:val="23" w:hRule="atLeast"/>
        </w:trPr>
        <w:tc>
          <w:tcPr>
            <w:tcW w:w="978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0"/>
              </w:numPr>
              <w:suppressLineNumbers w:val="0"/>
              <w:tabs>
                <w:tab w:val="left" w:pos="2053"/>
              </w:tabs>
              <w:spacing w:before="0" w:beforeAutospacing="0" w:after="0" w:afterAutospacing="0" w:line="440" w:lineRule="exact"/>
              <w:ind w:left="0" w:right="0"/>
              <w:jc w:val="left"/>
              <w:textAlignment w:val="center"/>
              <w:rPr>
                <w:rFonts w:hint="eastAsia" w:ascii="宋体" w:hAnsi="宋体" w:cs="宋体"/>
                <w:color w:val="auto"/>
                <w:kern w:val="0"/>
                <w:sz w:val="24"/>
                <w:highlight w:val="none"/>
                <w:lang w:bidi="ar"/>
              </w:rPr>
            </w:pPr>
            <w:r>
              <w:rPr>
                <w:rFonts w:hint="eastAsia" w:ascii="宋体" w:hAnsi="宋体" w:cs="宋体"/>
                <w:b/>
                <w:bCs/>
                <w:color w:val="auto"/>
                <w:kern w:val="0"/>
                <w:sz w:val="22"/>
                <w:szCs w:val="22"/>
                <w:highlight w:val="none"/>
                <w:lang w:bidi="ar"/>
              </w:rPr>
              <w:t>数据管理中心</w:t>
            </w:r>
            <w:r>
              <w:rPr>
                <w:rFonts w:hint="eastAsia" w:ascii="宋体" w:hAnsi="宋体" w:cs="宋体"/>
                <w:b/>
                <w:bCs/>
                <w:color w:val="auto"/>
                <w:kern w:val="0"/>
                <w:sz w:val="22"/>
                <w:szCs w:val="22"/>
                <w:highlight w:val="none"/>
                <w:lang w:val="en-US" w:eastAsia="zh-CN" w:bidi="ar"/>
              </w:rPr>
              <w:t>服务</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数据标准化处理服务</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一、数据检查</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以人工交互的方式对数学基础的正确性、元数据的规范性、数据类型的齐全性、数据内容的完整性、空间数据分层的规范性、文件数据目录的正确性、数据逻辑的一致性、数据格式的规范性、同层数据几何拓扑关系的正确性、层间数据几何拓扑关系的正确性等进行检查，并出具数据检查报告。</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二、数据完善</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对不完善或存在数据类型不齐全、数据内容不完整、数据逻辑不一致、数据格式不规范、几何拓扑关系不正确等问题进行修正与完善。</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三、格式转换</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对各类空间数据和非空间数据的格式进行规范化转换。</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四、配置图例</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根据需求和相关电子地图图示图例规范，对通过质量检查的空间数据进行分层，对各数据图层进行样式和符号化配置，生成配图文件，以满足不同情况下的数据可视化需要。</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五、服务发布</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根据采的数据库标准、业务需要和工作要求，按照统一的命名方式发布各类地图服务，包括供上级单位使用的地图服务等。</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六、数据提取</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从已有的数据中提取需要的空间图形数据、属性数据及数据库表。</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七、数据过滤</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对数据进行过滤，包括空间数据过滤和非空间数据过滤。空间数据过滤包括图形要素过滤、属性要素过滤、空间基准信息过滤等，过滤方式包括删除、设置不可见、空间变换、用符号代替等。非空间数据过滤包括字段信息过滤、关键内容过滤等，过滤方式包括删除、设置不可见等。</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数据资产管理服务</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一、目录管理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1.1目录树新建：由数据目录维护者根据业务需求，定义目录视图，即创建目录树。创建数据目录树需填写目录树基础信息，包括：目录树名称、目录树描述。</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1.2目录树修改：由数据目录维护者对数据目录树进行修改，包括：目录树名称、目录树描述。</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1.3目录树删除：由数据目录维护者对未关联目录的数据目录树进行删除。</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1.4目录树查询：通过目录树名称、是否已关联目录进行组合查询。</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1.5目录新建：数据目录维护者对数据表打标签，抽象标签集的名称、设置标签之间的关系来形成复杂的数据目录结构。由数据目录维护者创建数据目录基础信息，包括：目录名称、目录树、上级（按照依赖关系）目录、目录描述。</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1.6目录修改：由数据目录维护者对未发布的数据目录进行修改，包括：目录名称、上级（按照依赖关系）目录、目录描述。</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1.7目录删除：由数据目录维护者对未发布的数据目录进行删除。</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1.8资产目录发布：由数据目录维护者对未发布的数据目录进行目录发布，支持批量发布数据目录，需注明：发布原因。数据目录发布成功后可对数据管理中心用户可见。</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1.9资产目录变更：由数据目录维护者对已发布的数据目录进行变更，需注明：变更原因。可变更内容包括：目录名称、上级（按照依赖关系）目录、目录描述。</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1.10目录下架：由数据目录维护者对已发布的数据目录提交下架，需注明：下架原因。下架后的数据目录数据管理中心用户不可见。</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二、资源管理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2.1数据表新建：由数据表发布者创建数据表信息，包括数据表基础信息和数据表明细。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2.2数据表修改：由数据表发布者对未发布的数据表进行修改。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2.3数据表删除：由数据表发布者对未发布的数据表进行删除。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2.4数据表发布：数据表发布指对新建完成未发布的数据表进行发布操作。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2.5数据表变更：由数据表发布者对已发布的数据表进行变更。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2.6数据表下架：由数据表发布者对已发布的数据表进行下架。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2.7关联目录：由数据表发布者对数据表进行目录关联。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2.8实时数据信道：实时数据信道指管理流式数据的通道，作为一种数据资源，对其的管理、访问审批与数据管理中心的数据资源管理一致。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三、资源标签 </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3.1标签类型新建：创建标签类型，填写标签类型基础信息，包括：标签类型名称、标签类型描述。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3.2标签类型修改：对标签类型进行修改，包括：标签类型名称、标签类型描述。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3.3标签类型删除：对未关联标签的标签类型进行删除。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3.4标签类型查询：通过标签类型名称、是否已关联标签 进行组合查询。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3.5标签新建：创建标签，包括：标签名称、选择‘标签类型’、标签描述。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3.6标签修改：对标签进行修改，包括：标签名称、选择‘标签类型’、标签描述。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3.7标签删除：对标签进行删除。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3.8标签查询：通过标签名称、标签类型 进行组合查询。</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数据存储建设服务</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一、基础信息数据库</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1.1机构信息数据集：包括自然保护区基本情况、机构和负责人情况、人员情况、管理情况、人口分布情况数据。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1.2资源信息数据集：包括保护区内土地覆被状况、植被覆盖率、森林资源情况和野生动植物资源情况数据。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二、基础地理信息数据库 </w:t>
            </w:r>
            <w:r>
              <w:rPr>
                <w:rFonts w:hint="eastAsia" w:ascii="宋体" w:hAnsi="宋体" w:cs="宋体"/>
                <w:color w:val="auto"/>
                <w:sz w:val="22"/>
                <w:szCs w:val="22"/>
                <w:highlight w:val="none"/>
              </w:rPr>
              <w:tab/>
            </w:r>
          </w:p>
          <w:p>
            <w:pPr>
              <w:keepNext w:val="0"/>
              <w:keepLines w:val="0"/>
              <w:widowControl/>
              <w:suppressLineNumbers w:val="0"/>
              <w:spacing w:before="0" w:beforeAutospacing="0" w:after="0" w:afterAutospacing="0"/>
              <w:ind w:left="0" w:right="0"/>
              <w:jc w:val="left"/>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 xml:space="preserve">2.1卫星遥感影像数据库：包含自然保护区卫星遥感影像数据。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2.2行政区空间数据集：由行政点与区界图层组成，按照行政区所属类别建立省、地级市、县、乡镇、行政村要素集。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2.3交通线路空间数据集：由道路、巡护步道图层组成，建立名称、类别、宽度、铺装类型属性。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2.4土地资源空间数据集：由耕地、林地、草地、水域、居民用地、工矿用地、未利用地图层组成，建立名称、权属、面积属性信息分析及存储。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2.5地形空间数据集：由等高线、高程点、山峰、河流、湖泊、水库图层信息分析及存储。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2.6功能区划空间数据集：由核心区、缓冲区、实验区、外围保护地带图层组成，建立名称、类别、面积属性信息分析及存储。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2.7基础设施空间数据集：由管理处、管理站（点），界牌（桩）、标示牌，哨卡，防火林带，瞭望塔，救护站，监测站（点）、管辖范围图层组成，建立名称、类别、类型属性信息分析及存储。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2.8野生植物空间数据集：由野生植物分布点和分布范围图层组成，建立名称、类别、类型属性信息分析及存储。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2.9野生动物空间数据集：由野生动物分布点和活动范围图层组成，建立名称、类别、类型属性信息分析及存储。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三、监测数据库 </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3.1植物资源监测数据集：包括森林基本信息监测、林地资源监测、森林植被监测、植物监测数据。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3.2动物监测数据集：包括动物物种基本信息、物种监测数据。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3.3生态系统监测数据集：包括生物多样性监测、气象常规指标、森林土壤指标、森林水文指标监测数据。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3.4灾害监测数据集：包括森林火灾监测、自然保护区有害生物监测、森林气候灾害监测和地质灾害监测数据。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3.5业务管理监测数据集：包括巡护人员管理、安全保卫监测、规划与工程监测数据。安全保卫监测数据主要包括进入保护区的车辆和车牌识别数据信息分析及存储。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四、业务管理数据库 </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4.1资源信息数据集：包括资源资源数据、野生动植物数据（包括标本信息）数据</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 xml:space="preserve">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4.2基础建设管理数据集：包括无线基站坐标、供电设施坐、视频卡口监控设备坐标信息、描述等数据。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4.3政策法规数据：政策法规数据包括国家、部门和地方颁布的自然保护区相关政策、法律、法规、规章等规定文件，也可以是本保护区的岗位责任制、财务、人事等制度数据信息分析及存储。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4.4巡护数据：巡护数据集包括巡护计划数据、巡护日志数据和执法数据：巡护计划：包括巡护路线、巡护计划和巡护日程数据巡护日志：记录每日的巡护情况数据，如发现的动植物，干扰信息等：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4.5巡护事件数据：执法数据：人为和自然灾害等突发事件的管理数据信息分析及存储。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4.6科研开发数据集：包括科研开发规划数据、科研开发计划数据、开发活动或项目的实施和监督数据信息分析及存储。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4.7宣教合作数据集：包括日常业务流程数据、行政管理审批数、用车数据等。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五、办公管理数据库</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包括日常审批业务、公文流转、内外部邮件和各种电子档案资料数据</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 xml:space="preserve">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六、多媒体数据库</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包括保护区景观、自然环境、生物资源、物种资源、保护动植物、保护对象、保护区宣传等图片和视频数据。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七、网站数据库</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包括保护管理规章制度、时事动态、科普知识、巡护技术、生态环境、景观图片等数据信息分析及存储。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八、系统管理数据库</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包括自然保护区管理单位的基本架构、人员基本档案、角色信息、操作日志、系统消息等数据信息分析及存储。</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978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0"/>
              </w:numPr>
              <w:suppressLineNumbers w:val="0"/>
              <w:tabs>
                <w:tab w:val="left" w:pos="2053"/>
              </w:tabs>
              <w:spacing w:before="0" w:beforeAutospacing="0" w:after="0" w:afterAutospacing="0" w:line="440" w:lineRule="exact"/>
              <w:ind w:left="0" w:right="0"/>
              <w:jc w:val="left"/>
              <w:textAlignment w:val="center"/>
              <w:rPr>
                <w:rFonts w:hint="eastAsia"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综合管理应用平台</w:t>
            </w:r>
            <w:r>
              <w:rPr>
                <w:rFonts w:hint="eastAsia" w:ascii="宋体" w:hAnsi="宋体" w:cs="宋体"/>
                <w:b/>
                <w:bCs/>
                <w:color w:val="auto"/>
                <w:kern w:val="0"/>
                <w:sz w:val="22"/>
                <w:szCs w:val="22"/>
                <w:highlight w:val="none"/>
                <w:lang w:val="en-US" w:eastAsia="zh-CN" w:bidi="ar"/>
              </w:rPr>
              <w:t>服务</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leftChars="0" w:right="0" w:firstLine="0" w:firstLineChars="0"/>
              <w:jc w:val="center"/>
              <w:textAlignment w:val="center"/>
              <w:rPr>
                <w:rFonts w:hint="eastAsia" w:ascii="宋体" w:hAnsi="宋体" w:eastAsia="宋体" w:cs="宋体"/>
                <w:color w:val="auto"/>
                <w:sz w:val="22"/>
                <w:szCs w:val="22"/>
                <w:highlight w:val="none"/>
                <w:lang w:eastAsia="zh"/>
              </w:rPr>
            </w:pPr>
            <w:r>
              <w:rPr>
                <w:rFonts w:hint="eastAsia" w:ascii="宋体" w:hAnsi="宋体" w:cs="宋体"/>
                <w:color w:val="auto"/>
                <w:sz w:val="22"/>
                <w:szCs w:val="22"/>
                <w:highlight w:val="none"/>
                <w:lang w:eastAsia="zh"/>
              </w:rPr>
              <w:t>1</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firstLine="0" w:firstLineChars="0"/>
              <w:rPr>
                <w:rFonts w:hint="eastAsia" w:ascii="宋体" w:hAnsi="宋体" w:eastAsia="宋体" w:cs="宋体"/>
                <w:b/>
                <w:bCs/>
                <w:color w:val="auto"/>
                <w:sz w:val="22"/>
                <w:szCs w:val="22"/>
                <w:highlight w:val="none"/>
                <w:lang w:eastAsia="zh"/>
              </w:rPr>
            </w:pPr>
            <w:r>
              <w:rPr>
                <w:rFonts w:hint="eastAsia" w:ascii="宋体" w:hAnsi="宋体" w:cs="宋体"/>
                <w:b/>
                <w:bCs/>
                <w:color w:val="auto"/>
                <w:sz w:val="22"/>
                <w:szCs w:val="22"/>
                <w:highlight w:val="none"/>
                <w:lang w:eastAsia="zh"/>
              </w:rPr>
              <w:t>资源一张图</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firstLine="0" w:firstLineChars="0"/>
              <w:rPr>
                <w:rFonts w:hint="eastAsia" w:ascii="宋体" w:hAnsi="宋体" w:cs="宋体"/>
                <w:color w:val="auto"/>
                <w:sz w:val="22"/>
                <w:szCs w:val="22"/>
                <w:highlight w:val="none"/>
                <w:lang w:eastAsia="zh"/>
              </w:rPr>
            </w:pPr>
            <w:r>
              <w:rPr>
                <w:rFonts w:hint="eastAsia" w:ascii="宋体" w:hAnsi="宋体" w:cs="宋体"/>
                <w:color w:val="auto"/>
                <w:sz w:val="22"/>
                <w:szCs w:val="22"/>
                <w:highlight w:val="none"/>
                <w:lang w:eastAsia="zh"/>
              </w:rPr>
              <w:t>一、基础信息展示</w:t>
            </w:r>
          </w:p>
          <w:p>
            <w:pPr>
              <w:keepNext w:val="0"/>
              <w:keepLines w:val="0"/>
              <w:suppressLineNumbers w:val="0"/>
              <w:spacing w:before="0" w:beforeAutospacing="0" w:after="0" w:afterAutospacing="0"/>
              <w:ind w:left="0" w:leftChars="0" w:right="0" w:firstLine="0" w:firstLineChars="0"/>
              <w:rPr>
                <w:rFonts w:hint="eastAsia" w:ascii="宋体" w:hAnsi="宋体" w:cs="宋体"/>
                <w:color w:val="auto"/>
                <w:sz w:val="22"/>
                <w:szCs w:val="22"/>
                <w:highlight w:val="none"/>
                <w:lang w:eastAsia="zh"/>
              </w:rPr>
            </w:pPr>
            <w:r>
              <w:rPr>
                <w:rFonts w:hint="eastAsia" w:ascii="宋体" w:hAnsi="宋体" w:cs="宋体"/>
                <w:color w:val="auto"/>
                <w:sz w:val="22"/>
                <w:szCs w:val="22"/>
                <w:highlight w:val="none"/>
                <w:lang w:eastAsia="zh"/>
              </w:rPr>
              <w:t xml:space="preserve">基础信息主要包括对保护区的地理信息、环境信息、保护区面积、保护区的主要保护对象（动植物、生态系统），管理处的组织架构。 </w:t>
            </w:r>
          </w:p>
          <w:p>
            <w:pPr>
              <w:keepNext w:val="0"/>
              <w:keepLines w:val="0"/>
              <w:suppressLineNumbers w:val="0"/>
              <w:spacing w:before="0" w:beforeAutospacing="0" w:after="0" w:afterAutospacing="0"/>
              <w:ind w:left="0" w:leftChars="0" w:right="0" w:firstLine="0" w:firstLineChars="0"/>
              <w:rPr>
                <w:rFonts w:hint="eastAsia" w:ascii="宋体" w:hAnsi="宋体" w:cs="宋体"/>
                <w:color w:val="auto"/>
                <w:sz w:val="22"/>
                <w:szCs w:val="22"/>
                <w:highlight w:val="none"/>
                <w:lang w:eastAsia="zh"/>
              </w:rPr>
            </w:pPr>
            <w:r>
              <w:rPr>
                <w:rFonts w:hint="eastAsia" w:ascii="宋体" w:hAnsi="宋体" w:cs="宋体"/>
                <w:color w:val="auto"/>
                <w:sz w:val="22"/>
                <w:szCs w:val="22"/>
                <w:highlight w:val="none"/>
                <w:lang w:eastAsia="zh"/>
              </w:rPr>
              <w:t xml:space="preserve">二、动物资源展示 </w:t>
            </w:r>
          </w:p>
          <w:p>
            <w:pPr>
              <w:keepNext w:val="0"/>
              <w:keepLines w:val="0"/>
              <w:suppressLineNumbers w:val="0"/>
              <w:spacing w:before="0" w:beforeAutospacing="0" w:after="0" w:afterAutospacing="0"/>
              <w:ind w:left="0" w:leftChars="0" w:right="0" w:firstLine="0" w:firstLineChars="0"/>
              <w:rPr>
                <w:rFonts w:hint="eastAsia" w:ascii="宋体" w:hAnsi="宋体" w:cs="宋体"/>
                <w:color w:val="auto"/>
                <w:sz w:val="22"/>
                <w:szCs w:val="22"/>
                <w:highlight w:val="none"/>
                <w:lang w:eastAsia="zh"/>
              </w:rPr>
            </w:pPr>
            <w:r>
              <w:rPr>
                <w:rFonts w:hint="eastAsia" w:ascii="宋体" w:hAnsi="宋体" w:cs="宋体"/>
                <w:color w:val="auto"/>
                <w:sz w:val="22"/>
                <w:szCs w:val="22"/>
                <w:highlight w:val="none"/>
                <w:lang w:eastAsia="zh"/>
              </w:rPr>
              <w:t xml:space="preserve">动物资源模块支持按照时间轴、物种类型进行筛选，物种类型可以支持按照物种分布图、密度分布图、公里网格图等三个图层进行展示。按照物种分布图展示，可以直观反应保护区各类动物的分布位置，结合保护区的地理环境，对物种习性的研究提供数据支撑。  </w:t>
            </w:r>
          </w:p>
          <w:p>
            <w:pPr>
              <w:keepNext w:val="0"/>
              <w:keepLines w:val="0"/>
              <w:suppressLineNumbers w:val="0"/>
              <w:spacing w:before="0" w:beforeAutospacing="0" w:after="0" w:afterAutospacing="0"/>
              <w:ind w:left="0" w:leftChars="0" w:right="0" w:firstLine="0" w:firstLineChars="0"/>
              <w:rPr>
                <w:rFonts w:hint="eastAsia" w:ascii="宋体" w:hAnsi="宋体" w:cs="宋体"/>
                <w:color w:val="auto"/>
                <w:sz w:val="22"/>
                <w:szCs w:val="22"/>
                <w:highlight w:val="none"/>
                <w:lang w:eastAsia="zh"/>
              </w:rPr>
            </w:pPr>
            <w:r>
              <w:rPr>
                <w:rFonts w:hint="eastAsia" w:ascii="宋体" w:hAnsi="宋体" w:cs="宋体"/>
                <w:color w:val="auto"/>
                <w:sz w:val="22"/>
                <w:szCs w:val="22"/>
                <w:highlight w:val="none"/>
                <w:lang w:eastAsia="zh"/>
              </w:rPr>
              <w:t xml:space="preserve">三、植物资源展示 </w:t>
            </w:r>
          </w:p>
          <w:p>
            <w:pPr>
              <w:keepNext w:val="0"/>
              <w:keepLines w:val="0"/>
              <w:suppressLineNumbers w:val="0"/>
              <w:spacing w:before="0" w:beforeAutospacing="0" w:after="0" w:afterAutospacing="0"/>
              <w:ind w:left="0" w:leftChars="0" w:right="0" w:firstLine="0" w:firstLineChars="0"/>
              <w:rPr>
                <w:rFonts w:hint="eastAsia" w:ascii="宋体" w:hAnsi="宋体" w:cs="宋体"/>
                <w:color w:val="auto"/>
                <w:sz w:val="22"/>
                <w:szCs w:val="22"/>
                <w:highlight w:val="none"/>
                <w:lang w:eastAsia="zh"/>
              </w:rPr>
            </w:pPr>
            <w:r>
              <w:rPr>
                <w:rFonts w:hint="eastAsia" w:ascii="宋体" w:hAnsi="宋体" w:cs="宋体"/>
                <w:color w:val="auto"/>
                <w:sz w:val="22"/>
                <w:szCs w:val="22"/>
                <w:highlight w:val="none"/>
                <w:lang w:eastAsia="zh"/>
              </w:rPr>
              <w:t xml:space="preserve">用户可以根据不同分布区查看该区域及其下辖分布区内的植物明细数据统计，系统支持用户查看展示植物的全部信息，并在地图上显示植物分布情况。 </w:t>
            </w:r>
          </w:p>
          <w:p>
            <w:pPr>
              <w:keepNext w:val="0"/>
              <w:keepLines w:val="0"/>
              <w:suppressLineNumbers w:val="0"/>
              <w:spacing w:before="0" w:beforeAutospacing="0" w:after="0" w:afterAutospacing="0"/>
              <w:ind w:left="0" w:leftChars="0" w:right="0" w:firstLine="0" w:firstLineChars="0"/>
              <w:rPr>
                <w:rFonts w:hint="eastAsia" w:ascii="宋体" w:hAnsi="宋体" w:cs="宋体"/>
                <w:color w:val="auto"/>
                <w:sz w:val="22"/>
                <w:szCs w:val="22"/>
                <w:highlight w:val="none"/>
                <w:lang w:eastAsia="zh"/>
              </w:rPr>
            </w:pPr>
            <w:r>
              <w:rPr>
                <w:rFonts w:hint="eastAsia" w:ascii="宋体" w:hAnsi="宋体" w:cs="宋体"/>
                <w:color w:val="auto"/>
                <w:sz w:val="22"/>
                <w:szCs w:val="22"/>
                <w:highlight w:val="none"/>
                <w:lang w:eastAsia="zh"/>
              </w:rPr>
              <w:t xml:space="preserve">四、银杉和重点保护植物展示 </w:t>
            </w:r>
          </w:p>
          <w:p>
            <w:pPr>
              <w:keepNext w:val="0"/>
              <w:keepLines w:val="0"/>
              <w:suppressLineNumbers w:val="0"/>
              <w:spacing w:before="0" w:beforeAutospacing="0" w:after="0" w:afterAutospacing="0"/>
              <w:ind w:left="0" w:leftChars="0" w:right="0" w:firstLine="0" w:firstLineChars="0"/>
              <w:rPr>
                <w:rFonts w:hint="eastAsia" w:ascii="宋体" w:hAnsi="宋体" w:cs="宋体"/>
                <w:color w:val="auto"/>
                <w:sz w:val="22"/>
                <w:szCs w:val="22"/>
                <w:highlight w:val="none"/>
                <w:lang w:eastAsia="zh"/>
              </w:rPr>
            </w:pPr>
            <w:r>
              <w:rPr>
                <w:rFonts w:hint="eastAsia" w:ascii="宋体" w:hAnsi="宋体" w:cs="宋体"/>
                <w:color w:val="auto"/>
                <w:sz w:val="22"/>
                <w:szCs w:val="22"/>
                <w:highlight w:val="none"/>
                <w:lang w:eastAsia="zh"/>
              </w:rPr>
              <w:t xml:space="preserve">系统支持用户查看展示银杉和重点保护植物的全部信息，并在地图上显示银杉和重点保护植物分布情况。 </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leftChars="0" w:right="0" w:firstLine="0" w:firstLineChars="0"/>
              <w:jc w:val="center"/>
              <w:textAlignment w:val="center"/>
              <w:rPr>
                <w:rFonts w:hint="eastAsia" w:ascii="宋体" w:hAnsi="宋体" w:eastAsia="宋体" w:cs="宋体"/>
                <w:color w:val="auto"/>
                <w:sz w:val="24"/>
                <w:highlight w:val="none"/>
                <w:lang w:eastAsia="zh"/>
              </w:rPr>
            </w:pPr>
            <w:r>
              <w:rPr>
                <w:rFonts w:hint="eastAsia" w:ascii="宋体" w:hAnsi="宋体" w:cs="宋体"/>
                <w:color w:val="auto"/>
                <w:sz w:val="24"/>
                <w:highlight w:val="none"/>
                <w:lang w:eastAsia="zh"/>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leftChars="0" w:right="0" w:firstLine="0" w:firstLineChars="0"/>
              <w:jc w:val="center"/>
              <w:textAlignment w:val="center"/>
              <w:rPr>
                <w:rFonts w:hint="eastAsia" w:ascii="宋体" w:hAnsi="宋体" w:eastAsia="宋体" w:cs="宋体"/>
                <w:color w:val="auto"/>
                <w:sz w:val="22"/>
                <w:szCs w:val="22"/>
                <w:highlight w:val="none"/>
                <w:lang w:val="en-US" w:eastAsia="zh"/>
              </w:rPr>
            </w:pPr>
            <w:r>
              <w:rPr>
                <w:rFonts w:hint="eastAsia" w:ascii="宋体" w:hAnsi="宋体" w:cs="宋体"/>
                <w:color w:val="auto"/>
                <w:sz w:val="22"/>
                <w:szCs w:val="22"/>
                <w:highlight w:val="none"/>
                <w:lang w:val="en-US" w:eastAsia="zh"/>
              </w:rPr>
              <w:t>套</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eastAsia="zh"/>
              </w:rPr>
            </w:pPr>
            <w:r>
              <w:rPr>
                <w:rFonts w:hint="eastAsia" w:ascii="宋体" w:hAnsi="宋体" w:cs="宋体"/>
                <w:color w:val="auto"/>
                <w:sz w:val="22"/>
                <w:szCs w:val="22"/>
                <w:highlight w:val="none"/>
                <w:lang w:eastAsia="zh"/>
              </w:rPr>
              <w:t>2</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自然资源管理</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一、</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切换</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系统为用户提供</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切换及森林资源动态可视化功能，用户在选择不同</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区域时，系统能够即时刷新并精确展示所选区域内丰富多样的森林资源及其关联详情，确保森林资源分布、类别、数量等信息随</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变化而同步更新，实现森林资源数据与</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 xml:space="preserve">管理间的互动展示。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二、时间轴</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系统支持用户通过点击时间轴上的某一节点，实现对当前页面的地图加载、专题统计以及统计标签的联动更新。默认情况下，页面会展示当前资源专题下最新年度的数据，并且当前年度的时间轴节点会被选中。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三、森林资源专题统计</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系统提供包含了林地面积、森林面积、森林覆盖率以及森林蓄积量等统计数据的展示。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三、专题详情</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3.1子专题统计图：子专题统计图提供了多种默认统计，涵盖了下一级分布区的各项重要指标，这些统计图能够为用户提供全面的森林资源管理和生态保护数据，帮助用户全面了解和分析各分布区的森林状况和相关信息。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3.2子专题名称点击：通过点击子专题名称，用户可以实现地图的联动加载，显示该子专题的渲染分布情况。当用户再次点击子专题名称时，系统将取消加载该子专题的渲染分布，恢复到默认状态，使用户可以灵活地控制地图显示的内容。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3.3单个类型标签点击：通过点击子专题下的单个类型标签，用户可以实现地图的联动加载，显示该子专题特定类型的渲染分布情况。当用户再次点击相同的类型标签时，系统将取消加载该类型的渲染分布，恢复到默认状态。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3.4分布切换：系统支持用户根据所选分布区进行切换，同时联动查询当前页面的地图加载和统计图表。这意味着当用户选择不同的分布区时，系统将自动更新地图内容和统计图表，以显示所选分布区的相关数据和信息。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3.5时间轴：系统支持用户通过点击时间轴上的特定节点，实现与当前页面地图加载和统计图表的联动更新。当用户点击时间轴上的某一节点时，系统将自动更新当前页面的地图内容和统计图表，以显示所选时间点的相关数据和信息。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3.6专题渲染：系统支持用户在打开子专题详情页时，自动在地图上展示当前分布区内该子专题的渲染分布情况，使用户能够立即了解该专题在该区域的分布情况。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3.7分布区统计图：系统提供以图形形式默认显示下一级分布区的多个指标，包括森林覆盖率、森林资源分布、土地利用分类等。这些统计图表提供了详细的信息，帮助用户了解分布区内各项指标的情况，并支持用户进行数据分析和决策。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3.8分类统计表：系统提供以统计表形式呈现专题分类，主要包括两方面内容：首先，它会统计子专题各子类型的面积及其占比；其次，用户可以通过点击列表中的单条数据，实现多项功能。分布区统计图和年度统计图会加载对应子专题或子类型的渲染分布，分布区统计列表会随着分类统计列表中单条数据的点击而联动更新，显示该子类型在不同分布区的具体统计信息。默认情况下，总计一项会被选中，展示所有子类型的总体统计信息。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3.9分布区统计表：系统提供图表形式默认显示本级及下一级分布区的多个指标。这些统计表提供了详细的数据，帮助用户快速了解分布区内各项指标的情况，并支持用户进行数据对比和分析。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3.10分布区子专题渲染分布：系统支持用户通过点击列表中的单条数据，在地图上切换加载对应分布区子专题的渲染分布。用户可以通过单击列表中的任何一项数据，立即在地图上查看该专题的空间分布情况，以更直观地理解和分析数据。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3.11数据详情列表：系统提供了包含了多个数据字段的数据详情列表展示，其中包括市、县、乡、村、林班、小班、面积（公顷）、地类、优势树种、森林类别、事权等级、龄组、树种、土地权属、工程类别、林地保护等级和林地质量等级等信息。用户可以根据分布区、林班号或小班号进行查询，并且支持展开和收起功能，以便更好地查看和管理数据。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3.12年度统计图：系统支持按年度统计表形式呈现历年的森林面积、森林资源分布、土地利用分类、公益林/商品林、起源、林组、起源和林组、土地权属、土地使用权属、林木所有权属、林木使用权属、工程类别、林地保护等级、林地质量等级、植被覆盖类型、土地退化类型、主体功能区、森林灾害类型、森林灾害等级等信息，帮助用户了解不同年份间这些关键指标的变化趋势。</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eastAsia="zh"/>
              </w:rPr>
            </w:pPr>
            <w:r>
              <w:rPr>
                <w:rFonts w:hint="eastAsia" w:ascii="宋体" w:hAnsi="宋体" w:cs="宋体"/>
                <w:color w:val="auto"/>
                <w:sz w:val="22"/>
                <w:szCs w:val="22"/>
                <w:highlight w:val="none"/>
                <w:lang w:eastAsia="zh"/>
              </w:rPr>
              <w:t>3</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地理信息地图系统</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一、工程管理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管理系统导入的工程数据，包含新建项目、打开项目、保存项目、关闭项目等功能。地图是在工程节点下，用于装载图层的容器，是专题制图、数据展示的主要内容。包含地图新建、地图打开、保存地图、删除地图、属性、导出、重命名等功能。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二、地图浏览</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对地图进行浏览，包含放大、缩小、移动等操作。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三、属性浏览/编辑</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浏览空间数据属性，修改属性值。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四、专题制图</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将综合管理系统导出的矢量数据与森林图斑、小班等矢量数据或遥感影像数据进行叠加，并插入比例尺，指北针，图例等制图表达要素，进行专题制图输出。</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套</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eastAsia="zh"/>
              </w:rPr>
            </w:pPr>
            <w:r>
              <w:rPr>
                <w:rFonts w:hint="eastAsia" w:ascii="宋体" w:hAnsi="宋体" w:cs="宋体"/>
                <w:color w:val="auto"/>
                <w:sz w:val="22"/>
                <w:szCs w:val="22"/>
                <w:highlight w:val="none"/>
                <w:lang w:eastAsia="zh"/>
              </w:rPr>
              <w:t>4</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视频监测管理</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一、实时视频查看</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系统提供了实时的视频信息展示，用户能够即时观看监测区域内的实时情况。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二、监测日历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系统支持用户通过点击日历来查看不同日期的监测信息。用户可以选择特定日期，系统将显示该日期的监测数据，帮助用户了解设备在不同日期的监测情况。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三、视频墙</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系统提供了视频列表展示和设置功能：用户可以在视频墙上查看视频列表，并根据需要自定义视频墙的内容，以展示所需的视频。用户可以管理和浏览视频资源，并根据实际需求调整视频墙的配置。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四、监控查看</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系统提供了多项便捷功能：用户可以实时查看监控视频，进行云台操作，设置预置点和视频巡航，并查看历史视频。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五、监测信息列表</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系统提供了全面的监测数据展示和查看：用户可以在列表中查看抓拍时间、监控名称、入侵类型以及入侵信息等关键信息，快速了解监测情况。同时，用户可以点击列表中的项，系统将在新标签页中打开监测信息详情页面，允许用户深入查看具体的监测信息和相关的报警信息。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六、黑白名单设置</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系统提供了多项便捷操作：用户可以根据入侵类型切换，查看人员入侵和车辆入侵的黑白名单数据；同时，用户可以对黑白名单数据进行增加、删除、修改和查询等操作，并支持导入和导出功能；此外，用户还可以方便地切换查看黑名单数据和白名单数据，以实现灵活管理和监控。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七、视频监测接口管理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支持对接森林防火监测网、野生动植物监测网、保护区巡护网、生态环境功能监测网、旅游管理网相关视频监控设备，支持与大数据局的区视频共享交换平台对接。</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eastAsia="zh"/>
              </w:rPr>
            </w:pPr>
            <w:r>
              <w:rPr>
                <w:rFonts w:hint="eastAsia" w:ascii="宋体" w:hAnsi="宋体" w:cs="宋体"/>
                <w:color w:val="auto"/>
                <w:sz w:val="22"/>
                <w:szCs w:val="22"/>
                <w:highlight w:val="none"/>
                <w:lang w:eastAsia="zh"/>
              </w:rPr>
              <w:t>5</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组织体系管理</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一、组织体系 </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1.1组织体系类型、</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切换：系统具备组织体系类型和</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切换功能，使用户能够根据不同的组织体系类型和</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 xml:space="preserve">展示相关信息。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1.2数据统计：系统支持按照组织体系类型和</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间层级统计本</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及其下属各级</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的数量，并同时汇总统计本</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 xml:space="preserve">及下辖区域中组织体系内人员总数和关联的政策文件数量。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1.3组织体系人员、政策文件切换：系统提供了一个方便的Tab切换功能，让用户可以轻松地在组织体系人员和政策文件之间进行切换。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1.4组织体系人员列表：系统能够精确统计每个</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内部、本</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自身以及下辖所有</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 xml:space="preserve">的组织体系人员总量，为管理者提供全面的人力配置情况概览。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1.5政策文件列表：系统能够精确统计每个</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、本保护区以及下辖</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 xml:space="preserve">的政策文件数量，为管理者提供全面的政策文件情况概览。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1.6组织体系人员详情：提供了详细的组织体系人员详情，包括站长和巡护人员两个主要角色以及其他组织体系人员。针对站长，记录了其个人信息和履职情况。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二、组织体系管理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2.1组织体系类型、</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切换：系统提供了组织体系管理功能，用户可以灵活切换不同的组织体系类型和</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 xml:space="preserve">，以查看相关的数据统计、档案资料、人员信息和政策文件。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2.2数据统计：系统提供根据组织体系类型和</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进行数据统计，涵盖两方面内容：首先，系统能够统计本</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及其下辖</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内不同</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级别的数量。其次，根据选定的组织体系类型和</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，系统还会统计本</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及其下辖</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 xml:space="preserve">的组织体系人员和政策文件的数量。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2.3</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档案+组织体系人员+政策文件切换：系统提供了通过Tab切换功能，方便用户在</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档案、组织体系人员、政策文件之间进行切换。用户可以轻松切换到所需的信息类型，查看</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 xml:space="preserve">的档案信息、组织体系人员的相关资料以及政策文件的内容。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2.4</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档案：系统提供了对</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相关信息的展示和编辑功能。用户可以查看</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的名称、行政区划、</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级别、面积、四至界限、资源概况、管护职责、工作目标、监督电话等详细信息，并浏览</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 xml:space="preserve">的图片和视频资料。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2.5组织体系人员列表：系统提供了对组织体系人员信息的统计和展示功能。用户可以查看</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内、本</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以及下辖</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 xml:space="preserve">的组织体系人员总数。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2.6组织架构增删查操作：系统提供了对组织体系人员进行全面管理的功能，包括新增、删除、编辑、查看和导出。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2.7政策文件列表：系统提供了政策文件列表功能，包括统计</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政策文件的数量以及本</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和下辖</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的政策文件数量。</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2.8政策文件增删预览下载导出：系统提供了政策文件管理功能，用户可以进行新增、删除、预览、下载和导出政策文件的操作。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三、组织架构管理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3.1</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切换：系统提供</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切换功能，用户可以根据选择的</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 xml:space="preserve">来查看对应的组织架构列表。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3.2组织架构列表：系统提供组织架构列表统计展示功能，包括统计</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、本</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和下辖</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的组织架构数量。在组织架构列表中，用户可以查看各个组织架构的名称以及其所属</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 xml:space="preserve">。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3.3组织架构详情：系统提供了自然保护区部门组织架构的详细信息展示功能，包括该组织架构所属的行政区划以及组织架构的部门树结构。用户可以在此模块中全面了解特定组织架构的背景信息，包括其地理位置和部门结构，从而更好地理解和管理该组织架构的运作情况。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3.4组织架构增删查：系统支持用户进行新增、删除和查看组织架构的操作。用户可以通过该模块方便地添加新的组织架构，删除不再需要的组织架构，并查看已有组织架构的详细信息，以便进行管理和调整。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四、考勤管理 </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4.1流程申请：（1）请假申请：部门人员、巡护员需提前通过系统提交请假申请，注明请假类型（如事假、病假、年假等）、请假时间、请假原因等必要信息。支持附上相关证明文件。（2）出差申请：出差部门人员、巡护员需提交出差申请，包括出差目的地、出差时间、出差事由、预计费用等，以便保护区管理中心做好行程安排和费用预算。（3）外出申请：对于临时外出办事的部门人员、巡护员，也需通过系统提交外出申请，说明外出原因、预计返回时间等，以确保工作安排的连续性。</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4.2审批流程：上述各类申请提交后，系统将自动流转至相应的审批人（如直接上级、</w:t>
            </w:r>
            <w:r>
              <w:rPr>
                <w:rFonts w:hint="default" w:ascii="宋体" w:hAnsi="宋体" w:cs="宋体"/>
                <w:color w:val="auto"/>
                <w:sz w:val="22"/>
                <w:szCs w:val="22"/>
                <w:highlight w:val="none"/>
              </w:rPr>
              <w:t>管理站</w:t>
            </w:r>
            <w:r>
              <w:rPr>
                <w:rFonts w:hint="eastAsia" w:ascii="宋体" w:hAnsi="宋体" w:cs="宋体"/>
                <w:color w:val="auto"/>
                <w:sz w:val="22"/>
                <w:szCs w:val="22"/>
                <w:highlight w:val="none"/>
              </w:rPr>
              <w:t xml:space="preserve">站长、办公室等）进行审批。审批人可根据保护区管理中心规定和实际情况，对申请进行同意、拒绝或要求修改等操作。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4.3数据同步与考勤记录：一旦申请获得批准，相关数据将自动同步至考勤模块，更新部门人员、巡护员的考勤状态。部门人员、巡护员和管理人员可随时通过系统查看最新的考勤记录，包括出勤、迟到、早退、请假、出差等详细信息。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4.4考勤数据导出与查询：系统应支持按部门、时间段等条件进行考勤数据的查询与导出。这有助于保护区管理中心进行月度、季度或年度的考勤统计与分析，为绩效考核、人力资源规划等提供有力支持。同时，也方便部门人员、巡护员个人核对考勤记录，确保数据的准确性。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4.5假期管理：管理员可设置假期类型、假期天数。</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eastAsia="zh"/>
              </w:rPr>
            </w:pPr>
            <w:r>
              <w:rPr>
                <w:rFonts w:hint="eastAsia" w:ascii="宋体" w:hAnsi="宋体" w:cs="宋体"/>
                <w:color w:val="auto"/>
                <w:sz w:val="22"/>
                <w:szCs w:val="22"/>
                <w:highlight w:val="none"/>
                <w:lang w:eastAsia="zh"/>
              </w:rPr>
              <w:t>6</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绩效考核</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一、考核指标体系管理 </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1.1新增考核指标体系：用户可以新增新的考核指标体系。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1.2编辑指标项：用户可以编辑现有的考核指标项，包括指标内容、评分标准等。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1.3删除考核指标体系：用户可以删除不再需要的考核指标体系。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1.4编辑新增考核指标体系弹框：用户可以在弹出的编辑界面中进行新增考核指标体系的编辑操作，但被考核对象不支持编辑修改。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二、指标项管理 </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2.1添加一级指标：用户可以添加新的一级指标，包括指标名称、指标描述等信息。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2.2添加子项：用户可以为现有的一级指标添加子项，以进一步细化指标内容。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2.3编辑：用户可以编辑已存在的指标项，包括修改指标名称、指标描述等信息。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2.4删除：用户可以删除不再需要的指标项，包括一级指标和子项。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三、公示管理 </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3.1公示管理：提供考核指标体系公示展示，使其对相关人员可见。用户可以选择要公示的考核指标体系，并设置公示开始日期和公示期限。默认情况下，公示开始日期为当前日期，公示期限为3天。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3.2取消公示：支持用户在考核指标体系处于待公示状态时取消公示，将考核状态更新为指标体系未发布。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3.3发布/取消发布：支持用户对考核指标体系进行发布或取消发布操作</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 xml:space="preserve">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四、考核自评管理 </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4.1考核自评列表：提供详尽记录并展示考核过程各个环节信息的重要工具；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4.2考核自评：提供查看单个评分项的考核评分详情，支持用户进行自评，包括输入自评得分、自评评分说明，以及上传、下载、预览、删除佐证材料。支持上传、下载、预览、删除佐证材料。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4.3自评提交：支持用户完成所有评分项的自评得分录入、自评评分说明编写以及相关佐证材料上传后，系统支持将整个考核自评结果进行提交操作。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五、考核评分管理 </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5.1评分查看：提供多方面的查看操作，包括查看全部被考核对象的评分详情，责任区考核评分详情，以及单个评分项的详细评分情况和相关佐证材料的预览、下载、一键下载功能。此外，还支持导出单个责任区的绩效考核结果汇总表。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5.2提交进度、考核进度：支持通过绩效考核系统查看打分职能部门关联评分项的提交进度，包括已考核指标和全部指标的情况。同时，还可以查看全部评分项指标的考核进度，包括已提交部门和全部部门的情况。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5.3考核评分：支持用户查看被考核责任区的考核评分详情，以及单个评分项的具体考核评分情况。此外，用户还可以进行评分操作，包括输入考核得分、提供评分说明、上传佐证材料，以及对已上传的佐证材料进行下载、预览和删除操作。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5.4提交：系统支持用户在完成所有考核评分工作之后进行统一提交操作。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5.5下发：用户在完成对被考核对象的考核评分并成功提交后，支持对已提交考核评分进行下发。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5.6公布：支持直接对考核结果进行公布，也支持在确认考核评分结束并修改完成后对考核结果进行公布。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5.7导出：提供导出全部被考核责任区绩效考核结果汇总表的功能。支持用户一键生成并导出所有责任区的绩效考核数据。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六、数据统计 </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6.1责任区切换和筛选：用户可以根据需要切换责任区，选择考核年份，并输入考核指标体系名称进行查询。支持查询考核指标体系数量统计和被考核对象数量统计</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 xml:space="preserve">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6.2统计标签：提供考核指标体系数量和被考核对象数量的统计信息。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6.3考核指标体系列表：展示了不同考核指标体系的详细信息，包括考核年份、指标体系名称、平均分、最高分、最低分等。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6.4绩效考核结果统计表：显示了被考核对象的绩效考核结果，包括名次、被考核对象、考核总分、基础项得分、加分、减分、自评总分、考核等次等信息。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6.5统计图：以图表形式展示被考核责任区的考核总分、基础项得分、加分、减分、自评总分等情况。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6.6导出功能：用户可以导出单个责任区的绩效考核结果汇总表，也可以导出当前考核指标体系下全部被考核对象的绩效考核结果汇总表。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6.7查看评分详情：支持查看被考核责任区的评分详情，以及单个评分项的评分详情。</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eastAsia="zh"/>
              </w:rPr>
            </w:pPr>
            <w:r>
              <w:rPr>
                <w:rFonts w:hint="eastAsia" w:ascii="宋体" w:hAnsi="宋体" w:cs="宋体"/>
                <w:color w:val="auto"/>
                <w:sz w:val="22"/>
                <w:szCs w:val="22"/>
                <w:highlight w:val="none"/>
                <w:lang w:eastAsia="zh"/>
              </w:rPr>
              <w:t>7</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物资管理</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一、工作看板 </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1.1待办任务：在系统界面上清晰展示当前用户的待办任务数量，包括“物资档案审核”“物资入库确认”“手工请领审核”“物资退库确认”“物资调拨审核”“物资盘点任务”。用户点击任何一项待办任务，系统能够自动跳转到对应的操作菜单，方便用户直接进行处理。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1.2功能路由：系统界面清晰地呈现对应的菜单功能图标，使用户能够直观地了解各项功能。用户点击相应的功能图标，系统能够迅速跳转到对应的菜单页面，方便用户进行操作。系统根据用户的权限进行判断，只展示用户拥有权限的功能图标，无权限的功能图标不显示，确保用户操作的合规性和安全性。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1.3物资消耗看板：系统提供责任区和日期的选择选项，用户能够根据实际需求灵活选择特定的责任区和具体日期。根据用户选择的责任区和日期，系统准确展示该责任区内仓库的物资消耗总量、物资消耗总价值以及不同物资类型的消耗数量。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1.4库存看板：用户通过选择特定的责任区，系统能够展示该责任区及下属责任区的仓库数量统计情况，包括一级库数量统计、二级库数量统计，同时还能呈现各个级别仓库的库存数量。系统不仅展示整体的统计数据，还会详细列出各个仓库的名称，以及对应的仓库库存物资数量和各个物资类型的库存数量。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1.5业务数据看板：系统提供责任区和日期的选择功能，使用户能够自主确定所需查看的范围。根据用户选择的责任区和日期，系统准确呈现该时间段内仓库的验收物资数量、退货物资数量、盘点任务数量、已完成盘点任务数量以及物资维保次数。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二、基础数据管理 </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2.1物资档案管理：支持包含物资类型切换、物资增删改查导入导出、启用、停用功能。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2.2物资变更记录：支持包含物资类型切换、物资查询、导出。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2.3物资变更审核：（1）物资类型切换：在系统界面中提供物资类型切换的操作模块，包含多种物资类型选项。用户切换物资类型后，系统能够依据所选类型对物资档案数据进行快速筛选，并将筛选结果清晰地展示给用户。（2）查询、导出：系统提供专门的查询界面，用户可以在此输入相关条件来检索物资变更记录。允许用户将查询到的物资变更记录以特定格式（如Excel）导出到本地存储。（3）审核：系统具备对新增物资信息的审核流程，确保新增物资信息的准确性和完整性。对于物资信息的变更请求，系统支持审核操作，以保障变更的合理性和合规性。</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2.4库房管理：（1）列表展示：系统在页面清晰地呈现仓库的列表信息，方便用户快速浏览和获取关键数据。（2）增删改查：系统提供用户输入新仓库信息的入口，确保完整准确地创建新仓库记录。支持用户通过设定条件快速检索所需的仓库信息。允许用户对不再需要或错误的仓库信息进行删除操作。用户能够对已存在的仓库信息进行修改和更新。</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2.5业务参数管理：（1）列表展示：系统在特定页面以列表形式完整呈现所有的系统参数，方便用户直观浏览。（2）编辑、查询：提供查询功能，方便用户快速找到所需的系统参数。允许用户对系统参数进行修改和调整。</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2.6系统字典：（1）编辑、查询：提供查询功能，方便用户快速找到所需的系统参数。允许用户对系统参数进行修改和调整。（2）切换字典名称：系统提供字典名称的切换选项，用户可以轻松选择不同的字典。根据用户切换选择的字典名称，系统实时展示对应的字典信息。（3）新增、导出、编辑：为用户提供添加新字典内容的操作入口和流程，确保能够完整准确地创建新的字典项。支持用户将字典中的数据以指定格式（如Excel）导出到本地存储。（4）启用、停用：系统提供对字典启用和停用的操作选项，用户能够根据实际需求灵活切换字典的状态。当字典被停用后，系统禁止在当前业务操作中使用该字典，但已有的历史数据不受影响。</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三、库存管理数据中心 </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3.1查询库存数据：用户能够通过输入各种条件，如物资名称、仓库位置、库存数量范围、库存日期等，精准地获取所需的库存数据。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3.2导出库存数据：支持将查询到的库存数据以常见的格式（如Excel、CSV等）导出，方便用户进行离线的深入分析、数据共享或存档。</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eastAsia="zh"/>
              </w:rPr>
            </w:pPr>
            <w:r>
              <w:rPr>
                <w:rFonts w:hint="eastAsia" w:ascii="宋体" w:hAnsi="宋体" w:cs="宋体"/>
                <w:color w:val="auto"/>
                <w:sz w:val="22"/>
                <w:szCs w:val="22"/>
                <w:highlight w:val="none"/>
                <w:lang w:eastAsia="zh"/>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任务下发流转管理</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一、任务列表管理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支持查看系统中所有的任务列表，包括待办任务、已发任务、已收任务、待审批、待办理、已办结等分类，并展示文件数量，方便用户快速浏览和查找需要处理的任务，用户从列表中选择一条记录，点击标题可进入任务办理详情页面，可直接对任务事件进行办理、抄清、审核以及流转等。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二、任务创建管理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支持新建各类任务类型，包括阅件、办件、通知、函件等，填写相关内容并提交至系统，进行后续的审批和流转。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三、任务下发</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系统支持阅件、办件任务下发，通过平台填写任务名称，选择任务类型，上传相关材料,选择对应的任务接收单位，进行任务下发。对于任务接收单位，完成任务后进行任务处置反馈信息填报。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四、任务流程管理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支持对任务进行审批，由承办人拟办任务后呈送领导操作，领导可对此份任务进行审批、批示意见等，确保任务办理的合规性和准确性，审批通过后任务可继续流转或办理。支持用户可以在任务流转过程中选择撤回已发送的任务，即取消该任务的流转和处理。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五、任务详情查看</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支持查看系统中的任务详情，包括任务内容、流转路径、审批意见等，方便了解任务的处理情况和历史记录。</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eastAsia="zh"/>
              </w:rPr>
            </w:pPr>
            <w:r>
              <w:rPr>
                <w:rFonts w:hint="eastAsia" w:ascii="宋体" w:hAnsi="宋体" w:cs="宋体"/>
                <w:color w:val="auto"/>
                <w:sz w:val="22"/>
                <w:szCs w:val="22"/>
                <w:highlight w:val="none"/>
                <w:lang w:eastAsia="zh"/>
              </w:rPr>
              <w:t>9</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项目管理</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一、项目档案管理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项目档案管理支持项目、档案、文件等多维度进行查询。根据查询检索结果通过列表、卡片方式展示结果。通过项目、档案、文件层级进行管理、根据用户权限进行维护编辑项目、档案、文件基本属性实现信息的联动关联查看。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二、项目进度管理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项目进度管理实现对项目进行节点拆分，通过里程碑进行大小节点的管理跟进，对每个阶段的资金使用情况，进行详细的录入记录管理，整体把控项目的建设情况，宏观调控项目的优先级，建设过程中的遇到的问题。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三、项目数据录入</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项目数据录入模块具备录入、编辑修改各种档案数据以及完成档案文本与各种电子档案原件的挂接。可完成项目录入、案卷录入、文件录入等工作。录入方式支持人工单录、批量导入。针对固定目录或格式的文件定时扫描入库。所有录入的文件可以按项目、档案、文件等类型纬度分类管理查询。系统提供录入记录，实现录入操作留痕查询。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四、整理编目</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整理编目应具备如下功能：实现未归档的文件、资料、图纸的管理、存储和预归档（分类组卷），并可为用户提供上述未归档文件的检索、查询和利用。支持系统其他功能如公文流转过程中产生的文件，可由办公人员或档案人员先录入到临时整编库中，到一定阶段由档案管理人员进行整理编目，编目后再由临时库转入正式的档案库中，供检索利用。整个编目过程将通过步骤条的方式实现人性化的操作、实现文件展示、分类、整理、编目、入库等步骤实现项目档案文件编目入库。实现临时文件、未归档文件的汇总、管理分类。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五、借阅管理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借阅管理功能实现可借阅的档案文件目录清单，相关系统用户可进行借阅申请、审批操作。系统支持续借、提前归还等功能。所有借阅操作将进行记录。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六、统计报表</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档案管理人员可以打印和统计档案数据，并可以定义统计项和检索条件等。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七、管理设置</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管理设置功能将对整个项目档案管理系统相关功能的进行设置管理，如设置档案的属性因子、档案字典、分类、存放等、支持借阅清单管理设置。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八、回收站</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分类展示已被删除的项目档案文件，对于需要恢复的项目档案文件信息可以进行恢复操作。同时对彻底不需要的数据可以彻底删除，系统留存清册记录。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九、数据统计</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可对系统内相关数据源进行自定义统计分析，生成多种图形报表类型包括，报表查看，根据设置的报表查看权限，查看有权限报表，且报表数据是实时更新统计，报表数据可导出excel。</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978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0"/>
              </w:numPr>
              <w:suppressLineNumbers w:val="0"/>
              <w:tabs>
                <w:tab w:val="left" w:pos="2053"/>
              </w:tabs>
              <w:spacing w:before="0" w:beforeAutospacing="0" w:after="0" w:afterAutospacing="0" w:line="440" w:lineRule="exact"/>
              <w:ind w:left="0" w:right="0"/>
              <w:jc w:val="left"/>
              <w:textAlignment w:val="center"/>
              <w:rPr>
                <w:rFonts w:hint="eastAsia"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科研监测平台</w:t>
            </w:r>
            <w:r>
              <w:rPr>
                <w:rFonts w:hint="eastAsia" w:ascii="宋体" w:hAnsi="宋体" w:cs="宋体"/>
                <w:b/>
                <w:bCs/>
                <w:color w:val="auto"/>
                <w:kern w:val="0"/>
                <w:sz w:val="22"/>
                <w:szCs w:val="22"/>
                <w:highlight w:val="none"/>
                <w:lang w:val="en-US" w:eastAsia="zh-CN" w:bidi="ar"/>
              </w:rPr>
              <w:t>服务</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银杉和重点保护植物监测管理</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一、分布区切换</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用户可以根据不同的分布区查看和管理各自区域内银杉和重点保护植物的</w:t>
            </w:r>
            <w:r>
              <w:rPr>
                <w:rFonts w:hint="eastAsia" w:ascii="宋体" w:hAnsi="宋体" w:cs="宋体"/>
                <w:color w:val="auto"/>
                <w:kern w:val="0"/>
                <w:szCs w:val="21"/>
                <w:highlight w:val="none"/>
              </w:rPr>
              <w:t>查询、筛选、录入、删除和规制的</w:t>
            </w:r>
            <w:r>
              <w:rPr>
                <w:rFonts w:hint="eastAsia" w:ascii="宋体" w:hAnsi="宋体" w:cs="宋体"/>
                <w:color w:val="auto"/>
                <w:sz w:val="22"/>
                <w:szCs w:val="22"/>
                <w:highlight w:val="none"/>
              </w:rPr>
              <w:t xml:space="preserve">统计信息、列表、监测数据。 </w:t>
            </w:r>
          </w:p>
          <w:p>
            <w:pPr>
              <w:keepNext w:val="0"/>
              <w:keepLines w:val="0"/>
              <w:widowControl/>
              <w:suppressLineNumbers w:val="0"/>
              <w:spacing w:before="0" w:beforeAutospacing="0" w:after="0" w:afterAutospacing="0"/>
              <w:ind w:left="0" w:right="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二、银杉和重点保护植物地图分布</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kern w:val="0"/>
                <w:szCs w:val="21"/>
                <w:highlight w:val="none"/>
              </w:rPr>
              <w:t>系统支持用户查看展示银杉和重点保护植物的分布点、分布点植株数量、分布示意图，并在地图上显示银杉和重点保护植物分布情况。</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三、银杉和重点保护植物统计</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kern w:val="0"/>
                <w:szCs w:val="21"/>
                <w:highlight w:val="none"/>
              </w:rPr>
              <w:t>按照保护等级统计当前分布区及其下辖分布区内的银杉和重点保护植物数量、生长状况、生命环境因子、种群结构、生态学因子、威胁因子、生物学特性，森林病虫害感染趋势。统计结果支持联动展示银杉和重点保护植物的统计图表和详细列表。</w:t>
            </w:r>
            <w:r>
              <w:rPr>
                <w:rFonts w:hint="eastAsia" w:ascii="宋体" w:hAnsi="宋体" w:cs="宋体"/>
                <w:color w:val="auto"/>
                <w:sz w:val="22"/>
                <w:szCs w:val="22"/>
                <w:highlight w:val="none"/>
              </w:rPr>
              <w:t xml:space="preserve">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四、银杉和重点保护植物列表</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提供显示银杉和重点保护植物的编号、中文名以及保护等级的信息列表展示，支持通过编号或中文名进行搜索定位。用户点击列表项可在地图上找到银杉和重点保护植物的具体位置，位并关联显示其监测设备的位置，点击后可查看银杉和重点保护植物的详细信息和监测设备详情。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五、银杉和重点保护植物生物学特性</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kern w:val="0"/>
                <w:szCs w:val="21"/>
                <w:highlight w:val="none"/>
              </w:rPr>
              <w:t>提供银杉和重点保护植物的详细档案信息展示，支持按年月展示银杉和重点保护植物的保护等级、分布区域、形态特征和保护利用价值等，通过移动端扫描二维码即可查看银杉和重点保护植物档案。</w:t>
            </w:r>
            <w:r>
              <w:rPr>
                <w:rFonts w:hint="eastAsia" w:ascii="宋体" w:hAnsi="宋体" w:cs="宋体"/>
                <w:color w:val="auto"/>
                <w:sz w:val="22"/>
                <w:szCs w:val="22"/>
                <w:highlight w:val="none"/>
              </w:rPr>
              <w:t xml:space="preserve">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六、银杉和重点保护植物增删改查导出</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提供对银杉和重点保护植物进行新增、删除、编辑、查看和批量导出操作。支持对银杉和重点保护植物的监测设备进行添加和删除管理。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七、监测信息读写</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银杉分布区生态环境监测体系保护区目前已建设完成，在保持原有数据代码信息的基础上，将其所监测的因子信息源无遗漏的通过读写接口的编程设计</w:t>
            </w:r>
            <w:r>
              <w:rPr>
                <w:rFonts w:hint="eastAsia" w:ascii="宋体" w:hAnsi="宋体" w:cs="宋体"/>
                <w:color w:val="auto"/>
                <w:kern w:val="0"/>
                <w:szCs w:val="21"/>
                <w:highlight w:val="none"/>
              </w:rPr>
              <w:t>接入</w:t>
            </w:r>
            <w:r>
              <w:rPr>
                <w:rFonts w:hint="eastAsia" w:ascii="宋体" w:hAnsi="宋体" w:cs="宋体"/>
                <w:color w:val="auto"/>
                <w:sz w:val="22"/>
                <w:szCs w:val="22"/>
                <w:highlight w:val="none"/>
              </w:rPr>
              <w:t>，将银杉分布区生态环境监测体系数据融入到该监测管理模块中。对接接</w:t>
            </w:r>
            <w:r>
              <w:rPr>
                <w:rFonts w:hint="eastAsia" w:ascii="宋体" w:hAnsi="宋体" w:cs="宋体"/>
                <w:color w:val="auto"/>
                <w:sz w:val="22"/>
                <w:szCs w:val="22"/>
                <w:highlight w:val="none"/>
                <w:lang w:val="en-US" w:eastAsia="zh-CN"/>
              </w:rPr>
              <w:t>入</w:t>
            </w:r>
            <w:r>
              <w:rPr>
                <w:rFonts w:hint="eastAsia" w:ascii="宋体" w:hAnsi="宋体" w:cs="宋体"/>
                <w:color w:val="auto"/>
                <w:sz w:val="22"/>
                <w:szCs w:val="22"/>
                <w:highlight w:val="none"/>
              </w:rPr>
              <w:t>原有野生动植物监测网、生态环境功能监测网获取相关监测数据。</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90"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野生动物与珍稀濒危植物监测</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一、野生动物监测 </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1.1设备监测地图：查看该保护区下的设备信息以及设备对应的监测信息。系统将自动在地图上标识其位置并呈现基本信息卡片，用户进而可深入查阅设备详情页面以获取详尽信息。</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1.2监测信息：系统为用户提供了即时、直观的设备状态展示：首先，用户可以看到当前设备的最新监测数据，使其能够快速获取设备的实时状态和数据；其次，监测信息以气泡形式展示，并伴有加载动效，使得信息呈现更为生动。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1.3监测日历：系统根据红外相机类型提供了不同的展示方式：对于在线红外相机，系统会播放实时监测视频，使用户能够即时查看当前情况；而对于插卡红外相机，则播放最新监测的视频或者图片。区别化的展示方式能够根据不同设备类型满足用户的实时监测需求，同时确保用户能够获得最新的监测数据。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1.4物种监测统计：系统提供了以下关键信息展示：首先，展示不同物种的抓拍次数统计，使用户能够了解各个物种在监测过程中的出现频率；其次，针对一级抓拍，系统还展示了对应的精品率，帮助用户评估抓拍图片的质量。统计信息帮助用户深入了解监测数据，以及物种出现的情况和监测质量。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1.5监测信息列表：系统提供了以下功能：首先，通过抓拍时间、抓拍物种、抓拍相机以及品质等信息展示监测数据，使用户能够快速了解监测情况；其次，用户可以点击列表中的项，系统将在新标签页中打开监测信息的详情页面，进一步查看详细信息。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1.6数据接口管理：保护区已采购插卡红外相机</w:t>
            </w:r>
            <w:r>
              <w:rPr>
                <w:rFonts w:hint="eastAsia" w:ascii="宋体" w:hAnsi="宋体" w:cs="宋体"/>
                <w:color w:val="auto"/>
                <w:sz w:val="22"/>
                <w:szCs w:val="22"/>
                <w:highlight w:val="none"/>
                <w:lang w:val="en-US" w:eastAsia="zh-CN"/>
              </w:rPr>
              <w:t>80</w:t>
            </w:r>
            <w:r>
              <w:rPr>
                <w:rFonts w:hint="eastAsia" w:ascii="宋体" w:hAnsi="宋体" w:cs="宋体"/>
                <w:color w:val="auto"/>
                <w:sz w:val="22"/>
                <w:szCs w:val="22"/>
                <w:highlight w:val="none"/>
              </w:rPr>
              <w:t>台，通过巡护员定期取出相机内存储的数据上传到系统。其次配备的网络模块，支持4G或5G红外相机可通过运营商4G或5G无线网络进行实时数据传输到分析接口。通过数据接口管理获取监测回传的红外抓怕数据。对接接</w:t>
            </w:r>
            <w:r>
              <w:rPr>
                <w:rFonts w:hint="eastAsia" w:ascii="宋体" w:hAnsi="宋体" w:cs="宋体"/>
                <w:color w:val="auto"/>
                <w:sz w:val="22"/>
                <w:szCs w:val="22"/>
                <w:highlight w:val="none"/>
                <w:lang w:val="en-US" w:eastAsia="zh-CN"/>
              </w:rPr>
              <w:t>入</w:t>
            </w:r>
            <w:r>
              <w:rPr>
                <w:rFonts w:hint="eastAsia" w:ascii="宋体" w:hAnsi="宋体" w:cs="宋体"/>
                <w:color w:val="auto"/>
                <w:sz w:val="22"/>
                <w:szCs w:val="22"/>
                <w:highlight w:val="none"/>
              </w:rPr>
              <w:t>原有野生动植物监测网获取相关监测数据。</w:t>
            </w:r>
          </w:p>
          <w:p>
            <w:pPr>
              <w:keepNext w:val="0"/>
              <w:keepLines w:val="0"/>
              <w:widowControl/>
              <w:suppressLineNumbers w:val="0"/>
              <w:spacing w:before="0" w:beforeAutospacing="0" w:after="0" w:afterAutospacing="0"/>
              <w:ind w:left="0" w:right="0"/>
              <w:jc w:val="left"/>
              <w:rPr>
                <w:rFonts w:hint="eastAsia" w:ascii="宋体" w:hAnsi="宋体" w:cs="宋体"/>
                <w:b w:val="0"/>
                <w:bCs w:val="0"/>
                <w:color w:val="auto"/>
                <w:sz w:val="22"/>
                <w:szCs w:val="22"/>
                <w:highlight w:val="none"/>
              </w:rPr>
            </w:pPr>
            <w:r>
              <w:rPr>
                <w:rFonts w:hint="eastAsia" w:ascii="宋体" w:hAnsi="宋体" w:cs="宋体"/>
                <w:color w:val="auto"/>
                <w:sz w:val="22"/>
                <w:szCs w:val="22"/>
                <w:highlight w:val="none"/>
              </w:rPr>
              <w:t>1.7监测数据管理：</w:t>
            </w:r>
            <w:r>
              <w:rPr>
                <w:rFonts w:hint="eastAsia" w:ascii="宋体" w:hAnsi="宋体" w:cs="宋体"/>
                <w:b w:val="0"/>
                <w:bCs w:val="0"/>
                <w:color w:val="auto"/>
                <w:sz w:val="22"/>
                <w:szCs w:val="22"/>
                <w:highlight w:val="none"/>
              </w:rPr>
              <w:t xml:space="preserve">支持通过标注工具对监测照片进行人工标注，标注信息包含：生境特点、动物数量、动物外貌特征、动物种类、动物全部（或局部）体位信息。 </w:t>
            </w:r>
          </w:p>
          <w:p>
            <w:pPr>
              <w:keepNext w:val="0"/>
              <w:keepLines w:val="0"/>
              <w:widowControl/>
              <w:suppressLineNumbers w:val="0"/>
              <w:spacing w:before="0" w:beforeAutospacing="0" w:after="0" w:afterAutospacing="0"/>
              <w:ind w:left="0" w:right="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1.8</w:t>
            </w:r>
            <w:r>
              <w:rPr>
                <w:rFonts w:hint="eastAsia" w:ascii="宋体" w:hAnsi="宋体" w:cs="宋体"/>
                <w:color w:val="auto"/>
                <w:sz w:val="22"/>
                <w:szCs w:val="22"/>
                <w:highlight w:val="none"/>
                <w:lang w:eastAsia="zh"/>
              </w:rPr>
              <w:t xml:space="preserve"> </w:t>
            </w:r>
            <w:r>
              <w:rPr>
                <w:rFonts w:hint="eastAsia" w:ascii="宋体" w:hAnsi="宋体" w:cs="宋体"/>
                <w:color w:val="auto"/>
                <w:sz w:val="22"/>
                <w:szCs w:val="22"/>
                <w:highlight w:val="none"/>
              </w:rPr>
              <w:t>AI识别标注：</w:t>
            </w:r>
            <w:r>
              <w:rPr>
                <w:rFonts w:hint="eastAsia" w:ascii="宋体" w:hAnsi="宋体" w:cs="宋体"/>
                <w:color w:val="auto"/>
                <w:kern w:val="0"/>
                <w:szCs w:val="21"/>
                <w:highlight w:val="none"/>
              </w:rPr>
              <w:t>AI识别，判别红外相机监测数据记录的物种，根据AI智能识别动物名称、有效数据视频和图片，无效数据视频和图片，并自动分类上传至监测数据管理模块，无效数据进入回收站。</w:t>
            </w:r>
            <w:r>
              <w:rPr>
                <w:rFonts w:hint="eastAsia" w:ascii="宋体" w:hAnsi="宋体" w:cs="宋体"/>
                <w:color w:val="auto"/>
                <w:sz w:val="22"/>
                <w:szCs w:val="22"/>
                <w:highlight w:val="none"/>
              </w:rPr>
              <w:t xml:space="preserve">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二、珍稀濒危植物监测 </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2.1物种列表：</w:t>
            </w:r>
            <w:r>
              <w:rPr>
                <w:rFonts w:hint="eastAsia" w:ascii="宋体" w:hAnsi="宋体" w:cs="宋体"/>
                <w:color w:val="auto"/>
                <w:kern w:val="0"/>
                <w:szCs w:val="21"/>
                <w:highlight w:val="none"/>
              </w:rPr>
              <w:t>提供植物的木本子集、群落结构基本信息展示，如植物物种群落特点、物种视频和图片实时更新画面、物种名称、保护等级、濒危等级和物种标记。</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2.2物候数据详情展示：木本子集主要记录了芽开放期、展叶期、开花始期、开花盛期、果实或者种子成熟期、叶秋季变色期和落叶期等物候信息（图片信息、日期信息），同时辅助记录小雨、中雨、大雨、阴、晴、雾期、小雪、中雪、霜冻等气候信息因子。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2.3物候数据信息操作：提供木本子集、群落结构信息新增和编辑，支持完善或修改植物物种数据以及执行删除物种的操作。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2.4生态环境因子监测：系统为用户提供了即时、直观的设备状态展示：首先，用户可以看到当前设备的最新监测数据，使其能够快速获取设备的实时状态和数据；其次，监测信息以气泡形式展示，并伴有加载动效，使得信息呈现更为生动。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2.5数据接口管理：保护区布设了5台高清监测摄像机，可对这些物种的物候、生态环境、生物学特性及有害生物等因子进行定期数据采集，监测数据通过网络传输系统汇总至保护区数据管理中心。并且支持巡护员定期取出相机内存储的数据上传到系统。对接接人原有野生动植物监测网、生态环境功能监测网获取相关监测数据。</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生物多样性</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一、物种分布地图 </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1.1分布地图切换：支持对分布地图切换功能，使用户能够根据不同的生物类型展示相关信息。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1.2动物资源分布：动物资源模块支持按照时间轴、物种类型进行筛选，物种类型可以支持按照物种分布图、密度分布图、公里网格图等三个图层进行展示。按照物种分布图展示，可以直观反应保护区各类动物的分布位置，结合保护区的地理环境，对物种习性的研究提供数据支撑。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1.3植物资源分布：植物资源模块支持按照植物类型进行单选或复选，支持按照热力图形式显示植物类型分布。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二、本底资源</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2.1物种名录：将自然保护区内的物种按照动物界、植物界、微生物界分类管理，动物界按动物标准名录“界、门、纲、目、科、属、种” 等进行分类建样本资源，实现保护区内动植物本底资源的有效管理。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2.2信息查询：支持动、植、微生物等物种类型，通过物种类别、种类、属性、动物标准名录“界、门、纲、目、科、属、种”等信息、物种关键字、物种录入日期等方式的筛选，展现相应的物种的信息查询。 </w:t>
            </w:r>
          </w:p>
          <w:p>
            <w:pPr>
              <w:keepNext w:val="0"/>
              <w:keepLines w:val="0"/>
              <w:widowControl/>
              <w:suppressLineNumbers w:val="0"/>
              <w:spacing w:before="0" w:beforeAutospacing="0" w:after="0" w:afterAutospacing="0"/>
              <w:ind w:left="0" w:right="0"/>
              <w:jc w:val="left"/>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 xml:space="preserve">2.3本底资源统计：根据生物学分类树，系统对物种数量进行统计，并支持点击筛选物种列表。统计内容包括旗舰物种和常见物种的数量、保护动物和濒危动物的等级分类数量、保护植物和濒危植物的等级分类数量。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2.4物种列表：</w:t>
            </w:r>
            <w:r>
              <w:rPr>
                <w:rFonts w:hint="eastAsia" w:ascii="宋体" w:hAnsi="宋体" w:cs="宋体"/>
                <w:color w:val="auto"/>
                <w:kern w:val="0"/>
                <w:szCs w:val="21"/>
                <w:highlight w:val="none"/>
              </w:rPr>
              <w:t>提供物种的基本信息展示，如物种视频和照片、物种名称、保护等级、濒危等级和物种标记。</w:t>
            </w:r>
            <w:r>
              <w:rPr>
                <w:rFonts w:hint="eastAsia" w:ascii="宋体" w:hAnsi="宋体" w:cs="宋体"/>
                <w:color w:val="auto"/>
                <w:sz w:val="22"/>
                <w:szCs w:val="22"/>
                <w:highlight w:val="none"/>
              </w:rPr>
              <w:t xml:space="preserve">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2.5物种详情记录：</w:t>
            </w:r>
            <w:r>
              <w:rPr>
                <w:rFonts w:hint="eastAsia" w:ascii="宋体" w:hAnsi="宋体" w:cs="宋体"/>
                <w:color w:val="auto"/>
                <w:kern w:val="0"/>
                <w:szCs w:val="21"/>
                <w:highlight w:val="none"/>
              </w:rPr>
              <w:t>（1）提供详细的物种信息页面，包含物种的基本信息（植株全貌、名称、学名、类型、分布区域、简介、保护和濒危等级等）。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（2）发现明细地图展示审核通过的发现明细，可以根据上报源类型统计发现明细数量，并支持分布区切换和年月筛选。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（3）发现明细记录页面展示审核通过的发现明细查询、统计和列表详情。</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（4）物种样本库部分展示该物种的相关样本列表，包括样本查询、样本统计、样本列表和样本删除功能。</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2.6物种操作：通过在平台内新增物种，将物种信息包括中文名、拉丁名、所属“界、门、纲、目、科、属、种”、物种分布信息、物种保护级别、物种图片等进行系统编辑，实现物种信息入库。 提供物种信息新增和编辑，支持完善或修改物种数据以及执行删除物种的操作。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三、数据统计</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3.1分布区切换：用户可以根据不同的分布区查看该分布区及其下辖区域的发现明细数据统计表和统计图，直观了解各分布区间的生物多样性发现情况。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3.2按分布区统计：系统可以根据自然月或自然年的时间周期，通过数据统计表和数据统计图的形式展示本分布区及其下辖分布区的发现明细数据，包括发现的动植物物种数量、类型</w:t>
            </w:r>
            <w:r>
              <w:rPr>
                <w:rFonts w:hint="eastAsia" w:ascii="宋体" w:hAnsi="宋体" w:cs="宋体"/>
                <w:color w:val="auto"/>
                <w:kern w:val="0"/>
                <w:szCs w:val="21"/>
                <w:highlight w:val="none"/>
              </w:rPr>
              <w:t>、植株全貌、名称、学名、分布区域、简介、保护和濒危等级</w:t>
            </w:r>
            <w:r>
              <w:rPr>
                <w:rFonts w:hint="eastAsia" w:ascii="宋体" w:hAnsi="宋体" w:cs="宋体"/>
                <w:color w:val="auto"/>
                <w:sz w:val="22"/>
                <w:szCs w:val="22"/>
                <w:highlight w:val="none"/>
              </w:rPr>
              <w:t xml:space="preserve">等，并支持将统计结果导出为表格或图表文件。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3.3按时间统计：针对单个分布区，系统可按自然年为单位，统计并展示各月份内发现明细数据的变化情况并支持数据导出功能。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3.4按物种标记统计：用户可根据自然月或自然年的时间范围，对旗舰物种和常见物种的发现情况进行统计分析，系统将通过数据表和图表形式展示这类物种在指定时间内的发现明细数据，支持数据导出。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3.5按上报源类型统计：支持根据上报源类型进行发现明细的统计分析，按自然月或自然年的时间周期，通过数据表和统计图展示不同上报源所带来的发现明细数据量，支持数据导出功能。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四、地图分析</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4.1分布区切换：</w:t>
            </w:r>
            <w:r>
              <w:rPr>
                <w:rFonts w:hint="eastAsia" w:ascii="宋体" w:hAnsi="宋体" w:cs="宋体"/>
                <w:color w:val="auto"/>
                <w:kern w:val="0"/>
                <w:szCs w:val="21"/>
                <w:highlight w:val="none"/>
              </w:rPr>
              <w:t>用户可以根据不同物种生物学特征、生态因子属性、威胁因子等分布区切换展示地图分析和分屏对比分析，以便于观察和比较不同分布区内的发现明细分布情况。</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4.2年月筛选：系统允许用户根据选定的年月展示地图分析和分屏对比分析，系统默认显示当前年份和月份的数据。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4.3地图类型切换：用户可以根据需求选择不同的地图类型进行分析，默认启用的是聚合图。在切换到网格图时，系统支持用户自定义网格大小，可供选择的网格参数包括1km*1km至5km*5km，当用户再次切换到其他地图类型时，之前的网格设置会被清除。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4.4地图分析项切换：</w:t>
            </w:r>
            <w:r>
              <w:rPr>
                <w:rFonts w:hint="eastAsia" w:ascii="宋体" w:hAnsi="宋体" w:cs="宋体"/>
                <w:color w:val="auto"/>
                <w:kern w:val="0"/>
                <w:szCs w:val="21"/>
                <w:highlight w:val="none"/>
              </w:rPr>
              <w:t>用户可以选择不同的地图分析项，如物种类型、生物学特征、生态因子属性、威胁因子、生长状况、物种标记（如旗舰物种、常见物种等）、上报源类型等，以不同属性为基础进行地图分析和分屏对比分析。</w:t>
            </w:r>
            <w:r>
              <w:rPr>
                <w:rFonts w:hint="eastAsia" w:ascii="宋体" w:hAnsi="宋体" w:cs="宋体"/>
                <w:color w:val="auto"/>
                <w:sz w:val="22"/>
                <w:szCs w:val="22"/>
                <w:highlight w:val="none"/>
              </w:rPr>
              <w:t xml:space="preserve">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4.5地图分析：根据用户选定的分布区、年月、地图类型和地图分析项，系统会在地图上展示该分布区内审核通过的发现明细，网格图用于展示网格区域内的发现明细覆盖率。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4.6分屏对比：用户可以根据分布区、地图类型和地图分析项，在分屏地图上对比展示同一分布区内不同月份审核通过的发现明细分布变化。分屏地图同样会展示网格覆盖率，方便用户对比分析不同时间段内的分布变化。系统支持联动操作，用户在左侧地图上的操作（如放大、缩小、移动等）将实时反映在右侧地图上。</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科研活动管理</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一、科研团队 </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1.1选择分类：选择团队的分类可以帮助你快速筛选出相关团队。（其他、综合研究环境科学、多种服务、基础研究、技术开发）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1.2选择属性：</w:t>
            </w:r>
            <w:r>
              <w:rPr>
                <w:rFonts w:hint="eastAsia" w:ascii="宋体" w:hAnsi="宋体" w:cs="宋体"/>
                <w:color w:val="auto"/>
                <w:kern w:val="0"/>
                <w:szCs w:val="21"/>
                <w:highlight w:val="none"/>
              </w:rPr>
              <w:t>属性有助于进一步细化团队信息。（科研院（所）、组织团体或协会、学者、事业单位、政府机关、大学院校、非标准标本馆、标准标本馆）</w:t>
            </w:r>
            <w:r>
              <w:rPr>
                <w:rFonts w:hint="eastAsia" w:ascii="宋体" w:hAnsi="宋体" w:cs="宋体"/>
                <w:color w:val="auto"/>
                <w:sz w:val="22"/>
                <w:szCs w:val="22"/>
                <w:highlight w:val="none"/>
              </w:rPr>
              <w:t xml:space="preserve">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1.3团队搜索：基于团队的名称、代号或其他信息进行搜索。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1.4责任人搜索：根据责任人的姓名或职务进行搜索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1.5团队荣誉：列出团队所获得的荣誉或奖项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1.6团队规模：描述团队的规模，包括成员数量和组织结构（项目经理、研究员、技术支持人员等）。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1.7以往项目：记录团队参与或主办的以往项目。（项目名称、项目时间、项目成果）。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二、研究课题 </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2.1时间筛选：提供时间范围选择功能，可以筛选出特定时间段内的科研课题。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2.2负责团体：根据</w:t>
            </w:r>
            <w:r>
              <w:rPr>
                <w:rFonts w:hint="eastAsia" w:ascii="宋体" w:hAnsi="宋体" w:cs="宋体"/>
                <w:color w:val="auto"/>
                <w:kern w:val="0"/>
                <w:szCs w:val="21"/>
                <w:highlight w:val="none"/>
              </w:rPr>
              <w:t>研究成果标题、</w:t>
            </w:r>
            <w:r>
              <w:rPr>
                <w:rFonts w:hint="eastAsia" w:ascii="宋体" w:hAnsi="宋体" w:cs="宋体"/>
                <w:color w:val="auto"/>
                <w:sz w:val="22"/>
                <w:szCs w:val="22"/>
                <w:highlight w:val="none"/>
              </w:rPr>
              <w:t xml:space="preserve">团队或负责人的信息筛选相关科研课题。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2.3课题类别：按照课题的分类进行筛选（其他、企事业级、校级、纵向课题、横向课题、厅级、省部级、国家级）。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2.4课题状态：筛选课题的状态来查看其进展（结题、在研、开题、立项、申报）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2.5课题名称：根据课题名称进行搜索。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2.6统计报表：时间统计: 课题开始和结束时间的统计，可以用时间线图或甘特图展示。状态统计: 不同状态课题的分布情况，可以用饼图或条形图展示。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三、科研成果 </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3.1科研成果统计：系统支持管理和统计科研团队在保护内科研的论文、专利、标准、鉴定科技成果、软著、其他数据统计。</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3.2科研成果列表：展示科研成果的基本信息包括：成果标题、成果日期、所属课题、负责团队、成果概述。 </w:t>
            </w:r>
          </w:p>
          <w:p>
            <w:pPr>
              <w:keepNext w:val="0"/>
              <w:keepLines w:val="0"/>
              <w:suppressLineNumbers w:val="0"/>
              <w:spacing w:before="0" w:beforeAutospacing="0" w:after="0" w:afterAutospacing="0"/>
              <w:ind w:left="0" w:right="0"/>
              <w:rPr>
                <w:rFonts w:hint="eastAsia"/>
                <w:color w:val="auto"/>
                <w:highlight w:val="none"/>
              </w:rPr>
            </w:pPr>
            <w:r>
              <w:rPr>
                <w:rFonts w:hint="eastAsia" w:ascii="宋体" w:hAnsi="宋体" w:cs="宋体"/>
                <w:color w:val="auto"/>
                <w:sz w:val="22"/>
                <w:szCs w:val="22"/>
                <w:highlight w:val="none"/>
              </w:rPr>
              <w:t>3.3科研成果详情：展示科研成果的具体信息，以及相关成果附件。</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2"/>
                <w:szCs w:val="22"/>
                <w:highlight w:val="none"/>
                <w:lang w:val="en-US" w:eastAsia="zh-CN"/>
              </w:rPr>
            </w:pP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978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0"/>
              </w:numPr>
              <w:suppressLineNumbers w:val="0"/>
              <w:tabs>
                <w:tab w:val="left" w:pos="2053"/>
              </w:tabs>
              <w:spacing w:before="0" w:beforeAutospacing="0" w:after="0" w:afterAutospacing="0" w:line="440" w:lineRule="exact"/>
              <w:ind w:left="0" w:right="0"/>
              <w:jc w:val="left"/>
              <w:textAlignment w:val="center"/>
              <w:rPr>
                <w:rFonts w:hint="eastAsia"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巡护管理平台</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生态巡护管理端</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一、常规地图操作</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具有全域和全员显示功能，其他常规功能包括：比例尺、地图放大与缩小、测距、角度测量、标记、坐标转换、清除、图层管理功能。</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二、巡护管理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显示系统人员列表、人员层级、当前在线人员、人员信息卡、巡护轨迹、消息通知、当前位置、当前/最后一次在线时间、当前电量、当前信号等信息。</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三、人员列表</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显示当前实时在线人数和系统总人数，各子站点的在线人数和巡护总人数，下拉子站点可查看人员列表、离/在线状态、巡护员手机电量和网络状态、发送消息等。</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四、个人详细信息</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展示巡护员的基本信息（包括用户头像、姓名、所属管理站点、联系方式、所属巡检点组、所属驻点组、手机品牌、手机型号、安卓版本、APP版本、轨迹条数、里程数、采集数等信息）。</w:t>
            </w:r>
          </w:p>
          <w:p>
            <w:pPr>
              <w:keepNext w:val="0"/>
              <w:keepLines w:val="0"/>
              <w:widowControl w:val="0"/>
              <w:suppressLineNumbers w:val="0"/>
              <w:spacing w:before="0" w:beforeAutospacing="0" w:after="0" w:afterAutospacing="0"/>
              <w:ind w:left="0" w:right="0"/>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五、定位轨迹</w:t>
            </w:r>
          </w:p>
          <w:p>
            <w:pPr>
              <w:keepNext w:val="0"/>
              <w:keepLines w:val="0"/>
              <w:suppressLineNumbers w:val="0"/>
              <w:spacing w:before="0" w:beforeAutospacing="0" w:after="0" w:afterAutospacing="0"/>
              <w:ind w:left="0" w:right="0"/>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按日期查看人员的当前定位轨迹和历史轨迹，可播放轨迹，导出轨迹数据。</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六、巡护统计</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按站点、时间统计巡护员上线人数占比、新增采集数占比、新增轨迹数占比、巡护有效里程数、满勤数达标率、新增里程占比、采集标兵、里程标兵、拍摄标兵、巡护采集类型占比数。</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七</w:t>
            </w:r>
            <w:r>
              <w:rPr>
                <w:rFonts w:hint="eastAsia" w:ascii="宋体" w:hAnsi="宋体" w:cs="宋体"/>
                <w:color w:val="auto"/>
                <w:sz w:val="22"/>
                <w:szCs w:val="22"/>
                <w:highlight w:val="none"/>
              </w:rPr>
              <w:t>、采集管理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在“采集列表中”，实时接收移动端上报的采集事件，可查看事件上报的图片、视频，可查询预览，单个导出某个事件，定位事件发生位置，了解事件现状。支持事件导出。</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八</w:t>
            </w:r>
            <w:r>
              <w:rPr>
                <w:rFonts w:hint="eastAsia" w:ascii="宋体" w:hAnsi="宋体" w:cs="宋体"/>
                <w:color w:val="auto"/>
                <w:sz w:val="22"/>
                <w:szCs w:val="22"/>
                <w:highlight w:val="none"/>
              </w:rPr>
              <w:t>、采集图鉴</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按站点、时间、类型展示移动端上报的有图片、视频的采集事件，可下载、查看上报的图片、视频。</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九</w:t>
            </w:r>
            <w:r>
              <w:rPr>
                <w:rFonts w:hint="eastAsia" w:ascii="宋体" w:hAnsi="宋体" w:cs="宋体"/>
                <w:color w:val="auto"/>
                <w:sz w:val="22"/>
                <w:szCs w:val="22"/>
                <w:highlight w:val="none"/>
              </w:rPr>
              <w:t>、720全景</w:t>
            </w:r>
          </w:p>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在地图上展示当前系统全景点，可查看、编辑全景点拍摄的全景图，展示最新拍摄的全景图及统计全景点拍摄全景图的点赞数、浏览数、全景点数、拍摄张数、全景数量，全景图浏览排行榜</w:t>
            </w:r>
            <w:r>
              <w:rPr>
                <w:rFonts w:hint="eastAsia" w:ascii="宋体" w:hAnsi="宋体" w:cs="宋体"/>
                <w:color w:val="auto"/>
                <w:sz w:val="22"/>
                <w:szCs w:val="22"/>
                <w:highlight w:val="none"/>
                <w:lang w:eastAsia="zh-CN"/>
              </w:rPr>
              <w:t>。</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十、报警管理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实时接收移动端的报警信息，可以分类查询、查看报警情况、处理、导出报警信息、定位报警发生位置，了解报警情况；支持短信通知，添加接收护林员实时报警信息的人员，以短信形式通知。</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十</w:t>
            </w:r>
            <w:r>
              <w:rPr>
                <w:rFonts w:hint="eastAsia" w:ascii="宋体" w:hAnsi="宋体" w:cs="宋体"/>
                <w:color w:val="auto"/>
                <w:sz w:val="22"/>
                <w:szCs w:val="22"/>
                <w:highlight w:val="none"/>
                <w:lang w:val="en-US" w:eastAsia="zh-CN"/>
              </w:rPr>
              <w:t>一</w:t>
            </w:r>
            <w:r>
              <w:rPr>
                <w:rFonts w:hint="eastAsia" w:ascii="宋体" w:hAnsi="宋体" w:cs="宋体"/>
                <w:color w:val="auto"/>
                <w:sz w:val="22"/>
                <w:szCs w:val="22"/>
                <w:highlight w:val="none"/>
              </w:rPr>
              <w:t>、通知公告</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用于新增、编辑下发到移动端的通知公告。</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十</w:t>
            </w:r>
            <w:r>
              <w:rPr>
                <w:rFonts w:hint="eastAsia" w:ascii="宋体" w:hAnsi="宋体" w:cs="宋体"/>
                <w:color w:val="auto"/>
                <w:sz w:val="22"/>
                <w:szCs w:val="22"/>
                <w:highlight w:val="none"/>
                <w:lang w:val="en-US" w:eastAsia="zh-CN"/>
              </w:rPr>
              <w:t>二</w:t>
            </w:r>
            <w:r>
              <w:rPr>
                <w:rFonts w:hint="eastAsia" w:ascii="宋体" w:hAnsi="宋体" w:cs="宋体"/>
                <w:color w:val="auto"/>
                <w:sz w:val="22"/>
                <w:szCs w:val="22"/>
                <w:highlight w:val="none"/>
              </w:rPr>
              <w:t>、考勤管理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用于新增考勤组，设定每天出勤天数、有效巡检范围、每天巡护里程距离、需打卡巡检点、是否驻点考勤、有效考勤条件等，可编辑、关联考勤组和打卡组。设定用户或用户组的打卡点组和驻点组，有地图上选点方式和坐标输入两种方式。 </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十</w:t>
            </w:r>
            <w:r>
              <w:rPr>
                <w:rFonts w:hint="eastAsia" w:ascii="宋体" w:hAnsi="宋体" w:cs="宋体"/>
                <w:color w:val="auto"/>
                <w:sz w:val="22"/>
                <w:szCs w:val="22"/>
                <w:highlight w:val="none"/>
                <w:lang w:val="en-US" w:eastAsia="zh-CN"/>
              </w:rPr>
              <w:t>三</w:t>
            </w:r>
            <w:r>
              <w:rPr>
                <w:rFonts w:hint="eastAsia" w:ascii="宋体" w:hAnsi="宋体" w:cs="宋体"/>
                <w:color w:val="auto"/>
                <w:sz w:val="22"/>
                <w:szCs w:val="22"/>
                <w:highlight w:val="none"/>
              </w:rPr>
              <w:t>、请假管理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审批巡护员申请的请假状态，请假数据自动计入考勤统计。在请假管理界面，可按站点/人员、类型、时间、状态，查询请假数据，处理巡护员发送的请假申请。</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十</w:t>
            </w:r>
            <w:r>
              <w:rPr>
                <w:rFonts w:hint="eastAsia" w:ascii="宋体" w:hAnsi="宋体" w:cs="宋体"/>
                <w:color w:val="auto"/>
                <w:sz w:val="22"/>
                <w:szCs w:val="22"/>
                <w:highlight w:val="none"/>
                <w:lang w:val="en-US" w:eastAsia="zh-CN"/>
              </w:rPr>
              <w:t>四</w:t>
            </w:r>
            <w:r>
              <w:rPr>
                <w:rFonts w:hint="eastAsia" w:ascii="宋体" w:hAnsi="宋体" w:cs="宋体"/>
                <w:color w:val="auto"/>
                <w:sz w:val="22"/>
                <w:szCs w:val="22"/>
                <w:highlight w:val="none"/>
              </w:rPr>
              <w:t>、统计报表</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采集报表：统计各区域巡护员上报采集事件数据，包括人员采集和站点采集，可按年、月查询；报警报表：统计各区域巡护员上报的报警数据，包括人员报警和站点报警，可按年、月查询；考勤报表：对所有区域巡护员每月的出勤情况及巡护站考勤天数进行统计，根据考勤管理中设定的规则生成考勤报表，并统计出勤率，记录事假、病假、调休、休息等；打卡报表：对各区域巡护员每月的打卡情况进行统计，按月统计方式生成打卡报表；里程报表：对所有的人员及站点进行月有效里程统计和年有效里程统计，以报表和图表形式显示；登录报表：对站点所有巡护员每月/年的在线天数情况及巡护站每月/年巡护员在线总天数情况进行统计。</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十</w:t>
            </w:r>
            <w:r>
              <w:rPr>
                <w:rFonts w:hint="eastAsia" w:ascii="宋体" w:hAnsi="宋体" w:cs="宋体"/>
                <w:color w:val="auto"/>
                <w:sz w:val="22"/>
                <w:szCs w:val="22"/>
                <w:highlight w:val="none"/>
                <w:lang w:val="en-US" w:eastAsia="zh-CN"/>
              </w:rPr>
              <w:t>五</w:t>
            </w:r>
            <w:r>
              <w:rPr>
                <w:rFonts w:hint="eastAsia" w:ascii="宋体" w:hAnsi="宋体" w:cs="宋体"/>
                <w:color w:val="auto"/>
                <w:sz w:val="22"/>
                <w:szCs w:val="22"/>
                <w:highlight w:val="none"/>
              </w:rPr>
              <w:t>、系统管理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对系统用户进行管理，包括查询、添加、修改、删除和导出，系统分为移动端用户、WEB端管理员用户，APP用户只能登录移动端，WEB端管理员根据权限使用部分系统功能和数据，管理员负责新增、修改、删除用户。</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套</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生态巡护APP端</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一、常规地图操作</w:t>
            </w:r>
          </w:p>
          <w:p>
            <w:pPr>
              <w:keepNext w:val="0"/>
              <w:keepLines w:val="0"/>
              <w:suppressLineNumbers w:val="0"/>
              <w:spacing w:before="0" w:beforeAutospacing="0" w:after="0" w:afterAutospacing="0"/>
              <w:ind w:left="0" w:right="0"/>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地图基础操作包括放大、缩小、平移、定位和跟随、罗盘和地图图层控制（包括地图切换和地图设置两部分，地图切换可切换：高德地图、高德卫星图、天地图、天地卫星图，地图设置可设置巡检点和网格分布区等图斑是否在地图上叠加显示）。</w:t>
            </w:r>
          </w:p>
          <w:p>
            <w:pPr>
              <w:keepNext w:val="0"/>
              <w:keepLines w:val="0"/>
              <w:widowControl/>
              <w:suppressLineNumbers w:val="0"/>
              <w:spacing w:before="0" w:beforeAutospacing="0" w:after="0" w:afterAutospacing="0"/>
              <w:ind w:left="0" w:right="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二、新建采集</w:t>
            </w:r>
          </w:p>
          <w:p>
            <w:pPr>
              <w:keepNext w:val="0"/>
              <w:keepLines w:val="0"/>
              <w:suppressLineNumbers w:val="0"/>
              <w:spacing w:before="0" w:beforeAutospacing="0" w:after="0" w:afterAutospacing="0"/>
              <w:ind w:left="0" w:right="0"/>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可对各类事件进行无纸化、智能化数据上报，支持现场照片和视频上报，表格填写，并实时回传上报，照片视频与位置信息绑定，GPS上报点、线、面数据，或地图手动标绘进行点线面数据上报，现场进行属性信息的填写，并进行关联对应，支持多种类型事件上报，如巡护采集、红外相机、发现动物、发现植物、病虫害、核查管理、定点监测、科普宣教等。</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三、新建报警</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快捷报警功能，包括报警时间、人员、位置，报警类别等信息，其中报警时间、人员、经纬度信息自动加载，只需在四种常见报警类型中选择一种即可完成报警。</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四、动物识别</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连网状态下支持从手机相册或即时拍摄的照片实时进行动物识别，提供三个可能性最高的识别动物名称、置信度信息等，支持查看已识别过的动物信息。</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五、植物识别</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连网状态下支持从手机相册或即时拍摄的照片实时进行植物识别，提供三个可能性最高的识别植物名称、置信度信息等，支持查看已识别过的植物信息。</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六、全景采集</w:t>
            </w:r>
          </w:p>
          <w:p>
            <w:pPr>
              <w:keepNext w:val="0"/>
              <w:keepLines w:val="0"/>
              <w:suppressLineNumbers w:val="0"/>
              <w:spacing w:before="0" w:beforeAutospacing="0" w:after="0" w:afterAutospacing="0"/>
              <w:ind w:left="0" w:right="0"/>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提供基于APP与全景设备的热点链接操作全景设备进行 720° 的全景照片采集，并在APP端合成全景图，同时自动获取记录全景图的采集位置，提供全景设备的镜头预览、采集后的全景图编辑、查看等功能，支持离线模式下的全景采集。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七、月度报告</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直观展示巡护员个人的巡护天数（有效巡护、本月巡护）、巡护里程（有效巡护里程、本月巡护里程）、事件报警上报数（报警数、采集数）、轨迹数，可查询往月报告。</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八、通知消息</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可接收WEB中心管理端推送的系统通知、即时消息的查看回复功能。</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九、请假审核</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支持因个人情况不能正常出勤可以提交请假申请，用户根据需要选择请假的类型，填写表单信息，包括起止时间、原因、具体类型等信息，请假需要经过web管理员的审批，审批通过才纳入考勤的计算中，不然算缺勤处理，提供查看报备的详情，包括报备类型、起止时间、原因等信息，管理员审批状态以及审批备注，方便掌握报备的具体信息。</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十、传输列表</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包括传输列表和已完成列表，可断点续传，每5分钟自动检测需要上传的数据，可暂停下载。</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十一、开始巡护</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实时记录巡护人员的巡护轨迹，点击停止巡护时，统计巡护时长和里程并上传轨迹数据。</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十二、采集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管理查看个人所有采集的事件记录，包括事件的上传情况，自动标示未上传的事件，当手机连上网络就会自动上传事件数据，可查看巡护员所上报事件的具体详情，包括图片、视频、采集的数据类型、时间、位置等信息，支持在地图上定位事件上报点。</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十三、轨迹</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可查询历史轨迹，巡检人员可以在移动端查询自己的轨迹路径，及时了解自己的行走路线，实现月轨迹日历提示，支持选择不同月份，月轨迹记录数据可以从云端服务器获取。</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十四、报警</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支持用户快速查看个人所有的报警历史记录，包括报警时间、报警类型、报警位置及处理状态。</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十五、设置</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主要包括字体设置、坐标系设置、离线地图下载、关于APP、意见反馈、检查更新、清理缓存、退出登录等。</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套</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无人机信息端</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cs="宋体"/>
                <w:b/>
                <w:bCs/>
                <w:color w:val="auto"/>
                <w:sz w:val="22"/>
                <w:szCs w:val="22"/>
                <w:highlight w:val="none"/>
              </w:rPr>
            </w:pPr>
            <w:r>
              <w:rPr>
                <w:rFonts w:hint="eastAsia" w:ascii="宋体" w:hAnsi="宋体" w:cs="宋体"/>
                <w:b w:val="0"/>
                <w:bCs w:val="0"/>
                <w:color w:val="auto"/>
                <w:sz w:val="22"/>
                <w:szCs w:val="22"/>
                <w:highlight w:val="none"/>
              </w:rPr>
              <w:t>无人机信息端口预留，无论是深入了解无人机和飞手的实时状态及工作历史，精准跟踪飞行记录和巡航任务的执行情况，还是精细管理航线的规划与调整，致力于为生态巡航相关的管理和决策提供坚实有力的支持，显著提升工作效率和管理水平。</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978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0"/>
              </w:numPr>
              <w:suppressLineNumbers w:val="0"/>
              <w:tabs>
                <w:tab w:val="left" w:pos="2053"/>
              </w:tabs>
              <w:spacing w:before="0" w:beforeAutospacing="0" w:after="0" w:afterAutospacing="0" w:line="440" w:lineRule="exact"/>
              <w:ind w:left="0" w:right="0"/>
              <w:jc w:val="left"/>
              <w:textAlignment w:val="center"/>
              <w:rPr>
                <w:rFonts w:hint="eastAsia"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灾害防控平台</w:t>
            </w:r>
            <w:r>
              <w:rPr>
                <w:rFonts w:hint="eastAsia" w:ascii="宋体" w:hAnsi="宋体" w:cs="宋体"/>
                <w:b/>
                <w:bCs/>
                <w:color w:val="auto"/>
                <w:kern w:val="0"/>
                <w:sz w:val="22"/>
                <w:szCs w:val="22"/>
                <w:highlight w:val="none"/>
                <w:lang w:val="en-US" w:eastAsia="zh-CN" w:bidi="ar"/>
              </w:rPr>
              <w:t>服务</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灾害事件管理</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一、灾害事件地图</w:t>
            </w:r>
          </w:p>
          <w:p>
            <w:pPr>
              <w:keepNext w:val="0"/>
              <w:keepLines w:val="0"/>
              <w:suppressLineNumbers w:val="0"/>
              <w:spacing w:before="0" w:beforeAutospacing="0" w:after="0" w:afterAutospacing="0"/>
              <w:ind w:left="0" w:right="0"/>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支持将各类灾害数据信息在地图分布展示。分布区的灾害事件数据统计和灾害事件日历视图。</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二、灾害事件管理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系统支持用户对已存在的灾害事件的各项基本信息（如名称、位置、类型、状态、描述信息等）进行修改，以确保资源数据的时效性和准确性。</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三、灾害类型统计</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提供各类别灾害在指定条件下的数据统计的系统展示，同时计算其在总量中的占比，并在地图上突出显示选定事件类型的位置。</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四、灾害事件详情</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在灾害事件详情页面中，系统以丰富的数据和多媒体形式详尽展现了灾害事件的具体情况：地理位置信息、灾害事件信息、灾害事件处置信息。</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自然资源防灾减灾管理</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一、防火一张图</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1.1历史火灾：（1）火灾统计，提供根据系统上线以来的时间跨度进行火灾事件的时间序列统计。（2）火灾数据统计，支持对系统内已发生的火情进行统计分析。使用饼状图显示火灾的等级分布，可能包括以下等级：一般火情、一般森林火灾、较大森林火灾、重大森林火灾、特别重大森林火灾。</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1.2火情状态统计：(1)火情状态统计，火情状态包括待接警、待核实、处置中、已处置等状态。提供系统内所有火情的数量，以及各个状态下的火情数量统计展示。(2)分布区状态统计，提供对下级分布区进行统计，并展示排名前五的分布区火情数量。</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1.3视频监控管理：(1)视频展示，提供在系统启动或者用户进入视频展示页面时，默认展示四个视频设备的实时画面，以四分屏的方式呈现。(2)视频源调整，用户可以根据分布区展示分布区内视频设备列表。支持从列表中选择视频设备，将其实时画面替换到当前展示的四分屏视频中，最多支持展示四个视频源。(3)视频全屏，用户可以点击单个视频画面，将其放大并全屏展示，以便更清晰地观看单个视频画面。</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1.4防火资源展示：(1)资源列表展示，按照防火资源的不同类别和层级结构，动态展示各个层级下的资源详细清单及其对应的数量信息。(2)资源上图，支持用户点击资源清单中的某一项资源时，系统会在电子地图上精确标注出该资源的位置，并以图标形式显示其分布情况。</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二、预警监测</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2.1报警信息：(1)当日火情，用于集中呈现当天系统内收集到的所有火情信息，支持按照设备自动预警和人工手动上报两种方式分别进行统计和明细记录展示，支持远程语音喊话功能的程序软件接口，便于工作人员及时了解最新的火情态势。(2)火情列表，提供火情报警列表显示，支持按照火情状态（全部、待接警、待核实、处置中、已处置）进行分类统计和展示，支持切换是否显示火情专题地图，同时支持查看更多报警记录以及提供根据火情来源和具体来源名称的统计查询。(3)手动火情记录，提供主动添加新发现的火情报告，支持在系统中上报火情以及通过电话接警录入火情信息。(4)火情详情，提供了火情详细内容：①包括原始报警信息、火场周边环境信息、多媒体证据材料（火情图片、视频、音频）、实时火场视频监控画面，以及与该火情相关的任务分配和处置进度信息。②允许查看火情的确切地理位置，并能显示附近的其他火情点，有利于整体火情形势的判断和联防联动。③提供了一系列火情处置的操作功能，如接警确认、下发灭火任务、火点位置校正、确认火情真实性、标记为误报、记录重复火情以及模拟应急演练等功能。</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2.2视频监控：(1)设备列表，按照不同的分布区级别组织视频监控设备列表，每个设备条目包括监控名称及在线/离线状态，便于快速查看和管理。用户可以根据设备的在线状态（全部、在线、离线）进行筛选，并可通过直接输入监控名称检索所需监控设备。(2)监控墙，①实时监控画面展示：监控墙能实时播放多个监控摄像头的画面，形成一个综合监控界面，确保操作人员能够同时观测多个监控点的实时动态。②自定义展示设置：用户可以根据需求自行配置要在监控墙上显示的监控画面，自由组合不同的监控源。③灵活布局与轮巡：监控墙支持自定义布局，包括单宫格（即全屏显示一个摄像头）、四宫格和九宫格等形式，可按需调整。此外，还支持监控轮巡功能，预设监控画面顺序并自动切换。用户可以保存自己设定的布局样式，并设定某一布局为默认展示格式。(</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)火情监测日历，提供以日历形式呈现每日火情预报的数量。支持按照分布区对火情报警数量进行统计，支持查看选定日期的火情报警详细列表。</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2.3接口信息管理：对接森林防火监测网、预留无人机监测预警信息反馈。</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三、指挥调度</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3.1调度统计：系统整合了调度统计的核心职能，主要包括对调度会议召开次数、火情调度处理总数以及应急演练总次数等重要运营数据的自动化统计与记录。系统支持按照时间轴（如年、月、日等）、分布区域、责任人姓名以及具体的调度事件名称等多重维度进行精细化查询与筛选，方便用户快速获取所需调度统计信息。</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3.2调度资源：系统详细记录并实时更新分布区内管护员的在线人数和总人数。此外，系统还对各类防火相关的监控设备和监测设施进行了精细化统计，包括防火监控、卡口监控在内的各类监控设备的在线数量与总数量统计。</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3.3火情列表：系统专门针对火情事件管理，按照火情处置阶段，将火情事件智能分类为“全部火情”、“处置中火情”和“已处置火情”三大类别，并以直观的列表形式呈现各类火情的数量，支持用户滚动查询。</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3.4调度中心：(1)火情信息，针对经过核实确认为真实火情事件的案例，当用户进入火情调度页面时，系统会重点展示该火情的详细信息，以便于指挥决策和资源调度。(2)火场气象，系统自动触发火情定位功能，快速锁定火源具体地理位置，并智能关联周边已建的各类温度监测设备、气象监测设施等辅助资源，同步实时抓取这些设备采集的最新数据。系统将获取的数据进行整合分析，生成可视化的图表，展示火情发生前后相关环境参数（如温度、风速、湿度等）随时间变化的趋势。(3)指挥信息，系统提供火情指挥信息快速构建功能，用户可迅速设置总指挥、前线指挥和后方指挥角色，并对火情级别进行初步判断，从特别重大森林火灾至一般火情均可选择，系统将根据判断结果调用匹配的应急预案。(4)调度简报，系统具备火情调度简报实时更新功能，简洁展示火情进展和调度指令，含括时间戳、火情阶段及对应调度措施。用户可在调度过程中即时维护简报，并支持简报内容的下载备份。此外，简报界面可展开或折叠。(5)视频监控，系统整合了火场周边的多路实时监控视频源，实现画面一键切换与自定义布局调整功能。支持灵活切换不同角度的监控画面，获取火场周边态势；同时支持多种画面布局模式，可根据实际需求自由切换单屏、多分屏视图，以便于对比分析不同区域火势状况。此外，系统还提供监控墙模式，可将所有监控视频集中展现，形成监控画面合成显示。(6)防火资源，系统提供数据分析和可视化功能，支持分析并展示火场周边的各类扑火资源分布情况。用户可以根据火情实际情况，自定义设定搜索查询半径，系统将自动检索并呈现指定范围内所有的扑火相关资源，包括但不限于防火监控设备的位置与状态、消防基础设施的部署、以及可用扑火救援人员的数量与位置信息。此外系统支持开启或隐藏扑火资源的专题地图层。</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四、灾后档案</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color w:val="auto"/>
                <w:highlight w:val="none"/>
              </w:rPr>
            </w:pPr>
            <w:r>
              <w:rPr>
                <w:rFonts w:hint="eastAsia" w:ascii="宋体" w:hAnsi="宋体" w:cs="宋体"/>
                <w:color w:val="auto"/>
                <w:sz w:val="22"/>
                <w:szCs w:val="22"/>
                <w:highlight w:val="none"/>
              </w:rPr>
              <w:t>4.1火情档案：(1)火情地图，系统拥有完善的火情记录管理功能，可展示已发生的火情事件。用户可根据实际需求，通过时间顺序、行政区划或分布区范围等多个维度进行火情记录的检索查询。</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)火情记录：系统深度整合了火情全过程的所有关键数据，并兼顾后期维护更新，形成了完整详实的火情资料库。</w:t>
            </w:r>
          </w:p>
          <w:p>
            <w:pPr>
              <w:keepNext w:val="0"/>
              <w:keepLines w:val="0"/>
              <w:suppressLineNumbers w:val="0"/>
              <w:spacing w:before="0" w:beforeAutospacing="0" w:after="0" w:afterAutospacing="0"/>
              <w:ind w:left="0" w:right="0"/>
              <w:rPr>
                <w:rFonts w:hint="eastAsia"/>
                <w:color w:val="auto"/>
                <w:highlight w:val="none"/>
              </w:rPr>
            </w:pPr>
            <w:r>
              <w:rPr>
                <w:rFonts w:hint="eastAsia" w:ascii="宋体" w:hAnsi="宋体" w:cs="宋体"/>
                <w:color w:val="auto"/>
                <w:sz w:val="22"/>
                <w:szCs w:val="22"/>
                <w:highlight w:val="none"/>
              </w:rPr>
              <w:t>4.</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火灾档案：(1)火灾地图</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直观呈现历史火灾的发生分布情况</w:t>
            </w:r>
            <w:r>
              <w:rPr>
                <w:rFonts w:hint="eastAsia" w:ascii="宋体" w:hAnsi="宋体" w:cs="宋体"/>
                <w:color w:val="auto"/>
                <w:sz w:val="22"/>
                <w:szCs w:val="22"/>
                <w:highlight w:val="none"/>
                <w:lang w:val="en-US" w:eastAsia="zh-CN"/>
              </w:rPr>
              <w:t>。</w:t>
            </w:r>
          </w:p>
          <w:p>
            <w:pPr>
              <w:keepNext w:val="0"/>
              <w:keepLines w:val="0"/>
              <w:suppressLineNumbers w:val="0"/>
              <w:spacing w:before="0" w:beforeAutospacing="0" w:after="0" w:afterAutospacing="0"/>
              <w:ind w:left="0" w:right="0"/>
              <w:rPr>
                <w:rFonts w:hint="eastAsia"/>
                <w:color w:val="auto"/>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)火灾记录：火灾记录具备以下核心功能：①精细化检索；②火情日历查询；③记录管理</w:t>
            </w:r>
            <w:r>
              <w:rPr>
                <w:rFonts w:hint="eastAsia" w:ascii="宋体" w:hAnsi="宋体" w:cs="宋体"/>
                <w:color w:val="auto"/>
                <w:sz w:val="22"/>
                <w:szCs w:val="22"/>
                <w:highlight w:val="none"/>
                <w:lang w:eastAsia="zh-CN"/>
              </w:rPr>
              <w:t>。</w:t>
            </w:r>
          </w:p>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)火灾档案详情：火灾档案全面整合了从报警到处置完成全过程的所有关键数据及其后续维护信息</w:t>
            </w:r>
            <w:r>
              <w:rPr>
                <w:rFonts w:hint="eastAsia" w:ascii="宋体" w:hAnsi="宋体" w:cs="宋体"/>
                <w:color w:val="auto"/>
                <w:sz w:val="22"/>
                <w:szCs w:val="22"/>
                <w:highlight w:val="none"/>
                <w:lang w:eastAsia="zh-CN"/>
              </w:rPr>
              <w:t>。</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有害生物监测管理</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一、监测信息</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系统提供最新的抓拍监测图片展示，用户能够即时观察到最新的监测情况。</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二、监测日历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系统支持用户通过点击日历来查看不同日期的监测信息。用户可以选择特定日期，系统将显示该日期的监测数据，帮助用户了解设备在不同日期的监测情况。</w:t>
            </w:r>
          </w:p>
          <w:p>
            <w:pPr>
              <w:keepNext w:val="0"/>
              <w:keepLines w:val="0"/>
              <w:widowControl w:val="0"/>
              <w:suppressLineNumbers w:val="0"/>
              <w:spacing w:before="0" w:beforeAutospacing="0" w:after="0" w:afterAutospacing="0"/>
              <w:ind w:left="0" w:right="0"/>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三、虫情分布</w:t>
            </w:r>
          </w:p>
          <w:p>
            <w:pPr>
              <w:keepNext w:val="0"/>
              <w:keepLines w:val="0"/>
              <w:suppressLineNumbers w:val="0"/>
              <w:spacing w:before="0" w:beforeAutospacing="0" w:after="0" w:afterAutospacing="0"/>
              <w:ind w:left="0" w:right="0"/>
              <w:rPr>
                <w:rFonts w:hint="eastAsia" w:ascii="宋体" w:hAnsi="宋体" w:cs="宋体"/>
                <w:b w:val="0"/>
                <w:bCs w:val="0"/>
                <w:color w:val="auto"/>
                <w:sz w:val="22"/>
                <w:szCs w:val="22"/>
                <w:highlight w:val="none"/>
                <w:u w:val="none"/>
              </w:rPr>
            </w:pPr>
            <w:r>
              <w:rPr>
                <w:rFonts w:hint="eastAsia" w:ascii="宋体" w:hAnsi="宋体" w:cs="宋体"/>
                <w:b w:val="0"/>
                <w:bCs w:val="0"/>
                <w:color w:val="auto"/>
                <w:sz w:val="22"/>
                <w:szCs w:val="22"/>
                <w:highlight w:val="none"/>
                <w:u w:val="none"/>
              </w:rPr>
              <w:t>系统提供了虫情类型的疑似分布图情况展示，使用户能够了解不同虫情类型在监测区域内的分布情况。</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四、监测信息列表</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系统提供了全面的监测数据展示和查看：用户可以在列表中查看设备名称、监测虫种、拍摄时间以及监测数量等关键信息，从而快速了解监测情况。同时，用户可以点击列表中的项，系统将在新标签页中打开监测信息详情页面，允许用户深入查看具体的监测信息和相关的报警信息。</w:t>
            </w:r>
          </w:p>
          <w:p>
            <w:pPr>
              <w:keepNext w:val="0"/>
              <w:keepLines w:val="0"/>
              <w:widowControl w:val="0"/>
              <w:suppressLineNumbers w:val="0"/>
              <w:spacing w:before="0" w:beforeAutospacing="0" w:after="0" w:afterAutospacing="0"/>
              <w:ind w:left="0" w:right="0"/>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五、监测信息读写接口</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b w:val="0"/>
                <w:bCs w:val="0"/>
                <w:color w:val="auto"/>
                <w:sz w:val="22"/>
                <w:szCs w:val="22"/>
                <w:highlight w:val="none"/>
              </w:rPr>
              <w:t>在森林病虫害监测过程中，采用无人机巡航的方式，对保护区境内森林资源的虫情情况进行巡航监测取景，其所采集的信息数据必须无差别的在系统上读写和存储。</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人类活动监测</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一、视频监控管理</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1.1视频监控列表：系统提供了视频列表展示用户可以在视频墙上查看视频列表，并根据需要自定义视频墙的内容，以展示所需的视频。</w:t>
            </w:r>
          </w:p>
          <w:p>
            <w:pPr>
              <w:keepNext w:val="0"/>
              <w:keepLines w:val="0"/>
              <w:widowControl w:val="0"/>
              <w:suppressLineNumbers w:val="0"/>
              <w:spacing w:before="0" w:beforeAutospacing="0" w:after="0" w:afterAutospacing="0"/>
              <w:ind w:left="0" w:right="0"/>
              <w:jc w:val="both"/>
              <w:rPr>
                <w:rFonts w:hint="eastAsia" w:ascii="宋体" w:hAnsi="宋体" w:cs="宋体"/>
                <w:b/>
                <w:bCs/>
                <w:color w:val="auto"/>
                <w:sz w:val="22"/>
                <w:szCs w:val="22"/>
                <w:highlight w:val="none"/>
              </w:rPr>
            </w:pPr>
            <w:r>
              <w:rPr>
                <w:rFonts w:hint="eastAsia" w:ascii="宋体" w:hAnsi="宋体" w:cs="宋体"/>
                <w:color w:val="auto"/>
                <w:sz w:val="22"/>
                <w:szCs w:val="22"/>
                <w:highlight w:val="none"/>
              </w:rPr>
              <w:t>1.2视频展示：</w:t>
            </w:r>
            <w:r>
              <w:rPr>
                <w:rFonts w:hint="eastAsia" w:ascii="宋体" w:hAnsi="宋体" w:cs="宋体"/>
                <w:b w:val="0"/>
                <w:bCs w:val="0"/>
                <w:color w:val="auto"/>
                <w:sz w:val="22"/>
                <w:szCs w:val="22"/>
                <w:highlight w:val="none"/>
              </w:rPr>
              <w:t>提供在系统启动或者用户进入视频展示页面时，默认展示四个视频设备的实时画面，以四分屏的方式呈现。</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1.3视频源调整：用户可以根据责任区展示责任区内视频设备列表。支持从列表中选择视频设备，将其实时画面替换到当前展示的四分屏视频中，最多支持展示四个视频源。</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1.4视频全屏：用户可以点击单个视频画面，将其放大并全屏展示，以便更清晰地观看单个视频画面。</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二、监控卡口管理</w:t>
            </w:r>
            <w:r>
              <w:rPr>
                <w:rFonts w:hint="eastAsia" w:ascii="宋体" w:hAnsi="宋体" w:cs="宋体"/>
                <w:color w:val="auto"/>
                <w:sz w:val="22"/>
                <w:szCs w:val="22"/>
                <w:highlight w:val="none"/>
              </w:rPr>
              <w:tab/>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2.1卡口监测：支持通过监控摄像头等设备对保护区内的人员活动进行实时监测，发现异常情况及时报警并进行处理。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2.2权限判别：支持对进出保护区的人员和车辆进行权限验证，确认其是否具有通行资格。系统可以根据设定的规则，对不同身份的人员和车辆进行识别和权限判别。</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2.3通行权限设置：支持为相关人员设置通行权限，可以根据需要设置不同级别的权限，包括进出时间、进出地点等限制，确保只有授权人员和车辆能够进出保护区。</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2.4白名单/黑名单管理：支持维护白名单和黑名单，白名单中的人员和车辆享有通行权，而黑名单中的人员和车辆则被禁止通行。系统会自动识别并作出相应处理。</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2.5快速取证：支持在发生违法行为时，系统能够记录相关信息并生成证据，包括照片、视频等，为执法部门提供有效的取证材料，加大对违法行为的打击力度。</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2.6车辆监测管理：支持对进出保护区的车辆进行监测管理，包括车牌识别、车辆信息记录等，确保车辆进出安全有序。</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978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0"/>
              </w:numPr>
              <w:suppressLineNumbers w:val="0"/>
              <w:tabs>
                <w:tab w:val="left" w:pos="2053"/>
              </w:tabs>
              <w:spacing w:before="0" w:beforeAutospacing="0" w:after="0" w:afterAutospacing="0" w:line="440" w:lineRule="exact"/>
              <w:ind w:left="0" w:right="0"/>
              <w:jc w:val="left"/>
              <w:textAlignment w:val="center"/>
              <w:rPr>
                <w:rFonts w:hint="eastAsia"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科普宣教平台</w:t>
            </w:r>
            <w:r>
              <w:rPr>
                <w:rFonts w:hint="eastAsia" w:ascii="宋体" w:hAnsi="宋体" w:cs="宋体"/>
                <w:b/>
                <w:bCs/>
                <w:color w:val="auto"/>
                <w:kern w:val="0"/>
                <w:sz w:val="22"/>
                <w:szCs w:val="22"/>
                <w:highlight w:val="none"/>
                <w:lang w:val="en-US" w:eastAsia="zh-CN" w:bidi="ar"/>
              </w:rPr>
              <w:t>服务</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网站首页设计</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一、网站首页信息浏览</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浏览当前保护区的网站首页信息</w:t>
            </w:r>
          </w:p>
          <w:p>
            <w:pPr>
              <w:keepNext w:val="0"/>
              <w:keepLines w:val="0"/>
              <w:widowControl w:val="0"/>
              <w:suppressLineNumbers w:val="0"/>
              <w:spacing w:before="0" w:beforeAutospacing="0" w:after="0" w:afterAutospacing="0"/>
              <w:ind w:left="0" w:right="0"/>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二、增加内容</w:t>
            </w:r>
          </w:p>
          <w:p>
            <w:pPr>
              <w:keepNext w:val="0"/>
              <w:keepLines w:val="0"/>
              <w:suppressLineNumbers w:val="0"/>
              <w:spacing w:before="0" w:beforeAutospacing="0" w:after="0" w:afterAutospacing="0"/>
              <w:ind w:left="0" w:right="0"/>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支持添加新的网站首页内容，包括概述、组织机构、领导风采、历史发展等方面的信息。</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三、删除内容</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支持删除已有的网站首页内容，例如删除过时或不再需要的信息。</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四、修改内容</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支持对现有的网站首页内容进行修改，更新保护区的最新情况。</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五、保存修改</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支持对网站首页内容进行编辑后，需要保存修改，以更新到系统中。</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物种影像库模块设计</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一、浏览内容</w:t>
            </w:r>
          </w:p>
          <w:p>
            <w:pPr>
              <w:keepNext w:val="0"/>
              <w:keepLines w:val="0"/>
              <w:suppressLineNumbers w:val="0"/>
              <w:spacing w:before="0" w:beforeAutospacing="0" w:after="0" w:afterAutospacing="0"/>
              <w:ind w:left="0" w:right="0"/>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支持浏览当前的影像集景，包括主页、视频集景和图片集景。</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二、增加内容</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支持添加新的影像集景，包括主页内容、视频集景和图片集景。对于视频集景，需要提供视频链接和相关信息；对于图片集景，需要上传图片并提供相关信息。</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三、删除内容</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支持删除已有的影像集景，例如删除过时或不再需要的内容。</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四、修改内容</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支持对现有的影像集景进行修改，更新内容或调整布局。</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五、保存修改</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支持对内容进行编辑后，需要保存修改，以更新到系统中。</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物种百科全书模块设计</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一、动物百科书</w:t>
            </w:r>
          </w:p>
          <w:p>
            <w:pPr>
              <w:keepNext w:val="0"/>
              <w:keepLines w:val="0"/>
              <w:suppressLineNumbers w:val="0"/>
              <w:spacing w:before="0" w:beforeAutospacing="0" w:after="0" w:afterAutospacing="0"/>
              <w:ind w:left="0" w:right="0"/>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支持根据动物等各类物种的名称、别名、保护等级、物种名录类型、分布区域、生活习性等科普知识的图片和文字的介绍。支持对相关信息的增删改查。</w:t>
            </w:r>
          </w:p>
          <w:p>
            <w:pPr>
              <w:keepNext w:val="0"/>
              <w:keepLines w:val="0"/>
              <w:widowControl/>
              <w:suppressLineNumbers w:val="0"/>
              <w:spacing w:before="0" w:beforeAutospacing="0" w:after="0" w:afterAutospacing="0"/>
              <w:ind w:left="0" w:right="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二、植物百科书</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b w:val="0"/>
                <w:bCs w:val="0"/>
                <w:color w:val="auto"/>
                <w:sz w:val="22"/>
                <w:szCs w:val="22"/>
                <w:highlight w:val="none"/>
              </w:rPr>
              <w:t>支持根据植物等各类物种的名称、别名、保护等级、物种名录类型、分布区域、生活习性等科普知识的图片和文字的介绍，支持对相关信息的增删改查。</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资讯动态模块设计</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一、浏览资讯动态内容</w:t>
            </w:r>
          </w:p>
          <w:p>
            <w:pPr>
              <w:keepNext w:val="0"/>
              <w:keepLines w:val="0"/>
              <w:suppressLineNumbers w:val="0"/>
              <w:spacing w:before="0" w:beforeAutospacing="0" w:after="0" w:afterAutospacing="0"/>
              <w:ind w:left="0" w:right="0"/>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浏览当前资讯中心、行业动态、政务公开等内容。</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二、增加资讯动态内容</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支持添加新的资讯、行业动态或政务公开信息，包括标题、内容、发布时间等信息。</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三、删除资讯动态内容</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支持删除已有的资讯、动态或公开信息，例如删除过时或不再需要的信息。</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四、修改资讯动态内容</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支持对现有的内容进行修改，更新最新的资讯、动态或公开信息。</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五、保存修改资讯动态</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支持对内容进行编辑后，需要保存修改，以更新到系统中。</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政策制度模块设计</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一、浏览政策制度内容</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浏览当前政策文件、制度文件等对外公开内容。</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二、增加政策制度文件</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支持添加新的政策文件、制度文件，包括标题、内容、发布时间等信息。</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三、删除政策制度文件</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支持删除已有的政策文件、制度文件，例如删除过时或不再需要的文件。</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四、修改内容</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支持对现有的内容进行修改，更新政策文件、制度文件。</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五、保存修改</w:t>
            </w:r>
          </w:p>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支持对内容进行编辑后，需要保存修改，以更新到系统中。</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公众参与模块设计</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cs="宋体"/>
                <w:b/>
                <w:bCs/>
                <w:color w:val="auto"/>
                <w:sz w:val="22"/>
                <w:szCs w:val="22"/>
                <w:highlight w:val="none"/>
              </w:rPr>
            </w:pPr>
            <w:r>
              <w:rPr>
                <w:rFonts w:hint="eastAsia" w:ascii="宋体" w:hAnsi="宋体" w:cs="宋体"/>
                <w:b w:val="0"/>
                <w:bCs w:val="0"/>
                <w:color w:val="auto"/>
                <w:sz w:val="22"/>
                <w:szCs w:val="22"/>
                <w:highlight w:val="none"/>
              </w:rPr>
              <w:t>公众参与中包括社区共建活动、研学实践活动、生态旅游路线。支持对以上内容进行新增、删除、编辑等管理功能。</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访客中心模块设计</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cs="宋体"/>
                <w:color w:val="auto"/>
                <w:sz w:val="22"/>
                <w:szCs w:val="22"/>
                <w:highlight w:val="none"/>
              </w:rPr>
            </w:pPr>
            <w:r>
              <w:rPr>
                <w:rFonts w:hint="eastAsia" w:ascii="宋体" w:hAnsi="宋体" w:cs="宋体"/>
                <w:b w:val="0"/>
                <w:bCs w:val="0"/>
                <w:color w:val="auto"/>
                <w:sz w:val="22"/>
                <w:szCs w:val="22"/>
                <w:highlight w:val="none"/>
              </w:rPr>
              <w:t>建立预约参观平台，实现参访网上预约、公众号或其它新媒体预约。对到访人员进行统计，系统提供相应管理方案</w:t>
            </w:r>
            <w:r>
              <w:rPr>
                <w:rFonts w:hint="eastAsia" w:ascii="宋体" w:hAnsi="宋体" w:cs="宋体"/>
                <w:color w:val="auto"/>
                <w:sz w:val="22"/>
                <w:szCs w:val="22"/>
                <w:highlight w:val="none"/>
              </w:rPr>
              <w:t>。访客可线上选择路线，参观方式，介绍人及其它配套服务等。对访客人员、时间、事由、访问对接人等信息进行登记、查询和统计。</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微信公众号对接</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通过微信公众号，提供保护区信息发布、信息公开、政策法规、资源展示、科研合作、科普教育、互动交流、生态旅游信息服务。</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r>
      <w:tr>
        <w:tblPrEx>
          <w:tblCellMar>
            <w:top w:w="0" w:type="dxa"/>
            <w:left w:w="108" w:type="dxa"/>
            <w:bottom w:w="0" w:type="dxa"/>
            <w:right w:w="108" w:type="dxa"/>
          </w:tblCellMar>
        </w:tblPrEx>
        <w:trPr>
          <w:trHeight w:val="90" w:hRule="atLeast"/>
        </w:trPr>
        <w:tc>
          <w:tcPr>
            <w:tcW w:w="978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1"/>
                <w:numId w:val="0"/>
              </w:numPr>
              <w:suppressLineNumbers w:val="0"/>
              <w:tabs>
                <w:tab w:val="left" w:pos="2053"/>
              </w:tabs>
              <w:spacing w:before="0" w:beforeAutospacing="0" w:after="0" w:afterAutospacing="0" w:line="440" w:lineRule="exact"/>
              <w:ind w:left="0" w:right="0"/>
              <w:jc w:val="left"/>
              <w:textAlignment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val="en-US" w:eastAsia="zh-CN"/>
              </w:rPr>
              <w:t>第二部分：软件</w:t>
            </w:r>
            <w:r>
              <w:rPr>
                <w:rFonts w:hint="eastAsia" w:ascii="宋体" w:hAnsi="宋体" w:cs="宋体"/>
                <w:b/>
                <w:bCs/>
                <w:color w:val="auto"/>
                <w:kern w:val="0"/>
                <w:sz w:val="22"/>
                <w:highlight w:val="none"/>
                <w:lang w:eastAsia="zh"/>
              </w:rPr>
              <w:t>配套</w:t>
            </w:r>
            <w:r>
              <w:rPr>
                <w:rFonts w:hint="eastAsia" w:ascii="宋体" w:hAnsi="宋体" w:cs="宋体"/>
                <w:b/>
                <w:bCs/>
                <w:color w:val="auto"/>
                <w:kern w:val="0"/>
                <w:sz w:val="22"/>
                <w:highlight w:val="none"/>
                <w:lang w:val="en-US" w:eastAsia="zh-CN"/>
              </w:rPr>
              <w:t>服务</w:t>
            </w:r>
          </w:p>
        </w:tc>
      </w:tr>
      <w:tr>
        <w:tblPrEx>
          <w:tblCellMar>
            <w:top w:w="0" w:type="dxa"/>
            <w:left w:w="108" w:type="dxa"/>
            <w:bottom w:w="0" w:type="dxa"/>
            <w:right w:w="108" w:type="dxa"/>
          </w:tblCellMar>
        </w:tblPrEx>
        <w:trPr>
          <w:trHeight w:val="90" w:hRule="atLeast"/>
        </w:trPr>
        <w:tc>
          <w:tcPr>
            <w:tcW w:w="978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1"/>
                <w:numId w:val="0"/>
              </w:numPr>
              <w:suppressLineNumbers w:val="0"/>
              <w:tabs>
                <w:tab w:val="left" w:pos="2053"/>
              </w:tabs>
              <w:spacing w:before="0" w:beforeAutospacing="0" w:after="0" w:afterAutospacing="0" w:line="440" w:lineRule="exact"/>
              <w:ind w:left="0" w:right="0"/>
              <w:jc w:val="left"/>
              <w:textAlignment w:val="center"/>
              <w:rPr>
                <w:rFonts w:hint="eastAsia" w:ascii="宋体" w:hAnsi="宋体" w:cs="宋体"/>
                <w:b/>
                <w:bCs/>
                <w:color w:val="auto"/>
                <w:kern w:val="0"/>
                <w:sz w:val="22"/>
                <w:highlight w:val="none"/>
                <w:lang w:eastAsia="zh"/>
              </w:rPr>
            </w:pPr>
            <w:r>
              <w:rPr>
                <w:rFonts w:hint="eastAsia" w:ascii="宋体" w:hAnsi="宋体" w:cs="宋体"/>
                <w:b/>
                <w:bCs/>
                <w:color w:val="auto"/>
                <w:kern w:val="0"/>
                <w:sz w:val="22"/>
                <w:highlight w:val="none"/>
                <w:lang w:val="en-US" w:eastAsia="zh-CN"/>
              </w:rPr>
              <w:t>一、</w:t>
            </w:r>
            <w:r>
              <w:rPr>
                <w:rFonts w:hint="eastAsia" w:ascii="宋体" w:hAnsi="宋体" w:cs="宋体"/>
                <w:b/>
                <w:bCs/>
                <w:color w:val="auto"/>
                <w:kern w:val="0"/>
                <w:sz w:val="22"/>
                <w:highlight w:val="none"/>
                <w:lang w:eastAsia="zh"/>
              </w:rPr>
              <w:t>云数据中心信创资源配套</w:t>
            </w:r>
            <w:r>
              <w:rPr>
                <w:rFonts w:hint="eastAsia" w:ascii="宋体" w:hAnsi="宋体" w:cs="宋体"/>
                <w:b/>
                <w:bCs/>
                <w:color w:val="auto"/>
                <w:kern w:val="0"/>
                <w:sz w:val="22"/>
                <w:highlight w:val="none"/>
                <w:lang w:val="en-US" w:eastAsia="zh-CN"/>
              </w:rPr>
              <w:t>服务</w:t>
            </w:r>
          </w:p>
        </w:tc>
      </w:tr>
      <w:tr>
        <w:tblPrEx>
          <w:tblCellMar>
            <w:top w:w="0" w:type="dxa"/>
            <w:left w:w="108" w:type="dxa"/>
            <w:bottom w:w="0" w:type="dxa"/>
            <w:right w:w="108" w:type="dxa"/>
          </w:tblCellMar>
        </w:tblPrEx>
        <w:trPr>
          <w:trHeight w:val="312"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国产化数据库</w:t>
            </w:r>
            <w:r>
              <w:rPr>
                <w:rFonts w:hint="eastAsia" w:ascii="宋体" w:hAnsi="宋体" w:cs="宋体"/>
                <w:color w:val="auto"/>
                <w:kern w:val="0"/>
                <w:sz w:val="22"/>
                <w:szCs w:val="22"/>
                <w:highlight w:val="none"/>
                <w:lang w:val="en-US" w:eastAsia="zh-CN" w:bidi="ar"/>
              </w:rPr>
              <w:t>服务</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eastAsia="zh"/>
              </w:rPr>
            </w:pPr>
            <w:r>
              <w:rPr>
                <w:rFonts w:hint="eastAsia" w:ascii="宋体" w:hAnsi="宋体" w:cs="宋体"/>
                <w:color w:val="auto"/>
                <w:kern w:val="0"/>
                <w:sz w:val="22"/>
                <w:szCs w:val="22"/>
                <w:highlight w:val="none"/>
                <w:lang w:eastAsia="zh"/>
              </w:rPr>
              <w:t>1.</w:t>
            </w:r>
            <w:bookmarkStart w:id="147" w:name="OLE_LINK1"/>
            <w:r>
              <w:rPr>
                <w:rFonts w:hint="eastAsia" w:ascii="宋体" w:hAnsi="宋体" w:cs="宋体"/>
                <w:color w:val="auto"/>
                <w:kern w:val="0"/>
                <w:sz w:val="22"/>
                <w:szCs w:val="22"/>
                <w:highlight w:val="none"/>
                <w:lang w:val="en-US" w:eastAsia="zh-CN"/>
              </w:rPr>
              <w:t>服务配套产品需</w:t>
            </w:r>
            <w:bookmarkEnd w:id="147"/>
            <w:r>
              <w:rPr>
                <w:rFonts w:hint="eastAsia" w:ascii="宋体" w:hAnsi="宋体" w:cs="宋体"/>
                <w:color w:val="auto"/>
                <w:kern w:val="0"/>
                <w:sz w:val="22"/>
                <w:szCs w:val="22"/>
                <w:highlight w:val="none"/>
                <w:lang w:eastAsia="zh"/>
              </w:rPr>
              <w:t>符合信创产品名录；2.支持coordinate节点，集群无惧断电，秒级故障切换；3.兼容包括DPI、OCI、OO4O、OCCI、OOPI、OTL、QT、Pro*C、Python3、PHP、Perl、django、sqlalchemy、JDBC、hibernate、.NET DATA PROVIDER、EFDmProvider、EFCore、NHibernate、DDEX、ODBC等多种数据库开发接口与框架。</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套</w:t>
            </w:r>
          </w:p>
        </w:tc>
      </w:tr>
      <w:tr>
        <w:tblPrEx>
          <w:tblCellMar>
            <w:top w:w="0" w:type="dxa"/>
            <w:left w:w="108" w:type="dxa"/>
            <w:bottom w:w="0" w:type="dxa"/>
            <w:right w:w="108" w:type="dxa"/>
          </w:tblCellMar>
        </w:tblPrEx>
        <w:trPr>
          <w:trHeight w:val="795"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国产化中间件</w:t>
            </w:r>
            <w:r>
              <w:rPr>
                <w:rFonts w:hint="eastAsia" w:ascii="宋体" w:hAnsi="宋体" w:cs="宋体"/>
                <w:color w:val="auto"/>
                <w:kern w:val="0"/>
                <w:sz w:val="22"/>
                <w:szCs w:val="22"/>
                <w:highlight w:val="none"/>
                <w:lang w:val="en-US" w:eastAsia="zh-CN" w:bidi="ar"/>
              </w:rPr>
              <w:t>服务</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kern w:val="0"/>
                <w:sz w:val="22"/>
                <w:highlight w:val="none"/>
              </w:rPr>
            </w:pPr>
            <w:r>
              <w:rPr>
                <w:rFonts w:hint="eastAsia" w:ascii="宋体" w:hAnsi="宋体" w:cs="宋体"/>
                <w:color w:val="auto"/>
                <w:kern w:val="0"/>
                <w:sz w:val="22"/>
                <w:highlight w:val="none"/>
                <w:lang w:eastAsia="zh"/>
              </w:rPr>
              <w:t>1.</w:t>
            </w:r>
            <w:r>
              <w:rPr>
                <w:rFonts w:hint="eastAsia" w:ascii="宋体" w:hAnsi="宋体" w:cs="宋体"/>
                <w:color w:val="auto"/>
                <w:kern w:val="0"/>
                <w:sz w:val="22"/>
                <w:szCs w:val="22"/>
                <w:highlight w:val="none"/>
                <w:lang w:val="en-US" w:eastAsia="zh-CN"/>
              </w:rPr>
              <w:t>服务配套产品需</w:t>
            </w:r>
            <w:r>
              <w:rPr>
                <w:rFonts w:hint="eastAsia" w:ascii="宋体" w:hAnsi="宋体" w:cs="宋体"/>
                <w:color w:val="auto"/>
                <w:kern w:val="0"/>
                <w:sz w:val="22"/>
                <w:highlight w:val="none"/>
                <w:lang w:eastAsia="zh"/>
              </w:rPr>
              <w:t>符合信创产品名录；2.数据传输支持国家商用密码算法和支持国家SSL VPN协议，实现了SM2、SM3、SM4密码算法;3.基于Netty实现文件不间断传输和断点续传，充分利用网络带宽，实现服务器与消费者收发文件，传输性能臻于网络带宽极致</w:t>
            </w:r>
            <w:r>
              <w:rPr>
                <w:rFonts w:hint="eastAsia" w:ascii="宋体" w:hAnsi="宋体" w:cs="宋体"/>
                <w:color w:val="auto"/>
                <w:kern w:val="0"/>
                <w:sz w:val="22"/>
                <w:highlight w:val="none"/>
              </w:rPr>
              <w:t>。</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套</w:t>
            </w:r>
          </w:p>
        </w:tc>
      </w:tr>
      <w:tr>
        <w:tblPrEx>
          <w:tblCellMar>
            <w:top w:w="0" w:type="dxa"/>
            <w:left w:w="108" w:type="dxa"/>
            <w:bottom w:w="0" w:type="dxa"/>
            <w:right w:w="108" w:type="dxa"/>
          </w:tblCellMar>
        </w:tblPrEx>
        <w:trPr>
          <w:trHeight w:val="23" w:hRule="atLeast"/>
        </w:trPr>
        <w:tc>
          <w:tcPr>
            <w:tcW w:w="978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1"/>
                <w:numId w:val="0"/>
              </w:numPr>
              <w:suppressLineNumbers w:val="0"/>
              <w:tabs>
                <w:tab w:val="left" w:pos="2053"/>
              </w:tabs>
              <w:spacing w:before="0" w:beforeAutospacing="0" w:after="0" w:afterAutospacing="0" w:line="440" w:lineRule="exact"/>
              <w:ind w:left="0" w:right="0"/>
              <w:jc w:val="left"/>
              <w:textAlignment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val="en-US" w:eastAsia="zh-CN"/>
              </w:rPr>
              <w:t>二、</w:t>
            </w:r>
            <w:r>
              <w:rPr>
                <w:rFonts w:hint="eastAsia" w:ascii="宋体" w:hAnsi="宋体" w:cs="宋体"/>
                <w:b/>
                <w:bCs/>
                <w:color w:val="auto"/>
                <w:kern w:val="0"/>
                <w:sz w:val="22"/>
                <w:highlight w:val="none"/>
              </w:rPr>
              <w:t>监控指挥中心</w:t>
            </w:r>
            <w:r>
              <w:rPr>
                <w:rFonts w:hint="eastAsia" w:ascii="宋体" w:hAnsi="宋体" w:cs="宋体"/>
                <w:b/>
                <w:bCs/>
                <w:color w:val="auto"/>
                <w:kern w:val="0"/>
                <w:sz w:val="22"/>
                <w:highlight w:val="none"/>
                <w:lang w:val="en-US" w:eastAsia="zh-CN"/>
              </w:rPr>
              <w:t>升级改造技术服务</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val="en-US" w:eastAsia="zh-CN" w:bidi="ar"/>
              </w:rPr>
              <w:t>基础设施升级改造技术服务</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auto"/>
              <w:rPr>
                <w:rFonts w:hint="eastAsia" w:ascii="宋体" w:hAnsi="宋体" w:eastAsia="宋体" w:cs="宋体"/>
                <w:color w:val="auto"/>
                <w:kern w:val="0"/>
                <w:sz w:val="22"/>
                <w:szCs w:val="22"/>
                <w:highlight w:val="none"/>
                <w:lang w:eastAsia="zh" w:bidi="ar"/>
              </w:rPr>
            </w:pPr>
            <w:r>
              <w:rPr>
                <w:rFonts w:hint="eastAsia" w:ascii="宋体" w:hAnsi="宋体" w:cs="宋体"/>
                <w:color w:val="auto"/>
                <w:kern w:val="0"/>
                <w:sz w:val="22"/>
                <w:szCs w:val="22"/>
                <w:highlight w:val="none"/>
                <w:lang w:val="en-US" w:eastAsia="zh-CN" w:bidi="ar"/>
              </w:rPr>
              <w:t>对监控指挥中心外部区域进行升级改造，具体技术服务内容及要求如下</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一、</w:t>
            </w:r>
            <w:r>
              <w:rPr>
                <w:rFonts w:hint="eastAsia" w:ascii="宋体" w:hAnsi="宋体" w:cs="宋体"/>
                <w:color w:val="auto"/>
                <w:kern w:val="0"/>
                <w:sz w:val="22"/>
                <w:szCs w:val="22"/>
                <w:highlight w:val="none"/>
                <w:lang w:val="en-US" w:eastAsia="zh-CN" w:bidi="ar"/>
              </w:rPr>
              <w:t>拆除清理：包含散水处陶瓷地砖24.71㎡，生锈金属屋面及门头（不含厕所）204.1㎡</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二、</w:t>
            </w:r>
            <w:r>
              <w:rPr>
                <w:rFonts w:hint="eastAsia" w:ascii="宋体" w:hAnsi="宋体" w:cs="宋体"/>
                <w:color w:val="auto"/>
                <w:kern w:val="0"/>
                <w:sz w:val="22"/>
                <w:szCs w:val="22"/>
                <w:highlight w:val="none"/>
                <w:lang w:val="en-US" w:eastAsia="zh-CN" w:bidi="ar"/>
              </w:rPr>
              <w:t>基础结构优化</w:t>
            </w:r>
            <w:r>
              <w:rPr>
                <w:rFonts w:hint="eastAsia" w:ascii="宋体" w:hAnsi="宋体" w:cs="宋体"/>
                <w:color w:val="auto"/>
                <w:kern w:val="0"/>
                <w:sz w:val="22"/>
                <w:szCs w:val="22"/>
                <w:highlight w:val="none"/>
                <w:lang w:bidi="ar"/>
              </w:rPr>
              <w:t>：铝复合板屋面（不含厕所）161.12㎡</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t>屋面水槽36m</w:t>
            </w:r>
            <w:r>
              <w:rPr>
                <w:rFonts w:hint="eastAsia" w:ascii="宋体" w:hAnsi="宋体" w:cs="宋体"/>
                <w:color w:val="auto"/>
                <w:kern w:val="0"/>
                <w:sz w:val="22"/>
                <w:szCs w:val="22"/>
                <w:highlight w:val="none"/>
                <w:lang w:eastAsia="zh-CN" w:bidi="ar"/>
              </w:rPr>
              <w:t>、PVC排水管（DN100）20.56m、PVC雨水斗（150）</w:t>
            </w:r>
            <w:r>
              <w:rPr>
                <w:rFonts w:hint="eastAsia" w:ascii="宋体" w:hAnsi="宋体" w:cs="宋体"/>
                <w:color w:val="auto"/>
                <w:kern w:val="0"/>
                <w:sz w:val="22"/>
                <w:szCs w:val="22"/>
                <w:highlight w:val="none"/>
                <w:lang w:val="en-US" w:eastAsia="zh-CN" w:bidi="ar"/>
              </w:rPr>
              <w:t>4个</w:t>
            </w:r>
            <w:r>
              <w:rPr>
                <w:rFonts w:hint="eastAsia" w:ascii="宋体" w:hAnsi="宋体" w:cs="宋体"/>
                <w:color w:val="auto"/>
                <w:kern w:val="0"/>
                <w:sz w:val="22"/>
                <w:szCs w:val="22"/>
                <w:highlight w:val="none"/>
                <w:lang w:eastAsia="zh-CN" w:bidi="ar"/>
              </w:rPr>
              <w:t>、招牌钢结构42.98㎡、招牌面板52.21㎡、台阶块料（楼地面室外散水处）36.6</w:t>
            </w:r>
            <w:r>
              <w:rPr>
                <w:rFonts w:hint="eastAsia" w:ascii="宋体" w:hAnsi="宋体" w:cs="宋体"/>
                <w:color w:val="auto"/>
                <w:kern w:val="0"/>
                <w:sz w:val="22"/>
                <w:szCs w:val="22"/>
                <w:highlight w:val="none"/>
                <w:lang w:val="en-US" w:eastAsia="zh-CN" w:bidi="ar"/>
              </w:rPr>
              <w:t>m</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三、</w:t>
            </w:r>
            <w:r>
              <w:rPr>
                <w:rFonts w:hint="eastAsia" w:ascii="宋体" w:hAnsi="宋体" w:cs="宋体"/>
                <w:color w:val="auto"/>
                <w:kern w:val="0"/>
                <w:sz w:val="22"/>
                <w:szCs w:val="22"/>
                <w:highlight w:val="none"/>
                <w:lang w:val="en-US" w:eastAsia="zh-CN" w:bidi="ar"/>
              </w:rPr>
              <w:t>门头装饰：新增PVC字2519cm</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四、</w:t>
            </w:r>
            <w:r>
              <w:rPr>
                <w:rFonts w:hint="eastAsia" w:ascii="宋体" w:hAnsi="宋体" w:cs="宋体"/>
                <w:color w:val="auto"/>
                <w:kern w:val="0"/>
                <w:sz w:val="22"/>
                <w:szCs w:val="22"/>
                <w:highlight w:val="none"/>
                <w:lang w:val="en-US" w:eastAsia="zh-CN" w:bidi="ar"/>
              </w:rPr>
              <w:t>以上服务实施中所需的各类安全保障物料由供应商自行提供。</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w:t>
            </w:r>
          </w:p>
        </w:tc>
      </w:tr>
      <w:tr>
        <w:tblPrEx>
          <w:tblCellMar>
            <w:top w:w="0" w:type="dxa"/>
            <w:left w:w="108" w:type="dxa"/>
            <w:bottom w:w="0" w:type="dxa"/>
            <w:right w:w="108" w:type="dxa"/>
          </w:tblCellMar>
        </w:tblPrEx>
        <w:trPr>
          <w:trHeight w:val="23"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2</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监控数据集中存储服务</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一、</w:t>
            </w:r>
            <w:r>
              <w:rPr>
                <w:rFonts w:hint="eastAsia"/>
                <w:color w:val="auto"/>
                <w:highlight w:val="none"/>
              </w:rPr>
              <w:t>要求基于视频</w:t>
            </w:r>
            <w:r>
              <w:rPr>
                <w:rFonts w:hint="eastAsia"/>
                <w:color w:val="auto"/>
                <w:highlight w:val="none"/>
                <w:lang w:val="en-US" w:eastAsia="zh-CN"/>
              </w:rPr>
              <w:t>国标</w:t>
            </w:r>
            <w:r>
              <w:rPr>
                <w:rFonts w:hint="eastAsia"/>
                <w:color w:val="auto"/>
                <w:highlight w:val="none"/>
              </w:rPr>
              <w:t>技术，在监控</w:t>
            </w:r>
            <w:r>
              <w:rPr>
                <w:rFonts w:hint="eastAsia"/>
                <w:color w:val="auto"/>
                <w:highlight w:val="none"/>
                <w:lang w:val="en-US" w:eastAsia="zh-CN"/>
              </w:rPr>
              <w:t>指挥</w:t>
            </w:r>
            <w:r>
              <w:rPr>
                <w:rFonts w:hint="eastAsia"/>
                <w:color w:val="auto"/>
                <w:highlight w:val="none"/>
              </w:rPr>
              <w:t>中心提供</w:t>
            </w:r>
            <w:r>
              <w:rPr>
                <w:rFonts w:hint="eastAsia"/>
                <w:color w:val="auto"/>
                <w:highlight w:val="none"/>
                <w:lang w:val="en-US" w:eastAsia="zh-CN"/>
              </w:rPr>
              <w:t>前端视频监控实时视频流存储服务</w:t>
            </w:r>
            <w:r>
              <w:rPr>
                <w:rFonts w:hint="eastAsia"/>
                <w:color w:val="auto"/>
                <w:highlight w:val="none"/>
              </w:rPr>
              <w:t>，实现接入监控视频全天24小时存储，</w:t>
            </w:r>
            <w:r>
              <w:rPr>
                <w:rFonts w:hint="eastAsia"/>
                <w:color w:val="auto"/>
                <w:highlight w:val="none"/>
                <w:lang w:val="en-US" w:eastAsia="zh-CN"/>
              </w:rPr>
              <w:t>具体服务参数及要求如下：</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1、支持≥16路H.264、H.265格式高清码流接入。</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2、</w:t>
            </w:r>
            <w:r>
              <w:rPr>
                <w:rFonts w:hint="eastAsia" w:hAnsi="宋体" w:cs="宋体"/>
                <w:bCs/>
                <w:color w:val="auto"/>
                <w:szCs w:val="21"/>
                <w:highlight w:val="none"/>
              </w:rPr>
              <w:t>▲</w:t>
            </w:r>
            <w:r>
              <w:rPr>
                <w:rFonts w:hint="eastAsia"/>
                <w:color w:val="auto"/>
                <w:highlight w:val="none"/>
                <w:lang w:val="en-US" w:eastAsia="zh-CN"/>
              </w:rPr>
              <w:t>支持最大接入带宽≥256Mbps，最大存储带宽≥256Mbps，最大转发带宽≥256Mbps，支持≥4通道输出，包括HDMI1、HDMI2、VGA1、VGA2，各输出口均支持显示系统主菜单，且每路均可分别进行预览、回放、配置等操作。</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3、可设置输出分辨率为1024×768/60Hz、1280×720/60Hz、1280×1024/60Hz、1600×1200/60Hz、1920×1080/60Hz、2560×1440/60Hz、4K(3840×2160)/30Hz选项，可自适应显示器的最佳分辨率进行图像显示。</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4、可同时解码输出≥16路2MP、H.265编码、25fps、1920×1080格式的视频图像。</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5、</w:t>
            </w:r>
            <w:r>
              <w:rPr>
                <w:rFonts w:hint="eastAsia" w:hAnsi="宋体" w:cs="宋体"/>
                <w:bCs/>
                <w:color w:val="auto"/>
                <w:szCs w:val="21"/>
                <w:highlight w:val="none"/>
              </w:rPr>
              <w:t>▲</w:t>
            </w:r>
            <w:r>
              <w:rPr>
                <w:rFonts w:hint="eastAsia"/>
                <w:color w:val="auto"/>
                <w:highlight w:val="none"/>
                <w:lang w:val="en-US" w:eastAsia="zh-CN"/>
              </w:rPr>
              <w:t>支持≥4路视频流人脸识别，支持≥16路图片流人脸识别，采用单人戴口罩正脸依次循环通行进行试验，试验人员数量不小于5人，通过速度不小于1m/s，人员通过间隔时间不大于1s，戴口罩人脸检出率不低于99%，人脸正对相机、人脸无遮挡等干扰情况，人脸识别准确率≥99%。</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6、支持用户名与IP地址或MAC地址绑定，绑定后只允许固定IP或MAC地址的固定用户名在固定PC端进行登录操作。</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7、安全日志支持通过日志服务器进行双备份，日志传输过程支持TLS协议传输加密。</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8、</w:t>
            </w:r>
            <w:r>
              <w:rPr>
                <w:rFonts w:hint="eastAsia" w:hAnsi="宋体" w:cs="宋体"/>
                <w:bCs/>
                <w:color w:val="auto"/>
                <w:szCs w:val="21"/>
                <w:highlight w:val="none"/>
              </w:rPr>
              <w:t>▲</w:t>
            </w:r>
            <w:r>
              <w:rPr>
                <w:rFonts w:hint="eastAsia"/>
                <w:color w:val="auto"/>
                <w:highlight w:val="none"/>
                <w:lang w:val="en-US" w:eastAsia="zh-CN"/>
              </w:rPr>
              <w:t>支持音频设备与视频设备独立管理，支持网络拾音器的接入、校时，最大支持≥16路音频设备管理，支持音视频动态调整组合分配功能，可将任一路音频与任一路视频组合成复合流编码。</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9、支持目标抓拍、比对报警，支持以图搜图、按姓名检索、按属性检索，支持≥16个名单库，总库容≥5万张。</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10、</w:t>
            </w:r>
            <w:r>
              <w:rPr>
                <w:rFonts w:hint="eastAsia" w:hAnsi="宋体" w:cs="宋体"/>
                <w:bCs/>
                <w:color w:val="auto"/>
                <w:szCs w:val="21"/>
                <w:highlight w:val="none"/>
              </w:rPr>
              <w:t>▲</w:t>
            </w:r>
            <w:r>
              <w:rPr>
                <w:rFonts w:hint="eastAsia"/>
                <w:color w:val="auto"/>
                <w:highlight w:val="none"/>
                <w:lang w:val="en-US" w:eastAsia="zh-CN"/>
              </w:rPr>
              <w:t>支持报警事件、异常事件计数提醒功能，以图标形式在监控界面上提醒用户，异常事件包括硬盘满、硬盘错误、网络断开、IP 冲突、非法访问、视频信号丢失、录像/抓图异常、IP通道冲突、热备异常、子码流分辨率/码率超限、配件板异常、硬盘高温异常、硬盘低温异常、硬盘坏块异常、硬盘撞击异常、硬盘严重故障异常、无码流异常等。</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11、支持本地预览权限的配置，设置权限后的通道只有登录后才会出现预览画面，支持远程预览加密，只有输入密钥才能解开视频，支持码流AES加密设置。</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12、支持自动维护功能，可根据设置时间点启用系统自动维护流程，包括自检、重启、取流、录像、恢复系统运行。</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13、存储服务容量≥6T*2，转速≥5400RPM,缓冲区≥256MB*2。</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二、</w:t>
            </w:r>
            <w:r>
              <w:rPr>
                <w:rFonts w:hint="eastAsia"/>
                <w:color w:val="auto"/>
                <w:highlight w:val="none"/>
              </w:rPr>
              <w:t>在监控</w:t>
            </w:r>
            <w:r>
              <w:rPr>
                <w:rFonts w:hint="eastAsia"/>
                <w:color w:val="auto"/>
                <w:highlight w:val="none"/>
                <w:lang w:val="en-US" w:eastAsia="zh-CN"/>
              </w:rPr>
              <w:t>指挥</w:t>
            </w:r>
            <w:r>
              <w:rPr>
                <w:rFonts w:hint="eastAsia"/>
                <w:color w:val="auto"/>
                <w:highlight w:val="none"/>
              </w:rPr>
              <w:t>中心提供</w:t>
            </w:r>
            <w:r>
              <w:rPr>
                <w:rFonts w:hint="eastAsia"/>
                <w:color w:val="auto"/>
                <w:highlight w:val="none"/>
                <w:lang w:val="en-US" w:eastAsia="zh-CN"/>
              </w:rPr>
              <w:t>前端视频触发重点事件数据存储服务</w:t>
            </w:r>
            <w:r>
              <w:rPr>
                <w:rFonts w:hint="eastAsia"/>
                <w:color w:val="auto"/>
                <w:highlight w:val="none"/>
              </w:rPr>
              <w:t>，</w:t>
            </w:r>
            <w:r>
              <w:rPr>
                <w:rFonts w:hint="eastAsia"/>
                <w:color w:val="auto"/>
                <w:highlight w:val="none"/>
                <w:lang w:val="en-US" w:eastAsia="zh-CN"/>
              </w:rPr>
              <w:t>具体服务参数及要求如下：</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1、支持≥16存储模块，支持RAID即建即用，支持逻辑卷的动态在线扩展。</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2、支持存储模块检测及修复，供存储模块使用前的预检技术，能做到未使用先预防；提供存储模块使用中的巡检技术，能做到及时报警；提供存储模块故障后的修复技术和复活技术，能提高存储模块使用效率。</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3、支持RAID 0、1、3、5、6、10、50、VRAID多种RAID模式，以及全局热备和局部热备，多重数据安全保护。</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4、支持系统关键信息在系统空间和存储模块中进行同步实时备份。</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5、支持卷克隆，当RAID不可用时，只要存储模块可读，即可通过卷克隆技术恢复数据。</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6、支持SADP协议，可自动搜索局域网内在线存储。</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7、支持通过SNMP与主流网管系统的对接，支持多存储模块集中管理。</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8、支持逻辑卷管理，支持NAS卷、iSCSI卷。</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9、支持日志下载，U盘自动下载或者登陆网页本地保存。</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10、提供基于RAID的写一次读多次数据防篡改技术，数据一旦写入WORM空间，将不能被删除或者更改，确保数据的真实性。</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color w:val="auto"/>
                <w:highlight w:val="none"/>
                <w:lang w:val="en-US" w:eastAsia="zh-CN"/>
              </w:rPr>
            </w:pPr>
            <w:r>
              <w:rPr>
                <w:rFonts w:hint="eastAsia"/>
                <w:color w:val="auto"/>
                <w:highlight w:val="none"/>
                <w:lang w:val="en-US" w:eastAsia="zh-CN"/>
              </w:rPr>
              <w:t>11、存储服务容量≥6T*8，转速≥7200RPM,缓冲区≥256MB*8。</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三、提供监控指挥中心</w:t>
            </w:r>
            <w:r>
              <w:rPr>
                <w:rFonts w:hint="eastAsia" w:ascii="宋体" w:hAnsi="宋体" w:cs="宋体"/>
                <w:color w:val="auto"/>
                <w:kern w:val="0"/>
                <w:sz w:val="22"/>
                <w:szCs w:val="22"/>
                <w:highlight w:val="none"/>
                <w:lang w:bidi="ar"/>
              </w:rPr>
              <w:t>用电安全</w:t>
            </w:r>
            <w:r>
              <w:rPr>
                <w:rFonts w:hint="eastAsia" w:ascii="宋体" w:hAnsi="宋体" w:cs="宋体"/>
                <w:color w:val="auto"/>
                <w:kern w:val="0"/>
                <w:sz w:val="22"/>
                <w:szCs w:val="22"/>
                <w:highlight w:val="none"/>
                <w:lang w:val="en-US" w:eastAsia="zh-CN" w:bidi="ar"/>
              </w:rPr>
              <w:t>升级服务，以保障日常稳定用电，做到主动用电管理，展示整体用电状态，</w:t>
            </w:r>
            <w:bookmarkStart w:id="148" w:name="OLE_LINK3"/>
            <w:r>
              <w:rPr>
                <w:rFonts w:hint="eastAsia" w:ascii="宋体" w:hAnsi="宋体" w:cs="宋体"/>
                <w:color w:val="auto"/>
                <w:kern w:val="0"/>
                <w:sz w:val="22"/>
                <w:szCs w:val="22"/>
                <w:highlight w:val="none"/>
                <w:lang w:val="en-US" w:eastAsia="zh-CN" w:bidi="ar"/>
              </w:rPr>
              <w:t>具体服务参数及要求如下</w:t>
            </w:r>
            <w:bookmarkEnd w:id="148"/>
            <w:r>
              <w:rPr>
                <w:rFonts w:hint="eastAsia" w:ascii="宋体" w:hAnsi="宋体" w:cs="宋体"/>
                <w:color w:val="auto"/>
                <w:kern w:val="0"/>
                <w:sz w:val="22"/>
                <w:szCs w:val="22"/>
                <w:highlight w:val="none"/>
                <w:lang w:val="en-US" w:eastAsia="zh-CN" w:bidi="ar"/>
              </w:rPr>
              <w:t>：</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cs="宋体"/>
                <w:color w:val="auto"/>
                <w:kern w:val="0"/>
                <w:sz w:val="22"/>
                <w:szCs w:val="22"/>
                <w:highlight w:val="none"/>
                <w:lang w:val="en-US" w:eastAsia="zh-CN" w:bidi="ar"/>
              </w:rPr>
            </w:pPr>
            <w:r>
              <w:rPr>
                <w:rFonts w:hint="default" w:ascii="宋体" w:hAnsi="宋体" w:cs="宋体"/>
                <w:color w:val="auto"/>
                <w:kern w:val="0"/>
                <w:sz w:val="22"/>
                <w:szCs w:val="22"/>
                <w:highlight w:val="none"/>
                <w:lang w:val="en-US" w:eastAsia="zh-CN" w:bidi="ar"/>
              </w:rPr>
              <w:t>1、可控电源不少于8路，兼容中规、美规、欧规插座；</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cs="宋体"/>
                <w:color w:val="auto"/>
                <w:kern w:val="0"/>
                <w:sz w:val="22"/>
                <w:szCs w:val="22"/>
                <w:highlight w:val="none"/>
                <w:lang w:val="en-US" w:eastAsia="zh-CN" w:bidi="ar"/>
              </w:rPr>
            </w:pPr>
            <w:r>
              <w:rPr>
                <w:rFonts w:hint="eastAsia" w:hAnsi="宋体" w:cs="宋体"/>
                <w:bCs/>
                <w:color w:val="auto"/>
                <w:szCs w:val="21"/>
                <w:highlight w:val="none"/>
              </w:rPr>
              <w:t>▲</w:t>
            </w:r>
            <w:r>
              <w:rPr>
                <w:rFonts w:hint="default" w:ascii="宋体" w:hAnsi="宋体" w:cs="宋体"/>
                <w:color w:val="auto"/>
                <w:kern w:val="0"/>
                <w:sz w:val="22"/>
                <w:szCs w:val="22"/>
                <w:highlight w:val="none"/>
                <w:lang w:val="en-US" w:eastAsia="zh-CN" w:bidi="ar"/>
              </w:rPr>
              <w:t xml:space="preserve">2、不可控制电源：前面板带不少于4路直通多功能电源插口； </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cs="宋体"/>
                <w:color w:val="auto"/>
                <w:kern w:val="0"/>
                <w:sz w:val="22"/>
                <w:szCs w:val="22"/>
                <w:highlight w:val="none"/>
                <w:lang w:val="en-US" w:eastAsia="zh-CN" w:bidi="ar"/>
              </w:rPr>
            </w:pPr>
            <w:r>
              <w:rPr>
                <w:rFonts w:hint="default" w:ascii="宋体" w:hAnsi="宋体" w:cs="宋体"/>
                <w:color w:val="auto"/>
                <w:kern w:val="0"/>
                <w:sz w:val="22"/>
                <w:szCs w:val="22"/>
                <w:highlight w:val="none"/>
                <w:lang w:val="en-US" w:eastAsia="zh-CN" w:bidi="ar"/>
              </w:rPr>
              <w:t>3、机器面板自带不少于一个飞梭控制旋钮，配合显示屏可做保存调用模式、中文、英文语言选择、级联开关设置、波特率选择、ID选择、初始化设定、电压校准、过压欠压设置、保护开关或自动设置、时间设置、上电自启设置、定时开关设置、通道开关机延时设置、软件版本、端口、设备名称查看、IP设置；</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cs="宋体"/>
                <w:color w:val="auto"/>
                <w:kern w:val="0"/>
                <w:sz w:val="22"/>
                <w:szCs w:val="22"/>
                <w:highlight w:val="none"/>
                <w:lang w:val="en-US" w:eastAsia="zh-CN" w:bidi="ar"/>
              </w:rPr>
            </w:pPr>
            <w:r>
              <w:rPr>
                <w:rFonts w:hint="default" w:ascii="宋体" w:hAnsi="宋体" w:cs="宋体"/>
                <w:color w:val="auto"/>
                <w:kern w:val="0"/>
                <w:sz w:val="22"/>
                <w:szCs w:val="22"/>
                <w:highlight w:val="none"/>
                <w:lang w:val="en-US" w:eastAsia="zh-CN" w:bidi="ar"/>
              </w:rPr>
              <w:t>4、单路额定输出电流：30A ；</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cs="宋体"/>
                <w:color w:val="auto"/>
                <w:kern w:val="0"/>
                <w:sz w:val="22"/>
                <w:szCs w:val="22"/>
                <w:highlight w:val="none"/>
                <w:lang w:val="en-US" w:eastAsia="zh-CN" w:bidi="ar"/>
              </w:rPr>
            </w:pPr>
            <w:r>
              <w:rPr>
                <w:rFonts w:hint="eastAsia" w:hAnsi="宋体" w:cs="宋体"/>
                <w:bCs/>
                <w:color w:val="auto"/>
                <w:szCs w:val="21"/>
                <w:highlight w:val="none"/>
              </w:rPr>
              <w:t>▲</w:t>
            </w:r>
            <w:r>
              <w:rPr>
                <w:rFonts w:hint="default" w:ascii="宋体" w:hAnsi="宋体" w:cs="宋体"/>
                <w:color w:val="auto"/>
                <w:kern w:val="0"/>
                <w:sz w:val="22"/>
                <w:szCs w:val="22"/>
                <w:highlight w:val="none"/>
                <w:lang w:val="en-US" w:eastAsia="zh-CN" w:bidi="ar"/>
              </w:rPr>
              <w:t xml:space="preserve">5、USB 电源：前面板带不少于2 路 USB 端口，可输出 5V 直流供工作灯用以及手机、平板充电； </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cs="宋体"/>
                <w:color w:val="auto"/>
                <w:kern w:val="0"/>
                <w:sz w:val="22"/>
                <w:szCs w:val="22"/>
                <w:highlight w:val="none"/>
                <w:lang w:val="en-US" w:eastAsia="zh-CN" w:bidi="ar"/>
              </w:rPr>
            </w:pPr>
            <w:r>
              <w:rPr>
                <w:rFonts w:hint="default" w:ascii="宋体" w:hAnsi="宋体" w:cs="宋体"/>
                <w:color w:val="auto"/>
                <w:kern w:val="0"/>
                <w:sz w:val="22"/>
                <w:szCs w:val="22"/>
                <w:highlight w:val="none"/>
                <w:lang w:val="en-US" w:eastAsia="zh-CN" w:bidi="ar"/>
              </w:rPr>
              <w:t>6、模式调取、模式保存（可保存不少于8种模式供用户调用）、当前电压、时序器开关机、单路状态显示开启为绿色，关闭为灰色、单路单独开关，软件可设置通道延时0-999秒、可做定时器设置：星期一至星期日根据需要设置开启关闭并能单独旁路星期一至星期日的定时器时间、定时开关可设定关闭、循环、非循环，同时开机日期、关机日期、开机时间、关机时间均可单独设置；过压设置：带有开启、关闭、自动三档设置，过压欠压从0-300V根据需要设置；可设定时间、获取系统时间、可设定上电自启，系统设置：可设置设备地址、设备名称、电压校准、级联开关、语言选择（中文、英文）；</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cs="宋体"/>
                <w:color w:val="auto"/>
                <w:kern w:val="0"/>
                <w:sz w:val="22"/>
                <w:szCs w:val="22"/>
                <w:highlight w:val="none"/>
                <w:lang w:val="en-US" w:eastAsia="zh-CN" w:bidi="ar"/>
              </w:rPr>
            </w:pPr>
            <w:r>
              <w:rPr>
                <w:rFonts w:hint="eastAsia" w:hAnsi="宋体" w:cs="宋体"/>
                <w:bCs/>
                <w:color w:val="auto"/>
                <w:szCs w:val="21"/>
                <w:highlight w:val="none"/>
              </w:rPr>
              <w:t>▲</w:t>
            </w:r>
            <w:r>
              <w:rPr>
                <w:rFonts w:hint="default" w:ascii="宋体" w:hAnsi="宋体" w:cs="宋体"/>
                <w:color w:val="auto"/>
                <w:kern w:val="0"/>
                <w:sz w:val="22"/>
                <w:szCs w:val="22"/>
                <w:highlight w:val="none"/>
                <w:lang w:val="en-US" w:eastAsia="zh-CN" w:bidi="ar"/>
              </w:rPr>
              <w:t xml:space="preserve">7、中控接口：RS232，可接受中控控制； </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cs="宋体"/>
                <w:color w:val="auto"/>
                <w:kern w:val="0"/>
                <w:sz w:val="22"/>
                <w:szCs w:val="22"/>
                <w:highlight w:val="none"/>
                <w:lang w:val="en-US" w:eastAsia="zh-CN" w:bidi="ar"/>
              </w:rPr>
            </w:pPr>
            <w:r>
              <w:rPr>
                <w:rFonts w:hint="eastAsia" w:hAnsi="宋体" w:cs="宋体"/>
                <w:bCs/>
                <w:color w:val="auto"/>
                <w:szCs w:val="21"/>
                <w:highlight w:val="none"/>
              </w:rPr>
              <w:t>▲</w:t>
            </w:r>
            <w:r>
              <w:rPr>
                <w:rFonts w:hint="default" w:ascii="宋体" w:hAnsi="宋体" w:cs="宋体"/>
                <w:color w:val="auto"/>
                <w:kern w:val="0"/>
                <w:sz w:val="22"/>
                <w:szCs w:val="22"/>
                <w:highlight w:val="none"/>
                <w:lang w:val="en-US" w:eastAsia="zh-CN" w:bidi="ar"/>
              </w:rPr>
              <w:t xml:space="preserve">8、控制端口：机器后面板具有≥ 1 路 RS-232 通讯端口（通过本端口可通过电脑软件控制设备开关）；≥2 个网络级联控制端口（LINK IN、LINK OUT），（实现多台设备级联开关控制）；≥1 路Remote switch 远程控制端口； </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cs="宋体"/>
                <w:color w:val="auto"/>
                <w:kern w:val="0"/>
                <w:sz w:val="22"/>
                <w:szCs w:val="22"/>
                <w:highlight w:val="none"/>
                <w:lang w:val="en-US" w:eastAsia="zh-CN" w:bidi="ar"/>
              </w:rPr>
            </w:pPr>
            <w:r>
              <w:rPr>
                <w:rFonts w:hint="default" w:ascii="宋体" w:hAnsi="宋体" w:cs="宋体"/>
                <w:color w:val="auto"/>
                <w:kern w:val="0"/>
                <w:sz w:val="22"/>
                <w:szCs w:val="22"/>
                <w:highlight w:val="none"/>
                <w:lang w:val="en-US" w:eastAsia="zh-CN" w:bidi="ar"/>
              </w:rPr>
              <w:t>9、内部电源分配连接：采用非跳线的 PCB 板全触点焊接连接方式（避免跳线连接带来的接触不稳定）,每路输出带电源指示灯；</w:t>
            </w:r>
          </w:p>
          <w:p>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w:t>
            </w:r>
            <w:r>
              <w:rPr>
                <w:rFonts w:hint="default" w:ascii="宋体" w:hAnsi="宋体" w:cs="宋体"/>
                <w:color w:val="auto"/>
                <w:kern w:val="0"/>
                <w:sz w:val="22"/>
                <w:szCs w:val="22"/>
                <w:highlight w:val="none"/>
                <w:lang w:val="en-US" w:eastAsia="zh-CN" w:bidi="ar"/>
              </w:rPr>
              <w:t>10、为确保主要设备的用电安全，</w:t>
            </w:r>
            <w:r>
              <w:rPr>
                <w:rFonts w:hint="eastAsia" w:ascii="宋体" w:hAnsi="宋体" w:cs="宋体"/>
                <w:color w:val="auto"/>
                <w:kern w:val="0"/>
                <w:sz w:val="22"/>
                <w:szCs w:val="22"/>
                <w:highlight w:val="none"/>
                <w:lang w:val="en-US" w:eastAsia="zh-CN" w:bidi="ar"/>
              </w:rPr>
              <w:t>供应商</w:t>
            </w:r>
            <w:r>
              <w:rPr>
                <w:rFonts w:hint="default" w:ascii="宋体" w:hAnsi="宋体" w:cs="宋体"/>
                <w:color w:val="auto"/>
                <w:kern w:val="0"/>
                <w:sz w:val="22"/>
                <w:szCs w:val="22"/>
                <w:highlight w:val="none"/>
                <w:lang w:val="en-US" w:eastAsia="zh-CN" w:bidi="ar"/>
              </w:rPr>
              <w:t>在</w:t>
            </w:r>
            <w:r>
              <w:rPr>
                <w:rFonts w:hint="eastAsia" w:ascii="宋体" w:hAnsi="宋体" w:cs="宋体"/>
                <w:color w:val="auto"/>
                <w:kern w:val="0"/>
                <w:sz w:val="22"/>
                <w:szCs w:val="22"/>
                <w:highlight w:val="none"/>
                <w:lang w:val="en-US" w:eastAsia="zh-CN" w:bidi="ar"/>
              </w:rPr>
              <w:t>响应文件</w:t>
            </w:r>
            <w:r>
              <w:rPr>
                <w:rFonts w:hint="default" w:ascii="宋体" w:hAnsi="宋体" w:cs="宋体"/>
                <w:color w:val="auto"/>
                <w:kern w:val="0"/>
                <w:sz w:val="22"/>
                <w:szCs w:val="22"/>
                <w:highlight w:val="none"/>
                <w:lang w:val="en-US" w:eastAsia="zh-CN" w:bidi="ar"/>
              </w:rPr>
              <w:t>中必须提供满足上述第2、5、7、8项功能的，国家认可的第三方检验（检测）机构出具的带CMA标识的检验（检测）报告扫描件或复印件，同时提供检验（检测）报告的报告编号在国家市场监督管理总局（查询官网：</w:t>
            </w:r>
            <w:r>
              <w:rPr>
                <w:rFonts w:hint="default" w:ascii="宋体" w:hAnsi="宋体" w:cs="宋体"/>
                <w:color w:val="auto"/>
                <w:kern w:val="0"/>
                <w:sz w:val="22"/>
                <w:szCs w:val="22"/>
                <w:highlight w:val="none"/>
                <w:lang w:val="en-US" w:eastAsia="zh-CN" w:bidi="ar"/>
              </w:rPr>
              <w:fldChar w:fldCharType="begin"/>
            </w:r>
            <w:r>
              <w:rPr>
                <w:rFonts w:hint="default" w:ascii="宋体" w:hAnsi="宋体" w:cs="宋体"/>
                <w:color w:val="auto"/>
                <w:kern w:val="0"/>
                <w:sz w:val="22"/>
                <w:szCs w:val="22"/>
                <w:highlight w:val="none"/>
                <w:lang w:val="en-US" w:eastAsia="zh-CN" w:bidi="ar"/>
              </w:rPr>
              <w:instrText xml:space="preserve"> HYPERLINK "http://cx.cnca.cn）查询截图，并加盖供应商公章(或CA签章)【属自然人的，自然人签字（或个人CA签章）】，否则投标无效。" </w:instrText>
            </w:r>
            <w:r>
              <w:rPr>
                <w:rFonts w:hint="default" w:ascii="宋体" w:hAnsi="宋体" w:cs="宋体"/>
                <w:color w:val="auto"/>
                <w:kern w:val="0"/>
                <w:sz w:val="22"/>
                <w:szCs w:val="22"/>
                <w:highlight w:val="none"/>
                <w:lang w:val="en-US" w:eastAsia="zh-CN" w:bidi="ar"/>
              </w:rPr>
              <w:fldChar w:fldCharType="separate"/>
            </w:r>
            <w:r>
              <w:rPr>
                <w:rStyle w:val="34"/>
                <w:rFonts w:hint="default" w:ascii="宋体" w:hAnsi="宋体" w:cs="宋体"/>
                <w:color w:val="auto"/>
                <w:kern w:val="0"/>
                <w:sz w:val="22"/>
                <w:szCs w:val="22"/>
                <w:highlight w:val="none"/>
                <w:lang w:val="en-US" w:eastAsia="zh-CN" w:bidi="ar"/>
              </w:rPr>
              <w:t>http://cx.cnca.cn）查询截图，并加盖</w:t>
            </w:r>
            <w:r>
              <w:rPr>
                <w:rStyle w:val="34"/>
                <w:rFonts w:hint="eastAsia" w:ascii="宋体" w:hAnsi="宋体" w:cs="宋体"/>
                <w:color w:val="auto"/>
                <w:kern w:val="0"/>
                <w:sz w:val="22"/>
                <w:szCs w:val="22"/>
                <w:highlight w:val="none"/>
                <w:lang w:val="en-US" w:eastAsia="zh-CN" w:bidi="ar"/>
              </w:rPr>
              <w:t>供应商</w:t>
            </w:r>
            <w:r>
              <w:rPr>
                <w:rStyle w:val="34"/>
                <w:rFonts w:hint="default" w:ascii="宋体" w:hAnsi="宋体" w:cs="宋体"/>
                <w:color w:val="auto"/>
                <w:kern w:val="0"/>
                <w:sz w:val="22"/>
                <w:szCs w:val="22"/>
                <w:highlight w:val="none"/>
                <w:lang w:val="en-US" w:eastAsia="zh-CN" w:bidi="ar"/>
              </w:rPr>
              <w:t>公章(或CA签章)【属自然人的，自然人签字（或个人CA签章）】，否则投标无效。</w:t>
            </w:r>
            <w:r>
              <w:rPr>
                <w:rFonts w:hint="default" w:ascii="宋体" w:hAnsi="宋体" w:cs="宋体"/>
                <w:color w:val="auto"/>
                <w:kern w:val="0"/>
                <w:sz w:val="22"/>
                <w:szCs w:val="22"/>
                <w:highlight w:val="none"/>
                <w:lang w:val="en-US" w:eastAsia="zh-CN" w:bidi="ar"/>
              </w:rPr>
              <w:fldChar w:fldCharType="end"/>
            </w:r>
          </w:p>
          <w:p>
            <w:pPr>
              <w:pStyle w:val="17"/>
              <w:keepNext w:val="0"/>
              <w:keepLines w:val="0"/>
              <w:suppressLineNumbers w:val="0"/>
              <w:spacing w:before="0" w:beforeAutospacing="0" w:after="0" w:afterAutospacing="0"/>
              <w:ind w:left="0" w:right="0"/>
              <w:rPr>
                <w:rFonts w:hint="eastAsia"/>
                <w:color w:val="auto"/>
                <w:highlight w:val="none"/>
                <w:lang w:val="en-US"/>
              </w:rPr>
            </w:pPr>
            <w:r>
              <w:rPr>
                <w:rFonts w:hint="eastAsia" w:ascii="宋体" w:hAnsi="宋体" w:cs="宋体"/>
                <w:color w:val="auto"/>
                <w:kern w:val="0"/>
                <w:sz w:val="22"/>
                <w:szCs w:val="22"/>
                <w:highlight w:val="none"/>
                <w:lang w:val="en-US" w:eastAsia="zh-CN" w:bidi="ar"/>
              </w:rPr>
              <w:t>四、提供三年整体运维质保服务。</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w:t>
            </w:r>
          </w:p>
        </w:tc>
      </w:tr>
      <w:tr>
        <w:tblPrEx>
          <w:tblCellMar>
            <w:top w:w="0" w:type="dxa"/>
            <w:left w:w="108" w:type="dxa"/>
            <w:bottom w:w="0" w:type="dxa"/>
            <w:right w:w="108" w:type="dxa"/>
          </w:tblCellMar>
        </w:tblPrEx>
        <w:trPr>
          <w:trHeight w:val="90" w:hRule="atLeast"/>
        </w:trPr>
        <w:tc>
          <w:tcPr>
            <w:tcW w:w="978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1"/>
                <w:numId w:val="0"/>
              </w:numPr>
              <w:suppressLineNumbers w:val="0"/>
              <w:tabs>
                <w:tab w:val="left" w:pos="2053"/>
              </w:tabs>
              <w:spacing w:before="0" w:beforeAutospacing="0" w:after="0" w:afterAutospacing="0" w:line="440" w:lineRule="exact"/>
              <w:ind w:left="0" w:right="0"/>
              <w:jc w:val="left"/>
              <w:textAlignment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val="en-US" w:eastAsia="zh-CN"/>
              </w:rPr>
              <w:t>三、</w:t>
            </w:r>
            <w:r>
              <w:rPr>
                <w:rFonts w:hint="eastAsia" w:ascii="宋体" w:hAnsi="宋体" w:cs="宋体"/>
                <w:b/>
                <w:bCs/>
                <w:color w:val="auto"/>
                <w:kern w:val="0"/>
                <w:sz w:val="22"/>
                <w:highlight w:val="none"/>
                <w:lang w:eastAsia="zh"/>
              </w:rPr>
              <w:t>巡护</w:t>
            </w:r>
            <w:r>
              <w:rPr>
                <w:rFonts w:hint="eastAsia" w:ascii="宋体" w:hAnsi="宋体" w:cs="宋体"/>
                <w:b/>
                <w:bCs/>
                <w:color w:val="auto"/>
                <w:kern w:val="0"/>
                <w:sz w:val="22"/>
                <w:highlight w:val="none"/>
                <w:lang w:val="en-US" w:eastAsia="zh-CN"/>
              </w:rPr>
              <w:t>采集</w:t>
            </w:r>
            <w:r>
              <w:rPr>
                <w:rFonts w:hint="eastAsia" w:ascii="宋体" w:hAnsi="宋体" w:cs="宋体"/>
                <w:b/>
                <w:bCs/>
                <w:color w:val="auto"/>
                <w:kern w:val="0"/>
                <w:sz w:val="22"/>
                <w:highlight w:val="none"/>
                <w:lang w:eastAsia="zh"/>
              </w:rPr>
              <w:t>管理</w:t>
            </w:r>
            <w:r>
              <w:rPr>
                <w:rFonts w:hint="eastAsia" w:ascii="宋体" w:hAnsi="宋体" w:cs="宋体"/>
                <w:b/>
                <w:bCs/>
                <w:color w:val="auto"/>
                <w:kern w:val="0"/>
                <w:sz w:val="22"/>
                <w:highlight w:val="none"/>
                <w:lang w:val="en-US" w:eastAsia="zh-CN"/>
              </w:rPr>
              <w:t>服务</w:t>
            </w:r>
          </w:p>
        </w:tc>
      </w:tr>
      <w:tr>
        <w:tblPrEx>
          <w:tblCellMar>
            <w:top w:w="0" w:type="dxa"/>
            <w:left w:w="108" w:type="dxa"/>
            <w:bottom w:w="0" w:type="dxa"/>
            <w:right w:w="108" w:type="dxa"/>
          </w:tblCellMar>
        </w:tblPrEx>
        <w:trPr>
          <w:trHeight w:val="795"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spacing w:before="0" w:beforeAutospacing="0" w:after="0" w:afterAutospacing="0"/>
              <w:ind w:left="0" w:right="0"/>
              <w:jc w:val="both"/>
              <w:textAlignment w:val="center"/>
              <w:rPr>
                <w:rFonts w:hint="eastAsia" w:ascii="宋体" w:hAnsi="宋体" w:eastAsia="宋体" w:cs="宋体"/>
                <w:color w:val="auto"/>
                <w:kern w:val="0"/>
                <w:sz w:val="22"/>
                <w:szCs w:val="22"/>
                <w:highlight w:val="none"/>
                <w:lang w:eastAsia="zh" w:bidi="ar"/>
              </w:rPr>
            </w:pPr>
            <w:r>
              <w:rPr>
                <w:rFonts w:hint="eastAsia" w:ascii="宋体" w:hAnsi="宋体" w:cs="宋体"/>
                <w:color w:val="auto"/>
                <w:kern w:val="0"/>
                <w:sz w:val="22"/>
                <w:szCs w:val="22"/>
                <w:highlight w:val="none"/>
                <w:lang w:eastAsia="zh" w:bidi="ar"/>
              </w:rPr>
              <w:t>巡护监测采集</w:t>
            </w:r>
            <w:r>
              <w:rPr>
                <w:rFonts w:hint="eastAsia" w:ascii="宋体" w:hAnsi="宋体" w:cs="宋体"/>
                <w:color w:val="auto"/>
                <w:kern w:val="0"/>
                <w:sz w:val="22"/>
                <w:szCs w:val="22"/>
                <w:highlight w:val="none"/>
                <w:lang w:val="en-US" w:eastAsia="zh-CN" w:bidi="ar"/>
              </w:rPr>
              <w:t>服务</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2"/>
                <w:szCs w:val="22"/>
                <w:highlight w:val="none"/>
                <w:lang w:eastAsia="zh"/>
              </w:rPr>
            </w:pPr>
            <w:r>
              <w:rPr>
                <w:rFonts w:hint="eastAsia" w:ascii="宋体" w:hAnsi="宋体" w:cs="宋体"/>
                <w:color w:val="auto"/>
                <w:kern w:val="0"/>
                <w:sz w:val="22"/>
                <w:szCs w:val="22"/>
                <w:highlight w:val="none"/>
                <w:lang w:val="en-US" w:eastAsia="zh-CN"/>
              </w:rPr>
              <w:t>提供保护区内巡护</w:t>
            </w:r>
            <w:r>
              <w:rPr>
                <w:rFonts w:hint="eastAsia" w:ascii="宋体" w:hAnsi="宋体" w:cs="宋体"/>
                <w:color w:val="auto"/>
                <w:kern w:val="0"/>
                <w:sz w:val="22"/>
                <w:szCs w:val="22"/>
                <w:highlight w:val="none"/>
                <w:lang w:eastAsia="zh"/>
              </w:rPr>
              <w:t>图像数据的采集处理</w:t>
            </w:r>
            <w:r>
              <w:rPr>
                <w:rFonts w:hint="eastAsia" w:ascii="宋体" w:hAnsi="宋体" w:cs="宋体"/>
                <w:color w:val="auto"/>
                <w:kern w:val="0"/>
                <w:sz w:val="22"/>
                <w:szCs w:val="22"/>
                <w:highlight w:val="none"/>
                <w:lang w:val="en-US" w:eastAsia="zh-CN"/>
              </w:rPr>
              <w:t>及</w:t>
            </w:r>
            <w:r>
              <w:rPr>
                <w:rFonts w:hint="eastAsia" w:ascii="宋体" w:hAnsi="宋体" w:cs="宋体"/>
                <w:color w:val="auto"/>
                <w:kern w:val="0"/>
                <w:sz w:val="22"/>
                <w:szCs w:val="22"/>
                <w:highlight w:val="none"/>
                <w:lang w:eastAsia="zh"/>
              </w:rPr>
              <w:t>显示服务，每套</w:t>
            </w:r>
            <w:r>
              <w:rPr>
                <w:rFonts w:hint="eastAsia" w:ascii="宋体" w:hAnsi="宋体" w:cs="宋体"/>
                <w:color w:val="auto"/>
                <w:kern w:val="0"/>
                <w:sz w:val="22"/>
                <w:szCs w:val="22"/>
                <w:highlight w:val="none"/>
                <w:lang w:val="en-US" w:eastAsia="zh-CN"/>
              </w:rPr>
              <w:t>服务配套的硬件</w:t>
            </w:r>
            <w:r>
              <w:rPr>
                <w:rFonts w:hint="eastAsia" w:ascii="宋体" w:hAnsi="宋体" w:cs="宋体"/>
                <w:color w:val="auto"/>
                <w:kern w:val="0"/>
                <w:sz w:val="22"/>
                <w:szCs w:val="22"/>
                <w:highlight w:val="none"/>
                <w:lang w:eastAsia="zh"/>
              </w:rPr>
              <w:t>需</w:t>
            </w:r>
            <w:r>
              <w:rPr>
                <w:rFonts w:hint="eastAsia" w:ascii="宋体" w:hAnsi="宋体" w:cs="宋体"/>
                <w:color w:val="auto"/>
                <w:kern w:val="0"/>
                <w:sz w:val="22"/>
                <w:szCs w:val="22"/>
                <w:highlight w:val="none"/>
                <w:lang w:val="en-US" w:eastAsia="zh-CN" w:bidi="ar"/>
              </w:rPr>
              <w:t>达到以下参数及要求</w:t>
            </w:r>
            <w:r>
              <w:rPr>
                <w:rFonts w:hint="eastAsia" w:ascii="宋体" w:hAnsi="宋体" w:cs="宋体"/>
                <w:color w:val="auto"/>
                <w:kern w:val="0"/>
                <w:sz w:val="22"/>
                <w:szCs w:val="22"/>
                <w:highlight w:val="none"/>
                <w:lang w:eastAsia="zh"/>
              </w:rPr>
              <w:t>：</w:t>
            </w:r>
          </w:p>
          <w:p>
            <w:pPr>
              <w:keepNext w:val="0"/>
              <w:keepLines w:val="0"/>
              <w:widowControl/>
              <w:suppressLineNumbers w:val="0"/>
              <w:spacing w:before="0" w:beforeAutospacing="0" w:after="0" w:afterAutospacing="0"/>
              <w:ind w:left="0" w:right="0"/>
              <w:jc w:val="left"/>
              <w:textAlignment w:val="center"/>
              <w:rPr>
                <w:rFonts w:hint="eastAsia"/>
                <w:color w:val="auto"/>
                <w:highlight w:val="none"/>
              </w:rPr>
            </w:pPr>
            <w:r>
              <w:rPr>
                <w:rFonts w:hint="eastAsia" w:ascii="宋体" w:hAnsi="宋体" w:cs="宋体"/>
                <w:color w:val="auto"/>
                <w:kern w:val="0"/>
                <w:sz w:val="22"/>
                <w:szCs w:val="22"/>
                <w:highlight w:val="none"/>
                <w:lang w:eastAsia="zh"/>
              </w:rPr>
              <w:t>CPU：≥8核</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2"/>
                <w:szCs w:val="22"/>
                <w:highlight w:val="none"/>
                <w:lang w:eastAsia="zh"/>
              </w:rPr>
            </w:pPr>
            <w:r>
              <w:rPr>
                <w:rFonts w:hint="eastAsia" w:ascii="宋体" w:hAnsi="宋体" w:cs="宋体"/>
                <w:color w:val="auto"/>
                <w:kern w:val="0"/>
                <w:sz w:val="22"/>
                <w:szCs w:val="22"/>
                <w:highlight w:val="none"/>
                <w:lang w:eastAsia="zh"/>
              </w:rPr>
              <w:t>屏幕：≥6.</w:t>
            </w:r>
            <w:r>
              <w:rPr>
                <w:rFonts w:hint="eastAsia" w:ascii="宋体" w:hAnsi="宋体" w:cs="宋体"/>
                <w:color w:val="auto"/>
                <w:kern w:val="0"/>
                <w:sz w:val="22"/>
                <w:szCs w:val="22"/>
                <w:highlight w:val="none"/>
                <w:lang w:val="en-US" w:eastAsia="zh-CN"/>
              </w:rPr>
              <w:t>67</w:t>
            </w:r>
            <w:r>
              <w:rPr>
                <w:rFonts w:hint="eastAsia" w:ascii="宋体" w:hAnsi="宋体" w:cs="宋体"/>
                <w:color w:val="auto"/>
                <w:kern w:val="0"/>
                <w:sz w:val="22"/>
                <w:szCs w:val="22"/>
                <w:highlight w:val="none"/>
                <w:lang w:eastAsia="zh"/>
              </w:rPr>
              <w:t>英寸</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2"/>
                <w:szCs w:val="22"/>
                <w:highlight w:val="none"/>
                <w:lang w:eastAsia="zh"/>
              </w:rPr>
            </w:pPr>
            <w:r>
              <w:rPr>
                <w:rFonts w:hint="eastAsia" w:ascii="宋体" w:hAnsi="宋体" w:cs="宋体"/>
                <w:color w:val="auto"/>
                <w:kern w:val="0"/>
                <w:sz w:val="22"/>
                <w:szCs w:val="22"/>
                <w:highlight w:val="none"/>
                <w:lang w:eastAsia="zh"/>
              </w:rPr>
              <w:t>运存：≥</w:t>
            </w:r>
            <w:r>
              <w:rPr>
                <w:rFonts w:hint="eastAsia" w:ascii="宋体" w:hAnsi="宋体" w:cs="宋体"/>
                <w:color w:val="auto"/>
                <w:kern w:val="0"/>
                <w:sz w:val="22"/>
                <w:szCs w:val="22"/>
                <w:highlight w:val="none"/>
                <w:lang w:val="en-US" w:eastAsia="zh-CN"/>
              </w:rPr>
              <w:t>12</w:t>
            </w:r>
            <w:r>
              <w:rPr>
                <w:rFonts w:hint="eastAsia" w:ascii="宋体" w:hAnsi="宋体" w:cs="宋体"/>
                <w:color w:val="auto"/>
                <w:kern w:val="0"/>
                <w:sz w:val="22"/>
                <w:szCs w:val="22"/>
                <w:highlight w:val="none"/>
                <w:lang w:eastAsia="zh"/>
              </w:rPr>
              <w:t xml:space="preserve">GB    </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2"/>
                <w:szCs w:val="22"/>
                <w:highlight w:val="none"/>
                <w:lang w:eastAsia="zh"/>
              </w:rPr>
            </w:pPr>
            <w:r>
              <w:rPr>
                <w:rFonts w:hint="eastAsia" w:ascii="宋体" w:hAnsi="宋体" w:cs="宋体"/>
                <w:color w:val="auto"/>
                <w:kern w:val="0"/>
                <w:sz w:val="22"/>
                <w:szCs w:val="22"/>
                <w:highlight w:val="none"/>
                <w:lang w:eastAsia="zh"/>
              </w:rPr>
              <w:t>内存：≥</w:t>
            </w:r>
            <w:r>
              <w:rPr>
                <w:rFonts w:hint="eastAsia" w:ascii="宋体" w:hAnsi="宋体" w:cs="宋体"/>
                <w:color w:val="auto"/>
                <w:kern w:val="0"/>
                <w:sz w:val="22"/>
                <w:szCs w:val="22"/>
                <w:highlight w:val="none"/>
                <w:lang w:val="en-US" w:eastAsia="zh-CN"/>
              </w:rPr>
              <w:t>256</w:t>
            </w:r>
            <w:r>
              <w:rPr>
                <w:rFonts w:hint="eastAsia" w:ascii="宋体" w:hAnsi="宋体" w:cs="宋体"/>
                <w:color w:val="auto"/>
                <w:kern w:val="0"/>
                <w:sz w:val="22"/>
                <w:szCs w:val="22"/>
                <w:highlight w:val="none"/>
                <w:lang w:eastAsia="zh"/>
              </w:rPr>
              <w:t>GB</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2"/>
                <w:szCs w:val="22"/>
                <w:highlight w:val="none"/>
                <w:lang w:eastAsia="zh"/>
              </w:rPr>
            </w:pPr>
            <w:r>
              <w:rPr>
                <w:rFonts w:hint="eastAsia" w:ascii="宋体" w:hAnsi="宋体" w:cs="宋体"/>
                <w:color w:val="auto"/>
                <w:kern w:val="0"/>
                <w:sz w:val="22"/>
                <w:szCs w:val="22"/>
                <w:highlight w:val="none"/>
                <w:lang w:eastAsia="zh"/>
              </w:rPr>
              <w:t>后置摄像头：≥</w:t>
            </w:r>
            <w:r>
              <w:rPr>
                <w:rFonts w:hint="eastAsia" w:ascii="宋体" w:hAnsi="宋体" w:cs="宋体"/>
                <w:color w:val="auto"/>
                <w:kern w:val="0"/>
                <w:sz w:val="22"/>
                <w:szCs w:val="22"/>
                <w:highlight w:val="none"/>
                <w:lang w:val="en-US" w:eastAsia="zh-CN"/>
              </w:rPr>
              <w:t>5000</w:t>
            </w:r>
            <w:r>
              <w:rPr>
                <w:rFonts w:hint="eastAsia" w:ascii="宋体" w:hAnsi="宋体" w:cs="宋体"/>
                <w:color w:val="auto"/>
                <w:kern w:val="0"/>
                <w:sz w:val="22"/>
                <w:szCs w:val="22"/>
                <w:highlight w:val="none"/>
                <w:lang w:eastAsia="zh"/>
              </w:rPr>
              <w:t>万像素</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2"/>
                <w:szCs w:val="22"/>
                <w:highlight w:val="none"/>
                <w:lang w:eastAsia="zh"/>
              </w:rPr>
            </w:pPr>
            <w:r>
              <w:rPr>
                <w:rFonts w:hint="eastAsia" w:ascii="宋体" w:hAnsi="宋体" w:cs="宋体"/>
                <w:color w:val="auto"/>
                <w:kern w:val="0"/>
                <w:sz w:val="22"/>
                <w:szCs w:val="22"/>
                <w:highlight w:val="none"/>
                <w:lang w:eastAsia="zh"/>
              </w:rPr>
              <w:t>前摄主摄像素：≥</w:t>
            </w:r>
            <w:r>
              <w:rPr>
                <w:rFonts w:hint="eastAsia" w:ascii="宋体" w:hAnsi="宋体" w:cs="宋体"/>
                <w:color w:val="auto"/>
                <w:kern w:val="0"/>
                <w:sz w:val="22"/>
                <w:szCs w:val="22"/>
                <w:highlight w:val="none"/>
                <w:lang w:val="en-US" w:eastAsia="zh-CN"/>
              </w:rPr>
              <w:t>2000</w:t>
            </w:r>
            <w:r>
              <w:rPr>
                <w:rFonts w:hint="eastAsia" w:ascii="宋体" w:hAnsi="宋体" w:cs="宋体"/>
                <w:color w:val="auto"/>
                <w:kern w:val="0"/>
                <w:sz w:val="22"/>
                <w:szCs w:val="22"/>
                <w:highlight w:val="none"/>
                <w:lang w:eastAsia="zh"/>
              </w:rPr>
              <w:t>万像素</w:t>
            </w:r>
          </w:p>
          <w:p>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aps w:val="0"/>
                <w:color w:val="auto"/>
                <w:spacing w:val="0"/>
                <w:kern w:val="0"/>
                <w:sz w:val="22"/>
                <w:szCs w:val="22"/>
                <w:highlight w:val="none"/>
                <w:shd w:val="clear" w:fill="auto"/>
                <w:lang w:val="en-US" w:eastAsia="zh-CN" w:bidi="ar"/>
              </w:rPr>
            </w:pPr>
            <w:r>
              <w:rPr>
                <w:rFonts w:hint="eastAsia" w:ascii="宋体" w:hAnsi="宋体" w:cs="宋体"/>
                <w:color w:val="auto"/>
                <w:kern w:val="0"/>
                <w:sz w:val="22"/>
                <w:szCs w:val="22"/>
                <w:highlight w:val="none"/>
                <w:lang w:eastAsia="zh"/>
              </w:rPr>
              <w:t>分辨率：≥</w:t>
            </w:r>
            <w:r>
              <w:rPr>
                <w:rFonts w:hint="eastAsia" w:ascii="宋体" w:hAnsi="宋体" w:cs="宋体"/>
                <w:i w:val="0"/>
                <w:iCs w:val="0"/>
                <w:caps w:val="0"/>
                <w:color w:val="auto"/>
                <w:spacing w:val="0"/>
                <w:kern w:val="0"/>
                <w:sz w:val="22"/>
                <w:szCs w:val="22"/>
                <w:highlight w:val="none"/>
                <w:shd w:val="clear" w:fill="auto"/>
                <w:lang w:val="en-US" w:eastAsia="zh-CN" w:bidi="ar"/>
              </w:rPr>
              <w:t>2</w:t>
            </w:r>
            <w:r>
              <w:rPr>
                <w:rFonts w:hint="eastAsia" w:ascii="宋体" w:hAnsi="宋体" w:eastAsia="宋体" w:cs="宋体"/>
                <w:i w:val="0"/>
                <w:iCs w:val="0"/>
                <w:caps w:val="0"/>
                <w:color w:val="auto"/>
                <w:spacing w:val="0"/>
                <w:kern w:val="0"/>
                <w:sz w:val="22"/>
                <w:szCs w:val="22"/>
                <w:highlight w:val="none"/>
                <w:shd w:val="clear" w:fill="auto"/>
                <w:lang w:bidi="ar"/>
              </w:rPr>
              <w:t>K</w:t>
            </w:r>
            <w:r>
              <w:rPr>
                <w:rFonts w:hint="eastAsia" w:ascii="宋体" w:hAnsi="宋体" w:cs="宋体"/>
                <w:i w:val="0"/>
                <w:iCs w:val="0"/>
                <w:caps w:val="0"/>
                <w:color w:val="auto"/>
                <w:spacing w:val="0"/>
                <w:kern w:val="0"/>
                <w:sz w:val="22"/>
                <w:szCs w:val="22"/>
                <w:highlight w:val="none"/>
                <w:shd w:val="clear" w:fill="auto"/>
                <w:lang w:eastAsia="zh-CN" w:bidi="ar"/>
              </w:rPr>
              <w:t>，</w:t>
            </w:r>
            <w:r>
              <w:rPr>
                <w:rFonts w:hint="eastAsia" w:ascii="宋体" w:hAnsi="宋体" w:cs="宋体"/>
                <w:color w:val="auto"/>
                <w:kern w:val="0"/>
                <w:sz w:val="22"/>
                <w:szCs w:val="22"/>
                <w:highlight w:val="none"/>
                <w:lang w:eastAsia="zh"/>
              </w:rPr>
              <w:t>≥</w:t>
            </w:r>
            <w:r>
              <w:rPr>
                <w:rFonts w:hint="eastAsia" w:ascii="宋体" w:hAnsi="宋体" w:cs="宋体"/>
                <w:i w:val="0"/>
                <w:iCs w:val="0"/>
                <w:caps w:val="0"/>
                <w:color w:val="auto"/>
                <w:spacing w:val="0"/>
                <w:kern w:val="0"/>
                <w:sz w:val="22"/>
                <w:szCs w:val="22"/>
                <w:highlight w:val="none"/>
                <w:shd w:val="clear" w:fill="auto"/>
                <w:lang w:val="en-US" w:eastAsia="zh-CN" w:bidi="ar"/>
              </w:rPr>
              <w:t>3200</w:t>
            </w:r>
            <w:r>
              <w:rPr>
                <w:rFonts w:hint="eastAsia" w:ascii="宋体" w:hAnsi="宋体" w:eastAsia="宋体" w:cs="宋体"/>
                <w:i w:val="0"/>
                <w:iCs w:val="0"/>
                <w:caps w:val="0"/>
                <w:color w:val="auto"/>
                <w:spacing w:val="0"/>
                <w:kern w:val="0"/>
                <w:sz w:val="22"/>
                <w:szCs w:val="22"/>
                <w:highlight w:val="none"/>
                <w:shd w:val="clear" w:fill="auto"/>
                <w:lang w:bidi="ar"/>
              </w:rPr>
              <w:t>*</w:t>
            </w:r>
            <w:r>
              <w:rPr>
                <w:rFonts w:hint="eastAsia" w:ascii="宋体" w:hAnsi="宋体" w:cs="宋体"/>
                <w:i w:val="0"/>
                <w:iCs w:val="0"/>
                <w:caps w:val="0"/>
                <w:color w:val="auto"/>
                <w:spacing w:val="0"/>
                <w:kern w:val="0"/>
                <w:sz w:val="22"/>
                <w:szCs w:val="22"/>
                <w:highlight w:val="none"/>
                <w:shd w:val="clear" w:fill="auto"/>
                <w:lang w:val="en-US" w:eastAsia="zh-CN" w:bidi="ar"/>
              </w:rPr>
              <w:t>1440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2"/>
                <w:szCs w:val="22"/>
                <w:highlight w:val="none"/>
                <w:lang w:eastAsia="zh"/>
              </w:rPr>
            </w:pPr>
            <w:r>
              <w:rPr>
                <w:rFonts w:hint="eastAsia" w:ascii="宋体" w:hAnsi="宋体" w:cs="宋体"/>
                <w:color w:val="auto"/>
                <w:kern w:val="0"/>
                <w:sz w:val="22"/>
                <w:szCs w:val="22"/>
                <w:highlight w:val="none"/>
                <w:lang w:eastAsia="zh"/>
              </w:rPr>
              <w:t>屏幕刷新率：≥</w:t>
            </w:r>
            <w:r>
              <w:rPr>
                <w:rFonts w:hint="eastAsia" w:ascii="宋体" w:hAnsi="宋体" w:cs="宋体"/>
                <w:color w:val="auto"/>
                <w:kern w:val="0"/>
                <w:sz w:val="22"/>
                <w:szCs w:val="22"/>
                <w:highlight w:val="none"/>
                <w:lang w:val="en-US" w:eastAsia="zh-CN"/>
              </w:rPr>
              <w:t>120</w:t>
            </w:r>
            <w:r>
              <w:rPr>
                <w:rFonts w:hint="eastAsia" w:ascii="宋体" w:hAnsi="宋体" w:cs="宋体"/>
                <w:color w:val="auto"/>
                <w:kern w:val="0"/>
                <w:sz w:val="22"/>
                <w:szCs w:val="22"/>
                <w:highlight w:val="none"/>
                <w:lang w:eastAsia="zh"/>
              </w:rPr>
              <w:t>Hz</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2"/>
                <w:szCs w:val="22"/>
                <w:highlight w:val="none"/>
                <w:lang w:eastAsia="zh"/>
              </w:rPr>
            </w:pPr>
            <w:r>
              <w:rPr>
                <w:rFonts w:hint="eastAsia" w:ascii="宋体" w:hAnsi="宋体" w:cs="宋体"/>
                <w:color w:val="auto"/>
                <w:kern w:val="0"/>
                <w:sz w:val="22"/>
                <w:szCs w:val="22"/>
                <w:highlight w:val="none"/>
                <w:lang w:val="en-US" w:eastAsia="zh-CN"/>
              </w:rPr>
              <w:t>充电功率</w:t>
            </w:r>
            <w:r>
              <w:rPr>
                <w:rFonts w:hint="eastAsia" w:ascii="宋体" w:hAnsi="宋体" w:cs="宋体"/>
                <w:color w:val="auto"/>
                <w:kern w:val="0"/>
                <w:sz w:val="22"/>
                <w:szCs w:val="22"/>
                <w:highlight w:val="none"/>
                <w:lang w:eastAsia="zh"/>
              </w:rPr>
              <w:t>支持≥</w:t>
            </w:r>
            <w:r>
              <w:rPr>
                <w:rFonts w:hint="eastAsia" w:ascii="宋体" w:hAnsi="宋体" w:cs="宋体"/>
                <w:color w:val="auto"/>
                <w:kern w:val="0"/>
                <w:sz w:val="22"/>
                <w:szCs w:val="22"/>
                <w:highlight w:val="none"/>
                <w:lang w:val="en-US" w:eastAsia="zh-CN"/>
              </w:rPr>
              <w:t>90</w:t>
            </w:r>
            <w:r>
              <w:rPr>
                <w:rFonts w:hint="eastAsia" w:ascii="宋体" w:hAnsi="宋体" w:cs="宋体"/>
                <w:color w:val="auto"/>
                <w:kern w:val="0"/>
                <w:sz w:val="22"/>
                <w:szCs w:val="22"/>
                <w:highlight w:val="none"/>
                <w:lang w:eastAsia="zh"/>
              </w:rPr>
              <w:t>W</w:t>
            </w:r>
            <w:r>
              <w:rPr>
                <w:rFonts w:hint="eastAsia" w:ascii="宋体" w:hAnsi="宋体" w:cs="宋体"/>
                <w:color w:val="auto"/>
                <w:kern w:val="0"/>
                <w:sz w:val="22"/>
                <w:szCs w:val="22"/>
                <w:highlight w:val="none"/>
                <w:lang w:val="en-US" w:eastAsia="zh-CN"/>
              </w:rPr>
              <w:t>有线</w:t>
            </w:r>
            <w:r>
              <w:rPr>
                <w:rFonts w:hint="eastAsia" w:ascii="宋体" w:hAnsi="宋体" w:cs="宋体"/>
                <w:color w:val="auto"/>
                <w:kern w:val="0"/>
                <w:sz w:val="22"/>
                <w:szCs w:val="22"/>
                <w:highlight w:val="none"/>
                <w:lang w:eastAsia="zh"/>
              </w:rPr>
              <w:t>快充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auto"/>
                <w:spacing w:val="0"/>
                <w:kern w:val="0"/>
                <w:sz w:val="22"/>
                <w:szCs w:val="22"/>
                <w:highlight w:val="none"/>
                <w:shd w:val="clear"/>
                <w:lang w:bidi="ar"/>
              </w:rPr>
            </w:pPr>
            <w:r>
              <w:rPr>
                <w:rFonts w:hint="eastAsia" w:ascii="宋体" w:hAnsi="宋体" w:cs="宋体"/>
                <w:color w:val="auto"/>
                <w:kern w:val="0"/>
                <w:sz w:val="22"/>
                <w:szCs w:val="22"/>
                <w:highlight w:val="none"/>
                <w:lang w:eastAsia="zh"/>
              </w:rPr>
              <w:t>电池容量≥</w:t>
            </w:r>
            <w:r>
              <w:rPr>
                <w:rFonts w:hint="eastAsia" w:ascii="宋体" w:hAnsi="宋体" w:cs="宋体"/>
                <w:i w:val="0"/>
                <w:iCs w:val="0"/>
                <w:caps w:val="0"/>
                <w:color w:val="auto"/>
                <w:spacing w:val="0"/>
                <w:kern w:val="0"/>
                <w:sz w:val="22"/>
                <w:szCs w:val="22"/>
                <w:highlight w:val="none"/>
                <w:shd w:val="clear" w:fill="auto"/>
                <w:lang w:val="en-US" w:eastAsia="zh-CN" w:bidi="ar"/>
              </w:rPr>
              <w:t>6500</w:t>
            </w:r>
            <w:r>
              <w:rPr>
                <w:rFonts w:hint="eastAsia" w:ascii="宋体" w:hAnsi="宋体" w:eastAsia="宋体" w:cs="宋体"/>
                <w:i w:val="0"/>
                <w:iCs w:val="0"/>
                <w:caps w:val="0"/>
                <w:color w:val="auto"/>
                <w:spacing w:val="0"/>
                <w:kern w:val="0"/>
                <w:sz w:val="22"/>
                <w:szCs w:val="22"/>
                <w:highlight w:val="none"/>
                <w:shd w:val="clear" w:fill="auto"/>
                <w:lang w:bidi="ar"/>
              </w:rPr>
              <w:t>mAh（典型值）</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2"/>
                <w:szCs w:val="22"/>
                <w:highlight w:val="none"/>
                <w:lang w:eastAsia="zh"/>
              </w:rPr>
            </w:pPr>
            <w:r>
              <w:rPr>
                <w:rFonts w:hint="eastAsia" w:ascii="宋体" w:hAnsi="宋体" w:cs="宋体"/>
                <w:color w:val="auto"/>
                <w:kern w:val="0"/>
                <w:sz w:val="22"/>
                <w:szCs w:val="22"/>
                <w:highlight w:val="none"/>
                <w:lang w:val="en-US" w:eastAsia="zh-CN"/>
              </w:rPr>
              <w:t>配套的硬件</w:t>
            </w:r>
            <w:r>
              <w:rPr>
                <w:rFonts w:hint="eastAsia" w:ascii="宋体" w:hAnsi="宋体" w:cs="宋体"/>
                <w:color w:val="auto"/>
                <w:kern w:val="0"/>
                <w:sz w:val="22"/>
                <w:szCs w:val="22"/>
                <w:highlight w:val="none"/>
                <w:lang w:val="en-US" w:eastAsia="zh-CN" w:bidi="ar"/>
              </w:rPr>
              <w:t>提供一年质保服务</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kern w:val="0"/>
                <w:sz w:val="24"/>
                <w:highlight w:val="none"/>
                <w:lang w:val="en-US" w:eastAsia="zh" w:bidi="ar"/>
              </w:rPr>
            </w:pPr>
            <w:r>
              <w:rPr>
                <w:rFonts w:hint="eastAsia" w:ascii="宋体" w:hAnsi="宋体" w:cs="宋体"/>
                <w:color w:val="auto"/>
                <w:kern w:val="0"/>
                <w:sz w:val="24"/>
                <w:highlight w:val="none"/>
                <w:lang w:val="en-US" w:eastAsia="zh" w:bidi="ar"/>
              </w:rPr>
              <w:t>45</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kern w:val="0"/>
                <w:sz w:val="24"/>
                <w:highlight w:val="none"/>
                <w:lang w:val="en-US" w:eastAsia="zh" w:bidi="ar"/>
              </w:rPr>
            </w:pPr>
            <w:r>
              <w:rPr>
                <w:rFonts w:hint="eastAsia" w:ascii="宋体" w:hAnsi="宋体" w:cs="宋体"/>
                <w:color w:val="auto"/>
                <w:kern w:val="0"/>
                <w:sz w:val="24"/>
                <w:highlight w:val="none"/>
                <w:lang w:val="en-US" w:eastAsia="zh-CN" w:bidi="ar"/>
              </w:rPr>
              <w:t>套</w:t>
            </w:r>
          </w:p>
        </w:tc>
      </w:tr>
      <w:tr>
        <w:tblPrEx>
          <w:tblCellMar>
            <w:top w:w="0" w:type="dxa"/>
            <w:left w:w="108" w:type="dxa"/>
            <w:bottom w:w="0" w:type="dxa"/>
            <w:right w:w="108" w:type="dxa"/>
          </w:tblCellMar>
        </w:tblPrEx>
        <w:trPr>
          <w:trHeight w:val="795"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eastAsia="zh" w:bidi="ar"/>
              </w:rPr>
            </w:pPr>
            <w:r>
              <w:rPr>
                <w:rFonts w:hint="eastAsia" w:ascii="宋体" w:hAnsi="宋体" w:cs="宋体"/>
                <w:color w:val="auto"/>
                <w:kern w:val="0"/>
                <w:sz w:val="22"/>
                <w:szCs w:val="22"/>
                <w:highlight w:val="none"/>
                <w:lang w:eastAsia="zh" w:bidi="ar"/>
              </w:rPr>
              <w:t>720°环境采集</w:t>
            </w:r>
            <w:r>
              <w:rPr>
                <w:rFonts w:hint="eastAsia" w:ascii="宋体" w:hAnsi="宋体" w:cs="宋体"/>
                <w:color w:val="auto"/>
                <w:kern w:val="0"/>
                <w:sz w:val="22"/>
                <w:szCs w:val="22"/>
                <w:highlight w:val="none"/>
                <w:lang w:val="en-US" w:eastAsia="zh-CN" w:bidi="ar"/>
              </w:rPr>
              <w:t>服务</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kern w:val="0"/>
                <w:sz w:val="22"/>
                <w:highlight w:val="none"/>
                <w:lang w:eastAsia="zh"/>
              </w:rPr>
            </w:pPr>
            <w:r>
              <w:rPr>
                <w:rFonts w:hint="eastAsia" w:ascii="宋体" w:hAnsi="宋体" w:cs="宋体"/>
                <w:color w:val="auto"/>
                <w:kern w:val="0"/>
                <w:sz w:val="22"/>
                <w:highlight w:val="none"/>
                <w:lang w:eastAsia="zh"/>
              </w:rPr>
              <w:t>720°环境采集</w:t>
            </w:r>
            <w:r>
              <w:rPr>
                <w:rFonts w:hint="eastAsia" w:ascii="宋体" w:hAnsi="宋体" w:cs="宋体"/>
                <w:color w:val="auto"/>
                <w:kern w:val="0"/>
                <w:sz w:val="22"/>
                <w:highlight w:val="none"/>
                <w:lang w:val="en-US" w:eastAsia="zh-CN"/>
              </w:rPr>
              <w:t>服务</w:t>
            </w:r>
            <w:r>
              <w:rPr>
                <w:rFonts w:hint="eastAsia" w:ascii="宋体" w:hAnsi="宋体" w:cs="宋体"/>
                <w:color w:val="auto"/>
                <w:kern w:val="0"/>
                <w:sz w:val="22"/>
                <w:highlight w:val="none"/>
                <w:lang w:eastAsia="zh"/>
              </w:rPr>
              <w:t>需集拍摄采集、拼接图像、信息处理、全方位展示于一体的全景采集</w:t>
            </w:r>
            <w:r>
              <w:rPr>
                <w:rFonts w:hint="eastAsia" w:ascii="宋体" w:hAnsi="宋体" w:cs="宋体"/>
                <w:color w:val="auto"/>
                <w:kern w:val="0"/>
                <w:sz w:val="22"/>
                <w:highlight w:val="none"/>
                <w:lang w:val="en-US" w:eastAsia="zh-CN"/>
              </w:rPr>
              <w:t>技术</w:t>
            </w:r>
            <w:r>
              <w:rPr>
                <w:rFonts w:hint="eastAsia" w:ascii="宋体" w:hAnsi="宋体" w:cs="宋体"/>
                <w:color w:val="auto"/>
                <w:kern w:val="0"/>
                <w:sz w:val="22"/>
                <w:highlight w:val="none"/>
                <w:lang w:eastAsia="zh"/>
              </w:rPr>
              <w:t>，支持全自动运行模式，可通过生态巡护APP可一键回传全景数据至</w:t>
            </w:r>
            <w:r>
              <w:rPr>
                <w:rFonts w:hint="eastAsia" w:ascii="宋体" w:hAnsi="宋体" w:cs="宋体"/>
                <w:color w:val="auto"/>
                <w:kern w:val="0"/>
                <w:sz w:val="22"/>
                <w:highlight w:val="none"/>
                <w:lang w:val="en-US" w:eastAsia="zh-CN"/>
              </w:rPr>
              <w:t>保护区生态监测系统</w:t>
            </w:r>
            <w:r>
              <w:rPr>
                <w:rFonts w:hint="eastAsia" w:ascii="宋体" w:hAnsi="宋体" w:cs="宋体"/>
                <w:color w:val="auto"/>
                <w:kern w:val="0"/>
                <w:sz w:val="22"/>
                <w:highlight w:val="none"/>
              </w:rPr>
              <w:t>生态巡护管理平台</w:t>
            </w:r>
            <w:r>
              <w:rPr>
                <w:rFonts w:hint="eastAsia" w:ascii="宋体" w:hAnsi="宋体" w:cs="宋体"/>
                <w:color w:val="auto"/>
                <w:kern w:val="0"/>
                <w:sz w:val="22"/>
                <w:highlight w:val="none"/>
                <w:lang w:eastAsia="zh"/>
              </w:rPr>
              <w:t>，</w:t>
            </w:r>
            <w:r>
              <w:rPr>
                <w:rFonts w:hint="eastAsia" w:ascii="宋体" w:hAnsi="宋体" w:cs="宋体"/>
                <w:color w:val="auto"/>
                <w:kern w:val="0"/>
                <w:sz w:val="22"/>
                <w:szCs w:val="22"/>
                <w:highlight w:val="none"/>
                <w:lang w:eastAsia="zh"/>
              </w:rPr>
              <w:t>每套</w:t>
            </w:r>
            <w:r>
              <w:rPr>
                <w:rFonts w:hint="eastAsia" w:ascii="宋体" w:hAnsi="宋体" w:cs="宋体"/>
                <w:color w:val="auto"/>
                <w:kern w:val="0"/>
                <w:sz w:val="22"/>
                <w:szCs w:val="22"/>
                <w:highlight w:val="none"/>
                <w:lang w:val="en-US" w:eastAsia="zh-CN"/>
              </w:rPr>
              <w:t>服务配套的硬件</w:t>
            </w:r>
            <w:r>
              <w:rPr>
                <w:rFonts w:hint="eastAsia" w:ascii="宋体" w:hAnsi="宋体" w:cs="宋体"/>
                <w:color w:val="auto"/>
                <w:kern w:val="0"/>
                <w:sz w:val="22"/>
                <w:szCs w:val="22"/>
                <w:highlight w:val="none"/>
                <w:lang w:eastAsia="zh"/>
              </w:rPr>
              <w:t>需</w:t>
            </w:r>
            <w:r>
              <w:rPr>
                <w:rFonts w:hint="eastAsia" w:ascii="宋体" w:hAnsi="宋体" w:cs="宋体"/>
                <w:color w:val="auto"/>
                <w:kern w:val="0"/>
                <w:sz w:val="22"/>
                <w:szCs w:val="22"/>
                <w:highlight w:val="none"/>
                <w:lang w:val="en-US" w:eastAsia="zh-CN" w:bidi="ar"/>
              </w:rPr>
              <w:t>达到以下参数及要求</w:t>
            </w:r>
            <w:r>
              <w:rPr>
                <w:rFonts w:hint="eastAsia" w:ascii="宋体" w:hAnsi="宋体" w:cs="宋体"/>
                <w:color w:val="auto"/>
                <w:kern w:val="0"/>
                <w:sz w:val="22"/>
                <w:highlight w:val="none"/>
                <w:lang w:eastAsia="zh"/>
              </w:rPr>
              <w:t>：</w:t>
            </w:r>
          </w:p>
          <w:p>
            <w:pPr>
              <w:keepNext w:val="0"/>
              <w:keepLines w:val="0"/>
              <w:suppressLineNumbers w:val="0"/>
              <w:spacing w:before="0" w:beforeAutospacing="0" w:after="0" w:afterAutospacing="0"/>
              <w:ind w:left="0" w:right="0"/>
              <w:rPr>
                <w:rFonts w:hint="eastAsia" w:ascii="宋体" w:hAnsi="宋体" w:cs="宋体"/>
                <w:color w:val="auto"/>
                <w:kern w:val="0"/>
                <w:sz w:val="22"/>
                <w:highlight w:val="none"/>
                <w:lang w:eastAsia="zh"/>
              </w:rPr>
            </w:pPr>
            <w:r>
              <w:rPr>
                <w:rFonts w:hint="eastAsia" w:ascii="宋体" w:hAnsi="宋体" w:cs="宋体"/>
                <w:color w:val="auto"/>
                <w:kern w:val="0"/>
                <w:sz w:val="22"/>
                <w:highlight w:val="none"/>
                <w:lang w:eastAsia="zh"/>
              </w:rPr>
              <w:t>光圈: ≤F1.8</w:t>
            </w:r>
          </w:p>
          <w:p>
            <w:pPr>
              <w:keepNext w:val="0"/>
              <w:keepLines w:val="0"/>
              <w:suppressLineNumbers w:val="0"/>
              <w:spacing w:before="0" w:beforeAutospacing="0" w:after="0" w:afterAutospacing="0"/>
              <w:ind w:left="0" w:right="0"/>
              <w:rPr>
                <w:rFonts w:hint="eastAsia" w:ascii="宋体" w:hAnsi="宋体" w:cs="宋体"/>
                <w:color w:val="auto"/>
                <w:kern w:val="0"/>
                <w:sz w:val="22"/>
                <w:highlight w:val="none"/>
                <w:lang w:eastAsia="zh"/>
              </w:rPr>
            </w:pPr>
            <w:r>
              <w:rPr>
                <w:rFonts w:hint="eastAsia" w:ascii="宋体" w:hAnsi="宋体" w:cs="宋体"/>
                <w:color w:val="auto"/>
                <w:kern w:val="0"/>
                <w:sz w:val="22"/>
                <w:highlight w:val="none"/>
                <w:lang w:eastAsia="zh"/>
              </w:rPr>
              <w:t>照片分辨率：10000*5000像素</w:t>
            </w:r>
          </w:p>
          <w:p>
            <w:pPr>
              <w:keepNext w:val="0"/>
              <w:keepLines w:val="0"/>
              <w:suppressLineNumbers w:val="0"/>
              <w:spacing w:before="0" w:beforeAutospacing="0" w:after="0" w:afterAutospacing="0"/>
              <w:ind w:left="0" w:right="0"/>
              <w:rPr>
                <w:rFonts w:hint="eastAsia" w:ascii="宋体" w:hAnsi="宋体" w:cs="宋体"/>
                <w:color w:val="auto"/>
                <w:kern w:val="0"/>
                <w:sz w:val="22"/>
                <w:highlight w:val="none"/>
                <w:lang w:eastAsia="zh"/>
              </w:rPr>
            </w:pPr>
            <w:r>
              <w:rPr>
                <w:rFonts w:hint="eastAsia" w:ascii="宋体" w:hAnsi="宋体" w:cs="宋体"/>
                <w:color w:val="auto"/>
                <w:kern w:val="0"/>
                <w:sz w:val="22"/>
                <w:highlight w:val="none"/>
                <w:lang w:eastAsia="zh"/>
              </w:rPr>
              <w:t>真实有效像素：≥30MP</w:t>
            </w:r>
          </w:p>
          <w:p>
            <w:pPr>
              <w:keepNext w:val="0"/>
              <w:keepLines w:val="0"/>
              <w:suppressLineNumbers w:val="0"/>
              <w:spacing w:before="0" w:beforeAutospacing="0" w:after="0" w:afterAutospacing="0"/>
              <w:ind w:left="0" w:right="0"/>
              <w:rPr>
                <w:rFonts w:hint="eastAsia" w:ascii="宋体" w:hAnsi="宋体" w:cs="宋体"/>
                <w:color w:val="auto"/>
                <w:kern w:val="0"/>
                <w:sz w:val="22"/>
                <w:highlight w:val="none"/>
                <w:lang w:eastAsia="zh"/>
              </w:rPr>
            </w:pPr>
            <w:r>
              <w:rPr>
                <w:rFonts w:hint="eastAsia" w:ascii="宋体" w:hAnsi="宋体" w:cs="宋体"/>
                <w:color w:val="auto"/>
                <w:kern w:val="0"/>
                <w:sz w:val="22"/>
                <w:highlight w:val="none"/>
                <w:lang w:eastAsia="zh"/>
              </w:rPr>
              <w:t>数据接口：5G /WIFI</w:t>
            </w:r>
          </w:p>
          <w:p>
            <w:pPr>
              <w:keepNext w:val="0"/>
              <w:keepLines w:val="0"/>
              <w:suppressLineNumbers w:val="0"/>
              <w:spacing w:before="0" w:beforeAutospacing="0" w:after="0" w:afterAutospacing="0"/>
              <w:ind w:left="0" w:right="0"/>
              <w:rPr>
                <w:rFonts w:hint="eastAsia" w:ascii="宋体" w:hAnsi="宋体" w:cs="宋体"/>
                <w:color w:val="auto"/>
                <w:kern w:val="0"/>
                <w:sz w:val="22"/>
                <w:highlight w:val="none"/>
                <w:lang w:eastAsia="zh"/>
              </w:rPr>
            </w:pPr>
            <w:r>
              <w:rPr>
                <w:rFonts w:hint="eastAsia" w:ascii="宋体" w:hAnsi="宋体" w:cs="宋体"/>
                <w:color w:val="auto"/>
                <w:kern w:val="0"/>
                <w:sz w:val="22"/>
                <w:highlight w:val="none"/>
                <w:lang w:eastAsia="zh"/>
              </w:rPr>
              <w:t>电池：≥2000mAh(典型值)</w:t>
            </w:r>
          </w:p>
          <w:p>
            <w:pPr>
              <w:keepNext w:val="0"/>
              <w:keepLines w:val="0"/>
              <w:suppressLineNumbers w:val="0"/>
              <w:spacing w:before="0" w:beforeAutospacing="0" w:after="0" w:afterAutospacing="0"/>
              <w:ind w:left="0" w:right="0"/>
              <w:rPr>
                <w:rFonts w:hint="eastAsia" w:ascii="宋体" w:hAnsi="宋体" w:cs="宋体"/>
                <w:color w:val="auto"/>
                <w:kern w:val="0"/>
                <w:sz w:val="22"/>
                <w:highlight w:val="none"/>
                <w:lang w:eastAsia="zh"/>
              </w:rPr>
            </w:pPr>
            <w:r>
              <w:rPr>
                <w:rFonts w:hint="eastAsia" w:ascii="宋体" w:hAnsi="宋体" w:cs="宋体"/>
                <w:color w:val="auto"/>
                <w:kern w:val="0"/>
                <w:sz w:val="22"/>
                <w:szCs w:val="22"/>
                <w:highlight w:val="none"/>
                <w:lang w:val="en-US" w:eastAsia="zh-CN" w:bidi="ar"/>
              </w:rPr>
              <w:t>提供一年整体运维质保服务</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kern w:val="0"/>
                <w:sz w:val="24"/>
                <w:highlight w:val="none"/>
                <w:lang w:val="en-US" w:eastAsia="zh" w:bidi="ar"/>
              </w:rPr>
            </w:pPr>
            <w:r>
              <w:rPr>
                <w:rFonts w:hint="eastAsia" w:ascii="宋体" w:hAnsi="宋体" w:cs="宋体"/>
                <w:color w:val="auto"/>
                <w:kern w:val="0"/>
                <w:sz w:val="24"/>
                <w:highlight w:val="none"/>
                <w:lang w:val="en-US" w:eastAsia="zh" w:bidi="ar"/>
              </w:rPr>
              <w:t>6</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kern w:val="0"/>
                <w:sz w:val="24"/>
                <w:highlight w:val="none"/>
                <w:lang w:val="en-US" w:eastAsia="zh" w:bidi="ar"/>
              </w:rPr>
            </w:pPr>
            <w:r>
              <w:rPr>
                <w:rFonts w:hint="eastAsia" w:ascii="宋体" w:hAnsi="宋体" w:cs="宋体"/>
                <w:color w:val="auto"/>
                <w:kern w:val="0"/>
                <w:sz w:val="24"/>
                <w:highlight w:val="none"/>
                <w:lang w:val="en-US" w:eastAsia="zh-CN" w:bidi="ar"/>
              </w:rPr>
              <w:t>套</w:t>
            </w:r>
          </w:p>
        </w:tc>
      </w:tr>
      <w:tr>
        <w:tblPrEx>
          <w:tblCellMar>
            <w:top w:w="0" w:type="dxa"/>
            <w:left w:w="108" w:type="dxa"/>
            <w:bottom w:w="0" w:type="dxa"/>
            <w:right w:w="108" w:type="dxa"/>
          </w:tblCellMar>
        </w:tblPrEx>
        <w:trPr>
          <w:trHeight w:val="90" w:hRule="atLeast"/>
        </w:trPr>
        <w:tc>
          <w:tcPr>
            <w:tcW w:w="978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1"/>
                <w:numId w:val="0"/>
              </w:numPr>
              <w:suppressLineNumbers w:val="0"/>
              <w:tabs>
                <w:tab w:val="left" w:pos="2053"/>
              </w:tabs>
              <w:spacing w:before="0" w:beforeAutospacing="0" w:after="0" w:afterAutospacing="0" w:line="440" w:lineRule="exact"/>
              <w:ind w:left="0" w:right="0"/>
              <w:jc w:val="left"/>
              <w:textAlignment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val="en-US" w:eastAsia="zh-CN"/>
              </w:rPr>
              <w:t>四、软件</w:t>
            </w:r>
            <w:r>
              <w:rPr>
                <w:rFonts w:hint="eastAsia" w:ascii="宋体" w:hAnsi="宋体" w:cs="宋体"/>
                <w:b/>
                <w:bCs/>
                <w:color w:val="auto"/>
                <w:kern w:val="0"/>
                <w:sz w:val="22"/>
                <w:highlight w:val="none"/>
                <w:lang w:eastAsia="zh"/>
              </w:rPr>
              <w:t>运行维护服务</w:t>
            </w:r>
          </w:p>
        </w:tc>
      </w:tr>
      <w:tr>
        <w:tblPrEx>
          <w:tblCellMar>
            <w:top w:w="0" w:type="dxa"/>
            <w:left w:w="108" w:type="dxa"/>
            <w:bottom w:w="0" w:type="dxa"/>
            <w:right w:w="108" w:type="dxa"/>
          </w:tblCellMar>
        </w:tblPrEx>
        <w:trPr>
          <w:trHeight w:val="795"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1</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eastAsia="zh" w:bidi="ar"/>
              </w:rPr>
            </w:pPr>
            <w:r>
              <w:rPr>
                <w:rFonts w:hint="eastAsia" w:ascii="宋体" w:hAnsi="宋体" w:cs="宋体"/>
                <w:color w:val="auto"/>
                <w:kern w:val="0"/>
                <w:sz w:val="22"/>
                <w:szCs w:val="22"/>
                <w:highlight w:val="none"/>
                <w:lang w:eastAsia="zh" w:bidi="ar"/>
              </w:rPr>
              <w:t>软件运维服务</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0"/>
                <w:sz w:val="22"/>
                <w:highlight w:val="none"/>
                <w:lang w:eastAsia="zh"/>
              </w:rPr>
            </w:pPr>
            <w:r>
              <w:rPr>
                <w:rFonts w:hint="eastAsia" w:ascii="宋体" w:hAnsi="宋体" w:cs="宋体"/>
                <w:color w:val="auto"/>
                <w:kern w:val="0"/>
                <w:sz w:val="22"/>
                <w:highlight w:val="none"/>
                <w:lang w:eastAsia="zh"/>
              </w:rPr>
              <w:t>软件运行维护提供</w:t>
            </w:r>
            <w:r>
              <w:rPr>
                <w:rFonts w:hint="eastAsia" w:ascii="宋体" w:hAnsi="宋体" w:cs="宋体"/>
                <w:color w:val="auto"/>
                <w:kern w:val="0"/>
                <w:sz w:val="22"/>
                <w:highlight w:val="none"/>
                <w:lang w:val="en-US" w:eastAsia="zh-CN"/>
              </w:rPr>
              <w:t>对软件开发部分</w:t>
            </w:r>
            <w:r>
              <w:rPr>
                <w:rFonts w:hint="eastAsia" w:ascii="宋体" w:hAnsi="宋体" w:cs="宋体"/>
                <w:color w:val="auto"/>
                <w:kern w:val="0"/>
                <w:sz w:val="22"/>
                <w:highlight w:val="none"/>
                <w:lang w:eastAsia="zh"/>
              </w:rPr>
              <w:t>五年的运维服务，服务内容包括对软件(包括基础软件支撑软件、应用软件等)的功能修改完善、性能调优，以及常规的例行检查和状态监控、响应支持等服务。</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kern w:val="0"/>
                <w:sz w:val="24"/>
                <w:highlight w:val="none"/>
                <w:lang w:val="en-US" w:eastAsia="zh" w:bidi="ar"/>
              </w:rPr>
            </w:pPr>
            <w:r>
              <w:rPr>
                <w:rFonts w:hint="eastAsia" w:ascii="宋体" w:hAnsi="宋体" w:cs="宋体"/>
                <w:color w:val="auto"/>
                <w:kern w:val="0"/>
                <w:sz w:val="24"/>
                <w:highlight w:val="none"/>
                <w:lang w:val="en-US" w:eastAsia="zh" w:bidi="ar"/>
              </w:rPr>
              <w:t>项</w:t>
            </w:r>
          </w:p>
        </w:tc>
      </w:tr>
      <w:tr>
        <w:tblPrEx>
          <w:tblCellMar>
            <w:top w:w="0" w:type="dxa"/>
            <w:left w:w="108" w:type="dxa"/>
            <w:bottom w:w="0" w:type="dxa"/>
            <w:right w:w="108" w:type="dxa"/>
          </w:tblCellMar>
        </w:tblPrEx>
        <w:trPr>
          <w:trHeight w:val="90" w:hRule="atLeast"/>
        </w:trPr>
        <w:tc>
          <w:tcPr>
            <w:tcW w:w="978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1"/>
                <w:numId w:val="0"/>
              </w:numPr>
              <w:suppressLineNumbers w:val="0"/>
              <w:tabs>
                <w:tab w:val="left" w:pos="2053"/>
              </w:tabs>
              <w:spacing w:before="0" w:beforeAutospacing="0" w:after="0" w:afterAutospacing="0" w:line="440" w:lineRule="exact"/>
              <w:ind w:left="0" w:right="0"/>
              <w:jc w:val="left"/>
              <w:textAlignment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val="en-US" w:eastAsia="zh-CN"/>
              </w:rPr>
              <w:t>五、</w:t>
            </w:r>
            <w:r>
              <w:rPr>
                <w:rFonts w:hint="eastAsia" w:ascii="宋体" w:hAnsi="宋体" w:cs="宋体"/>
                <w:b/>
                <w:bCs/>
                <w:color w:val="auto"/>
                <w:kern w:val="0"/>
                <w:sz w:val="22"/>
                <w:highlight w:val="none"/>
              </w:rPr>
              <w:t>监控指挥中心</w:t>
            </w:r>
            <w:r>
              <w:rPr>
                <w:rFonts w:hint="eastAsia" w:ascii="宋体" w:hAnsi="宋体" w:cs="宋体"/>
                <w:b/>
                <w:bCs/>
                <w:color w:val="auto"/>
                <w:kern w:val="0"/>
                <w:sz w:val="22"/>
                <w:highlight w:val="none"/>
                <w:lang w:val="en-US" w:eastAsia="zh-CN"/>
              </w:rPr>
              <w:t>互联网接入及定位</w:t>
            </w:r>
            <w:r>
              <w:rPr>
                <w:rFonts w:hint="eastAsia" w:ascii="宋体" w:hAnsi="宋体" w:cs="宋体"/>
                <w:b/>
                <w:bCs/>
                <w:color w:val="auto"/>
                <w:kern w:val="0"/>
                <w:sz w:val="22"/>
                <w:highlight w:val="none"/>
                <w:lang w:eastAsia="zh"/>
              </w:rPr>
              <w:t>服务</w:t>
            </w:r>
          </w:p>
        </w:tc>
      </w:tr>
      <w:tr>
        <w:tblPrEx>
          <w:tblCellMar>
            <w:top w:w="0" w:type="dxa"/>
            <w:left w:w="108" w:type="dxa"/>
            <w:bottom w:w="0" w:type="dxa"/>
            <w:right w:w="108" w:type="dxa"/>
          </w:tblCellMar>
        </w:tblPrEx>
        <w:trPr>
          <w:trHeight w:val="775"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互联网接入服务</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提供监控指挥中心互联网带宽接入服务</w:t>
            </w:r>
            <w:r>
              <w:rPr>
                <w:rFonts w:hint="eastAsia" w:ascii="宋体" w:hAnsi="宋体" w:cs="宋体"/>
                <w:color w:val="auto"/>
                <w:kern w:val="0"/>
                <w:sz w:val="22"/>
                <w:szCs w:val="22"/>
                <w:highlight w:val="none"/>
                <w:lang w:eastAsia="zh"/>
              </w:rPr>
              <w:t>，</w:t>
            </w:r>
            <w:r>
              <w:rPr>
                <w:rFonts w:hint="eastAsia" w:ascii="宋体" w:hAnsi="宋体" w:cs="宋体"/>
                <w:color w:val="auto"/>
                <w:kern w:val="0"/>
                <w:sz w:val="22"/>
                <w:szCs w:val="22"/>
                <w:highlight w:val="none"/>
                <w:lang w:val="en-US" w:eastAsia="zh-CN"/>
              </w:rPr>
              <w:t>下行速率</w:t>
            </w:r>
            <w:r>
              <w:rPr>
                <w:rFonts w:hint="eastAsia" w:ascii="宋体" w:hAnsi="宋体" w:cs="宋体"/>
                <w:color w:val="auto"/>
                <w:kern w:val="0"/>
                <w:sz w:val="22"/>
                <w:highlight w:val="none"/>
                <w:lang w:eastAsia="zh"/>
              </w:rPr>
              <w:t>≥</w:t>
            </w:r>
            <w:r>
              <w:rPr>
                <w:rFonts w:hint="eastAsia" w:ascii="宋体" w:hAnsi="宋体" w:cs="宋体"/>
                <w:color w:val="auto"/>
                <w:kern w:val="0"/>
                <w:sz w:val="22"/>
                <w:szCs w:val="22"/>
                <w:highlight w:val="none"/>
                <w:lang w:eastAsia="zh"/>
              </w:rPr>
              <w:t>1</w:t>
            </w:r>
            <w:r>
              <w:rPr>
                <w:rFonts w:hint="eastAsia" w:ascii="宋体" w:hAnsi="宋体" w:cs="宋体"/>
                <w:color w:val="auto"/>
                <w:kern w:val="0"/>
                <w:sz w:val="22"/>
                <w:szCs w:val="22"/>
                <w:highlight w:val="none"/>
                <w:lang w:val="en-US" w:eastAsia="zh-CN"/>
              </w:rPr>
              <w:t>0</w:t>
            </w:r>
            <w:r>
              <w:rPr>
                <w:rFonts w:hint="eastAsia" w:ascii="宋体" w:hAnsi="宋体" w:cs="宋体"/>
                <w:color w:val="auto"/>
                <w:kern w:val="0"/>
                <w:sz w:val="22"/>
                <w:szCs w:val="22"/>
                <w:highlight w:val="none"/>
                <w:lang w:eastAsia="zh"/>
              </w:rPr>
              <w:t>00M</w:t>
            </w:r>
            <w:r>
              <w:rPr>
                <w:rFonts w:hint="eastAsia" w:ascii="宋体" w:hAnsi="宋体" w:cs="宋体"/>
                <w:color w:val="auto"/>
                <w:kern w:val="0"/>
                <w:sz w:val="22"/>
                <w:szCs w:val="22"/>
                <w:highlight w:val="none"/>
                <w:lang w:val="en-US" w:eastAsia="zh-CN"/>
              </w:rPr>
              <w:t>bps</w:t>
            </w:r>
            <w:r>
              <w:rPr>
                <w:rFonts w:hint="eastAsia"/>
                <w:color w:val="auto"/>
                <w:highlight w:val="none"/>
                <w:lang w:eastAsia="zh-CN"/>
              </w:rPr>
              <w:t>，</w:t>
            </w:r>
            <w:r>
              <w:rPr>
                <w:rFonts w:hint="eastAsia" w:ascii="宋体" w:hAnsi="宋体" w:cs="宋体"/>
                <w:color w:val="auto"/>
                <w:kern w:val="0"/>
                <w:sz w:val="22"/>
                <w:szCs w:val="22"/>
                <w:highlight w:val="none"/>
                <w:lang w:val="en-US" w:eastAsia="zh-CN"/>
              </w:rPr>
              <w:t>服务</w:t>
            </w:r>
            <w:r>
              <w:rPr>
                <w:rFonts w:hint="eastAsia" w:ascii="宋体" w:hAnsi="宋体" w:cs="宋体"/>
                <w:color w:val="auto"/>
                <w:kern w:val="0"/>
                <w:sz w:val="22"/>
                <w:szCs w:val="22"/>
                <w:highlight w:val="none"/>
                <w:lang w:eastAsia="zh"/>
              </w:rPr>
              <w:t>期限36个月</w:t>
            </w:r>
            <w:r>
              <w:rPr>
                <w:rFonts w:hint="eastAsia"/>
                <w:color w:val="auto"/>
                <w:highlight w:val="none"/>
                <w:lang w:eastAsia="zh-CN"/>
              </w:rPr>
              <w:t>。</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kern w:val="0"/>
                <w:sz w:val="24"/>
                <w:highlight w:val="none"/>
                <w:lang w:val="en-US" w:eastAsia="zh" w:bidi="ar"/>
              </w:rPr>
            </w:pPr>
            <w:r>
              <w:rPr>
                <w:rFonts w:hint="eastAsia" w:ascii="宋体" w:hAnsi="宋体" w:cs="宋体"/>
                <w:color w:val="auto"/>
                <w:kern w:val="0"/>
                <w:sz w:val="24"/>
                <w:highlight w:val="none"/>
                <w:lang w:val="en-US" w:eastAsia="zh" w:bidi="ar"/>
              </w:rPr>
              <w:t>项</w:t>
            </w:r>
          </w:p>
        </w:tc>
      </w:tr>
      <w:tr>
        <w:tblPrEx>
          <w:tblCellMar>
            <w:top w:w="0" w:type="dxa"/>
            <w:left w:w="108" w:type="dxa"/>
            <w:bottom w:w="0" w:type="dxa"/>
            <w:right w:w="108" w:type="dxa"/>
          </w:tblCellMar>
        </w:tblPrEx>
        <w:trPr>
          <w:trHeight w:val="795" w:hRule="atLeast"/>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21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定位标识服务</w:t>
            </w:r>
          </w:p>
        </w:tc>
        <w:tc>
          <w:tcPr>
            <w:tcW w:w="58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0"/>
                <w:sz w:val="22"/>
                <w:highlight w:val="none"/>
                <w:lang w:eastAsia="zh"/>
              </w:rPr>
            </w:pPr>
            <w:r>
              <w:rPr>
                <w:rFonts w:hint="eastAsia" w:ascii="宋体" w:hAnsi="宋体" w:cs="宋体"/>
                <w:color w:val="auto"/>
                <w:kern w:val="0"/>
                <w:sz w:val="22"/>
                <w:highlight w:val="none"/>
                <w:lang w:eastAsia="zh"/>
              </w:rPr>
              <w:t>用于在数据传输时标识计算机的电子方位，具有唯一性，也是计算机处理过程中IP地址的助记符</w:t>
            </w:r>
            <w:r>
              <w:rPr>
                <w:rFonts w:hint="eastAsia" w:ascii="宋体" w:hAnsi="宋体" w:cs="宋体"/>
                <w:color w:val="auto"/>
                <w:kern w:val="0"/>
                <w:sz w:val="22"/>
                <w:highlight w:val="none"/>
                <w:lang w:eastAsia="zh-CN"/>
              </w:rPr>
              <w:t>，</w:t>
            </w:r>
            <w:r>
              <w:rPr>
                <w:rFonts w:hint="eastAsia" w:ascii="宋体" w:hAnsi="宋体" w:cs="宋体"/>
                <w:color w:val="auto"/>
                <w:kern w:val="0"/>
                <w:sz w:val="22"/>
                <w:szCs w:val="22"/>
                <w:highlight w:val="none"/>
                <w:lang w:val="en-US" w:eastAsia="zh-CN"/>
              </w:rPr>
              <w:t>服务</w:t>
            </w:r>
            <w:r>
              <w:rPr>
                <w:rFonts w:hint="eastAsia" w:ascii="宋体" w:hAnsi="宋体" w:cs="宋体"/>
                <w:color w:val="auto"/>
                <w:kern w:val="0"/>
                <w:sz w:val="22"/>
                <w:szCs w:val="22"/>
                <w:highlight w:val="none"/>
                <w:lang w:eastAsia="zh"/>
              </w:rPr>
              <w:t>期限36个月</w:t>
            </w:r>
            <w:r>
              <w:rPr>
                <w:rFonts w:hint="eastAsia" w:ascii="宋体" w:hAnsi="宋体" w:cs="宋体"/>
                <w:color w:val="auto"/>
                <w:kern w:val="0"/>
                <w:sz w:val="22"/>
                <w:highlight w:val="none"/>
                <w:lang w:eastAsia="zh"/>
              </w:rPr>
              <w:t>。</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项</w:t>
            </w:r>
          </w:p>
        </w:tc>
      </w:tr>
    </w:tbl>
    <w:p>
      <w:pPr>
        <w:widowControl/>
        <w:numPr>
          <w:ilvl w:val="-1"/>
          <w:numId w:val="0"/>
        </w:numPr>
        <w:snapToGrid w:val="0"/>
        <w:spacing w:line="400" w:lineRule="exact"/>
        <w:ind w:firstLine="0" w:firstLineChars="0"/>
        <w:jc w:val="left"/>
        <w:rPr>
          <w:rFonts w:hint="eastAsia" w:ascii="宋体" w:hAnsi="宋体" w:cs="宋体"/>
          <w:b/>
          <w:bCs/>
          <w:color w:val="auto"/>
          <w:szCs w:val="21"/>
          <w:highlight w:val="none"/>
        </w:rPr>
      </w:pPr>
      <w:r>
        <w:rPr>
          <w:rFonts w:hint="eastAsia" w:ascii="宋体" w:hAnsi="宋体" w:cs="宋体"/>
          <w:b w:val="0"/>
          <w:bCs/>
          <w:color w:val="auto"/>
          <w:szCs w:val="21"/>
          <w:highlight w:val="none"/>
          <w:lang w:val="en-US" w:eastAsia="zh-CN"/>
        </w:rPr>
        <w:t xml:space="preserve">   </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 xml:space="preserve"> </w:t>
      </w:r>
      <w:r>
        <w:rPr>
          <w:rFonts w:hint="eastAsia" w:ascii="宋体" w:hAnsi="宋体" w:cs="宋体"/>
          <w:b/>
          <w:bCs w:val="0"/>
          <w:color w:val="auto"/>
          <w:szCs w:val="21"/>
          <w:highlight w:val="none"/>
          <w:lang w:eastAsia="zh-CN"/>
        </w:rPr>
        <w:t>二、</w:t>
      </w:r>
      <w:r>
        <w:rPr>
          <w:rFonts w:hint="eastAsia" w:ascii="宋体" w:hAnsi="宋体" w:cs="宋体"/>
          <w:b/>
          <w:bCs w:val="0"/>
          <w:color w:val="auto"/>
          <w:szCs w:val="21"/>
          <w:highlight w:val="none"/>
        </w:rPr>
        <w:t>商务要求</w:t>
      </w:r>
    </w:p>
    <w:p>
      <w:pPr>
        <w:pStyle w:val="10"/>
        <w:numPr>
          <w:ilvl w:val="0"/>
          <w:numId w:val="11"/>
        </w:numPr>
        <w:ind w:left="421"/>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服务要求：</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以下服务基本要求内容产生的相关费用包含在投标报价中，采购人不再就此费用另行支付：</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、提供7×24小时热线电话服务，并指定专人负责上门受理日常维护及平时协助采购方维护检测等工作</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出现系统故障后供应商在</w:t>
      </w:r>
      <w:r>
        <w:rPr>
          <w:rFonts w:hint="eastAsia" w:ascii="宋体" w:hAnsi="宋体" w:cs="宋体"/>
          <w:color w:val="auto"/>
          <w:kern w:val="0"/>
          <w:szCs w:val="21"/>
          <w:highlight w:val="none"/>
        </w:rPr>
        <w:t>2小时内做出实质性</w:t>
      </w:r>
      <w:r>
        <w:rPr>
          <w:rFonts w:hint="eastAsia" w:ascii="宋体" w:hAnsi="宋体" w:cs="宋体"/>
          <w:color w:val="auto"/>
          <w:kern w:val="0"/>
          <w:szCs w:val="21"/>
          <w:highlight w:val="none"/>
          <w:lang w:val="en-US" w:eastAsia="zh-CN"/>
        </w:rPr>
        <w:t>分级</w:t>
      </w:r>
      <w:r>
        <w:rPr>
          <w:rFonts w:hint="eastAsia" w:ascii="宋体" w:hAnsi="宋体" w:cs="宋体"/>
          <w:color w:val="auto"/>
          <w:kern w:val="0"/>
          <w:szCs w:val="21"/>
          <w:highlight w:val="none"/>
        </w:rPr>
        <w:t>响应，4小时内提供有效的技术解决方案，必要时技术人员将在24小时内到达故障发生地点</w:t>
      </w:r>
      <w:r>
        <w:rPr>
          <w:rFonts w:hint="eastAsia" w:ascii="宋体" w:hAnsi="宋体" w:cs="宋体"/>
          <w:color w:val="auto"/>
          <w:kern w:val="0"/>
          <w:szCs w:val="21"/>
          <w:highlight w:val="none"/>
          <w:lang w:eastAsia="zh-CN"/>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、要求为实现本项目的服务能力建设，由</w:t>
      </w:r>
      <w:r>
        <w:rPr>
          <w:rFonts w:hint="eastAsia" w:ascii="宋体" w:hAnsi="宋体"/>
          <w:color w:val="auto"/>
          <w:szCs w:val="21"/>
          <w:highlight w:val="none"/>
          <w:lang w:val="en-US" w:eastAsia="zh-CN"/>
        </w:rPr>
        <w:t>供应商</w:t>
      </w:r>
      <w:r>
        <w:rPr>
          <w:rFonts w:hint="eastAsia" w:ascii="宋体" w:hAnsi="宋体"/>
          <w:color w:val="auto"/>
          <w:szCs w:val="21"/>
          <w:highlight w:val="none"/>
        </w:rPr>
        <w:t>负责投入必要的设备设施，基本配置应达到采购单位提出的技术参数要求，并符合国家有关质量安全标准。</w:t>
      </w:r>
    </w:p>
    <w:p>
      <w:pPr>
        <w:spacing w:line="360" w:lineRule="auto"/>
        <w:ind w:firstLine="420" w:firstLineChars="200"/>
        <w:rPr>
          <w:rFonts w:hint="default" w:ascii="宋体" w:hAnsi="宋体" w:cs="宋体"/>
          <w:b/>
          <w:bCs/>
          <w:color w:val="auto"/>
          <w:szCs w:val="21"/>
          <w:highlight w:val="none"/>
          <w:lang w:val="en-US" w:eastAsia="zh-CN"/>
        </w:rPr>
      </w:pPr>
      <w:r>
        <w:rPr>
          <w:rFonts w:hint="eastAsia" w:ascii="宋体" w:hAnsi="宋体"/>
          <w:color w:val="auto"/>
          <w:szCs w:val="21"/>
          <w:highlight w:val="none"/>
          <w:lang w:val="en-US" w:eastAsia="zh-CN"/>
        </w:rPr>
        <w:t>3</w:t>
      </w:r>
      <w:r>
        <w:rPr>
          <w:rFonts w:hint="eastAsia" w:ascii="宋体" w:hAnsi="宋体"/>
          <w:color w:val="auto"/>
          <w:szCs w:val="21"/>
          <w:highlight w:val="none"/>
        </w:rPr>
        <w:t>、技术服务及培训：服务期内按采购人要求提供技术培训，中标供应商须派技术人员到采购单位现场对用户使用操作人员进行切实有效的培训，所有培训费用由中标供应商承担。</w:t>
      </w:r>
    </w:p>
    <w:p>
      <w:pPr>
        <w:widowControl/>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）服务时间及服务地点：</w:t>
      </w:r>
    </w:p>
    <w:p>
      <w:pPr>
        <w:widowControl/>
        <w:snapToGrid w:val="0"/>
        <w:spacing w:line="40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1. 服务时间：</w:t>
      </w:r>
      <w:r>
        <w:rPr>
          <w:rFonts w:hint="eastAsia" w:ascii="宋体" w:hAnsi="宋体"/>
          <w:b/>
          <w:color w:val="auto"/>
          <w:highlight w:val="none"/>
          <w:lang w:eastAsia="zh-CN"/>
        </w:rPr>
        <w:t>（</w:t>
      </w:r>
      <w:r>
        <w:rPr>
          <w:rFonts w:hint="eastAsia" w:ascii="宋体" w:hAnsi="宋体"/>
          <w:b/>
          <w:color w:val="auto"/>
          <w:highlight w:val="none"/>
          <w:lang w:val="en-US" w:eastAsia="zh-CN"/>
        </w:rPr>
        <w:t>1</w:t>
      </w:r>
      <w:r>
        <w:rPr>
          <w:rFonts w:hint="eastAsia" w:ascii="宋体" w:hAnsi="宋体"/>
          <w:b/>
          <w:color w:val="auto"/>
          <w:highlight w:val="none"/>
          <w:lang w:eastAsia="zh-CN"/>
        </w:rPr>
        <w:t>）</w:t>
      </w:r>
      <w:r>
        <w:rPr>
          <w:rFonts w:hint="eastAsia" w:ascii="宋体" w:hAnsi="宋体"/>
          <w:b/>
          <w:color w:val="auto"/>
          <w:highlight w:val="none"/>
        </w:rPr>
        <w:t>.交付使用时间：签订合同后</w:t>
      </w:r>
      <w:r>
        <w:rPr>
          <w:rFonts w:hint="eastAsia" w:ascii="宋体" w:hAnsi="宋体"/>
          <w:b/>
          <w:color w:val="auto"/>
          <w:highlight w:val="none"/>
          <w:lang w:val="en-US" w:eastAsia="zh-CN"/>
        </w:rPr>
        <w:t>4个月</w:t>
      </w:r>
      <w:r>
        <w:rPr>
          <w:rFonts w:hint="eastAsia" w:ascii="宋体" w:hAnsi="宋体"/>
          <w:b/>
          <w:color w:val="auto"/>
          <w:highlight w:val="none"/>
        </w:rPr>
        <w:t>内建设完毕通过验收并交付使用。</w:t>
      </w:r>
      <w:r>
        <w:rPr>
          <w:rFonts w:hint="eastAsia" w:ascii="宋体" w:hAnsi="宋体"/>
          <w:b/>
          <w:color w:val="auto"/>
          <w:highlight w:val="none"/>
          <w:lang w:eastAsia="zh-CN"/>
        </w:rPr>
        <w:t>（</w:t>
      </w:r>
      <w:r>
        <w:rPr>
          <w:rFonts w:hint="eastAsia" w:ascii="宋体" w:hAnsi="宋体"/>
          <w:b/>
          <w:color w:val="auto"/>
          <w:highlight w:val="none"/>
          <w:lang w:val="en-US" w:eastAsia="zh-CN"/>
        </w:rPr>
        <w:t>2</w:t>
      </w:r>
      <w:r>
        <w:rPr>
          <w:rFonts w:hint="eastAsia" w:ascii="宋体" w:hAnsi="宋体"/>
          <w:b/>
          <w:color w:val="auto"/>
          <w:highlight w:val="none"/>
          <w:lang w:eastAsia="zh-CN"/>
        </w:rPr>
        <w:t>）</w:t>
      </w:r>
      <w:r>
        <w:rPr>
          <w:rFonts w:hint="eastAsia" w:ascii="宋体" w:hAnsi="宋体"/>
          <w:b/>
          <w:color w:val="auto"/>
          <w:highlight w:val="none"/>
        </w:rPr>
        <w:t>.运维服务期限：</w:t>
      </w:r>
      <w:r>
        <w:rPr>
          <w:rFonts w:hint="eastAsia" w:ascii="宋体" w:hAnsi="宋体"/>
          <w:b/>
          <w:color w:val="auto"/>
          <w:highlight w:val="none"/>
          <w:lang w:eastAsia="zh-CN"/>
        </w:rPr>
        <w:t>采购需求中有规定的按其规定，没有规定的</w:t>
      </w:r>
      <w:r>
        <w:rPr>
          <w:rFonts w:hint="eastAsia" w:ascii="宋体" w:hAnsi="宋体"/>
          <w:b/>
          <w:color w:val="auto"/>
          <w:highlight w:val="none"/>
        </w:rPr>
        <w:t>签订合同后自项目通过验收交付使用之日起3年</w:t>
      </w:r>
      <w:r>
        <w:rPr>
          <w:rFonts w:hint="eastAsia" w:ascii="宋体" w:hAnsi="宋体"/>
          <w:b/>
          <w:color w:val="auto"/>
          <w:highlight w:val="none"/>
          <w:lang w:eastAsia="zh-CN"/>
        </w:rPr>
        <w:t>，</w:t>
      </w:r>
      <w:r>
        <w:rPr>
          <w:rFonts w:hint="eastAsia" w:ascii="宋体" w:hAnsi="宋体"/>
          <w:b/>
          <w:color w:val="auto"/>
          <w:highlight w:val="none"/>
          <w:lang w:val="en-US" w:eastAsia="zh-CN"/>
        </w:rPr>
        <w:t>其中软件运维5年</w:t>
      </w:r>
      <w:r>
        <w:rPr>
          <w:rFonts w:hint="eastAsia" w:ascii="宋体" w:hAnsi="宋体"/>
          <w:b/>
          <w:color w:val="auto"/>
          <w:highlight w:val="none"/>
        </w:rPr>
        <w:t>。</w:t>
      </w:r>
    </w:p>
    <w:p>
      <w:pPr>
        <w:widowControl/>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 服务地点：广西桂林市采购人指定地点。</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）付款方式：</w:t>
      </w:r>
    </w:p>
    <w:p>
      <w:pPr>
        <w:pStyle w:val="4"/>
        <w:numPr>
          <w:ilvl w:val="0"/>
          <w:numId w:val="0"/>
        </w:numPr>
        <w:ind w:firstLine="420" w:firstLineChars="200"/>
        <w:rPr>
          <w:rFonts w:hint="eastAsia"/>
          <w:color w:val="auto"/>
          <w:highlight w:val="none"/>
        </w:rPr>
      </w:pPr>
      <w:r>
        <w:rPr>
          <w:rFonts w:hint="eastAsia"/>
          <w:color w:val="auto"/>
          <w:highlight w:val="none"/>
          <w:lang w:val="en-US" w:eastAsia="zh-CN"/>
        </w:rPr>
        <w:t>1、</w:t>
      </w:r>
      <w:r>
        <w:rPr>
          <w:rFonts w:hint="eastAsia"/>
          <w:color w:val="auto"/>
          <w:highlight w:val="none"/>
        </w:rPr>
        <w:t>自合同签订之日起</w:t>
      </w:r>
      <w:r>
        <w:rPr>
          <w:rFonts w:hint="eastAsia"/>
          <w:color w:val="auto"/>
          <w:highlight w:val="none"/>
          <w:lang w:val="en-US" w:eastAsia="zh-CN"/>
        </w:rPr>
        <w:t>10</w:t>
      </w:r>
      <w:r>
        <w:rPr>
          <w:rFonts w:hint="eastAsia"/>
          <w:color w:val="auto"/>
          <w:highlight w:val="none"/>
        </w:rPr>
        <w:t>个工作日内</w:t>
      </w:r>
      <w:r>
        <w:rPr>
          <w:rFonts w:hint="eastAsia"/>
          <w:color w:val="auto"/>
          <w:highlight w:val="none"/>
          <w:lang w:val="en-US" w:eastAsia="zh-CN"/>
        </w:rPr>
        <w:t>乙方</w:t>
      </w:r>
      <w:r>
        <w:rPr>
          <w:rFonts w:hint="eastAsia"/>
          <w:color w:val="auto"/>
          <w:highlight w:val="none"/>
        </w:rPr>
        <w:t>可向甲方申请合同总金额的30%作为预付款；</w:t>
      </w:r>
    </w:p>
    <w:p>
      <w:pPr>
        <w:pStyle w:val="4"/>
        <w:numPr>
          <w:ilvl w:val="0"/>
          <w:numId w:val="0"/>
        </w:numPr>
        <w:ind w:firstLine="420" w:firstLineChars="200"/>
        <w:rPr>
          <w:rFonts w:hint="eastAsia"/>
          <w:color w:val="auto"/>
          <w:highlight w:val="none"/>
        </w:rPr>
      </w:pPr>
      <w:r>
        <w:rPr>
          <w:rFonts w:hint="eastAsia"/>
          <w:color w:val="auto"/>
          <w:highlight w:val="none"/>
          <w:lang w:val="en-US" w:eastAsia="zh-CN"/>
        </w:rPr>
        <w:t>2、乙方</w:t>
      </w:r>
      <w:r>
        <w:rPr>
          <w:rFonts w:hint="eastAsia" w:ascii="Times New Roman" w:hAnsi="Times New Roman" w:eastAsia="宋体" w:cs="Times New Roman"/>
          <w:color w:val="auto"/>
          <w:highlight w:val="none"/>
        </w:rPr>
        <w:t>完成提供</w:t>
      </w:r>
      <w:r>
        <w:rPr>
          <w:rFonts w:hint="eastAsia" w:ascii="Times New Roman" w:hAnsi="Times New Roman" w:eastAsia="宋体" w:cs="Times New Roman"/>
          <w:b w:val="0"/>
          <w:bCs w:val="0"/>
          <w:color w:val="auto"/>
          <w:kern w:val="2"/>
          <w:sz w:val="21"/>
          <w:highlight w:val="none"/>
        </w:rPr>
        <w:t>监控指挥中心</w:t>
      </w:r>
      <w:r>
        <w:rPr>
          <w:rFonts w:hint="eastAsia" w:ascii="Times New Roman" w:hAnsi="Times New Roman" w:eastAsia="宋体" w:cs="Times New Roman"/>
          <w:b w:val="0"/>
          <w:bCs w:val="0"/>
          <w:color w:val="auto"/>
          <w:kern w:val="2"/>
          <w:sz w:val="21"/>
          <w:highlight w:val="none"/>
          <w:lang w:val="en-US" w:eastAsia="zh-CN"/>
        </w:rPr>
        <w:t>升级改造技术服务、</w:t>
      </w:r>
      <w:r>
        <w:rPr>
          <w:rFonts w:hint="eastAsia" w:ascii="Times New Roman" w:hAnsi="Times New Roman" w:eastAsia="宋体" w:cs="Times New Roman"/>
          <w:b w:val="0"/>
          <w:bCs w:val="0"/>
          <w:color w:val="auto"/>
          <w:kern w:val="2"/>
          <w:sz w:val="21"/>
          <w:highlight w:val="none"/>
          <w:lang w:eastAsia="zh-CN"/>
        </w:rPr>
        <w:t>巡护</w:t>
      </w:r>
      <w:r>
        <w:rPr>
          <w:rFonts w:hint="eastAsia" w:ascii="Times New Roman" w:hAnsi="Times New Roman" w:eastAsia="宋体" w:cs="Times New Roman"/>
          <w:b w:val="0"/>
          <w:bCs w:val="0"/>
          <w:color w:val="auto"/>
          <w:kern w:val="2"/>
          <w:sz w:val="21"/>
          <w:highlight w:val="none"/>
          <w:lang w:val="en-US" w:eastAsia="zh-CN"/>
        </w:rPr>
        <w:t>采集</w:t>
      </w:r>
      <w:r>
        <w:rPr>
          <w:rFonts w:hint="eastAsia" w:ascii="Times New Roman" w:hAnsi="Times New Roman" w:eastAsia="宋体" w:cs="Times New Roman"/>
          <w:b w:val="0"/>
          <w:bCs w:val="0"/>
          <w:color w:val="auto"/>
          <w:kern w:val="2"/>
          <w:sz w:val="21"/>
          <w:highlight w:val="none"/>
          <w:lang w:eastAsia="zh-CN"/>
        </w:rPr>
        <w:t>管理</w:t>
      </w:r>
      <w:r>
        <w:rPr>
          <w:rFonts w:hint="eastAsia" w:ascii="Times New Roman" w:hAnsi="Times New Roman" w:eastAsia="宋体" w:cs="Times New Roman"/>
          <w:b w:val="0"/>
          <w:bCs w:val="0"/>
          <w:color w:val="auto"/>
          <w:kern w:val="2"/>
          <w:sz w:val="21"/>
          <w:highlight w:val="none"/>
          <w:lang w:val="en-US" w:eastAsia="zh-CN"/>
        </w:rPr>
        <w:t>服务</w:t>
      </w:r>
      <w:r>
        <w:rPr>
          <w:rFonts w:hint="eastAsia" w:ascii="Times New Roman" w:hAnsi="Times New Roman" w:eastAsia="宋体" w:cs="Times New Roman"/>
          <w:color w:val="auto"/>
          <w:highlight w:val="none"/>
        </w:rPr>
        <w:t>，经双方</w:t>
      </w:r>
      <w:r>
        <w:rPr>
          <w:rFonts w:hint="eastAsia"/>
          <w:color w:val="auto"/>
          <w:highlight w:val="none"/>
        </w:rPr>
        <w:t>清点核对后，</w:t>
      </w:r>
      <w:r>
        <w:rPr>
          <w:rFonts w:hint="eastAsia"/>
          <w:color w:val="auto"/>
          <w:highlight w:val="none"/>
          <w:lang w:val="en-US" w:eastAsia="zh-CN"/>
        </w:rPr>
        <w:t>乙方</w:t>
      </w:r>
      <w:r>
        <w:rPr>
          <w:rFonts w:hint="eastAsia"/>
          <w:color w:val="auto"/>
          <w:highlight w:val="none"/>
        </w:rPr>
        <w:t>可向甲方申请合同总金额的</w:t>
      </w:r>
      <w:r>
        <w:rPr>
          <w:rFonts w:hint="eastAsia"/>
          <w:color w:val="auto"/>
          <w:highlight w:val="none"/>
          <w:lang w:val="en-US" w:eastAsia="zh-CN"/>
        </w:rPr>
        <w:t>2</w:t>
      </w:r>
      <w:r>
        <w:rPr>
          <w:rFonts w:hint="eastAsia"/>
          <w:color w:val="auto"/>
          <w:highlight w:val="none"/>
        </w:rPr>
        <w:t>0%</w:t>
      </w:r>
      <w:r>
        <w:rPr>
          <w:rFonts w:hint="eastAsia"/>
          <w:color w:val="auto"/>
          <w:highlight w:val="none"/>
          <w:lang w:val="en-US" w:eastAsia="zh-CN"/>
        </w:rPr>
        <w:t>的进度款；</w:t>
      </w:r>
    </w:p>
    <w:p>
      <w:pPr>
        <w:pStyle w:val="4"/>
        <w:numPr>
          <w:ilvl w:val="0"/>
          <w:numId w:val="0"/>
        </w:numPr>
        <w:ind w:firstLine="420" w:firstLineChars="200"/>
        <w:rPr>
          <w:rFonts w:hint="eastAsia"/>
          <w:color w:val="auto"/>
          <w:highlight w:val="none"/>
        </w:rPr>
      </w:pPr>
      <w:r>
        <w:rPr>
          <w:rFonts w:hint="eastAsia"/>
          <w:color w:val="auto"/>
          <w:highlight w:val="none"/>
          <w:lang w:val="en-US" w:eastAsia="zh-CN"/>
        </w:rPr>
        <w:t>3、当</w:t>
      </w:r>
      <w:r>
        <w:rPr>
          <w:rFonts w:hint="eastAsia"/>
          <w:color w:val="auto"/>
          <w:highlight w:val="none"/>
        </w:rPr>
        <w:t>项目进度达到90%时（软件上线试运行为准），</w:t>
      </w:r>
      <w:r>
        <w:rPr>
          <w:rFonts w:hint="eastAsia"/>
          <w:color w:val="auto"/>
          <w:highlight w:val="none"/>
          <w:lang w:val="en-US" w:eastAsia="zh-CN"/>
        </w:rPr>
        <w:t>乙方</w:t>
      </w:r>
      <w:r>
        <w:rPr>
          <w:rFonts w:hint="eastAsia"/>
          <w:color w:val="auto"/>
          <w:highlight w:val="none"/>
        </w:rPr>
        <w:t>在</w:t>
      </w:r>
      <w:r>
        <w:rPr>
          <w:rFonts w:hint="eastAsia"/>
          <w:color w:val="auto"/>
          <w:highlight w:val="none"/>
          <w:lang w:val="en-US" w:eastAsia="zh-CN"/>
        </w:rPr>
        <w:t>10</w:t>
      </w:r>
      <w:r>
        <w:rPr>
          <w:rFonts w:hint="eastAsia"/>
          <w:color w:val="auto"/>
          <w:highlight w:val="none"/>
        </w:rPr>
        <w:t>个工作日内</w:t>
      </w:r>
      <w:r>
        <w:rPr>
          <w:rFonts w:hint="eastAsia"/>
          <w:color w:val="auto"/>
          <w:highlight w:val="none"/>
          <w:lang w:val="en-US" w:eastAsia="zh-CN"/>
        </w:rPr>
        <w:t>可</w:t>
      </w:r>
      <w:r>
        <w:rPr>
          <w:rFonts w:hint="eastAsia"/>
          <w:color w:val="auto"/>
          <w:highlight w:val="none"/>
        </w:rPr>
        <w:t>向甲方申请合同总金额的</w:t>
      </w:r>
      <w:r>
        <w:rPr>
          <w:rFonts w:hint="eastAsia"/>
          <w:color w:val="auto"/>
          <w:highlight w:val="none"/>
          <w:lang w:val="en-US" w:eastAsia="zh-CN"/>
        </w:rPr>
        <w:t>30%</w:t>
      </w:r>
      <w:r>
        <w:rPr>
          <w:rFonts w:hint="eastAsia"/>
          <w:color w:val="auto"/>
          <w:highlight w:val="none"/>
        </w:rPr>
        <w:t>作为进度款；</w:t>
      </w:r>
    </w:p>
    <w:p>
      <w:pPr>
        <w:pStyle w:val="4"/>
        <w:numPr>
          <w:ilvl w:val="0"/>
          <w:numId w:val="0"/>
        </w:numPr>
        <w:ind w:firstLine="420" w:firstLineChars="200"/>
        <w:rPr>
          <w:rFonts w:hint="eastAsia"/>
          <w:color w:val="auto"/>
          <w:highlight w:val="none"/>
        </w:rPr>
      </w:pP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项目通过验</w:t>
      </w:r>
      <w:r>
        <w:rPr>
          <w:rFonts w:hint="eastAsia"/>
          <w:color w:val="auto"/>
          <w:highlight w:val="none"/>
          <w:lang w:val="en-US" w:eastAsia="zh-CN"/>
        </w:rPr>
        <w:t>收</w:t>
      </w:r>
      <w:r>
        <w:rPr>
          <w:rFonts w:hint="eastAsia"/>
          <w:color w:val="auto"/>
          <w:highlight w:val="none"/>
        </w:rPr>
        <w:t>合格，</w:t>
      </w:r>
      <w:r>
        <w:rPr>
          <w:rFonts w:hint="eastAsia"/>
          <w:color w:val="auto"/>
          <w:highlight w:val="none"/>
          <w:lang w:val="en-US" w:eastAsia="zh-CN"/>
        </w:rPr>
        <w:t>乙方</w:t>
      </w:r>
      <w:r>
        <w:rPr>
          <w:rFonts w:hint="eastAsia"/>
          <w:color w:val="auto"/>
          <w:highlight w:val="none"/>
        </w:rPr>
        <w:t>在</w:t>
      </w:r>
      <w:r>
        <w:rPr>
          <w:rFonts w:hint="eastAsia"/>
          <w:color w:val="auto"/>
          <w:highlight w:val="none"/>
          <w:lang w:val="en-US" w:eastAsia="zh-CN"/>
        </w:rPr>
        <w:t>10</w:t>
      </w:r>
      <w:r>
        <w:rPr>
          <w:rFonts w:hint="eastAsia"/>
          <w:color w:val="auto"/>
          <w:highlight w:val="none"/>
        </w:rPr>
        <w:t>个工作日内</w:t>
      </w:r>
      <w:r>
        <w:rPr>
          <w:rFonts w:hint="eastAsia"/>
          <w:color w:val="auto"/>
          <w:highlight w:val="none"/>
          <w:lang w:val="en-US" w:eastAsia="zh-CN"/>
        </w:rPr>
        <w:t>可</w:t>
      </w:r>
      <w:r>
        <w:rPr>
          <w:rFonts w:hint="eastAsia"/>
          <w:color w:val="auto"/>
          <w:highlight w:val="none"/>
        </w:rPr>
        <w:t>向甲方申请合同总金额的20%；</w:t>
      </w:r>
    </w:p>
    <w:p>
      <w:pPr>
        <w:pStyle w:val="4"/>
        <w:numPr>
          <w:ilvl w:val="0"/>
          <w:numId w:val="0"/>
        </w:numPr>
        <w:ind w:firstLine="420" w:firstLineChars="200"/>
        <w:rPr>
          <w:rFonts w:hint="eastAsia"/>
          <w:color w:val="auto"/>
          <w:highlight w:val="none"/>
        </w:rPr>
      </w:pPr>
      <w:r>
        <w:rPr>
          <w:rFonts w:hint="eastAsia"/>
          <w:color w:val="auto"/>
          <w:highlight w:val="none"/>
          <w:lang w:val="en-US" w:eastAsia="zh-CN"/>
        </w:rPr>
        <w:t>5</w:t>
      </w:r>
      <w:r>
        <w:rPr>
          <w:rFonts w:hint="eastAsia"/>
          <w:color w:val="auto"/>
          <w:highlight w:val="none"/>
          <w:lang w:eastAsia="zh-CN"/>
        </w:rPr>
        <w:t>、</w:t>
      </w:r>
      <w:r>
        <w:rPr>
          <w:rFonts w:hint="eastAsia"/>
          <w:color w:val="auto"/>
          <w:highlight w:val="none"/>
          <w:lang w:val="en-US" w:eastAsia="zh-CN"/>
        </w:rPr>
        <w:t>甲方</w:t>
      </w:r>
      <w:r>
        <w:rPr>
          <w:rFonts w:hint="eastAsia"/>
          <w:color w:val="auto"/>
          <w:highlight w:val="none"/>
        </w:rPr>
        <w:t>在付款前，</w:t>
      </w:r>
      <w:r>
        <w:rPr>
          <w:rFonts w:hint="eastAsia"/>
          <w:color w:val="auto"/>
          <w:highlight w:val="none"/>
          <w:lang w:val="en-US" w:eastAsia="zh-CN"/>
        </w:rPr>
        <w:t>乙方</w:t>
      </w:r>
      <w:r>
        <w:rPr>
          <w:rFonts w:hint="eastAsia"/>
          <w:color w:val="auto"/>
          <w:highlight w:val="none"/>
        </w:rPr>
        <w:t>须向</w:t>
      </w:r>
      <w:r>
        <w:rPr>
          <w:rFonts w:hint="eastAsia"/>
          <w:color w:val="auto"/>
          <w:highlight w:val="none"/>
          <w:lang w:val="en-US" w:eastAsia="zh-CN"/>
        </w:rPr>
        <w:t>甲方</w:t>
      </w:r>
      <w:r>
        <w:rPr>
          <w:rFonts w:hint="eastAsia"/>
          <w:color w:val="auto"/>
          <w:highlight w:val="none"/>
        </w:rPr>
        <w:t>提供等额有效的合格发票</w:t>
      </w:r>
      <w:r>
        <w:rPr>
          <w:rFonts w:hint="eastAsia"/>
          <w:color w:val="auto"/>
          <w:highlight w:val="none"/>
          <w:lang w:eastAsia="zh-CN"/>
        </w:rPr>
        <w:t>，</w:t>
      </w:r>
      <w:r>
        <w:rPr>
          <w:rFonts w:hint="eastAsia"/>
          <w:color w:val="auto"/>
          <w:highlight w:val="none"/>
          <w:lang w:val="en-US" w:eastAsia="zh-CN"/>
        </w:rPr>
        <w:t>甲方</w:t>
      </w:r>
      <w:r>
        <w:rPr>
          <w:rFonts w:hint="eastAsia"/>
          <w:color w:val="auto"/>
          <w:highlight w:val="none"/>
        </w:rPr>
        <w:t>未收到发票的，有权不予支付相应款项并不承担延迟付款责任。</w:t>
      </w:r>
    </w:p>
    <w:p>
      <w:pPr>
        <w:spacing w:line="400" w:lineRule="exact"/>
        <w:ind w:firstLine="420" w:firstLineChars="200"/>
        <w:rPr>
          <w:color w:val="auto"/>
          <w:highlight w:val="none"/>
        </w:rPr>
      </w:pPr>
      <w:r>
        <w:rPr>
          <w:rFonts w:hint="eastAsia" w:ascii="宋体" w:hAnsi="宋体" w:cs="宋体"/>
          <w:color w:val="auto"/>
          <w:szCs w:val="21"/>
          <w:highlight w:val="none"/>
          <w:lang w:val="en-US" w:eastAsia="zh-CN"/>
        </w:rPr>
        <w:t>6、以上支付如遇国库支付程序原因，支付日期顺延(无息)，</w:t>
      </w:r>
      <w:r>
        <w:rPr>
          <w:rFonts w:hint="eastAsia"/>
          <w:color w:val="auto"/>
          <w:highlight w:val="none"/>
        </w:rPr>
        <w:t>并不承担延迟付款</w:t>
      </w:r>
      <w:r>
        <w:rPr>
          <w:rFonts w:hint="eastAsia"/>
          <w:color w:val="auto"/>
          <w:highlight w:val="none"/>
          <w:lang w:val="en-US" w:eastAsia="zh-CN"/>
        </w:rPr>
        <w:t>及违约</w:t>
      </w:r>
      <w:r>
        <w:rPr>
          <w:rFonts w:hint="eastAsia"/>
          <w:color w:val="auto"/>
          <w:highlight w:val="none"/>
        </w:rPr>
        <w:t>责任。</w:t>
      </w:r>
    </w:p>
    <w:p>
      <w:pPr>
        <w:spacing w:line="400" w:lineRule="exact"/>
        <w:ind w:firstLine="422" w:firstLineChars="200"/>
        <w:rPr>
          <w:color w:val="auto"/>
          <w:highlight w:val="none"/>
        </w:rPr>
      </w:pPr>
      <w:r>
        <w:rPr>
          <w:rFonts w:hint="eastAsia" w:ascii="宋体" w:hAnsi="宋体"/>
          <w:b/>
          <w:color w:val="auto"/>
          <w:kern w:val="0"/>
          <w:szCs w:val="21"/>
          <w:highlight w:val="none"/>
          <w:shd w:val="clear" w:color="auto" w:fill="FFFFFF"/>
        </w:rPr>
        <w:t>（</w:t>
      </w:r>
      <w:r>
        <w:rPr>
          <w:rFonts w:hint="eastAsia" w:ascii="宋体" w:hAnsi="宋体"/>
          <w:b/>
          <w:color w:val="auto"/>
          <w:kern w:val="0"/>
          <w:szCs w:val="21"/>
          <w:highlight w:val="none"/>
          <w:shd w:val="clear" w:color="auto" w:fill="FFFFFF"/>
          <w:lang w:val="en-US" w:eastAsia="zh-CN"/>
        </w:rPr>
        <w:t>四</w:t>
      </w:r>
      <w:r>
        <w:rPr>
          <w:rFonts w:hint="eastAsia" w:ascii="宋体" w:hAnsi="宋体"/>
          <w:b/>
          <w:color w:val="auto"/>
          <w:kern w:val="0"/>
          <w:szCs w:val="21"/>
          <w:highlight w:val="none"/>
          <w:shd w:val="clear" w:color="auto" w:fill="FFFFFF"/>
        </w:rPr>
        <w:t>）验收标准：采购人现场根据</w:t>
      </w:r>
      <w:r>
        <w:rPr>
          <w:rFonts w:hint="eastAsia" w:ascii="宋体" w:hAnsi="宋体"/>
          <w:b/>
          <w:color w:val="auto"/>
          <w:kern w:val="0"/>
          <w:szCs w:val="21"/>
          <w:highlight w:val="none"/>
          <w:shd w:val="clear" w:color="auto" w:fill="FFFFFF"/>
          <w:lang w:val="en-US" w:eastAsia="zh-CN"/>
        </w:rPr>
        <w:t>磋商</w:t>
      </w:r>
      <w:r>
        <w:rPr>
          <w:rFonts w:hint="eastAsia" w:ascii="宋体" w:hAnsi="宋体"/>
          <w:b/>
          <w:color w:val="auto"/>
          <w:kern w:val="0"/>
          <w:szCs w:val="21"/>
          <w:highlight w:val="none"/>
          <w:shd w:val="clear" w:color="auto" w:fill="FFFFFF"/>
        </w:rPr>
        <w:t>文件要求及</w:t>
      </w:r>
      <w:r>
        <w:rPr>
          <w:rFonts w:hint="eastAsia" w:ascii="宋体" w:hAnsi="宋体"/>
          <w:b/>
          <w:color w:val="auto"/>
          <w:kern w:val="0"/>
          <w:szCs w:val="21"/>
          <w:highlight w:val="none"/>
          <w:shd w:val="clear" w:color="auto" w:fill="FFFFFF"/>
          <w:lang w:val="en-US" w:eastAsia="zh-CN"/>
        </w:rPr>
        <w:t>响应</w:t>
      </w:r>
      <w:r>
        <w:rPr>
          <w:rFonts w:hint="eastAsia" w:ascii="宋体" w:hAnsi="宋体"/>
          <w:b/>
          <w:color w:val="auto"/>
          <w:kern w:val="0"/>
          <w:szCs w:val="21"/>
          <w:highlight w:val="none"/>
          <w:shd w:val="clear" w:color="auto" w:fill="FFFFFF"/>
        </w:rPr>
        <w:t>文件承诺逐条对应进行核验，如服务不满足</w:t>
      </w:r>
      <w:r>
        <w:rPr>
          <w:rFonts w:hint="eastAsia" w:ascii="宋体" w:hAnsi="宋体"/>
          <w:b/>
          <w:color w:val="auto"/>
          <w:kern w:val="0"/>
          <w:szCs w:val="21"/>
          <w:highlight w:val="none"/>
          <w:shd w:val="clear" w:color="auto" w:fill="FFFFFF"/>
          <w:lang w:val="en-US" w:eastAsia="zh-CN"/>
        </w:rPr>
        <w:t>磋商</w:t>
      </w:r>
      <w:r>
        <w:rPr>
          <w:rFonts w:hint="eastAsia" w:ascii="宋体" w:hAnsi="宋体"/>
          <w:b/>
          <w:color w:val="auto"/>
          <w:kern w:val="0"/>
          <w:szCs w:val="21"/>
          <w:highlight w:val="none"/>
          <w:shd w:val="clear" w:color="auto" w:fill="FFFFFF"/>
        </w:rPr>
        <w:t>文件要求、</w:t>
      </w:r>
      <w:r>
        <w:rPr>
          <w:rFonts w:hint="eastAsia" w:ascii="宋体" w:hAnsi="宋体"/>
          <w:b/>
          <w:color w:val="auto"/>
          <w:kern w:val="0"/>
          <w:szCs w:val="21"/>
          <w:highlight w:val="none"/>
          <w:shd w:val="clear" w:color="auto" w:fill="FFFFFF"/>
          <w:lang w:val="en-US" w:eastAsia="zh-CN"/>
        </w:rPr>
        <w:t>响应</w:t>
      </w:r>
      <w:r>
        <w:rPr>
          <w:rFonts w:hint="eastAsia" w:ascii="宋体" w:hAnsi="宋体"/>
          <w:b/>
          <w:color w:val="auto"/>
          <w:kern w:val="0"/>
          <w:szCs w:val="21"/>
          <w:highlight w:val="none"/>
          <w:shd w:val="clear" w:color="auto" w:fill="FFFFFF"/>
        </w:rPr>
        <w:t>文件承诺的相关质量标准要求，采购人有权不予验收，由此造成采购人的经济损失由中标人承担全部赔偿责任。</w:t>
      </w:r>
      <w:r>
        <w:rPr>
          <w:rFonts w:hint="eastAsia" w:ascii="宋体" w:hAnsi="宋体"/>
          <w:b/>
          <w:color w:val="auto"/>
          <w:kern w:val="0"/>
          <w:szCs w:val="21"/>
          <w:highlight w:val="none"/>
          <w:shd w:val="clear" w:color="auto" w:fill="FFFFFF"/>
          <w:lang w:val="en-US" w:eastAsia="zh-CN"/>
        </w:rPr>
        <w:t>本次项目不包含决算审计费、信息安全等级保护测评费、第三方系统测评费、商用密码应用安全性评估费，如在验收过程中因国家或政府政策变化涉及到以上四项费用，由采购人另行承担。</w:t>
      </w:r>
    </w:p>
    <w:p>
      <w:pPr>
        <w:widowControl/>
        <w:shd w:val="clear" w:color="auto" w:fill="FFFFFF"/>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）本项目采购预算金额为（人民币）：</w:t>
      </w:r>
      <w:r>
        <w:rPr>
          <w:rFonts w:hint="eastAsia" w:ascii="宋体" w:hAnsi="宋体" w:cs="宋体"/>
          <w:color w:val="auto"/>
          <w:szCs w:val="21"/>
          <w:highlight w:val="none"/>
          <w:lang w:eastAsia="zh-CN"/>
        </w:rPr>
        <w:t>贰佰肆拾陆万元整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24600000</w:t>
      </w:r>
      <w:r>
        <w:rPr>
          <w:rFonts w:hint="eastAsia" w:ascii="宋体" w:hAnsi="宋体" w:cs="宋体"/>
          <w:color w:val="auto"/>
          <w:szCs w:val="21"/>
          <w:highlight w:val="none"/>
        </w:rPr>
        <w:t>.00），磋商报价不得超过采购预算金额，否则响应文件将被视为无效处理。</w:t>
      </w:r>
    </w:p>
    <w:p>
      <w:pPr>
        <w:pStyle w:val="10"/>
        <w:rPr>
          <w:color w:val="auto"/>
          <w:highlight w:val="none"/>
        </w:rPr>
      </w:pPr>
    </w:p>
    <w:p>
      <w:pPr>
        <w:pStyle w:val="4"/>
        <w:rPr>
          <w:rFonts w:hint="eastAsia"/>
          <w:bCs/>
          <w:color w:val="auto"/>
          <w:highlight w:val="none"/>
        </w:rPr>
      </w:pPr>
      <w:r>
        <w:rPr>
          <w:rFonts w:hint="eastAsia" w:ascii="宋体" w:hAnsi="宋体" w:cs="宋体"/>
          <w:b w:val="0"/>
          <w:bCs/>
          <w:color w:val="auto"/>
          <w:szCs w:val="21"/>
          <w:highlight w:val="none"/>
          <w:lang w:val="en-US" w:eastAsia="zh-CN"/>
        </w:rPr>
        <w:t>备注：</w:t>
      </w:r>
      <w:r>
        <w:rPr>
          <w:rFonts w:hint="eastAsia" w:ascii="宋体" w:hAnsi="宋体" w:cs="宋体"/>
          <w:b w:val="0"/>
          <w:bCs/>
          <w:color w:val="auto"/>
          <w:szCs w:val="21"/>
          <w:highlight w:val="none"/>
        </w:rPr>
        <w:t>本</w:t>
      </w:r>
      <w:r>
        <w:rPr>
          <w:rFonts w:hint="eastAsia" w:ascii="宋体" w:hAnsi="宋体" w:cs="宋体"/>
          <w:b w:val="0"/>
          <w:bCs/>
          <w:color w:val="auto"/>
          <w:szCs w:val="21"/>
          <w:highlight w:val="none"/>
          <w:lang w:eastAsia="zh-CN"/>
        </w:rPr>
        <w:t>采购</w:t>
      </w:r>
      <w:r>
        <w:rPr>
          <w:rFonts w:hint="eastAsia" w:ascii="宋体" w:hAnsi="宋体" w:cs="宋体"/>
          <w:b w:val="0"/>
          <w:bCs/>
          <w:color w:val="auto"/>
          <w:szCs w:val="21"/>
          <w:highlight w:val="none"/>
        </w:rPr>
        <w:t>需求中所有带“★”号的内容均为实质性要求和条件，</w:t>
      </w:r>
      <w:r>
        <w:rPr>
          <w:rFonts w:hint="eastAsia" w:ascii="宋体" w:hAnsi="宋体" w:cs="宋体"/>
          <w:b w:val="0"/>
          <w:bCs/>
          <w:color w:val="auto"/>
          <w:szCs w:val="21"/>
          <w:highlight w:val="none"/>
          <w:lang w:eastAsia="zh-CN"/>
        </w:rPr>
        <w:t>供应商</w:t>
      </w:r>
      <w:r>
        <w:rPr>
          <w:rFonts w:hint="eastAsia" w:ascii="宋体" w:hAnsi="宋体" w:cs="宋体"/>
          <w:b w:val="0"/>
          <w:bCs/>
          <w:color w:val="auto"/>
          <w:szCs w:val="21"/>
          <w:highlight w:val="none"/>
        </w:rPr>
        <w:t>须满足或响应，若无法完全满足，将会被认定为无效投标；带</w:t>
      </w:r>
      <w:r>
        <w:rPr>
          <w:rFonts w:hint="eastAsia"/>
          <w:b w:val="0"/>
          <w:bCs/>
          <w:color w:val="auto"/>
          <w:highlight w:val="none"/>
        </w:rPr>
        <w:t>“</w:t>
      </w:r>
      <w:r>
        <w:rPr>
          <w:rFonts w:hint="eastAsia" w:ascii="宋体" w:hAnsi="宋体" w:cs="宋体"/>
          <w:b w:val="0"/>
          <w:bCs/>
          <w:color w:val="auto"/>
          <w:szCs w:val="21"/>
          <w:highlight w:val="none"/>
        </w:rPr>
        <w:t>▲</w:t>
      </w:r>
      <w:r>
        <w:rPr>
          <w:rFonts w:hint="eastAsia"/>
          <w:b w:val="0"/>
          <w:bCs/>
          <w:color w:val="auto"/>
          <w:highlight w:val="none"/>
        </w:rPr>
        <w:t>”号的参数为重要技术指标及要求，将作为评审依据</w:t>
      </w:r>
      <w:r>
        <w:rPr>
          <w:rFonts w:hint="eastAsia" w:ascii="宋体" w:hAnsi="宋体" w:cs="宋体"/>
          <w:b w:val="0"/>
          <w:bCs/>
          <w:color w:val="auto"/>
          <w:szCs w:val="21"/>
          <w:highlight w:val="none"/>
        </w:rPr>
        <w:t>。</w:t>
      </w:r>
    </w:p>
    <w:p>
      <w:pPr>
        <w:pStyle w:val="11"/>
        <w:rPr>
          <w:color w:val="auto"/>
          <w:highlight w:val="none"/>
        </w:rPr>
      </w:pPr>
    </w:p>
    <w:p>
      <w:pPr>
        <w:pStyle w:val="11"/>
        <w:rPr>
          <w:color w:val="auto"/>
          <w:highlight w:val="none"/>
        </w:rPr>
      </w:pPr>
    </w:p>
    <w:p>
      <w:pPr>
        <w:pStyle w:val="11"/>
        <w:rPr>
          <w:color w:val="auto"/>
          <w:highlight w:val="none"/>
        </w:rPr>
      </w:pPr>
    </w:p>
    <w:p>
      <w:pPr>
        <w:pStyle w:val="2"/>
        <w:rPr>
          <w:color w:val="auto"/>
          <w:highlight w:val="none"/>
        </w:rPr>
      </w:pPr>
      <w:r>
        <w:rPr>
          <w:rFonts w:hint="eastAsia"/>
          <w:color w:val="auto"/>
          <w:highlight w:val="none"/>
        </w:rPr>
        <w:t>第四章 评审办法</w:t>
      </w:r>
      <w:bookmarkEnd w:id="146"/>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一、评审依据及方式</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评审依据：磋商小组以磋商文件和响应文件为评标依据，对磋</w:t>
      </w:r>
      <w:r>
        <w:rPr>
          <w:rFonts w:hint="eastAsia" w:ascii="宋体" w:hAnsi="宋体" w:cs="宋体"/>
          <w:b w:val="0"/>
          <w:bCs w:val="0"/>
          <w:color w:val="auto"/>
          <w:szCs w:val="21"/>
          <w:highlight w:val="none"/>
        </w:rPr>
        <w:t>商供应商的磋商报价、服务（技术）响应分、</w:t>
      </w:r>
      <w:r>
        <w:rPr>
          <w:rFonts w:hint="eastAsia" w:hAnsi="宋体" w:cs="宋体"/>
          <w:b w:val="0"/>
          <w:bCs w:val="0"/>
          <w:color w:val="auto"/>
          <w:szCs w:val="21"/>
          <w:highlight w:val="none"/>
          <w:lang w:val="en-US" w:eastAsia="zh-CN"/>
        </w:rPr>
        <w:t>技术</w:t>
      </w:r>
      <w:r>
        <w:rPr>
          <w:rFonts w:hint="eastAsia" w:hAnsi="宋体" w:cs="宋体"/>
          <w:b w:val="0"/>
          <w:bCs w:val="0"/>
          <w:color w:val="auto"/>
          <w:szCs w:val="21"/>
          <w:highlight w:val="none"/>
        </w:rPr>
        <w:t>方案分</w:t>
      </w:r>
      <w:r>
        <w:rPr>
          <w:rFonts w:hint="eastAsia" w:hAnsi="宋体" w:cs="宋体"/>
          <w:b w:val="0"/>
          <w:bCs w:val="0"/>
          <w:color w:val="auto"/>
          <w:szCs w:val="21"/>
          <w:highlight w:val="none"/>
          <w:lang w:eastAsia="zh-CN"/>
        </w:rPr>
        <w:t>、</w:t>
      </w:r>
      <w:r>
        <w:rPr>
          <w:rFonts w:hint="eastAsia" w:hAnsi="宋体" w:cs="宋体"/>
          <w:b w:val="0"/>
          <w:bCs w:val="0"/>
          <w:color w:val="auto"/>
          <w:szCs w:val="21"/>
          <w:highlight w:val="none"/>
          <w:lang w:val="en-US" w:eastAsia="zh-CN"/>
        </w:rPr>
        <w:t>项目实施</w:t>
      </w:r>
      <w:r>
        <w:rPr>
          <w:rFonts w:hint="eastAsia" w:hAnsi="宋体" w:cs="宋体"/>
          <w:b w:val="0"/>
          <w:bCs w:val="0"/>
          <w:color w:val="auto"/>
          <w:szCs w:val="21"/>
          <w:highlight w:val="none"/>
        </w:rPr>
        <w:t>分</w:t>
      </w:r>
      <w:r>
        <w:rPr>
          <w:rFonts w:hint="eastAsia" w:hAnsi="宋体" w:cs="宋体"/>
          <w:b w:val="0"/>
          <w:bCs w:val="0"/>
          <w:color w:val="auto"/>
          <w:szCs w:val="21"/>
          <w:highlight w:val="none"/>
          <w:lang w:eastAsia="zh-CN"/>
        </w:rPr>
        <w:t>、</w:t>
      </w:r>
      <w:r>
        <w:rPr>
          <w:rFonts w:hint="eastAsia" w:ascii="宋体" w:hAnsi="宋体" w:cs="宋体"/>
          <w:b w:val="0"/>
          <w:bCs w:val="0"/>
          <w:color w:val="auto"/>
          <w:szCs w:val="21"/>
          <w:highlight w:val="none"/>
        </w:rPr>
        <w:t>服务保障分、履约能力分等几个方面内</w:t>
      </w:r>
      <w:r>
        <w:rPr>
          <w:rFonts w:hint="eastAsia" w:ascii="宋体" w:hAnsi="宋体" w:cs="宋体"/>
          <w:color w:val="auto"/>
          <w:szCs w:val="21"/>
          <w:highlight w:val="none"/>
        </w:rPr>
        <w:t>容按百分制打分。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评审方式：以封闭方式进行评标。</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采购人和采购代理机构、磋商小组成员要严格遵守政府采购相关法律制度，依法履行各自职责，公正、客观、审慎地组织和参与评审工作。</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二、评审办法</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（一）对进入详评的，采用综合评分法。</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（二）计分办法（按四舍五入取至小数点后二位）</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 价格分………………………………………………………………………………………………30分</w:t>
      </w:r>
    </w:p>
    <w:p>
      <w:pPr>
        <w:pStyle w:val="16"/>
        <w:spacing w:line="400" w:lineRule="exact"/>
        <w:ind w:firstLine="420" w:firstLineChars="200"/>
        <w:rPr>
          <w:rFonts w:hAnsi="宋体"/>
          <w:color w:val="auto"/>
          <w:highlight w:val="none"/>
        </w:rPr>
      </w:pPr>
      <w:r>
        <w:rPr>
          <w:rFonts w:hint="eastAsia" w:hAnsi="宋体"/>
          <w:bCs/>
          <w:color w:val="auto"/>
          <w:highlight w:val="none"/>
        </w:rPr>
        <w:t>1.1</w:t>
      </w:r>
      <w:r>
        <w:rPr>
          <w:rFonts w:hint="eastAsia"/>
          <w:color w:val="auto"/>
          <w:highlight w:val="none"/>
        </w:rPr>
        <w:t>根据《政府采购促进中小企业发展管理办法》（财库〔2020〕46号）的规定、</w:t>
      </w:r>
      <w:r>
        <w:rPr>
          <w:color w:val="auto"/>
          <w:highlight w:val="none"/>
        </w:rPr>
        <w:t>《广西壮族自治区财政厅关于进一步发挥政府采购政策功能促进企业发展的通知》（桂财采〔2022〕30号）的规定</w:t>
      </w:r>
      <w:r>
        <w:rPr>
          <w:rFonts w:hint="eastAsia"/>
          <w:color w:val="auto"/>
          <w:highlight w:val="none"/>
        </w:rPr>
        <w:t>，供应商在其</w:t>
      </w:r>
      <w:r>
        <w:rPr>
          <w:rFonts w:hint="eastAsia"/>
          <w:color w:val="auto"/>
          <w:highlight w:val="none"/>
          <w:lang w:eastAsia="zh-CN"/>
        </w:rPr>
        <w:t>响应文件</w:t>
      </w:r>
      <w:r>
        <w:rPr>
          <w:rFonts w:hint="eastAsia"/>
          <w:color w:val="auto"/>
          <w:highlight w:val="none"/>
        </w:rPr>
        <w:t>中提供《中小企业声明函》，且</w:t>
      </w:r>
      <w:r>
        <w:rPr>
          <w:rFonts w:hint="eastAsia" w:hAnsi="宋体"/>
          <w:color w:val="auto"/>
          <w:kern w:val="0"/>
          <w:szCs w:val="24"/>
          <w:highlight w:val="none"/>
        </w:rPr>
        <w:t>本项目的全部服务</w:t>
      </w:r>
      <w:r>
        <w:rPr>
          <w:rFonts w:hint="eastAsia"/>
          <w:color w:val="auto"/>
          <w:highlight w:val="none"/>
        </w:rPr>
        <w:t>由符合政策要求的小微企业承接的，对其磋商报价给予20%的扣除，扣除后的价格为磋商报价，即评审报价=磋商报价</w:t>
      </w:r>
      <w:r>
        <w:rPr>
          <w:rFonts w:hAnsi="宋体"/>
          <w:color w:val="auto"/>
          <w:highlight w:val="none"/>
        </w:rPr>
        <w:t>×</w:t>
      </w:r>
      <w:r>
        <w:rPr>
          <w:rFonts w:hint="eastAsia"/>
          <w:color w:val="auto"/>
          <w:highlight w:val="none"/>
        </w:rPr>
        <w:t>（1-20%）；</w:t>
      </w:r>
    </w:p>
    <w:p>
      <w:pPr>
        <w:pStyle w:val="16"/>
        <w:spacing w:line="400" w:lineRule="exact"/>
        <w:ind w:firstLine="420" w:firstLineChars="200"/>
        <w:rPr>
          <w:color w:val="auto"/>
          <w:highlight w:val="none"/>
        </w:rPr>
      </w:pPr>
      <w:r>
        <w:rPr>
          <w:rFonts w:hint="eastAsia" w:hAnsi="宋体"/>
          <w:color w:val="auto"/>
          <w:highlight w:val="none"/>
        </w:rPr>
        <w:t>1.2</w:t>
      </w:r>
      <w:r>
        <w:rPr>
          <w:rFonts w:hint="eastAsia"/>
          <w:color w:val="auto"/>
          <w:highlight w:val="none"/>
        </w:rPr>
        <w:t>除上述情况外，评审报价=磋商报价。</w:t>
      </w:r>
    </w:p>
    <w:p>
      <w:pPr>
        <w:pStyle w:val="16"/>
        <w:spacing w:line="400" w:lineRule="exact"/>
        <w:ind w:firstLine="420"/>
        <w:rPr>
          <w:rFonts w:hAnsi="宋体"/>
          <w:color w:val="auto"/>
          <w:highlight w:val="none"/>
        </w:rPr>
      </w:pPr>
      <w:r>
        <w:rPr>
          <w:rFonts w:hint="eastAsia" w:hAnsi="宋体"/>
          <w:b/>
          <w:color w:val="auto"/>
          <w:highlight w:val="none"/>
        </w:rPr>
        <w:t>注：评审报价为供应商的磋商报价进行政策性扣除后的价格，评审报价只是作为评标时使用。最终中标人的中标金额＝磋商报价。</w:t>
      </w:r>
    </w:p>
    <w:p>
      <w:pPr>
        <w:pStyle w:val="16"/>
        <w:spacing w:line="400" w:lineRule="exact"/>
        <w:ind w:firstLine="359" w:firstLineChars="171"/>
        <w:rPr>
          <w:rFonts w:hAnsi="宋体" w:cs="宋体"/>
          <w:color w:val="auto"/>
          <w:szCs w:val="21"/>
          <w:highlight w:val="none"/>
        </w:rPr>
      </w:pPr>
      <w:r>
        <w:rPr>
          <w:rFonts w:hint="eastAsia"/>
          <w:color w:val="auto"/>
          <w:highlight w:val="none"/>
        </w:rPr>
        <w:t xml:space="preserve"> 1.3根据《关于政府采购支持监狱企业发展有关问题的通知》（财库[2014]68号）和《关于促进残疾人就业政府采购政策的通知》（财库[2017]141号），监狱企业和符合条件的残疾人福利性单位视同小型、微型企业，享受小型、微型企业评审中价格扣除的政府采购政策。监狱企业和残疾人福利性单位属于小型、微型企业的，不重复享受政策。</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1.4满足磋商文件要求且最后报价最低的供应商的价格作为</w:t>
      </w:r>
      <w:r>
        <w:rPr>
          <w:rFonts w:hint="eastAsia" w:ascii="宋体" w:hAnsi="宋体" w:cs="宋体"/>
          <w:b/>
          <w:bCs/>
          <w:color w:val="auto"/>
          <w:szCs w:val="21"/>
          <w:highlight w:val="none"/>
        </w:rPr>
        <w:t>磋商基准价</w:t>
      </w:r>
      <w:r>
        <w:rPr>
          <w:rFonts w:hint="eastAsia" w:ascii="宋体" w:hAnsi="宋体" w:cs="宋体"/>
          <w:color w:val="auto"/>
          <w:szCs w:val="21"/>
          <w:highlight w:val="none"/>
        </w:rPr>
        <w:t>，其价格分为满分30分。</w:t>
      </w:r>
    </w:p>
    <w:p>
      <w:pPr>
        <w:spacing w:line="400" w:lineRule="exact"/>
        <w:rPr>
          <w:rFonts w:ascii="宋体" w:hAnsi="宋体" w:cs="宋体"/>
          <w:color w:val="auto"/>
          <w:szCs w:val="21"/>
          <w:highlight w:val="none"/>
        </w:rPr>
      </w:pPr>
      <w:r>
        <w:rPr>
          <w:rFonts w:hint="eastAsia" w:ascii="宋体" w:hAnsi="宋体" w:cs="宋体"/>
          <w:bCs/>
          <w:color w:val="auto"/>
          <w:szCs w:val="21"/>
          <w:highlight w:val="none"/>
        </w:rPr>
        <w:t xml:space="preserve">                             最低供应商评审报价</w:t>
      </w:r>
      <w:r>
        <w:rPr>
          <w:rFonts w:hint="eastAsia" w:ascii="宋体" w:hAnsi="宋体" w:cs="宋体"/>
          <w:color w:val="auto"/>
          <w:szCs w:val="21"/>
          <w:highlight w:val="none"/>
        </w:rPr>
        <w:t xml:space="preserve">        </w:t>
      </w:r>
    </w:p>
    <w:p>
      <w:pPr>
        <w:spacing w:line="400" w:lineRule="exact"/>
        <w:ind w:firstLine="4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66432" behindDoc="0" locked="0" layoutInCell="1" allowOverlap="1">
                <wp:simplePos x="0" y="0"/>
                <wp:positionH relativeFrom="column">
                  <wp:posOffset>1714500</wp:posOffset>
                </wp:positionH>
                <wp:positionV relativeFrom="paragraph">
                  <wp:posOffset>121920</wp:posOffset>
                </wp:positionV>
                <wp:extent cx="1750060" cy="762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1750060" cy="76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35pt;margin-top:9.6pt;height:0.6pt;width:137.8pt;z-index:251666432;mso-width-relative:page;mso-height-relative:page;" filled="f" stroked="t" coordsize="21600,21600" o:gfxdata="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01C7NcAAAAJAQAADwAAAAAAAAABACAAAAAiAAAAZHJz&#10;L2Rvd25yZXYueG1sUEsBAhQAFAAAAAgAh07iQGuMj18FAgAA/wMAAA4AAAAAAAAAAQAgAAAAJgEA&#10;AGRycy9lMm9Eb2MueG1sUEsFBgAAAAAGAAYAWQEAAJ0FAAAAAA==&#10;">
                <v:fill on="f" focussize="0,0"/>
                <v:stroke color="#000000" joinstyle="round"/>
                <v:imagedata o:title=""/>
                <o:lock v:ext="edit" aspectratio="f"/>
              </v:line>
            </w:pict>
          </mc:Fallback>
        </mc:AlternateContent>
      </w:r>
      <w:r>
        <w:rPr>
          <w:rFonts w:hint="eastAsia" w:ascii="宋体" w:hAnsi="宋体" w:cs="宋体"/>
          <w:color w:val="auto"/>
          <w:szCs w:val="21"/>
          <w:highlight w:val="none"/>
        </w:rPr>
        <w:t xml:space="preserve">1.5磋商报价得分 =                               </w:t>
      </w:r>
      <w:r>
        <w:rPr>
          <w:rFonts w:hint="eastAsia" w:ascii="宋体" w:hAnsi="宋体" w:cs="宋体"/>
          <w:b/>
          <w:bCs/>
          <w:color w:val="auto"/>
          <w:szCs w:val="21"/>
          <w:highlight w:val="none"/>
        </w:rPr>
        <w:t>×30分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Cs/>
          <w:color w:val="auto"/>
          <w:szCs w:val="21"/>
          <w:highlight w:val="none"/>
        </w:rPr>
        <w:t>供应商评审报价</w:t>
      </w:r>
      <w:r>
        <w:rPr>
          <w:rFonts w:hint="eastAsia"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如供应商的最终报价明显低于其他通过符合性审查供应商的报价，有可能影响服务质量或者不能诚信履约的,磋商小组有权要求供应商在规定的时间内提供详细的成本核算的有关数据、清单及证明文件（包括采购成本、管理费用、人员成本构成、税收等所有成本和利润）。如果不提供或者提供的有关数据、清单及证明文件不完整或者所列的成本价格明显低于市场价的，磋商小组将其作为无效竞标处理。</w:t>
      </w:r>
    </w:p>
    <w:p>
      <w:pPr>
        <w:pStyle w:val="16"/>
        <w:spacing w:line="400" w:lineRule="exact"/>
        <w:ind w:firstLine="422" w:firstLineChars="200"/>
        <w:outlineLvl w:val="0"/>
        <w:rPr>
          <w:rFonts w:hint="eastAsia" w:hAnsi="宋体" w:cs="宋体"/>
          <w:b/>
          <w:color w:val="auto"/>
          <w:szCs w:val="21"/>
          <w:highlight w:val="none"/>
        </w:rPr>
      </w:pPr>
      <w:r>
        <w:rPr>
          <w:rFonts w:hint="eastAsia" w:hAnsi="宋体" w:cs="宋体"/>
          <w:b/>
          <w:color w:val="auto"/>
          <w:szCs w:val="21"/>
          <w:highlight w:val="none"/>
        </w:rPr>
        <w:t>2、</w:t>
      </w:r>
      <w:r>
        <w:rPr>
          <w:rFonts w:hint="eastAsia" w:ascii="宋体" w:hAnsi="宋体" w:cs="宋体"/>
          <w:b/>
          <w:color w:val="auto"/>
          <w:szCs w:val="21"/>
          <w:highlight w:val="none"/>
        </w:rPr>
        <w:t>服务（技术）响应分</w:t>
      </w:r>
      <w:r>
        <w:rPr>
          <w:rFonts w:hint="eastAsia" w:hAnsi="宋体" w:cs="宋体"/>
          <w:b/>
          <w:bCs/>
          <w:color w:val="auto"/>
          <w:szCs w:val="21"/>
          <w:highlight w:val="none"/>
        </w:rPr>
        <w:t xml:space="preserve"> </w:t>
      </w:r>
      <w:r>
        <w:rPr>
          <w:rFonts w:hint="eastAsia" w:hAnsi="宋体" w:cs="宋体"/>
          <w:b/>
          <w:color w:val="auto"/>
          <w:szCs w:val="21"/>
          <w:highlight w:val="none"/>
        </w:rPr>
        <w:t>……………………………</w:t>
      </w:r>
      <w:r>
        <w:rPr>
          <w:rFonts w:hint="eastAsia" w:hAnsi="宋体" w:cs="宋体"/>
          <w:color w:val="auto"/>
          <w:szCs w:val="21"/>
          <w:highlight w:val="none"/>
        </w:rPr>
        <w:t>…………</w:t>
      </w:r>
      <w:r>
        <w:rPr>
          <w:rFonts w:hint="eastAsia" w:hAnsi="宋体" w:cs="宋体"/>
          <w:b/>
          <w:color w:val="auto"/>
          <w:szCs w:val="21"/>
          <w:highlight w:val="none"/>
        </w:rPr>
        <w:t>………</w:t>
      </w:r>
      <w:r>
        <w:rPr>
          <w:rFonts w:hint="eastAsia" w:hAnsi="宋体" w:cs="宋体"/>
          <w:color w:val="auto"/>
          <w:szCs w:val="21"/>
          <w:highlight w:val="none"/>
        </w:rPr>
        <w:t>…</w:t>
      </w:r>
      <w:r>
        <w:rPr>
          <w:rFonts w:hint="eastAsia" w:hAnsi="宋体" w:cs="宋体"/>
          <w:b/>
          <w:color w:val="auto"/>
          <w:szCs w:val="21"/>
          <w:highlight w:val="none"/>
        </w:rPr>
        <w:t>………</w:t>
      </w:r>
      <w:r>
        <w:rPr>
          <w:rFonts w:hint="eastAsia" w:hAnsi="宋体" w:cs="宋体"/>
          <w:color w:val="auto"/>
          <w:szCs w:val="21"/>
          <w:highlight w:val="none"/>
        </w:rPr>
        <w:t>…</w:t>
      </w:r>
      <w:r>
        <w:rPr>
          <w:rFonts w:hint="eastAsia" w:hAnsi="宋体" w:cs="宋体"/>
          <w:b/>
          <w:color w:val="auto"/>
          <w:szCs w:val="21"/>
          <w:highlight w:val="none"/>
        </w:rPr>
        <w:t>………</w:t>
      </w:r>
      <w:r>
        <w:rPr>
          <w:rFonts w:hint="eastAsia" w:hAnsi="宋体" w:cs="宋体"/>
          <w:color w:val="auto"/>
          <w:szCs w:val="21"/>
          <w:highlight w:val="none"/>
        </w:rPr>
        <w:t>…</w:t>
      </w:r>
      <w:r>
        <w:rPr>
          <w:rFonts w:hint="eastAsia" w:hAnsi="宋体" w:cs="宋体"/>
          <w:b/>
          <w:color w:val="auto"/>
          <w:szCs w:val="21"/>
          <w:highlight w:val="none"/>
        </w:rPr>
        <w:t>………</w:t>
      </w:r>
      <w:r>
        <w:rPr>
          <w:rFonts w:hint="eastAsia" w:hAnsi="宋体" w:cs="宋体"/>
          <w:b/>
          <w:color w:val="auto"/>
          <w:szCs w:val="21"/>
          <w:highlight w:val="none"/>
          <w:lang w:eastAsia="zh-CN"/>
        </w:rPr>
        <w:t>1</w:t>
      </w:r>
      <w:r>
        <w:rPr>
          <w:rFonts w:hint="eastAsia" w:hAnsi="宋体" w:cs="宋体"/>
          <w:b/>
          <w:color w:val="auto"/>
          <w:szCs w:val="21"/>
          <w:highlight w:val="none"/>
          <w:lang w:val="en-US" w:eastAsia="zh-CN"/>
        </w:rPr>
        <w:t>4</w:t>
      </w:r>
      <w:r>
        <w:rPr>
          <w:rFonts w:hint="eastAsia" w:hAnsi="宋体" w:cs="宋体"/>
          <w:b/>
          <w:color w:val="auto"/>
          <w:szCs w:val="21"/>
          <w:highlight w:val="none"/>
        </w:rPr>
        <w:t>分</w:t>
      </w:r>
    </w:p>
    <w:p>
      <w:pPr>
        <w:pStyle w:val="16"/>
        <w:spacing w:line="400" w:lineRule="exact"/>
        <w:ind w:firstLine="210" w:firstLineChars="100"/>
        <w:rPr>
          <w:rFonts w:hint="eastAsia" w:hAnsi="宋体"/>
          <w:color w:val="auto"/>
          <w:szCs w:val="21"/>
          <w:highlight w:val="none"/>
        </w:rPr>
      </w:pPr>
      <w:r>
        <w:rPr>
          <w:rFonts w:hint="eastAsia" w:hAnsi="宋体"/>
          <w:color w:val="auto"/>
          <w:szCs w:val="21"/>
          <w:highlight w:val="none"/>
        </w:rPr>
        <w:t>评委根据</w:t>
      </w:r>
      <w:r>
        <w:rPr>
          <w:rFonts w:hint="eastAsia" w:hAnsi="宋体"/>
          <w:color w:val="auto"/>
          <w:szCs w:val="21"/>
          <w:highlight w:val="none"/>
          <w:lang w:val="en-US" w:eastAsia="zh-CN"/>
        </w:rPr>
        <w:t>磋商</w:t>
      </w:r>
      <w:r>
        <w:rPr>
          <w:rFonts w:hint="eastAsia" w:hAnsi="宋体"/>
          <w:color w:val="auto"/>
          <w:szCs w:val="21"/>
          <w:highlight w:val="none"/>
        </w:rPr>
        <w:t>文件要求，对满足</w:t>
      </w:r>
      <w:r>
        <w:rPr>
          <w:rFonts w:hint="eastAsia" w:hAnsi="宋体"/>
          <w:color w:val="auto"/>
          <w:szCs w:val="21"/>
          <w:highlight w:val="none"/>
          <w:lang w:val="en-US" w:eastAsia="zh-CN"/>
        </w:rPr>
        <w:t>磋商</w:t>
      </w:r>
      <w:r>
        <w:rPr>
          <w:rFonts w:hint="eastAsia" w:hAnsi="宋体"/>
          <w:color w:val="auto"/>
          <w:szCs w:val="21"/>
          <w:highlight w:val="none"/>
        </w:rPr>
        <w:t>文件全部实质性要求进入详评的各</w:t>
      </w:r>
      <w:r>
        <w:rPr>
          <w:rFonts w:hint="eastAsia" w:hAnsi="宋体"/>
          <w:color w:val="auto"/>
          <w:szCs w:val="21"/>
          <w:highlight w:val="none"/>
          <w:lang w:eastAsia="zh-CN"/>
        </w:rPr>
        <w:t>供应商</w:t>
      </w:r>
      <w:r>
        <w:rPr>
          <w:rFonts w:hint="eastAsia" w:hAnsi="宋体"/>
          <w:color w:val="auto"/>
          <w:szCs w:val="21"/>
          <w:highlight w:val="none"/>
          <w:lang w:val="en-US" w:eastAsia="zh-CN"/>
        </w:rPr>
        <w:t>磋商</w:t>
      </w:r>
      <w:r>
        <w:rPr>
          <w:rFonts w:hint="eastAsia" w:hAnsi="宋体"/>
          <w:color w:val="auto"/>
          <w:szCs w:val="21"/>
          <w:highlight w:val="none"/>
        </w:rPr>
        <w:t>文件中对“服务（技术）要求”的响应情况进行独立评审，并按如下计分方式确定得分：</w:t>
      </w:r>
    </w:p>
    <w:p>
      <w:pPr>
        <w:pStyle w:val="8"/>
        <w:ind w:left="0" w:firstLine="210" w:firstLineChars="100"/>
        <w:rPr>
          <w:rFonts w:ascii="宋体" w:hAnsi="宋体"/>
          <w:color w:val="auto"/>
          <w:szCs w:val="21"/>
          <w:highlight w:val="none"/>
        </w:rPr>
      </w:pPr>
      <w:r>
        <w:rPr>
          <w:rFonts w:hint="eastAsia" w:ascii="宋体" w:hAnsi="宋体"/>
          <w:color w:val="auto"/>
          <w:szCs w:val="21"/>
          <w:highlight w:val="none"/>
        </w:rPr>
        <w:t>（1）</w:t>
      </w:r>
      <w:r>
        <w:rPr>
          <w:rFonts w:hint="eastAsia" w:hAnsi="宋体"/>
          <w:color w:val="auto"/>
          <w:szCs w:val="21"/>
          <w:highlight w:val="none"/>
        </w:rPr>
        <w:t>对满足</w:t>
      </w:r>
      <w:r>
        <w:rPr>
          <w:rFonts w:hint="eastAsia" w:hAnsi="宋体"/>
          <w:color w:val="auto"/>
          <w:szCs w:val="21"/>
          <w:highlight w:val="none"/>
          <w:lang w:val="en-US" w:eastAsia="zh-CN"/>
        </w:rPr>
        <w:t>磋商</w:t>
      </w:r>
      <w:r>
        <w:rPr>
          <w:rFonts w:hint="eastAsia" w:hAnsi="宋体"/>
          <w:color w:val="auto"/>
          <w:szCs w:val="21"/>
          <w:highlight w:val="none"/>
        </w:rPr>
        <w:t>文件全部实质性要求的得基本分</w:t>
      </w:r>
      <w:r>
        <w:rPr>
          <w:rFonts w:hint="eastAsia" w:hAnsi="宋体"/>
          <w:color w:val="auto"/>
          <w:szCs w:val="21"/>
          <w:highlight w:val="none"/>
          <w:lang w:eastAsia="zh-CN"/>
        </w:rPr>
        <w:t>1</w:t>
      </w:r>
      <w:r>
        <w:rPr>
          <w:rFonts w:hint="eastAsia" w:hAnsi="宋体"/>
          <w:color w:val="auto"/>
          <w:szCs w:val="21"/>
          <w:highlight w:val="none"/>
          <w:lang w:val="en-US" w:eastAsia="zh-CN"/>
        </w:rPr>
        <w:t>4</w:t>
      </w:r>
      <w:r>
        <w:rPr>
          <w:rFonts w:hint="eastAsia" w:hAnsi="宋体"/>
          <w:color w:val="auto"/>
          <w:szCs w:val="21"/>
          <w:highlight w:val="none"/>
        </w:rPr>
        <w:t>分。</w:t>
      </w:r>
    </w:p>
    <w:p>
      <w:pPr>
        <w:adjustRightInd w:val="0"/>
        <w:snapToGrid w:val="0"/>
        <w:spacing w:line="360" w:lineRule="exact"/>
        <w:ind w:firstLine="210" w:firstLineChars="100"/>
        <w:rPr>
          <w:rFonts w:hint="eastAsia" w:ascii="宋体" w:hAnsi="宋体" w:cs="宋体"/>
          <w:b/>
          <w:color w:val="auto"/>
          <w:szCs w:val="21"/>
          <w:highlight w:val="none"/>
        </w:rPr>
      </w:pPr>
      <w:r>
        <w:rPr>
          <w:rFonts w:hint="eastAsia" w:ascii="宋体" w:hAnsi="宋体"/>
          <w:color w:val="auto"/>
          <w:szCs w:val="21"/>
          <w:highlight w:val="none"/>
        </w:rPr>
        <w:t>（2）</w:t>
      </w:r>
      <w:r>
        <w:rPr>
          <w:rFonts w:hint="eastAsia" w:hAnsi="宋体"/>
          <w:color w:val="auto"/>
          <w:szCs w:val="21"/>
          <w:highlight w:val="none"/>
        </w:rPr>
        <w:t>对</w:t>
      </w:r>
      <w:r>
        <w:rPr>
          <w:rFonts w:hint="eastAsia" w:ascii="宋体" w:hAnsi="宋体"/>
          <w:color w:val="auto"/>
          <w:szCs w:val="21"/>
          <w:highlight w:val="none"/>
        </w:rPr>
        <w:t>标“</w:t>
      </w:r>
      <w:r>
        <w:rPr>
          <w:rFonts w:hint="eastAsia" w:hAnsi="宋体" w:cs="宋体"/>
          <w:bCs/>
          <w:color w:val="auto"/>
          <w:szCs w:val="21"/>
          <w:highlight w:val="none"/>
        </w:rPr>
        <w:t>▲</w:t>
      </w:r>
      <w:r>
        <w:rPr>
          <w:rFonts w:hint="eastAsia" w:ascii="宋体" w:hAnsi="宋体"/>
          <w:color w:val="auto"/>
          <w:szCs w:val="21"/>
          <w:highlight w:val="none"/>
        </w:rPr>
        <w:t>”技术指标未能提供由国家认证认可的第三方权威机构出具的检测（验）报告复印件或标“</w:t>
      </w:r>
      <w:r>
        <w:rPr>
          <w:rFonts w:hint="eastAsia" w:hAnsi="宋体" w:cs="宋体"/>
          <w:bCs/>
          <w:color w:val="auto"/>
          <w:szCs w:val="21"/>
          <w:highlight w:val="none"/>
        </w:rPr>
        <w:t>▲</w:t>
      </w:r>
      <w:r>
        <w:rPr>
          <w:rFonts w:hint="eastAsia" w:ascii="宋体" w:hAnsi="宋体"/>
          <w:color w:val="auto"/>
          <w:szCs w:val="21"/>
          <w:highlight w:val="none"/>
        </w:rPr>
        <w:t>”的技术指标未在</w:t>
      </w:r>
      <w:r>
        <w:rPr>
          <w:rFonts w:hint="eastAsia" w:ascii="宋体" w:hAnsi="宋体"/>
          <w:color w:val="auto"/>
          <w:szCs w:val="21"/>
          <w:highlight w:val="none"/>
          <w:lang w:eastAsia="zh-CN"/>
        </w:rPr>
        <w:t>响应文件</w:t>
      </w:r>
      <w:r>
        <w:rPr>
          <w:rFonts w:hint="eastAsia" w:ascii="宋体" w:hAnsi="宋体"/>
          <w:color w:val="auto"/>
          <w:szCs w:val="21"/>
          <w:highlight w:val="none"/>
        </w:rPr>
        <w:t>中逐点应答出检验（测）报告具体位置的，每有一项扣</w:t>
      </w:r>
      <w:r>
        <w:rPr>
          <w:rFonts w:hint="eastAsia" w:ascii="宋体" w:hAnsi="宋体"/>
          <w:color w:val="auto"/>
          <w:szCs w:val="21"/>
          <w:highlight w:val="none"/>
          <w:lang w:eastAsia="zh-CN"/>
        </w:rPr>
        <w:t>3</w:t>
      </w:r>
      <w:r>
        <w:rPr>
          <w:rFonts w:hint="eastAsia" w:ascii="宋体" w:hAnsi="宋体"/>
          <w:color w:val="auto"/>
          <w:szCs w:val="21"/>
          <w:highlight w:val="none"/>
        </w:rPr>
        <w:t>分，扣完为止，不计负分。</w:t>
      </w:r>
    </w:p>
    <w:p>
      <w:pPr>
        <w:pStyle w:val="16"/>
        <w:spacing w:line="400" w:lineRule="exact"/>
        <w:ind w:firstLine="422" w:firstLineChars="200"/>
        <w:outlineLvl w:val="0"/>
        <w:rPr>
          <w:rFonts w:hint="eastAsia" w:hAnsi="宋体" w:cs="宋体"/>
          <w:b/>
          <w:color w:val="auto"/>
          <w:szCs w:val="21"/>
          <w:highlight w:val="none"/>
        </w:rPr>
      </w:pPr>
      <w:r>
        <w:rPr>
          <w:rFonts w:hint="eastAsia" w:ascii="宋体" w:hAnsi="宋体" w:cs="宋体"/>
          <w:b/>
          <w:color w:val="auto"/>
          <w:szCs w:val="21"/>
          <w:highlight w:val="none"/>
        </w:rPr>
        <w:t>注：中标后，采购人有权要求中标人提供检测（验）报告原件进行审查。</w:t>
      </w:r>
    </w:p>
    <w:p>
      <w:pPr>
        <w:pStyle w:val="16"/>
        <w:spacing w:line="400" w:lineRule="exact"/>
        <w:ind w:firstLine="422" w:firstLineChars="200"/>
        <w:outlineLvl w:val="0"/>
        <w:rPr>
          <w:rFonts w:hAnsi="宋体" w:cs="宋体"/>
          <w:color w:val="auto"/>
          <w:spacing w:val="-8"/>
          <w:szCs w:val="21"/>
          <w:highlight w:val="none"/>
        </w:rPr>
      </w:pPr>
      <w:r>
        <w:rPr>
          <w:rFonts w:hint="eastAsia" w:hAnsi="宋体" w:cs="宋体"/>
          <w:b/>
          <w:color w:val="auto"/>
          <w:szCs w:val="21"/>
          <w:highlight w:val="none"/>
          <w:lang w:eastAsia="zh-CN"/>
        </w:rPr>
        <w:t>3</w:t>
      </w:r>
      <w:r>
        <w:rPr>
          <w:rFonts w:hint="eastAsia" w:hAnsi="宋体" w:cs="宋体"/>
          <w:b/>
          <w:color w:val="auto"/>
          <w:szCs w:val="21"/>
          <w:highlight w:val="none"/>
        </w:rPr>
        <w:t>、</w:t>
      </w:r>
      <w:r>
        <w:rPr>
          <w:rFonts w:hint="eastAsia" w:hAnsi="宋体" w:cs="宋体"/>
          <w:b/>
          <w:color w:val="auto"/>
          <w:szCs w:val="21"/>
          <w:highlight w:val="none"/>
          <w:lang w:val="en-US" w:eastAsia="zh-CN"/>
        </w:rPr>
        <w:t>技术</w:t>
      </w:r>
      <w:r>
        <w:rPr>
          <w:rFonts w:hint="eastAsia" w:hAnsi="宋体" w:cs="宋体"/>
          <w:b/>
          <w:bCs/>
          <w:color w:val="auto"/>
          <w:szCs w:val="21"/>
          <w:highlight w:val="none"/>
        </w:rPr>
        <w:t xml:space="preserve">方案分 </w:t>
      </w:r>
      <w:r>
        <w:rPr>
          <w:rFonts w:hint="eastAsia" w:hAnsi="宋体" w:cs="宋体"/>
          <w:b/>
          <w:color w:val="auto"/>
          <w:szCs w:val="21"/>
          <w:highlight w:val="none"/>
        </w:rPr>
        <w:t>……………………………………</w:t>
      </w:r>
      <w:r>
        <w:rPr>
          <w:rFonts w:hint="eastAsia" w:hAnsi="宋体" w:cs="宋体"/>
          <w:color w:val="auto"/>
          <w:szCs w:val="21"/>
          <w:highlight w:val="none"/>
        </w:rPr>
        <w:t>……………</w:t>
      </w:r>
      <w:r>
        <w:rPr>
          <w:rFonts w:hint="eastAsia" w:hAnsi="宋体" w:cs="宋体"/>
          <w:b/>
          <w:color w:val="auto"/>
          <w:szCs w:val="21"/>
          <w:highlight w:val="none"/>
        </w:rPr>
        <w:t>………</w:t>
      </w:r>
      <w:r>
        <w:rPr>
          <w:rFonts w:hint="eastAsia" w:hAnsi="宋体" w:cs="宋体"/>
          <w:color w:val="auto"/>
          <w:szCs w:val="21"/>
          <w:highlight w:val="none"/>
        </w:rPr>
        <w:t>…</w:t>
      </w:r>
      <w:r>
        <w:rPr>
          <w:rFonts w:hint="eastAsia" w:hAnsi="宋体" w:cs="宋体"/>
          <w:b/>
          <w:color w:val="auto"/>
          <w:szCs w:val="21"/>
          <w:highlight w:val="none"/>
        </w:rPr>
        <w:t>………</w:t>
      </w:r>
      <w:r>
        <w:rPr>
          <w:rFonts w:hint="eastAsia" w:hAnsi="宋体" w:cs="宋体"/>
          <w:color w:val="auto"/>
          <w:szCs w:val="21"/>
          <w:highlight w:val="none"/>
        </w:rPr>
        <w:t>…</w:t>
      </w:r>
      <w:r>
        <w:rPr>
          <w:rFonts w:hint="eastAsia" w:hAnsi="宋体" w:cs="宋体"/>
          <w:b/>
          <w:color w:val="auto"/>
          <w:szCs w:val="21"/>
          <w:highlight w:val="none"/>
        </w:rPr>
        <w:t>………</w:t>
      </w:r>
      <w:r>
        <w:rPr>
          <w:rFonts w:hint="eastAsia" w:hAnsi="宋体" w:cs="宋体"/>
          <w:color w:val="auto"/>
          <w:szCs w:val="21"/>
          <w:highlight w:val="none"/>
        </w:rPr>
        <w:t>…</w:t>
      </w:r>
      <w:r>
        <w:rPr>
          <w:rFonts w:hint="eastAsia" w:hAnsi="宋体" w:cs="宋体"/>
          <w:b/>
          <w:color w:val="auto"/>
          <w:szCs w:val="21"/>
          <w:highlight w:val="none"/>
        </w:rPr>
        <w:t>………</w:t>
      </w:r>
      <w:r>
        <w:rPr>
          <w:rFonts w:hint="eastAsia" w:hAnsi="宋体" w:cs="宋体"/>
          <w:b/>
          <w:color w:val="auto"/>
          <w:szCs w:val="21"/>
          <w:highlight w:val="none"/>
          <w:lang w:eastAsia="zh-CN"/>
        </w:rPr>
        <w:t>9</w:t>
      </w:r>
      <w:r>
        <w:rPr>
          <w:rFonts w:hint="eastAsia" w:hAnsi="宋体" w:cs="宋体"/>
          <w:b/>
          <w:color w:val="auto"/>
          <w:szCs w:val="21"/>
          <w:highlight w:val="none"/>
        </w:rPr>
        <w:t>分</w:t>
      </w:r>
    </w:p>
    <w:p>
      <w:pPr>
        <w:pStyle w:val="16"/>
        <w:tabs>
          <w:tab w:val="left" w:pos="4214"/>
        </w:tabs>
        <w:spacing w:line="360" w:lineRule="auto"/>
        <w:ind w:firstLine="420" w:firstLineChars="200"/>
        <w:rPr>
          <w:rFonts w:hint="eastAsia" w:ascii="宋体" w:hAnsi="宋体" w:eastAsia="宋体" w:cs="Times New Roman"/>
          <w:color w:val="auto"/>
          <w:szCs w:val="21"/>
          <w:highlight w:val="none"/>
          <w:lang w:val="en-US" w:eastAsia="zh-CN"/>
        </w:rPr>
      </w:pPr>
      <w:r>
        <w:rPr>
          <w:rFonts w:hint="eastAsia" w:hAnsi="宋体" w:cs="宋体"/>
          <w:color w:val="auto"/>
          <w:szCs w:val="21"/>
          <w:highlight w:val="none"/>
          <w:lang w:val="en-US" w:eastAsia="zh-CN"/>
        </w:rPr>
        <w:t>一档：（0分）未提供技术方案</w:t>
      </w:r>
      <w:r>
        <w:rPr>
          <w:rFonts w:hint="eastAsia"/>
          <w:color w:val="auto"/>
          <w:sz w:val="21"/>
          <w:szCs w:val="21"/>
          <w:highlight w:val="none"/>
          <w:lang w:val="en-US" w:eastAsia="zh-CN"/>
        </w:rPr>
        <w:t>或提供的技术方案不</w:t>
      </w:r>
      <w:r>
        <w:rPr>
          <w:rFonts w:hint="eastAsia" w:ascii="宋体" w:hAnsi="宋体" w:eastAsia="宋体" w:cs="Times New Roman"/>
          <w:color w:val="auto"/>
          <w:sz w:val="21"/>
          <w:szCs w:val="21"/>
          <w:highlight w:val="none"/>
          <w:lang w:val="en-US" w:eastAsia="zh-CN"/>
        </w:rPr>
        <w:t>满足采购需求的，不得分</w:t>
      </w:r>
      <w:r>
        <w:rPr>
          <w:rFonts w:hint="eastAsia" w:ascii="宋体" w:hAnsi="宋体" w:eastAsia="宋体" w:cs="Times New Roman"/>
          <w:color w:val="auto"/>
          <w:szCs w:val="21"/>
          <w:highlight w:val="none"/>
          <w:lang w:val="en-US" w:eastAsia="zh-CN"/>
        </w:rPr>
        <w:t>。</w:t>
      </w:r>
    </w:p>
    <w:p>
      <w:pPr>
        <w:pStyle w:val="16"/>
        <w:tabs>
          <w:tab w:val="left" w:pos="4214"/>
        </w:tabs>
        <w:spacing w:line="360" w:lineRule="auto"/>
        <w:ind w:firstLine="420" w:firstLineChars="200"/>
        <w:rPr>
          <w:rFonts w:hint="eastAsia" w:ascii="宋体" w:hAnsi="宋体" w:eastAsia="宋体" w:cs="Times New Roman"/>
          <w:bCs w:val="0"/>
          <w:color w:val="auto"/>
          <w:szCs w:val="21"/>
          <w:highlight w:val="none"/>
        </w:rPr>
      </w:pPr>
      <w:r>
        <w:rPr>
          <w:rFonts w:hint="eastAsia" w:ascii="宋体" w:hAnsi="宋体" w:eastAsia="宋体" w:cs="Times New Roman"/>
          <w:color w:val="auto"/>
          <w:szCs w:val="21"/>
          <w:highlight w:val="none"/>
          <w:lang w:val="en-US" w:eastAsia="zh-CN"/>
        </w:rPr>
        <w:t>二</w:t>
      </w:r>
      <w:r>
        <w:rPr>
          <w:rFonts w:hint="eastAsia" w:ascii="宋体" w:hAnsi="宋体" w:eastAsia="宋体" w:cs="Times New Roman"/>
          <w:bCs w:val="0"/>
          <w:color w:val="auto"/>
          <w:szCs w:val="21"/>
          <w:highlight w:val="none"/>
        </w:rPr>
        <w:t>档：（</w:t>
      </w:r>
      <w:r>
        <w:rPr>
          <w:rFonts w:hint="eastAsia" w:ascii="宋体" w:hAnsi="宋体" w:eastAsia="宋体" w:cs="Times New Roman"/>
          <w:bCs w:val="0"/>
          <w:color w:val="auto"/>
          <w:szCs w:val="21"/>
          <w:highlight w:val="none"/>
          <w:lang w:eastAsia="zh-CN"/>
        </w:rPr>
        <w:t>3</w:t>
      </w:r>
      <w:r>
        <w:rPr>
          <w:rFonts w:hint="eastAsia" w:ascii="宋体" w:hAnsi="宋体" w:eastAsia="宋体" w:cs="Times New Roman"/>
          <w:bCs w:val="0"/>
          <w:color w:val="auto"/>
          <w:szCs w:val="21"/>
          <w:highlight w:val="none"/>
        </w:rPr>
        <w:t>分）技术方案</w:t>
      </w:r>
      <w:r>
        <w:rPr>
          <w:rFonts w:hint="eastAsia" w:ascii="宋体" w:hAnsi="宋体" w:eastAsia="宋体" w:cs="Times New Roman"/>
          <w:color w:val="auto"/>
          <w:kern w:val="2"/>
          <w:sz w:val="21"/>
          <w:szCs w:val="21"/>
          <w:highlight w:val="none"/>
        </w:rPr>
        <w:t>内容一般，内容较为简单</w:t>
      </w:r>
      <w:r>
        <w:rPr>
          <w:rFonts w:hint="eastAsia" w:ascii="宋体" w:hAnsi="宋体" w:eastAsia="宋体" w:cs="Times New Roman"/>
          <w:bCs w:val="0"/>
          <w:color w:val="auto"/>
          <w:szCs w:val="21"/>
          <w:highlight w:val="none"/>
        </w:rPr>
        <w:t>。</w:t>
      </w:r>
    </w:p>
    <w:p>
      <w:pPr>
        <w:pStyle w:val="16"/>
        <w:tabs>
          <w:tab w:val="left" w:pos="4214"/>
        </w:tabs>
        <w:spacing w:line="360" w:lineRule="auto"/>
        <w:ind w:firstLine="420" w:firstLineChars="200"/>
        <w:rPr>
          <w:rFonts w:hint="eastAsia" w:ascii="宋体" w:hAnsi="宋体" w:eastAsia="宋体" w:cs="Times New Roman"/>
          <w:bCs w:val="0"/>
          <w:color w:val="auto"/>
          <w:szCs w:val="21"/>
          <w:highlight w:val="none"/>
        </w:rPr>
      </w:pPr>
      <w:r>
        <w:rPr>
          <w:rFonts w:hint="eastAsia" w:ascii="宋体" w:hAnsi="宋体" w:eastAsia="宋体" w:cs="Times New Roman"/>
          <w:bCs w:val="0"/>
          <w:color w:val="auto"/>
          <w:szCs w:val="21"/>
          <w:highlight w:val="none"/>
          <w:lang w:val="en-US" w:eastAsia="zh-CN"/>
        </w:rPr>
        <w:t>三</w:t>
      </w:r>
      <w:r>
        <w:rPr>
          <w:rFonts w:hint="eastAsia" w:ascii="宋体" w:hAnsi="宋体" w:eastAsia="宋体" w:cs="Times New Roman"/>
          <w:bCs w:val="0"/>
          <w:color w:val="auto"/>
          <w:szCs w:val="21"/>
          <w:highlight w:val="none"/>
        </w:rPr>
        <w:t>档：（</w:t>
      </w:r>
      <w:r>
        <w:rPr>
          <w:rFonts w:hint="eastAsia" w:ascii="宋体" w:hAnsi="宋体" w:eastAsia="宋体" w:cs="Times New Roman"/>
          <w:bCs w:val="0"/>
          <w:color w:val="auto"/>
          <w:szCs w:val="21"/>
          <w:highlight w:val="none"/>
          <w:lang w:eastAsia="zh-CN"/>
        </w:rPr>
        <w:t>6</w:t>
      </w:r>
      <w:r>
        <w:rPr>
          <w:rFonts w:hint="eastAsia" w:ascii="宋体" w:hAnsi="宋体" w:eastAsia="宋体" w:cs="Times New Roman"/>
          <w:bCs w:val="0"/>
          <w:color w:val="auto"/>
          <w:szCs w:val="21"/>
          <w:highlight w:val="none"/>
        </w:rPr>
        <w:t>分）技术方案</w:t>
      </w:r>
      <w:r>
        <w:rPr>
          <w:rFonts w:hint="eastAsia" w:ascii="宋体" w:hAnsi="宋体" w:eastAsia="宋体" w:cs="Times New Roman"/>
          <w:color w:val="auto"/>
          <w:kern w:val="2"/>
          <w:sz w:val="21"/>
          <w:szCs w:val="21"/>
          <w:highlight w:val="none"/>
        </w:rPr>
        <w:t>内容丰富，针对本项目的项目理解分析，项目背景、保护地信息化现状分析、用户需求分析等基本符合建设单位实际情况，整体设计方案基本完整，较为合理，具备可行性</w:t>
      </w:r>
      <w:r>
        <w:rPr>
          <w:rFonts w:hint="eastAsia" w:ascii="宋体" w:hAnsi="宋体" w:eastAsia="宋体" w:cs="Times New Roman"/>
          <w:bCs w:val="0"/>
          <w:color w:val="auto"/>
          <w:szCs w:val="21"/>
          <w:highlight w:val="none"/>
        </w:rPr>
        <w:t>。</w:t>
      </w:r>
    </w:p>
    <w:p>
      <w:pPr>
        <w:pStyle w:val="16"/>
        <w:tabs>
          <w:tab w:val="left" w:pos="4214"/>
        </w:tabs>
        <w:spacing w:line="360" w:lineRule="auto"/>
        <w:ind w:firstLine="420" w:firstLineChars="200"/>
        <w:rPr>
          <w:rFonts w:hint="eastAsia" w:hAnsi="宋体" w:cs="宋体"/>
          <w:bCs/>
          <w:color w:val="auto"/>
          <w:szCs w:val="21"/>
          <w:highlight w:val="none"/>
        </w:rPr>
      </w:pPr>
      <w:r>
        <w:rPr>
          <w:rFonts w:hint="eastAsia" w:ascii="宋体" w:hAnsi="宋体" w:eastAsia="宋体" w:cs="Times New Roman"/>
          <w:bCs w:val="0"/>
          <w:color w:val="auto"/>
          <w:szCs w:val="21"/>
          <w:highlight w:val="none"/>
          <w:lang w:val="en-US" w:eastAsia="zh-CN"/>
        </w:rPr>
        <w:t>四</w:t>
      </w:r>
      <w:r>
        <w:rPr>
          <w:rFonts w:hint="eastAsia" w:ascii="宋体" w:hAnsi="宋体" w:eastAsia="宋体" w:cs="Times New Roman"/>
          <w:bCs w:val="0"/>
          <w:color w:val="auto"/>
          <w:szCs w:val="21"/>
          <w:highlight w:val="none"/>
        </w:rPr>
        <w:t>档：（</w:t>
      </w:r>
      <w:r>
        <w:rPr>
          <w:rFonts w:hint="eastAsia" w:ascii="宋体" w:hAnsi="宋体" w:eastAsia="宋体" w:cs="Times New Roman"/>
          <w:bCs w:val="0"/>
          <w:color w:val="auto"/>
          <w:szCs w:val="21"/>
          <w:highlight w:val="none"/>
          <w:lang w:eastAsia="zh-CN"/>
        </w:rPr>
        <w:t>9</w:t>
      </w:r>
      <w:r>
        <w:rPr>
          <w:rFonts w:hint="eastAsia" w:ascii="宋体" w:hAnsi="宋体" w:eastAsia="宋体" w:cs="Times New Roman"/>
          <w:bCs w:val="0"/>
          <w:color w:val="auto"/>
          <w:szCs w:val="21"/>
          <w:highlight w:val="none"/>
        </w:rPr>
        <w:t>分）</w:t>
      </w:r>
      <w:r>
        <w:rPr>
          <w:rFonts w:hint="eastAsia" w:ascii="宋体" w:hAnsi="宋体" w:eastAsia="宋体" w:cs="Times New Roman"/>
          <w:color w:val="auto"/>
          <w:kern w:val="2"/>
          <w:sz w:val="21"/>
          <w:szCs w:val="21"/>
          <w:highlight w:val="none"/>
        </w:rPr>
        <w:t>在</w:t>
      </w:r>
      <w:r>
        <w:rPr>
          <w:rFonts w:hint="eastAsia" w:ascii="宋体" w:hAnsi="宋体" w:eastAsia="宋体" w:cs="Times New Roman"/>
          <w:color w:val="auto"/>
          <w:kern w:val="2"/>
          <w:sz w:val="21"/>
          <w:szCs w:val="21"/>
          <w:highlight w:val="none"/>
          <w:lang w:val="en-US" w:eastAsia="zh-CN"/>
        </w:rPr>
        <w:t>满足三</w:t>
      </w:r>
      <w:r>
        <w:rPr>
          <w:rFonts w:hint="eastAsia" w:ascii="宋体" w:hAnsi="宋体" w:eastAsia="宋体" w:cs="Times New Roman"/>
          <w:color w:val="auto"/>
          <w:kern w:val="2"/>
          <w:sz w:val="21"/>
          <w:szCs w:val="21"/>
          <w:highlight w:val="none"/>
        </w:rPr>
        <w:t>档的基础上，整体设计方案建设目标明确、设计架构先进完善、功能丰富，提出的项目重点难点和风险分析符具有针对性，内容完备、合理，完全符合用户使用现状</w:t>
      </w:r>
      <w:r>
        <w:rPr>
          <w:rFonts w:hint="eastAsia" w:ascii="宋体" w:hAnsi="宋体" w:eastAsia="宋体" w:cs="Times New Roman"/>
          <w:bCs w:val="0"/>
          <w:color w:val="auto"/>
          <w:szCs w:val="21"/>
          <w:highlight w:val="none"/>
        </w:rPr>
        <w:t>。</w:t>
      </w:r>
    </w:p>
    <w:p>
      <w:pPr>
        <w:pStyle w:val="16"/>
        <w:spacing w:line="400" w:lineRule="exact"/>
        <w:ind w:firstLine="420"/>
        <w:outlineLvl w:val="0"/>
        <w:rPr>
          <w:color w:val="auto"/>
          <w:szCs w:val="21"/>
          <w:highlight w:val="none"/>
        </w:rPr>
      </w:pPr>
      <w:r>
        <w:rPr>
          <w:rFonts w:hint="eastAsia" w:hAnsi="宋体" w:cs="宋体"/>
          <w:b/>
          <w:color w:val="auto"/>
          <w:szCs w:val="21"/>
          <w:highlight w:val="none"/>
          <w:lang w:val="en-US" w:eastAsia="zh-CN"/>
        </w:rPr>
        <w:t>4</w:t>
      </w:r>
      <w:r>
        <w:rPr>
          <w:rFonts w:hint="eastAsia" w:hAnsi="宋体" w:cs="宋体"/>
          <w:b/>
          <w:color w:val="auto"/>
          <w:szCs w:val="21"/>
          <w:highlight w:val="none"/>
        </w:rPr>
        <w:t>、</w:t>
      </w:r>
      <w:r>
        <w:rPr>
          <w:rFonts w:hint="eastAsia" w:hAnsi="宋体" w:cs="宋体"/>
          <w:b/>
          <w:color w:val="auto"/>
          <w:szCs w:val="21"/>
          <w:highlight w:val="none"/>
          <w:lang w:val="en-US" w:eastAsia="zh-CN"/>
        </w:rPr>
        <w:t>项目实施</w:t>
      </w:r>
      <w:r>
        <w:rPr>
          <w:rFonts w:hint="eastAsia" w:hAnsi="宋体" w:cs="宋体"/>
          <w:b/>
          <w:bCs/>
          <w:color w:val="auto"/>
          <w:szCs w:val="21"/>
          <w:highlight w:val="none"/>
        </w:rPr>
        <w:t xml:space="preserve">分 </w:t>
      </w:r>
      <w:r>
        <w:rPr>
          <w:rFonts w:hint="eastAsia" w:hAnsi="宋体" w:cs="宋体"/>
          <w:b/>
          <w:color w:val="auto"/>
          <w:szCs w:val="21"/>
          <w:highlight w:val="none"/>
        </w:rPr>
        <w:t>……………………………………</w:t>
      </w:r>
      <w:r>
        <w:rPr>
          <w:rFonts w:hint="eastAsia" w:hAnsi="宋体" w:cs="宋体"/>
          <w:color w:val="auto"/>
          <w:szCs w:val="21"/>
          <w:highlight w:val="none"/>
        </w:rPr>
        <w:t>……………</w:t>
      </w:r>
      <w:r>
        <w:rPr>
          <w:rFonts w:hint="eastAsia" w:hAnsi="宋体" w:cs="宋体"/>
          <w:b/>
          <w:color w:val="auto"/>
          <w:szCs w:val="21"/>
          <w:highlight w:val="none"/>
        </w:rPr>
        <w:t>………</w:t>
      </w:r>
      <w:r>
        <w:rPr>
          <w:rFonts w:hint="eastAsia" w:hAnsi="宋体" w:cs="宋体"/>
          <w:color w:val="auto"/>
          <w:szCs w:val="21"/>
          <w:highlight w:val="none"/>
        </w:rPr>
        <w:t>…</w:t>
      </w:r>
      <w:r>
        <w:rPr>
          <w:rFonts w:hint="eastAsia" w:hAnsi="宋体" w:cs="宋体"/>
          <w:b/>
          <w:color w:val="auto"/>
          <w:szCs w:val="21"/>
          <w:highlight w:val="none"/>
        </w:rPr>
        <w:t>………</w:t>
      </w:r>
      <w:r>
        <w:rPr>
          <w:rFonts w:hint="eastAsia" w:hAnsi="宋体" w:cs="宋体"/>
          <w:color w:val="auto"/>
          <w:szCs w:val="21"/>
          <w:highlight w:val="none"/>
        </w:rPr>
        <w:t>…</w:t>
      </w:r>
      <w:r>
        <w:rPr>
          <w:rFonts w:hint="eastAsia" w:hAnsi="宋体" w:cs="宋体"/>
          <w:b/>
          <w:color w:val="auto"/>
          <w:szCs w:val="21"/>
          <w:highlight w:val="none"/>
        </w:rPr>
        <w:t>………</w:t>
      </w:r>
      <w:r>
        <w:rPr>
          <w:rFonts w:hint="eastAsia" w:hAnsi="宋体" w:cs="宋体"/>
          <w:color w:val="auto"/>
          <w:szCs w:val="21"/>
          <w:highlight w:val="none"/>
        </w:rPr>
        <w:t>…</w:t>
      </w:r>
      <w:r>
        <w:rPr>
          <w:rFonts w:hint="eastAsia" w:hAnsi="宋体" w:cs="宋体"/>
          <w:b/>
          <w:color w:val="auto"/>
          <w:szCs w:val="21"/>
          <w:highlight w:val="none"/>
        </w:rPr>
        <w:t>………2</w:t>
      </w:r>
      <w:r>
        <w:rPr>
          <w:rFonts w:hint="eastAsia" w:hAnsi="宋体" w:cs="宋体"/>
          <w:b/>
          <w:color w:val="auto"/>
          <w:szCs w:val="21"/>
          <w:highlight w:val="none"/>
          <w:lang w:eastAsia="zh-CN"/>
        </w:rPr>
        <w:t>0</w:t>
      </w:r>
      <w:r>
        <w:rPr>
          <w:rFonts w:hint="eastAsia" w:hAnsi="宋体" w:cs="宋体"/>
          <w:b/>
          <w:color w:val="auto"/>
          <w:szCs w:val="21"/>
          <w:highlight w:val="none"/>
        </w:rPr>
        <w:t>分</w:t>
      </w:r>
    </w:p>
    <w:p>
      <w:pPr>
        <w:pStyle w:val="55"/>
        <w:adjustRightInd w:val="0"/>
        <w:snapToGrid w:val="0"/>
        <w:spacing w:before="31" w:beforeLines="10" w:after="31" w:afterLines="10" w:line="312" w:lineRule="auto"/>
        <w:ind w:firstLine="422" w:firstLineChars="200"/>
        <w:rPr>
          <w:rFonts w:hint="eastAsia"/>
          <w:b/>
          <w:color w:val="auto"/>
          <w:sz w:val="21"/>
          <w:szCs w:val="21"/>
          <w:highlight w:val="none"/>
          <w:lang w:val="en-US" w:eastAsia="zh-CN" w:bidi="ar-SA"/>
        </w:rPr>
      </w:pPr>
      <w:r>
        <w:rPr>
          <w:rFonts w:hint="eastAsia"/>
          <w:b/>
          <w:color w:val="auto"/>
          <w:sz w:val="21"/>
          <w:szCs w:val="21"/>
          <w:highlight w:val="none"/>
          <w:lang w:val="en-US" w:eastAsia="zh-CN" w:bidi="ar-SA"/>
        </w:rPr>
        <w:t>（1）实施方案分</w:t>
      </w:r>
      <w:r>
        <w:rPr>
          <w:rFonts w:hint="eastAsia" w:hAnsi="宋体" w:cs="宋体"/>
          <w:b/>
          <w:color w:val="auto"/>
          <w:sz w:val="21"/>
          <w:szCs w:val="21"/>
          <w:highlight w:val="none"/>
          <w:lang w:val="en-US" w:eastAsia="zh-CN" w:bidi="ar-SA"/>
        </w:rPr>
        <w:t>…………………………………………………………………………………………</w:t>
      </w:r>
      <w:r>
        <w:rPr>
          <w:rFonts w:hint="eastAsia" w:cs="宋体"/>
          <w:b/>
          <w:color w:val="auto"/>
          <w:sz w:val="21"/>
          <w:szCs w:val="21"/>
          <w:highlight w:val="none"/>
          <w:lang w:val="en-US" w:eastAsia="zh-CN" w:bidi="ar-SA"/>
        </w:rPr>
        <w:t>9</w:t>
      </w:r>
      <w:r>
        <w:rPr>
          <w:rFonts w:hint="eastAsia" w:hAnsi="宋体" w:cs="宋体"/>
          <w:b/>
          <w:color w:val="auto"/>
          <w:sz w:val="21"/>
          <w:szCs w:val="21"/>
          <w:highlight w:val="none"/>
          <w:lang w:val="en-US" w:eastAsia="zh-CN" w:bidi="ar-SA"/>
        </w:rPr>
        <w:t>分</w:t>
      </w:r>
    </w:p>
    <w:p>
      <w:pPr>
        <w:pStyle w:val="55"/>
        <w:adjustRightInd w:val="0"/>
        <w:snapToGrid w:val="0"/>
        <w:spacing w:before="31" w:beforeLines="10" w:after="31" w:afterLines="10" w:line="312"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由评委在打分前根据响应文件中的技术服务、技术培训的服务内容和措施、建议的安装、调试、验收方法或方案等内容进行独立评审并独立打分：</w:t>
      </w:r>
    </w:p>
    <w:p>
      <w:pPr>
        <w:pStyle w:val="55"/>
        <w:adjustRightInd w:val="0"/>
        <w:snapToGrid w:val="0"/>
        <w:spacing w:before="31" w:beforeLines="10" w:after="31" w:afterLines="10" w:line="312" w:lineRule="auto"/>
        <w:ind w:firstLine="420" w:firstLineChars="200"/>
        <w:rPr>
          <w:color w:val="auto"/>
          <w:sz w:val="21"/>
          <w:szCs w:val="21"/>
          <w:highlight w:val="none"/>
          <w:lang w:val="en-US" w:eastAsia="zh-CN"/>
        </w:rPr>
      </w:pPr>
      <w:r>
        <w:rPr>
          <w:rFonts w:hint="eastAsia"/>
          <w:color w:val="auto"/>
          <w:sz w:val="21"/>
          <w:szCs w:val="21"/>
          <w:highlight w:val="none"/>
          <w:lang w:val="en-US" w:eastAsia="zh-CN"/>
        </w:rPr>
        <w:t>一档（0分）：未提供项目的实施方案或提供的实施方案不满足采购需求的；</w:t>
      </w:r>
    </w:p>
    <w:p>
      <w:pPr>
        <w:pStyle w:val="55"/>
        <w:adjustRightInd w:val="0"/>
        <w:snapToGrid w:val="0"/>
        <w:spacing w:before="31" w:beforeLines="10" w:after="31" w:afterLines="10" w:line="312"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二档（3分）：实施方案编制基本符合项目要求，描述简单。</w:t>
      </w:r>
    </w:p>
    <w:p>
      <w:pPr>
        <w:pStyle w:val="55"/>
        <w:adjustRightInd w:val="0"/>
        <w:snapToGrid w:val="0"/>
        <w:spacing w:before="31" w:beforeLines="10" w:after="31" w:afterLines="10" w:line="312"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三档（6分）：实施方案描述较完整，有项目实施计划与组织架构描述、项目管理措施等方面内容。</w:t>
      </w:r>
    </w:p>
    <w:p>
      <w:pPr>
        <w:pStyle w:val="55"/>
        <w:adjustRightInd w:val="0"/>
        <w:snapToGrid w:val="0"/>
        <w:spacing w:before="31" w:beforeLines="10" w:after="31" w:afterLines="10" w:line="312"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四档（9分）：实施方案描述完整详实，方案能清楚的表明对本项目的熟悉程度，设计合理，技术路线清晰可信，有项目实施计划与组织计划描述、项目管理措施、时间安排等方面内容。</w:t>
      </w:r>
    </w:p>
    <w:p>
      <w:pPr>
        <w:pStyle w:val="55"/>
        <w:adjustRightInd w:val="0"/>
        <w:snapToGrid w:val="0"/>
        <w:spacing w:before="31" w:beforeLines="10" w:after="31" w:afterLines="10" w:line="312" w:lineRule="auto"/>
        <w:ind w:firstLine="422" w:firstLineChars="200"/>
        <w:rPr>
          <w:rFonts w:hint="eastAsia"/>
          <w:color w:val="auto"/>
          <w:sz w:val="21"/>
          <w:szCs w:val="21"/>
          <w:highlight w:val="none"/>
          <w:lang w:val="en-US" w:eastAsia="zh-CN"/>
        </w:rPr>
      </w:pPr>
      <w:r>
        <w:rPr>
          <w:rFonts w:hint="eastAsia"/>
          <w:b/>
          <w:color w:val="auto"/>
          <w:sz w:val="21"/>
          <w:szCs w:val="21"/>
          <w:highlight w:val="none"/>
          <w:lang w:val="en-US" w:eastAsia="zh-CN" w:bidi="ar-SA"/>
        </w:rPr>
        <w:t>（2）实施团队分</w:t>
      </w:r>
      <w:r>
        <w:rPr>
          <w:rFonts w:hint="eastAsia" w:hAnsi="宋体" w:cs="宋体"/>
          <w:b/>
          <w:color w:val="auto"/>
          <w:sz w:val="21"/>
          <w:szCs w:val="21"/>
          <w:highlight w:val="none"/>
          <w:lang w:val="en-US" w:eastAsia="zh-CN" w:bidi="ar-SA"/>
        </w:rPr>
        <w:t>………………………………………………………………………………………</w:t>
      </w:r>
      <w:r>
        <w:rPr>
          <w:rFonts w:hint="eastAsia" w:cs="宋体"/>
          <w:b/>
          <w:color w:val="auto"/>
          <w:sz w:val="21"/>
          <w:szCs w:val="21"/>
          <w:highlight w:val="none"/>
          <w:lang w:val="en-US" w:eastAsia="zh-CN" w:bidi="ar-SA"/>
        </w:rPr>
        <w:t>11</w:t>
      </w:r>
      <w:r>
        <w:rPr>
          <w:rFonts w:hint="eastAsia" w:hAnsi="宋体" w:cs="宋体"/>
          <w:b/>
          <w:color w:val="auto"/>
          <w:sz w:val="21"/>
          <w:szCs w:val="21"/>
          <w:highlight w:val="none"/>
          <w:lang w:val="en-US" w:eastAsia="zh-CN" w:bidi="ar-SA"/>
        </w:rPr>
        <w:t>分</w:t>
      </w:r>
    </w:p>
    <w:p>
      <w:pPr>
        <w:pStyle w:val="55"/>
        <w:adjustRightInd w:val="0"/>
        <w:snapToGrid w:val="0"/>
        <w:spacing w:before="31" w:beforeLines="10" w:after="31" w:afterLines="10" w:line="312"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由评委在打分前根据响应文件中的保证项目实施的技术力量和人力资源安排进行独立评审并独立打分：</w:t>
      </w:r>
    </w:p>
    <w:p>
      <w:pPr>
        <w:pStyle w:val="55"/>
        <w:adjustRightInd w:val="0"/>
        <w:snapToGrid w:val="0"/>
        <w:spacing w:before="31" w:beforeLines="10" w:after="31" w:afterLines="10" w:line="312"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一档（3分）：拟投入参与本项目的实施人员少于20人。</w:t>
      </w:r>
    </w:p>
    <w:p>
      <w:pPr>
        <w:pStyle w:val="55"/>
        <w:adjustRightInd w:val="0"/>
        <w:snapToGrid w:val="0"/>
        <w:spacing w:before="31" w:beforeLines="10" w:after="31" w:afterLines="10" w:line="312"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二档（7分）：</w:t>
      </w:r>
      <w:r>
        <w:rPr>
          <w:rFonts w:hint="eastAsia" w:ascii="宋体" w:hAnsi="宋体" w:cs="宋体"/>
          <w:color w:val="auto"/>
          <w:sz w:val="21"/>
          <w:szCs w:val="21"/>
          <w:highlight w:val="none"/>
        </w:rPr>
        <w:t>拟投入项目实施团队不少于</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人，</w:t>
      </w:r>
      <w:r>
        <w:rPr>
          <w:rFonts w:hint="eastAsia" w:ascii="宋体" w:hAnsi="宋体" w:cs="宋体"/>
          <w:color w:val="auto"/>
          <w:sz w:val="21"/>
          <w:szCs w:val="21"/>
          <w:highlight w:val="none"/>
          <w:lang w:val="en-US" w:eastAsia="zh-CN"/>
        </w:rPr>
        <w:t>其中</w:t>
      </w:r>
      <w:r>
        <w:rPr>
          <w:rFonts w:hint="eastAsia" w:ascii="宋体" w:hAnsi="宋体" w:cs="宋体"/>
          <w:color w:val="auto"/>
          <w:sz w:val="21"/>
          <w:szCs w:val="21"/>
          <w:highlight w:val="none"/>
        </w:rPr>
        <w:t>项目经理和技术负责人</w:t>
      </w:r>
      <w:r>
        <w:rPr>
          <w:rFonts w:hint="eastAsia" w:ascii="宋体" w:hAnsi="宋体" w:cs="宋体"/>
          <w:color w:val="auto"/>
          <w:sz w:val="21"/>
          <w:szCs w:val="21"/>
          <w:highlight w:val="none"/>
          <w:lang w:val="en-US" w:eastAsia="zh-CN"/>
        </w:rPr>
        <w:t>各1人，</w:t>
      </w:r>
      <w:r>
        <w:rPr>
          <w:rFonts w:hint="eastAsia" w:cs="宋体"/>
          <w:color w:val="auto"/>
          <w:sz w:val="21"/>
          <w:szCs w:val="21"/>
          <w:highlight w:val="none"/>
          <w:lang w:val="en-US" w:eastAsia="zh-CN"/>
        </w:rPr>
        <w:t>项目经理需</w:t>
      </w:r>
      <w:r>
        <w:rPr>
          <w:rFonts w:hint="eastAsia" w:hAnsi="宋体"/>
          <w:color w:val="auto"/>
          <w:sz w:val="21"/>
          <w:szCs w:val="21"/>
          <w:highlight w:val="none"/>
        </w:rPr>
        <w:t>同时具</w:t>
      </w:r>
      <w:r>
        <w:rPr>
          <w:rFonts w:hint="eastAsia" w:hAnsi="宋体"/>
          <w:color w:val="auto"/>
          <w:sz w:val="21"/>
          <w:szCs w:val="21"/>
          <w:highlight w:val="none"/>
          <w:lang w:val="en-US" w:eastAsia="zh-CN"/>
        </w:rPr>
        <w:t>备</w:t>
      </w:r>
      <w:r>
        <w:rPr>
          <w:rFonts w:hint="eastAsia" w:hAnsi="宋体"/>
          <w:color w:val="auto"/>
          <w:sz w:val="21"/>
          <w:szCs w:val="21"/>
          <w:highlight w:val="none"/>
        </w:rPr>
        <w:t>计算机类高级工程师和CDA数据分析师证书</w:t>
      </w:r>
      <w:r>
        <w:rPr>
          <w:rFonts w:hint="eastAsia" w:hAnsi="宋体"/>
          <w:color w:val="auto"/>
          <w:sz w:val="21"/>
          <w:szCs w:val="21"/>
          <w:highlight w:val="none"/>
          <w:lang w:eastAsia="zh-CN"/>
        </w:rPr>
        <w:t>，</w:t>
      </w:r>
      <w:r>
        <w:rPr>
          <w:rFonts w:hint="eastAsia" w:ascii="宋体" w:hAnsi="宋体" w:cs="宋体"/>
          <w:color w:val="auto"/>
          <w:sz w:val="21"/>
          <w:szCs w:val="21"/>
          <w:highlight w:val="none"/>
        </w:rPr>
        <w:t>实施工程师</w:t>
      </w:r>
      <w:r>
        <w:rPr>
          <w:rFonts w:hint="eastAsia" w:ascii="宋体" w:hAnsi="宋体" w:cs="宋体"/>
          <w:color w:val="auto"/>
          <w:sz w:val="21"/>
          <w:szCs w:val="21"/>
          <w:highlight w:val="none"/>
          <w:lang w:val="en-US" w:eastAsia="zh-CN"/>
        </w:rPr>
        <w:t>不少于5</w:t>
      </w:r>
      <w:r>
        <w:rPr>
          <w:rFonts w:hint="eastAsia" w:ascii="宋体" w:hAnsi="宋体" w:cs="宋体"/>
          <w:color w:val="auto"/>
          <w:sz w:val="21"/>
          <w:szCs w:val="21"/>
          <w:highlight w:val="none"/>
        </w:rPr>
        <w:t>人（</w:t>
      </w:r>
      <w:r>
        <w:rPr>
          <w:rFonts w:hint="eastAsia" w:ascii="宋体" w:hAnsi="宋体" w:cs="宋体"/>
          <w:color w:val="auto"/>
          <w:sz w:val="21"/>
          <w:szCs w:val="21"/>
          <w:highlight w:val="none"/>
          <w:lang w:val="en-US" w:eastAsia="zh-CN"/>
        </w:rPr>
        <w:t>其中1 人具备信息系统项目管理师及CISE证书、2人具备信息系统项目管理师证书、2人具备网络工程师证书</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施工人员不少于13人</w:t>
      </w:r>
      <w:r>
        <w:rPr>
          <w:rFonts w:hint="eastAsia"/>
          <w:color w:val="auto"/>
          <w:sz w:val="21"/>
          <w:szCs w:val="21"/>
          <w:highlight w:val="none"/>
          <w:lang w:val="en-US" w:eastAsia="zh-CN"/>
        </w:rPr>
        <w:t>(提供相关有效证明材料)。</w:t>
      </w:r>
    </w:p>
    <w:p>
      <w:pPr>
        <w:pStyle w:val="16"/>
        <w:spacing w:line="400" w:lineRule="exact"/>
        <w:ind w:firstLine="411" w:firstLineChars="196"/>
        <w:outlineLvl w:val="0"/>
        <w:rPr>
          <w:rFonts w:hint="eastAsia"/>
          <w:color w:val="auto"/>
          <w:sz w:val="21"/>
          <w:szCs w:val="21"/>
          <w:highlight w:val="none"/>
          <w:lang w:val="en-US" w:eastAsia="zh-CN"/>
        </w:rPr>
      </w:pPr>
      <w:r>
        <w:rPr>
          <w:rFonts w:hint="eastAsia"/>
          <w:color w:val="auto"/>
          <w:sz w:val="21"/>
          <w:szCs w:val="21"/>
          <w:highlight w:val="none"/>
          <w:lang w:val="en-US" w:eastAsia="zh-CN"/>
        </w:rPr>
        <w:t>三档（11分）：</w:t>
      </w:r>
      <w:r>
        <w:rPr>
          <w:rFonts w:hint="eastAsia" w:ascii="宋体" w:hAnsi="宋体" w:eastAsia="宋体" w:cs="宋体"/>
          <w:color w:val="auto"/>
          <w:sz w:val="21"/>
          <w:szCs w:val="21"/>
          <w:highlight w:val="none"/>
        </w:rPr>
        <w:t>拟投入项目实施团队不少于</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en-US" w:eastAsia="zh-CN"/>
        </w:rPr>
        <w:t>其中</w:t>
      </w:r>
      <w:r>
        <w:rPr>
          <w:rFonts w:hint="eastAsia" w:ascii="宋体" w:hAnsi="宋体" w:eastAsia="宋体" w:cs="宋体"/>
          <w:color w:val="auto"/>
          <w:sz w:val="21"/>
          <w:szCs w:val="21"/>
          <w:highlight w:val="none"/>
        </w:rPr>
        <w:t>项目经理和技术负责人</w:t>
      </w:r>
      <w:r>
        <w:rPr>
          <w:rFonts w:hint="eastAsia" w:ascii="宋体" w:hAnsi="宋体" w:eastAsia="宋体" w:cs="宋体"/>
          <w:color w:val="auto"/>
          <w:sz w:val="21"/>
          <w:szCs w:val="21"/>
          <w:highlight w:val="none"/>
          <w:lang w:val="en-US" w:eastAsia="zh-CN"/>
        </w:rPr>
        <w:t>各1人，</w:t>
      </w:r>
      <w:r>
        <w:rPr>
          <w:rFonts w:hint="eastAsia"/>
          <w:color w:val="auto"/>
          <w:sz w:val="21"/>
          <w:szCs w:val="21"/>
          <w:highlight w:val="none"/>
          <w:lang w:val="en-US" w:eastAsia="zh-CN"/>
        </w:rPr>
        <w:t>技术负责人需同时具备网络规划设计师(高级)及信息系统项目管理师(高级)证书，</w:t>
      </w:r>
      <w:r>
        <w:rPr>
          <w:rFonts w:hint="eastAsia" w:ascii="宋体" w:hAnsi="宋体" w:eastAsia="宋体" w:cs="宋体"/>
          <w:color w:val="auto"/>
          <w:sz w:val="21"/>
          <w:szCs w:val="21"/>
          <w:highlight w:val="none"/>
        </w:rPr>
        <w:t>实施工程师</w:t>
      </w:r>
      <w:r>
        <w:rPr>
          <w:rFonts w:hint="eastAsia" w:ascii="宋体" w:hAnsi="宋体" w:eastAsia="宋体" w:cs="宋体"/>
          <w:color w:val="auto"/>
          <w:sz w:val="21"/>
          <w:szCs w:val="21"/>
          <w:highlight w:val="none"/>
          <w:lang w:val="en-US" w:eastAsia="zh-CN"/>
        </w:rPr>
        <w:t>不少于9</w:t>
      </w:r>
      <w:r>
        <w:rPr>
          <w:rFonts w:hint="eastAsia" w:ascii="宋体" w:hAnsi="宋体" w:eastAsia="宋体" w:cs="宋体"/>
          <w:color w:val="auto"/>
          <w:sz w:val="21"/>
          <w:szCs w:val="21"/>
          <w:highlight w:val="none"/>
        </w:rPr>
        <w:t>人（</w:t>
      </w:r>
      <w:r>
        <w:rPr>
          <w:rFonts w:hint="eastAsia" w:ascii="宋体" w:hAnsi="宋体" w:eastAsia="宋体" w:cs="宋体"/>
          <w:color w:val="auto"/>
          <w:kern w:val="0"/>
          <w:sz w:val="21"/>
          <w:szCs w:val="21"/>
          <w:highlight w:val="none"/>
          <w:lang w:val="en-US" w:eastAsia="zh-CN" w:bidi="ar"/>
        </w:rPr>
        <w:t>其中1人具备信息系统项目管理师及CISE证书,3人具备信息系统项目管理师证书、4人具备网络工程师证书、1人具备CISO证书</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施工人</w:t>
      </w:r>
      <w:r>
        <w:rPr>
          <w:rFonts w:hint="eastAsia" w:ascii="宋体" w:hAnsi="宋体" w:cs="宋体"/>
          <w:color w:val="auto"/>
          <w:sz w:val="21"/>
          <w:szCs w:val="21"/>
          <w:highlight w:val="none"/>
          <w:lang w:val="en-US" w:eastAsia="zh-CN"/>
        </w:rPr>
        <w:t>员不少于19人</w:t>
      </w:r>
      <w:r>
        <w:rPr>
          <w:rFonts w:hint="eastAsia"/>
          <w:color w:val="auto"/>
          <w:sz w:val="21"/>
          <w:szCs w:val="21"/>
          <w:highlight w:val="none"/>
          <w:lang w:val="en-US" w:eastAsia="zh-CN"/>
        </w:rPr>
        <w:t>(提供相关有效证明材料)。</w:t>
      </w:r>
    </w:p>
    <w:p>
      <w:pPr>
        <w:pStyle w:val="16"/>
        <w:spacing w:line="400" w:lineRule="exact"/>
        <w:ind w:firstLine="411" w:firstLineChars="196"/>
        <w:outlineLvl w:val="0"/>
        <w:rPr>
          <w:rFonts w:hint="eastAsia" w:hAnsi="宋体" w:cs="宋体"/>
          <w:b/>
          <w:bCs/>
          <w:color w:val="auto"/>
          <w:szCs w:val="21"/>
          <w:highlight w:val="none"/>
        </w:rPr>
      </w:pPr>
      <w:r>
        <w:rPr>
          <w:rFonts w:hint="eastAsia"/>
          <w:color w:val="auto"/>
          <w:sz w:val="21"/>
          <w:szCs w:val="21"/>
          <w:highlight w:val="none"/>
          <w:lang w:val="en-US" w:eastAsia="zh-CN"/>
        </w:rPr>
        <w:t>注：投标时提供相关实施人员证书复印件以及</w:t>
      </w:r>
      <w:r>
        <w:rPr>
          <w:rFonts w:hint="eastAsia"/>
          <w:color w:val="auto"/>
          <w:sz w:val="21"/>
          <w:szCs w:val="21"/>
          <w:highlight w:val="none"/>
        </w:rPr>
        <w:t>由县级以上（含县级）社会保险经办机构出具的</w:t>
      </w:r>
      <w:r>
        <w:rPr>
          <w:rFonts w:hint="eastAsia"/>
          <w:color w:val="auto"/>
          <w:sz w:val="21"/>
          <w:szCs w:val="21"/>
          <w:highlight w:val="none"/>
          <w:lang w:eastAsia="zh-CN"/>
        </w:rPr>
        <w:t>供应商</w:t>
      </w:r>
      <w:r>
        <w:rPr>
          <w:rFonts w:hint="eastAsia" w:ascii="宋体" w:hAnsi="宋体" w:eastAsia="宋体" w:cs="宋体"/>
          <w:bCs/>
          <w:color w:val="auto"/>
          <w:szCs w:val="21"/>
          <w:highlight w:val="none"/>
        </w:rPr>
        <w:t>或</w:t>
      </w:r>
      <w:r>
        <w:rPr>
          <w:rFonts w:hint="eastAsia" w:hAnsi="宋体" w:cs="宋体"/>
          <w:bCs/>
          <w:color w:val="auto"/>
          <w:szCs w:val="21"/>
          <w:highlight w:val="none"/>
          <w:lang w:eastAsia="zh-CN"/>
        </w:rPr>
        <w:t>供应商</w:t>
      </w:r>
      <w:r>
        <w:rPr>
          <w:rFonts w:hint="eastAsia" w:ascii="宋体" w:hAnsi="宋体" w:eastAsia="宋体" w:cs="宋体"/>
          <w:bCs/>
          <w:color w:val="auto"/>
          <w:szCs w:val="21"/>
          <w:highlight w:val="none"/>
        </w:rPr>
        <w:t>上级单位（直接管理关系或法人关系）</w:t>
      </w:r>
      <w:r>
        <w:rPr>
          <w:rFonts w:hint="eastAsia"/>
          <w:color w:val="auto"/>
          <w:sz w:val="21"/>
          <w:szCs w:val="21"/>
          <w:highlight w:val="none"/>
        </w:rPr>
        <w:t>为</w:t>
      </w:r>
      <w:r>
        <w:rPr>
          <w:rFonts w:hint="eastAsia"/>
          <w:color w:val="auto"/>
          <w:sz w:val="21"/>
          <w:szCs w:val="21"/>
          <w:highlight w:val="none"/>
          <w:lang w:val="en-US" w:eastAsia="zh-CN"/>
        </w:rPr>
        <w:t>实施团队人员</w:t>
      </w:r>
      <w:r>
        <w:rPr>
          <w:rFonts w:hint="eastAsia"/>
          <w:color w:val="auto"/>
          <w:sz w:val="21"/>
          <w:szCs w:val="21"/>
          <w:highlight w:val="none"/>
        </w:rPr>
        <w:t>交纳的</w:t>
      </w:r>
      <w:r>
        <w:rPr>
          <w:rFonts w:hint="eastAsia"/>
          <w:color w:val="auto"/>
          <w:sz w:val="21"/>
          <w:szCs w:val="21"/>
          <w:highlight w:val="none"/>
          <w:lang w:eastAsia="zh-CN"/>
        </w:rPr>
        <w:t>2024年1月以来</w:t>
      </w:r>
      <w:r>
        <w:rPr>
          <w:rFonts w:hint="eastAsia"/>
          <w:color w:val="auto"/>
          <w:sz w:val="21"/>
          <w:szCs w:val="21"/>
          <w:highlight w:val="none"/>
        </w:rPr>
        <w:t>任意一个月社保证明复印件</w:t>
      </w:r>
      <w:r>
        <w:rPr>
          <w:rFonts w:hint="eastAsia"/>
          <w:color w:val="auto"/>
          <w:sz w:val="21"/>
          <w:szCs w:val="21"/>
          <w:highlight w:val="none"/>
          <w:lang w:val="en-US" w:eastAsia="zh-CN"/>
        </w:rPr>
        <w:t>并加盖供应商CA签章，未提供，不得分。</w:t>
      </w:r>
    </w:p>
    <w:p>
      <w:pPr>
        <w:pStyle w:val="16"/>
        <w:spacing w:line="400" w:lineRule="exact"/>
        <w:ind w:firstLine="413" w:firstLineChars="196"/>
        <w:outlineLvl w:val="0"/>
        <w:rPr>
          <w:rFonts w:hAnsi="宋体" w:cs="宋体"/>
          <w:b/>
          <w:bCs/>
          <w:color w:val="auto"/>
          <w:szCs w:val="21"/>
          <w:highlight w:val="none"/>
        </w:rPr>
      </w:pPr>
      <w:r>
        <w:rPr>
          <w:rFonts w:hint="eastAsia" w:hAnsi="宋体" w:cs="宋体"/>
          <w:b/>
          <w:bCs/>
          <w:color w:val="auto"/>
          <w:szCs w:val="21"/>
          <w:highlight w:val="none"/>
          <w:lang w:val="en-US" w:eastAsia="zh-CN"/>
        </w:rPr>
        <w:t>5</w:t>
      </w:r>
      <w:r>
        <w:rPr>
          <w:rFonts w:hint="eastAsia" w:hAnsi="宋体" w:cs="宋体"/>
          <w:b/>
          <w:bCs/>
          <w:color w:val="auto"/>
          <w:szCs w:val="21"/>
          <w:highlight w:val="none"/>
        </w:rPr>
        <w:t>、服务保障</w:t>
      </w:r>
      <w:r>
        <w:rPr>
          <w:rFonts w:hint="eastAsia" w:hAnsi="宋体" w:cs="宋体"/>
          <w:b/>
          <w:bCs/>
          <w:color w:val="auto"/>
          <w:szCs w:val="21"/>
          <w:highlight w:val="none"/>
          <w:lang w:val="en-US" w:eastAsia="zh-CN"/>
        </w:rPr>
        <w:t>方案</w:t>
      </w:r>
      <w:r>
        <w:rPr>
          <w:rFonts w:hint="eastAsia" w:hAnsi="宋体" w:cs="宋体"/>
          <w:b/>
          <w:bCs/>
          <w:color w:val="auto"/>
          <w:szCs w:val="21"/>
          <w:highlight w:val="none"/>
        </w:rPr>
        <w:t>分………………………………………………………………………………………2</w:t>
      </w:r>
      <w:r>
        <w:rPr>
          <w:rFonts w:hint="eastAsia" w:hAnsi="宋体" w:cs="宋体"/>
          <w:b/>
          <w:bCs/>
          <w:color w:val="auto"/>
          <w:szCs w:val="21"/>
          <w:highlight w:val="none"/>
          <w:lang w:val="en-US" w:eastAsia="zh-CN"/>
        </w:rPr>
        <w:t>0</w:t>
      </w:r>
      <w:r>
        <w:rPr>
          <w:rFonts w:hint="eastAsia" w:hAnsi="宋体" w:cs="宋体"/>
          <w:b/>
          <w:bCs/>
          <w:color w:val="auto"/>
          <w:szCs w:val="21"/>
          <w:highlight w:val="none"/>
        </w:rPr>
        <w:t>分</w:t>
      </w:r>
    </w:p>
    <w:p>
      <w:pPr>
        <w:pStyle w:val="55"/>
        <w:adjustRightInd w:val="0"/>
        <w:snapToGrid w:val="0"/>
        <w:spacing w:before="31" w:beforeLines="10" w:after="31" w:afterLines="10" w:line="312" w:lineRule="auto"/>
        <w:ind w:firstLine="200" w:firstLineChars="100"/>
        <w:rPr>
          <w:rFonts w:hint="eastAsia"/>
          <w:color w:val="auto"/>
          <w:sz w:val="21"/>
          <w:szCs w:val="21"/>
          <w:highlight w:val="none"/>
          <w:lang w:val="en-US" w:eastAsia="zh-CN"/>
        </w:rPr>
      </w:pPr>
      <w:r>
        <w:rPr>
          <w:rFonts w:hint="eastAsia" w:hAnsi="宋体" w:cs="宋体"/>
          <w:color w:val="auto"/>
          <w:highlight w:val="none"/>
        </w:rPr>
        <w:t xml:space="preserve">  </w:t>
      </w:r>
      <w:r>
        <w:rPr>
          <w:rFonts w:hint="eastAsia"/>
          <w:color w:val="auto"/>
          <w:sz w:val="21"/>
          <w:szCs w:val="21"/>
          <w:highlight w:val="none"/>
          <w:lang w:val="en-US" w:eastAsia="zh-CN"/>
        </w:rPr>
        <w:t>评委根据各供应商响应文件中服务保障方案内容的完整性、可行性、到达故障现场时间、故障出现解决方案、定期维护（注明时间）、免费技术培训方案、免费维护期外维护方案、其他优惠措施等内容独立打分。</w:t>
      </w:r>
    </w:p>
    <w:p>
      <w:pPr>
        <w:pStyle w:val="55"/>
        <w:adjustRightInd w:val="0"/>
        <w:snapToGrid w:val="0"/>
        <w:spacing w:before="31" w:beforeLines="10" w:after="31" w:afterLines="10" w:line="312"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一档（0分）：未提供服务保障方案或提供的服务保障方案不满足采购需求的；</w:t>
      </w:r>
    </w:p>
    <w:p>
      <w:pPr>
        <w:pStyle w:val="55"/>
        <w:adjustRightInd w:val="0"/>
        <w:snapToGrid w:val="0"/>
        <w:spacing w:before="31" w:beforeLines="10" w:after="31" w:afterLines="10" w:line="312"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二档（6分）：服务保障方案基本合理、可行，保障响应措施、服务经验一般，方案一般；</w:t>
      </w:r>
    </w:p>
    <w:p>
      <w:pPr>
        <w:pStyle w:val="55"/>
        <w:adjustRightInd w:val="0"/>
        <w:snapToGrid w:val="0"/>
        <w:spacing w:before="31" w:beforeLines="10" w:after="31" w:afterLines="10" w:line="312"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三档（13分）：供应商提供的方案在满足二档的情况下，人员配备全面，服务流程合理，服务期限满足项目需求，提供的故障出现解决方案、定期维护（注明时间）、服务期外维护方案详细可行，且提供有具体的培训计划。供应商或供应商上级单位（直接管理关系或法人关系）获得有效的服务质量评价认证四A证书（GB/T36733）（认证范围涵盖计算机软件开发、信息系统集成建设及运维）(提供相关有效证明材料)。 </w:t>
      </w:r>
    </w:p>
    <w:p>
      <w:pPr>
        <w:pStyle w:val="16"/>
        <w:spacing w:line="400" w:lineRule="exact"/>
        <w:ind w:firstLine="420" w:firstLineChars="200"/>
        <w:rPr>
          <w:rFonts w:hAnsi="宋体" w:cs="宋体"/>
          <w:color w:val="auto"/>
          <w:highlight w:val="none"/>
        </w:rPr>
      </w:pPr>
      <w:r>
        <w:rPr>
          <w:rFonts w:hint="eastAsia"/>
          <w:color w:val="auto"/>
          <w:sz w:val="21"/>
          <w:szCs w:val="21"/>
          <w:highlight w:val="none"/>
          <w:lang w:val="en-US" w:eastAsia="zh-CN"/>
        </w:rPr>
        <w:t>四档（20分）：供应商提供的方案在满足三档的情况下，人员配备全面并具有针对性，提供有明确完善的用户回访、保密承诺及针对性的故障解决内容，方案表述清晰详细，可操作性强；供应商培训计划内容详实，安排合理。供应商或供应商上级单位（直接管理关系或法人关系）获得有效的服务质量评价认证五A证书（GB/T36733）（认证范围涵盖计算机软件开发、信息系统集成建设及运维）(提供相关有效证明材料)。</w:t>
      </w:r>
    </w:p>
    <w:p>
      <w:pPr>
        <w:pStyle w:val="16"/>
        <w:spacing w:line="400" w:lineRule="exact"/>
        <w:ind w:firstLine="413" w:firstLineChars="196"/>
        <w:outlineLvl w:val="0"/>
        <w:rPr>
          <w:rFonts w:hAnsi="宋体" w:cs="宋体"/>
          <w:b/>
          <w:bCs/>
          <w:color w:val="auto"/>
          <w:szCs w:val="21"/>
          <w:highlight w:val="none"/>
        </w:rPr>
      </w:pPr>
      <w:r>
        <w:rPr>
          <w:rFonts w:hint="eastAsia" w:hAnsi="宋体" w:cs="宋体"/>
          <w:b/>
          <w:bCs/>
          <w:color w:val="auto"/>
          <w:szCs w:val="21"/>
          <w:highlight w:val="none"/>
          <w:lang w:val="en-US" w:eastAsia="zh-CN"/>
        </w:rPr>
        <w:t>6</w:t>
      </w:r>
      <w:r>
        <w:rPr>
          <w:rFonts w:hint="eastAsia" w:hAnsi="宋体" w:cs="宋体"/>
          <w:b/>
          <w:bCs/>
          <w:color w:val="auto"/>
          <w:szCs w:val="21"/>
          <w:highlight w:val="none"/>
        </w:rPr>
        <w:t>、履约能力分…………………………………………………………………………………………</w:t>
      </w:r>
      <w:r>
        <w:rPr>
          <w:rFonts w:hint="eastAsia" w:hAnsi="宋体" w:cs="宋体"/>
          <w:b/>
          <w:bCs/>
          <w:color w:val="auto"/>
          <w:szCs w:val="21"/>
          <w:highlight w:val="none"/>
          <w:lang w:val="en-US" w:eastAsia="zh-CN"/>
        </w:rPr>
        <w:t>7</w:t>
      </w:r>
      <w:r>
        <w:rPr>
          <w:rFonts w:hint="eastAsia" w:hAnsi="宋体" w:cs="宋体"/>
          <w:b/>
          <w:bCs/>
          <w:color w:val="auto"/>
          <w:szCs w:val="21"/>
          <w:highlight w:val="none"/>
        </w:rPr>
        <w:t>分</w:t>
      </w:r>
    </w:p>
    <w:p>
      <w:pPr>
        <w:pStyle w:val="55"/>
        <w:adjustRightInd w:val="0"/>
        <w:snapToGrid w:val="0"/>
        <w:spacing w:before="31" w:beforeLines="10" w:after="31" w:afterLines="10" w:line="312" w:lineRule="auto"/>
        <w:ind w:firstLine="0"/>
        <w:rPr>
          <w:rFonts w:hint="eastAsia"/>
          <w:color w:val="auto"/>
          <w:sz w:val="21"/>
          <w:szCs w:val="21"/>
          <w:highlight w:val="none"/>
          <w:lang w:val="en-US" w:eastAsia="zh-CN"/>
        </w:rPr>
      </w:pPr>
      <w:r>
        <w:rPr>
          <w:rFonts w:hint="eastAsia" w:ascii="宋体" w:hAnsi="宋体" w:cs="宋体"/>
          <w:color w:val="auto"/>
          <w:szCs w:val="21"/>
          <w:highlight w:val="none"/>
        </w:rPr>
        <w:t xml:space="preserve">    </w:t>
      </w:r>
      <w:r>
        <w:rPr>
          <w:color w:val="auto"/>
          <w:sz w:val="21"/>
          <w:szCs w:val="21"/>
          <w:highlight w:val="none"/>
          <w:lang w:val="en-US" w:eastAsia="zh-CN"/>
        </w:rPr>
        <w:t>（</w:t>
      </w:r>
      <w:r>
        <w:rPr>
          <w:rFonts w:hint="eastAsia"/>
          <w:color w:val="auto"/>
          <w:sz w:val="21"/>
          <w:szCs w:val="21"/>
          <w:highlight w:val="none"/>
          <w:lang w:val="en-US" w:eastAsia="zh-CN"/>
        </w:rPr>
        <w:t>1</w:t>
      </w:r>
      <w:r>
        <w:rPr>
          <w:color w:val="auto"/>
          <w:sz w:val="21"/>
          <w:szCs w:val="21"/>
          <w:highlight w:val="none"/>
          <w:lang w:val="en-US" w:eastAsia="zh-CN"/>
        </w:rPr>
        <w:t>）</w:t>
      </w:r>
      <w:r>
        <w:rPr>
          <w:rFonts w:hint="eastAsia"/>
          <w:color w:val="auto"/>
          <w:sz w:val="21"/>
          <w:szCs w:val="21"/>
          <w:highlight w:val="none"/>
          <w:lang w:val="en-US" w:eastAsia="zh-CN"/>
        </w:rPr>
        <w:t>供应商或供应商上级单位（直接管理关系或法人关系）获得有效的信息安全管理体系认证证书(ISO/IEC 27001)（认证范围涵盖平台运维、信息系统集成建设及运维）的，得2分（提供有效的证书复印件）。</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 xml:space="preserve">    </w:t>
      </w:r>
      <w:r>
        <w:rPr>
          <w:color w:val="auto"/>
          <w:sz w:val="21"/>
          <w:szCs w:val="21"/>
          <w:highlight w:val="none"/>
          <w:lang w:val="en-US" w:eastAsia="zh-CN"/>
        </w:rPr>
        <w:t>（</w:t>
      </w:r>
      <w:r>
        <w:rPr>
          <w:rFonts w:hint="eastAsia"/>
          <w:color w:val="auto"/>
          <w:sz w:val="21"/>
          <w:szCs w:val="21"/>
          <w:highlight w:val="none"/>
          <w:lang w:val="en-US" w:eastAsia="zh-CN"/>
        </w:rPr>
        <w:t>2</w:t>
      </w:r>
      <w:r>
        <w:rPr>
          <w:color w:val="auto"/>
          <w:sz w:val="21"/>
          <w:szCs w:val="21"/>
          <w:highlight w:val="none"/>
          <w:lang w:val="en-US" w:eastAsia="zh-CN"/>
        </w:rPr>
        <w:t>）</w:t>
      </w:r>
      <w:r>
        <w:rPr>
          <w:rFonts w:hint="eastAsia"/>
          <w:color w:val="auto"/>
          <w:sz w:val="21"/>
          <w:szCs w:val="21"/>
          <w:highlight w:val="none"/>
          <w:lang w:val="en-US" w:eastAsia="zh-CN"/>
        </w:rPr>
        <w:t>供应商或供应商上级单位（直接管理关系或法人关系）获得有效的顾客满意度测评认证证书（GB/T19039）（认证范围涵盖计算机软件开发、信息系统集成建设及运维）,三星认证得1分（提供有效的证书复印件），四星认证得2分（提供有效的证书复印件），五星认证得3分（提供有效的证书复印件）。</w:t>
      </w:r>
    </w:p>
    <w:p>
      <w:pPr>
        <w:pStyle w:val="10"/>
        <w:spacing w:line="400" w:lineRule="exact"/>
        <w:ind w:firstLine="420" w:firstLineChars="200"/>
        <w:rPr>
          <w:rFonts w:hAnsi="宋体"/>
          <w:bCs/>
          <w:color w:val="auto"/>
          <w:szCs w:val="21"/>
          <w:highlight w:val="none"/>
        </w:rPr>
      </w:pPr>
      <w:r>
        <w:rPr>
          <w:rFonts w:hint="eastAsia"/>
          <w:color w:val="auto"/>
          <w:sz w:val="21"/>
          <w:szCs w:val="21"/>
          <w:highlight w:val="none"/>
          <w:lang w:val="en-US" w:eastAsia="zh-CN"/>
        </w:rPr>
        <w:t>（3）供应商自2021年1月1日（以合同签订时间为准）至今已完成或正在实施的与本项目内容相类似的成功案例或业绩，以中标（成交）通知书或采购合同复印件为准（能清晰反映所销售的服务项目名称、种类、金额)，每提供一项得1分，满分2分。</w:t>
      </w:r>
    </w:p>
    <w:p>
      <w:pPr>
        <w:spacing w:line="400" w:lineRule="exact"/>
        <w:rPr>
          <w:rFonts w:hint="default" w:ascii="宋体" w:hAnsi="宋体" w:eastAsia="宋体" w:cs="宋体"/>
          <w:b/>
          <w:bCs/>
          <w:color w:val="auto"/>
          <w:szCs w:val="21"/>
          <w:highlight w:val="none"/>
          <w:lang w:val="en-US" w:eastAsia="zh-CN"/>
        </w:rPr>
      </w:pPr>
      <w:r>
        <w:rPr>
          <w:rFonts w:hint="eastAsia" w:hAnsi="宋体" w:cs="宋体"/>
          <w:color w:val="auto"/>
          <w:szCs w:val="21"/>
          <w:highlight w:val="none"/>
        </w:rPr>
        <w:t xml:space="preserve">    </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.综合得分＝1+2+3+4</w:t>
      </w:r>
      <w:r>
        <w:rPr>
          <w:rFonts w:hint="eastAsia" w:ascii="宋体" w:hAnsi="宋体" w:cs="宋体"/>
          <w:b/>
          <w:bCs/>
          <w:color w:val="auto"/>
          <w:szCs w:val="21"/>
          <w:highlight w:val="none"/>
          <w:lang w:val="en-US" w:eastAsia="zh-CN"/>
        </w:rPr>
        <w:t>+5+6</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三、推荐成交候选供应商原则</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（1）磋商小组应当根据综合评分情况，按照综合得分由高到低顺序推荐成交候选供应商，并编写评审报告。磋商小组根据综合得分由高到低排列次序，若得分相同时，依次按照</w:t>
      </w:r>
      <w:r>
        <w:rPr>
          <w:rFonts w:hint="eastAsia" w:hAnsi="宋体" w:cs="宋体"/>
          <w:b/>
          <w:bCs/>
          <w:color w:val="auto"/>
          <w:szCs w:val="21"/>
          <w:highlight w:val="none"/>
        </w:rPr>
        <w:t>服务保障</w:t>
      </w:r>
      <w:r>
        <w:rPr>
          <w:rFonts w:hint="eastAsia" w:hAnsi="宋体" w:cs="宋体"/>
          <w:b/>
          <w:bCs/>
          <w:color w:val="auto"/>
          <w:szCs w:val="21"/>
          <w:highlight w:val="none"/>
          <w:lang w:val="en-US" w:eastAsia="zh-CN"/>
        </w:rPr>
        <w:t>方案</w:t>
      </w:r>
      <w:r>
        <w:rPr>
          <w:rFonts w:hint="eastAsia" w:ascii="宋体" w:hAnsi="宋体" w:cs="宋体"/>
          <w:b/>
          <w:bCs/>
          <w:color w:val="auto"/>
          <w:szCs w:val="21"/>
          <w:highlight w:val="none"/>
        </w:rPr>
        <w:t>、</w:t>
      </w:r>
      <w:r>
        <w:rPr>
          <w:rFonts w:hint="eastAsia" w:hAnsi="宋体" w:cs="宋体"/>
          <w:b/>
          <w:color w:val="auto"/>
          <w:szCs w:val="21"/>
          <w:highlight w:val="none"/>
          <w:lang w:val="en-US" w:eastAsia="zh-CN"/>
        </w:rPr>
        <w:t>项目实施</w:t>
      </w:r>
      <w:r>
        <w:rPr>
          <w:rFonts w:hint="eastAsia" w:ascii="宋体" w:hAnsi="宋体" w:cs="宋体"/>
          <w:b/>
          <w:bCs/>
          <w:color w:val="auto"/>
          <w:szCs w:val="21"/>
          <w:highlight w:val="none"/>
        </w:rPr>
        <w:t>、</w:t>
      </w:r>
      <w:r>
        <w:rPr>
          <w:rFonts w:hint="eastAsia" w:ascii="宋体" w:hAnsi="宋体" w:cs="宋体"/>
          <w:b/>
          <w:color w:val="auto"/>
          <w:szCs w:val="21"/>
          <w:highlight w:val="none"/>
        </w:rPr>
        <w:t>服务（技术）响应</w:t>
      </w:r>
      <w:r>
        <w:rPr>
          <w:rFonts w:hint="eastAsia" w:ascii="宋体" w:hAnsi="宋体" w:cs="宋体"/>
          <w:b/>
          <w:bCs/>
          <w:color w:val="auto"/>
          <w:szCs w:val="21"/>
          <w:highlight w:val="none"/>
        </w:rPr>
        <w:t>得分由高到低顺序排列。</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（2）采购单位应当确定磋商小组推荐排名第一的成交候选人为成交供应商。</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（3）排名第一的成交候选人放弃成交、因不可抗力提出不能履行合同，或者磋商文件规定应当提交履约保证金而在规定的期限内未能提交的，采购单位可以确定排名第二的成交候选人为成交供应商。</w:t>
      </w:r>
    </w:p>
    <w:p>
      <w:pPr>
        <w:pStyle w:val="10"/>
        <w:spacing w:line="360" w:lineRule="auto"/>
        <w:rPr>
          <w:rFonts w:ascii="宋体" w:hAnsi="宋体" w:cs="宋体"/>
          <w:color w:val="auto"/>
          <w:szCs w:val="21"/>
          <w:highlight w:val="none"/>
        </w:rPr>
        <w:sectPr>
          <w:headerReference r:id="rId4" w:type="default"/>
          <w:footerReference r:id="rId5" w:type="default"/>
          <w:pgSz w:w="11906" w:h="16838"/>
          <w:pgMar w:top="1134" w:right="1134" w:bottom="1134" w:left="1134" w:header="851" w:footer="992" w:gutter="0"/>
          <w:cols w:space="720" w:num="1"/>
          <w:docGrid w:type="lines" w:linePitch="312" w:charSpace="0"/>
        </w:sectPr>
      </w:pPr>
      <w:r>
        <w:rPr>
          <w:rFonts w:hint="eastAsia" w:ascii="宋体" w:hAnsi="宋体" w:cs="宋体"/>
          <w:b/>
          <w:bCs/>
          <w:color w:val="auto"/>
          <w:szCs w:val="21"/>
          <w:highlight w:val="none"/>
        </w:rPr>
        <w:t xml:space="preserve">    （4）排名第二的成交候选人因前款规定的同样原因不能签订合同的，采购单位可以确定排名第三的成交候选人为成交供应商。</w:t>
      </w:r>
    </w:p>
    <w:p>
      <w:pPr>
        <w:spacing w:line="280" w:lineRule="exact"/>
        <w:rPr>
          <w:rFonts w:ascii="宋体" w:hAnsi="宋体" w:cs="宋体"/>
          <w:b/>
          <w:bCs/>
          <w:color w:val="auto"/>
          <w:sz w:val="24"/>
          <w:highlight w:val="none"/>
        </w:rPr>
      </w:pPr>
      <w:r>
        <w:rPr>
          <w:rFonts w:hint="eastAsia" w:ascii="宋体" w:hAnsi="宋体" w:cs="宋体"/>
          <w:b/>
          <w:bCs/>
          <w:color w:val="auto"/>
          <w:sz w:val="24"/>
          <w:highlight w:val="none"/>
        </w:rPr>
        <w:t>附表</w:t>
      </w:r>
    </w:p>
    <w:p>
      <w:pPr>
        <w:widowControl/>
        <w:spacing w:beforeLines="50" w:afterLines="50" w:line="280" w:lineRule="exact"/>
        <w:jc w:val="center"/>
        <w:rPr>
          <w:rFonts w:ascii="宋体" w:hAnsi="宋体" w:cs="宋体"/>
          <w:b/>
          <w:bCs/>
          <w:color w:val="auto"/>
          <w:kern w:val="0"/>
          <w:sz w:val="30"/>
          <w:szCs w:val="30"/>
          <w:highlight w:val="none"/>
        </w:rPr>
      </w:pPr>
      <w:bookmarkStart w:id="149" w:name="_Toc28361_WPSOffice_Level2"/>
      <w:r>
        <w:rPr>
          <w:rFonts w:hint="eastAsia" w:ascii="宋体" w:hAnsi="宋体" w:cs="宋体"/>
          <w:b/>
          <w:bCs/>
          <w:color w:val="auto"/>
          <w:kern w:val="0"/>
          <w:sz w:val="30"/>
          <w:szCs w:val="30"/>
          <w:highlight w:val="none"/>
        </w:rPr>
        <w:t>统计上大中小微型企业划分标准</w:t>
      </w:r>
      <w:bookmarkEnd w:id="149"/>
    </w:p>
    <w:tbl>
      <w:tblPr>
        <w:tblStyle w:val="2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1125" w:type="dxa"/>
            <w:shd w:val="clear" w:color="auto"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pPr>
              <w:keepNext w:val="0"/>
              <w:keepLines w:val="0"/>
              <w:widowControl/>
              <w:suppressLineNumbers w:val="0"/>
              <w:spacing w:before="0" w:beforeAutospacing="0" w:after="0" w:afterAutospacing="0" w:line="280" w:lineRule="exact"/>
              <w:ind w:left="-1" w:leftChars="-1" w:right="0"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pPr>
              <w:keepNext w:val="0"/>
              <w:keepLines w:val="0"/>
              <w:widowControl/>
              <w:suppressLineNumbers w:val="0"/>
              <w:spacing w:before="0" w:beforeAutospacing="0" w:after="0" w:afterAutospacing="0" w:line="280" w:lineRule="exact"/>
              <w:ind w:left="-1" w:leftChars="-1" w:right="0"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keepNext w:val="0"/>
              <w:keepLines w:val="0"/>
              <w:widowControl/>
              <w:suppressLineNumbers w:val="0"/>
              <w:spacing w:before="0" w:beforeAutospacing="0" w:after="0" w:afterAutospacing="0" w:line="280" w:lineRule="exact"/>
              <w:ind w:left="-1" w:leftChars="-1" w:right="0"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keepNext w:val="0"/>
              <w:keepLines w:val="0"/>
              <w:widowControl/>
              <w:suppressLineNumbers w:val="0"/>
              <w:spacing w:before="0" w:beforeAutospacing="0" w:after="0" w:afterAutospacing="0" w:line="280" w:lineRule="exact"/>
              <w:ind w:left="1" w:leftChars="-51" w:right="0"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keepNext w:val="0"/>
              <w:keepLines w:val="0"/>
              <w:widowControl/>
              <w:suppressLineNumbers w:val="0"/>
              <w:spacing w:before="0" w:beforeAutospacing="0" w:after="0" w:afterAutospacing="0" w:line="280" w:lineRule="exact"/>
              <w:ind w:left="1" w:leftChars="-51" w:right="0"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keepNext w:val="0"/>
              <w:keepLines w:val="0"/>
              <w:widowControl/>
              <w:suppressLineNumbers w:val="0"/>
              <w:spacing w:before="0" w:beforeAutospacing="0" w:after="0" w:afterAutospacing="0" w:line="280" w:lineRule="exact"/>
              <w:ind w:left="1" w:leftChars="-51" w:right="0"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keepNext w:val="0"/>
              <w:keepLines w:val="0"/>
              <w:widowControl/>
              <w:suppressLineNumbers w:val="0"/>
              <w:spacing w:before="0" w:beforeAutospacing="0" w:after="0" w:afterAutospacing="0" w:line="280" w:lineRule="exact"/>
              <w:ind w:left="1" w:leftChars="-51" w:right="0"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spacing w:val="-12"/>
                <w:kern w:val="0"/>
                <w:sz w:val="18"/>
                <w:szCs w:val="18"/>
                <w:highlight w:val="none"/>
              </w:rPr>
            </w:pP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pPr>
              <w:keepNext w:val="0"/>
              <w:keepLines w:val="0"/>
              <w:widowControl/>
              <w:suppressLineNumbers w:val="0"/>
              <w:spacing w:before="0" w:beforeAutospacing="0" w:after="0" w:afterAutospacing="0" w:line="280" w:lineRule="exact"/>
              <w:ind w:left="1" w:leftChars="-51" w:right="0"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keepNext w:val="0"/>
              <w:keepLines w:val="0"/>
              <w:widowControl/>
              <w:suppressLineNumbers w:val="0"/>
              <w:spacing w:before="0" w:beforeAutospacing="0" w:after="0" w:afterAutospacing="0" w:line="280" w:lineRule="exact"/>
              <w:ind w:left="1" w:leftChars="-51" w:right="0"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keepNext w:val="0"/>
              <w:keepLines w:val="0"/>
              <w:widowControl/>
              <w:suppressLineNumbers w:val="0"/>
              <w:spacing w:before="0" w:beforeAutospacing="0" w:after="0" w:afterAutospacing="0" w:line="280" w:lineRule="exact"/>
              <w:ind w:left="1" w:leftChars="-51" w:right="0"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280" w:lineRule="exact"/>
        <w:rPr>
          <w:rFonts w:ascii="宋体" w:hAnsi="宋体" w:cs="宋体"/>
          <w:color w:val="auto"/>
          <w:spacing w:val="8"/>
          <w:kern w:val="0"/>
          <w:sz w:val="24"/>
          <w:highlight w:val="none"/>
        </w:rPr>
      </w:pPr>
    </w:p>
    <w:p>
      <w:pPr>
        <w:widowControl/>
        <w:spacing w:line="280" w:lineRule="exact"/>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说明：</w:t>
      </w:r>
    </w:p>
    <w:p>
      <w:pPr>
        <w:pStyle w:val="16"/>
        <w:adjustRightInd w:val="0"/>
        <w:spacing w:line="280" w:lineRule="exact"/>
        <w:ind w:firstLine="512" w:firstLineChars="200"/>
        <w:contextualSpacing/>
        <w:rPr>
          <w:rFonts w:hAnsi="宋体" w:cs="宋体"/>
          <w:color w:val="auto"/>
          <w:spacing w:val="8"/>
          <w:kern w:val="0"/>
          <w:sz w:val="24"/>
          <w:szCs w:val="24"/>
          <w:highlight w:val="none"/>
        </w:rPr>
      </w:pPr>
      <w:r>
        <w:rPr>
          <w:rFonts w:hint="eastAsia" w:hAnsi="宋体" w:cs="宋体"/>
          <w:color w:val="auto"/>
          <w:spacing w:val="8"/>
          <w:kern w:val="0"/>
          <w:sz w:val="24"/>
          <w:szCs w:val="24"/>
          <w:highlight w:val="none"/>
        </w:rPr>
        <w:t>1.大型、中型和小型企业须同时满足所列指标的下限，否则下划一档；微型企业只须满足所列指标中的一项即可。</w:t>
      </w:r>
    </w:p>
    <w:p>
      <w:pPr>
        <w:pStyle w:val="16"/>
        <w:adjustRightInd w:val="0"/>
        <w:spacing w:line="280" w:lineRule="exact"/>
        <w:ind w:firstLine="512" w:firstLineChars="200"/>
        <w:contextualSpacing/>
        <w:rPr>
          <w:rFonts w:hAnsi="宋体" w:cs="宋体"/>
          <w:color w:val="auto"/>
          <w:spacing w:val="8"/>
          <w:kern w:val="0"/>
          <w:sz w:val="24"/>
          <w:szCs w:val="24"/>
          <w:highlight w:val="none"/>
        </w:rPr>
      </w:pPr>
      <w:r>
        <w:rPr>
          <w:rFonts w:hint="eastAsia" w:hAnsi="宋体" w:cs="宋体"/>
          <w:color w:val="auto"/>
          <w:spacing w:val="8"/>
          <w:kern w:val="0"/>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6"/>
        <w:spacing w:line="280" w:lineRule="exact"/>
        <w:ind w:firstLine="512" w:firstLineChars="200"/>
        <w:rPr>
          <w:rFonts w:hAnsi="宋体" w:cs="宋体"/>
          <w:color w:val="auto"/>
          <w:spacing w:val="8"/>
          <w:kern w:val="0"/>
          <w:sz w:val="24"/>
          <w:szCs w:val="24"/>
          <w:highlight w:val="none"/>
        </w:rPr>
        <w:sectPr>
          <w:pgSz w:w="11906" w:h="16838"/>
          <w:pgMar w:top="1500" w:right="1134" w:bottom="1258" w:left="1134" w:header="850" w:footer="992" w:gutter="0"/>
          <w:cols w:space="720" w:num="1"/>
          <w:docGrid w:type="linesAndChars" w:linePitch="331" w:charSpace="0"/>
        </w:sectPr>
      </w:pPr>
      <w:r>
        <w:rPr>
          <w:rFonts w:hint="eastAsia" w:hAnsi="宋体" w:cs="宋体"/>
          <w:color w:val="auto"/>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50" w:name="_Toc4774"/>
      <w:bookmarkStart w:id="151" w:name="_Toc8466"/>
    </w:p>
    <w:p>
      <w:pPr>
        <w:pStyle w:val="2"/>
        <w:rPr>
          <w:color w:val="auto"/>
          <w:highlight w:val="none"/>
        </w:rPr>
      </w:pPr>
      <w:bookmarkStart w:id="152" w:name="_Toc25360"/>
      <w:bookmarkStart w:id="153" w:name="_Toc5351"/>
      <w:r>
        <w:rPr>
          <w:rFonts w:hint="eastAsia"/>
          <w:color w:val="auto"/>
          <w:highlight w:val="none"/>
        </w:rPr>
        <w:t>第五章 采购合同（合同主要条款及格式）</w:t>
      </w:r>
      <w:bookmarkEnd w:id="150"/>
      <w:bookmarkEnd w:id="151"/>
      <w:bookmarkEnd w:id="152"/>
      <w:bookmarkEnd w:id="153"/>
    </w:p>
    <w:p>
      <w:pPr>
        <w:spacing w:line="420" w:lineRule="exact"/>
        <w:rPr>
          <w:rFonts w:ascii="宋体" w:hAnsi="宋体" w:cs="宋体"/>
          <w:color w:val="auto"/>
          <w:szCs w:val="21"/>
          <w:highlight w:val="none"/>
        </w:rPr>
      </w:pPr>
      <w:bookmarkStart w:id="154" w:name="_Toc24269"/>
      <w:bookmarkStart w:id="155" w:name="_Toc10014"/>
      <w:bookmarkStart w:id="156" w:name="_Toc5077"/>
      <w:r>
        <w:rPr>
          <w:rFonts w:hint="eastAsia" w:ascii="宋体" w:hAnsi="宋体" w:cs="宋体"/>
          <w:color w:val="auto"/>
          <w:szCs w:val="21"/>
          <w:highlight w:val="none"/>
        </w:rPr>
        <w:t>合同编号：</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项目名称：广西花坪国家级自然保护区保护监测系统建设项目  </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GLZC2024-C3-990969-GXTG</w:t>
      </w:r>
    </w:p>
    <w:p>
      <w:pPr>
        <w:spacing w:line="360" w:lineRule="auto"/>
        <w:rPr>
          <w:rFonts w:ascii="宋体" w:hAnsi="宋体" w:cs="宋体"/>
          <w:color w:val="auto"/>
          <w:highlight w:val="none"/>
        </w:rPr>
      </w:pPr>
      <w:r>
        <w:rPr>
          <w:rFonts w:hint="eastAsia" w:ascii="宋体" w:hAnsi="宋体" w:cs="宋体"/>
          <w:color w:val="auto"/>
          <w:highlight w:val="none"/>
        </w:rPr>
        <w:t>甲方：</w:t>
      </w:r>
      <w:r>
        <w:rPr>
          <w:rFonts w:hint="eastAsia" w:ascii="宋体" w:hAnsi="宋体" w:cs="宋体"/>
          <w:color w:val="auto"/>
          <w:highlight w:val="none"/>
          <w:u w:val="single"/>
        </w:rPr>
        <w:t xml:space="preserve">    广西桂林花坪国家级自然保护区管理处    </w:t>
      </w:r>
      <w:r>
        <w:rPr>
          <w:rFonts w:hint="eastAsia" w:ascii="宋体" w:hAnsi="宋体" w:cs="宋体"/>
          <w:color w:val="auto"/>
          <w:highlight w:val="none"/>
        </w:rPr>
        <w:t>（采购人）</w:t>
      </w:r>
    </w:p>
    <w:p>
      <w:pPr>
        <w:spacing w:line="360" w:lineRule="auto"/>
        <w:rPr>
          <w:rFonts w:ascii="宋体" w:hAnsi="宋体" w:cs="宋体"/>
          <w:color w:val="auto"/>
          <w:highlight w:val="none"/>
        </w:rPr>
      </w:pPr>
      <w:r>
        <w:rPr>
          <w:rFonts w:hint="eastAsia" w:ascii="宋体" w:hAnsi="宋体" w:cs="宋体"/>
          <w:color w:val="auto"/>
          <w:highlight w:val="none"/>
        </w:rPr>
        <w:t>乙方：</w:t>
      </w:r>
      <w:r>
        <w:rPr>
          <w:rFonts w:hint="eastAsia" w:ascii="宋体" w:hAnsi="宋体" w:cs="宋体"/>
          <w:color w:val="auto"/>
          <w:highlight w:val="none"/>
          <w:u w:val="single"/>
        </w:rPr>
        <w:t xml:space="preserve">                             </w:t>
      </w:r>
      <w:r>
        <w:rPr>
          <w:rFonts w:hint="eastAsia" w:ascii="宋体" w:hAnsi="宋体" w:cs="宋体"/>
          <w:color w:val="auto"/>
          <w:highlight w:val="none"/>
        </w:rPr>
        <w:t>（成交供应商）</w:t>
      </w:r>
    </w:p>
    <w:p>
      <w:pPr>
        <w:widowControl/>
        <w:ind w:firstLine="420" w:firstLineChars="200"/>
        <w:jc w:val="left"/>
        <w:rPr>
          <w:rFonts w:ascii="宋体" w:hAnsi="宋体" w:cs="宋体"/>
          <w:color w:val="auto"/>
          <w:highlight w:val="none"/>
        </w:rPr>
      </w:pPr>
      <w:r>
        <w:rPr>
          <w:rFonts w:hint="eastAsia" w:ascii="宋体" w:hAnsi="宋体" w:cs="宋体"/>
          <w:color w:val="auto"/>
          <w:highlight w:val="none"/>
        </w:rPr>
        <w:t>根据《中华人民共和国政府采购法》《中华人民共和国政府采购法实施条例》《中华人民共和国民法典》等法律、法规规定，按照竞争性磋商文件（以下简称磋商文件）、竞争性磋商响应文件（以下简称响应文件）规定条款和成交供应商的承诺、甲乙双方签订本合同。</w:t>
      </w:r>
    </w:p>
    <w:p>
      <w:pPr>
        <w:pStyle w:val="3"/>
        <w:ind w:left="567" w:leftChars="200" w:hanging="147" w:hangingChars="70"/>
        <w:rPr>
          <w:rFonts w:ascii="宋体" w:hAnsi="宋体" w:cs="宋体"/>
          <w:b/>
          <w:bCs w:val="0"/>
          <w:color w:val="auto"/>
          <w:sz w:val="21"/>
          <w:szCs w:val="21"/>
          <w:highlight w:val="none"/>
        </w:rPr>
      </w:pPr>
      <w:bookmarkStart w:id="157" w:name="_Toc845"/>
      <w:bookmarkStart w:id="158" w:name="_Toc20217"/>
      <w:bookmarkStart w:id="159" w:name="_Toc30275"/>
      <w:r>
        <w:rPr>
          <w:rFonts w:hint="eastAsia" w:ascii="宋体" w:hAnsi="宋体" w:cs="宋体"/>
          <w:b/>
          <w:bCs w:val="0"/>
          <w:color w:val="auto"/>
          <w:sz w:val="21"/>
          <w:szCs w:val="21"/>
          <w:highlight w:val="none"/>
        </w:rPr>
        <w:t>第一条 合同文件</w:t>
      </w:r>
      <w:bookmarkEnd w:id="157"/>
      <w:bookmarkEnd w:id="158"/>
      <w:bookmarkEnd w:id="159"/>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1、本合同所附下列文件是构成本合同不可分割的部分：</w:t>
      </w:r>
    </w:p>
    <w:p>
      <w:pPr>
        <w:spacing w:line="360" w:lineRule="auto"/>
        <w:ind w:firstLine="315" w:firstLineChars="150"/>
        <w:rPr>
          <w:rFonts w:ascii="宋体" w:hAnsi="宋体" w:cs="宋体"/>
          <w:color w:val="auto"/>
          <w:highlight w:val="none"/>
        </w:rPr>
      </w:pPr>
      <w:r>
        <w:rPr>
          <w:rFonts w:hint="eastAsia" w:ascii="宋体" w:hAnsi="宋体" w:cs="宋体"/>
          <w:color w:val="auto"/>
          <w:highlight w:val="none"/>
        </w:rPr>
        <w:t>（1）成交供应商提交的</w:t>
      </w:r>
      <w:r>
        <w:rPr>
          <w:rFonts w:hint="eastAsia" w:ascii="宋体" w:hAnsi="宋体" w:cs="宋体"/>
          <w:color w:val="auto"/>
          <w:szCs w:val="21"/>
          <w:highlight w:val="none"/>
        </w:rPr>
        <w:t>磋商</w:t>
      </w:r>
      <w:r>
        <w:rPr>
          <w:rFonts w:hint="eastAsia" w:ascii="宋体" w:hAnsi="宋体" w:cs="宋体"/>
          <w:color w:val="auto"/>
          <w:highlight w:val="none"/>
        </w:rPr>
        <w:t>报价表、</w:t>
      </w:r>
      <w:r>
        <w:rPr>
          <w:rFonts w:hint="eastAsia" w:ascii="宋体" w:hAnsi="宋体" w:cs="宋体"/>
          <w:color w:val="auto"/>
          <w:szCs w:val="21"/>
          <w:highlight w:val="none"/>
        </w:rPr>
        <w:t>针对本项目的服务承诺书</w:t>
      </w:r>
      <w:r>
        <w:rPr>
          <w:rFonts w:hint="eastAsia" w:ascii="宋体" w:hAnsi="宋体" w:cs="宋体"/>
          <w:color w:val="auto"/>
          <w:highlight w:val="none"/>
        </w:rPr>
        <w:t>；</w:t>
      </w:r>
    </w:p>
    <w:p>
      <w:pPr>
        <w:spacing w:line="360" w:lineRule="auto"/>
        <w:ind w:firstLine="315" w:firstLineChars="150"/>
        <w:rPr>
          <w:rFonts w:ascii="宋体" w:hAnsi="宋体" w:cs="宋体"/>
          <w:color w:val="auto"/>
          <w:highlight w:val="none"/>
        </w:rPr>
      </w:pPr>
      <w:r>
        <w:rPr>
          <w:rFonts w:hint="eastAsia" w:ascii="宋体" w:hAnsi="宋体" w:cs="宋体"/>
          <w:color w:val="auto"/>
          <w:highlight w:val="none"/>
        </w:rPr>
        <w:t>（2）成交通知书；</w:t>
      </w:r>
    </w:p>
    <w:p>
      <w:pPr>
        <w:spacing w:line="360" w:lineRule="auto"/>
        <w:ind w:firstLine="315" w:firstLineChars="150"/>
        <w:rPr>
          <w:rFonts w:ascii="宋体" w:hAnsi="宋体" w:cs="宋体"/>
          <w:color w:val="auto"/>
          <w:highlight w:val="none"/>
        </w:rPr>
      </w:pPr>
      <w:r>
        <w:rPr>
          <w:rFonts w:hint="eastAsia" w:ascii="宋体" w:hAnsi="宋体" w:cs="宋体"/>
          <w:color w:val="auto"/>
          <w:highlight w:val="none"/>
        </w:rPr>
        <w:t>（3）本合同协议书及有关补充资料；</w:t>
      </w:r>
    </w:p>
    <w:p>
      <w:pPr>
        <w:spacing w:line="360" w:lineRule="auto"/>
        <w:ind w:firstLine="315" w:firstLineChars="150"/>
        <w:rPr>
          <w:rFonts w:ascii="宋体" w:hAnsi="宋体" w:cs="宋体"/>
          <w:color w:val="auto"/>
          <w:highlight w:val="none"/>
        </w:rPr>
      </w:pPr>
      <w:r>
        <w:rPr>
          <w:rFonts w:hint="eastAsia" w:ascii="宋体" w:hAnsi="宋体" w:cs="宋体"/>
          <w:color w:val="auto"/>
          <w:highlight w:val="none"/>
        </w:rPr>
        <w:t>（4）磋商文件的条款要求。</w:t>
      </w:r>
    </w:p>
    <w:p>
      <w:pPr>
        <w:tabs>
          <w:tab w:val="left" w:pos="130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2、合同价金额包括：服务过程中相关的一切费用。</w:t>
      </w:r>
    </w:p>
    <w:p>
      <w:pPr>
        <w:pStyle w:val="3"/>
        <w:ind w:left="567" w:leftChars="200" w:hanging="147" w:hangingChars="70"/>
        <w:rPr>
          <w:color w:val="auto"/>
          <w:highlight w:val="none"/>
        </w:rPr>
      </w:pPr>
      <w:bookmarkStart w:id="160" w:name="_Toc28710"/>
      <w:bookmarkStart w:id="161" w:name="_Toc25572"/>
      <w:bookmarkStart w:id="162" w:name="_Toc6972"/>
      <w:r>
        <w:rPr>
          <w:rFonts w:hint="eastAsia" w:ascii="宋体" w:hAnsi="宋体" w:cs="宋体"/>
          <w:b/>
          <w:bCs w:val="0"/>
          <w:color w:val="auto"/>
          <w:sz w:val="21"/>
          <w:szCs w:val="21"/>
          <w:highlight w:val="none"/>
        </w:rPr>
        <w:t>第二条　合同金额</w:t>
      </w:r>
      <w:bookmarkEnd w:id="160"/>
      <w:bookmarkEnd w:id="161"/>
      <w:bookmarkEnd w:id="162"/>
    </w:p>
    <w:p>
      <w:pPr>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根据《成交通知书》的成交内容，合同的总金额为：（大写）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pStyle w:val="3"/>
        <w:ind w:left="567" w:leftChars="200" w:hanging="147" w:hangingChars="70"/>
        <w:rPr>
          <w:rFonts w:ascii="宋体" w:hAnsi="宋体" w:cs="宋体"/>
          <w:b/>
          <w:bCs w:val="0"/>
          <w:color w:val="auto"/>
          <w:sz w:val="21"/>
          <w:szCs w:val="21"/>
          <w:highlight w:val="none"/>
        </w:rPr>
      </w:pPr>
      <w:bookmarkStart w:id="163" w:name="_Toc5557"/>
      <w:bookmarkStart w:id="164" w:name="_Toc16138"/>
      <w:bookmarkStart w:id="165" w:name="_Toc9581"/>
      <w:r>
        <w:rPr>
          <w:rFonts w:hint="eastAsia" w:ascii="宋体" w:hAnsi="宋体" w:cs="宋体"/>
          <w:b/>
          <w:bCs w:val="0"/>
          <w:color w:val="auto"/>
          <w:sz w:val="21"/>
          <w:szCs w:val="21"/>
          <w:highlight w:val="none"/>
        </w:rPr>
        <w:t>第三条  服务保证</w:t>
      </w:r>
      <w:bookmarkEnd w:id="163"/>
      <w:bookmarkEnd w:id="164"/>
      <w:bookmarkEnd w:id="165"/>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成交供应商应按磋商文件、响应文件、承诺规定和竞争性磋商文件第三章采购需求服务内容向采购人提供相应服务。</w:t>
      </w:r>
    </w:p>
    <w:p>
      <w:pPr>
        <w:pStyle w:val="3"/>
        <w:ind w:left="567" w:leftChars="200" w:hanging="147" w:hangingChars="70"/>
        <w:rPr>
          <w:rFonts w:ascii="宋体" w:hAnsi="宋体" w:cs="宋体"/>
          <w:b/>
          <w:bCs w:val="0"/>
          <w:color w:val="auto"/>
          <w:sz w:val="21"/>
          <w:szCs w:val="21"/>
          <w:highlight w:val="none"/>
        </w:rPr>
      </w:pPr>
      <w:bookmarkStart w:id="166" w:name="_Toc25056"/>
      <w:bookmarkStart w:id="167" w:name="_Toc16565"/>
      <w:bookmarkStart w:id="168" w:name="_Toc8669"/>
      <w:r>
        <w:rPr>
          <w:rFonts w:hint="eastAsia" w:ascii="宋体" w:hAnsi="宋体" w:cs="宋体"/>
          <w:b/>
          <w:bCs w:val="0"/>
          <w:color w:val="auto"/>
          <w:sz w:val="21"/>
          <w:szCs w:val="21"/>
          <w:highlight w:val="none"/>
        </w:rPr>
        <w:t>第四条  服务期限</w:t>
      </w:r>
      <w:bookmarkEnd w:id="166"/>
      <w:bookmarkEnd w:id="167"/>
      <w:bookmarkEnd w:id="168"/>
    </w:p>
    <w:p>
      <w:pPr>
        <w:spacing w:line="360" w:lineRule="auto"/>
        <w:ind w:firstLine="411" w:firstLineChars="196"/>
        <w:rPr>
          <w:rFonts w:ascii="宋体" w:hAnsi="宋体" w:cs="宋体"/>
          <w:color w:val="auto"/>
          <w:szCs w:val="21"/>
          <w:highlight w:val="none"/>
          <w:u w:val="single"/>
        </w:rPr>
      </w:pPr>
      <w:r>
        <w:rPr>
          <w:rFonts w:hint="eastAsia" w:ascii="宋体" w:hAnsi="宋体" w:cs="宋体"/>
          <w:color w:val="auto"/>
          <w:szCs w:val="21"/>
          <w:highlight w:val="none"/>
        </w:rPr>
        <w:t xml:space="preserve">服务期限: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3"/>
        <w:ind w:left="567" w:leftChars="200" w:hanging="147" w:hangingChars="70"/>
        <w:rPr>
          <w:rFonts w:ascii="宋体" w:hAnsi="宋体" w:cs="宋体"/>
          <w:b/>
          <w:bCs w:val="0"/>
          <w:color w:val="auto"/>
          <w:sz w:val="21"/>
          <w:szCs w:val="21"/>
          <w:highlight w:val="none"/>
        </w:rPr>
      </w:pPr>
      <w:bookmarkStart w:id="169" w:name="_Toc15179"/>
      <w:bookmarkStart w:id="170" w:name="_Toc25521"/>
      <w:bookmarkStart w:id="171" w:name="_Toc3282"/>
      <w:r>
        <w:rPr>
          <w:rFonts w:hint="eastAsia" w:ascii="宋体" w:hAnsi="宋体" w:cs="宋体"/>
          <w:b/>
          <w:bCs w:val="0"/>
          <w:color w:val="auto"/>
          <w:sz w:val="21"/>
          <w:szCs w:val="21"/>
          <w:highlight w:val="none"/>
        </w:rPr>
        <w:t>第五条  交付</w:t>
      </w:r>
      <w:bookmarkEnd w:id="169"/>
      <w:bookmarkEnd w:id="170"/>
      <w:bookmarkEnd w:id="171"/>
    </w:p>
    <w:p>
      <w:pPr>
        <w:widowControl/>
        <w:snapToGrid w:val="0"/>
        <w:spacing w:line="400" w:lineRule="exact"/>
        <w:ind w:firstLine="420" w:firstLineChars="0"/>
        <w:jc w:val="left"/>
        <w:rPr>
          <w:rFonts w:ascii="宋体" w:hAnsi="宋体" w:cs="宋体"/>
          <w:color w:val="auto"/>
          <w:szCs w:val="21"/>
          <w:highlight w:val="none"/>
        </w:rPr>
      </w:pPr>
      <w:r>
        <w:rPr>
          <w:rFonts w:hint="eastAsia" w:ascii="宋体" w:hAnsi="宋体" w:cs="宋体"/>
          <w:color w:val="auto"/>
          <w:szCs w:val="21"/>
          <w:highlight w:val="none"/>
        </w:rPr>
        <w:t>1、服务时间</w:t>
      </w:r>
      <w:r>
        <w:rPr>
          <w:rFonts w:hint="eastAsia" w:ascii="宋体" w:hAnsi="宋体"/>
          <w:b/>
          <w:color w:val="auto"/>
          <w:highlight w:val="none"/>
          <w:lang w:eastAsia="zh-CN"/>
        </w:rPr>
        <w:t>（</w:t>
      </w:r>
      <w:r>
        <w:rPr>
          <w:rFonts w:hint="eastAsia" w:ascii="宋体" w:hAnsi="宋体"/>
          <w:b/>
          <w:color w:val="auto"/>
          <w:highlight w:val="none"/>
          <w:lang w:val="en-US" w:eastAsia="zh-CN"/>
        </w:rPr>
        <w:t>1</w:t>
      </w:r>
      <w:r>
        <w:rPr>
          <w:rFonts w:hint="eastAsia" w:ascii="宋体" w:hAnsi="宋体"/>
          <w:b/>
          <w:color w:val="auto"/>
          <w:highlight w:val="none"/>
          <w:lang w:eastAsia="zh-CN"/>
        </w:rPr>
        <w:t>）</w:t>
      </w:r>
      <w:r>
        <w:rPr>
          <w:rFonts w:hint="eastAsia" w:ascii="宋体" w:hAnsi="宋体"/>
          <w:b/>
          <w:color w:val="auto"/>
          <w:highlight w:val="none"/>
        </w:rPr>
        <w:t>.交付使用时间：签订合同后</w:t>
      </w:r>
      <w:r>
        <w:rPr>
          <w:rFonts w:hint="eastAsia" w:ascii="宋体" w:hAnsi="宋体"/>
          <w:b/>
          <w:color w:val="auto"/>
          <w:highlight w:val="none"/>
          <w:lang w:val="en-US" w:eastAsia="zh-CN"/>
        </w:rPr>
        <w:t>4个月</w:t>
      </w:r>
      <w:r>
        <w:rPr>
          <w:rFonts w:hint="eastAsia" w:ascii="宋体" w:hAnsi="宋体"/>
          <w:b/>
          <w:color w:val="auto"/>
          <w:highlight w:val="none"/>
        </w:rPr>
        <w:t>内建设完毕通过验收并交付使用。</w:t>
      </w:r>
      <w:r>
        <w:rPr>
          <w:rFonts w:hint="eastAsia" w:ascii="宋体" w:hAnsi="宋体"/>
          <w:b/>
          <w:color w:val="auto"/>
          <w:highlight w:val="none"/>
          <w:lang w:eastAsia="zh-CN"/>
        </w:rPr>
        <w:t>（</w:t>
      </w:r>
      <w:r>
        <w:rPr>
          <w:rFonts w:hint="eastAsia" w:ascii="宋体" w:hAnsi="宋体"/>
          <w:b/>
          <w:color w:val="auto"/>
          <w:highlight w:val="none"/>
          <w:lang w:val="en-US" w:eastAsia="zh-CN"/>
        </w:rPr>
        <w:t>2</w:t>
      </w:r>
      <w:r>
        <w:rPr>
          <w:rFonts w:hint="eastAsia" w:ascii="宋体" w:hAnsi="宋体"/>
          <w:b/>
          <w:color w:val="auto"/>
          <w:highlight w:val="none"/>
          <w:lang w:eastAsia="zh-CN"/>
        </w:rPr>
        <w:t>）</w:t>
      </w:r>
      <w:r>
        <w:rPr>
          <w:rFonts w:hint="eastAsia" w:ascii="宋体" w:hAnsi="宋体"/>
          <w:b/>
          <w:color w:val="auto"/>
          <w:highlight w:val="none"/>
        </w:rPr>
        <w:t>.运维服务期限：</w:t>
      </w:r>
      <w:r>
        <w:rPr>
          <w:rFonts w:hint="eastAsia" w:ascii="宋体" w:hAnsi="宋体"/>
          <w:b/>
          <w:color w:val="auto"/>
          <w:highlight w:val="none"/>
          <w:lang w:eastAsia="zh-CN"/>
        </w:rPr>
        <w:t>采购需求中有规定的按其规定，没有规定的</w:t>
      </w:r>
      <w:r>
        <w:rPr>
          <w:rFonts w:hint="eastAsia" w:ascii="宋体" w:hAnsi="宋体"/>
          <w:b/>
          <w:color w:val="auto"/>
          <w:highlight w:val="none"/>
        </w:rPr>
        <w:t>签订合同后自项目通过验收交付使用之日起3年</w:t>
      </w:r>
      <w:r>
        <w:rPr>
          <w:rFonts w:hint="eastAsia" w:ascii="宋体" w:hAnsi="宋体"/>
          <w:b/>
          <w:color w:val="auto"/>
          <w:highlight w:val="none"/>
          <w:lang w:eastAsia="zh-CN"/>
        </w:rPr>
        <w:t>，</w:t>
      </w:r>
      <w:r>
        <w:rPr>
          <w:rFonts w:hint="eastAsia" w:ascii="宋体" w:hAnsi="宋体"/>
          <w:b/>
          <w:color w:val="auto"/>
          <w:highlight w:val="none"/>
          <w:lang w:val="en-US" w:eastAsia="zh-CN"/>
        </w:rPr>
        <w:t>其中软件运维5年</w:t>
      </w:r>
      <w:r>
        <w:rPr>
          <w:rFonts w:hint="eastAsia" w:ascii="宋体" w:hAnsi="宋体"/>
          <w:b/>
          <w:color w:val="auto"/>
          <w:highlight w:val="none"/>
        </w:rPr>
        <w:t>。</w:t>
      </w:r>
      <w:r>
        <w:rPr>
          <w:rFonts w:hint="eastAsia" w:ascii="宋体" w:hAnsi="宋体" w:cs="宋体"/>
          <w:color w:val="auto"/>
          <w:szCs w:val="21"/>
          <w:highlight w:val="none"/>
        </w:rPr>
        <w:t>地点：</w:t>
      </w:r>
      <w:r>
        <w:rPr>
          <w:rFonts w:hint="eastAsia" w:ascii="宋体" w:hAnsi="宋体" w:cs="宋体"/>
          <w:color w:val="auto"/>
          <w:szCs w:val="21"/>
          <w:highlight w:val="none"/>
          <w:u w:val="single"/>
        </w:rPr>
        <w:t xml:space="preserve"> 采购人指定地点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2、成交供应商提供不符合磋商文件、响应文件和本合同规定的服务，采购人有权拒绝接受。</w:t>
      </w:r>
    </w:p>
    <w:p>
      <w:pPr>
        <w:keepNext w:val="0"/>
        <w:keepLines w:val="0"/>
        <w:pageBreakBefore w:val="0"/>
        <w:widowControl w:val="0"/>
        <w:kinsoku/>
        <w:wordWrap/>
        <w:overflowPunct/>
        <w:topLinePunct w:val="0"/>
        <w:autoSpaceDE/>
        <w:autoSpaceDN/>
        <w:bidi w:val="0"/>
        <w:adjustRightInd/>
        <w:snapToGrid/>
        <w:spacing w:line="500" w:lineRule="exact"/>
        <w:ind w:firstLine="371" w:firstLineChars="177"/>
        <w:textAlignment w:val="auto"/>
        <w:rPr>
          <w:b/>
          <w:bCs/>
          <w:color w:val="auto"/>
          <w:sz w:val="32"/>
          <w:szCs w:val="32"/>
          <w:highlight w:val="none"/>
        </w:rPr>
      </w:pPr>
      <w:bookmarkStart w:id="172" w:name="_Toc21969"/>
      <w:bookmarkStart w:id="173" w:name="_Toc8253"/>
      <w:bookmarkStart w:id="174" w:name="_Toc22519"/>
      <w:r>
        <w:rPr>
          <w:rFonts w:hint="eastAsia"/>
          <w:b/>
          <w:bCs/>
          <w:color w:val="auto"/>
          <w:sz w:val="21"/>
          <w:szCs w:val="21"/>
          <w:highlight w:val="none"/>
          <w:lang w:val="en-US" w:eastAsia="zh-CN"/>
        </w:rPr>
        <w:t>第六条：源代码交付</w:t>
      </w:r>
    </w:p>
    <w:p>
      <w:pPr>
        <w:keepNext w:val="0"/>
        <w:keepLines w:val="0"/>
        <w:widowControl w:val="0"/>
        <w:suppressLineNumbers w:val="0"/>
        <w:spacing w:before="0" w:beforeAutospacing="0" w:after="0" w:afterAutospacing="0"/>
        <w:ind w:left="0" w:right="0"/>
        <w:jc w:val="both"/>
        <w:rPr>
          <w:color w:val="auto"/>
          <w:highlight w:val="none"/>
          <w:lang w:val="en-US"/>
        </w:rPr>
      </w:pPr>
      <w:r>
        <w:rPr>
          <w:rFonts w:hint="eastAsia" w:ascii="等线" w:hAnsi="等线" w:eastAsia="等线" w:cs="Times New Roman"/>
          <w:color w:val="auto"/>
          <w:kern w:val="2"/>
          <w:sz w:val="21"/>
          <w:szCs w:val="22"/>
          <w:highlight w:val="none"/>
          <w:lang w:val="en-US" w:eastAsia="zh-CN" w:bidi="ar"/>
        </w:rPr>
        <w:t>一、源代码交付内容：</w:t>
      </w:r>
    </w:p>
    <w:p>
      <w:pPr>
        <w:keepNext w:val="0"/>
        <w:keepLines w:val="0"/>
        <w:widowControl w:val="0"/>
        <w:suppressLineNumbers w:val="0"/>
        <w:spacing w:before="0" w:beforeAutospacing="0" w:after="0" w:afterAutospacing="0"/>
        <w:ind w:left="0" w:right="0"/>
        <w:jc w:val="both"/>
        <w:rPr>
          <w:rFonts w:hint="eastAsia" w:ascii="等线" w:hAnsi="等线" w:eastAsia="等线" w:cs="Times New Roman"/>
          <w:color w:val="auto"/>
          <w:kern w:val="2"/>
          <w:sz w:val="21"/>
          <w:szCs w:val="22"/>
          <w:highlight w:val="none"/>
          <w:lang w:val="en-US" w:eastAsia="zh-CN" w:bidi="ar"/>
        </w:rPr>
      </w:pPr>
      <w:r>
        <w:rPr>
          <w:rFonts w:hint="eastAsia" w:ascii="等线" w:hAnsi="等线" w:eastAsia="等线" w:cs="Times New Roman"/>
          <w:color w:val="auto"/>
          <w:kern w:val="2"/>
          <w:sz w:val="21"/>
          <w:szCs w:val="22"/>
          <w:highlight w:val="none"/>
          <w:lang w:val="en-US" w:eastAsia="zh-CN" w:bidi="ar"/>
        </w:rPr>
        <w:t>1、乙方应在软件交付验收合格后10个工作日内向甲方提供该软件不涉及第三方知识产权组件的源代码、开发文档和数据库等，包括但不限于所有程序文件、脚本、配置文件等，以ZIP压缩包、光盘存储等形式提交给甲方。存储介质应确保无损坏，且能够方便地被甲方读取和使用。以便甲方后续进行维护和二次开发。</w:t>
      </w:r>
    </w:p>
    <w:p>
      <w:pPr>
        <w:keepNext w:val="0"/>
        <w:keepLines w:val="0"/>
        <w:widowControl w:val="0"/>
        <w:suppressLineNumbers w:val="0"/>
        <w:spacing w:before="0" w:beforeAutospacing="0" w:after="0" w:afterAutospacing="0"/>
        <w:ind w:left="0" w:right="0"/>
        <w:jc w:val="both"/>
        <w:rPr>
          <w:rFonts w:hint="eastAsia" w:ascii="等线" w:hAnsi="等线" w:eastAsia="等线" w:cs="Times New Roman"/>
          <w:color w:val="auto"/>
          <w:kern w:val="2"/>
          <w:sz w:val="21"/>
          <w:szCs w:val="22"/>
          <w:highlight w:val="none"/>
          <w:lang w:val="en-US" w:eastAsia="zh-CN" w:bidi="ar"/>
        </w:rPr>
      </w:pPr>
      <w:r>
        <w:rPr>
          <w:rFonts w:hint="eastAsia" w:ascii="等线" w:hAnsi="等线" w:eastAsia="等线" w:cs="Times New Roman"/>
          <w:color w:val="auto"/>
          <w:kern w:val="2"/>
          <w:sz w:val="21"/>
          <w:szCs w:val="22"/>
          <w:highlight w:val="none"/>
          <w:lang w:val="en-US" w:eastAsia="zh-CN" w:bidi="ar"/>
        </w:rPr>
        <w:t>2、甲方在对系统进行升级、修复、完善、迭代功能的情况下有权对源代码进行修改、编译，乙方不得对此提出任何异议或主张额外的费用。</w:t>
      </w:r>
    </w:p>
    <w:p>
      <w:pPr>
        <w:keepNext w:val="0"/>
        <w:keepLines w:val="0"/>
        <w:widowControl w:val="0"/>
        <w:suppressLineNumbers w:val="0"/>
        <w:spacing w:before="0" w:beforeAutospacing="0" w:after="0" w:afterAutospacing="0"/>
        <w:ind w:left="0" w:right="0"/>
        <w:jc w:val="both"/>
        <w:rPr>
          <w:rFonts w:hint="eastAsia" w:ascii="等线" w:hAnsi="等线" w:eastAsia="等线" w:cs="Times New Roman"/>
          <w:color w:val="auto"/>
          <w:kern w:val="2"/>
          <w:sz w:val="21"/>
          <w:szCs w:val="22"/>
          <w:highlight w:val="none"/>
          <w:lang w:val="en-US" w:eastAsia="zh-CN" w:bidi="ar"/>
        </w:rPr>
      </w:pPr>
      <w:r>
        <w:rPr>
          <w:rFonts w:hint="eastAsia" w:ascii="等线" w:hAnsi="等线" w:eastAsia="等线" w:cs="Times New Roman"/>
          <w:color w:val="auto"/>
          <w:kern w:val="2"/>
          <w:sz w:val="21"/>
          <w:szCs w:val="22"/>
          <w:highlight w:val="none"/>
          <w:lang w:val="en-US" w:eastAsia="zh-CN" w:bidi="ar"/>
        </w:rPr>
        <w:t>3、如甲方需要申请系统的相关软件著作权，乙方承诺协助完成相关软件著作权的申请。</w:t>
      </w:r>
    </w:p>
    <w:p>
      <w:pPr>
        <w:keepNext w:val="0"/>
        <w:keepLines w:val="0"/>
        <w:widowControl w:val="0"/>
        <w:suppressLineNumbers w:val="0"/>
        <w:spacing w:before="0" w:beforeAutospacing="0" w:after="0" w:afterAutospacing="0"/>
        <w:ind w:left="0" w:right="0"/>
        <w:jc w:val="both"/>
        <w:rPr>
          <w:rFonts w:hint="eastAsia" w:ascii="等线" w:hAnsi="等线" w:eastAsia="等线" w:cs="Times New Roman"/>
          <w:color w:val="auto"/>
          <w:kern w:val="2"/>
          <w:sz w:val="21"/>
          <w:szCs w:val="22"/>
          <w:highlight w:val="none"/>
          <w:lang w:val="en-US" w:eastAsia="zh-CN" w:bidi="ar"/>
        </w:rPr>
      </w:pPr>
      <w:r>
        <w:rPr>
          <w:rFonts w:hint="eastAsia" w:ascii="等线" w:hAnsi="等线" w:eastAsia="等线" w:cs="Times New Roman"/>
          <w:color w:val="auto"/>
          <w:kern w:val="2"/>
          <w:sz w:val="21"/>
          <w:szCs w:val="22"/>
          <w:highlight w:val="none"/>
          <w:lang w:val="en-US" w:eastAsia="zh-CN" w:bidi="ar"/>
        </w:rPr>
        <w:t>4、甲方被授权在内部按合同约定使用该源码，仅限于自用、修改、维护及备份目的，不得将源代码用于任何形式的商业用途（包括但不限于再销售、分发等）或转让给任何第三方。</w:t>
      </w:r>
    </w:p>
    <w:p>
      <w:pPr>
        <w:keepNext w:val="0"/>
        <w:keepLines w:val="0"/>
        <w:widowControl w:val="0"/>
        <w:suppressLineNumbers w:val="0"/>
        <w:spacing w:before="0" w:beforeAutospacing="0" w:after="0" w:afterAutospacing="0"/>
        <w:ind w:left="0" w:right="0"/>
        <w:jc w:val="both"/>
        <w:rPr>
          <w:rFonts w:hint="eastAsia" w:ascii="等线" w:hAnsi="等线" w:eastAsia="等线" w:cs="Times New Roman"/>
          <w:color w:val="auto"/>
          <w:kern w:val="2"/>
          <w:sz w:val="21"/>
          <w:szCs w:val="22"/>
          <w:highlight w:val="none"/>
          <w:lang w:val="en-US" w:eastAsia="zh-CN" w:bidi="ar"/>
        </w:rPr>
      </w:pPr>
      <w:r>
        <w:rPr>
          <w:rFonts w:hint="eastAsia" w:ascii="等线" w:hAnsi="等线" w:eastAsia="等线" w:cs="Times New Roman"/>
          <w:color w:val="auto"/>
          <w:kern w:val="2"/>
          <w:sz w:val="21"/>
          <w:szCs w:val="22"/>
          <w:highlight w:val="none"/>
          <w:lang w:val="en-US" w:eastAsia="zh-CN" w:bidi="ar"/>
        </w:rPr>
        <w:t>5、甲方应在保证源码完整性的前提下按约使用源码。如原有源代码的完整性被破坏（包括但不限于二次开发，故意避开或者破坏为保护其软件著作权而采取的技术措施、故意删除或者改变软件权利管理电子信息等），乙方将不再承担任何维护责任。</w:t>
      </w:r>
    </w:p>
    <w:p>
      <w:pPr>
        <w:keepNext w:val="0"/>
        <w:keepLines w:val="0"/>
        <w:widowControl w:val="0"/>
        <w:suppressLineNumbers w:val="0"/>
        <w:spacing w:before="0" w:beforeAutospacing="0" w:after="0" w:afterAutospacing="0"/>
        <w:ind w:left="0" w:right="0"/>
        <w:jc w:val="both"/>
        <w:rPr>
          <w:rFonts w:hint="eastAsia" w:ascii="等线" w:hAnsi="等线" w:eastAsia="等线" w:cs="Times New Roman"/>
          <w:color w:val="auto"/>
          <w:kern w:val="2"/>
          <w:sz w:val="21"/>
          <w:szCs w:val="22"/>
          <w:highlight w:val="none"/>
          <w:lang w:val="en-US" w:eastAsia="zh-CN" w:bidi="ar"/>
        </w:rPr>
      </w:pPr>
      <w:r>
        <w:rPr>
          <w:rFonts w:hint="eastAsia" w:ascii="等线" w:hAnsi="等线" w:eastAsia="等线" w:cs="Times New Roman"/>
          <w:color w:val="auto"/>
          <w:kern w:val="2"/>
          <w:sz w:val="21"/>
          <w:szCs w:val="22"/>
          <w:highlight w:val="none"/>
          <w:lang w:val="en-US" w:eastAsia="zh-CN" w:bidi="ar"/>
        </w:rPr>
        <w:t>二、保密与安全要求</w:t>
      </w:r>
    </w:p>
    <w:p>
      <w:pPr>
        <w:keepNext w:val="0"/>
        <w:keepLines w:val="0"/>
        <w:widowControl w:val="0"/>
        <w:suppressLineNumbers w:val="0"/>
        <w:spacing w:before="0" w:beforeAutospacing="0" w:after="0" w:afterAutospacing="0"/>
        <w:ind w:left="0" w:right="0"/>
        <w:jc w:val="both"/>
        <w:rPr>
          <w:rFonts w:hint="eastAsia" w:ascii="等线" w:hAnsi="等线" w:eastAsia="等线" w:cs="Times New Roman"/>
          <w:color w:val="auto"/>
          <w:kern w:val="2"/>
          <w:sz w:val="21"/>
          <w:szCs w:val="22"/>
          <w:highlight w:val="none"/>
          <w:lang w:val="en-US" w:eastAsia="zh-CN" w:bidi="ar"/>
        </w:rPr>
      </w:pPr>
      <w:r>
        <w:rPr>
          <w:rFonts w:hint="eastAsia" w:ascii="等线" w:hAnsi="等线" w:eastAsia="等线" w:cs="Times New Roman"/>
          <w:color w:val="auto"/>
          <w:kern w:val="2"/>
          <w:sz w:val="21"/>
          <w:szCs w:val="22"/>
          <w:highlight w:val="none"/>
          <w:lang w:val="en-US" w:eastAsia="zh-CN" w:bidi="ar"/>
        </w:rPr>
        <w:t>1、乙方应严格遵守保密义务，对完整源代码、开发文档、数据库的内容进行保密，不得向任何无关人员透露具体内容和技术细节。</w:t>
      </w:r>
    </w:p>
    <w:p>
      <w:pPr>
        <w:keepNext w:val="0"/>
        <w:keepLines w:val="0"/>
        <w:widowControl w:val="0"/>
        <w:suppressLineNumbers w:val="0"/>
        <w:spacing w:before="0" w:beforeAutospacing="0" w:after="0" w:afterAutospacing="0"/>
        <w:ind w:left="0" w:right="0"/>
        <w:jc w:val="both"/>
        <w:rPr>
          <w:rFonts w:hint="eastAsia" w:ascii="等线" w:hAnsi="等线" w:eastAsia="等线" w:cs="Times New Roman"/>
          <w:color w:val="auto"/>
          <w:kern w:val="2"/>
          <w:sz w:val="21"/>
          <w:szCs w:val="22"/>
          <w:highlight w:val="none"/>
          <w:lang w:val="en-US" w:eastAsia="zh-CN" w:bidi="ar"/>
        </w:rPr>
      </w:pPr>
      <w:r>
        <w:rPr>
          <w:rFonts w:hint="eastAsia" w:ascii="等线" w:hAnsi="等线" w:eastAsia="等线" w:cs="Times New Roman"/>
          <w:color w:val="auto"/>
          <w:kern w:val="2"/>
          <w:sz w:val="21"/>
          <w:szCs w:val="22"/>
          <w:highlight w:val="none"/>
          <w:lang w:val="en-US" w:eastAsia="zh-CN" w:bidi="ar"/>
        </w:rPr>
        <w:t>2、双方承认，源代码及其相关文档资料包含本项目软件的商业秘密和技术秘密，甲、乙双方应采取合理措施保护这些信息不被泄露给任何第三方。</w:t>
      </w:r>
    </w:p>
    <w:p>
      <w:pPr>
        <w:keepNext w:val="0"/>
        <w:keepLines w:val="0"/>
        <w:widowControl w:val="0"/>
        <w:suppressLineNumbers w:val="0"/>
        <w:spacing w:before="0" w:beforeAutospacing="0" w:after="0" w:afterAutospacing="0"/>
        <w:ind w:left="0" w:right="0"/>
        <w:jc w:val="both"/>
        <w:rPr>
          <w:rFonts w:hint="default" w:ascii="等线" w:hAnsi="等线" w:eastAsia="等线" w:cs="Times New Roman"/>
          <w:color w:val="auto"/>
          <w:kern w:val="2"/>
          <w:sz w:val="21"/>
          <w:szCs w:val="22"/>
          <w:highlight w:val="none"/>
          <w:lang w:val="en-US" w:eastAsia="zh-CN" w:bidi="ar"/>
        </w:rPr>
      </w:pPr>
      <w:r>
        <w:rPr>
          <w:rFonts w:hint="eastAsia" w:ascii="等线" w:hAnsi="等线" w:eastAsia="等线" w:cs="Times New Roman"/>
          <w:color w:val="auto"/>
          <w:kern w:val="2"/>
          <w:sz w:val="21"/>
          <w:szCs w:val="22"/>
          <w:highlight w:val="none"/>
          <w:lang w:val="en-US" w:eastAsia="zh-CN" w:bidi="ar"/>
        </w:rPr>
        <w:t>3、乙方应保证甲方及其授权使用者在使用该项目系统时免受第三方在知识产权方面的起诉。如第三方提出侵权指控，乙方须承担由此而引起的一切法律责任和费用，甲方保留进一步追究责任的权利。</w:t>
      </w:r>
    </w:p>
    <w:p>
      <w:pPr>
        <w:keepNext w:val="0"/>
        <w:keepLines w:val="0"/>
        <w:widowControl w:val="0"/>
        <w:suppressLineNumbers w:val="0"/>
        <w:spacing w:before="0" w:beforeAutospacing="0" w:after="0" w:afterAutospacing="0"/>
        <w:ind w:left="0" w:right="0"/>
        <w:jc w:val="both"/>
        <w:rPr>
          <w:rFonts w:hint="eastAsia" w:ascii="等线" w:hAnsi="等线" w:eastAsia="等线" w:cs="Times New Roman"/>
          <w:color w:val="auto"/>
          <w:kern w:val="2"/>
          <w:sz w:val="21"/>
          <w:szCs w:val="22"/>
          <w:highlight w:val="none"/>
          <w:lang w:val="en-US" w:eastAsia="zh-CN" w:bidi="ar"/>
        </w:rPr>
      </w:pPr>
      <w:r>
        <w:rPr>
          <w:rFonts w:hint="eastAsia" w:ascii="等线" w:hAnsi="等线" w:eastAsia="等线" w:cs="Times New Roman"/>
          <w:color w:val="auto"/>
          <w:kern w:val="2"/>
          <w:sz w:val="21"/>
          <w:szCs w:val="22"/>
          <w:highlight w:val="none"/>
          <w:lang w:val="en-US" w:eastAsia="zh-CN" w:bidi="ar"/>
        </w:rPr>
        <w:t>4、违约责任：</w:t>
      </w:r>
    </w:p>
    <w:p>
      <w:pPr>
        <w:keepNext w:val="0"/>
        <w:keepLines w:val="0"/>
        <w:widowControl w:val="0"/>
        <w:suppressLineNumbers w:val="0"/>
        <w:spacing w:before="0" w:beforeAutospacing="0" w:after="0" w:afterAutospacing="0"/>
        <w:ind w:left="0" w:right="0"/>
        <w:jc w:val="both"/>
        <w:rPr>
          <w:rFonts w:hint="eastAsia" w:ascii="等线" w:hAnsi="等线" w:eastAsia="等线" w:cs="Times New Roman"/>
          <w:color w:val="auto"/>
          <w:kern w:val="2"/>
          <w:sz w:val="21"/>
          <w:szCs w:val="22"/>
          <w:highlight w:val="none"/>
          <w:lang w:val="en-US" w:eastAsia="zh-CN" w:bidi="ar"/>
        </w:rPr>
      </w:pPr>
      <w:r>
        <w:rPr>
          <w:rFonts w:hint="eastAsia" w:ascii="等线" w:hAnsi="等线" w:eastAsia="等线" w:cs="Times New Roman"/>
          <w:color w:val="auto"/>
          <w:kern w:val="2"/>
          <w:sz w:val="21"/>
          <w:szCs w:val="22"/>
          <w:highlight w:val="none"/>
          <w:lang w:val="en-US" w:eastAsia="zh-CN" w:bidi="ar"/>
        </w:rPr>
        <w:t>若乙方违反保密义务或未能提供该软件不涉及第三方知识产权组件的源代码和必要的开发文档、数据库，应承担相应的法律责任。</w:t>
      </w:r>
    </w:p>
    <w:p>
      <w:pPr>
        <w:keepNext w:val="0"/>
        <w:keepLines w:val="0"/>
        <w:widowControl w:val="0"/>
        <w:suppressLineNumbers w:val="0"/>
        <w:spacing w:before="0" w:beforeAutospacing="0" w:after="0" w:afterAutospacing="0"/>
        <w:ind w:left="0" w:right="0"/>
        <w:jc w:val="both"/>
        <w:rPr>
          <w:rFonts w:hint="eastAsia" w:ascii="等线" w:hAnsi="等线" w:eastAsia="等线" w:cs="Times New Roman"/>
          <w:color w:val="auto"/>
          <w:kern w:val="2"/>
          <w:sz w:val="21"/>
          <w:szCs w:val="22"/>
          <w:highlight w:val="none"/>
          <w:lang w:val="en-US" w:eastAsia="zh-CN" w:bidi="ar"/>
        </w:rPr>
      </w:pPr>
      <w:r>
        <w:rPr>
          <w:rFonts w:hint="eastAsia" w:ascii="等线" w:hAnsi="等线" w:eastAsia="等线" w:cs="Times New Roman"/>
          <w:color w:val="auto"/>
          <w:kern w:val="2"/>
          <w:sz w:val="21"/>
          <w:szCs w:val="22"/>
          <w:highlight w:val="none"/>
          <w:lang w:val="en-US" w:eastAsia="zh-CN" w:bidi="ar"/>
        </w:rPr>
        <w:t>三、验收标准：</w:t>
      </w:r>
    </w:p>
    <w:p>
      <w:pPr>
        <w:keepNext w:val="0"/>
        <w:keepLines w:val="0"/>
        <w:widowControl w:val="0"/>
        <w:suppressLineNumbers w:val="0"/>
        <w:spacing w:before="0" w:beforeAutospacing="0" w:after="0" w:afterAutospacing="0"/>
        <w:ind w:left="0" w:right="0"/>
        <w:jc w:val="both"/>
        <w:rPr>
          <w:rFonts w:hint="eastAsia" w:ascii="等线" w:hAnsi="等线" w:eastAsia="等线" w:cs="Times New Roman"/>
          <w:color w:val="auto"/>
          <w:kern w:val="2"/>
          <w:sz w:val="21"/>
          <w:szCs w:val="22"/>
          <w:highlight w:val="none"/>
          <w:lang w:val="en-US" w:eastAsia="zh-CN" w:bidi="ar"/>
        </w:rPr>
      </w:pPr>
      <w:r>
        <w:rPr>
          <w:rFonts w:hint="eastAsia" w:ascii="等线" w:hAnsi="等线" w:eastAsia="等线" w:cs="Times New Roman"/>
          <w:color w:val="auto"/>
          <w:kern w:val="2"/>
          <w:sz w:val="21"/>
          <w:szCs w:val="22"/>
          <w:highlight w:val="none"/>
          <w:lang w:val="en-US" w:eastAsia="zh-CN" w:bidi="ar"/>
        </w:rPr>
        <w:t>甲方应对该软件不涉及第三方知识产权组件的源代码和必要的开发文档进行验收，验收标准包括代码的完整性、可读性、规范性和可编译性。</w:t>
      </w:r>
    </w:p>
    <w:p>
      <w:pPr>
        <w:keepNext w:val="0"/>
        <w:keepLines w:val="0"/>
        <w:widowControl w:val="0"/>
        <w:suppressLineNumbers w:val="0"/>
        <w:spacing w:before="0" w:beforeAutospacing="0" w:after="0" w:afterAutospacing="0"/>
        <w:ind w:left="0" w:right="0"/>
        <w:jc w:val="both"/>
        <w:rPr>
          <w:rFonts w:hint="eastAsia" w:ascii="等线" w:hAnsi="等线" w:eastAsia="等线" w:cs="Times New Roman"/>
          <w:color w:val="auto"/>
          <w:kern w:val="2"/>
          <w:sz w:val="21"/>
          <w:szCs w:val="22"/>
          <w:highlight w:val="none"/>
          <w:lang w:val="en-US" w:eastAsia="zh-CN" w:bidi="ar"/>
        </w:rPr>
      </w:pPr>
      <w:r>
        <w:rPr>
          <w:rFonts w:hint="eastAsia" w:ascii="等线" w:hAnsi="等线" w:eastAsia="等线" w:cs="Times New Roman"/>
          <w:color w:val="auto"/>
          <w:kern w:val="2"/>
          <w:sz w:val="21"/>
          <w:szCs w:val="22"/>
          <w:highlight w:val="none"/>
          <w:lang w:val="en-US" w:eastAsia="zh-CN" w:bidi="ar"/>
        </w:rPr>
        <w:t>1、甲方应在项目启动前提供源代码验收标准。</w:t>
      </w:r>
    </w:p>
    <w:p>
      <w:pPr>
        <w:keepNext w:val="0"/>
        <w:keepLines w:val="0"/>
        <w:ind w:left="567" w:leftChars="200" w:hanging="147" w:hangingChars="70"/>
        <w:rPr>
          <w:rFonts w:hint="eastAsia" w:ascii="宋体" w:hAnsi="宋体" w:cs="宋体"/>
          <w:b/>
          <w:bCs w:val="0"/>
          <w:color w:val="auto"/>
          <w:sz w:val="21"/>
          <w:szCs w:val="21"/>
          <w:highlight w:val="none"/>
        </w:rPr>
      </w:pPr>
      <w:r>
        <w:rPr>
          <w:rFonts w:hint="eastAsia" w:ascii="等线" w:hAnsi="等线" w:eastAsia="等线" w:cs="Times New Roman"/>
          <w:color w:val="auto"/>
          <w:kern w:val="2"/>
          <w:sz w:val="21"/>
          <w:szCs w:val="22"/>
          <w:highlight w:val="none"/>
          <w:lang w:val="en-US" w:eastAsia="zh-CN" w:bidi="ar"/>
        </w:rPr>
        <w:t>2、甲方在收到交付内容后应在5个工作日内提供书面验收意见，如未能按时提供验收意见则视验收通过。3、若不符合验收标准，乙方应按照验收意见书在5个工作日内进行整改，重新提交验收。</w:t>
      </w:r>
    </w:p>
    <w:p>
      <w:pPr>
        <w:pStyle w:val="3"/>
        <w:ind w:left="567" w:leftChars="200" w:hanging="147" w:hangingChars="70"/>
        <w:rPr>
          <w:rFonts w:ascii="宋体" w:hAnsi="宋体" w:cs="宋体"/>
          <w:b/>
          <w:bCs w:val="0"/>
          <w:color w:val="auto"/>
          <w:sz w:val="21"/>
          <w:szCs w:val="21"/>
          <w:highlight w:val="none"/>
        </w:rPr>
      </w:pPr>
      <w:r>
        <w:rPr>
          <w:rFonts w:hint="eastAsia" w:ascii="宋体" w:hAnsi="宋体" w:cs="宋体"/>
          <w:b/>
          <w:bCs w:val="0"/>
          <w:color w:val="auto"/>
          <w:sz w:val="21"/>
          <w:szCs w:val="21"/>
          <w:highlight w:val="none"/>
        </w:rPr>
        <w:t>第</w:t>
      </w:r>
      <w:r>
        <w:rPr>
          <w:rFonts w:hint="eastAsia" w:ascii="宋体" w:hAnsi="宋体" w:cs="宋体"/>
          <w:b/>
          <w:bCs w:val="0"/>
          <w:color w:val="auto"/>
          <w:sz w:val="21"/>
          <w:szCs w:val="21"/>
          <w:highlight w:val="none"/>
          <w:lang w:val="en-US" w:eastAsia="zh-CN"/>
        </w:rPr>
        <w:t>七</w:t>
      </w:r>
      <w:r>
        <w:rPr>
          <w:rFonts w:hint="eastAsia" w:ascii="宋体" w:hAnsi="宋体" w:cs="宋体"/>
          <w:b/>
          <w:bCs w:val="0"/>
          <w:color w:val="auto"/>
          <w:sz w:val="21"/>
          <w:szCs w:val="21"/>
          <w:highlight w:val="none"/>
        </w:rPr>
        <w:t>条  税费</w:t>
      </w:r>
      <w:bookmarkEnd w:id="172"/>
      <w:bookmarkEnd w:id="173"/>
      <w:bookmarkEnd w:id="174"/>
    </w:p>
    <w:p>
      <w:pPr>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本合同执行中相关的一切税费均由成交供应商负担。</w:t>
      </w:r>
    </w:p>
    <w:p>
      <w:pPr>
        <w:pStyle w:val="3"/>
        <w:numPr>
          <w:ilvl w:val="0"/>
          <w:numId w:val="0"/>
        </w:numPr>
        <w:ind w:leftChars="130"/>
        <w:rPr>
          <w:rFonts w:hint="eastAsia"/>
          <w:color w:val="auto"/>
          <w:highlight w:val="none"/>
        </w:rPr>
      </w:pPr>
      <w:bookmarkStart w:id="175" w:name="_Toc11829"/>
      <w:bookmarkStart w:id="176" w:name="_Toc29885"/>
      <w:bookmarkStart w:id="177" w:name="_Toc31516"/>
      <w:r>
        <w:rPr>
          <w:rFonts w:hint="eastAsia" w:ascii="宋体" w:hAnsi="宋体" w:cs="宋体"/>
          <w:b/>
          <w:bCs w:val="0"/>
          <w:color w:val="auto"/>
          <w:sz w:val="21"/>
          <w:szCs w:val="21"/>
          <w:highlight w:val="none"/>
          <w:lang w:val="en-US" w:eastAsia="zh-CN"/>
        </w:rPr>
        <w:t>第八条</w:t>
      </w:r>
      <w:r>
        <w:rPr>
          <w:rFonts w:hint="eastAsia" w:ascii="宋体" w:hAnsi="宋体" w:cs="宋体"/>
          <w:b/>
          <w:bCs w:val="0"/>
          <w:color w:val="auto"/>
          <w:sz w:val="21"/>
          <w:szCs w:val="21"/>
          <w:highlight w:val="none"/>
        </w:rPr>
        <w:t xml:space="preserve"> 付款方式</w:t>
      </w:r>
      <w:bookmarkEnd w:id="175"/>
      <w:bookmarkEnd w:id="176"/>
      <w:bookmarkEnd w:id="177"/>
    </w:p>
    <w:p>
      <w:pPr>
        <w:pStyle w:val="4"/>
        <w:numPr>
          <w:ilvl w:val="0"/>
          <w:numId w:val="0"/>
        </w:numPr>
        <w:ind w:firstLine="420" w:firstLineChars="200"/>
        <w:rPr>
          <w:rFonts w:hint="eastAsia"/>
          <w:color w:val="auto"/>
          <w:highlight w:val="none"/>
        </w:rPr>
      </w:pPr>
      <w:r>
        <w:rPr>
          <w:rFonts w:hint="eastAsia"/>
          <w:color w:val="auto"/>
          <w:highlight w:val="none"/>
          <w:lang w:val="en-US" w:eastAsia="zh-CN"/>
        </w:rPr>
        <w:t>1、</w:t>
      </w:r>
      <w:r>
        <w:rPr>
          <w:rFonts w:hint="eastAsia"/>
          <w:color w:val="auto"/>
          <w:highlight w:val="none"/>
        </w:rPr>
        <w:t>自合同签订之日起</w:t>
      </w:r>
      <w:r>
        <w:rPr>
          <w:rFonts w:hint="eastAsia"/>
          <w:color w:val="auto"/>
          <w:highlight w:val="none"/>
          <w:lang w:val="en-US" w:eastAsia="zh-CN"/>
        </w:rPr>
        <w:t>10</w:t>
      </w:r>
      <w:r>
        <w:rPr>
          <w:rFonts w:hint="eastAsia"/>
          <w:color w:val="auto"/>
          <w:highlight w:val="none"/>
        </w:rPr>
        <w:t>个工作日内</w:t>
      </w:r>
      <w:r>
        <w:rPr>
          <w:rFonts w:hint="eastAsia"/>
          <w:color w:val="auto"/>
          <w:highlight w:val="none"/>
          <w:lang w:val="en-US" w:eastAsia="zh-CN"/>
        </w:rPr>
        <w:t>乙方</w:t>
      </w:r>
      <w:r>
        <w:rPr>
          <w:rFonts w:hint="eastAsia"/>
          <w:color w:val="auto"/>
          <w:highlight w:val="none"/>
        </w:rPr>
        <w:t>可向甲方申请合同总金额的30%作为预付款；</w:t>
      </w:r>
    </w:p>
    <w:p>
      <w:pPr>
        <w:pStyle w:val="4"/>
        <w:numPr>
          <w:ilvl w:val="0"/>
          <w:numId w:val="0"/>
        </w:numPr>
        <w:ind w:firstLine="420" w:firstLineChars="200"/>
        <w:rPr>
          <w:rFonts w:hint="eastAsia"/>
          <w:color w:val="auto"/>
          <w:highlight w:val="none"/>
        </w:rPr>
      </w:pPr>
      <w:r>
        <w:rPr>
          <w:rFonts w:hint="eastAsia"/>
          <w:color w:val="auto"/>
          <w:highlight w:val="none"/>
          <w:lang w:val="en-US" w:eastAsia="zh-CN"/>
        </w:rPr>
        <w:t>2、乙方</w:t>
      </w:r>
      <w:r>
        <w:rPr>
          <w:rFonts w:hint="eastAsia"/>
          <w:color w:val="auto"/>
          <w:highlight w:val="none"/>
        </w:rPr>
        <w:t>完成</w:t>
      </w:r>
      <w:r>
        <w:rPr>
          <w:rFonts w:hint="eastAsia" w:ascii="Times New Roman" w:hAnsi="Times New Roman" w:eastAsia="宋体" w:cs="Times New Roman"/>
          <w:b w:val="0"/>
          <w:bCs w:val="0"/>
          <w:color w:val="auto"/>
          <w:kern w:val="2"/>
          <w:sz w:val="21"/>
          <w:highlight w:val="none"/>
        </w:rPr>
        <w:t>监控指挥中心</w:t>
      </w:r>
      <w:r>
        <w:rPr>
          <w:rFonts w:hint="eastAsia" w:ascii="Times New Roman" w:hAnsi="Times New Roman" w:eastAsia="宋体" w:cs="Times New Roman"/>
          <w:b w:val="0"/>
          <w:bCs w:val="0"/>
          <w:color w:val="auto"/>
          <w:kern w:val="2"/>
          <w:sz w:val="21"/>
          <w:highlight w:val="none"/>
          <w:lang w:val="en-US" w:eastAsia="zh-CN"/>
        </w:rPr>
        <w:t>升级改造技术服务、</w:t>
      </w:r>
      <w:r>
        <w:rPr>
          <w:rFonts w:hint="eastAsia" w:ascii="Times New Roman" w:hAnsi="Times New Roman" w:eastAsia="宋体" w:cs="Times New Roman"/>
          <w:b w:val="0"/>
          <w:bCs w:val="0"/>
          <w:color w:val="auto"/>
          <w:kern w:val="2"/>
          <w:sz w:val="21"/>
          <w:highlight w:val="none"/>
          <w:lang w:eastAsia="zh-CN"/>
        </w:rPr>
        <w:t>巡护</w:t>
      </w:r>
      <w:r>
        <w:rPr>
          <w:rFonts w:hint="eastAsia" w:ascii="Times New Roman" w:hAnsi="Times New Roman" w:eastAsia="宋体" w:cs="Times New Roman"/>
          <w:b w:val="0"/>
          <w:bCs w:val="0"/>
          <w:color w:val="auto"/>
          <w:kern w:val="2"/>
          <w:sz w:val="21"/>
          <w:highlight w:val="none"/>
          <w:lang w:val="en-US" w:eastAsia="zh-CN"/>
        </w:rPr>
        <w:t>采集</w:t>
      </w:r>
      <w:r>
        <w:rPr>
          <w:rFonts w:hint="eastAsia" w:ascii="Times New Roman" w:hAnsi="Times New Roman" w:eastAsia="宋体" w:cs="Times New Roman"/>
          <w:b w:val="0"/>
          <w:bCs w:val="0"/>
          <w:color w:val="auto"/>
          <w:kern w:val="2"/>
          <w:sz w:val="21"/>
          <w:highlight w:val="none"/>
          <w:lang w:eastAsia="zh-CN"/>
        </w:rPr>
        <w:t>管理</w:t>
      </w:r>
      <w:r>
        <w:rPr>
          <w:rFonts w:hint="eastAsia" w:ascii="Times New Roman" w:hAnsi="Times New Roman" w:eastAsia="宋体" w:cs="Times New Roman"/>
          <w:b w:val="0"/>
          <w:bCs w:val="0"/>
          <w:color w:val="auto"/>
          <w:kern w:val="2"/>
          <w:sz w:val="21"/>
          <w:highlight w:val="none"/>
          <w:lang w:val="en-US" w:eastAsia="zh-CN"/>
        </w:rPr>
        <w:t>服务</w:t>
      </w:r>
      <w:r>
        <w:rPr>
          <w:rFonts w:hint="eastAsia"/>
          <w:color w:val="auto"/>
          <w:highlight w:val="none"/>
        </w:rPr>
        <w:t>，经双方清点核对后，</w:t>
      </w:r>
      <w:r>
        <w:rPr>
          <w:rFonts w:hint="eastAsia"/>
          <w:color w:val="auto"/>
          <w:highlight w:val="none"/>
          <w:lang w:val="en-US" w:eastAsia="zh-CN"/>
        </w:rPr>
        <w:t>乙方</w:t>
      </w:r>
      <w:r>
        <w:rPr>
          <w:rFonts w:hint="eastAsia"/>
          <w:color w:val="auto"/>
          <w:highlight w:val="none"/>
        </w:rPr>
        <w:t>可向甲方申请合同总金额的</w:t>
      </w:r>
      <w:r>
        <w:rPr>
          <w:rFonts w:hint="eastAsia"/>
          <w:color w:val="auto"/>
          <w:highlight w:val="none"/>
          <w:lang w:val="en-US" w:eastAsia="zh-CN"/>
        </w:rPr>
        <w:t>2</w:t>
      </w:r>
      <w:r>
        <w:rPr>
          <w:rFonts w:hint="eastAsia"/>
          <w:color w:val="auto"/>
          <w:highlight w:val="none"/>
        </w:rPr>
        <w:t>0%</w:t>
      </w:r>
      <w:r>
        <w:rPr>
          <w:rFonts w:hint="eastAsia"/>
          <w:color w:val="auto"/>
          <w:highlight w:val="none"/>
          <w:lang w:val="en-US" w:eastAsia="zh-CN"/>
        </w:rPr>
        <w:t>的进度款；</w:t>
      </w:r>
    </w:p>
    <w:p>
      <w:pPr>
        <w:pStyle w:val="4"/>
        <w:numPr>
          <w:ilvl w:val="0"/>
          <w:numId w:val="0"/>
        </w:numPr>
        <w:ind w:firstLine="420" w:firstLineChars="200"/>
        <w:rPr>
          <w:rFonts w:hint="eastAsia"/>
          <w:color w:val="auto"/>
          <w:highlight w:val="none"/>
        </w:rPr>
      </w:pPr>
      <w:r>
        <w:rPr>
          <w:rFonts w:hint="eastAsia"/>
          <w:color w:val="auto"/>
          <w:highlight w:val="none"/>
          <w:lang w:val="en-US" w:eastAsia="zh-CN"/>
        </w:rPr>
        <w:t>3、当</w:t>
      </w:r>
      <w:r>
        <w:rPr>
          <w:rFonts w:hint="eastAsia"/>
          <w:color w:val="auto"/>
          <w:highlight w:val="none"/>
        </w:rPr>
        <w:t>项目进度达到90%时（软件上线试运行为准），</w:t>
      </w:r>
      <w:r>
        <w:rPr>
          <w:rFonts w:hint="eastAsia"/>
          <w:color w:val="auto"/>
          <w:highlight w:val="none"/>
          <w:lang w:val="en-US" w:eastAsia="zh-CN"/>
        </w:rPr>
        <w:t>乙方</w:t>
      </w:r>
      <w:r>
        <w:rPr>
          <w:rFonts w:hint="eastAsia"/>
          <w:color w:val="auto"/>
          <w:highlight w:val="none"/>
        </w:rPr>
        <w:t>在</w:t>
      </w:r>
      <w:r>
        <w:rPr>
          <w:rFonts w:hint="eastAsia"/>
          <w:color w:val="auto"/>
          <w:highlight w:val="none"/>
          <w:lang w:val="en-US" w:eastAsia="zh-CN"/>
        </w:rPr>
        <w:t>10</w:t>
      </w:r>
      <w:r>
        <w:rPr>
          <w:rFonts w:hint="eastAsia"/>
          <w:color w:val="auto"/>
          <w:highlight w:val="none"/>
        </w:rPr>
        <w:t>个工作日内</w:t>
      </w:r>
      <w:r>
        <w:rPr>
          <w:rFonts w:hint="eastAsia"/>
          <w:color w:val="auto"/>
          <w:highlight w:val="none"/>
          <w:lang w:val="en-US" w:eastAsia="zh-CN"/>
        </w:rPr>
        <w:t>可</w:t>
      </w:r>
      <w:r>
        <w:rPr>
          <w:rFonts w:hint="eastAsia"/>
          <w:color w:val="auto"/>
          <w:highlight w:val="none"/>
        </w:rPr>
        <w:t>向甲方申请合同总金额的</w:t>
      </w:r>
      <w:r>
        <w:rPr>
          <w:rFonts w:hint="eastAsia"/>
          <w:color w:val="auto"/>
          <w:highlight w:val="none"/>
          <w:lang w:val="en-US" w:eastAsia="zh-CN"/>
        </w:rPr>
        <w:t>30%</w:t>
      </w:r>
      <w:r>
        <w:rPr>
          <w:rFonts w:hint="eastAsia"/>
          <w:color w:val="auto"/>
          <w:highlight w:val="none"/>
        </w:rPr>
        <w:t>作为进度款；</w:t>
      </w:r>
    </w:p>
    <w:p>
      <w:pPr>
        <w:pStyle w:val="4"/>
        <w:numPr>
          <w:ilvl w:val="0"/>
          <w:numId w:val="0"/>
        </w:numPr>
        <w:ind w:firstLine="420" w:firstLineChars="200"/>
        <w:rPr>
          <w:rFonts w:hint="eastAsia"/>
          <w:color w:val="auto"/>
          <w:highlight w:val="none"/>
        </w:rPr>
      </w:pP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项目通过验</w:t>
      </w:r>
      <w:r>
        <w:rPr>
          <w:rFonts w:hint="eastAsia"/>
          <w:color w:val="auto"/>
          <w:highlight w:val="none"/>
          <w:lang w:val="en-US" w:eastAsia="zh-CN"/>
        </w:rPr>
        <w:t>收</w:t>
      </w:r>
      <w:r>
        <w:rPr>
          <w:rFonts w:hint="eastAsia"/>
          <w:color w:val="auto"/>
          <w:highlight w:val="none"/>
        </w:rPr>
        <w:t>合格，</w:t>
      </w:r>
      <w:r>
        <w:rPr>
          <w:rFonts w:hint="eastAsia"/>
          <w:color w:val="auto"/>
          <w:highlight w:val="none"/>
          <w:lang w:val="en-US" w:eastAsia="zh-CN"/>
        </w:rPr>
        <w:t>乙方</w:t>
      </w:r>
      <w:r>
        <w:rPr>
          <w:rFonts w:hint="eastAsia"/>
          <w:color w:val="auto"/>
          <w:highlight w:val="none"/>
        </w:rPr>
        <w:t>在</w:t>
      </w:r>
      <w:r>
        <w:rPr>
          <w:rFonts w:hint="eastAsia"/>
          <w:color w:val="auto"/>
          <w:highlight w:val="none"/>
          <w:lang w:val="en-US" w:eastAsia="zh-CN"/>
        </w:rPr>
        <w:t>10</w:t>
      </w:r>
      <w:r>
        <w:rPr>
          <w:rFonts w:hint="eastAsia"/>
          <w:color w:val="auto"/>
          <w:highlight w:val="none"/>
        </w:rPr>
        <w:t>个工作日内</w:t>
      </w:r>
      <w:r>
        <w:rPr>
          <w:rFonts w:hint="eastAsia"/>
          <w:color w:val="auto"/>
          <w:highlight w:val="none"/>
          <w:lang w:val="en-US" w:eastAsia="zh-CN"/>
        </w:rPr>
        <w:t>可</w:t>
      </w:r>
      <w:r>
        <w:rPr>
          <w:rFonts w:hint="eastAsia"/>
          <w:color w:val="auto"/>
          <w:highlight w:val="none"/>
        </w:rPr>
        <w:t>向甲方申请合同总金额的20%；</w:t>
      </w:r>
    </w:p>
    <w:p>
      <w:pPr>
        <w:pStyle w:val="4"/>
        <w:numPr>
          <w:ilvl w:val="0"/>
          <w:numId w:val="0"/>
        </w:numPr>
        <w:ind w:firstLine="420" w:firstLineChars="200"/>
        <w:rPr>
          <w:rFonts w:hint="eastAsia"/>
          <w:color w:val="auto"/>
          <w:highlight w:val="none"/>
        </w:rPr>
      </w:pPr>
      <w:r>
        <w:rPr>
          <w:rFonts w:hint="eastAsia"/>
          <w:color w:val="auto"/>
          <w:highlight w:val="none"/>
          <w:lang w:val="en-US" w:eastAsia="zh-CN"/>
        </w:rPr>
        <w:t>5</w:t>
      </w:r>
      <w:r>
        <w:rPr>
          <w:rFonts w:hint="eastAsia"/>
          <w:color w:val="auto"/>
          <w:highlight w:val="none"/>
          <w:lang w:eastAsia="zh-CN"/>
        </w:rPr>
        <w:t>、</w:t>
      </w:r>
      <w:r>
        <w:rPr>
          <w:rFonts w:hint="eastAsia"/>
          <w:color w:val="auto"/>
          <w:highlight w:val="none"/>
          <w:lang w:val="en-US" w:eastAsia="zh-CN"/>
        </w:rPr>
        <w:t>甲方</w:t>
      </w:r>
      <w:r>
        <w:rPr>
          <w:rFonts w:hint="eastAsia"/>
          <w:color w:val="auto"/>
          <w:highlight w:val="none"/>
        </w:rPr>
        <w:t>在付款前，</w:t>
      </w:r>
      <w:r>
        <w:rPr>
          <w:rFonts w:hint="eastAsia"/>
          <w:color w:val="auto"/>
          <w:highlight w:val="none"/>
          <w:lang w:val="en-US" w:eastAsia="zh-CN"/>
        </w:rPr>
        <w:t>乙方</w:t>
      </w:r>
      <w:r>
        <w:rPr>
          <w:rFonts w:hint="eastAsia"/>
          <w:color w:val="auto"/>
          <w:highlight w:val="none"/>
        </w:rPr>
        <w:t>须向</w:t>
      </w:r>
      <w:r>
        <w:rPr>
          <w:rFonts w:hint="eastAsia"/>
          <w:color w:val="auto"/>
          <w:highlight w:val="none"/>
          <w:lang w:val="en-US" w:eastAsia="zh-CN"/>
        </w:rPr>
        <w:t>甲方</w:t>
      </w:r>
      <w:r>
        <w:rPr>
          <w:rFonts w:hint="eastAsia"/>
          <w:color w:val="auto"/>
          <w:highlight w:val="none"/>
        </w:rPr>
        <w:t>提供等额有效的合格发票</w:t>
      </w:r>
      <w:r>
        <w:rPr>
          <w:rFonts w:hint="eastAsia"/>
          <w:color w:val="auto"/>
          <w:highlight w:val="none"/>
          <w:lang w:eastAsia="zh-CN"/>
        </w:rPr>
        <w:t>，</w:t>
      </w:r>
      <w:r>
        <w:rPr>
          <w:rFonts w:hint="eastAsia"/>
          <w:color w:val="auto"/>
          <w:highlight w:val="none"/>
          <w:lang w:val="en-US" w:eastAsia="zh-CN"/>
        </w:rPr>
        <w:t>甲方</w:t>
      </w:r>
      <w:r>
        <w:rPr>
          <w:rFonts w:hint="eastAsia"/>
          <w:color w:val="auto"/>
          <w:highlight w:val="none"/>
        </w:rPr>
        <w:t>未收到发票的，有权不予支付相应款项并不承担延迟付款责任。</w:t>
      </w:r>
    </w:p>
    <w:p>
      <w:pPr>
        <w:spacing w:line="400" w:lineRule="exact"/>
        <w:ind w:firstLine="420" w:firstLineChars="200"/>
        <w:rPr>
          <w:color w:val="auto"/>
          <w:highlight w:val="none"/>
        </w:rPr>
      </w:pPr>
      <w:r>
        <w:rPr>
          <w:rFonts w:hint="eastAsia" w:ascii="宋体" w:hAnsi="宋体" w:cs="宋体"/>
          <w:color w:val="auto"/>
          <w:szCs w:val="21"/>
          <w:highlight w:val="none"/>
          <w:lang w:val="en-US" w:eastAsia="zh-CN"/>
        </w:rPr>
        <w:t>6、以上支付如遇国库支付程序原因，支付日期顺延(无息)，</w:t>
      </w:r>
      <w:r>
        <w:rPr>
          <w:rFonts w:hint="eastAsia"/>
          <w:color w:val="auto"/>
          <w:highlight w:val="none"/>
        </w:rPr>
        <w:t>并不承担延迟付款</w:t>
      </w:r>
      <w:r>
        <w:rPr>
          <w:rFonts w:hint="eastAsia"/>
          <w:color w:val="auto"/>
          <w:highlight w:val="none"/>
          <w:lang w:val="en-US" w:eastAsia="zh-CN"/>
        </w:rPr>
        <w:t>及违约</w:t>
      </w:r>
      <w:r>
        <w:rPr>
          <w:rFonts w:hint="eastAsia"/>
          <w:color w:val="auto"/>
          <w:highlight w:val="none"/>
        </w:rPr>
        <w:t>责任。</w:t>
      </w:r>
    </w:p>
    <w:p>
      <w:pPr>
        <w:widowControl/>
        <w:spacing w:line="400" w:lineRule="exact"/>
        <w:ind w:firstLine="422" w:firstLineChars="201"/>
        <w:jc w:val="left"/>
        <w:rPr>
          <w:rFonts w:ascii="宋体" w:hAnsi="宋体" w:cs="宋体"/>
          <w:color w:val="auto"/>
          <w:kern w:val="0"/>
          <w:szCs w:val="21"/>
          <w:highlight w:val="none"/>
        </w:rPr>
      </w:pPr>
      <w:bookmarkStart w:id="178" w:name="_Toc2652"/>
      <w:bookmarkStart w:id="179" w:name="_Toc7272"/>
      <w:bookmarkStart w:id="180" w:name="_Toc25711"/>
      <w:r>
        <w:rPr>
          <w:rFonts w:hint="eastAsia" w:ascii="宋体" w:hAnsi="宋体" w:cs="宋体"/>
          <w:b/>
          <w:color w:val="auto"/>
          <w:szCs w:val="21"/>
          <w:highlight w:val="none"/>
        </w:rPr>
        <w:t>第</w:t>
      </w:r>
      <w:r>
        <w:rPr>
          <w:rFonts w:hint="eastAsia" w:ascii="宋体" w:hAnsi="宋体" w:cs="宋体"/>
          <w:b/>
          <w:color w:val="auto"/>
          <w:szCs w:val="21"/>
          <w:highlight w:val="none"/>
          <w:lang w:val="en-US" w:eastAsia="zh-CN"/>
        </w:rPr>
        <w:t>九</w:t>
      </w:r>
      <w:r>
        <w:rPr>
          <w:rFonts w:hint="eastAsia" w:ascii="宋体" w:hAnsi="宋体" w:cs="宋体"/>
          <w:b/>
          <w:color w:val="auto"/>
          <w:szCs w:val="21"/>
          <w:highlight w:val="none"/>
        </w:rPr>
        <w:t xml:space="preserve">条 </w:t>
      </w:r>
      <w:r>
        <w:rPr>
          <w:rFonts w:hint="eastAsia" w:ascii="宋体" w:hAnsi="宋体" w:cs="宋体"/>
          <w:color w:val="auto"/>
          <w:kern w:val="0"/>
          <w:szCs w:val="21"/>
          <w:highlight w:val="none"/>
        </w:rPr>
        <w:t xml:space="preserve"> </w:t>
      </w:r>
      <w:r>
        <w:rPr>
          <w:rFonts w:hint="eastAsia" w:ascii="宋体" w:hAnsi="宋体" w:cs="宋体"/>
          <w:b/>
          <w:bCs w:val="0"/>
          <w:color w:val="auto"/>
          <w:sz w:val="21"/>
          <w:szCs w:val="21"/>
          <w:highlight w:val="none"/>
          <w:lang w:val="en-US" w:eastAsia="zh-CN"/>
        </w:rPr>
        <w:t>安全生产</w:t>
      </w:r>
    </w:p>
    <w:p>
      <w:pPr>
        <w:pStyle w:val="3"/>
        <w:ind w:left="567" w:leftChars="200" w:hanging="147" w:hangingChars="7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承诺在（施工）作业期间，严格按花坪保护区的要求，依照相关施工法律法规要求，明确安全责任，</w:t>
      </w:r>
    </w:p>
    <w:p>
      <w:pPr>
        <w:pStyle w:val="3"/>
        <w:ind w:left="0" w:leftChars="0" w:firstLine="0" w:firstLineChars="0"/>
        <w:rPr>
          <w:rFonts w:hint="default" w:ascii="宋体" w:hAnsi="宋体" w:eastAsia="宋体" w:cs="宋体"/>
          <w:color w:val="auto"/>
          <w:sz w:val="21"/>
          <w:szCs w:val="21"/>
          <w:highlight w:val="none"/>
          <w:lang w:val="en-US" w:eastAsia="zh-CN"/>
        </w:rPr>
      </w:pPr>
      <w:r>
        <w:rPr>
          <w:rFonts w:hint="eastAsia" w:ascii="宋体" w:hAnsi="宋体" w:cs="宋体"/>
          <w:b w:val="0"/>
          <w:bCs/>
          <w:color w:val="auto"/>
          <w:sz w:val="21"/>
          <w:szCs w:val="21"/>
          <w:highlight w:val="none"/>
          <w:lang w:val="en-US" w:eastAsia="zh-CN"/>
        </w:rPr>
        <w:t>做好施工组织设计和施工安全技术交底，服从保护区相关部门的日常管理和检查。</w:t>
      </w:r>
    </w:p>
    <w:p>
      <w:pPr>
        <w:pStyle w:val="3"/>
        <w:ind w:left="567" w:leftChars="200" w:hanging="147" w:hangingChars="70"/>
        <w:rPr>
          <w:rFonts w:ascii="宋体" w:hAnsi="宋体" w:cs="宋体"/>
          <w:b/>
          <w:bCs w:val="0"/>
          <w:color w:val="auto"/>
          <w:sz w:val="21"/>
          <w:szCs w:val="21"/>
          <w:highlight w:val="none"/>
        </w:rPr>
      </w:pPr>
      <w:r>
        <w:rPr>
          <w:rFonts w:hint="eastAsia" w:ascii="宋体" w:hAnsi="宋体" w:cs="宋体"/>
          <w:b/>
          <w:bCs w:val="0"/>
          <w:color w:val="auto"/>
          <w:sz w:val="21"/>
          <w:szCs w:val="21"/>
          <w:highlight w:val="none"/>
        </w:rPr>
        <w:t>第</w:t>
      </w:r>
      <w:r>
        <w:rPr>
          <w:rFonts w:hint="eastAsia" w:ascii="宋体" w:hAnsi="宋体" w:cs="宋体"/>
          <w:b/>
          <w:bCs w:val="0"/>
          <w:color w:val="auto"/>
          <w:sz w:val="21"/>
          <w:szCs w:val="21"/>
          <w:highlight w:val="none"/>
          <w:lang w:val="en-US" w:eastAsia="zh-CN"/>
        </w:rPr>
        <w:t>十</w:t>
      </w:r>
      <w:r>
        <w:rPr>
          <w:rFonts w:hint="eastAsia" w:ascii="宋体" w:hAnsi="宋体" w:cs="宋体"/>
          <w:b/>
          <w:bCs w:val="0"/>
          <w:color w:val="auto"/>
          <w:sz w:val="21"/>
          <w:szCs w:val="21"/>
          <w:highlight w:val="none"/>
        </w:rPr>
        <w:t>条  违约责任</w:t>
      </w:r>
      <w:bookmarkEnd w:id="178"/>
      <w:bookmarkEnd w:id="179"/>
      <w:bookmarkEnd w:id="180"/>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1、乙方所提供的服务质量不合格的，应及时调整，调整不及时的按逾期处罚，乙方应向甲方支付合同金额</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违约金并赔偿甲方经济损失。</w:t>
      </w:r>
    </w:p>
    <w:p>
      <w:pPr>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2、乙方提供的服务如果侵犯了第三方合法权益而引发的任何纠纷或诉讼，均由乙方负责交涉并承担全部责任。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3、乙方无故延期服务交付的，每天向甲方偿付违约合同金额</w:t>
      </w:r>
      <w:r>
        <w:rPr>
          <w:rFonts w:hint="eastAsia" w:ascii="宋体" w:hAnsi="宋体" w:cs="宋体"/>
          <w:color w:val="auto"/>
          <w:szCs w:val="21"/>
          <w:highlight w:val="none"/>
          <w:u w:val="single"/>
        </w:rPr>
        <w:t>2‰</w:t>
      </w:r>
      <w:r>
        <w:rPr>
          <w:rFonts w:hint="eastAsia" w:ascii="宋体" w:hAnsi="宋体" w:cs="宋体"/>
          <w:color w:val="auto"/>
          <w:szCs w:val="21"/>
          <w:highlight w:val="none"/>
        </w:rPr>
        <w:t>违约金，但违约金累计不得超过合同金额</w:t>
      </w:r>
      <w:r>
        <w:rPr>
          <w:rFonts w:hint="eastAsia" w:ascii="宋体" w:hAnsi="宋体" w:cs="宋体"/>
          <w:color w:val="auto"/>
          <w:szCs w:val="21"/>
          <w:highlight w:val="none"/>
          <w:u w:val="single"/>
        </w:rPr>
        <w:t>5%</w:t>
      </w:r>
      <w:r>
        <w:rPr>
          <w:rFonts w:hint="eastAsia" w:ascii="宋体" w:hAnsi="宋体" w:cs="宋体"/>
          <w:color w:val="auto"/>
          <w:szCs w:val="21"/>
          <w:highlight w:val="none"/>
        </w:rPr>
        <w:t>，超过</w:t>
      </w:r>
      <w:r>
        <w:rPr>
          <w:rFonts w:hint="eastAsia" w:ascii="宋体" w:hAnsi="宋体" w:cs="宋体"/>
          <w:color w:val="auto"/>
          <w:szCs w:val="21"/>
          <w:highlight w:val="none"/>
          <w:u w:val="single"/>
        </w:rPr>
        <w:t>20</w:t>
      </w:r>
      <w:r>
        <w:rPr>
          <w:rFonts w:hint="eastAsia" w:ascii="宋体" w:hAnsi="宋体" w:cs="宋体"/>
          <w:color w:val="auto"/>
          <w:szCs w:val="21"/>
          <w:highlight w:val="none"/>
        </w:rPr>
        <w:t>天甲方有权解除合同，违约方承担因此给对方造成经济损失；甲方不能按期付款的，每天向乙方偿付延合同金额</w:t>
      </w:r>
      <w:r>
        <w:rPr>
          <w:rFonts w:hint="eastAsia" w:ascii="宋体" w:hAnsi="宋体" w:cs="宋体"/>
          <w:color w:val="auto"/>
          <w:szCs w:val="21"/>
          <w:highlight w:val="none"/>
          <w:u w:val="single"/>
        </w:rPr>
        <w:t>3‰</w:t>
      </w:r>
      <w:r>
        <w:rPr>
          <w:rFonts w:hint="eastAsia" w:ascii="宋体" w:hAnsi="宋体" w:cs="宋体"/>
          <w:color w:val="auto"/>
          <w:szCs w:val="21"/>
          <w:highlight w:val="none"/>
        </w:rPr>
        <w:t>滞纳金，但滞纳金累计不得超过合同金额</w:t>
      </w:r>
      <w:r>
        <w:rPr>
          <w:rFonts w:hint="eastAsia" w:ascii="宋体" w:hAnsi="宋体" w:cs="宋体"/>
          <w:color w:val="auto"/>
          <w:szCs w:val="21"/>
          <w:highlight w:val="none"/>
          <w:u w:val="single"/>
        </w:rPr>
        <w:t>5%</w:t>
      </w:r>
      <w:r>
        <w:rPr>
          <w:rFonts w:hint="eastAsia" w:ascii="宋体" w:hAnsi="宋体" w:cs="宋体"/>
          <w:color w:val="auto"/>
          <w:szCs w:val="21"/>
          <w:highlight w:val="none"/>
        </w:rPr>
        <w:t>。</w:t>
      </w:r>
    </w:p>
    <w:p>
      <w:pPr>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4、乙方未按本合同和响应文件中规定的服务承诺提供服务的，乙方应按本合同合同金额</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向甲方支付违约金。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5、其他违约行为按照合同金额额</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收取违约金并赔偿经济损失。</w:t>
      </w:r>
    </w:p>
    <w:p>
      <w:pPr>
        <w:pStyle w:val="3"/>
        <w:ind w:left="567" w:leftChars="200" w:hanging="147" w:hangingChars="70"/>
        <w:rPr>
          <w:color w:val="auto"/>
          <w:highlight w:val="none"/>
        </w:rPr>
      </w:pPr>
      <w:bookmarkStart w:id="181" w:name="_Toc8363"/>
      <w:bookmarkStart w:id="182" w:name="_Toc1538"/>
      <w:bookmarkStart w:id="183" w:name="_Toc16745"/>
      <w:r>
        <w:rPr>
          <w:rFonts w:hint="eastAsia" w:ascii="宋体" w:hAnsi="宋体" w:cs="宋体"/>
          <w:b/>
          <w:bCs w:val="0"/>
          <w:color w:val="auto"/>
          <w:sz w:val="21"/>
          <w:szCs w:val="21"/>
          <w:highlight w:val="none"/>
        </w:rPr>
        <w:t>第十</w:t>
      </w:r>
      <w:r>
        <w:rPr>
          <w:rFonts w:hint="eastAsia" w:ascii="宋体" w:hAnsi="宋体" w:cs="宋体"/>
          <w:b/>
          <w:bCs w:val="0"/>
          <w:color w:val="auto"/>
          <w:sz w:val="21"/>
          <w:szCs w:val="21"/>
          <w:highlight w:val="none"/>
          <w:lang w:val="en-US" w:eastAsia="zh-CN"/>
        </w:rPr>
        <w:t>一</w:t>
      </w:r>
      <w:r>
        <w:rPr>
          <w:rFonts w:hint="eastAsia" w:ascii="宋体" w:hAnsi="宋体" w:cs="宋体"/>
          <w:b/>
          <w:bCs w:val="0"/>
          <w:color w:val="auto"/>
          <w:sz w:val="21"/>
          <w:szCs w:val="21"/>
          <w:highlight w:val="none"/>
        </w:rPr>
        <w:t>条  不可抗力事件处理</w:t>
      </w:r>
      <w:bookmarkEnd w:id="181"/>
      <w:bookmarkEnd w:id="182"/>
      <w:bookmarkEnd w:id="183"/>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1、在合同有效期内，成交供应商因不可抗力事件导致不能履行合同，则合同履行期可延长，其延长期与不可抗力影响期相同。</w:t>
      </w:r>
    </w:p>
    <w:p>
      <w:pPr>
        <w:numPr>
          <w:ilvl w:val="0"/>
          <w:numId w:val="12"/>
        </w:numPr>
        <w:spacing w:line="360" w:lineRule="auto"/>
        <w:rPr>
          <w:rFonts w:ascii="宋体" w:hAnsi="宋体" w:cs="宋体"/>
          <w:color w:val="auto"/>
          <w:szCs w:val="21"/>
          <w:highlight w:val="none"/>
        </w:rPr>
      </w:pPr>
      <w:r>
        <w:rPr>
          <w:rFonts w:hint="eastAsia" w:ascii="宋体" w:hAnsi="宋体" w:cs="宋体"/>
          <w:color w:val="auto"/>
          <w:szCs w:val="21"/>
          <w:highlight w:val="none"/>
        </w:rPr>
        <w:t>不可抗力事件发生后，应立即通知对方，并寄送有关权威机构出具的证明。</w:t>
      </w:r>
    </w:p>
    <w:p>
      <w:pPr>
        <w:numPr>
          <w:ilvl w:val="0"/>
          <w:numId w:val="12"/>
        </w:numPr>
        <w:spacing w:line="360" w:lineRule="auto"/>
        <w:rPr>
          <w:rFonts w:ascii="宋体" w:hAnsi="宋体" w:cs="宋体"/>
          <w:color w:val="auto"/>
          <w:szCs w:val="21"/>
          <w:highlight w:val="none"/>
        </w:rPr>
      </w:pPr>
      <w:r>
        <w:rPr>
          <w:rFonts w:hint="eastAsia" w:ascii="宋体" w:hAnsi="宋体" w:cs="宋体"/>
          <w:color w:val="auto"/>
          <w:szCs w:val="21"/>
          <w:highlight w:val="none"/>
        </w:rPr>
        <w:t>不可抗力事件延续一百二十天以上，双方应通过友好协商，确定是否继续履行合同。</w:t>
      </w:r>
    </w:p>
    <w:p>
      <w:pPr>
        <w:pStyle w:val="3"/>
        <w:ind w:left="567" w:leftChars="200" w:hanging="147" w:hangingChars="70"/>
        <w:rPr>
          <w:rFonts w:ascii="宋体" w:hAnsi="宋体" w:cs="宋体"/>
          <w:b/>
          <w:bCs w:val="0"/>
          <w:color w:val="auto"/>
          <w:sz w:val="21"/>
          <w:szCs w:val="21"/>
          <w:highlight w:val="none"/>
        </w:rPr>
      </w:pPr>
      <w:bookmarkStart w:id="184" w:name="_Toc8638"/>
      <w:bookmarkStart w:id="185" w:name="_Toc7311"/>
      <w:bookmarkStart w:id="186" w:name="_Toc12796"/>
      <w:r>
        <w:rPr>
          <w:rFonts w:hint="eastAsia" w:ascii="宋体" w:hAnsi="宋体" w:cs="宋体"/>
          <w:b/>
          <w:bCs w:val="0"/>
          <w:color w:val="auto"/>
          <w:sz w:val="21"/>
          <w:szCs w:val="21"/>
          <w:highlight w:val="none"/>
        </w:rPr>
        <w:t>第十</w:t>
      </w:r>
      <w:r>
        <w:rPr>
          <w:rFonts w:hint="eastAsia" w:ascii="宋体" w:hAnsi="宋体" w:cs="宋体"/>
          <w:b/>
          <w:bCs w:val="0"/>
          <w:color w:val="auto"/>
          <w:sz w:val="21"/>
          <w:szCs w:val="21"/>
          <w:highlight w:val="none"/>
          <w:lang w:val="en-US" w:eastAsia="zh-CN"/>
        </w:rPr>
        <w:t>二</w:t>
      </w:r>
      <w:r>
        <w:rPr>
          <w:rFonts w:hint="eastAsia" w:ascii="宋体" w:hAnsi="宋体" w:cs="宋体"/>
          <w:b/>
          <w:bCs w:val="0"/>
          <w:color w:val="auto"/>
          <w:sz w:val="21"/>
          <w:szCs w:val="21"/>
          <w:highlight w:val="none"/>
        </w:rPr>
        <w:t>条  合同争议解决</w:t>
      </w:r>
      <w:bookmarkEnd w:id="184"/>
      <w:bookmarkEnd w:id="185"/>
      <w:bookmarkEnd w:id="186"/>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1、因服务问题发生争议的，应邀请国家认可的相关机构进行鉴定。服务符合要求的，鉴定费由采购人承担；服务不符合要求的，鉴定费由成交供应商承担。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2、因履行本合同引起的或与本合同有关的争议，甲乙双方应首先通过友好协商解决，如果协商不能解决，可向</w:t>
      </w:r>
      <w:r>
        <w:rPr>
          <w:rStyle w:val="48"/>
          <w:rFonts w:hint="eastAsia" w:ascii="宋体" w:hAnsi="宋体" w:cs="宋体"/>
          <w:color w:val="auto"/>
          <w:szCs w:val="21"/>
          <w:highlight w:val="none"/>
        </w:rPr>
        <w:t>项目所在地人</w:t>
      </w:r>
      <w:r>
        <w:rPr>
          <w:rFonts w:hint="eastAsia" w:ascii="宋体" w:hAnsi="宋体" w:cs="宋体"/>
          <w:color w:val="auto"/>
          <w:szCs w:val="21"/>
          <w:highlight w:val="none"/>
        </w:rPr>
        <w:t>民法院提起诉讼。</w:t>
      </w:r>
    </w:p>
    <w:p>
      <w:pPr>
        <w:spacing w:line="360" w:lineRule="auto"/>
        <w:ind w:left="435"/>
        <w:rPr>
          <w:rFonts w:ascii="宋体" w:hAnsi="宋体" w:cs="宋体"/>
          <w:color w:val="auto"/>
          <w:szCs w:val="21"/>
          <w:highlight w:val="none"/>
        </w:rPr>
      </w:pPr>
      <w:r>
        <w:rPr>
          <w:rFonts w:hint="eastAsia" w:ascii="宋体" w:hAnsi="宋体" w:cs="宋体"/>
          <w:color w:val="auto"/>
          <w:szCs w:val="21"/>
          <w:highlight w:val="none"/>
        </w:rPr>
        <w:t>3、诉讼期间，本合同继续履行。</w:t>
      </w:r>
    </w:p>
    <w:p>
      <w:pPr>
        <w:pStyle w:val="3"/>
        <w:ind w:left="567" w:leftChars="200" w:hanging="147" w:hangingChars="70"/>
        <w:rPr>
          <w:rFonts w:ascii="宋体" w:hAnsi="宋体" w:cs="宋体"/>
          <w:b/>
          <w:bCs w:val="0"/>
          <w:color w:val="auto"/>
          <w:sz w:val="21"/>
          <w:szCs w:val="21"/>
          <w:highlight w:val="none"/>
        </w:rPr>
      </w:pPr>
      <w:bookmarkStart w:id="187" w:name="_Toc27483"/>
      <w:bookmarkStart w:id="188" w:name="_Toc17823"/>
      <w:bookmarkStart w:id="189" w:name="_Toc26285"/>
      <w:r>
        <w:rPr>
          <w:rFonts w:hint="eastAsia" w:ascii="宋体" w:hAnsi="宋体" w:cs="宋体"/>
          <w:b/>
          <w:bCs w:val="0"/>
          <w:color w:val="auto"/>
          <w:sz w:val="21"/>
          <w:szCs w:val="21"/>
          <w:highlight w:val="none"/>
        </w:rPr>
        <w:t>第十</w:t>
      </w:r>
      <w:r>
        <w:rPr>
          <w:rFonts w:hint="eastAsia" w:ascii="宋体" w:hAnsi="宋体" w:cs="宋体"/>
          <w:b/>
          <w:bCs w:val="0"/>
          <w:color w:val="auto"/>
          <w:sz w:val="21"/>
          <w:szCs w:val="21"/>
          <w:highlight w:val="none"/>
          <w:lang w:val="en-US" w:eastAsia="zh-CN"/>
        </w:rPr>
        <w:t>三</w:t>
      </w:r>
      <w:r>
        <w:rPr>
          <w:rFonts w:hint="eastAsia" w:ascii="宋体" w:hAnsi="宋体" w:cs="宋体"/>
          <w:b/>
          <w:bCs w:val="0"/>
          <w:color w:val="auto"/>
          <w:sz w:val="21"/>
          <w:szCs w:val="21"/>
          <w:highlight w:val="none"/>
        </w:rPr>
        <w:t>条  合同生效及其它</w:t>
      </w:r>
      <w:bookmarkEnd w:id="187"/>
      <w:bookmarkEnd w:id="188"/>
      <w:bookmarkEnd w:id="18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1、合同经甲乙双方法定代表人或授权代表签字并加盖单位公章后生效。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2、合同执行中涉及采购资金和采购内容修改或补充的，需本级财政部门审批，并签订书面补充协议报</w:t>
      </w:r>
      <w:r>
        <w:rPr>
          <w:rFonts w:hint="eastAsia" w:ascii="宋体" w:hAnsi="宋体" w:cs="宋体"/>
          <w:color w:val="auto"/>
          <w:highlight w:val="none"/>
        </w:rPr>
        <w:t>本级财政部门</w:t>
      </w:r>
      <w:r>
        <w:rPr>
          <w:rFonts w:hint="eastAsia" w:ascii="宋体" w:hAnsi="宋体" w:cs="宋体"/>
          <w:color w:val="auto"/>
          <w:szCs w:val="21"/>
          <w:highlight w:val="none"/>
        </w:rPr>
        <w:t>备案，方可作为主合同不可分割的一部分。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pPr>
        <w:pStyle w:val="3"/>
        <w:ind w:left="567" w:leftChars="200" w:hanging="147" w:hangingChars="70"/>
        <w:rPr>
          <w:rFonts w:ascii="宋体" w:hAnsi="宋体" w:cs="宋体"/>
          <w:b/>
          <w:bCs w:val="0"/>
          <w:color w:val="auto"/>
          <w:sz w:val="21"/>
          <w:szCs w:val="21"/>
          <w:highlight w:val="none"/>
        </w:rPr>
      </w:pPr>
      <w:bookmarkStart w:id="190" w:name="_Toc12956"/>
      <w:bookmarkStart w:id="191" w:name="_Toc7824"/>
      <w:bookmarkStart w:id="192" w:name="_Toc31438"/>
      <w:r>
        <w:rPr>
          <w:rFonts w:hint="eastAsia" w:ascii="宋体" w:hAnsi="宋体" w:cs="宋体"/>
          <w:b/>
          <w:bCs w:val="0"/>
          <w:color w:val="auto"/>
          <w:sz w:val="21"/>
          <w:szCs w:val="21"/>
          <w:highlight w:val="none"/>
        </w:rPr>
        <w:t>第十</w:t>
      </w:r>
      <w:r>
        <w:rPr>
          <w:rFonts w:hint="eastAsia" w:ascii="宋体" w:hAnsi="宋体" w:cs="宋体"/>
          <w:b/>
          <w:bCs w:val="0"/>
          <w:color w:val="auto"/>
          <w:sz w:val="21"/>
          <w:szCs w:val="21"/>
          <w:highlight w:val="none"/>
          <w:lang w:val="en-US" w:eastAsia="zh-CN"/>
        </w:rPr>
        <w:t>四</w:t>
      </w:r>
      <w:r>
        <w:rPr>
          <w:rFonts w:hint="eastAsia" w:ascii="宋体" w:hAnsi="宋体" w:cs="宋体"/>
          <w:b/>
          <w:bCs w:val="0"/>
          <w:color w:val="auto"/>
          <w:sz w:val="21"/>
          <w:szCs w:val="21"/>
          <w:highlight w:val="none"/>
        </w:rPr>
        <w:t>条  合同的变更、终止与转让</w:t>
      </w:r>
      <w:bookmarkEnd w:id="190"/>
      <w:bookmarkEnd w:id="191"/>
      <w:bookmarkEnd w:id="192"/>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pPr>
        <w:numPr>
          <w:ilvl w:val="0"/>
          <w:numId w:val="13"/>
        </w:numPr>
        <w:spacing w:line="360" w:lineRule="auto"/>
        <w:rPr>
          <w:rFonts w:ascii="宋体" w:hAnsi="宋体" w:cs="宋体"/>
          <w:color w:val="auto"/>
          <w:szCs w:val="21"/>
          <w:highlight w:val="none"/>
        </w:rPr>
      </w:pPr>
      <w:r>
        <w:rPr>
          <w:rFonts w:hint="eastAsia" w:ascii="宋体" w:hAnsi="宋体" w:cs="宋体"/>
          <w:color w:val="auto"/>
          <w:szCs w:val="21"/>
          <w:highlight w:val="none"/>
        </w:rPr>
        <w:t>成交供应商不得擅自转让其应履行的合同义务。</w:t>
      </w:r>
    </w:p>
    <w:p>
      <w:pPr>
        <w:pStyle w:val="3"/>
        <w:ind w:left="567" w:leftChars="200" w:hanging="147" w:hangingChars="70"/>
        <w:rPr>
          <w:rFonts w:ascii="宋体" w:hAnsi="宋体" w:cs="宋体"/>
          <w:b/>
          <w:bCs w:val="0"/>
          <w:color w:val="auto"/>
          <w:sz w:val="21"/>
          <w:szCs w:val="21"/>
          <w:highlight w:val="none"/>
        </w:rPr>
      </w:pPr>
      <w:bookmarkStart w:id="193" w:name="_Toc32608"/>
      <w:bookmarkStart w:id="194" w:name="_Toc31091"/>
      <w:bookmarkStart w:id="195" w:name="_Toc14327"/>
      <w:r>
        <w:rPr>
          <w:rFonts w:hint="eastAsia" w:ascii="宋体" w:hAnsi="宋体" w:cs="宋体"/>
          <w:b/>
          <w:bCs w:val="0"/>
          <w:color w:val="auto"/>
          <w:sz w:val="21"/>
          <w:szCs w:val="21"/>
          <w:highlight w:val="none"/>
        </w:rPr>
        <w:t>第十</w:t>
      </w:r>
      <w:r>
        <w:rPr>
          <w:rFonts w:hint="eastAsia" w:ascii="宋体" w:hAnsi="宋体" w:cs="宋体"/>
          <w:b/>
          <w:bCs w:val="0"/>
          <w:color w:val="auto"/>
          <w:sz w:val="21"/>
          <w:szCs w:val="21"/>
          <w:highlight w:val="none"/>
          <w:lang w:val="en-US" w:eastAsia="zh-CN"/>
        </w:rPr>
        <w:t>五</w:t>
      </w:r>
      <w:r>
        <w:rPr>
          <w:rFonts w:hint="eastAsia" w:ascii="宋体" w:hAnsi="宋体" w:cs="宋体"/>
          <w:b/>
          <w:bCs w:val="0"/>
          <w:color w:val="auto"/>
          <w:sz w:val="21"/>
          <w:szCs w:val="21"/>
          <w:highlight w:val="none"/>
        </w:rPr>
        <w:t>条  签订本合同依据</w:t>
      </w:r>
      <w:bookmarkEnd w:id="193"/>
      <w:bookmarkEnd w:id="194"/>
      <w:bookmarkEnd w:id="195"/>
    </w:p>
    <w:p>
      <w:pPr>
        <w:spacing w:line="360" w:lineRule="auto"/>
        <w:ind w:left="420"/>
        <w:rPr>
          <w:rFonts w:ascii="宋体" w:hAnsi="宋体" w:cs="宋体"/>
          <w:color w:val="auto"/>
          <w:szCs w:val="21"/>
          <w:highlight w:val="none"/>
        </w:rPr>
      </w:pPr>
      <w:r>
        <w:rPr>
          <w:rFonts w:hint="eastAsia" w:ascii="宋体" w:hAnsi="宋体" w:cs="宋体"/>
          <w:color w:val="auto"/>
          <w:szCs w:val="21"/>
          <w:highlight w:val="none"/>
        </w:rPr>
        <w:t>1、竞争性磋商文件；</w:t>
      </w:r>
    </w:p>
    <w:p>
      <w:pPr>
        <w:spacing w:line="360" w:lineRule="auto"/>
        <w:ind w:left="224" w:leftChars="107" w:firstLine="210" w:firstLineChars="100"/>
        <w:rPr>
          <w:rFonts w:ascii="宋体" w:hAnsi="宋体" w:cs="宋体"/>
          <w:color w:val="auto"/>
          <w:szCs w:val="21"/>
          <w:highlight w:val="none"/>
        </w:rPr>
      </w:pPr>
      <w:r>
        <w:rPr>
          <w:rFonts w:hint="eastAsia" w:ascii="宋体" w:hAnsi="宋体" w:cs="宋体"/>
          <w:color w:val="auto"/>
          <w:szCs w:val="21"/>
          <w:highlight w:val="none"/>
        </w:rPr>
        <w:t>2、成交供应商的响应（或应答）文件；</w:t>
      </w:r>
    </w:p>
    <w:p>
      <w:pPr>
        <w:spacing w:line="360" w:lineRule="auto"/>
        <w:ind w:left="224" w:leftChars="107" w:firstLine="210" w:firstLineChars="100"/>
        <w:rPr>
          <w:rFonts w:ascii="宋体" w:hAnsi="宋体" w:cs="宋体"/>
          <w:color w:val="auto"/>
          <w:szCs w:val="21"/>
          <w:highlight w:val="none"/>
        </w:rPr>
      </w:pPr>
      <w:r>
        <w:rPr>
          <w:rFonts w:hint="eastAsia" w:ascii="宋体" w:hAnsi="宋体" w:cs="宋体"/>
          <w:color w:val="auto"/>
          <w:szCs w:val="21"/>
          <w:highlight w:val="none"/>
        </w:rPr>
        <w:t>3、服务承诺书；</w:t>
      </w:r>
    </w:p>
    <w:p>
      <w:pPr>
        <w:spacing w:line="360" w:lineRule="auto"/>
        <w:ind w:left="224" w:leftChars="107" w:firstLine="210" w:firstLineChars="100"/>
        <w:rPr>
          <w:rFonts w:ascii="宋体" w:hAnsi="宋体" w:cs="宋体"/>
          <w:color w:val="auto"/>
          <w:szCs w:val="21"/>
          <w:highlight w:val="none"/>
        </w:rPr>
      </w:pPr>
      <w:r>
        <w:rPr>
          <w:rFonts w:hint="eastAsia" w:ascii="宋体" w:hAnsi="宋体" w:cs="宋体"/>
          <w:color w:val="auto"/>
          <w:szCs w:val="21"/>
          <w:highlight w:val="none"/>
        </w:rPr>
        <w:t>4、磋商中的磋商记录；</w:t>
      </w:r>
    </w:p>
    <w:p>
      <w:pPr>
        <w:spacing w:line="360" w:lineRule="auto"/>
        <w:ind w:left="224" w:leftChars="107" w:firstLine="210" w:firstLineChars="100"/>
        <w:rPr>
          <w:rFonts w:ascii="宋体" w:hAnsi="宋体" w:cs="宋体"/>
          <w:color w:val="auto"/>
          <w:szCs w:val="21"/>
          <w:highlight w:val="none"/>
        </w:rPr>
      </w:pPr>
      <w:r>
        <w:rPr>
          <w:rFonts w:hint="eastAsia" w:ascii="宋体" w:hAnsi="宋体" w:cs="宋体"/>
          <w:color w:val="auto"/>
          <w:szCs w:val="21"/>
          <w:highlight w:val="none"/>
        </w:rPr>
        <w:t>5、成交通知书。</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合同甲乙双方签字盖章后生效，一式六份，具有同等法律效力，甲乙双方各持二份。双方自签订之日起一个工作日内，乙方将合同原件一份交采购代理机构。采购人于合同签订之日起七个工作日内将一份合同原件送本级财政部门备案。</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采购人名称（公章）：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成交供应商名称（公章）：</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p>
    <w:p>
      <w:pPr>
        <w:tabs>
          <w:tab w:val="left" w:pos="4680"/>
        </w:tabs>
        <w:spacing w:line="360" w:lineRule="auto"/>
        <w:rPr>
          <w:rFonts w:ascii="宋体" w:hAnsi="宋体" w:cs="宋体"/>
          <w:color w:val="auto"/>
          <w:szCs w:val="21"/>
          <w:highlight w:val="none"/>
          <w:u w:val="singl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pPr>
        <w:tabs>
          <w:tab w:val="left" w:pos="5040"/>
        </w:tabs>
        <w:spacing w:line="360" w:lineRule="auto"/>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 </w:t>
      </w:r>
      <w:r>
        <w:rPr>
          <w:rFonts w:hint="eastAsia" w:ascii="宋体" w:hAnsi="宋体" w:cs="宋体"/>
          <w:color w:val="auto"/>
          <w:szCs w:val="21"/>
          <w:highlight w:val="none"/>
          <w:u w:val="single"/>
        </w:rPr>
        <w:t xml:space="preserve">                                  </w:t>
      </w:r>
    </w:p>
    <w:p>
      <w:pPr>
        <w:tabs>
          <w:tab w:val="left" w:pos="5040"/>
        </w:tabs>
        <w:spacing w:line="360" w:lineRule="auto"/>
        <w:rPr>
          <w:rFonts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tabs>
          <w:tab w:val="left" w:pos="5040"/>
        </w:tabs>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tabs>
          <w:tab w:val="left" w:pos="5040"/>
        </w:tabs>
        <w:spacing w:line="360" w:lineRule="auto"/>
        <w:rPr>
          <w:rFonts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银行账号：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tabs>
          <w:tab w:val="left" w:pos="5040"/>
        </w:tabs>
        <w:spacing w:line="360" w:lineRule="auto"/>
        <w:rPr>
          <w:rFonts w:ascii="宋体" w:hAnsi="宋体" w:cs="宋体"/>
          <w:b/>
          <w:bCs/>
          <w:color w:val="auto"/>
          <w:kern w:val="44"/>
          <w:sz w:val="32"/>
          <w:szCs w:val="32"/>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pStyle w:val="11"/>
        <w:rPr>
          <w:color w:val="auto"/>
          <w:highlight w:val="none"/>
        </w:rPr>
      </w:pPr>
      <w:bookmarkStart w:id="196" w:name="_Toc16171"/>
    </w:p>
    <w:p>
      <w:pPr>
        <w:pStyle w:val="2"/>
        <w:rPr>
          <w:rFonts w:hint="eastAsia"/>
          <w:color w:val="auto"/>
          <w:highlight w:val="none"/>
        </w:rPr>
      </w:pPr>
    </w:p>
    <w:p>
      <w:pPr>
        <w:pStyle w:val="2"/>
        <w:rPr>
          <w:color w:val="auto"/>
          <w:highlight w:val="none"/>
        </w:rPr>
      </w:pPr>
      <w:r>
        <w:rPr>
          <w:rFonts w:hint="eastAsia"/>
          <w:color w:val="auto"/>
          <w:highlight w:val="none"/>
        </w:rPr>
        <w:t xml:space="preserve">第六章  </w:t>
      </w:r>
      <w:bookmarkEnd w:id="154"/>
      <w:bookmarkEnd w:id="155"/>
      <w:bookmarkStart w:id="197" w:name="_Toc13185"/>
      <w:r>
        <w:rPr>
          <w:rFonts w:hint="eastAsia"/>
          <w:color w:val="auto"/>
          <w:highlight w:val="none"/>
        </w:rPr>
        <w:t>响应文件（格式）</w:t>
      </w:r>
      <w:bookmarkEnd w:id="156"/>
      <w:bookmarkEnd w:id="196"/>
      <w:bookmarkEnd w:id="197"/>
    </w:p>
    <w:p>
      <w:pPr>
        <w:rPr>
          <w:rFonts w:ascii="宋体" w:hAnsi="宋体" w:cs="宋体"/>
          <w:color w:val="auto"/>
          <w:highlight w:val="none"/>
        </w:rPr>
      </w:pPr>
    </w:p>
    <w:p>
      <w:pPr>
        <w:pStyle w:val="16"/>
        <w:rPr>
          <w:rFonts w:hAnsi="宋体" w:cs="宋体"/>
          <w:b/>
          <w:color w:val="auto"/>
          <w:sz w:val="32"/>
          <w:highlight w:val="none"/>
        </w:rPr>
      </w:pPr>
      <w:bookmarkStart w:id="198" w:name="_Toc18351"/>
      <w:bookmarkStart w:id="199" w:name="_Toc497927069"/>
      <w:bookmarkStart w:id="200" w:name="_Toc21496"/>
      <w:r>
        <w:rPr>
          <w:rFonts w:hint="eastAsia" w:hAnsi="宋体" w:cs="宋体"/>
          <w:b/>
          <w:color w:val="auto"/>
          <w:sz w:val="32"/>
          <w:highlight w:val="none"/>
        </w:rPr>
        <w:t>一、响应文件袋（盒、箱）标记</w:t>
      </w:r>
      <w:bookmarkEnd w:id="198"/>
      <w:bookmarkEnd w:id="199"/>
      <w:bookmarkEnd w:id="200"/>
    </w:p>
    <w:p>
      <w:pPr>
        <w:adjustRightInd w:val="0"/>
        <w:snapToGrid w:val="0"/>
        <w:rPr>
          <w:rFonts w:ascii="宋体" w:hAnsi="宋体" w:cs="宋体"/>
          <w:b/>
          <w:color w:val="auto"/>
          <w:sz w:val="44"/>
          <w:szCs w:val="44"/>
          <w:highlight w:val="none"/>
        </w:rPr>
      </w:pPr>
    </w:p>
    <w:p>
      <w:pPr>
        <w:pStyle w:val="40"/>
        <w:rPr>
          <w:rFonts w:ascii="宋体" w:hAnsi="宋体" w:cs="宋体"/>
          <w:color w:val="auto"/>
          <w:highlight w:val="none"/>
        </w:rPr>
      </w:pPr>
    </w:p>
    <w:p>
      <w:pPr>
        <w:snapToGrid w:val="0"/>
        <w:spacing w:beforeLines="50" w:after="50"/>
        <w:jc w:val="center"/>
        <w:rPr>
          <w:rFonts w:ascii="宋体" w:hAnsi="宋体" w:cs="宋体"/>
          <w:b/>
          <w:color w:val="auto"/>
          <w:sz w:val="36"/>
          <w:szCs w:val="36"/>
          <w:highlight w:val="none"/>
        </w:rPr>
      </w:pPr>
      <w:r>
        <w:rPr>
          <w:rFonts w:hint="eastAsia" w:ascii="宋体" w:hAnsi="宋体" w:cs="宋体"/>
          <w:b/>
          <w:color w:val="auto"/>
          <w:sz w:val="36"/>
          <w:szCs w:val="36"/>
          <w:highlight w:val="none"/>
        </w:rPr>
        <w:t>响 应 文 件</w:t>
      </w:r>
    </w:p>
    <w:p>
      <w:pPr>
        <w:snapToGrid w:val="0"/>
        <w:spacing w:beforeLines="50" w:after="50"/>
        <w:ind w:firstLine="480" w:firstLineChars="150"/>
        <w:rPr>
          <w:rFonts w:ascii="宋体" w:hAnsi="宋体" w:cs="宋体"/>
          <w:b/>
          <w:color w:val="auto"/>
          <w:sz w:val="28"/>
          <w:szCs w:val="28"/>
          <w:highlight w:val="none"/>
        </w:rPr>
      </w:pPr>
      <w:r>
        <w:rPr>
          <w:rFonts w:hint="eastAsia" w:ascii="宋体" w:hAnsi="宋体" w:cs="宋体"/>
          <w:color w:val="auto"/>
          <w:sz w:val="32"/>
          <w:szCs w:val="32"/>
          <w:highlight w:val="none"/>
        </w:rPr>
        <w:t xml:space="preserve">                       </w:t>
      </w:r>
    </w:p>
    <w:p>
      <w:pPr>
        <w:snapToGrid w:val="0"/>
        <w:spacing w:beforeLines="50" w:after="50"/>
        <w:ind w:firstLine="420" w:firstLineChars="150"/>
        <w:rPr>
          <w:rFonts w:ascii="宋体" w:hAnsi="宋体" w:cs="宋体"/>
          <w:b/>
          <w:color w:val="auto"/>
          <w:sz w:val="28"/>
          <w:szCs w:val="28"/>
          <w:highlight w:val="none"/>
        </w:rPr>
      </w:pPr>
    </w:p>
    <w:p>
      <w:pPr>
        <w:snapToGrid w:val="0"/>
        <w:spacing w:beforeLines="50" w:after="50"/>
        <w:ind w:firstLine="420" w:firstLineChars="150"/>
        <w:rPr>
          <w:rFonts w:ascii="宋体" w:hAnsi="宋体" w:cs="宋体"/>
          <w:b/>
          <w:color w:val="auto"/>
          <w:sz w:val="28"/>
          <w:szCs w:val="28"/>
          <w:highlight w:val="none"/>
        </w:rPr>
      </w:pPr>
    </w:p>
    <w:p>
      <w:pPr>
        <w:snapToGrid w:val="0"/>
        <w:spacing w:beforeLines="50" w:after="50"/>
        <w:jc w:val="center"/>
        <w:rPr>
          <w:rFonts w:ascii="宋体" w:hAnsi="宋体" w:cs="宋体"/>
          <w:b/>
          <w:color w:val="auto"/>
          <w:sz w:val="28"/>
          <w:szCs w:val="28"/>
          <w:highlight w:val="none"/>
          <w:u w:val="single"/>
        </w:rPr>
      </w:pPr>
      <w:r>
        <w:rPr>
          <w:rFonts w:hint="eastAsia" w:ascii="宋体" w:hAnsi="宋体" w:cs="宋体"/>
          <w:b/>
          <w:color w:val="auto"/>
          <w:sz w:val="28"/>
          <w:szCs w:val="28"/>
          <w:highlight w:val="none"/>
        </w:rPr>
        <w:t>项目名称：</w:t>
      </w:r>
      <w:r>
        <w:rPr>
          <w:rFonts w:hint="eastAsia" w:ascii="宋体" w:hAnsi="宋体" w:cs="宋体"/>
          <w:b/>
          <w:bCs/>
          <w:color w:val="auto"/>
          <w:sz w:val="28"/>
          <w:szCs w:val="28"/>
          <w:highlight w:val="none"/>
          <w:u w:val="single"/>
        </w:rPr>
        <w:t>广西花坪国家级自然保护区保护监测系统建设项目</w:t>
      </w:r>
    </w:p>
    <w:p>
      <w:pPr>
        <w:snapToGrid w:val="0"/>
        <w:spacing w:beforeLines="50" w:after="50"/>
        <w:ind w:firstLine="2693" w:firstLineChars="962"/>
        <w:rPr>
          <w:rFonts w:ascii="宋体" w:hAnsi="宋体" w:cs="宋体"/>
          <w:b/>
          <w:color w:val="auto"/>
          <w:sz w:val="28"/>
          <w:szCs w:val="28"/>
          <w:highlight w:val="none"/>
        </w:rPr>
      </w:pPr>
    </w:p>
    <w:p>
      <w:pPr>
        <w:snapToGrid w:val="0"/>
        <w:spacing w:beforeLines="50" w:after="50"/>
        <w:rPr>
          <w:rFonts w:ascii="宋体" w:hAnsi="宋体" w:cs="宋体"/>
          <w:b/>
          <w:color w:val="auto"/>
          <w:sz w:val="28"/>
          <w:szCs w:val="28"/>
          <w:highlight w:val="none"/>
        </w:rPr>
      </w:pPr>
      <w:r>
        <w:rPr>
          <w:rFonts w:hint="eastAsia" w:ascii="宋体" w:hAnsi="宋体" w:cs="宋体"/>
          <w:b/>
          <w:color w:val="auto"/>
          <w:sz w:val="28"/>
          <w:szCs w:val="28"/>
          <w:highlight w:val="none"/>
        </w:rPr>
        <w:t xml:space="preserve">                  项目编号：</w:t>
      </w:r>
      <w:r>
        <w:rPr>
          <w:rFonts w:hint="eastAsia" w:ascii="宋体" w:hAnsi="宋体" w:cs="宋体"/>
          <w:b/>
          <w:color w:val="auto"/>
          <w:sz w:val="28"/>
          <w:szCs w:val="28"/>
          <w:highlight w:val="none"/>
          <w:u w:val="single"/>
          <w:lang w:eastAsia="zh-CN"/>
        </w:rPr>
        <w:t>GLZC2024-C3-990969-GXTG</w:t>
      </w:r>
    </w:p>
    <w:p>
      <w:pPr>
        <w:rPr>
          <w:rFonts w:ascii="宋体" w:hAnsi="宋体" w:cs="宋体"/>
          <w:b/>
          <w:color w:val="auto"/>
          <w:highlight w:val="none"/>
        </w:rPr>
      </w:pPr>
    </w:p>
    <w:p>
      <w:pPr>
        <w:pStyle w:val="40"/>
        <w:rPr>
          <w:rFonts w:ascii="宋体" w:hAnsi="宋体" w:cs="宋体"/>
          <w:b/>
          <w:color w:val="auto"/>
          <w:sz w:val="28"/>
          <w:szCs w:val="28"/>
          <w:highlight w:val="none"/>
        </w:rPr>
      </w:pPr>
    </w:p>
    <w:p>
      <w:pPr>
        <w:pStyle w:val="40"/>
        <w:rPr>
          <w:rFonts w:ascii="宋体" w:hAnsi="宋体" w:cs="宋体"/>
          <w:b/>
          <w:color w:val="auto"/>
          <w:sz w:val="28"/>
          <w:szCs w:val="28"/>
          <w:highlight w:val="none"/>
        </w:rPr>
      </w:pPr>
    </w:p>
    <w:p>
      <w:pPr>
        <w:snapToGrid w:val="0"/>
        <w:spacing w:beforeLines="50" w:after="50"/>
        <w:rPr>
          <w:rFonts w:ascii="宋体" w:hAnsi="宋体" w:cs="宋体"/>
          <w:b/>
          <w:color w:val="auto"/>
          <w:sz w:val="28"/>
          <w:szCs w:val="28"/>
          <w:highlight w:val="none"/>
          <w:u w:val="single"/>
        </w:rPr>
      </w:pPr>
      <w:r>
        <w:rPr>
          <w:rFonts w:hint="eastAsia" w:ascii="宋体" w:hAnsi="宋体" w:cs="宋体"/>
          <w:b/>
          <w:color w:val="auto"/>
          <w:sz w:val="28"/>
          <w:szCs w:val="28"/>
          <w:highlight w:val="none"/>
        </w:rPr>
        <w:t xml:space="preserve">  </w:t>
      </w:r>
      <w:r>
        <w:rPr>
          <w:rFonts w:hint="eastAsia" w:ascii="宋体" w:hAnsi="宋体" w:cs="宋体"/>
          <w:bCs/>
          <w:color w:val="auto"/>
          <w:sz w:val="28"/>
          <w:szCs w:val="28"/>
          <w:highlight w:val="none"/>
        </w:rPr>
        <w:t xml:space="preserve"> 采购代理机构：</w:t>
      </w:r>
      <w:r>
        <w:rPr>
          <w:rFonts w:hint="eastAsia" w:ascii="宋体" w:hAnsi="宋体" w:cs="宋体"/>
          <w:bCs/>
          <w:color w:val="auto"/>
          <w:sz w:val="28"/>
          <w:szCs w:val="28"/>
          <w:highlight w:val="none"/>
          <w:u w:val="single"/>
        </w:rPr>
        <w:t xml:space="preserve"> 广西天罡工程项目管理有限公司   </w:t>
      </w:r>
    </w:p>
    <w:p>
      <w:pPr>
        <w:pStyle w:val="12"/>
        <w:ind w:left="980" w:hanging="560" w:hangingChars="200"/>
        <w:rPr>
          <w:rFonts w:ascii="宋体" w:hAnsi="宋体" w:cs="宋体"/>
          <w:bCs/>
          <w:color w:val="auto"/>
          <w:sz w:val="28"/>
          <w:szCs w:val="28"/>
          <w:highlight w:val="none"/>
        </w:rPr>
      </w:pPr>
      <w:bookmarkStart w:id="201" w:name="_Toc20319_WPSOffice_Level2"/>
      <w:bookmarkStart w:id="202" w:name="_Toc4932_WPSOffice_Level2"/>
      <w:r>
        <w:rPr>
          <w:rFonts w:hint="eastAsia" w:ascii="宋体" w:hAnsi="宋体" w:cs="宋体"/>
          <w:bCs/>
          <w:color w:val="auto"/>
          <w:sz w:val="28"/>
          <w:szCs w:val="28"/>
          <w:highlight w:val="none"/>
        </w:rPr>
        <w:t>磋商供应商[(CA证书签章)、自然人除外]：</w:t>
      </w:r>
      <w:r>
        <w:rPr>
          <w:rFonts w:hint="eastAsia" w:ascii="宋体" w:hAnsi="宋体" w:cs="宋体"/>
          <w:bCs/>
          <w:color w:val="auto"/>
          <w:sz w:val="28"/>
          <w:szCs w:val="28"/>
          <w:highlight w:val="none"/>
          <w:u w:val="single"/>
        </w:rPr>
        <w:t xml:space="preserve">                       </w:t>
      </w:r>
      <w:bookmarkEnd w:id="201"/>
      <w:bookmarkEnd w:id="202"/>
      <w:r>
        <w:rPr>
          <w:rFonts w:hint="eastAsia" w:ascii="宋体" w:hAnsi="宋体" w:cs="宋体"/>
          <w:bCs/>
          <w:color w:val="auto"/>
          <w:sz w:val="28"/>
          <w:szCs w:val="28"/>
          <w:highlight w:val="none"/>
          <w:u w:val="single"/>
        </w:rPr>
        <w:t xml:space="preserve">       </w:t>
      </w:r>
    </w:p>
    <w:p>
      <w:pPr>
        <w:pStyle w:val="16"/>
        <w:spacing w:line="320" w:lineRule="exact"/>
        <w:ind w:firstLine="420"/>
        <w:rPr>
          <w:rFonts w:hAnsi="宋体" w:cs="宋体"/>
          <w:color w:val="auto"/>
          <w:sz w:val="28"/>
          <w:szCs w:val="28"/>
          <w:highlight w:val="none"/>
        </w:rPr>
      </w:pPr>
      <w:bookmarkStart w:id="203" w:name="_Toc32056_WPSOffice_Level2"/>
      <w:bookmarkStart w:id="204" w:name="_Toc9622_WPSOffice_Level2"/>
      <w:r>
        <w:rPr>
          <w:rFonts w:hint="eastAsia" w:hAnsi="宋体" w:cs="宋体"/>
          <w:color w:val="auto"/>
          <w:sz w:val="28"/>
          <w:szCs w:val="28"/>
          <w:highlight w:val="none"/>
        </w:rPr>
        <w:t>法定代表人、负责人、自然人或相应的委托代理人签字[或盖章(CA证书签章)]</w:t>
      </w:r>
    </w:p>
    <w:p>
      <w:pPr>
        <w:pStyle w:val="12"/>
        <w:ind w:left="980" w:hanging="560" w:hangingChars="200"/>
        <w:rPr>
          <w:rFonts w:ascii="宋体" w:hAnsi="宋体" w:cs="宋体"/>
          <w:color w:val="auto"/>
          <w:sz w:val="28"/>
          <w:szCs w:val="28"/>
          <w:highlight w:val="none"/>
          <w:u w:val="single"/>
        </w:rPr>
      </w:pPr>
      <w:r>
        <w:rPr>
          <w:rFonts w:hint="eastAsia" w:ascii="宋体" w:hAnsi="宋体" w:cs="宋体"/>
          <w:color w:val="auto"/>
          <w:sz w:val="28"/>
          <w:szCs w:val="28"/>
          <w:highlight w:val="none"/>
        </w:rPr>
        <w:t>（属自然人的应在签名处加盖大拇指指印或个人CA证书签章）：</w:t>
      </w:r>
      <w:r>
        <w:rPr>
          <w:rFonts w:hint="eastAsia" w:ascii="宋体" w:hAnsi="宋体" w:cs="宋体"/>
          <w:color w:val="auto"/>
          <w:sz w:val="28"/>
          <w:szCs w:val="28"/>
          <w:highlight w:val="none"/>
          <w:u w:val="single"/>
        </w:rPr>
        <w:t xml:space="preserve">              </w:t>
      </w:r>
    </w:p>
    <w:p>
      <w:pPr>
        <w:pStyle w:val="12"/>
        <w:ind w:left="980" w:hanging="560" w:hangingChars="200"/>
        <w:rPr>
          <w:rFonts w:ascii="宋体" w:hAnsi="宋体" w:cs="宋体"/>
          <w:bCs/>
          <w:color w:val="auto"/>
          <w:sz w:val="28"/>
          <w:szCs w:val="28"/>
          <w:highlight w:val="none"/>
          <w:u w:val="single"/>
        </w:rPr>
      </w:pPr>
      <w:r>
        <w:rPr>
          <w:rFonts w:hint="eastAsia" w:ascii="宋体" w:hAnsi="宋体" w:cs="宋体"/>
          <w:bCs/>
          <w:color w:val="auto"/>
          <w:sz w:val="28"/>
          <w:szCs w:val="28"/>
          <w:highlight w:val="none"/>
        </w:rPr>
        <w:t>联系电话：</w:t>
      </w:r>
      <w:bookmarkEnd w:id="203"/>
      <w:bookmarkEnd w:id="204"/>
      <w:r>
        <w:rPr>
          <w:rFonts w:hint="eastAsia" w:ascii="宋体" w:hAnsi="宋体" w:cs="宋体"/>
          <w:bCs/>
          <w:color w:val="auto"/>
          <w:sz w:val="28"/>
          <w:szCs w:val="28"/>
          <w:highlight w:val="none"/>
          <w:u w:val="single"/>
        </w:rPr>
        <w:t xml:space="preserve">                                                </w:t>
      </w:r>
    </w:p>
    <w:p>
      <w:pPr>
        <w:pStyle w:val="12"/>
        <w:ind w:left="980" w:hanging="560" w:hangingChars="200"/>
        <w:rPr>
          <w:rFonts w:ascii="宋体" w:hAnsi="宋体" w:cs="宋体"/>
          <w:bCs/>
          <w:color w:val="auto"/>
          <w:sz w:val="28"/>
          <w:szCs w:val="28"/>
          <w:highlight w:val="none"/>
        </w:rPr>
        <w:sectPr>
          <w:pgSz w:w="11906" w:h="16838"/>
          <w:pgMar w:top="1500" w:right="1134" w:bottom="1258" w:left="1134" w:header="850" w:footer="992" w:gutter="0"/>
          <w:cols w:space="720" w:num="1"/>
          <w:docGrid w:type="linesAndChars" w:linePitch="331" w:charSpace="0"/>
        </w:sectPr>
      </w:pPr>
      <w:bookmarkStart w:id="205" w:name="_Toc15933_WPSOffice_Level2"/>
      <w:bookmarkStart w:id="206" w:name="_Toc26465_WPSOffice_Level2"/>
      <w:r>
        <w:rPr>
          <w:rFonts w:hint="eastAsia" w:ascii="宋体" w:hAnsi="宋体" w:cs="宋体"/>
          <w:bCs/>
          <w:color w:val="auto"/>
          <w:sz w:val="28"/>
          <w:szCs w:val="28"/>
          <w:highlight w:val="none"/>
        </w:rPr>
        <w:t>日期：</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年</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月</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日</w:t>
      </w:r>
      <w:bookmarkEnd w:id="205"/>
      <w:bookmarkEnd w:id="206"/>
    </w:p>
    <w:p>
      <w:pPr>
        <w:rPr>
          <w:rFonts w:ascii="宋体" w:hAnsi="宋体" w:cs="宋体"/>
          <w:b/>
          <w:bCs/>
          <w:color w:val="auto"/>
          <w:sz w:val="32"/>
          <w:szCs w:val="32"/>
          <w:highlight w:val="none"/>
        </w:rPr>
      </w:pPr>
      <w:bookmarkStart w:id="207" w:name="_Toc19430"/>
      <w:bookmarkStart w:id="208" w:name="_Toc21615"/>
      <w:bookmarkStart w:id="209" w:name="_Toc497927070"/>
      <w:r>
        <w:rPr>
          <w:rFonts w:hint="eastAsia" w:ascii="宋体" w:hAnsi="宋体" w:cs="宋体"/>
          <w:b/>
          <w:bCs/>
          <w:color w:val="auto"/>
          <w:sz w:val="32"/>
          <w:szCs w:val="32"/>
          <w:highlight w:val="none"/>
        </w:rPr>
        <w:t>二、响应文件组成</w:t>
      </w:r>
      <w:bookmarkEnd w:id="207"/>
      <w:bookmarkEnd w:id="208"/>
      <w:bookmarkEnd w:id="209"/>
    </w:p>
    <w:p>
      <w:pPr>
        <w:pStyle w:val="10"/>
        <w:rPr>
          <w:rFonts w:ascii="宋体" w:hAnsi="宋体" w:cs="宋体"/>
          <w:color w:val="auto"/>
          <w:highlight w:val="none"/>
        </w:rPr>
      </w:pPr>
    </w:p>
    <w:p>
      <w:pPr>
        <w:pStyle w:val="10"/>
        <w:rPr>
          <w:rFonts w:ascii="宋体" w:hAnsi="宋体" w:cs="宋体"/>
          <w:color w:val="auto"/>
          <w:highlight w:val="none"/>
        </w:rPr>
      </w:pPr>
    </w:p>
    <w:p>
      <w:pPr>
        <w:spacing w:line="400" w:lineRule="exact"/>
        <w:rPr>
          <w:rFonts w:ascii="宋体" w:hAnsi="宋体" w:cs="宋体"/>
          <w:b/>
          <w:bCs/>
          <w:color w:val="auto"/>
          <w:sz w:val="28"/>
          <w:szCs w:val="28"/>
          <w:highlight w:val="none"/>
        </w:rPr>
      </w:pPr>
    </w:p>
    <w:p>
      <w:pPr>
        <w:pStyle w:val="10"/>
        <w:rPr>
          <w:rFonts w:ascii="宋体" w:hAnsi="宋体" w:cs="宋体"/>
          <w:b/>
          <w:bCs/>
          <w:color w:val="auto"/>
          <w:sz w:val="28"/>
          <w:szCs w:val="28"/>
          <w:highlight w:val="none"/>
        </w:rPr>
      </w:pPr>
    </w:p>
    <w:p>
      <w:pPr>
        <w:numPr>
          <w:ilvl w:val="0"/>
          <w:numId w:val="14"/>
        </w:numPr>
        <w:spacing w:line="400" w:lineRule="exact"/>
        <w:ind w:firstLine="565" w:firstLineChars="202"/>
        <w:rPr>
          <w:rFonts w:ascii="宋体" w:hAnsi="宋体" w:cs="宋体"/>
          <w:b/>
          <w:bCs/>
          <w:color w:val="auto"/>
          <w:sz w:val="28"/>
          <w:szCs w:val="28"/>
          <w:highlight w:val="none"/>
        </w:rPr>
      </w:pPr>
      <w:r>
        <w:rPr>
          <w:rFonts w:hint="eastAsia" w:ascii="宋体" w:hAnsi="宋体" w:cs="宋体"/>
          <w:b/>
          <w:bCs/>
          <w:color w:val="auto"/>
          <w:sz w:val="28"/>
          <w:szCs w:val="28"/>
          <w:highlight w:val="none"/>
        </w:rPr>
        <w:t>资格性响应证明材料</w:t>
      </w:r>
    </w:p>
    <w:p>
      <w:pPr>
        <w:pStyle w:val="10"/>
        <w:rPr>
          <w:rFonts w:ascii="宋体" w:hAnsi="宋体" w:cs="宋体"/>
          <w:b/>
          <w:bCs/>
          <w:color w:val="auto"/>
          <w:sz w:val="28"/>
          <w:szCs w:val="28"/>
          <w:highlight w:val="none"/>
        </w:rPr>
      </w:pPr>
    </w:p>
    <w:p>
      <w:pPr>
        <w:pStyle w:val="10"/>
        <w:rPr>
          <w:rFonts w:ascii="宋体" w:hAnsi="宋体" w:cs="宋体"/>
          <w:b/>
          <w:bCs/>
          <w:color w:val="auto"/>
          <w:sz w:val="28"/>
          <w:szCs w:val="28"/>
          <w:highlight w:val="none"/>
        </w:rPr>
      </w:pPr>
    </w:p>
    <w:p>
      <w:pPr>
        <w:numPr>
          <w:ilvl w:val="0"/>
          <w:numId w:val="14"/>
        </w:numPr>
        <w:spacing w:line="400" w:lineRule="exact"/>
        <w:ind w:firstLine="565" w:firstLineChars="202"/>
        <w:rPr>
          <w:rFonts w:ascii="宋体" w:hAnsi="宋体" w:cs="宋体"/>
          <w:b/>
          <w:bCs/>
          <w:color w:val="auto"/>
          <w:sz w:val="28"/>
          <w:szCs w:val="28"/>
          <w:highlight w:val="none"/>
        </w:rPr>
      </w:pPr>
      <w:r>
        <w:rPr>
          <w:rFonts w:hint="eastAsia" w:ascii="宋体" w:hAnsi="宋体" w:cs="宋体"/>
          <w:b/>
          <w:bCs/>
          <w:color w:val="auto"/>
          <w:sz w:val="28"/>
          <w:szCs w:val="28"/>
          <w:highlight w:val="none"/>
        </w:rPr>
        <w:t>符合性响应证明材料</w:t>
      </w:r>
    </w:p>
    <w:p>
      <w:pPr>
        <w:pStyle w:val="10"/>
        <w:rPr>
          <w:rFonts w:ascii="宋体" w:hAnsi="宋体" w:cs="宋体"/>
          <w:b/>
          <w:bCs/>
          <w:color w:val="auto"/>
          <w:sz w:val="28"/>
          <w:szCs w:val="28"/>
          <w:highlight w:val="none"/>
        </w:rPr>
      </w:pPr>
    </w:p>
    <w:p>
      <w:pPr>
        <w:pStyle w:val="10"/>
        <w:rPr>
          <w:rFonts w:ascii="宋体" w:hAnsi="宋体" w:cs="宋体"/>
          <w:b/>
          <w:bCs/>
          <w:color w:val="auto"/>
          <w:sz w:val="28"/>
          <w:szCs w:val="28"/>
          <w:highlight w:val="none"/>
        </w:rPr>
      </w:pPr>
    </w:p>
    <w:p>
      <w:pPr>
        <w:numPr>
          <w:ilvl w:val="0"/>
          <w:numId w:val="14"/>
        </w:numPr>
        <w:spacing w:line="400" w:lineRule="exact"/>
        <w:ind w:firstLine="565" w:firstLineChars="202"/>
        <w:rPr>
          <w:rFonts w:ascii="宋体" w:hAnsi="宋体" w:cs="宋体"/>
          <w:b/>
          <w:bCs/>
          <w:color w:val="auto"/>
          <w:sz w:val="28"/>
          <w:szCs w:val="28"/>
          <w:highlight w:val="none"/>
        </w:rPr>
      </w:pPr>
      <w:r>
        <w:rPr>
          <w:rFonts w:hint="eastAsia" w:ascii="宋体" w:hAnsi="宋体" w:cs="宋体"/>
          <w:b/>
          <w:bCs/>
          <w:color w:val="auto"/>
          <w:sz w:val="28"/>
          <w:szCs w:val="28"/>
          <w:highlight w:val="none"/>
        </w:rPr>
        <w:t>其他有效证明材料</w:t>
      </w:r>
    </w:p>
    <w:p>
      <w:pPr>
        <w:pStyle w:val="40"/>
        <w:rPr>
          <w:rFonts w:ascii="宋体" w:hAnsi="宋体" w:cs="宋体"/>
          <w:color w:val="auto"/>
          <w:highlight w:val="none"/>
        </w:rPr>
      </w:pPr>
    </w:p>
    <w:p>
      <w:pPr>
        <w:tabs>
          <w:tab w:val="left" w:pos="5040"/>
        </w:tabs>
        <w:spacing w:line="400" w:lineRule="exact"/>
        <w:rPr>
          <w:rFonts w:ascii="宋体" w:hAnsi="宋体" w:cs="宋体"/>
          <w:color w:val="auto"/>
          <w:szCs w:val="21"/>
          <w:highlight w:val="none"/>
        </w:rPr>
      </w:pPr>
    </w:p>
    <w:p>
      <w:pPr>
        <w:pStyle w:val="10"/>
        <w:rPr>
          <w:rFonts w:ascii="宋体" w:hAnsi="宋体" w:cs="宋体"/>
          <w:color w:val="auto"/>
          <w:szCs w:val="21"/>
          <w:highlight w:val="none"/>
        </w:rPr>
      </w:pPr>
    </w:p>
    <w:p>
      <w:pPr>
        <w:pStyle w:val="10"/>
        <w:rPr>
          <w:rFonts w:ascii="宋体" w:hAnsi="宋体" w:cs="宋体"/>
          <w:color w:val="auto"/>
          <w:szCs w:val="21"/>
          <w:highlight w:val="none"/>
        </w:rPr>
      </w:pPr>
    </w:p>
    <w:p>
      <w:pPr>
        <w:pStyle w:val="10"/>
        <w:rPr>
          <w:rFonts w:ascii="宋体" w:hAnsi="宋体" w:cs="宋体"/>
          <w:color w:val="auto"/>
          <w:szCs w:val="21"/>
          <w:highlight w:val="none"/>
        </w:rPr>
      </w:pPr>
    </w:p>
    <w:p>
      <w:pPr>
        <w:pStyle w:val="10"/>
        <w:rPr>
          <w:rFonts w:ascii="宋体" w:hAnsi="宋体" w:cs="宋体"/>
          <w:color w:val="auto"/>
          <w:szCs w:val="21"/>
          <w:highlight w:val="none"/>
        </w:rPr>
      </w:pPr>
    </w:p>
    <w:p>
      <w:pPr>
        <w:rPr>
          <w:rFonts w:ascii="宋体" w:hAnsi="宋体" w:cs="宋体"/>
          <w:color w:val="auto"/>
          <w:szCs w:val="21"/>
          <w:highlight w:val="none"/>
        </w:rPr>
      </w:pPr>
    </w:p>
    <w:p>
      <w:pPr>
        <w:pStyle w:val="40"/>
        <w:rPr>
          <w:rFonts w:ascii="宋体" w:hAnsi="宋体" w:cs="宋体"/>
          <w:color w:val="auto"/>
          <w:szCs w:val="21"/>
          <w:highlight w:val="none"/>
        </w:rPr>
      </w:pPr>
    </w:p>
    <w:p>
      <w:pPr>
        <w:pStyle w:val="40"/>
        <w:rPr>
          <w:rFonts w:ascii="宋体" w:hAnsi="宋体" w:cs="宋体"/>
          <w:color w:val="auto"/>
          <w:szCs w:val="21"/>
          <w:highlight w:val="none"/>
        </w:rPr>
      </w:pPr>
    </w:p>
    <w:p>
      <w:pPr>
        <w:pStyle w:val="40"/>
        <w:rPr>
          <w:rFonts w:ascii="宋体" w:hAnsi="宋体" w:cs="宋体"/>
          <w:color w:val="auto"/>
          <w:szCs w:val="21"/>
          <w:highlight w:val="none"/>
        </w:rPr>
      </w:pPr>
    </w:p>
    <w:p>
      <w:pPr>
        <w:pStyle w:val="40"/>
        <w:rPr>
          <w:rFonts w:ascii="宋体" w:hAnsi="宋体" w:cs="宋体"/>
          <w:color w:val="auto"/>
          <w:szCs w:val="21"/>
          <w:highlight w:val="none"/>
        </w:rPr>
      </w:pPr>
    </w:p>
    <w:p>
      <w:pPr>
        <w:pStyle w:val="40"/>
        <w:rPr>
          <w:rFonts w:ascii="宋体" w:hAnsi="宋体" w:cs="宋体"/>
          <w:color w:val="auto"/>
          <w:szCs w:val="21"/>
          <w:highlight w:val="none"/>
        </w:rPr>
      </w:pPr>
    </w:p>
    <w:p>
      <w:pPr>
        <w:pStyle w:val="40"/>
        <w:rPr>
          <w:rFonts w:ascii="宋体" w:hAnsi="宋体" w:cs="宋体"/>
          <w:color w:val="auto"/>
          <w:szCs w:val="21"/>
          <w:highlight w:val="none"/>
        </w:rPr>
      </w:pPr>
    </w:p>
    <w:p>
      <w:pPr>
        <w:pStyle w:val="40"/>
        <w:rPr>
          <w:rFonts w:ascii="宋体" w:hAnsi="宋体" w:cs="宋体"/>
          <w:color w:val="auto"/>
          <w:szCs w:val="21"/>
          <w:highlight w:val="none"/>
        </w:rPr>
      </w:pPr>
    </w:p>
    <w:p>
      <w:pPr>
        <w:pStyle w:val="40"/>
        <w:rPr>
          <w:rFonts w:ascii="宋体" w:hAnsi="宋体" w:cs="宋体"/>
          <w:color w:val="auto"/>
          <w:szCs w:val="21"/>
          <w:highlight w:val="none"/>
        </w:rPr>
      </w:pPr>
    </w:p>
    <w:p>
      <w:pPr>
        <w:pStyle w:val="40"/>
        <w:rPr>
          <w:rFonts w:ascii="宋体" w:hAnsi="宋体" w:cs="宋体"/>
          <w:color w:val="auto"/>
          <w:szCs w:val="21"/>
          <w:highlight w:val="none"/>
        </w:rPr>
      </w:pPr>
    </w:p>
    <w:p>
      <w:pPr>
        <w:pStyle w:val="40"/>
        <w:rPr>
          <w:rFonts w:ascii="宋体" w:hAnsi="宋体" w:cs="宋体"/>
          <w:color w:val="auto"/>
          <w:szCs w:val="21"/>
          <w:highlight w:val="none"/>
        </w:rPr>
      </w:pPr>
    </w:p>
    <w:p>
      <w:pPr>
        <w:pStyle w:val="40"/>
        <w:rPr>
          <w:rFonts w:ascii="宋体" w:hAnsi="宋体" w:cs="宋体"/>
          <w:color w:val="auto"/>
          <w:szCs w:val="21"/>
          <w:highlight w:val="none"/>
        </w:rPr>
      </w:pPr>
    </w:p>
    <w:p>
      <w:pPr>
        <w:pStyle w:val="40"/>
        <w:rPr>
          <w:rFonts w:ascii="宋体" w:hAnsi="宋体" w:cs="宋体"/>
          <w:color w:val="auto"/>
          <w:szCs w:val="21"/>
          <w:highlight w:val="none"/>
        </w:rPr>
      </w:pPr>
    </w:p>
    <w:p>
      <w:pPr>
        <w:pStyle w:val="40"/>
        <w:rPr>
          <w:rFonts w:ascii="宋体" w:hAnsi="宋体" w:cs="宋体"/>
          <w:color w:val="auto"/>
          <w:szCs w:val="21"/>
          <w:highlight w:val="none"/>
        </w:rPr>
      </w:pPr>
    </w:p>
    <w:p>
      <w:pPr>
        <w:pStyle w:val="40"/>
        <w:rPr>
          <w:rFonts w:ascii="宋体" w:hAnsi="宋体" w:cs="宋体"/>
          <w:color w:val="auto"/>
          <w:szCs w:val="21"/>
          <w:highlight w:val="none"/>
        </w:rPr>
      </w:pPr>
    </w:p>
    <w:p>
      <w:pPr>
        <w:pStyle w:val="40"/>
        <w:rPr>
          <w:rFonts w:ascii="宋体" w:hAnsi="宋体" w:cs="宋体"/>
          <w:color w:val="auto"/>
          <w:szCs w:val="21"/>
          <w:highlight w:val="none"/>
        </w:rPr>
      </w:pPr>
    </w:p>
    <w:p>
      <w:pPr>
        <w:rPr>
          <w:rFonts w:ascii="宋体" w:hAnsi="宋体" w:cs="宋体"/>
          <w:color w:val="auto"/>
          <w:highlight w:val="none"/>
        </w:rPr>
      </w:pPr>
      <w:bookmarkStart w:id="210" w:name="_Toc497927071"/>
      <w:bookmarkStart w:id="211" w:name="_Toc7185"/>
      <w:bookmarkStart w:id="212" w:name="_Toc11067"/>
    </w:p>
    <w:p>
      <w:pPr>
        <w:pStyle w:val="6"/>
        <w:jc w:val="center"/>
        <w:rPr>
          <w:rFonts w:ascii="宋体" w:hAnsi="宋体" w:cs="宋体"/>
          <w:color w:val="auto"/>
          <w:sz w:val="32"/>
          <w:szCs w:val="32"/>
          <w:highlight w:val="none"/>
        </w:rPr>
      </w:pPr>
      <w:r>
        <w:rPr>
          <w:rFonts w:hint="eastAsia" w:ascii="宋体" w:hAnsi="宋体" w:cs="宋体"/>
          <w:color w:val="auto"/>
          <w:sz w:val="32"/>
          <w:szCs w:val="32"/>
          <w:highlight w:val="none"/>
        </w:rPr>
        <w:t>（一）资格性响应证明材料目录</w:t>
      </w:r>
      <w:bookmarkEnd w:id="210"/>
      <w:bookmarkEnd w:id="211"/>
      <w:bookmarkEnd w:id="212"/>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1.供应商相应的法定代表人、负责人、自然人身份证正反两面复印件</w:t>
      </w:r>
      <w:r>
        <w:rPr>
          <w:rFonts w:hint="eastAsia" w:ascii="宋体" w:hAnsi="宋体" w:cs="宋体"/>
          <w:b/>
          <w:bCs/>
          <w:color w:val="auto"/>
          <w:sz w:val="24"/>
          <w:highlight w:val="none"/>
        </w:rPr>
        <w:t>（必须提供）</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如供应商为截标时间前60日以内成立的公司，可以提供供应商与委托代理人签订的劳动合同复印件代替社保证明复印件；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（2）如供应商为事业单位，可以提供事业单位机构编制管理证复印件或事业单位机构为其发放工资的工资条复印件代替社保证明复印件；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（3）如委托代理人为免缴纳社保人员，提供免缴纳社保的证明材料复印件及供应商与委托代理人签订的劳动合同复印件代替社保证明复印件。</w:t>
      </w:r>
    </w:p>
    <w:p>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cs="宋体"/>
          <w:color w:val="auto"/>
          <w:sz w:val="24"/>
          <w:highlight w:val="none"/>
        </w:rPr>
        <w:t>】</w:t>
      </w:r>
      <w:r>
        <w:rPr>
          <w:rFonts w:hint="eastAsia" w:ascii="宋体" w:hAnsi="宋体" w:cs="宋体"/>
          <w:b/>
          <w:bCs/>
          <w:color w:val="auto"/>
          <w:sz w:val="24"/>
          <w:highlight w:val="none"/>
        </w:rPr>
        <w:t>（委托代理时必须提供）；</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3.供应商参加政府采购活动前3年内在经营活动中没有重大违法记录及有关信用信息的书面声明</w:t>
      </w:r>
      <w:r>
        <w:rPr>
          <w:rFonts w:hint="eastAsia" w:ascii="宋体" w:hAnsi="宋体" w:cs="宋体"/>
          <w:b/>
          <w:bCs/>
          <w:color w:val="auto"/>
          <w:sz w:val="24"/>
          <w:highlight w:val="none"/>
        </w:rPr>
        <w:t>（必须提供）；</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4.供应商的法人或者其他组织营业执照等证明文件复印件</w:t>
      </w:r>
      <w:r>
        <w:rPr>
          <w:rFonts w:hint="eastAsia" w:ascii="宋体" w:hAnsi="宋体" w:cs="宋体"/>
          <w:b/>
          <w:bCs/>
          <w:color w:val="auto"/>
          <w:sz w:val="24"/>
          <w:highlight w:val="none"/>
        </w:rPr>
        <w:t>（必须提供，自然人除外）；</w:t>
      </w:r>
    </w:p>
    <w:p>
      <w:pPr>
        <w:spacing w:line="360" w:lineRule="auto"/>
        <w:ind w:firstLine="480" w:firstLineChars="200"/>
        <w:rPr>
          <w:rFonts w:ascii="宋体" w:hAnsi="宋体" w:cs="宋体"/>
          <w:color w:val="auto"/>
          <w:sz w:val="24"/>
          <w:highlight w:val="none"/>
        </w:rPr>
      </w:pPr>
    </w:p>
    <w:p>
      <w:pPr>
        <w:pStyle w:val="10"/>
        <w:rPr>
          <w:rFonts w:ascii="宋体" w:hAnsi="宋体" w:cs="宋体"/>
          <w:color w:val="auto"/>
          <w:sz w:val="24"/>
          <w:highlight w:val="none"/>
        </w:rPr>
      </w:pPr>
    </w:p>
    <w:p>
      <w:pPr>
        <w:pStyle w:val="11"/>
        <w:ind w:firstLine="480"/>
        <w:rPr>
          <w:rFonts w:ascii="宋体" w:hAnsi="宋体" w:cs="宋体"/>
          <w:color w:val="auto"/>
          <w:sz w:val="24"/>
          <w:highlight w:val="none"/>
        </w:rPr>
      </w:pPr>
    </w:p>
    <w:p>
      <w:pPr>
        <w:pStyle w:val="11"/>
        <w:ind w:firstLine="480"/>
        <w:rPr>
          <w:rFonts w:ascii="宋体" w:hAnsi="宋体" w:cs="宋体"/>
          <w:color w:val="auto"/>
          <w:sz w:val="24"/>
          <w:highlight w:val="none"/>
        </w:rPr>
      </w:pPr>
    </w:p>
    <w:p>
      <w:pPr>
        <w:pStyle w:val="11"/>
        <w:ind w:firstLine="480"/>
        <w:rPr>
          <w:rFonts w:ascii="宋体" w:hAnsi="宋体" w:cs="宋体"/>
          <w:color w:val="auto"/>
          <w:sz w:val="24"/>
          <w:highlight w:val="none"/>
        </w:rPr>
      </w:pPr>
    </w:p>
    <w:p>
      <w:pPr>
        <w:pStyle w:val="23"/>
        <w:ind w:firstLine="240"/>
        <w:rPr>
          <w:rFonts w:ascii="宋体" w:hAnsi="宋体" w:cs="宋体"/>
          <w:color w:val="auto"/>
          <w:sz w:val="24"/>
          <w:highlight w:val="none"/>
        </w:rPr>
      </w:pPr>
    </w:p>
    <w:p>
      <w:pPr>
        <w:pStyle w:val="23"/>
        <w:ind w:firstLine="240"/>
        <w:rPr>
          <w:rFonts w:ascii="宋体" w:hAnsi="宋体" w:cs="宋体"/>
          <w:color w:val="auto"/>
          <w:sz w:val="24"/>
          <w:highlight w:val="none"/>
        </w:rPr>
      </w:pPr>
    </w:p>
    <w:p>
      <w:pPr>
        <w:pStyle w:val="23"/>
        <w:ind w:firstLine="240"/>
        <w:rPr>
          <w:rFonts w:ascii="宋体" w:hAnsi="宋体" w:cs="宋体"/>
          <w:color w:val="auto"/>
          <w:sz w:val="24"/>
          <w:highlight w:val="none"/>
        </w:rPr>
      </w:pPr>
    </w:p>
    <w:p>
      <w:pPr>
        <w:pStyle w:val="23"/>
        <w:ind w:firstLine="240"/>
        <w:rPr>
          <w:rFonts w:ascii="宋体" w:hAnsi="宋体" w:cs="宋体"/>
          <w:color w:val="auto"/>
          <w:sz w:val="24"/>
          <w:highlight w:val="none"/>
        </w:rPr>
      </w:pPr>
    </w:p>
    <w:p>
      <w:pPr>
        <w:pStyle w:val="23"/>
        <w:ind w:firstLine="240"/>
        <w:rPr>
          <w:rFonts w:ascii="宋体" w:hAnsi="宋体" w:cs="宋体"/>
          <w:color w:val="auto"/>
          <w:sz w:val="24"/>
          <w:highlight w:val="none"/>
        </w:rPr>
      </w:pPr>
    </w:p>
    <w:p>
      <w:pPr>
        <w:pStyle w:val="16"/>
        <w:rPr>
          <w:rFonts w:hAnsi="宋体" w:cs="宋体"/>
          <w:b/>
          <w:color w:val="auto"/>
          <w:sz w:val="32"/>
          <w:highlight w:val="none"/>
        </w:rPr>
      </w:pPr>
    </w:p>
    <w:p>
      <w:pPr>
        <w:pStyle w:val="8"/>
        <w:rPr>
          <w:color w:val="auto"/>
          <w:highlight w:val="none"/>
        </w:rPr>
      </w:pPr>
    </w:p>
    <w:p>
      <w:pPr>
        <w:spacing w:line="360" w:lineRule="auto"/>
        <w:rPr>
          <w:rFonts w:ascii="宋体" w:hAnsi="宋体" w:cs="宋体"/>
          <w:b/>
          <w:bCs/>
          <w:color w:val="auto"/>
          <w:sz w:val="28"/>
          <w:szCs w:val="28"/>
          <w:highlight w:val="none"/>
        </w:rPr>
      </w:pPr>
      <w:r>
        <w:rPr>
          <w:rFonts w:hint="eastAsia" w:ascii="宋体" w:hAnsi="宋体" w:cs="宋体"/>
          <w:b/>
          <w:bCs/>
          <w:color w:val="auto"/>
          <w:sz w:val="28"/>
          <w:szCs w:val="28"/>
          <w:highlight w:val="none"/>
        </w:rPr>
        <w:t>1.供应商相应的法定代表人、负责人、自然人身份证正反两面复印件（必须提供）；</w:t>
      </w:r>
    </w:p>
    <w:p>
      <w:pPr>
        <w:spacing w:line="360" w:lineRule="auto"/>
        <w:rPr>
          <w:rFonts w:ascii="宋体" w:hAnsi="宋体" w:cs="宋体"/>
          <w:b/>
          <w:bCs/>
          <w:color w:val="auto"/>
          <w:sz w:val="28"/>
          <w:szCs w:val="28"/>
          <w:highlight w:val="none"/>
        </w:rPr>
      </w:pPr>
    </w:p>
    <w:p>
      <w:pPr>
        <w:pStyle w:val="10"/>
        <w:rPr>
          <w:rFonts w:ascii="宋体" w:hAnsi="宋体" w:cs="宋体"/>
          <w:b/>
          <w:bCs/>
          <w:color w:val="auto"/>
          <w:sz w:val="28"/>
          <w:szCs w:val="28"/>
          <w:highlight w:val="none"/>
        </w:rPr>
      </w:pPr>
    </w:p>
    <w:p>
      <w:pPr>
        <w:pStyle w:val="11"/>
        <w:rPr>
          <w:color w:val="auto"/>
          <w:highlight w:val="none"/>
        </w:rPr>
      </w:pPr>
    </w:p>
    <w:p>
      <w:pPr>
        <w:spacing w:line="360" w:lineRule="auto"/>
        <w:rPr>
          <w:rFonts w:ascii="宋体" w:hAnsi="宋体" w:cs="宋体"/>
          <w:b/>
          <w:bCs/>
          <w:color w:val="auto"/>
          <w:sz w:val="28"/>
          <w:szCs w:val="28"/>
          <w:highlight w:val="none"/>
        </w:rPr>
      </w:pPr>
    </w:p>
    <w:p>
      <w:pPr>
        <w:spacing w:line="360" w:lineRule="auto"/>
        <w:rPr>
          <w:rFonts w:ascii="宋体" w:hAnsi="宋体" w:cs="宋体"/>
          <w:b/>
          <w:bCs/>
          <w:color w:val="auto"/>
          <w:sz w:val="28"/>
          <w:szCs w:val="28"/>
          <w:highlight w:val="none"/>
        </w:rPr>
      </w:pPr>
      <w:r>
        <w:rPr>
          <w:rFonts w:hint="eastAsia" w:ascii="宋体" w:hAnsi="宋体" w:cs="宋体"/>
          <w:b/>
          <w:bCs/>
          <w:color w:val="auto"/>
          <w:sz w:val="28"/>
          <w:szCs w:val="28"/>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如供应商为截标时间前60日以内成立的公司，可以提供供应商与委托代理人签订的劳动合同复印件代替社保证明复印件；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（2）如供应商为事业单位，可以提供事业单位机构编制管理证复印件或事业单位机构为其发放工资的工资条复印件代替社保证明复印件；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（3）如委托代理人为免缴纳社保人员，提供免缴纳社保的证明材料复印件及供应商与委托代理人签订的劳动合同复印件代替社保证明复印件。</w:t>
      </w:r>
    </w:p>
    <w:p>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cs="宋体"/>
          <w:color w:val="auto"/>
          <w:sz w:val="24"/>
          <w:highlight w:val="none"/>
        </w:rPr>
        <w:t>】</w:t>
      </w:r>
      <w:r>
        <w:rPr>
          <w:rFonts w:hint="eastAsia" w:ascii="宋体" w:hAnsi="宋体" w:cs="宋体"/>
          <w:b/>
          <w:bCs/>
          <w:color w:val="auto"/>
          <w:sz w:val="24"/>
          <w:highlight w:val="none"/>
        </w:rPr>
        <w:t>（委托代理时必须提供）；</w:t>
      </w:r>
    </w:p>
    <w:p>
      <w:pPr>
        <w:pStyle w:val="16"/>
        <w:rPr>
          <w:rFonts w:hAnsi="宋体" w:cs="宋体"/>
          <w:b/>
          <w:color w:val="auto"/>
          <w:sz w:val="32"/>
          <w:highlight w:val="none"/>
        </w:rPr>
      </w:pPr>
    </w:p>
    <w:p>
      <w:pPr>
        <w:pStyle w:val="16"/>
        <w:rPr>
          <w:rFonts w:hAnsi="宋体" w:cs="宋体"/>
          <w:b/>
          <w:color w:val="auto"/>
          <w:sz w:val="32"/>
          <w:highlight w:val="none"/>
        </w:rPr>
      </w:pPr>
    </w:p>
    <w:p>
      <w:pPr>
        <w:pStyle w:val="16"/>
        <w:rPr>
          <w:rFonts w:hAnsi="宋体" w:cs="宋体"/>
          <w:b/>
          <w:color w:val="auto"/>
          <w:sz w:val="32"/>
          <w:highlight w:val="none"/>
        </w:rPr>
      </w:pPr>
    </w:p>
    <w:p>
      <w:pPr>
        <w:pStyle w:val="16"/>
        <w:rPr>
          <w:rFonts w:hAnsi="宋体" w:cs="宋体"/>
          <w:b/>
          <w:color w:val="auto"/>
          <w:sz w:val="32"/>
          <w:highlight w:val="none"/>
        </w:rPr>
      </w:pPr>
    </w:p>
    <w:p>
      <w:pPr>
        <w:pStyle w:val="16"/>
        <w:rPr>
          <w:rFonts w:hAnsi="宋体" w:cs="宋体"/>
          <w:b/>
          <w:color w:val="auto"/>
          <w:sz w:val="32"/>
          <w:highlight w:val="none"/>
        </w:rPr>
      </w:pPr>
    </w:p>
    <w:p>
      <w:pPr>
        <w:pStyle w:val="16"/>
        <w:rPr>
          <w:rFonts w:hAnsi="宋体" w:cs="宋体"/>
          <w:b/>
          <w:color w:val="auto"/>
          <w:sz w:val="32"/>
          <w:highlight w:val="none"/>
        </w:rPr>
      </w:pPr>
      <w:r>
        <w:rPr>
          <w:rFonts w:hint="eastAsia" w:hAnsi="宋体" w:cs="宋体"/>
          <w:b/>
          <w:color w:val="auto"/>
          <w:sz w:val="32"/>
          <w:highlight w:val="none"/>
        </w:rPr>
        <w:t xml:space="preserve">附件：            </w:t>
      </w:r>
    </w:p>
    <w:p>
      <w:pPr>
        <w:pStyle w:val="16"/>
        <w:ind w:firstLine="627" w:firstLineChars="196"/>
        <w:jc w:val="center"/>
        <w:rPr>
          <w:rFonts w:hAnsi="宋体" w:cs="宋体"/>
          <w:b/>
          <w:color w:val="auto"/>
          <w:sz w:val="32"/>
          <w:highlight w:val="none"/>
        </w:rPr>
      </w:pPr>
      <w:bookmarkStart w:id="213" w:name="_Toc964_WPSOffice_Level1"/>
      <w:bookmarkStart w:id="214" w:name="_Toc5420_WPSOffice_Level1"/>
      <w:r>
        <w:rPr>
          <w:rFonts w:hint="eastAsia" w:hAnsi="宋体" w:cs="宋体"/>
          <w:b/>
          <w:color w:val="auto"/>
          <w:sz w:val="32"/>
          <w:highlight w:val="none"/>
        </w:rPr>
        <w:t>授权委托书（格式一）</w:t>
      </w:r>
      <w:bookmarkEnd w:id="213"/>
      <w:bookmarkEnd w:id="214"/>
    </w:p>
    <w:p>
      <w:pPr>
        <w:pStyle w:val="16"/>
        <w:rPr>
          <w:rFonts w:hAnsi="宋体" w:cs="宋体"/>
          <w:color w:val="auto"/>
          <w:highlight w:val="none"/>
        </w:rPr>
      </w:pPr>
    </w:p>
    <w:p>
      <w:pPr>
        <w:spacing w:line="400" w:lineRule="exact"/>
        <w:rPr>
          <w:rFonts w:ascii="宋体" w:hAnsi="宋体" w:cs="宋体"/>
          <w:color w:val="auto"/>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广西天罡工程项目管理有限公司 </w:t>
      </w:r>
    </w:p>
    <w:p>
      <w:pPr>
        <w:spacing w:line="400" w:lineRule="exact"/>
        <w:rPr>
          <w:rFonts w:ascii="宋体" w:hAnsi="宋体" w:cs="宋体"/>
          <w:color w:val="auto"/>
          <w:szCs w:val="21"/>
          <w:highlight w:val="none"/>
        </w:rPr>
      </w:pPr>
    </w:p>
    <w:p>
      <w:pPr>
        <w:pStyle w:val="16"/>
        <w:spacing w:line="400" w:lineRule="exact"/>
        <w:ind w:firstLine="420" w:firstLineChars="200"/>
        <w:rPr>
          <w:rFonts w:hAnsi="宋体" w:cs="宋体"/>
          <w:color w:val="auto"/>
          <w:highlight w:val="none"/>
        </w:rPr>
      </w:pPr>
      <w:r>
        <w:rPr>
          <w:rFonts w:hint="eastAsia" w:hAnsi="宋体" w:cs="宋体"/>
          <w:color w:val="auto"/>
          <w:kern w:val="0"/>
          <w:highlight w:val="none"/>
        </w:rPr>
        <w:t>我</w:t>
      </w:r>
      <w:r>
        <w:rPr>
          <w:rFonts w:hint="eastAsia" w:hAnsi="宋体" w:cs="宋体"/>
          <w:color w:val="auto"/>
          <w:kern w:val="0"/>
          <w:highlight w:val="none"/>
          <w:u w:val="single"/>
        </w:rPr>
        <w:t xml:space="preserve">              </w:t>
      </w:r>
      <w:r>
        <w:rPr>
          <w:rFonts w:hint="eastAsia" w:hAnsi="宋体" w:cs="宋体"/>
          <w:color w:val="auto"/>
          <w:kern w:val="0"/>
          <w:highlight w:val="none"/>
        </w:rPr>
        <w:t>（姓名）系</w:t>
      </w:r>
      <w:r>
        <w:rPr>
          <w:rFonts w:hint="eastAsia" w:hAnsi="宋体" w:cs="宋体"/>
          <w:color w:val="auto"/>
          <w:kern w:val="0"/>
          <w:highlight w:val="none"/>
          <w:u w:val="single"/>
        </w:rPr>
        <w:t xml:space="preserve">                              </w:t>
      </w:r>
      <w:r>
        <w:rPr>
          <w:rFonts w:hint="eastAsia" w:hAnsi="宋体" w:cs="宋体"/>
          <w:color w:val="auto"/>
          <w:kern w:val="0"/>
          <w:highlight w:val="none"/>
        </w:rPr>
        <w:t>（供应商名称）的法定代表人（负责人），现授权委托本单位在职职工</w:t>
      </w:r>
      <w:r>
        <w:rPr>
          <w:rFonts w:hint="eastAsia" w:hAnsi="宋体" w:cs="宋体"/>
          <w:color w:val="auto"/>
          <w:kern w:val="0"/>
          <w:highlight w:val="none"/>
          <w:u w:val="single"/>
        </w:rPr>
        <w:t xml:space="preserve">            </w:t>
      </w:r>
      <w:r>
        <w:rPr>
          <w:rFonts w:hint="eastAsia" w:hAnsi="宋体" w:cs="宋体"/>
          <w:color w:val="auto"/>
          <w:kern w:val="0"/>
          <w:highlight w:val="none"/>
        </w:rPr>
        <w:t>（姓 名）以我公司名义参加</w:t>
      </w:r>
      <w:r>
        <w:rPr>
          <w:rFonts w:hint="eastAsia" w:hAnsi="宋体" w:cs="宋体"/>
          <w:color w:val="auto"/>
          <w:kern w:val="0"/>
          <w:highlight w:val="none"/>
          <w:u w:val="single"/>
        </w:rPr>
        <w:t xml:space="preserve">      </w:t>
      </w:r>
      <w:r>
        <w:rPr>
          <w:rFonts w:hint="eastAsia" w:hAnsi="宋体" w:cs="宋体"/>
          <w:color w:val="auto"/>
          <w:highlight w:val="none"/>
          <w:u w:val="single"/>
        </w:rPr>
        <w:t xml:space="preserve">（项目名称及项目编号）        </w:t>
      </w:r>
      <w:r>
        <w:rPr>
          <w:rFonts w:hint="eastAsia" w:hAnsi="宋体" w:cs="宋体"/>
          <w:color w:val="auto"/>
          <w:highlight w:val="none"/>
        </w:rPr>
        <w:t>项目的磋商活动，并代表我方全权办理针对上述项目的磋商、签约等具体事务和签署相关文件。</w:t>
      </w:r>
    </w:p>
    <w:p>
      <w:pPr>
        <w:pStyle w:val="16"/>
        <w:spacing w:line="400" w:lineRule="exact"/>
        <w:ind w:firstLine="420" w:firstLineChars="200"/>
        <w:rPr>
          <w:rFonts w:hAnsi="宋体" w:cs="宋体"/>
          <w:color w:val="auto"/>
          <w:highlight w:val="none"/>
        </w:rPr>
      </w:pPr>
      <w:r>
        <w:rPr>
          <w:rFonts w:hint="eastAsia" w:hAnsi="宋体" w:cs="宋体"/>
          <w:color w:val="auto"/>
          <w:highlight w:val="none"/>
        </w:rPr>
        <w:t>我方对被授权人的签字事项负全部责任。</w:t>
      </w:r>
    </w:p>
    <w:p>
      <w:pPr>
        <w:pStyle w:val="16"/>
        <w:spacing w:line="400" w:lineRule="exact"/>
        <w:ind w:firstLine="420" w:firstLineChars="200"/>
        <w:rPr>
          <w:rFonts w:hAnsi="宋体" w:cs="宋体"/>
          <w:color w:val="auto"/>
          <w:highlight w:val="none"/>
          <w:u w:val="single"/>
        </w:rPr>
      </w:pPr>
      <w:r>
        <w:rPr>
          <w:rFonts w:hint="eastAsia" w:hAnsi="宋体" w:cs="宋体"/>
          <w:color w:val="auto"/>
          <w:highlight w:val="none"/>
        </w:rPr>
        <w:t>授权委托代理期限：从</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 xml:space="preserve">月 </w:t>
      </w:r>
      <w:r>
        <w:rPr>
          <w:rFonts w:hint="eastAsia" w:hAnsi="宋体" w:cs="宋体"/>
          <w:color w:val="auto"/>
          <w:highlight w:val="none"/>
          <w:u w:val="single"/>
        </w:rPr>
        <w:t xml:space="preserve">    </w:t>
      </w:r>
      <w:r>
        <w:rPr>
          <w:rFonts w:hint="eastAsia" w:hAnsi="宋体" w:cs="宋体"/>
          <w:color w:val="auto"/>
          <w:highlight w:val="none"/>
        </w:rPr>
        <w:t xml:space="preserve"> 日起至</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 xml:space="preserve">月 </w:t>
      </w:r>
      <w:r>
        <w:rPr>
          <w:rFonts w:hint="eastAsia" w:hAnsi="宋体" w:cs="宋体"/>
          <w:color w:val="auto"/>
          <w:highlight w:val="none"/>
          <w:u w:val="single"/>
        </w:rPr>
        <w:t xml:space="preserve">     </w:t>
      </w:r>
      <w:r>
        <w:rPr>
          <w:rFonts w:hint="eastAsia" w:hAnsi="宋体" w:cs="宋体"/>
          <w:color w:val="auto"/>
          <w:highlight w:val="none"/>
        </w:rPr>
        <w:t>日止。</w:t>
      </w:r>
    </w:p>
    <w:p>
      <w:pPr>
        <w:pStyle w:val="16"/>
        <w:spacing w:line="400" w:lineRule="exact"/>
        <w:rPr>
          <w:rFonts w:hAnsi="宋体" w:cs="宋体"/>
          <w:color w:val="auto"/>
          <w:highlight w:val="none"/>
          <w:u w:val="single"/>
        </w:rPr>
      </w:pPr>
      <w:r>
        <w:rPr>
          <w:rFonts w:hint="eastAsia" w:hAnsi="宋体" w:cs="宋体"/>
          <w:color w:val="auto"/>
          <w:highlight w:val="none"/>
        </w:rPr>
        <w:t xml:space="preserve">                                                                                             </w:t>
      </w:r>
    </w:p>
    <w:p>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pPr>
        <w:spacing w:line="400" w:lineRule="exact"/>
        <w:ind w:firstLine="420" w:firstLineChars="200"/>
        <w:rPr>
          <w:rFonts w:ascii="宋体" w:hAnsi="宋体" w:cs="宋体"/>
          <w:color w:val="auto"/>
          <w:kern w:val="0"/>
          <w:highlight w:val="none"/>
        </w:rPr>
      </w:pP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我已在下面签字，以资证明。</w:t>
      </w:r>
    </w:p>
    <w:p>
      <w:pPr>
        <w:spacing w:line="400" w:lineRule="exact"/>
        <w:ind w:firstLine="420" w:firstLineChars="200"/>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p>
    <w:p>
      <w:pPr>
        <w:snapToGrid w:val="0"/>
        <w:spacing w:line="400" w:lineRule="exact"/>
        <w:ind w:firstLine="420"/>
        <w:rPr>
          <w:rFonts w:ascii="宋体" w:hAnsi="宋体" w:cs="宋体"/>
          <w:color w:val="auto"/>
          <w:szCs w:val="21"/>
          <w:highlight w:val="none"/>
          <w:u w:val="single"/>
        </w:rPr>
      </w:pPr>
      <w:r>
        <w:rPr>
          <w:rFonts w:hint="eastAsia" w:ascii="宋体" w:hAnsi="宋体" w:cs="宋体"/>
          <w:color w:val="auto"/>
          <w:szCs w:val="21"/>
          <w:highlight w:val="none"/>
        </w:rPr>
        <w:t>磋商供应商[（CA证书签章）]：</w:t>
      </w:r>
      <w:r>
        <w:rPr>
          <w:rFonts w:hint="eastAsia" w:ascii="宋体" w:hAnsi="宋体" w:cs="宋体"/>
          <w:color w:val="auto"/>
          <w:szCs w:val="21"/>
          <w:highlight w:val="none"/>
          <w:u w:val="single"/>
        </w:rPr>
        <w:t xml:space="preserve">                                   </w:t>
      </w:r>
    </w:p>
    <w:p>
      <w:pPr>
        <w:snapToGrid w:val="0"/>
        <w:spacing w:line="400" w:lineRule="exact"/>
        <w:ind w:firstLine="420"/>
        <w:rPr>
          <w:rFonts w:ascii="宋体" w:hAnsi="宋体" w:cs="宋体"/>
          <w:color w:val="auto"/>
          <w:szCs w:val="21"/>
          <w:highlight w:val="none"/>
        </w:rPr>
      </w:pPr>
    </w:p>
    <w:p>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法定代表人（负责人）签字（或个人CA证书签章）：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napToGrid w:val="0"/>
        <w:spacing w:line="400" w:lineRule="exact"/>
        <w:ind w:firstLine="420"/>
        <w:rPr>
          <w:rFonts w:ascii="宋体" w:hAnsi="宋体" w:cs="宋体"/>
          <w:color w:val="auto"/>
          <w:szCs w:val="21"/>
          <w:highlight w:val="none"/>
        </w:rPr>
      </w:pPr>
    </w:p>
    <w:p>
      <w:pPr>
        <w:pStyle w:val="10"/>
        <w:rPr>
          <w:rFonts w:ascii="宋体" w:hAnsi="宋体" w:cs="宋体"/>
          <w:color w:val="auto"/>
          <w:highlight w:val="none"/>
        </w:rPr>
      </w:pPr>
    </w:p>
    <w:p>
      <w:pPr>
        <w:pStyle w:val="16"/>
        <w:spacing w:line="340" w:lineRule="exact"/>
        <w:ind w:firstLine="480" w:firstLineChars="200"/>
        <w:rPr>
          <w:rFonts w:hAnsi="宋体" w:cs="宋体"/>
          <w:b/>
          <w:color w:val="auto"/>
          <w:sz w:val="24"/>
          <w:highlight w:val="none"/>
        </w:rPr>
        <w:sectPr>
          <w:pgSz w:w="11906" w:h="16838"/>
          <w:pgMar w:top="1500" w:right="1134" w:bottom="1258" w:left="1134" w:header="850" w:footer="992" w:gutter="0"/>
          <w:cols w:space="720" w:num="1"/>
          <w:docGrid w:type="linesAndChars" w:linePitch="331" w:charSpace="0"/>
        </w:sectPr>
      </w:pPr>
      <w:r>
        <w:rPr>
          <w:rFonts w:hint="eastAsia" w:hAnsi="宋体" w:cs="宋体"/>
          <w:b/>
          <w:color w:val="auto"/>
          <w:sz w:val="24"/>
          <w:highlight w:val="none"/>
        </w:rPr>
        <w:t>注：供应商的授权委托书原件、委托代理人身份证正反面复印件以及由县级以上（含县级）社会养老保险经办机构出具的供应商为委托代理人交纳的开标截止时间前半年内任意连续三个月社保证明复印件（如供应商为截标时间前60日以内成立的公司，可以提供供应商与委托代理人签订的劳动合同复印件代替社保证明复印件；如供应商为事业单位，可以提供事业单位机构编制管理证复印件或事业单位机构为其发放工资的工资条复印件代替社保证明复印件；如委托代理人为免缴纳社保人员，提供免缴纳社保的证明材料复印件及供应商与委托代理人签订的劳动合同复印件代替社保证明复印件）委托代理时必须提供。</w:t>
      </w:r>
    </w:p>
    <w:p>
      <w:pPr>
        <w:pStyle w:val="16"/>
        <w:jc w:val="center"/>
        <w:rPr>
          <w:rFonts w:hAnsi="宋体" w:cs="宋体"/>
          <w:b/>
          <w:color w:val="auto"/>
          <w:sz w:val="32"/>
          <w:highlight w:val="none"/>
        </w:rPr>
      </w:pPr>
      <w:bookmarkStart w:id="215" w:name="_Toc21370_WPSOffice_Level1"/>
      <w:bookmarkStart w:id="216" w:name="_Toc6975_WPSOffice_Level1"/>
      <w:r>
        <w:rPr>
          <w:rFonts w:hint="eastAsia" w:hAnsi="宋体" w:cs="宋体"/>
          <w:b/>
          <w:color w:val="auto"/>
          <w:sz w:val="32"/>
          <w:highlight w:val="none"/>
        </w:rPr>
        <w:t>授权委托书（格式二）</w:t>
      </w:r>
      <w:bookmarkEnd w:id="215"/>
      <w:bookmarkEnd w:id="216"/>
    </w:p>
    <w:p>
      <w:pPr>
        <w:pStyle w:val="16"/>
        <w:rPr>
          <w:rFonts w:hAnsi="宋体" w:cs="宋体"/>
          <w:b/>
          <w:color w:val="auto"/>
          <w:sz w:val="32"/>
          <w:highlight w:val="none"/>
        </w:rPr>
      </w:pPr>
    </w:p>
    <w:p>
      <w:pPr>
        <w:pStyle w:val="16"/>
        <w:rPr>
          <w:rFonts w:hAnsi="宋体" w:cs="宋体"/>
          <w:color w:val="auto"/>
          <w:szCs w:val="21"/>
          <w:highlight w:val="none"/>
          <w:u w:val="single"/>
        </w:rPr>
      </w:pPr>
      <w:r>
        <w:rPr>
          <w:rFonts w:hint="eastAsia" w:hAnsi="宋体" w:cs="宋体"/>
          <w:b/>
          <w:color w:val="auto"/>
          <w:szCs w:val="21"/>
          <w:highlight w:val="none"/>
        </w:rPr>
        <w:t>致</w:t>
      </w:r>
      <w:r>
        <w:rPr>
          <w:rFonts w:hint="eastAsia" w:hAnsi="宋体" w:cs="宋体"/>
          <w:color w:val="auto"/>
          <w:szCs w:val="21"/>
          <w:highlight w:val="none"/>
        </w:rPr>
        <w:t>：</w:t>
      </w:r>
      <w:r>
        <w:rPr>
          <w:rFonts w:hint="eastAsia" w:hAnsi="宋体" w:cs="宋体"/>
          <w:color w:val="auto"/>
          <w:szCs w:val="21"/>
          <w:highlight w:val="none"/>
          <w:u w:val="single"/>
        </w:rPr>
        <w:t xml:space="preserve"> 广西天罡工程项目管理有限公司 </w:t>
      </w:r>
    </w:p>
    <w:p>
      <w:pPr>
        <w:rPr>
          <w:rFonts w:ascii="宋体" w:hAnsi="宋体" w:cs="宋体"/>
          <w:color w:val="auto"/>
          <w:highlight w:val="none"/>
        </w:rPr>
      </w:pPr>
    </w:p>
    <w:p>
      <w:pPr>
        <w:pStyle w:val="16"/>
        <w:spacing w:line="340" w:lineRule="exact"/>
        <w:ind w:firstLine="420" w:firstLineChars="200"/>
        <w:rPr>
          <w:rFonts w:hAnsi="宋体" w:cs="宋体"/>
          <w:color w:val="auto"/>
          <w:highlight w:val="none"/>
        </w:rPr>
      </w:pPr>
      <w:r>
        <w:rPr>
          <w:rFonts w:hint="eastAsia" w:hAnsi="宋体" w:cs="宋体"/>
          <w:color w:val="auto"/>
          <w:kern w:val="0"/>
          <w:highlight w:val="none"/>
        </w:rPr>
        <w:t>我</w:t>
      </w:r>
      <w:r>
        <w:rPr>
          <w:rFonts w:hint="eastAsia" w:hAnsi="宋体" w:cs="宋体"/>
          <w:color w:val="auto"/>
          <w:kern w:val="0"/>
          <w:highlight w:val="none"/>
          <w:u w:val="single"/>
        </w:rPr>
        <w:t xml:space="preserve">              </w:t>
      </w:r>
      <w:r>
        <w:rPr>
          <w:rFonts w:hint="eastAsia" w:hAnsi="宋体" w:cs="宋体"/>
          <w:color w:val="auto"/>
          <w:kern w:val="0"/>
          <w:highlight w:val="none"/>
        </w:rPr>
        <w:t>（姓名）系自然人，现授权委托</w:t>
      </w:r>
      <w:r>
        <w:rPr>
          <w:rFonts w:hint="eastAsia" w:hAnsi="宋体" w:cs="宋体"/>
          <w:color w:val="auto"/>
          <w:kern w:val="0"/>
          <w:highlight w:val="none"/>
          <w:u w:val="single"/>
        </w:rPr>
        <w:t xml:space="preserve">            </w:t>
      </w:r>
      <w:r>
        <w:rPr>
          <w:rFonts w:hint="eastAsia" w:hAnsi="宋体" w:cs="宋体"/>
          <w:color w:val="auto"/>
          <w:kern w:val="0"/>
          <w:highlight w:val="none"/>
        </w:rPr>
        <w:t>（姓 名）以本人名义参加</w:t>
      </w:r>
      <w:r>
        <w:rPr>
          <w:rFonts w:hint="eastAsia" w:hAnsi="宋体" w:cs="宋体"/>
          <w:color w:val="auto"/>
          <w:kern w:val="0"/>
          <w:highlight w:val="none"/>
          <w:u w:val="single"/>
        </w:rPr>
        <w:t xml:space="preserve">      </w:t>
      </w:r>
      <w:r>
        <w:rPr>
          <w:rFonts w:hint="eastAsia" w:hAnsi="宋体" w:cs="宋体"/>
          <w:color w:val="auto"/>
          <w:highlight w:val="none"/>
          <w:u w:val="single"/>
        </w:rPr>
        <w:t xml:space="preserve">（项目名称及项目编号）        </w:t>
      </w:r>
      <w:r>
        <w:rPr>
          <w:rFonts w:hint="eastAsia" w:hAnsi="宋体" w:cs="宋体"/>
          <w:color w:val="auto"/>
          <w:highlight w:val="none"/>
        </w:rPr>
        <w:t>项目的磋商活动，并代表本人全权办理针对上述项目的磋商、签约等具体事务和签署相关文件。</w:t>
      </w:r>
    </w:p>
    <w:p>
      <w:pPr>
        <w:pStyle w:val="16"/>
        <w:spacing w:line="340" w:lineRule="exact"/>
        <w:ind w:firstLine="420" w:firstLineChars="200"/>
        <w:rPr>
          <w:rFonts w:hAnsi="宋体" w:cs="宋体"/>
          <w:color w:val="auto"/>
          <w:highlight w:val="none"/>
        </w:rPr>
      </w:pPr>
      <w:r>
        <w:rPr>
          <w:rFonts w:hint="eastAsia" w:hAnsi="宋体" w:cs="宋体"/>
          <w:color w:val="auto"/>
          <w:highlight w:val="none"/>
        </w:rPr>
        <w:t>本人对被授权人的签字事项负全部责任。</w:t>
      </w:r>
    </w:p>
    <w:p>
      <w:pPr>
        <w:pStyle w:val="16"/>
        <w:spacing w:line="340" w:lineRule="exact"/>
        <w:ind w:firstLine="420" w:firstLineChars="200"/>
        <w:rPr>
          <w:rFonts w:hAnsi="宋体" w:cs="宋体"/>
          <w:color w:val="auto"/>
          <w:highlight w:val="none"/>
          <w:u w:val="single"/>
        </w:rPr>
      </w:pPr>
      <w:r>
        <w:rPr>
          <w:rFonts w:hint="eastAsia" w:hAnsi="宋体" w:cs="宋体"/>
          <w:color w:val="auto"/>
          <w:highlight w:val="none"/>
        </w:rPr>
        <w:t>授权委托代理期限：从</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 xml:space="preserve">月 </w:t>
      </w:r>
      <w:r>
        <w:rPr>
          <w:rFonts w:hint="eastAsia" w:hAnsi="宋体" w:cs="宋体"/>
          <w:color w:val="auto"/>
          <w:highlight w:val="none"/>
          <w:u w:val="single"/>
        </w:rPr>
        <w:t xml:space="preserve">    </w:t>
      </w:r>
      <w:r>
        <w:rPr>
          <w:rFonts w:hint="eastAsia" w:hAnsi="宋体" w:cs="宋体"/>
          <w:color w:val="auto"/>
          <w:highlight w:val="none"/>
        </w:rPr>
        <w:t xml:space="preserve"> 日起至</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 xml:space="preserve">月 </w:t>
      </w:r>
      <w:r>
        <w:rPr>
          <w:rFonts w:hint="eastAsia" w:hAnsi="宋体" w:cs="宋体"/>
          <w:color w:val="auto"/>
          <w:highlight w:val="none"/>
          <w:u w:val="single"/>
        </w:rPr>
        <w:t xml:space="preserve">     </w:t>
      </w:r>
      <w:r>
        <w:rPr>
          <w:rFonts w:hint="eastAsia" w:hAnsi="宋体" w:cs="宋体"/>
          <w:color w:val="auto"/>
          <w:highlight w:val="none"/>
        </w:rPr>
        <w:t>日止。</w:t>
      </w:r>
    </w:p>
    <w:p>
      <w:pPr>
        <w:pStyle w:val="16"/>
        <w:spacing w:line="340" w:lineRule="exact"/>
        <w:rPr>
          <w:rFonts w:hAnsi="宋体" w:cs="宋体"/>
          <w:color w:val="auto"/>
          <w:highlight w:val="none"/>
          <w:u w:val="single"/>
        </w:rPr>
      </w:pPr>
      <w:r>
        <w:rPr>
          <w:rFonts w:hint="eastAsia" w:hAnsi="宋体" w:cs="宋体"/>
          <w:color w:val="auto"/>
          <w:highlight w:val="none"/>
        </w:rPr>
        <w:t xml:space="preserve">                                                                                             </w:t>
      </w:r>
    </w:p>
    <w:p>
      <w:pPr>
        <w:spacing w:line="3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pPr>
        <w:spacing w:line="340" w:lineRule="exact"/>
        <w:ind w:firstLine="420" w:firstLineChars="200"/>
        <w:rPr>
          <w:rFonts w:ascii="宋体" w:hAnsi="宋体" w:cs="宋体"/>
          <w:color w:val="auto"/>
          <w:kern w:val="0"/>
          <w:highlight w:val="none"/>
        </w:rPr>
      </w:pP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我已在下面签字，以资证明。</w:t>
      </w:r>
    </w:p>
    <w:p>
      <w:pPr>
        <w:spacing w:line="340" w:lineRule="exact"/>
        <w:ind w:firstLine="420" w:firstLineChars="200"/>
        <w:rPr>
          <w:rFonts w:ascii="宋体" w:hAnsi="宋体" w:cs="宋体"/>
          <w:color w:val="auto"/>
          <w:szCs w:val="21"/>
          <w:highlight w:val="none"/>
        </w:rPr>
      </w:pPr>
    </w:p>
    <w:p>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自然人签字并在签名处加盖大拇指指印或个人CA证书签章：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16"/>
        <w:spacing w:line="400" w:lineRule="exact"/>
        <w:ind w:left="420" w:leftChars="200"/>
        <w:rPr>
          <w:rFonts w:hAnsi="宋体" w:cs="宋体"/>
          <w:color w:val="auto"/>
          <w:szCs w:val="21"/>
          <w:highlight w:val="none"/>
        </w:rPr>
      </w:pPr>
    </w:p>
    <w:p>
      <w:pPr>
        <w:pStyle w:val="16"/>
        <w:spacing w:line="400" w:lineRule="exact"/>
        <w:rPr>
          <w:rFonts w:hAnsi="宋体" w:cs="宋体"/>
          <w:b/>
          <w:color w:val="auto"/>
          <w:szCs w:val="21"/>
          <w:highlight w:val="none"/>
        </w:rPr>
        <w:sectPr>
          <w:footerReference r:id="rId7" w:type="first"/>
          <w:footerReference r:id="rId6" w:type="default"/>
          <w:pgSz w:w="11906" w:h="16838"/>
          <w:pgMar w:top="1500" w:right="1134" w:bottom="1258" w:left="1134" w:header="720" w:footer="720" w:gutter="0"/>
          <w:cols w:space="720" w:num="1"/>
          <w:docGrid w:type="linesAndChars" w:linePitch="331" w:charSpace="0"/>
        </w:sectPr>
      </w:pPr>
      <w:r>
        <w:rPr>
          <w:rFonts w:hint="eastAsia" w:hAnsi="宋体" w:cs="宋体"/>
          <w:b/>
          <w:color w:val="auto"/>
          <w:szCs w:val="21"/>
          <w:highlight w:val="none"/>
        </w:rPr>
        <w:t>附：委托代理人身份证正反面复印件</w:t>
      </w:r>
    </w:p>
    <w:p>
      <w:pPr>
        <w:spacing w:line="440" w:lineRule="atLeast"/>
        <w:rPr>
          <w:rFonts w:ascii="宋体" w:hAnsi="宋体" w:cs="宋体"/>
          <w:b/>
          <w:color w:val="auto"/>
          <w:sz w:val="28"/>
          <w:szCs w:val="28"/>
          <w:highlight w:val="none"/>
        </w:rPr>
      </w:pPr>
      <w:r>
        <w:rPr>
          <w:rFonts w:hint="eastAsia" w:ascii="宋体" w:hAnsi="宋体" w:cs="宋体"/>
          <w:b/>
          <w:color w:val="auto"/>
          <w:sz w:val="28"/>
          <w:szCs w:val="28"/>
          <w:highlight w:val="none"/>
        </w:rPr>
        <w:t>3.供应商参加政府采购活动前3年内在经营活动中没有重大违法记录及有关信用信息的书面声明（必须提供）；</w:t>
      </w:r>
    </w:p>
    <w:p>
      <w:pPr>
        <w:pStyle w:val="16"/>
        <w:spacing w:line="400" w:lineRule="exact"/>
        <w:ind w:left="420" w:leftChars="200" w:firstLine="156" w:firstLineChars="49"/>
        <w:rPr>
          <w:rFonts w:hAnsi="宋体" w:cs="宋体"/>
          <w:b/>
          <w:color w:val="auto"/>
          <w:sz w:val="32"/>
          <w:szCs w:val="32"/>
          <w:highlight w:val="none"/>
        </w:rPr>
      </w:pPr>
      <w:r>
        <w:rPr>
          <w:rFonts w:hint="eastAsia" w:hAnsi="宋体" w:cs="宋体"/>
          <w:b/>
          <w:color w:val="auto"/>
          <w:sz w:val="32"/>
          <w:szCs w:val="32"/>
          <w:highlight w:val="none"/>
        </w:rPr>
        <w:t xml:space="preserve">                       </w:t>
      </w:r>
    </w:p>
    <w:p>
      <w:pPr>
        <w:pStyle w:val="16"/>
        <w:spacing w:line="400" w:lineRule="exact"/>
        <w:rPr>
          <w:rFonts w:hAnsi="宋体" w:cs="宋体"/>
          <w:b/>
          <w:color w:val="auto"/>
          <w:sz w:val="32"/>
          <w:szCs w:val="32"/>
          <w:highlight w:val="none"/>
        </w:rPr>
      </w:pPr>
      <w:r>
        <w:rPr>
          <w:rFonts w:hint="eastAsia" w:hAnsi="宋体" w:cs="宋体"/>
          <w:b/>
          <w:color w:val="auto"/>
          <w:sz w:val="32"/>
          <w:szCs w:val="32"/>
          <w:highlight w:val="none"/>
        </w:rPr>
        <w:t>附件：</w:t>
      </w:r>
    </w:p>
    <w:p>
      <w:pPr>
        <w:pStyle w:val="16"/>
        <w:spacing w:line="400" w:lineRule="exact"/>
        <w:jc w:val="center"/>
        <w:rPr>
          <w:rFonts w:hAnsi="宋体" w:cs="宋体"/>
          <w:b/>
          <w:color w:val="auto"/>
          <w:sz w:val="32"/>
          <w:szCs w:val="32"/>
          <w:highlight w:val="none"/>
        </w:rPr>
      </w:pPr>
      <w:bookmarkStart w:id="217" w:name="_Toc30890_WPSOffice_Level1"/>
      <w:bookmarkStart w:id="218" w:name="_Toc30304_WPSOffice_Level1"/>
      <w:r>
        <w:rPr>
          <w:rFonts w:hint="eastAsia" w:hAnsi="宋体" w:cs="宋体"/>
          <w:b/>
          <w:color w:val="auto"/>
          <w:sz w:val="32"/>
          <w:szCs w:val="32"/>
          <w:highlight w:val="none"/>
        </w:rPr>
        <w:t>声   明</w:t>
      </w:r>
      <w:bookmarkEnd w:id="217"/>
      <w:bookmarkEnd w:id="218"/>
    </w:p>
    <w:p>
      <w:pPr>
        <w:pStyle w:val="16"/>
        <w:spacing w:line="400" w:lineRule="exact"/>
        <w:rPr>
          <w:rFonts w:hAnsi="宋体" w:cs="宋体"/>
          <w:b/>
          <w:color w:val="auto"/>
          <w:sz w:val="32"/>
          <w:szCs w:val="32"/>
          <w:highlight w:val="none"/>
        </w:rPr>
      </w:pPr>
    </w:p>
    <w:p>
      <w:pPr>
        <w:pStyle w:val="16"/>
        <w:spacing w:line="400" w:lineRule="exact"/>
        <w:rPr>
          <w:rFonts w:hAnsi="宋体" w:cs="宋体"/>
          <w:color w:val="auto"/>
          <w:szCs w:val="21"/>
          <w:highlight w:val="none"/>
          <w:u w:val="single"/>
        </w:rPr>
      </w:pPr>
      <w:r>
        <w:rPr>
          <w:rFonts w:hint="eastAsia" w:hAnsi="宋体" w:cs="宋体"/>
          <w:b/>
          <w:color w:val="auto"/>
          <w:szCs w:val="21"/>
          <w:highlight w:val="none"/>
        </w:rPr>
        <w:t>致</w:t>
      </w:r>
      <w:r>
        <w:rPr>
          <w:rFonts w:hint="eastAsia" w:hAnsi="宋体" w:cs="宋体"/>
          <w:color w:val="auto"/>
          <w:szCs w:val="21"/>
          <w:highlight w:val="none"/>
        </w:rPr>
        <w:t>：</w:t>
      </w:r>
      <w:r>
        <w:rPr>
          <w:rFonts w:hint="eastAsia" w:hAnsi="宋体" w:cs="宋体"/>
          <w:color w:val="auto"/>
          <w:szCs w:val="21"/>
          <w:highlight w:val="none"/>
          <w:u w:val="single"/>
        </w:rPr>
        <w:t xml:space="preserve"> 广西天罡工程项目管理有限公司 </w:t>
      </w:r>
    </w:p>
    <w:p>
      <w:pPr>
        <w:rPr>
          <w:rFonts w:ascii="宋体" w:hAnsi="宋体" w:cs="宋体"/>
          <w:color w:val="auto"/>
          <w:szCs w:val="21"/>
          <w:highlight w:val="none"/>
          <w:u w:val="single"/>
        </w:rPr>
      </w:pPr>
    </w:p>
    <w:p>
      <w:pPr>
        <w:pStyle w:val="10"/>
        <w:rPr>
          <w:rFonts w:ascii="宋体" w:hAnsi="宋体" w:cs="宋体"/>
          <w:color w:val="auto"/>
          <w:highlight w:val="none"/>
        </w:rPr>
      </w:pPr>
    </w:p>
    <w:p>
      <w:pPr>
        <w:pStyle w:val="16"/>
        <w:spacing w:line="400" w:lineRule="exact"/>
        <w:ind w:firstLine="420" w:firstLineChars="200"/>
        <w:rPr>
          <w:rFonts w:hAnsi="宋体" w:cs="宋体"/>
          <w:color w:val="auto"/>
          <w:highlight w:val="none"/>
        </w:rPr>
      </w:pPr>
      <w:r>
        <w:rPr>
          <w:rFonts w:hint="eastAsia" w:hAnsi="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rPr>
          <w:rFonts w:ascii="宋体" w:hAnsi="宋体" w:cs="宋体"/>
          <w:color w:val="auto"/>
          <w:highlight w:val="none"/>
        </w:rPr>
      </w:pPr>
    </w:p>
    <w:p>
      <w:pPr>
        <w:snapToGrid w:val="0"/>
        <w:spacing w:line="400" w:lineRule="exact"/>
        <w:ind w:firstLine="1890" w:firstLineChars="900"/>
        <w:rPr>
          <w:rFonts w:ascii="宋体" w:hAnsi="宋体" w:cs="宋体"/>
          <w:color w:val="auto"/>
          <w:highlight w:val="none"/>
        </w:rPr>
      </w:pPr>
      <w:r>
        <w:rPr>
          <w:rFonts w:hint="eastAsia" w:ascii="宋体" w:hAnsi="宋体" w:cs="宋体"/>
          <w:color w:val="auto"/>
          <w:szCs w:val="21"/>
          <w:highlight w:val="none"/>
        </w:rPr>
        <w:t>磋商供应商[(CA证书签章)，自然人签字或个人CA证书签章]：</w:t>
      </w:r>
      <w:r>
        <w:rPr>
          <w:rFonts w:hint="eastAsia" w:ascii="宋体" w:hAnsi="宋体" w:cs="宋体"/>
          <w:color w:val="auto"/>
          <w:szCs w:val="21"/>
          <w:highlight w:val="none"/>
          <w:u w:val="single"/>
        </w:rPr>
        <w:t xml:space="preserve">                                         </w:t>
      </w:r>
    </w:p>
    <w:p>
      <w:pPr>
        <w:pStyle w:val="16"/>
        <w:ind w:firstLine="3990" w:firstLineChars="1900"/>
        <w:rPr>
          <w:rFonts w:hAnsi="宋体" w:cs="宋体"/>
          <w:color w:val="auto"/>
          <w:highlight w:val="none"/>
          <w:u w:val="single"/>
        </w:rPr>
        <w:sectPr>
          <w:pgSz w:w="11906" w:h="16838"/>
          <w:pgMar w:top="1500" w:right="1134" w:bottom="1258" w:left="1134" w:header="850" w:footer="992" w:gutter="0"/>
          <w:cols w:space="720" w:num="1"/>
          <w:docGrid w:type="linesAndChars" w:linePitch="331" w:charSpace="0"/>
        </w:sectPr>
      </w:pPr>
      <w:r>
        <w:rPr>
          <w:rFonts w:hint="eastAsia" w:hAnsi="宋体" w:cs="宋体"/>
          <w:color w:val="auto"/>
          <w:highlight w:val="none"/>
        </w:rPr>
        <w:t>日          期：</w:t>
      </w:r>
      <w:r>
        <w:rPr>
          <w:rFonts w:hint="eastAsia" w:hAnsi="宋体" w:cs="宋体"/>
          <w:color w:val="auto"/>
          <w:highlight w:val="none"/>
          <w:u w:val="single"/>
        </w:rPr>
        <w:t xml:space="preserve">                  </w:t>
      </w:r>
    </w:p>
    <w:p>
      <w:pPr>
        <w:pStyle w:val="16"/>
        <w:rPr>
          <w:rFonts w:hAnsi="宋体" w:cs="宋体"/>
          <w:b/>
          <w:color w:val="auto"/>
          <w:sz w:val="28"/>
          <w:szCs w:val="28"/>
          <w:highlight w:val="none"/>
        </w:rPr>
      </w:pPr>
      <w:r>
        <w:rPr>
          <w:rFonts w:hint="eastAsia" w:hAnsi="宋体" w:cs="宋体"/>
          <w:b/>
          <w:color w:val="auto"/>
          <w:sz w:val="28"/>
          <w:szCs w:val="28"/>
          <w:highlight w:val="none"/>
        </w:rPr>
        <w:t>4.供应商的法人或者其他组织营业执照等证明文件复印件（必须提供，自然人除外）；</w:t>
      </w:r>
    </w:p>
    <w:p>
      <w:pPr>
        <w:tabs>
          <w:tab w:val="left" w:pos="1305"/>
        </w:tabs>
        <w:spacing w:line="340" w:lineRule="exact"/>
        <w:rPr>
          <w:rFonts w:ascii="宋体" w:hAnsi="宋体" w:cs="宋体"/>
          <w:b/>
          <w:color w:val="auto"/>
          <w:szCs w:val="21"/>
          <w:highlight w:val="none"/>
        </w:rPr>
      </w:pPr>
    </w:p>
    <w:p>
      <w:pPr>
        <w:tabs>
          <w:tab w:val="left" w:pos="1305"/>
        </w:tabs>
        <w:spacing w:line="400" w:lineRule="exact"/>
        <w:rPr>
          <w:rFonts w:ascii="宋体" w:hAnsi="宋体" w:cs="宋体"/>
          <w:b/>
          <w:color w:val="auto"/>
          <w:szCs w:val="21"/>
          <w:highlight w:val="none"/>
        </w:rPr>
      </w:pPr>
      <w:r>
        <w:rPr>
          <w:rFonts w:hint="eastAsia" w:ascii="宋体" w:hAnsi="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rPr>
          <w:rFonts w:ascii="宋体" w:hAnsi="宋体" w:cs="宋体"/>
          <w:b/>
          <w:bCs/>
          <w:color w:val="auto"/>
          <w:sz w:val="28"/>
          <w:szCs w:val="28"/>
          <w:highlight w:val="none"/>
        </w:rPr>
      </w:pPr>
    </w:p>
    <w:p>
      <w:pPr>
        <w:pStyle w:val="39"/>
        <w:ind w:firstLine="562"/>
        <w:rPr>
          <w:rFonts w:cs="宋体"/>
          <w:b/>
          <w:bCs/>
          <w:color w:val="auto"/>
          <w:sz w:val="28"/>
          <w:szCs w:val="28"/>
          <w:highlight w:val="none"/>
        </w:rPr>
      </w:pPr>
    </w:p>
    <w:p>
      <w:pPr>
        <w:pStyle w:val="39"/>
        <w:ind w:firstLine="562"/>
        <w:rPr>
          <w:rFonts w:cs="宋体"/>
          <w:b/>
          <w:bCs/>
          <w:color w:val="auto"/>
          <w:sz w:val="28"/>
          <w:szCs w:val="28"/>
          <w:highlight w:val="none"/>
        </w:rPr>
      </w:pPr>
    </w:p>
    <w:p>
      <w:pPr>
        <w:pStyle w:val="39"/>
        <w:ind w:firstLine="562"/>
        <w:rPr>
          <w:rFonts w:cs="宋体"/>
          <w:b/>
          <w:bCs/>
          <w:color w:val="auto"/>
          <w:sz w:val="28"/>
          <w:szCs w:val="28"/>
          <w:highlight w:val="none"/>
        </w:rPr>
      </w:pPr>
    </w:p>
    <w:p>
      <w:pPr>
        <w:pStyle w:val="39"/>
        <w:ind w:firstLine="562"/>
        <w:rPr>
          <w:rFonts w:cs="宋体"/>
          <w:b/>
          <w:bCs/>
          <w:color w:val="auto"/>
          <w:sz w:val="28"/>
          <w:szCs w:val="28"/>
          <w:highlight w:val="none"/>
        </w:rPr>
      </w:pPr>
    </w:p>
    <w:p>
      <w:pPr>
        <w:pStyle w:val="39"/>
        <w:ind w:firstLine="562"/>
        <w:rPr>
          <w:rFonts w:cs="宋体"/>
          <w:b/>
          <w:bCs/>
          <w:color w:val="auto"/>
          <w:sz w:val="28"/>
          <w:szCs w:val="28"/>
          <w:highlight w:val="none"/>
        </w:rPr>
      </w:pPr>
    </w:p>
    <w:p>
      <w:pPr>
        <w:pStyle w:val="39"/>
        <w:ind w:firstLine="562"/>
        <w:rPr>
          <w:rFonts w:cs="宋体"/>
          <w:b/>
          <w:bCs/>
          <w:color w:val="auto"/>
          <w:sz w:val="28"/>
          <w:szCs w:val="28"/>
          <w:highlight w:val="none"/>
        </w:rPr>
      </w:pPr>
    </w:p>
    <w:p>
      <w:pPr>
        <w:pStyle w:val="39"/>
        <w:ind w:firstLine="562"/>
        <w:rPr>
          <w:rFonts w:cs="宋体"/>
          <w:b/>
          <w:bCs/>
          <w:color w:val="auto"/>
          <w:sz w:val="28"/>
          <w:szCs w:val="28"/>
          <w:highlight w:val="none"/>
        </w:rPr>
      </w:pPr>
    </w:p>
    <w:p>
      <w:pPr>
        <w:pStyle w:val="39"/>
        <w:ind w:firstLine="562"/>
        <w:rPr>
          <w:rFonts w:cs="宋体"/>
          <w:b/>
          <w:bCs/>
          <w:color w:val="auto"/>
          <w:sz w:val="28"/>
          <w:szCs w:val="28"/>
          <w:highlight w:val="none"/>
        </w:rPr>
      </w:pPr>
    </w:p>
    <w:p>
      <w:pPr>
        <w:pStyle w:val="39"/>
        <w:ind w:firstLine="562"/>
        <w:rPr>
          <w:rFonts w:cs="宋体"/>
          <w:b/>
          <w:bCs/>
          <w:color w:val="auto"/>
          <w:sz w:val="28"/>
          <w:szCs w:val="28"/>
          <w:highlight w:val="none"/>
        </w:rPr>
      </w:pPr>
    </w:p>
    <w:p>
      <w:pPr>
        <w:pStyle w:val="39"/>
        <w:ind w:firstLine="562"/>
        <w:rPr>
          <w:rFonts w:cs="宋体"/>
          <w:b/>
          <w:bCs/>
          <w:color w:val="auto"/>
          <w:sz w:val="28"/>
          <w:szCs w:val="28"/>
          <w:highlight w:val="none"/>
        </w:rPr>
      </w:pPr>
    </w:p>
    <w:p>
      <w:pPr>
        <w:pStyle w:val="39"/>
        <w:ind w:firstLine="562"/>
        <w:rPr>
          <w:rFonts w:cs="宋体"/>
          <w:b/>
          <w:bCs/>
          <w:color w:val="auto"/>
          <w:sz w:val="28"/>
          <w:szCs w:val="28"/>
          <w:highlight w:val="none"/>
        </w:rPr>
      </w:pPr>
    </w:p>
    <w:p>
      <w:pPr>
        <w:pStyle w:val="39"/>
        <w:ind w:firstLine="562"/>
        <w:rPr>
          <w:rFonts w:cs="宋体"/>
          <w:b/>
          <w:bCs/>
          <w:color w:val="auto"/>
          <w:sz w:val="28"/>
          <w:szCs w:val="28"/>
          <w:highlight w:val="none"/>
        </w:rPr>
      </w:pPr>
    </w:p>
    <w:p>
      <w:pPr>
        <w:pStyle w:val="39"/>
        <w:ind w:firstLine="562"/>
        <w:rPr>
          <w:rFonts w:cs="宋体"/>
          <w:b/>
          <w:bCs/>
          <w:color w:val="auto"/>
          <w:sz w:val="28"/>
          <w:szCs w:val="28"/>
          <w:highlight w:val="none"/>
        </w:rPr>
      </w:pPr>
    </w:p>
    <w:p>
      <w:pPr>
        <w:pStyle w:val="39"/>
        <w:ind w:firstLine="562"/>
        <w:rPr>
          <w:rFonts w:cs="宋体"/>
          <w:b/>
          <w:bCs/>
          <w:color w:val="auto"/>
          <w:sz w:val="28"/>
          <w:szCs w:val="28"/>
          <w:highlight w:val="none"/>
        </w:rPr>
      </w:pPr>
    </w:p>
    <w:p>
      <w:pPr>
        <w:pStyle w:val="39"/>
        <w:ind w:firstLine="562"/>
        <w:rPr>
          <w:rFonts w:cs="宋体"/>
          <w:b/>
          <w:bCs/>
          <w:color w:val="auto"/>
          <w:sz w:val="28"/>
          <w:szCs w:val="28"/>
          <w:highlight w:val="none"/>
        </w:rPr>
      </w:pPr>
    </w:p>
    <w:p>
      <w:pPr>
        <w:pStyle w:val="39"/>
        <w:ind w:firstLine="562"/>
        <w:rPr>
          <w:rFonts w:cs="宋体"/>
          <w:b/>
          <w:bCs/>
          <w:color w:val="auto"/>
          <w:sz w:val="28"/>
          <w:szCs w:val="28"/>
          <w:highlight w:val="none"/>
        </w:rPr>
      </w:pPr>
    </w:p>
    <w:p>
      <w:pPr>
        <w:ind w:left="42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（二）符合性响应证明材料目录</w:t>
      </w:r>
    </w:p>
    <w:p>
      <w:pPr>
        <w:numPr>
          <w:ilvl w:val="0"/>
          <w:numId w:val="15"/>
        </w:num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响应函</w:t>
      </w:r>
      <w:r>
        <w:rPr>
          <w:rFonts w:hint="eastAsia" w:ascii="宋体" w:hAnsi="宋体" w:cs="宋体"/>
          <w:b/>
          <w:bCs/>
          <w:color w:val="auto"/>
          <w:sz w:val="24"/>
          <w:highlight w:val="none"/>
        </w:rPr>
        <w:t>（格式见附件）（必须提供</w:t>
      </w:r>
      <w:r>
        <w:rPr>
          <w:color w:val="auto"/>
          <w:highlight w:val="none"/>
        </w:rPr>
        <w:t>）</w:t>
      </w:r>
      <w:r>
        <w:rPr>
          <w:rFonts w:hint="eastAsia" w:ascii="宋体" w:hAnsi="宋体" w:cs="宋体"/>
          <w:b/>
          <w:bCs/>
          <w:color w:val="auto"/>
          <w:sz w:val="24"/>
          <w:highlight w:val="none"/>
        </w:rPr>
        <w:t>；</w:t>
      </w:r>
    </w:p>
    <w:p>
      <w:pPr>
        <w:spacing w:line="360" w:lineRule="auto"/>
        <w:rPr>
          <w:rFonts w:ascii="宋体" w:hAnsi="宋体" w:cs="宋体"/>
          <w:color w:val="auto"/>
          <w:sz w:val="24"/>
          <w:highlight w:val="none"/>
        </w:rPr>
      </w:pPr>
    </w:p>
    <w:p>
      <w:pPr>
        <w:numPr>
          <w:ilvl w:val="0"/>
          <w:numId w:val="15"/>
        </w:numPr>
        <w:spacing w:line="360" w:lineRule="auto"/>
        <w:ind w:firstLine="480"/>
        <w:rPr>
          <w:rFonts w:ascii="宋体" w:hAnsi="宋体" w:cs="宋体"/>
          <w:b/>
          <w:bCs/>
          <w:color w:val="auto"/>
          <w:sz w:val="24"/>
          <w:highlight w:val="none"/>
        </w:rPr>
      </w:pPr>
      <w:r>
        <w:rPr>
          <w:rFonts w:hint="eastAsia" w:ascii="宋体" w:hAnsi="宋体" w:cs="宋体"/>
          <w:color w:val="auto"/>
          <w:sz w:val="24"/>
          <w:highlight w:val="none"/>
        </w:rPr>
        <w:t>磋商报价表</w:t>
      </w:r>
      <w:r>
        <w:rPr>
          <w:rFonts w:hint="eastAsia" w:ascii="宋体" w:hAnsi="宋体" w:cs="宋体"/>
          <w:b/>
          <w:bCs/>
          <w:color w:val="auto"/>
          <w:sz w:val="24"/>
          <w:highlight w:val="none"/>
        </w:rPr>
        <w:t>（格式见附件）（必须提供）；</w:t>
      </w:r>
    </w:p>
    <w:p>
      <w:pPr>
        <w:pStyle w:val="10"/>
        <w:rPr>
          <w:rFonts w:ascii="宋体" w:hAnsi="宋体" w:cs="宋体"/>
          <w:color w:val="auto"/>
          <w:highlight w:val="none"/>
        </w:rPr>
      </w:pPr>
    </w:p>
    <w:p>
      <w:pPr>
        <w:numPr>
          <w:ilvl w:val="0"/>
          <w:numId w:val="15"/>
        </w:num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采购需求响应说明表</w:t>
      </w:r>
      <w:r>
        <w:rPr>
          <w:rFonts w:hint="eastAsia" w:ascii="宋体" w:hAnsi="宋体" w:cs="宋体"/>
          <w:b/>
          <w:bCs/>
          <w:color w:val="auto"/>
          <w:sz w:val="24"/>
          <w:highlight w:val="none"/>
        </w:rPr>
        <w:t>（格式见附件）（必须提供）；</w:t>
      </w:r>
    </w:p>
    <w:p>
      <w:pPr>
        <w:pStyle w:val="10"/>
        <w:rPr>
          <w:rFonts w:ascii="宋体" w:hAnsi="宋体" w:cs="宋体"/>
          <w:color w:val="auto"/>
          <w:highlight w:val="none"/>
        </w:rPr>
      </w:pPr>
    </w:p>
    <w:p>
      <w:pPr>
        <w:numPr>
          <w:ilvl w:val="0"/>
          <w:numId w:val="15"/>
        </w:numPr>
        <w:spacing w:line="360" w:lineRule="auto"/>
        <w:ind w:firstLine="480"/>
        <w:rPr>
          <w:rFonts w:ascii="宋体" w:hAnsi="宋体" w:cs="宋体"/>
          <w:b/>
          <w:bCs/>
          <w:color w:val="auto"/>
          <w:sz w:val="24"/>
          <w:highlight w:val="none"/>
        </w:rPr>
      </w:pPr>
      <w:r>
        <w:rPr>
          <w:rFonts w:hint="eastAsia" w:ascii="宋体" w:hAnsi="宋体" w:cs="宋体"/>
          <w:color w:val="auto"/>
          <w:sz w:val="24"/>
          <w:highlight w:val="none"/>
        </w:rPr>
        <w:t>售后服务承诺书</w:t>
      </w:r>
      <w:r>
        <w:rPr>
          <w:rFonts w:hint="eastAsia" w:ascii="宋体" w:hAnsi="宋体" w:cs="宋体"/>
          <w:b/>
          <w:bCs/>
          <w:color w:val="auto"/>
          <w:sz w:val="24"/>
          <w:highlight w:val="none"/>
        </w:rPr>
        <w:t>（格式见附件）（必须提供）。</w:t>
      </w:r>
    </w:p>
    <w:p>
      <w:pPr>
        <w:pStyle w:val="40"/>
        <w:rPr>
          <w:rFonts w:ascii="宋体" w:hAnsi="宋体" w:cs="宋体"/>
          <w:color w:val="auto"/>
          <w:highlight w:val="none"/>
        </w:rPr>
      </w:pPr>
    </w:p>
    <w:p>
      <w:pPr>
        <w:pStyle w:val="40"/>
        <w:rPr>
          <w:rFonts w:ascii="宋体" w:hAnsi="宋体" w:cs="宋体"/>
          <w:color w:val="auto"/>
          <w:highlight w:val="none"/>
        </w:rPr>
      </w:pPr>
    </w:p>
    <w:p>
      <w:pPr>
        <w:pStyle w:val="40"/>
        <w:rPr>
          <w:rFonts w:ascii="宋体" w:hAnsi="宋体" w:cs="宋体"/>
          <w:color w:val="auto"/>
          <w:highlight w:val="none"/>
        </w:rPr>
      </w:pPr>
    </w:p>
    <w:p>
      <w:pPr>
        <w:pStyle w:val="40"/>
        <w:rPr>
          <w:rFonts w:ascii="宋体" w:hAnsi="宋体" w:cs="宋体"/>
          <w:color w:val="auto"/>
          <w:highlight w:val="none"/>
        </w:rPr>
      </w:pPr>
    </w:p>
    <w:p>
      <w:pPr>
        <w:pStyle w:val="40"/>
        <w:rPr>
          <w:rFonts w:ascii="宋体" w:hAnsi="宋体" w:cs="宋体"/>
          <w:color w:val="auto"/>
          <w:highlight w:val="none"/>
        </w:rPr>
      </w:pPr>
    </w:p>
    <w:p>
      <w:pPr>
        <w:pStyle w:val="40"/>
        <w:rPr>
          <w:rFonts w:ascii="宋体" w:hAnsi="宋体" w:cs="宋体"/>
          <w:color w:val="auto"/>
          <w:highlight w:val="none"/>
        </w:rPr>
      </w:pPr>
    </w:p>
    <w:p>
      <w:pPr>
        <w:pStyle w:val="40"/>
        <w:rPr>
          <w:rFonts w:ascii="宋体" w:hAnsi="宋体" w:cs="宋体"/>
          <w:color w:val="auto"/>
          <w:highlight w:val="none"/>
        </w:rPr>
      </w:pPr>
    </w:p>
    <w:p>
      <w:pPr>
        <w:pStyle w:val="40"/>
        <w:rPr>
          <w:rFonts w:ascii="宋体" w:hAnsi="宋体" w:cs="宋体"/>
          <w:color w:val="auto"/>
          <w:highlight w:val="none"/>
        </w:rPr>
      </w:pPr>
    </w:p>
    <w:p>
      <w:pPr>
        <w:pStyle w:val="40"/>
        <w:rPr>
          <w:rFonts w:ascii="宋体" w:hAnsi="宋体" w:cs="宋体"/>
          <w:color w:val="auto"/>
          <w:highlight w:val="none"/>
        </w:rPr>
      </w:pPr>
    </w:p>
    <w:p>
      <w:pPr>
        <w:pStyle w:val="10"/>
        <w:rPr>
          <w:rFonts w:ascii="宋体" w:hAnsi="宋体" w:cs="宋体"/>
          <w:color w:val="auto"/>
          <w:highlight w:val="none"/>
        </w:rPr>
      </w:pPr>
    </w:p>
    <w:p>
      <w:pPr>
        <w:pStyle w:val="16"/>
        <w:spacing w:line="340" w:lineRule="exact"/>
        <w:rPr>
          <w:rFonts w:hAnsi="宋体" w:cs="宋体"/>
          <w:b/>
          <w:color w:val="auto"/>
          <w:sz w:val="28"/>
          <w:szCs w:val="28"/>
          <w:highlight w:val="none"/>
        </w:rPr>
      </w:pPr>
    </w:p>
    <w:p>
      <w:pPr>
        <w:pStyle w:val="16"/>
        <w:spacing w:line="340" w:lineRule="exact"/>
        <w:rPr>
          <w:rFonts w:hAnsi="宋体" w:cs="宋体"/>
          <w:b/>
          <w:color w:val="auto"/>
          <w:sz w:val="28"/>
          <w:szCs w:val="28"/>
          <w:highlight w:val="none"/>
        </w:rPr>
      </w:pPr>
    </w:p>
    <w:p>
      <w:pPr>
        <w:rPr>
          <w:rFonts w:ascii="宋体" w:hAnsi="宋体" w:cs="宋体"/>
          <w:b/>
          <w:color w:val="auto"/>
          <w:sz w:val="28"/>
          <w:szCs w:val="28"/>
          <w:highlight w:val="none"/>
        </w:rPr>
      </w:pPr>
    </w:p>
    <w:p>
      <w:pPr>
        <w:pStyle w:val="10"/>
        <w:rPr>
          <w:rFonts w:ascii="宋体" w:hAnsi="宋体" w:cs="宋体"/>
          <w:b/>
          <w:color w:val="auto"/>
          <w:sz w:val="28"/>
          <w:szCs w:val="28"/>
          <w:highlight w:val="none"/>
        </w:rPr>
      </w:pPr>
    </w:p>
    <w:p>
      <w:pPr>
        <w:rPr>
          <w:rFonts w:ascii="宋体" w:hAnsi="宋体" w:cs="宋体"/>
          <w:b/>
          <w:color w:val="auto"/>
          <w:sz w:val="28"/>
          <w:szCs w:val="28"/>
          <w:highlight w:val="none"/>
        </w:rPr>
      </w:pPr>
    </w:p>
    <w:p>
      <w:pPr>
        <w:pStyle w:val="10"/>
        <w:rPr>
          <w:rFonts w:ascii="宋体" w:hAnsi="宋体" w:cs="宋体"/>
          <w:b/>
          <w:color w:val="auto"/>
          <w:sz w:val="28"/>
          <w:szCs w:val="28"/>
          <w:highlight w:val="none"/>
        </w:rPr>
      </w:pPr>
    </w:p>
    <w:p>
      <w:pPr>
        <w:rPr>
          <w:rFonts w:ascii="宋体" w:hAnsi="宋体" w:cs="宋体"/>
          <w:b/>
          <w:color w:val="auto"/>
          <w:sz w:val="28"/>
          <w:szCs w:val="28"/>
          <w:highlight w:val="none"/>
        </w:rPr>
      </w:pPr>
    </w:p>
    <w:p>
      <w:pPr>
        <w:pStyle w:val="10"/>
        <w:rPr>
          <w:rFonts w:ascii="宋体" w:hAnsi="宋体" w:cs="宋体"/>
          <w:b/>
          <w:color w:val="auto"/>
          <w:sz w:val="28"/>
          <w:szCs w:val="28"/>
          <w:highlight w:val="none"/>
        </w:rPr>
      </w:pPr>
    </w:p>
    <w:p>
      <w:pPr>
        <w:rPr>
          <w:rFonts w:ascii="宋体" w:hAnsi="宋体" w:cs="宋体"/>
          <w:b/>
          <w:color w:val="auto"/>
          <w:sz w:val="28"/>
          <w:szCs w:val="28"/>
          <w:highlight w:val="none"/>
        </w:rPr>
      </w:pPr>
    </w:p>
    <w:p>
      <w:pPr>
        <w:pStyle w:val="10"/>
        <w:rPr>
          <w:rFonts w:ascii="宋体" w:hAnsi="宋体" w:cs="宋体"/>
          <w:b/>
          <w:color w:val="auto"/>
          <w:sz w:val="28"/>
          <w:szCs w:val="28"/>
          <w:highlight w:val="none"/>
        </w:rPr>
      </w:pPr>
    </w:p>
    <w:p>
      <w:pPr>
        <w:rPr>
          <w:rFonts w:ascii="宋体" w:hAnsi="宋体" w:cs="宋体"/>
          <w:b/>
          <w:color w:val="auto"/>
          <w:sz w:val="28"/>
          <w:szCs w:val="28"/>
          <w:highlight w:val="none"/>
        </w:rPr>
      </w:pPr>
    </w:p>
    <w:p>
      <w:pPr>
        <w:pStyle w:val="3"/>
        <w:rPr>
          <w:color w:val="auto"/>
          <w:highlight w:val="none"/>
          <w:lang w:val="en-US"/>
        </w:rPr>
      </w:pPr>
    </w:p>
    <w:p>
      <w:pPr>
        <w:pStyle w:val="10"/>
        <w:rPr>
          <w:color w:val="auto"/>
          <w:highlight w:val="none"/>
        </w:rPr>
      </w:pPr>
    </w:p>
    <w:p>
      <w:pPr>
        <w:spacing w:line="400" w:lineRule="exact"/>
        <w:rPr>
          <w:rFonts w:ascii="宋体" w:hAnsi="宋体" w:cs="宋体"/>
          <w:b/>
          <w:bCs/>
          <w:color w:val="auto"/>
          <w:sz w:val="28"/>
          <w:szCs w:val="28"/>
          <w:highlight w:val="none"/>
        </w:rPr>
      </w:pPr>
      <w:bookmarkStart w:id="219" w:name="_Toc497927072"/>
      <w:bookmarkStart w:id="220" w:name="_Toc17617"/>
      <w:bookmarkStart w:id="221" w:name="_Toc12920"/>
      <w:r>
        <w:rPr>
          <w:rFonts w:hint="eastAsia" w:ascii="宋体" w:hAnsi="宋体" w:cs="宋体"/>
          <w:b/>
          <w:bCs/>
          <w:color w:val="auto"/>
          <w:sz w:val="28"/>
          <w:szCs w:val="28"/>
          <w:highlight w:val="none"/>
        </w:rPr>
        <w:t>1.响应函（格式见附件）（必须提供）</w:t>
      </w:r>
      <w:bookmarkEnd w:id="219"/>
      <w:bookmarkEnd w:id="220"/>
      <w:bookmarkEnd w:id="221"/>
    </w:p>
    <w:p>
      <w:pPr>
        <w:pStyle w:val="40"/>
        <w:rPr>
          <w:rFonts w:ascii="宋体" w:hAnsi="宋体" w:cs="宋体"/>
          <w:color w:val="auto"/>
          <w:highlight w:val="none"/>
        </w:rPr>
      </w:pPr>
    </w:p>
    <w:p>
      <w:pPr>
        <w:pStyle w:val="16"/>
        <w:rPr>
          <w:rFonts w:hAnsi="宋体" w:cs="宋体"/>
          <w:b/>
          <w:color w:val="auto"/>
          <w:sz w:val="32"/>
          <w:highlight w:val="none"/>
        </w:rPr>
      </w:pPr>
      <w:r>
        <w:rPr>
          <w:rFonts w:hint="eastAsia" w:hAnsi="宋体" w:cs="宋体"/>
          <w:b/>
          <w:color w:val="auto"/>
          <w:sz w:val="32"/>
          <w:highlight w:val="none"/>
        </w:rPr>
        <w:t>附件：</w:t>
      </w:r>
    </w:p>
    <w:p>
      <w:pPr>
        <w:pStyle w:val="16"/>
        <w:ind w:firstLine="800" w:firstLineChars="250"/>
        <w:jc w:val="center"/>
        <w:rPr>
          <w:rFonts w:hAnsi="宋体" w:cs="宋体"/>
          <w:b/>
          <w:color w:val="auto"/>
          <w:sz w:val="32"/>
          <w:highlight w:val="none"/>
        </w:rPr>
      </w:pPr>
      <w:bookmarkStart w:id="222" w:name="_Toc17832_WPSOffice_Level1"/>
      <w:bookmarkStart w:id="223" w:name="_Toc7273_WPSOffice_Level1"/>
      <w:r>
        <w:rPr>
          <w:rFonts w:hint="eastAsia" w:hAnsi="宋体" w:cs="宋体"/>
          <w:b/>
          <w:color w:val="auto"/>
          <w:sz w:val="32"/>
          <w:highlight w:val="none"/>
        </w:rPr>
        <w:t>响 应 函 （格 式）</w:t>
      </w:r>
      <w:bookmarkEnd w:id="222"/>
      <w:bookmarkEnd w:id="223"/>
    </w:p>
    <w:p>
      <w:pPr>
        <w:spacing w:line="240" w:lineRule="exact"/>
        <w:jc w:val="center"/>
        <w:rPr>
          <w:rFonts w:ascii="宋体" w:hAnsi="宋体" w:cs="宋体"/>
          <w:color w:val="auto"/>
          <w:sz w:val="32"/>
          <w:highlight w:val="none"/>
        </w:rPr>
      </w:pPr>
    </w:p>
    <w:p>
      <w:pPr>
        <w:spacing w:line="400" w:lineRule="exact"/>
        <w:rPr>
          <w:rFonts w:ascii="宋体" w:hAnsi="宋体" w:cs="宋体"/>
          <w:color w:val="auto"/>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：广西天罡工程项目管理有限公司</w:t>
      </w:r>
    </w:p>
    <w:p>
      <w:pPr>
        <w:spacing w:line="400" w:lineRule="exact"/>
        <w:rPr>
          <w:rFonts w:ascii="宋体" w:hAnsi="宋体" w:cs="宋体"/>
          <w:color w:val="auto"/>
          <w:szCs w:val="21"/>
          <w:highlight w:val="none"/>
        </w:rPr>
      </w:pPr>
    </w:p>
    <w:p>
      <w:pPr>
        <w:pStyle w:val="16"/>
        <w:spacing w:line="360" w:lineRule="exact"/>
        <w:ind w:firstLine="420"/>
        <w:rPr>
          <w:rFonts w:hAnsi="宋体" w:cs="宋体"/>
          <w:color w:val="auto"/>
          <w:highlight w:val="none"/>
        </w:rPr>
      </w:pPr>
      <w:r>
        <w:rPr>
          <w:rFonts w:hint="eastAsia" w:hAnsi="宋体" w:cs="宋体"/>
          <w:color w:val="auto"/>
          <w:highlight w:val="none"/>
        </w:rPr>
        <w:t>根据贵方</w:t>
      </w:r>
      <w:r>
        <w:rPr>
          <w:rFonts w:hint="eastAsia" w:hAnsi="宋体" w:cs="宋体"/>
          <w:color w:val="auto"/>
          <w:highlight w:val="none"/>
          <w:u w:val="single"/>
        </w:rPr>
        <w:t xml:space="preserve">       </w:t>
      </w:r>
      <w:r>
        <w:rPr>
          <w:rFonts w:hint="eastAsia" w:hAnsi="宋体" w:cs="宋体"/>
          <w:color w:val="auto"/>
          <w:highlight w:val="none"/>
        </w:rPr>
        <w:t>项目竞争性磋商文件，项目编号：</w:t>
      </w:r>
      <w:r>
        <w:rPr>
          <w:rFonts w:hint="eastAsia" w:hAnsi="宋体" w:cs="宋体"/>
          <w:color w:val="auto"/>
          <w:szCs w:val="21"/>
          <w:highlight w:val="none"/>
          <w:u w:val="single"/>
        </w:rPr>
        <w:t xml:space="preserve">            </w:t>
      </w:r>
      <w:r>
        <w:rPr>
          <w:rFonts w:hint="eastAsia" w:hAnsi="宋体" w:cs="宋体"/>
          <w:color w:val="auto"/>
          <w:szCs w:val="21"/>
          <w:highlight w:val="none"/>
        </w:rPr>
        <w:t>，签字代表</w:t>
      </w:r>
      <w:r>
        <w:rPr>
          <w:rFonts w:hint="eastAsia" w:hAnsi="宋体" w:cs="宋体"/>
          <w:color w:val="auto"/>
          <w:highlight w:val="none"/>
          <w:u w:val="single"/>
        </w:rPr>
        <w:t xml:space="preserve">         </w:t>
      </w:r>
      <w:r>
        <w:rPr>
          <w:rFonts w:hint="eastAsia" w:hAnsi="宋体" w:cs="宋体"/>
          <w:color w:val="auto"/>
          <w:highlight w:val="none"/>
        </w:rPr>
        <w:t xml:space="preserve">（姓名）经正式授权并代表供应商 </w:t>
      </w:r>
      <w:r>
        <w:rPr>
          <w:rFonts w:hint="eastAsia" w:hAnsi="宋体" w:cs="宋体"/>
          <w:color w:val="auto"/>
          <w:highlight w:val="none"/>
          <w:u w:val="single"/>
        </w:rPr>
        <w:t xml:space="preserve">                                   （</w:t>
      </w:r>
      <w:r>
        <w:rPr>
          <w:rFonts w:hint="eastAsia" w:hAnsi="宋体" w:cs="宋体"/>
          <w:color w:val="auto"/>
          <w:highlight w:val="none"/>
        </w:rPr>
        <w:t>供应商单位名称），提交电子响应文件。</w:t>
      </w:r>
    </w:p>
    <w:p>
      <w:pPr>
        <w:pStyle w:val="16"/>
        <w:spacing w:line="360" w:lineRule="exact"/>
        <w:ind w:firstLine="420"/>
        <w:rPr>
          <w:rFonts w:hAnsi="宋体" w:cs="宋体"/>
          <w:color w:val="auto"/>
          <w:highlight w:val="none"/>
        </w:rPr>
      </w:pPr>
      <w:r>
        <w:rPr>
          <w:rFonts w:hint="eastAsia" w:hAnsi="宋体" w:cs="宋体"/>
          <w:color w:val="auto"/>
          <w:highlight w:val="none"/>
        </w:rPr>
        <w:t>据此函，签字代表宣布同意如下：</w:t>
      </w:r>
    </w:p>
    <w:p>
      <w:pPr>
        <w:pStyle w:val="16"/>
        <w:spacing w:line="360" w:lineRule="exact"/>
        <w:ind w:firstLine="420"/>
        <w:rPr>
          <w:rFonts w:hAnsi="宋体" w:cs="宋体"/>
          <w:color w:val="auto"/>
          <w:highlight w:val="none"/>
        </w:rPr>
      </w:pPr>
      <w:r>
        <w:rPr>
          <w:rFonts w:hint="eastAsia" w:hAnsi="宋体" w:cs="宋体"/>
          <w:color w:val="auto"/>
          <w:highlight w:val="none"/>
        </w:rPr>
        <w:t>1. 按磋商文件采购需求和磋商报价表：</w:t>
      </w:r>
    </w:p>
    <w:p>
      <w:pPr>
        <w:pStyle w:val="16"/>
        <w:spacing w:line="360" w:lineRule="exact"/>
        <w:ind w:firstLine="420"/>
        <w:rPr>
          <w:rFonts w:hAnsi="宋体" w:cs="宋体"/>
          <w:color w:val="auto"/>
          <w:highlight w:val="none"/>
        </w:rPr>
      </w:pPr>
      <w:r>
        <w:rPr>
          <w:rFonts w:hint="eastAsia" w:hAnsi="宋体" w:cs="宋体"/>
          <w:color w:val="auto"/>
          <w:highlight w:val="none"/>
        </w:rPr>
        <w:t>磋商总报价：大写</w:t>
      </w:r>
      <w:r>
        <w:rPr>
          <w:rFonts w:hint="eastAsia" w:hAnsi="宋体" w:cs="宋体"/>
          <w:color w:val="auto"/>
          <w:highlight w:val="none"/>
          <w:u w:val="single"/>
        </w:rPr>
        <w:t xml:space="preserve">               </w:t>
      </w:r>
      <w:r>
        <w:rPr>
          <w:rFonts w:hint="eastAsia" w:hAnsi="宋体" w:cs="宋体"/>
          <w:color w:val="auto"/>
          <w:highlight w:val="none"/>
        </w:rPr>
        <w:t xml:space="preserve"> （</w:t>
      </w:r>
      <w:r>
        <w:rPr>
          <w:rFonts w:hint="eastAsia" w:hAnsi="宋体" w:cs="宋体"/>
          <w:color w:val="auto"/>
          <w:szCs w:val="21"/>
          <w:highlight w:val="none"/>
        </w:rPr>
        <w:t>小写</w:t>
      </w:r>
      <w:r>
        <w:rPr>
          <w:rFonts w:hint="eastAsia" w:hAnsi="宋体" w:cs="宋体"/>
          <w:color w:val="auto"/>
          <w:highlight w:val="none"/>
          <w:u w:val="single"/>
        </w:rPr>
        <w:t xml:space="preserve">         </w:t>
      </w:r>
      <w:r>
        <w:rPr>
          <w:rFonts w:hint="eastAsia" w:hAnsi="宋体" w:cs="宋体"/>
          <w:color w:val="auto"/>
          <w:highlight w:val="none"/>
        </w:rPr>
        <w:t>）。</w:t>
      </w:r>
    </w:p>
    <w:p>
      <w:pPr>
        <w:pStyle w:val="16"/>
        <w:spacing w:line="360" w:lineRule="exact"/>
        <w:ind w:firstLine="420"/>
        <w:rPr>
          <w:rFonts w:hAnsi="宋体" w:cs="宋体"/>
          <w:color w:val="auto"/>
          <w:highlight w:val="none"/>
        </w:rPr>
      </w:pPr>
      <w:r>
        <w:rPr>
          <w:rFonts w:hint="eastAsia" w:hAnsi="宋体" w:cs="宋体"/>
          <w:color w:val="auto"/>
          <w:highlight w:val="none"/>
        </w:rPr>
        <w:t>2.我方承诺已具备磋商文件规定的供应商资格条件。</w:t>
      </w:r>
    </w:p>
    <w:p>
      <w:pPr>
        <w:pStyle w:val="16"/>
        <w:spacing w:line="360" w:lineRule="exact"/>
        <w:ind w:firstLine="420"/>
        <w:rPr>
          <w:rFonts w:hAnsi="宋体" w:cs="宋体"/>
          <w:color w:val="auto"/>
          <w:highlight w:val="none"/>
        </w:rPr>
      </w:pPr>
      <w:r>
        <w:rPr>
          <w:rFonts w:hint="eastAsia" w:hAnsi="宋体" w:cs="宋体"/>
          <w:color w:val="auto"/>
          <w:highlight w:val="none"/>
        </w:rPr>
        <w:t>3.我方已详细审核磋商文件，包括修改文件（如有的话）和有关附件，将自行承担因对全部磋商文件理解不正确或误解而产生的相应后果。</w:t>
      </w:r>
    </w:p>
    <w:p>
      <w:pPr>
        <w:pStyle w:val="16"/>
        <w:spacing w:line="360" w:lineRule="exact"/>
        <w:ind w:firstLine="420"/>
        <w:rPr>
          <w:rFonts w:hAnsi="宋体" w:cs="宋体"/>
          <w:color w:val="auto"/>
          <w:highlight w:val="none"/>
        </w:rPr>
      </w:pPr>
      <w:r>
        <w:rPr>
          <w:rFonts w:hint="eastAsia" w:hAnsi="宋体" w:cs="宋体"/>
          <w:color w:val="auto"/>
          <w:highlight w:val="none"/>
        </w:rPr>
        <w:t>4. 响应文件有效期为</w:t>
      </w:r>
      <w:r>
        <w:rPr>
          <w:rFonts w:hint="eastAsia" w:hAnsi="宋体" w:cs="宋体"/>
          <w:color w:val="auto"/>
          <w:szCs w:val="21"/>
          <w:highlight w:val="none"/>
        </w:rPr>
        <w:t>响应文件递交截止时间之日起90天。</w:t>
      </w:r>
    </w:p>
    <w:p>
      <w:pPr>
        <w:pStyle w:val="16"/>
        <w:spacing w:line="360" w:lineRule="exact"/>
        <w:ind w:firstLine="420"/>
        <w:rPr>
          <w:rFonts w:hAnsi="宋体" w:cs="宋体"/>
          <w:color w:val="auto"/>
          <w:highlight w:val="none"/>
        </w:rPr>
      </w:pPr>
      <w:r>
        <w:rPr>
          <w:rFonts w:hint="eastAsia" w:hAnsi="宋体" w:cs="宋体"/>
          <w:color w:val="auto"/>
          <w:highlight w:val="none"/>
        </w:rPr>
        <w:t>5. 如我方成交：</w:t>
      </w:r>
    </w:p>
    <w:p>
      <w:pPr>
        <w:pStyle w:val="16"/>
        <w:spacing w:line="360" w:lineRule="exact"/>
        <w:ind w:firstLine="420"/>
        <w:rPr>
          <w:rFonts w:hAnsi="宋体" w:cs="宋体"/>
          <w:color w:val="auto"/>
          <w:highlight w:val="none"/>
        </w:rPr>
      </w:pPr>
      <w:r>
        <w:rPr>
          <w:rFonts w:hint="eastAsia" w:hAnsi="宋体" w:cs="宋体"/>
          <w:color w:val="auto"/>
          <w:highlight w:val="none"/>
        </w:rPr>
        <w:t>（1）我方承诺在收到成交通知书后，在成交通知书规定的期限内与采购人签订合同。</w:t>
      </w:r>
    </w:p>
    <w:p>
      <w:pPr>
        <w:pStyle w:val="16"/>
        <w:spacing w:line="360" w:lineRule="exact"/>
        <w:ind w:firstLine="420"/>
        <w:rPr>
          <w:rFonts w:hAnsi="宋体" w:cs="宋体"/>
          <w:color w:val="auto"/>
          <w:szCs w:val="21"/>
          <w:highlight w:val="none"/>
        </w:rPr>
      </w:pPr>
      <w:r>
        <w:rPr>
          <w:rFonts w:hint="eastAsia" w:hAnsi="宋体" w:cs="宋体"/>
          <w:color w:val="auto"/>
          <w:szCs w:val="21"/>
          <w:highlight w:val="none"/>
        </w:rPr>
        <w:t>（2）我方承诺按照磋商文件规定递交履约担保。</w:t>
      </w:r>
    </w:p>
    <w:p>
      <w:pPr>
        <w:pStyle w:val="16"/>
        <w:spacing w:line="360" w:lineRule="exact"/>
        <w:ind w:firstLine="420"/>
        <w:rPr>
          <w:rFonts w:hAnsi="宋体" w:cs="宋体"/>
          <w:color w:val="auto"/>
          <w:szCs w:val="21"/>
          <w:highlight w:val="none"/>
        </w:rPr>
      </w:pPr>
      <w:r>
        <w:rPr>
          <w:rFonts w:hint="eastAsia" w:hAnsi="宋体" w:cs="宋体"/>
          <w:color w:val="auto"/>
          <w:szCs w:val="21"/>
          <w:highlight w:val="none"/>
        </w:rPr>
        <w:t>（3）我方承诺本响应文件至本项目合同履行完毕止均保持有效，按磋商文件及政府采购法律、法规的规定履行合同责任和义务。</w:t>
      </w:r>
    </w:p>
    <w:p>
      <w:pPr>
        <w:pStyle w:val="16"/>
        <w:spacing w:line="360" w:lineRule="exact"/>
        <w:ind w:firstLine="420"/>
        <w:rPr>
          <w:rFonts w:hAnsi="宋体" w:cs="宋体"/>
          <w:color w:val="auto"/>
          <w:szCs w:val="21"/>
          <w:highlight w:val="none"/>
        </w:rPr>
      </w:pPr>
      <w:r>
        <w:rPr>
          <w:rFonts w:hint="eastAsia" w:hAnsi="宋体" w:cs="宋体"/>
          <w:color w:val="auto"/>
          <w:szCs w:val="21"/>
          <w:highlight w:val="none"/>
        </w:rPr>
        <w:t>与本项目有关的正式通讯地址为：</w:t>
      </w:r>
    </w:p>
    <w:p>
      <w:pPr>
        <w:rPr>
          <w:rFonts w:ascii="宋体" w:hAnsi="宋体" w:cs="宋体"/>
          <w:color w:val="auto"/>
          <w:szCs w:val="21"/>
          <w:highlight w:val="none"/>
        </w:rPr>
      </w:pPr>
    </w:p>
    <w:p>
      <w:pPr>
        <w:pStyle w:val="16"/>
        <w:spacing w:line="320" w:lineRule="exact"/>
        <w:ind w:firstLine="420"/>
        <w:rPr>
          <w:rFonts w:hAnsi="宋体" w:cs="宋体"/>
          <w:color w:val="auto"/>
          <w:szCs w:val="21"/>
          <w:highlight w:val="none"/>
          <w:u w:val="single"/>
        </w:rPr>
      </w:pPr>
      <w:r>
        <w:rPr>
          <w:rFonts w:hint="eastAsia" w:hAnsi="宋体" w:cs="宋体"/>
          <w:color w:val="auto"/>
          <w:szCs w:val="21"/>
          <w:highlight w:val="none"/>
        </w:rPr>
        <w:t>地址：</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邮编：</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电话、传真：</w:t>
      </w:r>
      <w:r>
        <w:rPr>
          <w:rFonts w:hint="eastAsia" w:hAnsi="宋体" w:cs="宋体"/>
          <w:color w:val="auto"/>
          <w:szCs w:val="21"/>
          <w:highlight w:val="none"/>
          <w:u w:val="single"/>
        </w:rPr>
        <w:t xml:space="preserve">            </w:t>
      </w:r>
    </w:p>
    <w:p>
      <w:pPr>
        <w:pStyle w:val="16"/>
        <w:spacing w:line="320" w:lineRule="exact"/>
        <w:ind w:firstLine="420"/>
        <w:rPr>
          <w:rFonts w:hAnsi="宋体" w:cs="宋体"/>
          <w:color w:val="auto"/>
          <w:szCs w:val="21"/>
          <w:highlight w:val="none"/>
        </w:rPr>
      </w:pPr>
      <w:r>
        <w:rPr>
          <w:rFonts w:hint="eastAsia" w:hAnsi="宋体" w:cs="宋体"/>
          <w:color w:val="auto"/>
          <w:szCs w:val="21"/>
          <w:highlight w:val="none"/>
        </w:rPr>
        <w:t>开户名称：</w:t>
      </w:r>
      <w:r>
        <w:rPr>
          <w:rFonts w:hint="eastAsia" w:hAnsi="宋体" w:cs="宋体"/>
          <w:color w:val="auto"/>
          <w:szCs w:val="21"/>
          <w:highlight w:val="none"/>
          <w:u w:val="single"/>
        </w:rPr>
        <w:t xml:space="preserve">                                        </w:t>
      </w:r>
    </w:p>
    <w:p>
      <w:pPr>
        <w:pStyle w:val="16"/>
        <w:spacing w:line="320" w:lineRule="exact"/>
        <w:ind w:firstLine="420"/>
        <w:rPr>
          <w:rFonts w:hAnsi="宋体" w:cs="宋体"/>
          <w:color w:val="auto"/>
          <w:szCs w:val="21"/>
          <w:highlight w:val="none"/>
        </w:rPr>
      </w:pPr>
      <w:r>
        <w:rPr>
          <w:rFonts w:hint="eastAsia" w:hAnsi="宋体" w:cs="宋体"/>
          <w:color w:val="auto"/>
          <w:szCs w:val="21"/>
          <w:highlight w:val="none"/>
        </w:rPr>
        <w:t>开户银行：</w:t>
      </w:r>
      <w:r>
        <w:rPr>
          <w:rFonts w:hint="eastAsia" w:hAnsi="宋体" w:cs="宋体"/>
          <w:color w:val="auto"/>
          <w:szCs w:val="21"/>
          <w:highlight w:val="none"/>
          <w:u w:val="single"/>
        </w:rPr>
        <w:t xml:space="preserve">                               　       </w:t>
      </w:r>
    </w:p>
    <w:p>
      <w:pPr>
        <w:pStyle w:val="16"/>
        <w:spacing w:line="320" w:lineRule="exact"/>
        <w:ind w:firstLine="420"/>
        <w:rPr>
          <w:rFonts w:hAnsi="宋体" w:cs="宋体"/>
          <w:color w:val="auto"/>
          <w:szCs w:val="21"/>
          <w:highlight w:val="none"/>
        </w:rPr>
      </w:pPr>
      <w:r>
        <w:rPr>
          <w:rFonts w:hint="eastAsia" w:hAnsi="宋体" w:cs="宋体"/>
          <w:color w:val="auto"/>
          <w:szCs w:val="21"/>
          <w:highlight w:val="none"/>
        </w:rPr>
        <w:t>账号：</w:t>
      </w:r>
      <w:r>
        <w:rPr>
          <w:rFonts w:hint="eastAsia" w:hAnsi="宋体" w:cs="宋体"/>
          <w:color w:val="auto"/>
          <w:szCs w:val="21"/>
          <w:highlight w:val="none"/>
          <w:u w:val="single"/>
        </w:rPr>
        <w:t xml:space="preserve">                                   　　　   </w:t>
      </w:r>
    </w:p>
    <w:p>
      <w:pPr>
        <w:pStyle w:val="16"/>
        <w:spacing w:line="320" w:lineRule="exact"/>
        <w:ind w:firstLine="420"/>
        <w:rPr>
          <w:rFonts w:hAnsi="宋体" w:cs="宋体"/>
          <w:bCs/>
          <w:color w:val="auto"/>
          <w:szCs w:val="21"/>
          <w:highlight w:val="none"/>
          <w:u w:val="single"/>
        </w:rPr>
      </w:pPr>
      <w:r>
        <w:rPr>
          <w:rFonts w:hint="eastAsia" w:hAnsi="宋体" w:cs="宋体"/>
          <w:bCs/>
          <w:color w:val="auto"/>
          <w:szCs w:val="21"/>
          <w:highlight w:val="none"/>
        </w:rPr>
        <w:t>供应商[(CA证书签章)、自然人除外]：</w:t>
      </w:r>
      <w:r>
        <w:rPr>
          <w:rFonts w:hint="eastAsia" w:hAnsi="宋体" w:cs="宋体"/>
          <w:bCs/>
          <w:color w:val="auto"/>
          <w:szCs w:val="21"/>
          <w:highlight w:val="none"/>
          <w:u w:val="single"/>
        </w:rPr>
        <w:t xml:space="preserve">                              </w:t>
      </w:r>
    </w:p>
    <w:p>
      <w:pPr>
        <w:pStyle w:val="16"/>
        <w:spacing w:line="320" w:lineRule="exact"/>
        <w:ind w:firstLine="420"/>
        <w:rPr>
          <w:rFonts w:hAnsi="宋体" w:cs="宋体"/>
          <w:color w:val="auto"/>
          <w:szCs w:val="21"/>
          <w:highlight w:val="none"/>
          <w:u w:val="single"/>
        </w:rPr>
      </w:pPr>
      <w:r>
        <w:rPr>
          <w:rFonts w:hint="eastAsia" w:hAnsi="宋体" w:cs="宋体"/>
          <w:color w:val="auto"/>
          <w:szCs w:val="21"/>
          <w:highlight w:val="none"/>
        </w:rPr>
        <w:t>法定代表人、负责人、自然人或相应的委托代理人签字[或盖章(CA证书签章)]（属自然人的应在签名处加盖大拇指指印或个人CA证书签章）：</w:t>
      </w:r>
      <w:r>
        <w:rPr>
          <w:rFonts w:hint="eastAsia" w:hAnsi="宋体" w:cs="宋体"/>
          <w:color w:val="auto"/>
          <w:szCs w:val="21"/>
          <w:highlight w:val="none"/>
          <w:u w:val="single"/>
        </w:rPr>
        <w:t xml:space="preserve">              </w:t>
      </w:r>
    </w:p>
    <w:p>
      <w:pPr>
        <w:pStyle w:val="16"/>
        <w:spacing w:line="320" w:lineRule="exact"/>
        <w:ind w:firstLine="420"/>
        <w:rPr>
          <w:rFonts w:hAnsi="宋体" w:cs="宋体"/>
          <w:color w:val="auto"/>
          <w:szCs w:val="21"/>
          <w:highlight w:val="none"/>
        </w:rPr>
        <w:sectPr>
          <w:pgSz w:w="11906" w:h="16838"/>
          <w:pgMar w:top="1440" w:right="935" w:bottom="1440" w:left="777" w:header="851" w:footer="992" w:gutter="0"/>
          <w:cols w:space="720" w:num="1"/>
          <w:docGrid w:type="linesAndChars" w:linePitch="312" w:charSpace="0"/>
        </w:sectPr>
      </w:pPr>
      <w:r>
        <w:rPr>
          <w:rFonts w:hint="eastAsia" w:hAnsi="宋体" w:cs="宋体"/>
          <w:bCs/>
          <w:color w:val="auto"/>
          <w:szCs w:val="21"/>
          <w:highlight w:val="none"/>
        </w:rPr>
        <w:t>响应</w:t>
      </w:r>
      <w:r>
        <w:rPr>
          <w:rFonts w:hint="eastAsia" w:hAnsi="宋体" w:cs="宋体"/>
          <w:color w:val="auto"/>
          <w:szCs w:val="21"/>
          <w:highlight w:val="none"/>
        </w:rPr>
        <w:t>日期：</w:t>
      </w:r>
    </w:p>
    <w:p>
      <w:pPr>
        <w:pStyle w:val="16"/>
        <w:spacing w:line="340" w:lineRule="exact"/>
        <w:rPr>
          <w:rFonts w:hAnsi="宋体" w:cs="宋体"/>
          <w:color w:val="auto"/>
          <w:highlight w:val="none"/>
        </w:rPr>
      </w:pPr>
      <w:r>
        <w:rPr>
          <w:rFonts w:hint="eastAsia" w:hAnsi="宋体" w:cs="宋体"/>
          <w:b/>
          <w:color w:val="auto"/>
          <w:sz w:val="28"/>
          <w:szCs w:val="28"/>
          <w:highlight w:val="none"/>
        </w:rPr>
        <w:t>2. 磋商报价表（必须提供）；</w:t>
      </w:r>
    </w:p>
    <w:p>
      <w:pPr>
        <w:pStyle w:val="16"/>
        <w:spacing w:line="320" w:lineRule="exact"/>
        <w:jc w:val="left"/>
        <w:rPr>
          <w:rFonts w:hAnsi="宋体" w:cs="宋体"/>
          <w:b/>
          <w:color w:val="auto"/>
          <w:sz w:val="28"/>
          <w:szCs w:val="28"/>
          <w:highlight w:val="none"/>
        </w:rPr>
      </w:pPr>
    </w:p>
    <w:p>
      <w:pPr>
        <w:pStyle w:val="8"/>
        <w:ind w:left="0"/>
        <w:rPr>
          <w:rFonts w:ascii="宋体" w:hAnsi="宋体" w:cs="宋体"/>
          <w:color w:val="auto"/>
          <w:highlight w:val="none"/>
        </w:rPr>
      </w:pPr>
      <w:r>
        <w:rPr>
          <w:rFonts w:hint="eastAsia" w:ascii="宋体" w:hAnsi="宋体" w:cs="宋体"/>
          <w:b/>
          <w:bCs/>
          <w:color w:val="auto"/>
          <w:sz w:val="30"/>
          <w:szCs w:val="30"/>
          <w:highlight w:val="none"/>
        </w:rPr>
        <w:t>附件：</w:t>
      </w:r>
    </w:p>
    <w:p>
      <w:pPr>
        <w:pStyle w:val="16"/>
        <w:spacing w:line="480" w:lineRule="exact"/>
        <w:ind w:left="420"/>
        <w:jc w:val="center"/>
        <w:rPr>
          <w:rFonts w:hAnsi="宋体" w:cs="宋体"/>
          <w:b/>
          <w:color w:val="auto"/>
          <w:sz w:val="28"/>
          <w:szCs w:val="28"/>
          <w:highlight w:val="none"/>
        </w:rPr>
      </w:pPr>
      <w:r>
        <w:rPr>
          <w:rFonts w:hint="eastAsia" w:hAnsi="宋体" w:cs="宋体"/>
          <w:b/>
          <w:color w:val="auto"/>
          <w:sz w:val="28"/>
          <w:szCs w:val="28"/>
          <w:highlight w:val="none"/>
        </w:rPr>
        <w:t>磋商报价表（格式）</w:t>
      </w:r>
    </w:p>
    <w:tbl>
      <w:tblPr>
        <w:tblStyle w:val="24"/>
        <w:tblW w:w="96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9"/>
        <w:gridCol w:w="2958"/>
        <w:gridCol w:w="1197"/>
        <w:gridCol w:w="1295"/>
        <w:gridCol w:w="1847"/>
        <w:gridCol w:w="1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669"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29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采购项目名称</w:t>
            </w: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2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8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szCs w:val="21"/>
                <w:highlight w:val="none"/>
              </w:rPr>
              <w:t>磋商报价（元）</w:t>
            </w:r>
          </w:p>
        </w:tc>
        <w:tc>
          <w:tcPr>
            <w:tcW w:w="1706" w:type="dxa"/>
            <w:tcBorders>
              <w:top w:val="single" w:color="auto" w:sz="4" w:space="0"/>
              <w:bottom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86" w:hRule="exact"/>
        </w:trPr>
        <w:tc>
          <w:tcPr>
            <w:tcW w:w="669"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9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广西花坪国家级自然保护区</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保护监测系统建设项目</w:t>
            </w: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18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highlight w:val="none"/>
              </w:rPr>
            </w:pPr>
          </w:p>
        </w:tc>
        <w:tc>
          <w:tcPr>
            <w:tcW w:w="1706" w:type="dxa"/>
            <w:tcBorders>
              <w:top w:val="single" w:color="auto" w:sz="4" w:space="0"/>
              <w:bottom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2" w:type="dxa"/>
            <w:gridSpan w:val="6"/>
            <w:tcBorders>
              <w:top w:val="single" w:color="auto" w:sz="4" w:space="0"/>
              <w:bottom w:val="single" w:color="auto" w:sz="4" w:space="0"/>
            </w:tcBorders>
            <w:vAlign w:val="center"/>
          </w:tcPr>
          <w:p>
            <w:pPr>
              <w:keepNext w:val="0"/>
              <w:keepLines w:val="0"/>
              <w:suppressLineNumbers w:val="0"/>
              <w:spacing w:before="0" w:beforeAutospacing="0" w:after="0" w:afterAutospacing="0" w:line="3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说明：</w:t>
            </w:r>
            <w:r>
              <w:rPr>
                <w:rFonts w:hint="eastAsia" w:ascii="宋体" w:hAnsi="宋体" w:cs="宋体"/>
                <w:color w:val="auto"/>
                <w:spacing w:val="-6"/>
                <w:szCs w:val="21"/>
                <w:highlight w:val="none"/>
              </w:rPr>
              <w:t>磋商</w:t>
            </w:r>
            <w:r>
              <w:rPr>
                <w:rFonts w:hint="eastAsia" w:ascii="宋体" w:hAnsi="宋体" w:cs="宋体"/>
                <w:color w:val="auto"/>
                <w:szCs w:val="21"/>
                <w:highlight w:val="none"/>
              </w:rPr>
              <w:t>报价指本次招标采购范围内服务价款、保险、税金及其他所有成本费用的总和；供应商综合考虑在报价中。</w:t>
            </w:r>
          </w:p>
        </w:tc>
      </w:tr>
    </w:tbl>
    <w:p>
      <w:pPr>
        <w:spacing w:line="340" w:lineRule="exact"/>
        <w:rPr>
          <w:rFonts w:ascii="宋体" w:hAnsi="宋体" w:cs="宋体"/>
          <w:color w:val="auto"/>
          <w:szCs w:val="21"/>
          <w:highlight w:val="none"/>
        </w:rPr>
      </w:pPr>
    </w:p>
    <w:p>
      <w:pPr>
        <w:spacing w:line="340" w:lineRule="exact"/>
        <w:rPr>
          <w:rFonts w:ascii="宋体" w:hAnsi="宋体" w:cs="宋体"/>
          <w:color w:val="auto"/>
          <w:szCs w:val="21"/>
          <w:highlight w:val="none"/>
          <w:u w:val="single"/>
        </w:rPr>
      </w:pPr>
      <w:r>
        <w:rPr>
          <w:rFonts w:hint="eastAsia" w:ascii="宋体" w:hAnsi="宋体" w:cs="宋体"/>
          <w:color w:val="auto"/>
          <w:szCs w:val="21"/>
          <w:highlight w:val="none"/>
        </w:rPr>
        <w:t>供应商（CA证书签章，自然人除外）：</w:t>
      </w:r>
      <w:r>
        <w:rPr>
          <w:rFonts w:hint="eastAsia" w:ascii="宋体" w:hAnsi="宋体" w:cs="宋体"/>
          <w:color w:val="auto"/>
          <w:szCs w:val="21"/>
          <w:highlight w:val="none"/>
          <w:u w:val="single"/>
        </w:rPr>
        <w:t xml:space="preserve">                                        </w:t>
      </w:r>
    </w:p>
    <w:p>
      <w:pPr>
        <w:spacing w:line="340" w:lineRule="exact"/>
        <w:rPr>
          <w:rFonts w:ascii="宋体" w:hAnsi="宋体" w:cs="宋体"/>
          <w:color w:val="auto"/>
          <w:szCs w:val="21"/>
          <w:highlight w:val="none"/>
          <w:u w:val="single"/>
        </w:rPr>
      </w:pPr>
      <w:r>
        <w:rPr>
          <w:rFonts w:hint="eastAsia" w:ascii="宋体" w:hAnsi="宋体" w:cs="宋体"/>
          <w:color w:val="auto"/>
          <w:highlight w:val="none"/>
        </w:rPr>
        <w:t>法定代表人、负责人、自然人或相应的委托代理人签字或个人CA证书签章（属自然人的应在签名处加盖食指指印或个人CA证书签章）：</w:t>
      </w:r>
      <w:r>
        <w:rPr>
          <w:rFonts w:hint="eastAsia" w:ascii="宋体" w:hAnsi="宋体" w:cs="宋体"/>
          <w:color w:val="auto"/>
          <w:szCs w:val="21"/>
          <w:highlight w:val="none"/>
          <w:u w:val="single"/>
        </w:rPr>
        <w:t xml:space="preserve">                                    </w:t>
      </w:r>
    </w:p>
    <w:p>
      <w:pPr>
        <w:tabs>
          <w:tab w:val="left" w:pos="1305"/>
        </w:tabs>
        <w:spacing w:line="340" w:lineRule="exact"/>
        <w:rPr>
          <w:rFonts w:ascii="宋体" w:hAnsi="宋体" w:cs="宋体"/>
          <w:bCs/>
          <w:color w:val="auto"/>
          <w:szCs w:val="21"/>
          <w:highlight w:val="none"/>
        </w:rPr>
      </w:pPr>
    </w:p>
    <w:p>
      <w:pPr>
        <w:tabs>
          <w:tab w:val="left" w:pos="1305"/>
        </w:tabs>
        <w:spacing w:line="340" w:lineRule="exact"/>
        <w:rPr>
          <w:rFonts w:ascii="宋体" w:hAnsi="宋体" w:cs="宋体"/>
          <w:bCs/>
          <w:color w:val="auto"/>
          <w:szCs w:val="21"/>
          <w:highlight w:val="none"/>
        </w:rPr>
      </w:pPr>
      <w:r>
        <w:rPr>
          <w:rFonts w:hint="eastAsia" w:ascii="宋体" w:hAnsi="宋体" w:cs="宋体"/>
          <w:bCs/>
          <w:color w:val="auto"/>
          <w:szCs w:val="21"/>
          <w:highlight w:val="none"/>
        </w:rPr>
        <w:t>注</w:t>
      </w:r>
      <w:r>
        <w:rPr>
          <w:rFonts w:hint="eastAsia" w:ascii="宋体" w:hAnsi="宋体" w:cs="宋体"/>
          <w:b/>
          <w:bCs/>
          <w:color w:val="auto"/>
          <w:szCs w:val="21"/>
          <w:highlight w:val="none"/>
        </w:rPr>
        <w:t>：</w:t>
      </w:r>
      <w:r>
        <w:rPr>
          <w:rFonts w:hint="eastAsia" w:ascii="宋体" w:hAnsi="宋体" w:cs="宋体"/>
          <w:bCs/>
          <w:color w:val="auto"/>
          <w:szCs w:val="21"/>
          <w:highlight w:val="none"/>
        </w:rPr>
        <w:t>1.各</w:t>
      </w:r>
      <w:r>
        <w:rPr>
          <w:rFonts w:hint="eastAsia" w:ascii="宋体" w:hAnsi="宋体" w:cs="宋体"/>
          <w:color w:val="auto"/>
          <w:szCs w:val="21"/>
          <w:highlight w:val="none"/>
        </w:rPr>
        <w:t>供应商必须作完整唯一报价，否则，其投标将被拒绝。响应文件只允许有一个报价。</w:t>
      </w:r>
    </w:p>
    <w:p>
      <w:pPr>
        <w:pStyle w:val="16"/>
        <w:spacing w:line="360" w:lineRule="exact"/>
        <w:ind w:firstLine="420" w:firstLineChars="200"/>
        <w:rPr>
          <w:rFonts w:hAnsi="宋体" w:cs="宋体"/>
          <w:color w:val="auto"/>
          <w:szCs w:val="21"/>
          <w:highlight w:val="none"/>
        </w:rPr>
      </w:pPr>
      <w:r>
        <w:rPr>
          <w:rFonts w:hint="eastAsia" w:hAnsi="宋体" w:cs="宋体"/>
          <w:color w:val="auto"/>
          <w:szCs w:val="21"/>
          <w:highlight w:val="none"/>
        </w:rPr>
        <w:t>2.供应商应根据所投项目如实填写磋商报价表</w:t>
      </w:r>
      <w:r>
        <w:rPr>
          <w:rFonts w:hint="eastAsia" w:hAnsi="宋体" w:cs="宋体"/>
          <w:bCs/>
          <w:color w:val="auto"/>
          <w:szCs w:val="21"/>
          <w:highlight w:val="none"/>
        </w:rPr>
        <w:t>的各项内容。</w:t>
      </w:r>
    </w:p>
    <w:p>
      <w:pPr>
        <w:ind w:firstLine="420" w:firstLineChars="200"/>
        <w:rPr>
          <w:rFonts w:ascii="宋体" w:hAnsi="宋体" w:cs="宋体"/>
          <w:b/>
          <w:bCs/>
          <w:color w:val="auto"/>
          <w:sz w:val="32"/>
          <w:szCs w:val="32"/>
          <w:highlight w:val="none"/>
        </w:rPr>
      </w:pPr>
      <w:r>
        <w:rPr>
          <w:rFonts w:hint="eastAsia" w:ascii="宋体" w:hAnsi="宋体" w:cs="宋体"/>
          <w:color w:val="auto"/>
          <w:szCs w:val="21"/>
          <w:highlight w:val="none"/>
        </w:rPr>
        <w:t>3.</w:t>
      </w:r>
      <w:r>
        <w:rPr>
          <w:rFonts w:hint="eastAsia" w:ascii="宋体" w:hAnsi="宋体" w:cs="宋体"/>
          <w:color w:val="auto"/>
          <w:highlight w:val="none"/>
        </w:rPr>
        <w:t>磋商报价表须由法定代表人负责人、自然人或相应的委托代理人签字或个人CA证书签章（属自然人的应在签名处加盖食指指印或个人CA证书签章）并加盖供应商CA证书签章（自然人除外）。</w:t>
      </w:r>
      <w:r>
        <w:rPr>
          <w:rFonts w:hint="eastAsia" w:ascii="宋体" w:hAnsi="宋体" w:cs="宋体"/>
          <w:b/>
          <w:color w:val="auto"/>
          <w:highlight w:val="none"/>
        </w:rPr>
        <w:t>当本表由多页构成时，需逐页加盖供应商CA证书签章（属自然人的须逐页签字或个人CA证书签章）</w:t>
      </w:r>
    </w:p>
    <w:p>
      <w:pPr>
        <w:rPr>
          <w:rFonts w:ascii="宋体" w:hAnsi="宋体" w:cs="宋体"/>
          <w:b/>
          <w:bCs/>
          <w:color w:val="auto"/>
          <w:sz w:val="32"/>
          <w:szCs w:val="32"/>
          <w:highlight w:val="none"/>
        </w:rPr>
      </w:pPr>
    </w:p>
    <w:p>
      <w:pPr>
        <w:pStyle w:val="9"/>
        <w:rPr>
          <w:rFonts w:ascii="宋体" w:hAnsi="宋体" w:cs="宋体"/>
          <w:color w:val="auto"/>
          <w:highlight w:val="none"/>
        </w:rPr>
        <w:sectPr>
          <w:pgSz w:w="11906" w:h="16838"/>
          <w:pgMar w:top="1440" w:right="935" w:bottom="1440" w:left="777" w:header="851" w:footer="992" w:gutter="0"/>
          <w:cols w:space="720" w:num="1"/>
          <w:docGrid w:type="linesAndChars" w:linePitch="312" w:charSpace="0"/>
        </w:sectPr>
      </w:pPr>
    </w:p>
    <w:p>
      <w:pPr>
        <w:pStyle w:val="16"/>
        <w:spacing w:line="340" w:lineRule="exact"/>
        <w:rPr>
          <w:rFonts w:hAnsi="宋体" w:cs="宋体"/>
          <w:b/>
          <w:color w:val="auto"/>
          <w:sz w:val="28"/>
          <w:szCs w:val="28"/>
          <w:highlight w:val="none"/>
        </w:rPr>
      </w:pPr>
      <w:r>
        <w:rPr>
          <w:rFonts w:hint="eastAsia" w:hAnsi="宋体" w:cs="宋体"/>
          <w:b/>
          <w:color w:val="auto"/>
          <w:sz w:val="28"/>
          <w:szCs w:val="28"/>
          <w:highlight w:val="none"/>
        </w:rPr>
        <w:t>3.采购需求响应说明表（格式见附件）(必须提供)；</w:t>
      </w:r>
    </w:p>
    <w:p>
      <w:pPr>
        <w:rPr>
          <w:rFonts w:ascii="宋体" w:hAnsi="宋体" w:cs="宋体"/>
          <w:color w:val="auto"/>
          <w:highlight w:val="none"/>
        </w:rPr>
      </w:pPr>
    </w:p>
    <w:p>
      <w:pPr>
        <w:pStyle w:val="16"/>
        <w:spacing w:line="340" w:lineRule="exact"/>
        <w:rPr>
          <w:rFonts w:hAnsi="宋体" w:cs="宋体"/>
          <w:b/>
          <w:color w:val="auto"/>
          <w:sz w:val="28"/>
          <w:szCs w:val="28"/>
          <w:highlight w:val="none"/>
        </w:rPr>
      </w:pPr>
      <w:r>
        <w:rPr>
          <w:rFonts w:hint="eastAsia" w:hAnsi="宋体" w:cs="宋体"/>
          <w:b/>
          <w:color w:val="auto"/>
          <w:sz w:val="28"/>
          <w:szCs w:val="28"/>
          <w:highlight w:val="none"/>
        </w:rPr>
        <w:t>附件：</w:t>
      </w:r>
    </w:p>
    <w:p>
      <w:pPr>
        <w:spacing w:line="500" w:lineRule="exact"/>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bl>
      <w:tblPr>
        <w:tblStyle w:val="24"/>
        <w:tblW w:w="10193" w:type="dxa"/>
        <w:tblInd w:w="8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0"/>
        <w:gridCol w:w="1666"/>
        <w:gridCol w:w="2154"/>
        <w:gridCol w:w="2250"/>
        <w:gridCol w:w="1805"/>
        <w:gridCol w:w="16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00"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序号</w:t>
            </w:r>
          </w:p>
        </w:tc>
        <w:tc>
          <w:tcPr>
            <w:tcW w:w="1666"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bookmarkStart w:id="224" w:name="_Toc173066402"/>
            <w:bookmarkStart w:id="225" w:name="_Toc254970730"/>
            <w:bookmarkStart w:id="226" w:name="_Toc173211901"/>
            <w:bookmarkStart w:id="227" w:name="_Toc254970589"/>
            <w:r>
              <w:rPr>
                <w:rFonts w:hint="eastAsia" w:ascii="宋体" w:hAnsi="宋体" w:cs="宋体"/>
                <w:color w:val="auto"/>
                <w:highlight w:val="none"/>
              </w:rPr>
              <w:t>项目名称</w:t>
            </w:r>
          </w:p>
        </w:tc>
        <w:tc>
          <w:tcPr>
            <w:tcW w:w="2154"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竞争性磋商文件第三章采购需求</w:t>
            </w:r>
            <w:bookmarkEnd w:id="224"/>
            <w:bookmarkEnd w:id="225"/>
            <w:bookmarkEnd w:id="226"/>
            <w:bookmarkEnd w:id="227"/>
          </w:p>
        </w:tc>
        <w:tc>
          <w:tcPr>
            <w:tcW w:w="2250"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bookmarkStart w:id="228" w:name="_Toc254970731"/>
            <w:bookmarkStart w:id="229" w:name="_Toc254970590"/>
            <w:bookmarkStart w:id="230" w:name="_Toc173066403"/>
            <w:bookmarkStart w:id="231" w:name="_Toc173211902"/>
            <w:r>
              <w:rPr>
                <w:rFonts w:hint="eastAsia" w:ascii="宋体" w:hAnsi="宋体" w:cs="宋体"/>
                <w:color w:val="auto"/>
                <w:highlight w:val="none"/>
              </w:rPr>
              <w:t>竞争性磋商响应文件具体响应</w:t>
            </w:r>
            <w:bookmarkEnd w:id="228"/>
            <w:bookmarkEnd w:id="229"/>
            <w:bookmarkEnd w:id="230"/>
            <w:bookmarkEnd w:id="231"/>
          </w:p>
        </w:tc>
        <w:tc>
          <w:tcPr>
            <w:tcW w:w="1805"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bookmarkStart w:id="232" w:name="_Toc254970732"/>
            <w:bookmarkStart w:id="233" w:name="_Toc173066404"/>
            <w:bookmarkStart w:id="234" w:name="_Toc173211903"/>
            <w:bookmarkStart w:id="235" w:name="_Toc254970591"/>
            <w:r>
              <w:rPr>
                <w:rFonts w:hint="eastAsia" w:ascii="宋体" w:hAnsi="宋体" w:cs="宋体"/>
                <w:color w:val="auto"/>
                <w:highlight w:val="none"/>
              </w:rPr>
              <w:t>响应/偏离</w:t>
            </w:r>
            <w:bookmarkEnd w:id="232"/>
            <w:bookmarkEnd w:id="233"/>
            <w:bookmarkEnd w:id="234"/>
            <w:bookmarkEnd w:id="235"/>
          </w:p>
        </w:tc>
        <w:tc>
          <w:tcPr>
            <w:tcW w:w="1618"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00"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1</w:t>
            </w:r>
          </w:p>
        </w:tc>
        <w:tc>
          <w:tcPr>
            <w:tcW w:w="1666"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cs="宋体"/>
                <w:color w:val="auto"/>
                <w:szCs w:val="21"/>
                <w:highlight w:val="none"/>
              </w:rPr>
            </w:pPr>
          </w:p>
        </w:tc>
        <w:tc>
          <w:tcPr>
            <w:tcW w:w="2154"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cs="宋体"/>
                <w:color w:val="auto"/>
                <w:szCs w:val="21"/>
                <w:highlight w:val="none"/>
              </w:rPr>
            </w:pPr>
          </w:p>
        </w:tc>
        <w:tc>
          <w:tcPr>
            <w:tcW w:w="2250"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cs="宋体"/>
                <w:color w:val="auto"/>
                <w:szCs w:val="21"/>
                <w:highlight w:val="none"/>
              </w:rPr>
            </w:pPr>
          </w:p>
        </w:tc>
        <w:tc>
          <w:tcPr>
            <w:tcW w:w="1805"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cs="宋体"/>
                <w:color w:val="auto"/>
                <w:szCs w:val="21"/>
                <w:highlight w:val="none"/>
              </w:rPr>
            </w:pPr>
          </w:p>
        </w:tc>
        <w:tc>
          <w:tcPr>
            <w:tcW w:w="1618"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00"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2</w:t>
            </w:r>
          </w:p>
        </w:tc>
        <w:tc>
          <w:tcPr>
            <w:tcW w:w="1666"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cs="宋体"/>
                <w:color w:val="auto"/>
                <w:szCs w:val="21"/>
                <w:highlight w:val="none"/>
              </w:rPr>
            </w:pPr>
          </w:p>
        </w:tc>
        <w:tc>
          <w:tcPr>
            <w:tcW w:w="2154"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cs="宋体"/>
                <w:color w:val="auto"/>
                <w:szCs w:val="21"/>
                <w:highlight w:val="none"/>
              </w:rPr>
            </w:pPr>
          </w:p>
        </w:tc>
        <w:tc>
          <w:tcPr>
            <w:tcW w:w="2250"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cs="宋体"/>
                <w:color w:val="auto"/>
                <w:szCs w:val="21"/>
                <w:highlight w:val="none"/>
              </w:rPr>
            </w:pPr>
          </w:p>
        </w:tc>
        <w:tc>
          <w:tcPr>
            <w:tcW w:w="1805"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cs="宋体"/>
                <w:color w:val="auto"/>
                <w:szCs w:val="21"/>
                <w:highlight w:val="none"/>
              </w:rPr>
            </w:pPr>
          </w:p>
        </w:tc>
        <w:tc>
          <w:tcPr>
            <w:tcW w:w="1618"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00"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3</w:t>
            </w:r>
          </w:p>
        </w:tc>
        <w:tc>
          <w:tcPr>
            <w:tcW w:w="1666"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cs="宋体"/>
                <w:color w:val="auto"/>
                <w:szCs w:val="21"/>
                <w:highlight w:val="none"/>
              </w:rPr>
            </w:pPr>
          </w:p>
        </w:tc>
        <w:tc>
          <w:tcPr>
            <w:tcW w:w="2154"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cs="宋体"/>
                <w:color w:val="auto"/>
                <w:szCs w:val="21"/>
                <w:highlight w:val="none"/>
              </w:rPr>
            </w:pPr>
          </w:p>
        </w:tc>
        <w:tc>
          <w:tcPr>
            <w:tcW w:w="2250"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cs="宋体"/>
                <w:color w:val="auto"/>
                <w:szCs w:val="21"/>
                <w:highlight w:val="none"/>
              </w:rPr>
            </w:pPr>
          </w:p>
        </w:tc>
        <w:tc>
          <w:tcPr>
            <w:tcW w:w="1805"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cs="宋体"/>
                <w:color w:val="auto"/>
                <w:szCs w:val="21"/>
                <w:highlight w:val="none"/>
              </w:rPr>
            </w:pPr>
          </w:p>
        </w:tc>
        <w:tc>
          <w:tcPr>
            <w:tcW w:w="1618"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700"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w:t>
            </w:r>
          </w:p>
        </w:tc>
        <w:tc>
          <w:tcPr>
            <w:tcW w:w="1666"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cs="宋体"/>
                <w:color w:val="auto"/>
                <w:szCs w:val="21"/>
                <w:highlight w:val="none"/>
              </w:rPr>
            </w:pPr>
          </w:p>
        </w:tc>
        <w:tc>
          <w:tcPr>
            <w:tcW w:w="2154"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cs="宋体"/>
                <w:color w:val="auto"/>
                <w:szCs w:val="21"/>
                <w:highlight w:val="none"/>
              </w:rPr>
            </w:pPr>
          </w:p>
        </w:tc>
        <w:tc>
          <w:tcPr>
            <w:tcW w:w="2250"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cs="宋体"/>
                <w:color w:val="auto"/>
                <w:szCs w:val="21"/>
                <w:highlight w:val="none"/>
              </w:rPr>
            </w:pPr>
          </w:p>
        </w:tc>
        <w:tc>
          <w:tcPr>
            <w:tcW w:w="1805" w:type="dxa"/>
            <w:tcBorders>
              <w:right w:val="single" w:color="auto" w:sz="4" w:space="0"/>
            </w:tcBorders>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cs="宋体"/>
                <w:color w:val="auto"/>
                <w:szCs w:val="21"/>
                <w:highlight w:val="none"/>
              </w:rPr>
            </w:pPr>
          </w:p>
        </w:tc>
        <w:tc>
          <w:tcPr>
            <w:tcW w:w="1618" w:type="dxa"/>
            <w:tcBorders>
              <w:left w:val="single" w:color="auto" w:sz="4" w:space="0"/>
            </w:tcBorders>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cs="宋体"/>
                <w:color w:val="auto"/>
                <w:szCs w:val="21"/>
                <w:highlight w:val="none"/>
              </w:rPr>
            </w:pPr>
          </w:p>
        </w:tc>
      </w:tr>
    </w:tbl>
    <w:p>
      <w:pPr>
        <w:spacing w:line="340" w:lineRule="exact"/>
        <w:rPr>
          <w:rFonts w:ascii="宋体" w:hAnsi="宋体" w:cs="宋体"/>
          <w:color w:val="auto"/>
          <w:szCs w:val="21"/>
          <w:highlight w:val="none"/>
        </w:rPr>
      </w:pPr>
    </w:p>
    <w:p>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磋商供应商[(CA证书签章)，自然人签字或个人CA证书签章]：</w:t>
      </w:r>
      <w:r>
        <w:rPr>
          <w:rFonts w:hint="eastAsia" w:ascii="宋体" w:hAnsi="宋体" w:cs="宋体"/>
          <w:color w:val="auto"/>
          <w:szCs w:val="21"/>
          <w:highlight w:val="none"/>
          <w:u w:val="single"/>
        </w:rPr>
        <w:t xml:space="preserve">                                </w:t>
      </w:r>
    </w:p>
    <w:p>
      <w:pPr>
        <w:spacing w:line="340" w:lineRule="exact"/>
        <w:rPr>
          <w:rFonts w:ascii="宋体" w:hAnsi="宋体" w:cs="宋体"/>
          <w:color w:val="auto"/>
          <w:highlight w:val="none"/>
        </w:rPr>
      </w:pPr>
    </w:p>
    <w:p>
      <w:pPr>
        <w:snapToGrid w:val="0"/>
        <w:spacing w:line="400" w:lineRule="exact"/>
        <w:ind w:firstLine="1680" w:firstLineChars="800"/>
        <w:rPr>
          <w:rFonts w:ascii="宋体" w:hAnsi="宋体" w:cs="宋体"/>
          <w:color w:val="auto"/>
          <w:highlight w:val="none"/>
        </w:rPr>
      </w:pPr>
    </w:p>
    <w:p>
      <w:pPr>
        <w:snapToGrid w:val="0"/>
        <w:spacing w:line="400" w:lineRule="exact"/>
        <w:ind w:firstLine="1680" w:firstLineChars="800"/>
        <w:rPr>
          <w:rFonts w:ascii="宋体" w:hAnsi="宋体" w:cs="宋体"/>
          <w:color w:val="auto"/>
          <w:highlight w:val="none"/>
        </w:rPr>
      </w:pPr>
      <w:r>
        <w:rPr>
          <w:rFonts w:hint="eastAsia" w:ascii="宋体" w:hAnsi="宋体" w:cs="宋体"/>
          <w:color w:val="auto"/>
          <w:highlight w:val="none"/>
        </w:rPr>
        <w:t xml:space="preserve"> 日          期：</w:t>
      </w:r>
      <w:r>
        <w:rPr>
          <w:rFonts w:hint="eastAsia" w:ascii="宋体" w:hAnsi="宋体" w:cs="宋体"/>
          <w:color w:val="auto"/>
          <w:highlight w:val="none"/>
          <w:u w:val="single"/>
        </w:rPr>
        <w:t xml:space="preserve">                                                   </w:t>
      </w:r>
    </w:p>
    <w:p>
      <w:pPr>
        <w:ind w:firstLine="1890" w:firstLineChars="900"/>
        <w:rPr>
          <w:rFonts w:ascii="宋体" w:hAnsi="宋体" w:cs="宋体"/>
          <w:color w:val="auto"/>
          <w:highlight w:val="none"/>
          <w:u w:val="single"/>
        </w:rPr>
      </w:pPr>
    </w:p>
    <w:p>
      <w:pPr>
        <w:ind w:firstLine="1890" w:firstLineChars="900"/>
        <w:rPr>
          <w:rFonts w:ascii="宋体" w:hAnsi="宋体" w:cs="宋体"/>
          <w:color w:val="auto"/>
          <w:highlight w:val="none"/>
          <w:u w:val="single"/>
        </w:rPr>
      </w:pPr>
    </w:p>
    <w:p>
      <w:pPr>
        <w:spacing w:line="400" w:lineRule="exact"/>
        <w:ind w:left="982" w:leftChars="200" w:hanging="562" w:hangingChars="200"/>
        <w:rPr>
          <w:rFonts w:ascii="宋体" w:hAnsi="宋体" w:cs="宋体"/>
          <w:b/>
          <w:bCs/>
          <w:color w:val="auto"/>
          <w:sz w:val="28"/>
          <w:szCs w:val="28"/>
          <w:highlight w:val="none"/>
        </w:rPr>
      </w:pPr>
      <w:r>
        <w:rPr>
          <w:rFonts w:hint="eastAsia" w:ascii="宋体" w:hAnsi="宋体" w:cs="宋体"/>
          <w:b/>
          <w:bCs/>
          <w:color w:val="auto"/>
          <w:sz w:val="28"/>
          <w:szCs w:val="28"/>
          <w:highlight w:val="none"/>
        </w:rPr>
        <w:t>注：</w:t>
      </w:r>
      <w:r>
        <w:rPr>
          <w:rFonts w:hint="eastAsia" w:ascii="宋体" w:hAnsi="宋体" w:cs="宋体"/>
          <w:b/>
          <w:color w:val="auto"/>
          <w:sz w:val="24"/>
          <w:highlight w:val="none"/>
        </w:rPr>
        <w:t>1.“采购需求响应说明表”包含商务要求，各项内容必须如实填写。</w:t>
      </w:r>
    </w:p>
    <w:p>
      <w:pPr>
        <w:spacing w:line="400" w:lineRule="exact"/>
        <w:ind w:firstLine="964" w:firstLineChars="400"/>
        <w:rPr>
          <w:rFonts w:ascii="宋体" w:hAnsi="宋体" w:cs="宋体"/>
          <w:b/>
          <w:bCs/>
          <w:color w:val="auto"/>
          <w:sz w:val="28"/>
          <w:szCs w:val="28"/>
          <w:highlight w:val="none"/>
        </w:rPr>
      </w:pPr>
      <w:r>
        <w:rPr>
          <w:rFonts w:hint="eastAsia" w:ascii="宋体" w:hAnsi="宋体" w:cs="宋体"/>
          <w:b/>
          <w:color w:val="auto"/>
          <w:sz w:val="24"/>
          <w:highlight w:val="none"/>
        </w:rPr>
        <w:t>2.当本表由多页构成时，需逐页加盖磋商供应商CA证书签章（属自然人的须逐页签字或个人CA证书签章）。</w:t>
      </w:r>
    </w:p>
    <w:p>
      <w:pPr>
        <w:pStyle w:val="10"/>
        <w:rPr>
          <w:rFonts w:ascii="宋体" w:hAnsi="宋体" w:cs="宋体"/>
          <w:color w:val="auto"/>
          <w:highlight w:val="none"/>
        </w:rPr>
      </w:pPr>
    </w:p>
    <w:p>
      <w:pPr>
        <w:pStyle w:val="10"/>
        <w:rPr>
          <w:rFonts w:ascii="宋体" w:hAnsi="宋体" w:cs="宋体"/>
          <w:color w:val="auto"/>
          <w:highlight w:val="none"/>
        </w:rPr>
      </w:pPr>
    </w:p>
    <w:p>
      <w:pPr>
        <w:pStyle w:val="10"/>
        <w:rPr>
          <w:rFonts w:ascii="宋体" w:hAnsi="宋体" w:cs="宋体"/>
          <w:color w:val="auto"/>
          <w:highlight w:val="none"/>
        </w:rPr>
      </w:pPr>
    </w:p>
    <w:p>
      <w:pPr>
        <w:pStyle w:val="10"/>
        <w:rPr>
          <w:rFonts w:ascii="宋体" w:hAnsi="宋体" w:cs="宋体"/>
          <w:color w:val="auto"/>
          <w:highlight w:val="none"/>
        </w:rPr>
      </w:pPr>
    </w:p>
    <w:p>
      <w:pPr>
        <w:pStyle w:val="10"/>
        <w:rPr>
          <w:rFonts w:ascii="宋体" w:hAnsi="宋体" w:cs="宋体"/>
          <w:color w:val="auto"/>
          <w:highlight w:val="none"/>
        </w:rPr>
      </w:pPr>
    </w:p>
    <w:p>
      <w:pPr>
        <w:pStyle w:val="10"/>
        <w:rPr>
          <w:rFonts w:ascii="宋体" w:hAnsi="宋体" w:cs="宋体"/>
          <w:color w:val="auto"/>
          <w:highlight w:val="none"/>
        </w:rPr>
      </w:pPr>
    </w:p>
    <w:p>
      <w:pPr>
        <w:pStyle w:val="10"/>
        <w:rPr>
          <w:rFonts w:ascii="宋体" w:hAnsi="宋体" w:cs="宋体"/>
          <w:color w:val="auto"/>
          <w:highlight w:val="none"/>
        </w:rPr>
      </w:pPr>
    </w:p>
    <w:p>
      <w:pPr>
        <w:rPr>
          <w:rFonts w:ascii="宋体" w:hAnsi="宋体" w:cs="宋体"/>
          <w:color w:val="auto"/>
          <w:highlight w:val="none"/>
        </w:rPr>
      </w:pPr>
    </w:p>
    <w:p>
      <w:pPr>
        <w:pStyle w:val="40"/>
        <w:rPr>
          <w:rFonts w:ascii="宋体" w:hAnsi="宋体" w:cs="宋体"/>
          <w:color w:val="auto"/>
          <w:highlight w:val="none"/>
        </w:rPr>
      </w:pPr>
    </w:p>
    <w:p>
      <w:pPr>
        <w:pStyle w:val="40"/>
        <w:rPr>
          <w:rFonts w:ascii="宋体" w:hAnsi="宋体" w:cs="宋体"/>
          <w:color w:val="auto"/>
          <w:highlight w:val="none"/>
        </w:rPr>
      </w:pPr>
    </w:p>
    <w:p>
      <w:pPr>
        <w:pStyle w:val="40"/>
        <w:rPr>
          <w:rFonts w:ascii="宋体" w:hAnsi="宋体" w:cs="宋体"/>
          <w:color w:val="auto"/>
          <w:highlight w:val="none"/>
        </w:rPr>
      </w:pPr>
    </w:p>
    <w:p>
      <w:pPr>
        <w:pStyle w:val="40"/>
        <w:rPr>
          <w:rFonts w:ascii="宋体" w:hAnsi="宋体" w:cs="宋体"/>
          <w:color w:val="auto"/>
          <w:highlight w:val="none"/>
        </w:rPr>
      </w:pPr>
    </w:p>
    <w:p>
      <w:pPr>
        <w:pStyle w:val="40"/>
        <w:rPr>
          <w:rFonts w:ascii="宋体" w:hAnsi="宋体" w:cs="宋体"/>
          <w:color w:val="auto"/>
          <w:highlight w:val="none"/>
        </w:rPr>
      </w:pPr>
    </w:p>
    <w:p>
      <w:pPr>
        <w:pStyle w:val="40"/>
        <w:rPr>
          <w:rFonts w:ascii="宋体" w:hAnsi="宋体" w:cs="宋体"/>
          <w:color w:val="auto"/>
          <w:highlight w:val="none"/>
        </w:rPr>
      </w:pPr>
    </w:p>
    <w:p>
      <w:pPr>
        <w:pStyle w:val="40"/>
        <w:rPr>
          <w:rFonts w:ascii="宋体" w:hAnsi="宋体" w:cs="宋体"/>
          <w:color w:val="auto"/>
          <w:highlight w:val="none"/>
        </w:rPr>
      </w:pPr>
    </w:p>
    <w:p>
      <w:pPr>
        <w:pStyle w:val="10"/>
        <w:rPr>
          <w:rFonts w:ascii="宋体" w:hAnsi="宋体" w:cs="宋体"/>
          <w:color w:val="auto"/>
          <w:highlight w:val="none"/>
        </w:rPr>
      </w:pPr>
    </w:p>
    <w:p>
      <w:pPr>
        <w:pStyle w:val="10"/>
        <w:rPr>
          <w:rFonts w:ascii="宋体" w:hAnsi="宋体" w:cs="宋体"/>
          <w:color w:val="auto"/>
          <w:highlight w:val="none"/>
        </w:rPr>
      </w:pPr>
    </w:p>
    <w:p>
      <w:pPr>
        <w:pStyle w:val="11"/>
        <w:rPr>
          <w:color w:val="auto"/>
          <w:highlight w:val="none"/>
        </w:rPr>
      </w:pPr>
    </w:p>
    <w:p>
      <w:pPr>
        <w:pStyle w:val="10"/>
        <w:rPr>
          <w:rFonts w:ascii="宋体" w:hAnsi="宋体" w:cs="宋体"/>
          <w:color w:val="auto"/>
          <w:highlight w:val="none"/>
        </w:rPr>
      </w:pPr>
    </w:p>
    <w:p>
      <w:pPr>
        <w:pStyle w:val="16"/>
        <w:spacing w:line="340" w:lineRule="exact"/>
        <w:rPr>
          <w:rFonts w:hAnsi="宋体" w:cs="宋体"/>
          <w:b/>
          <w:color w:val="auto"/>
          <w:sz w:val="28"/>
          <w:szCs w:val="28"/>
          <w:highlight w:val="none"/>
        </w:rPr>
      </w:pPr>
      <w:r>
        <w:rPr>
          <w:rFonts w:hint="eastAsia" w:hAnsi="宋体" w:cs="宋体"/>
          <w:b/>
          <w:color w:val="auto"/>
          <w:sz w:val="28"/>
          <w:szCs w:val="28"/>
          <w:highlight w:val="none"/>
        </w:rPr>
        <w:t>4.售后服务承诺书（必须提供）；</w:t>
      </w:r>
    </w:p>
    <w:p>
      <w:pPr>
        <w:rPr>
          <w:rFonts w:ascii="宋体" w:hAnsi="宋体" w:cs="宋体"/>
          <w:color w:val="auto"/>
          <w:highlight w:val="none"/>
        </w:rPr>
      </w:pPr>
    </w:p>
    <w:p>
      <w:pPr>
        <w:pStyle w:val="16"/>
        <w:spacing w:line="340" w:lineRule="exact"/>
        <w:rPr>
          <w:rFonts w:hAnsi="宋体" w:cs="宋体"/>
          <w:b/>
          <w:color w:val="auto"/>
          <w:sz w:val="28"/>
          <w:szCs w:val="28"/>
          <w:highlight w:val="none"/>
        </w:rPr>
      </w:pPr>
      <w:r>
        <w:rPr>
          <w:rFonts w:hint="eastAsia" w:hAnsi="宋体" w:cs="宋体"/>
          <w:b/>
          <w:color w:val="auto"/>
          <w:sz w:val="28"/>
          <w:szCs w:val="28"/>
          <w:highlight w:val="none"/>
        </w:rPr>
        <w:t>附件：</w:t>
      </w:r>
    </w:p>
    <w:p>
      <w:pPr>
        <w:rPr>
          <w:rFonts w:ascii="宋体" w:hAnsi="宋体" w:cs="宋体"/>
          <w:color w:val="auto"/>
          <w:highlight w:val="none"/>
        </w:rPr>
      </w:pPr>
    </w:p>
    <w:p>
      <w:pPr>
        <w:pStyle w:val="10"/>
        <w:rPr>
          <w:rFonts w:ascii="宋体" w:hAnsi="宋体" w:cs="宋体"/>
          <w:color w:val="auto"/>
          <w:highlight w:val="none"/>
        </w:rPr>
      </w:pPr>
    </w:p>
    <w:p>
      <w:pPr>
        <w:pStyle w:val="10"/>
        <w:rPr>
          <w:rFonts w:ascii="宋体" w:hAnsi="宋体" w:cs="宋体"/>
          <w:color w:val="auto"/>
          <w:highlight w:val="none"/>
        </w:rPr>
      </w:pPr>
    </w:p>
    <w:p>
      <w:pPr>
        <w:pStyle w:val="10"/>
        <w:rPr>
          <w:rFonts w:ascii="宋体" w:hAnsi="宋体" w:cs="宋体"/>
          <w:color w:val="auto"/>
          <w:highlight w:val="none"/>
        </w:rPr>
      </w:pPr>
    </w:p>
    <w:p>
      <w:pPr>
        <w:pStyle w:val="16"/>
        <w:spacing w:line="340" w:lineRule="exact"/>
        <w:jc w:val="center"/>
        <w:rPr>
          <w:rFonts w:hAnsi="宋体" w:cs="宋体"/>
          <w:b/>
          <w:color w:val="auto"/>
          <w:sz w:val="32"/>
          <w:szCs w:val="32"/>
          <w:highlight w:val="none"/>
        </w:rPr>
      </w:pPr>
      <w:r>
        <w:rPr>
          <w:rFonts w:hint="eastAsia" w:hAnsi="宋体" w:cs="宋体"/>
          <w:b/>
          <w:color w:val="auto"/>
          <w:sz w:val="32"/>
          <w:szCs w:val="32"/>
          <w:highlight w:val="none"/>
        </w:rPr>
        <w:t>售后服务承诺书（格式）</w:t>
      </w:r>
    </w:p>
    <w:p>
      <w:pPr>
        <w:pStyle w:val="16"/>
        <w:spacing w:line="340" w:lineRule="exact"/>
        <w:jc w:val="center"/>
        <w:rPr>
          <w:rFonts w:hAnsi="宋体" w:cs="宋体"/>
          <w:b/>
          <w:color w:val="auto"/>
          <w:sz w:val="32"/>
          <w:szCs w:val="32"/>
          <w:highlight w:val="none"/>
        </w:rPr>
      </w:pPr>
    </w:p>
    <w:p>
      <w:pPr>
        <w:pStyle w:val="16"/>
        <w:spacing w:line="340" w:lineRule="exact"/>
        <w:jc w:val="center"/>
        <w:rPr>
          <w:rFonts w:hAnsi="宋体" w:cs="宋体"/>
          <w:b/>
          <w:color w:val="auto"/>
          <w:sz w:val="32"/>
          <w:szCs w:val="32"/>
          <w:highlight w:val="none"/>
        </w:rPr>
      </w:pPr>
    </w:p>
    <w:p>
      <w:pPr>
        <w:pStyle w:val="16"/>
        <w:spacing w:line="340" w:lineRule="exact"/>
        <w:jc w:val="center"/>
        <w:rPr>
          <w:rFonts w:hAnsi="宋体" w:cs="宋体"/>
          <w:b/>
          <w:color w:val="auto"/>
          <w:sz w:val="32"/>
          <w:szCs w:val="32"/>
          <w:highlight w:val="none"/>
        </w:rPr>
      </w:pPr>
    </w:p>
    <w:p>
      <w:pPr>
        <w:rPr>
          <w:rFonts w:ascii="宋体" w:hAnsi="宋体" w:cs="宋体"/>
          <w:b/>
          <w:color w:val="auto"/>
          <w:sz w:val="32"/>
          <w:szCs w:val="32"/>
          <w:highlight w:val="none"/>
        </w:rPr>
      </w:pPr>
    </w:p>
    <w:p>
      <w:pPr>
        <w:pStyle w:val="10"/>
        <w:rPr>
          <w:rFonts w:ascii="宋体" w:hAnsi="宋体" w:cs="宋体"/>
          <w:color w:val="auto"/>
          <w:highlight w:val="none"/>
        </w:rPr>
      </w:pPr>
    </w:p>
    <w:p>
      <w:pPr>
        <w:pStyle w:val="10"/>
        <w:rPr>
          <w:rFonts w:ascii="宋体" w:hAnsi="宋体" w:cs="宋体"/>
          <w:b/>
          <w:color w:val="auto"/>
          <w:sz w:val="32"/>
          <w:szCs w:val="32"/>
          <w:highlight w:val="none"/>
        </w:rPr>
      </w:pPr>
    </w:p>
    <w:p>
      <w:pPr>
        <w:pStyle w:val="16"/>
        <w:spacing w:line="340" w:lineRule="exact"/>
        <w:jc w:val="center"/>
        <w:rPr>
          <w:rFonts w:hAnsi="宋体" w:cs="宋体"/>
          <w:b/>
          <w:color w:val="auto"/>
          <w:sz w:val="32"/>
          <w:szCs w:val="32"/>
          <w:highlight w:val="none"/>
        </w:rPr>
      </w:pPr>
    </w:p>
    <w:p>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磋商供应商[(CA证书签章)，自然人签字或个人CA证书签章]：</w:t>
      </w:r>
      <w:r>
        <w:rPr>
          <w:rFonts w:hint="eastAsia" w:ascii="宋体" w:hAnsi="宋体" w:cs="宋体"/>
          <w:color w:val="auto"/>
          <w:szCs w:val="21"/>
          <w:highlight w:val="none"/>
          <w:u w:val="single"/>
        </w:rPr>
        <w:t xml:space="preserve">                                     </w:t>
      </w:r>
    </w:p>
    <w:p>
      <w:pPr>
        <w:rPr>
          <w:color w:val="auto"/>
          <w:highlight w:val="none"/>
        </w:rPr>
      </w:pPr>
    </w:p>
    <w:p>
      <w:pPr>
        <w:snapToGrid w:val="0"/>
        <w:spacing w:line="400" w:lineRule="exact"/>
        <w:ind w:firstLine="1680" w:firstLineChars="800"/>
        <w:rPr>
          <w:rFonts w:ascii="宋体" w:hAnsi="宋体" w:cs="宋体"/>
          <w:color w:val="auto"/>
          <w:highlight w:val="none"/>
          <w:u w:val="single"/>
        </w:rPr>
        <w:sectPr>
          <w:pgSz w:w="11906" w:h="16838"/>
          <w:pgMar w:top="1440" w:right="935" w:bottom="1440" w:left="777" w:header="851" w:footer="992" w:gutter="0"/>
          <w:cols w:space="720" w:num="1"/>
          <w:docGrid w:type="lines" w:linePitch="312" w:charSpace="0"/>
        </w:sectPr>
      </w:pPr>
      <w:r>
        <w:rPr>
          <w:rFonts w:hint="eastAsia" w:ascii="宋体" w:hAnsi="宋体" w:cs="宋体"/>
          <w:color w:val="auto"/>
          <w:highlight w:val="none"/>
        </w:rPr>
        <w:t xml:space="preserve"> 日          期：</w:t>
      </w:r>
      <w:r>
        <w:rPr>
          <w:rFonts w:hint="eastAsia" w:ascii="宋体" w:hAnsi="宋体" w:cs="宋体"/>
          <w:color w:val="auto"/>
          <w:highlight w:val="none"/>
          <w:u w:val="single"/>
        </w:rPr>
        <w:t xml:space="preserve">                          </w:t>
      </w:r>
    </w:p>
    <w:p>
      <w:pPr>
        <w:spacing w:line="340" w:lineRule="exact"/>
        <w:ind w:left="420"/>
        <w:jc w:val="center"/>
        <w:rPr>
          <w:rFonts w:ascii="宋体" w:hAnsi="宋体" w:cs="宋体"/>
          <w:color w:val="auto"/>
          <w:szCs w:val="21"/>
          <w:highlight w:val="none"/>
        </w:rPr>
      </w:pPr>
      <w:bookmarkStart w:id="236" w:name="_Toc28672"/>
      <w:bookmarkStart w:id="237" w:name="_Toc9339"/>
      <w:bookmarkStart w:id="238" w:name="_Toc497927084"/>
      <w:r>
        <w:rPr>
          <w:rFonts w:hint="eastAsia" w:ascii="宋体" w:hAnsi="宋体" w:cs="宋体"/>
          <w:b/>
          <w:bCs/>
          <w:color w:val="auto"/>
          <w:sz w:val="32"/>
          <w:szCs w:val="32"/>
          <w:highlight w:val="none"/>
        </w:rPr>
        <w:t>（三）其他有效证明材料目录</w:t>
      </w:r>
      <w:bookmarkEnd w:id="236"/>
      <w:bookmarkEnd w:id="237"/>
      <w:bookmarkEnd w:id="238"/>
    </w:p>
    <w:p>
      <w:pPr>
        <w:spacing w:line="360" w:lineRule="auto"/>
        <w:ind w:firstLine="480" w:firstLineChars="200"/>
        <w:rPr>
          <w:rFonts w:ascii="宋体" w:hAnsi="宋体" w:cs="宋体"/>
          <w:b/>
          <w:bCs/>
          <w:color w:val="auto"/>
          <w:highlight w:val="none"/>
        </w:rPr>
      </w:pPr>
      <w:r>
        <w:rPr>
          <w:rFonts w:hint="eastAsia" w:ascii="宋体" w:hAnsi="宋体" w:cs="宋体"/>
          <w:color w:val="auto"/>
          <w:sz w:val="24"/>
          <w:highlight w:val="none"/>
        </w:rPr>
        <w:t>1.项目实施人员一览表（格式见附件）</w:t>
      </w:r>
      <w:r>
        <w:rPr>
          <w:rFonts w:hint="eastAsia" w:ascii="宋体" w:hAnsi="宋体" w:cs="宋体"/>
          <w:b/>
          <w:bCs/>
          <w:color w:val="auto"/>
          <w:sz w:val="24"/>
          <w:highlight w:val="none"/>
        </w:rPr>
        <w:t>（如有，请提供）</w:t>
      </w:r>
    </w:p>
    <w:p>
      <w:pPr>
        <w:spacing w:line="360" w:lineRule="auto"/>
        <w:ind w:firstLine="480" w:firstLineChars="200"/>
        <w:jc w:val="left"/>
        <w:rPr>
          <w:rFonts w:ascii="宋体" w:hAnsi="宋体" w:cs="宋体"/>
          <w:b/>
          <w:bCs/>
          <w:color w:val="auto"/>
          <w:highlight w:val="none"/>
        </w:rPr>
      </w:pPr>
      <w:r>
        <w:rPr>
          <w:rFonts w:hint="eastAsia" w:ascii="宋体" w:hAnsi="宋体" w:cs="宋体"/>
          <w:color w:val="auto"/>
          <w:sz w:val="24"/>
          <w:highlight w:val="none"/>
        </w:rPr>
        <w:t>2.“采购需求”需提供的有效证明文件</w:t>
      </w:r>
      <w:r>
        <w:rPr>
          <w:rFonts w:hint="eastAsia" w:ascii="宋体" w:hAnsi="宋体" w:cs="宋体"/>
          <w:b/>
          <w:bCs/>
          <w:color w:val="auto"/>
          <w:sz w:val="24"/>
          <w:highlight w:val="none"/>
        </w:rPr>
        <w:t>（如有，请提供）；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3.供应商2018年1月1日以来具有同类项目业绩相关证明材料（无不良记录，以中标、成交通知书或签订的合同为准，并能清晰反映项目的名称、采购内容、采购金额、采购时间）</w:t>
      </w:r>
      <w:r>
        <w:rPr>
          <w:rFonts w:hint="eastAsia" w:ascii="宋体" w:hAnsi="宋体" w:cs="宋体"/>
          <w:b/>
          <w:bCs/>
          <w:color w:val="auto"/>
          <w:sz w:val="24"/>
          <w:highlight w:val="none"/>
        </w:rPr>
        <w:t>（如有，请提供）；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4.供应商可结合本项目的评审办法视自身情况自行提交其它相关证明材料。</w:t>
      </w:r>
    </w:p>
    <w:p>
      <w:pPr>
        <w:spacing w:line="360" w:lineRule="auto"/>
        <w:ind w:firstLine="480" w:firstLineChars="200"/>
        <w:rPr>
          <w:rFonts w:ascii="宋体" w:hAnsi="宋体" w:cs="宋体"/>
          <w:color w:val="auto"/>
          <w:sz w:val="24"/>
          <w:highlight w:val="none"/>
        </w:rPr>
      </w:pPr>
    </w:p>
    <w:p>
      <w:pPr>
        <w:pStyle w:val="40"/>
        <w:rPr>
          <w:rFonts w:ascii="宋体" w:hAnsi="宋体" w:cs="宋体"/>
          <w:b/>
          <w:bCs/>
          <w:color w:val="auto"/>
          <w:highlight w:val="none"/>
        </w:rPr>
      </w:pPr>
    </w:p>
    <w:p>
      <w:pPr>
        <w:pStyle w:val="40"/>
        <w:rPr>
          <w:rFonts w:ascii="宋体" w:hAnsi="宋体" w:cs="宋体"/>
          <w:b/>
          <w:bCs/>
          <w:color w:val="auto"/>
          <w:highlight w:val="none"/>
        </w:rPr>
      </w:pPr>
    </w:p>
    <w:p>
      <w:pPr>
        <w:pStyle w:val="40"/>
        <w:rPr>
          <w:rFonts w:ascii="宋体" w:hAnsi="宋体" w:cs="宋体"/>
          <w:b/>
          <w:bCs/>
          <w:color w:val="auto"/>
          <w:highlight w:val="none"/>
        </w:rPr>
      </w:pPr>
    </w:p>
    <w:p>
      <w:pPr>
        <w:pStyle w:val="40"/>
        <w:rPr>
          <w:rFonts w:ascii="宋体" w:hAnsi="宋体" w:cs="宋体"/>
          <w:b/>
          <w:bCs/>
          <w:color w:val="auto"/>
          <w:highlight w:val="none"/>
        </w:rPr>
      </w:pPr>
    </w:p>
    <w:p>
      <w:pPr>
        <w:pStyle w:val="40"/>
        <w:rPr>
          <w:rFonts w:ascii="宋体" w:hAnsi="宋体" w:cs="宋体"/>
          <w:b/>
          <w:bCs/>
          <w:color w:val="auto"/>
          <w:highlight w:val="none"/>
        </w:rPr>
      </w:pPr>
    </w:p>
    <w:p>
      <w:pPr>
        <w:pStyle w:val="40"/>
        <w:rPr>
          <w:rFonts w:ascii="宋体" w:hAnsi="宋体" w:cs="宋体"/>
          <w:b/>
          <w:bCs/>
          <w:color w:val="auto"/>
          <w:highlight w:val="none"/>
        </w:rPr>
      </w:pPr>
    </w:p>
    <w:p>
      <w:pPr>
        <w:pStyle w:val="40"/>
        <w:rPr>
          <w:rFonts w:ascii="宋体" w:hAnsi="宋体" w:cs="宋体"/>
          <w:b/>
          <w:bCs/>
          <w:color w:val="auto"/>
          <w:highlight w:val="none"/>
        </w:rPr>
      </w:pPr>
    </w:p>
    <w:p>
      <w:pPr>
        <w:pStyle w:val="40"/>
        <w:rPr>
          <w:rFonts w:ascii="宋体" w:hAnsi="宋体" w:cs="宋体"/>
          <w:b/>
          <w:bCs/>
          <w:color w:val="auto"/>
          <w:highlight w:val="none"/>
        </w:rPr>
      </w:pPr>
    </w:p>
    <w:p>
      <w:pPr>
        <w:pStyle w:val="39"/>
        <w:ind w:firstLine="0" w:firstLineChars="0"/>
        <w:rPr>
          <w:rFonts w:cs="宋体"/>
          <w:b/>
          <w:color w:val="auto"/>
          <w:kern w:val="2"/>
          <w:sz w:val="28"/>
          <w:szCs w:val="28"/>
          <w:highlight w:val="none"/>
        </w:rPr>
      </w:pPr>
    </w:p>
    <w:p>
      <w:pPr>
        <w:pStyle w:val="39"/>
        <w:ind w:firstLine="0" w:firstLineChars="0"/>
        <w:rPr>
          <w:rFonts w:cs="宋体"/>
          <w:b/>
          <w:color w:val="auto"/>
          <w:kern w:val="2"/>
          <w:sz w:val="28"/>
          <w:szCs w:val="28"/>
          <w:highlight w:val="none"/>
        </w:rPr>
      </w:pPr>
    </w:p>
    <w:p>
      <w:pPr>
        <w:pStyle w:val="39"/>
        <w:ind w:firstLine="0" w:firstLineChars="0"/>
        <w:rPr>
          <w:rFonts w:cs="宋体"/>
          <w:b/>
          <w:color w:val="auto"/>
          <w:kern w:val="2"/>
          <w:sz w:val="28"/>
          <w:szCs w:val="28"/>
          <w:highlight w:val="none"/>
        </w:rPr>
      </w:pPr>
    </w:p>
    <w:p>
      <w:pPr>
        <w:pStyle w:val="39"/>
        <w:ind w:firstLine="0" w:firstLineChars="0"/>
        <w:rPr>
          <w:rFonts w:cs="宋体"/>
          <w:b/>
          <w:color w:val="auto"/>
          <w:kern w:val="2"/>
          <w:sz w:val="28"/>
          <w:szCs w:val="28"/>
          <w:highlight w:val="none"/>
        </w:rPr>
      </w:pPr>
    </w:p>
    <w:p>
      <w:pPr>
        <w:pStyle w:val="39"/>
        <w:ind w:firstLine="0" w:firstLineChars="0"/>
        <w:rPr>
          <w:rFonts w:cs="宋体"/>
          <w:b/>
          <w:color w:val="auto"/>
          <w:kern w:val="2"/>
          <w:sz w:val="28"/>
          <w:szCs w:val="28"/>
          <w:highlight w:val="none"/>
        </w:rPr>
      </w:pPr>
    </w:p>
    <w:p>
      <w:pPr>
        <w:pStyle w:val="39"/>
        <w:ind w:firstLine="0" w:firstLineChars="0"/>
        <w:rPr>
          <w:rFonts w:cs="宋体"/>
          <w:b/>
          <w:color w:val="auto"/>
          <w:kern w:val="2"/>
          <w:sz w:val="28"/>
          <w:szCs w:val="28"/>
          <w:highlight w:val="none"/>
        </w:rPr>
      </w:pPr>
    </w:p>
    <w:p>
      <w:pPr>
        <w:pStyle w:val="39"/>
        <w:ind w:firstLine="0" w:firstLineChars="0"/>
        <w:rPr>
          <w:rFonts w:cs="宋体"/>
          <w:b/>
          <w:color w:val="auto"/>
          <w:kern w:val="2"/>
          <w:sz w:val="28"/>
          <w:szCs w:val="28"/>
          <w:highlight w:val="none"/>
        </w:rPr>
      </w:pPr>
    </w:p>
    <w:p>
      <w:pPr>
        <w:pStyle w:val="39"/>
        <w:ind w:firstLine="0" w:firstLineChars="0"/>
        <w:rPr>
          <w:rFonts w:cs="宋体"/>
          <w:b/>
          <w:color w:val="auto"/>
          <w:kern w:val="2"/>
          <w:sz w:val="28"/>
          <w:szCs w:val="28"/>
          <w:highlight w:val="none"/>
        </w:rPr>
      </w:pPr>
    </w:p>
    <w:p>
      <w:pPr>
        <w:pStyle w:val="39"/>
        <w:ind w:firstLine="0" w:firstLineChars="0"/>
        <w:rPr>
          <w:rFonts w:cs="宋体"/>
          <w:b/>
          <w:color w:val="auto"/>
          <w:kern w:val="2"/>
          <w:sz w:val="28"/>
          <w:szCs w:val="28"/>
          <w:highlight w:val="none"/>
        </w:rPr>
      </w:pPr>
    </w:p>
    <w:p>
      <w:pPr>
        <w:pStyle w:val="39"/>
        <w:ind w:firstLine="0" w:firstLineChars="0"/>
        <w:rPr>
          <w:rFonts w:cs="宋体"/>
          <w:b/>
          <w:color w:val="auto"/>
          <w:kern w:val="2"/>
          <w:sz w:val="28"/>
          <w:szCs w:val="28"/>
          <w:highlight w:val="none"/>
        </w:rPr>
      </w:pPr>
    </w:p>
    <w:p>
      <w:pPr>
        <w:pStyle w:val="39"/>
        <w:ind w:firstLine="0" w:firstLineChars="0"/>
        <w:rPr>
          <w:rFonts w:cs="宋体"/>
          <w:b/>
          <w:color w:val="auto"/>
          <w:kern w:val="2"/>
          <w:sz w:val="28"/>
          <w:szCs w:val="28"/>
          <w:highlight w:val="none"/>
        </w:rPr>
      </w:pPr>
    </w:p>
    <w:p>
      <w:pPr>
        <w:pStyle w:val="39"/>
        <w:ind w:firstLine="0" w:firstLineChars="0"/>
        <w:rPr>
          <w:rFonts w:cs="宋体"/>
          <w:b/>
          <w:color w:val="auto"/>
          <w:kern w:val="2"/>
          <w:sz w:val="28"/>
          <w:szCs w:val="28"/>
          <w:highlight w:val="none"/>
        </w:rPr>
      </w:pPr>
    </w:p>
    <w:p>
      <w:pPr>
        <w:pStyle w:val="16"/>
        <w:spacing w:line="340" w:lineRule="exact"/>
        <w:rPr>
          <w:rFonts w:hAnsi="宋体" w:cs="宋体"/>
          <w:b/>
          <w:color w:val="auto"/>
          <w:sz w:val="28"/>
          <w:szCs w:val="28"/>
          <w:highlight w:val="none"/>
        </w:rPr>
      </w:pPr>
    </w:p>
    <w:p>
      <w:pPr>
        <w:pStyle w:val="16"/>
        <w:spacing w:line="340" w:lineRule="exact"/>
        <w:rPr>
          <w:rFonts w:hAnsi="宋体" w:cs="宋体"/>
          <w:b/>
          <w:color w:val="auto"/>
          <w:sz w:val="28"/>
          <w:szCs w:val="28"/>
          <w:highlight w:val="none"/>
        </w:rPr>
      </w:pPr>
      <w:r>
        <w:rPr>
          <w:rFonts w:hint="eastAsia" w:hAnsi="宋体" w:cs="宋体"/>
          <w:b/>
          <w:color w:val="auto"/>
          <w:sz w:val="28"/>
          <w:szCs w:val="28"/>
          <w:highlight w:val="none"/>
        </w:rPr>
        <w:t>1.项目实施人员一览表 （如有，请提供）</w:t>
      </w:r>
    </w:p>
    <w:p>
      <w:pPr>
        <w:rPr>
          <w:rFonts w:ascii="宋体" w:hAnsi="宋体" w:cs="宋体"/>
          <w:color w:val="auto"/>
          <w:highlight w:val="none"/>
        </w:rPr>
      </w:pPr>
    </w:p>
    <w:p>
      <w:pPr>
        <w:pStyle w:val="16"/>
        <w:rPr>
          <w:rFonts w:hAnsi="宋体" w:cs="宋体"/>
          <w:b/>
          <w:bCs/>
          <w:color w:val="auto"/>
          <w:sz w:val="32"/>
          <w:szCs w:val="32"/>
          <w:highlight w:val="none"/>
        </w:rPr>
      </w:pPr>
      <w:r>
        <w:rPr>
          <w:rFonts w:hint="eastAsia" w:hAnsi="宋体" w:cs="宋体"/>
          <w:b/>
          <w:bCs/>
          <w:color w:val="auto"/>
          <w:sz w:val="32"/>
          <w:szCs w:val="32"/>
          <w:highlight w:val="none"/>
        </w:rPr>
        <w:t>附件：</w:t>
      </w:r>
    </w:p>
    <w:p>
      <w:pPr>
        <w:pStyle w:val="16"/>
        <w:ind w:firstLine="472" w:firstLineChars="147"/>
        <w:jc w:val="center"/>
        <w:rPr>
          <w:rFonts w:hAnsi="宋体" w:cs="宋体"/>
          <w:b/>
          <w:bCs/>
          <w:color w:val="auto"/>
          <w:sz w:val="32"/>
          <w:szCs w:val="32"/>
          <w:highlight w:val="none"/>
        </w:rPr>
      </w:pPr>
      <w:r>
        <w:rPr>
          <w:rFonts w:hint="eastAsia" w:hAnsi="宋体" w:cs="宋体"/>
          <w:b/>
          <w:bCs/>
          <w:color w:val="auto"/>
          <w:sz w:val="32"/>
          <w:szCs w:val="32"/>
          <w:highlight w:val="none"/>
        </w:rPr>
        <w:t>项目实施人员一览表（格式）</w:t>
      </w:r>
    </w:p>
    <w:tbl>
      <w:tblPr>
        <w:tblStyle w:val="24"/>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105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66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专业技术资格</w:t>
            </w:r>
          </w:p>
        </w:tc>
        <w:tc>
          <w:tcPr>
            <w:tcW w:w="120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证书编号</w:t>
            </w:r>
          </w:p>
        </w:tc>
        <w:tc>
          <w:tcPr>
            <w:tcW w:w="2550" w:type="dxa"/>
            <w:vAlign w:val="center"/>
          </w:tcPr>
          <w:p>
            <w:pPr>
              <w:keepNext w:val="0"/>
              <w:keepLines w:val="0"/>
              <w:suppressLineNumbers w:val="0"/>
              <w:spacing w:before="0" w:beforeAutospacing="0" w:after="0" w:afterAutospacing="0" w:line="4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  参加本单位工作时间</w:t>
            </w:r>
          </w:p>
        </w:tc>
        <w:tc>
          <w:tcPr>
            <w:tcW w:w="261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keepNext w:val="0"/>
              <w:keepLines w:val="0"/>
              <w:suppressLineNumbers w:val="0"/>
              <w:spacing w:before="0" w:beforeAutospacing="0" w:after="0" w:afterAutospacing="0" w:line="400" w:lineRule="exact"/>
              <w:ind w:left="0" w:right="0"/>
              <w:rPr>
                <w:rFonts w:hint="eastAsia" w:ascii="宋体" w:hAnsi="宋体" w:cs="宋体"/>
                <w:color w:val="auto"/>
                <w:szCs w:val="21"/>
                <w:highlight w:val="none"/>
              </w:rPr>
            </w:pPr>
          </w:p>
        </w:tc>
        <w:tc>
          <w:tcPr>
            <w:tcW w:w="1050" w:type="dxa"/>
          </w:tcPr>
          <w:p>
            <w:pPr>
              <w:keepNext w:val="0"/>
              <w:keepLines w:val="0"/>
              <w:suppressLineNumbers w:val="0"/>
              <w:spacing w:before="0" w:beforeAutospacing="0" w:after="0" w:afterAutospacing="0" w:line="400" w:lineRule="exact"/>
              <w:ind w:left="0" w:right="0"/>
              <w:rPr>
                <w:rFonts w:hint="eastAsia" w:ascii="宋体" w:hAnsi="宋体" w:cs="宋体"/>
                <w:color w:val="auto"/>
                <w:szCs w:val="21"/>
                <w:highlight w:val="none"/>
              </w:rPr>
            </w:pPr>
          </w:p>
        </w:tc>
        <w:tc>
          <w:tcPr>
            <w:tcW w:w="1665" w:type="dxa"/>
          </w:tcPr>
          <w:p>
            <w:pPr>
              <w:keepNext w:val="0"/>
              <w:keepLines w:val="0"/>
              <w:suppressLineNumbers w:val="0"/>
              <w:spacing w:before="0" w:beforeAutospacing="0" w:after="0" w:afterAutospacing="0" w:line="400" w:lineRule="exact"/>
              <w:ind w:left="0" w:right="0"/>
              <w:rPr>
                <w:rFonts w:hint="eastAsia" w:ascii="宋体" w:hAnsi="宋体" w:cs="宋体"/>
                <w:color w:val="auto"/>
                <w:szCs w:val="21"/>
                <w:highlight w:val="none"/>
              </w:rPr>
            </w:pPr>
          </w:p>
        </w:tc>
        <w:tc>
          <w:tcPr>
            <w:tcW w:w="1200" w:type="dxa"/>
          </w:tcPr>
          <w:p>
            <w:pPr>
              <w:keepNext w:val="0"/>
              <w:keepLines w:val="0"/>
              <w:suppressLineNumbers w:val="0"/>
              <w:spacing w:before="0" w:beforeAutospacing="0" w:after="0" w:afterAutospacing="0" w:line="400" w:lineRule="exact"/>
              <w:ind w:left="0" w:right="0"/>
              <w:rPr>
                <w:rFonts w:hint="eastAsia" w:ascii="宋体" w:hAnsi="宋体" w:cs="宋体"/>
                <w:color w:val="auto"/>
                <w:szCs w:val="21"/>
                <w:highlight w:val="none"/>
              </w:rPr>
            </w:pPr>
          </w:p>
        </w:tc>
        <w:tc>
          <w:tcPr>
            <w:tcW w:w="2550" w:type="dxa"/>
          </w:tcPr>
          <w:p>
            <w:pPr>
              <w:keepNext w:val="0"/>
              <w:keepLines w:val="0"/>
              <w:suppressLineNumbers w:val="0"/>
              <w:spacing w:before="0" w:beforeAutospacing="0" w:after="0" w:afterAutospacing="0" w:line="400" w:lineRule="exact"/>
              <w:ind w:left="0" w:right="0"/>
              <w:rPr>
                <w:rFonts w:hint="eastAsia" w:ascii="宋体" w:hAnsi="宋体" w:cs="宋体"/>
                <w:color w:val="auto"/>
                <w:szCs w:val="21"/>
                <w:highlight w:val="none"/>
              </w:rPr>
            </w:pPr>
          </w:p>
        </w:tc>
        <w:tc>
          <w:tcPr>
            <w:tcW w:w="2610" w:type="dxa"/>
          </w:tcPr>
          <w:p>
            <w:pPr>
              <w:keepNext w:val="0"/>
              <w:keepLines w:val="0"/>
              <w:suppressLineNumbers w:val="0"/>
              <w:spacing w:before="0" w:beforeAutospacing="0" w:after="0" w:afterAutospacing="0" w:line="400" w:lineRule="exact"/>
              <w:ind w:left="0" w:right="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keepNext w:val="0"/>
              <w:keepLines w:val="0"/>
              <w:suppressLineNumbers w:val="0"/>
              <w:spacing w:before="0" w:beforeAutospacing="0" w:after="0" w:afterAutospacing="0" w:line="400" w:lineRule="exact"/>
              <w:ind w:left="0" w:right="0"/>
              <w:rPr>
                <w:rFonts w:hint="eastAsia" w:ascii="宋体" w:hAnsi="宋体" w:cs="宋体"/>
                <w:color w:val="auto"/>
                <w:szCs w:val="21"/>
                <w:highlight w:val="none"/>
              </w:rPr>
            </w:pPr>
          </w:p>
        </w:tc>
        <w:tc>
          <w:tcPr>
            <w:tcW w:w="1050" w:type="dxa"/>
          </w:tcPr>
          <w:p>
            <w:pPr>
              <w:keepNext w:val="0"/>
              <w:keepLines w:val="0"/>
              <w:suppressLineNumbers w:val="0"/>
              <w:spacing w:before="0" w:beforeAutospacing="0" w:after="0" w:afterAutospacing="0" w:line="400" w:lineRule="exact"/>
              <w:ind w:left="0" w:right="0"/>
              <w:rPr>
                <w:rFonts w:hint="eastAsia" w:ascii="宋体" w:hAnsi="宋体" w:cs="宋体"/>
                <w:color w:val="auto"/>
                <w:szCs w:val="21"/>
                <w:highlight w:val="none"/>
              </w:rPr>
            </w:pPr>
          </w:p>
        </w:tc>
        <w:tc>
          <w:tcPr>
            <w:tcW w:w="1665" w:type="dxa"/>
          </w:tcPr>
          <w:p>
            <w:pPr>
              <w:keepNext w:val="0"/>
              <w:keepLines w:val="0"/>
              <w:suppressLineNumbers w:val="0"/>
              <w:spacing w:before="0" w:beforeAutospacing="0" w:after="0" w:afterAutospacing="0" w:line="400" w:lineRule="exact"/>
              <w:ind w:left="0" w:right="0"/>
              <w:rPr>
                <w:rFonts w:hint="eastAsia" w:ascii="宋体" w:hAnsi="宋体" w:cs="宋体"/>
                <w:color w:val="auto"/>
                <w:szCs w:val="21"/>
                <w:highlight w:val="none"/>
              </w:rPr>
            </w:pPr>
          </w:p>
        </w:tc>
        <w:tc>
          <w:tcPr>
            <w:tcW w:w="1200" w:type="dxa"/>
          </w:tcPr>
          <w:p>
            <w:pPr>
              <w:keepNext w:val="0"/>
              <w:keepLines w:val="0"/>
              <w:suppressLineNumbers w:val="0"/>
              <w:spacing w:before="0" w:beforeAutospacing="0" w:after="0" w:afterAutospacing="0" w:line="400" w:lineRule="exact"/>
              <w:ind w:left="0" w:right="0"/>
              <w:rPr>
                <w:rFonts w:hint="eastAsia" w:ascii="宋体" w:hAnsi="宋体" w:cs="宋体"/>
                <w:color w:val="auto"/>
                <w:szCs w:val="21"/>
                <w:highlight w:val="none"/>
              </w:rPr>
            </w:pPr>
          </w:p>
        </w:tc>
        <w:tc>
          <w:tcPr>
            <w:tcW w:w="2550" w:type="dxa"/>
          </w:tcPr>
          <w:p>
            <w:pPr>
              <w:keepNext w:val="0"/>
              <w:keepLines w:val="0"/>
              <w:suppressLineNumbers w:val="0"/>
              <w:spacing w:before="0" w:beforeAutospacing="0" w:after="0" w:afterAutospacing="0" w:line="400" w:lineRule="exact"/>
              <w:ind w:left="0" w:right="0"/>
              <w:rPr>
                <w:rFonts w:hint="eastAsia" w:ascii="宋体" w:hAnsi="宋体" w:cs="宋体"/>
                <w:color w:val="auto"/>
                <w:szCs w:val="21"/>
                <w:highlight w:val="none"/>
              </w:rPr>
            </w:pPr>
          </w:p>
        </w:tc>
        <w:tc>
          <w:tcPr>
            <w:tcW w:w="2610" w:type="dxa"/>
          </w:tcPr>
          <w:p>
            <w:pPr>
              <w:keepNext w:val="0"/>
              <w:keepLines w:val="0"/>
              <w:suppressLineNumbers w:val="0"/>
              <w:spacing w:before="0" w:beforeAutospacing="0" w:after="0" w:afterAutospacing="0" w:line="400" w:lineRule="exact"/>
              <w:ind w:left="0" w:right="0"/>
              <w:rPr>
                <w:rFonts w:hint="eastAsia" w:ascii="宋体" w:hAnsi="宋体" w:cs="宋体"/>
                <w:color w:val="auto"/>
                <w:szCs w:val="21"/>
                <w:highlight w:val="none"/>
              </w:rPr>
            </w:pPr>
          </w:p>
        </w:tc>
      </w:tr>
    </w:tbl>
    <w:p>
      <w:pPr>
        <w:spacing w:line="400" w:lineRule="exact"/>
        <w:rPr>
          <w:rFonts w:ascii="宋体" w:hAnsi="宋体" w:cs="宋体"/>
          <w:color w:val="auto"/>
          <w:szCs w:val="21"/>
          <w:highlight w:val="none"/>
        </w:rPr>
      </w:pPr>
    </w:p>
    <w:p>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磋商供应商[(CA证书签章)，自然人签字或个人CA证书签章]：</w:t>
      </w:r>
      <w:r>
        <w:rPr>
          <w:rFonts w:hint="eastAsia" w:ascii="宋体" w:hAnsi="宋体" w:cs="宋体"/>
          <w:color w:val="auto"/>
          <w:szCs w:val="21"/>
          <w:highlight w:val="none"/>
          <w:u w:val="single"/>
        </w:rPr>
        <w:t xml:space="preserve">                                     </w:t>
      </w:r>
    </w:p>
    <w:p>
      <w:pPr>
        <w:rPr>
          <w:color w:val="auto"/>
          <w:highlight w:val="none"/>
        </w:rPr>
      </w:pPr>
    </w:p>
    <w:p>
      <w:pPr>
        <w:snapToGrid w:val="0"/>
        <w:spacing w:line="400" w:lineRule="exact"/>
        <w:ind w:firstLine="1680" w:firstLineChars="800"/>
        <w:rPr>
          <w:rFonts w:ascii="宋体" w:hAnsi="宋体" w:cs="宋体"/>
          <w:color w:val="auto"/>
          <w:highlight w:val="none"/>
        </w:rPr>
      </w:pPr>
      <w:r>
        <w:rPr>
          <w:rFonts w:hint="eastAsia" w:ascii="宋体" w:hAnsi="宋体" w:cs="宋体"/>
          <w:color w:val="auto"/>
          <w:highlight w:val="none"/>
        </w:rPr>
        <w:t xml:space="preserve"> 日          期：</w:t>
      </w:r>
      <w:r>
        <w:rPr>
          <w:rFonts w:hint="eastAsia" w:ascii="宋体" w:hAnsi="宋体" w:cs="宋体"/>
          <w:color w:val="auto"/>
          <w:highlight w:val="none"/>
          <w:u w:val="single"/>
        </w:rPr>
        <w:t xml:space="preserve">                                                   </w:t>
      </w:r>
    </w:p>
    <w:p>
      <w:pPr>
        <w:pStyle w:val="10"/>
        <w:rPr>
          <w:rFonts w:ascii="宋体" w:hAnsi="宋体" w:cs="宋体"/>
          <w:color w:val="auto"/>
          <w:highlight w:val="none"/>
        </w:rPr>
      </w:pPr>
    </w:p>
    <w:p>
      <w:pPr>
        <w:spacing w:line="360" w:lineRule="auto"/>
        <w:rPr>
          <w:rFonts w:ascii="宋体" w:hAnsi="宋体" w:cs="宋体"/>
          <w:b/>
          <w:bCs/>
          <w:color w:val="auto"/>
          <w:sz w:val="24"/>
          <w:highlight w:val="none"/>
        </w:rPr>
        <w:sectPr>
          <w:pgSz w:w="11906" w:h="16838"/>
          <w:pgMar w:top="1440" w:right="935" w:bottom="1440" w:left="777" w:header="851" w:footer="992" w:gutter="0"/>
          <w:cols w:space="720" w:num="1"/>
          <w:docGrid w:type="lines" w:linePitch="312" w:charSpace="0"/>
        </w:sectPr>
      </w:pPr>
      <w:r>
        <w:rPr>
          <w:rFonts w:hint="eastAsia" w:ascii="宋体" w:hAnsi="宋体" w:cs="宋体"/>
          <w:b/>
          <w:bCs/>
          <w:color w:val="auto"/>
          <w:sz w:val="24"/>
          <w:highlight w:val="none"/>
        </w:rPr>
        <w:t>注：供应商根据自身情况结合本项目自行制定</w:t>
      </w:r>
    </w:p>
    <w:p>
      <w:pPr>
        <w:pStyle w:val="16"/>
        <w:spacing w:line="340" w:lineRule="exact"/>
        <w:rPr>
          <w:rFonts w:hAnsi="宋体" w:cs="宋体"/>
          <w:b/>
          <w:color w:val="auto"/>
          <w:sz w:val="28"/>
          <w:szCs w:val="28"/>
          <w:highlight w:val="none"/>
        </w:rPr>
      </w:pPr>
      <w:r>
        <w:rPr>
          <w:rFonts w:hint="eastAsia" w:hAnsi="宋体" w:cs="宋体"/>
          <w:b/>
          <w:color w:val="auto"/>
          <w:sz w:val="28"/>
          <w:szCs w:val="28"/>
          <w:highlight w:val="none"/>
        </w:rPr>
        <w:t>2.“采购需求”需提供的有效证明文件（如有，请提供）；</w:t>
      </w:r>
    </w:p>
    <w:p>
      <w:pPr>
        <w:pStyle w:val="10"/>
        <w:rPr>
          <w:rFonts w:ascii="宋体" w:hAnsi="宋体" w:cs="宋体"/>
          <w:b/>
          <w:color w:val="auto"/>
          <w:highlight w:val="none"/>
        </w:rPr>
      </w:pPr>
    </w:p>
    <w:p>
      <w:pPr>
        <w:pStyle w:val="11"/>
        <w:ind w:firstLine="422"/>
        <w:rPr>
          <w:rFonts w:ascii="宋体" w:hAnsi="宋体" w:cs="宋体"/>
          <w:b/>
          <w:color w:val="auto"/>
          <w:highlight w:val="none"/>
        </w:rPr>
      </w:pPr>
    </w:p>
    <w:p>
      <w:pPr>
        <w:pStyle w:val="11"/>
        <w:ind w:firstLine="422"/>
        <w:rPr>
          <w:rFonts w:ascii="宋体" w:hAnsi="宋体" w:cs="宋体"/>
          <w:b/>
          <w:color w:val="auto"/>
          <w:highlight w:val="none"/>
        </w:rPr>
      </w:pPr>
    </w:p>
    <w:p>
      <w:pPr>
        <w:pStyle w:val="16"/>
        <w:spacing w:line="340" w:lineRule="exact"/>
        <w:rPr>
          <w:rFonts w:hAnsi="宋体" w:cs="宋体"/>
          <w:b/>
          <w:color w:val="auto"/>
          <w:sz w:val="28"/>
          <w:szCs w:val="28"/>
          <w:highlight w:val="none"/>
        </w:rPr>
      </w:pPr>
      <w:bookmarkStart w:id="239" w:name="_Toc497927090"/>
      <w:bookmarkStart w:id="240" w:name="_Toc10161"/>
      <w:bookmarkStart w:id="241" w:name="_Toc3052"/>
    </w:p>
    <w:p>
      <w:pPr>
        <w:pStyle w:val="16"/>
        <w:spacing w:line="340" w:lineRule="exact"/>
        <w:rPr>
          <w:rFonts w:hAnsi="宋体" w:cs="宋体"/>
          <w:b/>
          <w:color w:val="auto"/>
          <w:sz w:val="28"/>
          <w:szCs w:val="28"/>
          <w:highlight w:val="none"/>
        </w:rPr>
      </w:pPr>
      <w:r>
        <w:rPr>
          <w:rFonts w:hint="eastAsia" w:hAnsi="宋体" w:cs="宋体"/>
          <w:b/>
          <w:color w:val="auto"/>
          <w:sz w:val="28"/>
          <w:szCs w:val="28"/>
          <w:highlight w:val="none"/>
        </w:rPr>
        <w:t>3.供应商2018年1月1日以来具有同类项目业绩相关证明材料（无不良记录，以中标、成交通知书或签订的合同为准，并能清晰反映项目的名称、采购内容、采购金额、采购时间）（如有，请提供）；</w:t>
      </w:r>
      <w:bookmarkEnd w:id="239"/>
      <w:bookmarkEnd w:id="240"/>
      <w:bookmarkEnd w:id="241"/>
    </w:p>
    <w:p>
      <w:pPr>
        <w:pStyle w:val="16"/>
        <w:spacing w:line="340" w:lineRule="exact"/>
        <w:rPr>
          <w:rFonts w:hAnsi="宋体" w:cs="宋体"/>
          <w:b/>
          <w:color w:val="auto"/>
          <w:sz w:val="28"/>
          <w:szCs w:val="28"/>
          <w:highlight w:val="none"/>
        </w:rPr>
      </w:pPr>
    </w:p>
    <w:p>
      <w:pPr>
        <w:pStyle w:val="16"/>
        <w:spacing w:line="340" w:lineRule="exact"/>
        <w:rPr>
          <w:rFonts w:hAnsi="宋体" w:cs="宋体"/>
          <w:b/>
          <w:color w:val="auto"/>
          <w:sz w:val="28"/>
          <w:szCs w:val="28"/>
          <w:highlight w:val="none"/>
        </w:rPr>
      </w:pPr>
    </w:p>
    <w:p>
      <w:pPr>
        <w:rPr>
          <w:color w:val="auto"/>
          <w:highlight w:val="none"/>
        </w:rPr>
      </w:pPr>
    </w:p>
    <w:p>
      <w:pPr>
        <w:pStyle w:val="16"/>
        <w:spacing w:line="340" w:lineRule="exact"/>
        <w:rPr>
          <w:rFonts w:hAnsi="宋体" w:cs="宋体"/>
          <w:b/>
          <w:color w:val="auto"/>
          <w:sz w:val="28"/>
          <w:szCs w:val="28"/>
          <w:highlight w:val="none"/>
        </w:rPr>
      </w:pPr>
    </w:p>
    <w:p>
      <w:pPr>
        <w:pStyle w:val="16"/>
        <w:spacing w:line="340" w:lineRule="exact"/>
        <w:rPr>
          <w:rFonts w:hAnsi="宋体" w:cs="宋体"/>
          <w:color w:val="auto"/>
          <w:highlight w:val="none"/>
        </w:rPr>
      </w:pPr>
      <w:r>
        <w:rPr>
          <w:rFonts w:hint="eastAsia" w:hAnsi="宋体" w:cs="宋体"/>
          <w:b/>
          <w:color w:val="auto"/>
          <w:sz w:val="28"/>
          <w:szCs w:val="28"/>
          <w:highlight w:val="none"/>
        </w:rPr>
        <w:t xml:space="preserve">4.供应商可结合本项目的评审办法视自身情况自行提交其它相关证明材料。           </w:t>
      </w:r>
      <w:r>
        <w:rPr>
          <w:rFonts w:hint="eastAsia" w:hAnsi="宋体" w:cs="宋体"/>
          <w:color w:val="auto"/>
          <w:sz w:val="28"/>
          <w:szCs w:val="28"/>
          <w:highlight w:val="none"/>
        </w:rPr>
        <w:t xml:space="preserve"> </w:t>
      </w:r>
      <w:r>
        <w:rPr>
          <w:rFonts w:hint="eastAsia" w:hAnsi="宋体" w:cs="宋体"/>
          <w:color w:val="auto"/>
          <w:highlight w:val="none"/>
        </w:rPr>
        <w:t xml:space="preserve">      </w:t>
      </w:r>
    </w:p>
    <w:p>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4.1供应商的《中小企业声明函》（如有，请提供）</w:t>
      </w:r>
    </w:p>
    <w:p>
      <w:pPr>
        <w:pStyle w:val="16"/>
        <w:rPr>
          <w:rFonts w:hAnsi="宋体" w:cs="宋体"/>
          <w:b/>
          <w:color w:val="auto"/>
          <w:sz w:val="28"/>
          <w:szCs w:val="28"/>
          <w:highlight w:val="none"/>
        </w:rPr>
      </w:pPr>
      <w:r>
        <w:rPr>
          <w:rFonts w:hint="eastAsia" w:hAnsi="宋体" w:cs="宋体"/>
          <w:b/>
          <w:color w:val="auto"/>
          <w:sz w:val="28"/>
          <w:szCs w:val="28"/>
          <w:highlight w:val="none"/>
        </w:rPr>
        <w:t>附件：</w:t>
      </w:r>
    </w:p>
    <w:p>
      <w:pPr>
        <w:snapToGrid w:val="0"/>
        <w:spacing w:beforeLines="50" w:after="50" w:line="32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中小企业声明函（格式）</w:t>
      </w:r>
    </w:p>
    <w:p>
      <w:pPr>
        <w:ind w:firstLine="560" w:firstLineChars="200"/>
        <w:rPr>
          <w:rFonts w:ascii="宋体" w:hAnsi="宋体" w:cs="宋体"/>
          <w:color w:val="auto"/>
          <w:kern w:val="0"/>
          <w:sz w:val="28"/>
          <w:szCs w:val="28"/>
          <w:highlight w:val="none"/>
        </w:rPr>
      </w:pPr>
    </w:p>
    <w:p>
      <w:pPr>
        <w:pStyle w:val="10"/>
        <w:spacing w:line="500" w:lineRule="exact"/>
        <w:ind w:right="142" w:firstLine="522"/>
        <w:rPr>
          <w:rFonts w:ascii="仿宋" w:hAnsi="仿宋" w:eastAsia="仿宋"/>
          <w:b/>
          <w:color w:val="auto"/>
          <w:spacing w:val="-10"/>
          <w:sz w:val="28"/>
          <w:szCs w:val="28"/>
          <w:highlight w:val="none"/>
        </w:rPr>
      </w:pPr>
      <w:r>
        <w:rPr>
          <w:rFonts w:ascii="仿宋" w:hAnsi="仿宋" w:eastAsia="仿宋"/>
          <w:b/>
          <w:color w:val="auto"/>
          <w:spacing w:val="-10"/>
          <w:sz w:val="28"/>
          <w:szCs w:val="28"/>
          <w:highlight w:val="none"/>
        </w:rPr>
        <w:t>本公司郑重声明，根据《政府采购促进中小企业发展管理办法》（财库﹝2020﹞46号）的规定，本公司参加</w:t>
      </w:r>
      <w:r>
        <w:rPr>
          <w:rFonts w:ascii="仿宋" w:hAnsi="仿宋" w:eastAsia="仿宋"/>
          <w:b/>
          <w:color w:val="auto"/>
          <w:spacing w:val="-10"/>
          <w:sz w:val="28"/>
          <w:szCs w:val="28"/>
          <w:highlight w:val="none"/>
          <w:u w:val="single"/>
        </w:rPr>
        <w:t>（单位名称）</w:t>
      </w:r>
      <w:r>
        <w:rPr>
          <w:rFonts w:ascii="仿宋" w:hAnsi="仿宋" w:eastAsia="仿宋"/>
          <w:b/>
          <w:color w:val="auto"/>
          <w:spacing w:val="-10"/>
          <w:sz w:val="28"/>
          <w:szCs w:val="28"/>
          <w:highlight w:val="none"/>
        </w:rPr>
        <w:t>的</w:t>
      </w:r>
      <w:r>
        <w:rPr>
          <w:rFonts w:ascii="仿宋" w:hAnsi="仿宋" w:eastAsia="仿宋"/>
          <w:b/>
          <w:color w:val="auto"/>
          <w:spacing w:val="-10"/>
          <w:sz w:val="28"/>
          <w:szCs w:val="28"/>
          <w:highlight w:val="none"/>
          <w:u w:val="single"/>
        </w:rPr>
        <w:t>（项目名称）</w:t>
      </w:r>
      <w:r>
        <w:rPr>
          <w:rFonts w:ascii="仿宋" w:hAnsi="仿宋" w:eastAsia="仿宋"/>
          <w:b/>
          <w:color w:val="auto"/>
          <w:spacing w:val="-10"/>
          <w:sz w:val="28"/>
          <w:szCs w:val="28"/>
          <w:highlight w:val="none"/>
        </w:rPr>
        <w:t>采购活动，</w:t>
      </w:r>
      <w:r>
        <w:rPr>
          <w:rFonts w:hint="eastAsia" w:ascii="仿宋" w:hAnsi="仿宋" w:eastAsia="仿宋"/>
          <w:b/>
          <w:color w:val="auto"/>
          <w:spacing w:val="-10"/>
          <w:sz w:val="28"/>
          <w:szCs w:val="28"/>
          <w:highlight w:val="none"/>
        </w:rPr>
        <w:t>服务全部由符合政策要求的中小企业承接。相关企业的具体情况如下：</w:t>
      </w:r>
    </w:p>
    <w:p>
      <w:pPr>
        <w:tabs>
          <w:tab w:val="left" w:pos="1384"/>
          <w:tab w:val="left" w:pos="4562"/>
          <w:tab w:val="left" w:pos="6803"/>
        </w:tabs>
        <w:spacing w:before="13" w:line="500" w:lineRule="exact"/>
        <w:ind w:right="142" w:firstLine="520" w:firstLineChars="200"/>
        <w:rPr>
          <w:rFonts w:ascii="仿宋" w:hAnsi="仿宋" w:eastAsia="仿宋"/>
          <w:color w:val="auto"/>
          <w:spacing w:val="-10"/>
          <w:sz w:val="28"/>
          <w:szCs w:val="28"/>
          <w:highlight w:val="none"/>
        </w:rPr>
      </w:pPr>
      <w:r>
        <w:rPr>
          <w:rFonts w:ascii="仿宋" w:hAnsi="仿宋" w:eastAsia="仿宋"/>
          <w:color w:val="auto"/>
          <w:spacing w:val="-10"/>
          <w:sz w:val="28"/>
          <w:szCs w:val="28"/>
          <w:highlight w:val="none"/>
          <w:u w:val="single"/>
        </w:rPr>
        <w:t>（标的名称）</w:t>
      </w:r>
      <w:r>
        <w:rPr>
          <w:rFonts w:ascii="仿宋" w:hAnsi="仿宋" w:eastAsia="仿宋"/>
          <w:color w:val="auto"/>
          <w:spacing w:val="-10"/>
          <w:sz w:val="28"/>
          <w:szCs w:val="28"/>
          <w:highlight w:val="none"/>
        </w:rPr>
        <w:t>，属于</w:t>
      </w:r>
      <w:r>
        <w:rPr>
          <w:rFonts w:ascii="仿宋" w:hAnsi="仿宋" w:eastAsia="仿宋"/>
          <w:color w:val="auto"/>
          <w:spacing w:val="-10"/>
          <w:sz w:val="28"/>
          <w:szCs w:val="28"/>
          <w:highlight w:val="none"/>
          <w:u w:val="single"/>
        </w:rPr>
        <w:t>（所属</w:t>
      </w:r>
      <w:r>
        <w:rPr>
          <w:rFonts w:hint="eastAsia" w:ascii="仿宋" w:hAnsi="仿宋" w:eastAsia="仿宋"/>
          <w:color w:val="auto"/>
          <w:spacing w:val="-10"/>
          <w:sz w:val="28"/>
          <w:szCs w:val="28"/>
          <w:highlight w:val="none"/>
          <w:u w:val="single"/>
        </w:rPr>
        <w:t>行</w:t>
      </w:r>
      <w:r>
        <w:rPr>
          <w:rFonts w:ascii="仿宋" w:hAnsi="仿宋" w:eastAsia="仿宋"/>
          <w:color w:val="auto"/>
          <w:spacing w:val="-10"/>
          <w:sz w:val="28"/>
          <w:szCs w:val="28"/>
          <w:highlight w:val="none"/>
          <w:u w:val="single"/>
        </w:rPr>
        <w:t>业）</w:t>
      </w:r>
      <w:r>
        <w:rPr>
          <w:rFonts w:ascii="仿宋" w:hAnsi="仿宋" w:eastAsia="仿宋"/>
          <w:color w:val="auto"/>
          <w:spacing w:val="-10"/>
          <w:sz w:val="28"/>
          <w:szCs w:val="28"/>
          <w:highlight w:val="none"/>
        </w:rPr>
        <w:t>；</w:t>
      </w:r>
      <w:r>
        <w:rPr>
          <w:rFonts w:hint="eastAsia" w:ascii="仿宋" w:hAnsi="仿宋" w:eastAsia="仿宋"/>
          <w:color w:val="auto"/>
          <w:spacing w:val="-10"/>
          <w:sz w:val="28"/>
          <w:szCs w:val="28"/>
          <w:highlight w:val="none"/>
        </w:rPr>
        <w:t>承接企业为</w:t>
      </w:r>
      <w:r>
        <w:rPr>
          <w:rFonts w:hint="eastAsia" w:ascii="仿宋" w:hAnsi="仿宋" w:eastAsia="仿宋"/>
          <w:color w:val="auto"/>
          <w:spacing w:val="-10"/>
          <w:sz w:val="28"/>
          <w:szCs w:val="28"/>
          <w:highlight w:val="none"/>
          <w:u w:val="single"/>
        </w:rPr>
        <w:t xml:space="preserve">（企业名称） </w:t>
      </w:r>
      <w:r>
        <w:rPr>
          <w:rFonts w:hint="eastAsia" w:ascii="仿宋" w:hAnsi="仿宋" w:eastAsia="仿宋"/>
          <w:color w:val="auto"/>
          <w:spacing w:val="-10"/>
          <w:sz w:val="28"/>
          <w:szCs w:val="28"/>
          <w:highlight w:val="none"/>
        </w:rPr>
        <w:t>，从业人员人，营业收入为万元，资产总额为万元</w:t>
      </w:r>
      <w:r>
        <w:rPr>
          <w:rFonts w:ascii="仿宋" w:hAnsi="仿宋" w:eastAsia="仿宋"/>
          <w:color w:val="auto"/>
          <w:spacing w:val="-10"/>
          <w:sz w:val="28"/>
          <w:szCs w:val="28"/>
          <w:highlight w:val="none"/>
        </w:rPr>
        <w:t>，属于</w:t>
      </w:r>
      <w:r>
        <w:rPr>
          <w:rFonts w:ascii="仿宋" w:hAnsi="仿宋" w:eastAsia="仿宋"/>
          <w:color w:val="auto"/>
          <w:spacing w:val="-10"/>
          <w:sz w:val="28"/>
          <w:szCs w:val="28"/>
          <w:highlight w:val="none"/>
          <w:u w:val="single"/>
        </w:rPr>
        <w:t>（中型企业、</w:t>
      </w:r>
      <w:r>
        <w:rPr>
          <w:rFonts w:hint="eastAsia" w:ascii="仿宋" w:hAnsi="仿宋" w:eastAsia="仿宋"/>
          <w:color w:val="auto"/>
          <w:spacing w:val="-10"/>
          <w:sz w:val="28"/>
          <w:szCs w:val="28"/>
          <w:highlight w:val="none"/>
          <w:u w:val="single"/>
        </w:rPr>
        <w:t>小型企业、微型企业）</w:t>
      </w:r>
      <w:r>
        <w:rPr>
          <w:rFonts w:hint="eastAsia" w:ascii="仿宋" w:hAnsi="仿宋" w:eastAsia="仿宋"/>
          <w:color w:val="auto"/>
          <w:spacing w:val="-10"/>
          <w:sz w:val="28"/>
          <w:szCs w:val="28"/>
          <w:highlight w:val="none"/>
        </w:rPr>
        <w:t>。</w:t>
      </w:r>
    </w:p>
    <w:p>
      <w:pPr>
        <w:pStyle w:val="10"/>
        <w:spacing w:before="34" w:line="500" w:lineRule="exact"/>
        <w:ind w:right="142" w:firstLine="522"/>
        <w:rPr>
          <w:rFonts w:ascii="仿宋" w:hAnsi="仿宋" w:eastAsia="仿宋"/>
          <w:b/>
          <w:color w:val="auto"/>
          <w:spacing w:val="-10"/>
          <w:sz w:val="28"/>
          <w:szCs w:val="28"/>
          <w:highlight w:val="none"/>
        </w:rPr>
      </w:pPr>
      <w:r>
        <w:rPr>
          <w:rFonts w:ascii="仿宋" w:hAnsi="仿宋" w:eastAsia="仿宋"/>
          <w:b/>
          <w:color w:val="auto"/>
          <w:spacing w:val="-10"/>
          <w:sz w:val="28"/>
          <w:szCs w:val="28"/>
          <w:highlight w:val="none"/>
        </w:rPr>
        <w:t>以上企业，不属于大企业的分支机构，不存在控股股东为大企业的情形，也不存在与大企业的负责人为同一人的情形。</w:t>
      </w:r>
    </w:p>
    <w:p>
      <w:pPr>
        <w:pStyle w:val="10"/>
        <w:spacing w:before="25" w:line="500" w:lineRule="exact"/>
        <w:ind w:right="142" w:firstLine="522"/>
        <w:rPr>
          <w:rFonts w:ascii="仿宋" w:hAnsi="仿宋" w:eastAsia="仿宋"/>
          <w:b/>
          <w:color w:val="auto"/>
          <w:spacing w:val="-10"/>
          <w:sz w:val="28"/>
          <w:szCs w:val="28"/>
          <w:highlight w:val="none"/>
        </w:rPr>
      </w:pPr>
      <w:r>
        <w:rPr>
          <w:rFonts w:ascii="仿宋" w:hAnsi="仿宋" w:eastAsia="仿宋"/>
          <w:b/>
          <w:color w:val="auto"/>
          <w:spacing w:val="-10"/>
          <w:sz w:val="28"/>
          <w:szCs w:val="28"/>
          <w:highlight w:val="none"/>
        </w:rPr>
        <w:t>本企业对上述声明内容的真实性负责。如有虚假，将依法承担相应责任。</w:t>
      </w:r>
    </w:p>
    <w:p>
      <w:pPr>
        <w:pStyle w:val="10"/>
        <w:spacing w:before="56" w:line="500" w:lineRule="exact"/>
        <w:ind w:left="3960" w:right="1808" w:firstLine="522"/>
        <w:rPr>
          <w:rFonts w:ascii="仿宋" w:hAnsi="仿宋" w:eastAsia="仿宋"/>
          <w:b/>
          <w:color w:val="auto"/>
          <w:spacing w:val="-10"/>
          <w:sz w:val="28"/>
          <w:szCs w:val="28"/>
          <w:highlight w:val="none"/>
        </w:rPr>
      </w:pPr>
      <w:r>
        <w:rPr>
          <w:rFonts w:ascii="仿宋" w:hAnsi="仿宋" w:eastAsia="仿宋"/>
          <w:b/>
          <w:color w:val="auto"/>
          <w:spacing w:val="-10"/>
          <w:sz w:val="28"/>
          <w:szCs w:val="28"/>
          <w:highlight w:val="none"/>
        </w:rPr>
        <w:t>企业名称</w:t>
      </w:r>
      <w:r>
        <w:rPr>
          <w:rFonts w:hint="eastAsia" w:ascii="仿宋" w:hAnsi="仿宋" w:eastAsia="仿宋"/>
          <w:b/>
          <w:color w:val="auto"/>
          <w:spacing w:val="-10"/>
          <w:sz w:val="28"/>
          <w:szCs w:val="28"/>
          <w:highlight w:val="none"/>
        </w:rPr>
        <w:t>（电子签章）</w:t>
      </w:r>
      <w:r>
        <w:rPr>
          <w:rFonts w:ascii="仿宋" w:hAnsi="仿宋" w:eastAsia="仿宋"/>
          <w:b/>
          <w:color w:val="auto"/>
          <w:spacing w:val="-10"/>
          <w:sz w:val="28"/>
          <w:szCs w:val="28"/>
          <w:highlight w:val="none"/>
        </w:rPr>
        <w:t xml:space="preserve">： </w:t>
      </w:r>
    </w:p>
    <w:p>
      <w:pPr>
        <w:pStyle w:val="10"/>
        <w:spacing w:before="56" w:line="500" w:lineRule="exact"/>
        <w:ind w:left="3960" w:right="1808" w:firstLine="522"/>
        <w:rPr>
          <w:rFonts w:ascii="仿宋" w:hAnsi="仿宋" w:eastAsia="仿宋"/>
          <w:b/>
          <w:color w:val="auto"/>
          <w:sz w:val="28"/>
          <w:szCs w:val="28"/>
          <w:highlight w:val="none"/>
        </w:rPr>
      </w:pPr>
      <w:r>
        <w:rPr>
          <w:rFonts w:ascii="仿宋" w:hAnsi="仿宋" w:eastAsia="仿宋"/>
          <w:b/>
          <w:color w:val="auto"/>
          <w:spacing w:val="-10"/>
          <w:sz w:val="28"/>
          <w:szCs w:val="28"/>
          <w:highlight w:val="none"/>
        </w:rPr>
        <w:t>日 期：</w:t>
      </w:r>
    </w:p>
    <w:p>
      <w:pPr>
        <w:spacing w:line="400" w:lineRule="exact"/>
        <w:rPr>
          <w:rFonts w:asciiTheme="majorEastAsia" w:hAnsiTheme="majorEastAsia" w:eastAsiaTheme="majorEastAsia"/>
          <w:color w:val="auto"/>
          <w:kern w:val="0"/>
          <w:sz w:val="28"/>
          <w:szCs w:val="28"/>
          <w:highlight w:val="none"/>
        </w:rPr>
      </w:pPr>
    </w:p>
    <w:p>
      <w:pPr>
        <w:spacing w:line="400" w:lineRule="exact"/>
        <w:rPr>
          <w:rFonts w:asciiTheme="majorEastAsia" w:hAnsiTheme="majorEastAsia" w:eastAsiaTheme="majorEastAsia"/>
          <w:b/>
          <w:color w:val="auto"/>
          <w:kern w:val="0"/>
          <w:szCs w:val="21"/>
          <w:highlight w:val="none"/>
        </w:rPr>
      </w:pPr>
      <w:r>
        <w:rPr>
          <w:rFonts w:hint="eastAsia" w:asciiTheme="majorEastAsia" w:hAnsiTheme="majorEastAsia" w:eastAsiaTheme="majorEastAsia"/>
          <w:b/>
          <w:color w:val="auto"/>
          <w:kern w:val="0"/>
          <w:szCs w:val="21"/>
          <w:highlight w:val="none"/>
        </w:rPr>
        <w:t>注：1.</w:t>
      </w:r>
      <w:r>
        <w:rPr>
          <w:rFonts w:asciiTheme="majorEastAsia" w:hAnsiTheme="majorEastAsia" w:eastAsiaTheme="majorEastAsia"/>
          <w:b/>
          <w:color w:val="auto"/>
          <w:kern w:val="0"/>
          <w:szCs w:val="21"/>
          <w:highlight w:val="none"/>
        </w:rPr>
        <w:t>从业人员、营业收入、资产总额填报上一年度数据，无上一年度数据的新成立企业可不填报。</w:t>
      </w:r>
    </w:p>
    <w:p>
      <w:pPr>
        <w:pStyle w:val="16"/>
        <w:spacing w:line="400" w:lineRule="exac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kern w:val="0"/>
          <w:szCs w:val="21"/>
          <w:highlight w:val="none"/>
        </w:rPr>
        <w:t xml:space="preserve">    2.中小企业在政府采购活动过程中，请根据自己的真实情况出具本声明函。依法享受中小企业优惠政策的，采购人或采购代理机构在公告中标结果时，同时公告其《中小企业声明函》，接受社会监督。</w:t>
      </w:r>
    </w:p>
    <w:p>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4.2供应商属于监狱企业的，应当提供由省级以上监狱管理局、戒毒管理局(含新疆生产建设兵团)出具的属于监狱企业的证明文件（如有，请提供）</w:t>
      </w:r>
    </w:p>
    <w:p>
      <w:pPr>
        <w:tabs>
          <w:tab w:val="left" w:pos="1305"/>
        </w:tabs>
        <w:spacing w:line="380" w:lineRule="exact"/>
        <w:rPr>
          <w:rFonts w:ascii="宋体" w:hAnsi="宋体" w:cs="宋体"/>
          <w:b/>
          <w:bCs/>
          <w:color w:val="auto"/>
          <w:sz w:val="28"/>
          <w:szCs w:val="28"/>
          <w:highlight w:val="none"/>
        </w:rPr>
      </w:pPr>
    </w:p>
    <w:p>
      <w:pPr>
        <w:tabs>
          <w:tab w:val="left" w:pos="1305"/>
        </w:tabs>
        <w:spacing w:line="380" w:lineRule="exact"/>
        <w:rPr>
          <w:rFonts w:ascii="宋体" w:hAnsi="宋体" w:cs="宋体"/>
          <w:b/>
          <w:bCs/>
          <w:color w:val="auto"/>
          <w:sz w:val="28"/>
          <w:szCs w:val="28"/>
          <w:highlight w:val="none"/>
        </w:rPr>
      </w:pPr>
    </w:p>
    <w:p>
      <w:pPr>
        <w:tabs>
          <w:tab w:val="left" w:pos="1305"/>
        </w:tabs>
        <w:spacing w:line="380" w:lineRule="exact"/>
        <w:rPr>
          <w:rFonts w:ascii="宋体" w:hAnsi="宋体" w:cs="宋体"/>
          <w:b/>
          <w:bCs/>
          <w:color w:val="auto"/>
          <w:sz w:val="28"/>
          <w:szCs w:val="28"/>
          <w:highlight w:val="none"/>
        </w:rPr>
      </w:pPr>
    </w:p>
    <w:p>
      <w:pPr>
        <w:pStyle w:val="11"/>
        <w:ind w:left="0" w:leftChars="0" w:firstLine="0" w:firstLineChars="0"/>
        <w:rPr>
          <w:rFonts w:ascii="宋体" w:hAnsi="宋体" w:cs="宋体"/>
          <w:color w:val="auto"/>
          <w:sz w:val="28"/>
          <w:szCs w:val="28"/>
          <w:highlight w:val="none"/>
        </w:rPr>
      </w:pPr>
    </w:p>
    <w:p>
      <w:pPr>
        <w:tabs>
          <w:tab w:val="left" w:pos="1305"/>
        </w:tabs>
        <w:spacing w:line="380" w:lineRule="exact"/>
        <w:rPr>
          <w:rFonts w:ascii="宋体" w:hAnsi="宋体" w:cs="宋体"/>
          <w:b/>
          <w:bCs/>
          <w:color w:val="auto"/>
          <w:sz w:val="28"/>
          <w:szCs w:val="28"/>
          <w:highlight w:val="none"/>
        </w:rPr>
      </w:pPr>
    </w:p>
    <w:p>
      <w:pPr>
        <w:tabs>
          <w:tab w:val="left" w:pos="1305"/>
        </w:tabs>
        <w:spacing w:line="38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4.3符合条件的残疾人福利性单位在参加政府采购活动时，应当提供《残疾人福利性单位声明函》，并对声明的真实性负责（如有，请提供）</w:t>
      </w:r>
    </w:p>
    <w:p>
      <w:pPr>
        <w:pStyle w:val="16"/>
        <w:ind w:firstLine="413" w:firstLineChars="147"/>
        <w:rPr>
          <w:rFonts w:hAnsi="宋体" w:cs="宋体"/>
          <w:b/>
          <w:color w:val="auto"/>
          <w:sz w:val="28"/>
          <w:szCs w:val="28"/>
          <w:highlight w:val="none"/>
        </w:rPr>
      </w:pPr>
      <w:r>
        <w:rPr>
          <w:rFonts w:hint="eastAsia" w:hAnsi="宋体" w:cs="宋体"/>
          <w:b/>
          <w:color w:val="auto"/>
          <w:sz w:val="28"/>
          <w:szCs w:val="28"/>
          <w:highlight w:val="none"/>
        </w:rPr>
        <w:t>附件：</w:t>
      </w:r>
    </w:p>
    <w:p>
      <w:pPr>
        <w:pStyle w:val="16"/>
        <w:jc w:val="center"/>
        <w:rPr>
          <w:rFonts w:hAnsi="宋体"/>
          <w:b/>
          <w:bCs/>
          <w:color w:val="auto"/>
          <w:sz w:val="30"/>
          <w:szCs w:val="30"/>
          <w:highlight w:val="none"/>
        </w:rPr>
      </w:pPr>
      <w:bookmarkStart w:id="242" w:name="OLE_LINK14"/>
      <w:bookmarkStart w:id="243" w:name="OLE_LINK13"/>
      <w:r>
        <w:rPr>
          <w:rFonts w:hint="eastAsia" w:hAnsi="宋体" w:cs="宋体"/>
          <w:b/>
          <w:bCs/>
          <w:color w:val="auto"/>
          <w:sz w:val="28"/>
          <w:szCs w:val="28"/>
          <w:highlight w:val="none"/>
        </w:rPr>
        <w:t>残疾人福利性单位声明函（格式）</w:t>
      </w:r>
    </w:p>
    <w:bookmarkEnd w:id="242"/>
    <w:bookmarkEnd w:id="243"/>
    <w:p>
      <w:pPr>
        <w:spacing w:line="588" w:lineRule="exact"/>
        <w:ind w:firstLine="624" w:firstLineChars="200"/>
        <w:rPr>
          <w:rFonts w:asciiTheme="minorEastAsia" w:hAnsiTheme="minorEastAsia" w:eastAsiaTheme="minorEastAsia"/>
          <w:color w:val="auto"/>
          <w:spacing w:val="6"/>
          <w:sz w:val="30"/>
          <w:szCs w:val="30"/>
          <w:highlight w:val="none"/>
        </w:rPr>
      </w:pPr>
      <w:r>
        <w:rPr>
          <w:rFonts w:hint="eastAsia" w:asciiTheme="minorEastAsia" w:hAnsiTheme="minorEastAsia" w:eastAsiaTheme="minorEastAsia"/>
          <w:color w:val="auto"/>
          <w:spacing w:val="6"/>
          <w:sz w:val="30"/>
          <w:szCs w:val="30"/>
          <w:highlight w:val="none"/>
        </w:rPr>
        <w:t>本单位郑重声明，根据《财政部 民政部 中国残疾人联合会关于促进残疾人就业政府采购政策的通知》（财库</w:t>
      </w:r>
      <w:r>
        <w:rPr>
          <w:rFonts w:hint="eastAsia" w:asciiTheme="minorEastAsia" w:hAnsiTheme="minorEastAsia" w:eastAsiaTheme="minorEastAsia"/>
          <w:color w:val="auto"/>
          <w:sz w:val="30"/>
          <w:szCs w:val="30"/>
          <w:highlight w:val="none"/>
        </w:rPr>
        <w:t>〔2017〕 141</w:t>
      </w:r>
      <w:r>
        <w:rPr>
          <w:rFonts w:hint="eastAsia" w:asciiTheme="minorEastAsia" w:hAnsiTheme="minorEastAsia" w:eastAsiaTheme="minorEastAsia"/>
          <w:color w:val="auto"/>
          <w:spacing w:val="6"/>
          <w:sz w:val="30"/>
          <w:szCs w:val="30"/>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asciiTheme="minorEastAsia" w:hAnsiTheme="minorEastAsia" w:eastAsiaTheme="minorEastAsia"/>
          <w:color w:val="auto"/>
          <w:spacing w:val="6"/>
          <w:sz w:val="30"/>
          <w:szCs w:val="30"/>
          <w:highlight w:val="none"/>
        </w:rPr>
      </w:pPr>
      <w:r>
        <w:rPr>
          <w:rFonts w:hint="eastAsia" w:asciiTheme="minorEastAsia" w:hAnsiTheme="minorEastAsia" w:eastAsiaTheme="minorEastAsia"/>
          <w:color w:val="auto"/>
          <w:spacing w:val="6"/>
          <w:sz w:val="30"/>
          <w:szCs w:val="30"/>
          <w:highlight w:val="none"/>
        </w:rPr>
        <w:t>本单位对上述声明的真实性负责。如有虚假，将依法承担相应责任。</w:t>
      </w:r>
    </w:p>
    <w:p>
      <w:pPr>
        <w:spacing w:line="588" w:lineRule="exact"/>
        <w:ind w:firstLine="624" w:firstLineChars="200"/>
        <w:rPr>
          <w:rFonts w:asciiTheme="minorEastAsia" w:hAnsiTheme="minorEastAsia" w:eastAsiaTheme="minorEastAsia"/>
          <w:color w:val="auto"/>
          <w:spacing w:val="6"/>
          <w:sz w:val="30"/>
          <w:szCs w:val="30"/>
          <w:highlight w:val="none"/>
        </w:rPr>
      </w:pPr>
    </w:p>
    <w:p>
      <w:pPr>
        <w:tabs>
          <w:tab w:val="left" w:pos="4860"/>
        </w:tabs>
        <w:spacing w:line="588" w:lineRule="exact"/>
        <w:ind w:right="1560" w:firstLine="624" w:firstLineChars="200"/>
        <w:jc w:val="center"/>
        <w:rPr>
          <w:rFonts w:asciiTheme="minorEastAsia" w:hAnsiTheme="minorEastAsia" w:eastAsiaTheme="minorEastAsia"/>
          <w:color w:val="auto"/>
          <w:spacing w:val="6"/>
          <w:sz w:val="30"/>
          <w:szCs w:val="30"/>
          <w:highlight w:val="none"/>
        </w:rPr>
      </w:pPr>
      <w:r>
        <w:rPr>
          <w:rFonts w:hint="eastAsia" w:asciiTheme="minorEastAsia" w:hAnsiTheme="minorEastAsia" w:eastAsiaTheme="minorEastAsia"/>
          <w:color w:val="auto"/>
          <w:spacing w:val="6"/>
          <w:sz w:val="30"/>
          <w:szCs w:val="30"/>
          <w:highlight w:val="none"/>
        </w:rPr>
        <w:t xml:space="preserve">      单位名称（电子签章）：</w:t>
      </w:r>
    </w:p>
    <w:p>
      <w:pPr>
        <w:tabs>
          <w:tab w:val="left" w:pos="4860"/>
        </w:tabs>
        <w:spacing w:line="588" w:lineRule="exact"/>
        <w:ind w:right="1560" w:firstLine="624" w:firstLineChars="200"/>
        <w:jc w:val="center"/>
        <w:rPr>
          <w:rFonts w:asciiTheme="minorEastAsia" w:hAnsiTheme="minorEastAsia" w:eastAsiaTheme="minorEastAsia"/>
          <w:color w:val="auto"/>
          <w:spacing w:val="6"/>
          <w:sz w:val="30"/>
          <w:szCs w:val="30"/>
          <w:highlight w:val="none"/>
        </w:rPr>
      </w:pPr>
      <w:r>
        <w:rPr>
          <w:rFonts w:hint="eastAsia" w:asciiTheme="minorEastAsia" w:hAnsiTheme="minorEastAsia" w:eastAsiaTheme="minorEastAsia"/>
          <w:color w:val="auto"/>
          <w:spacing w:val="6"/>
          <w:sz w:val="30"/>
          <w:szCs w:val="30"/>
          <w:highlight w:val="none"/>
        </w:rPr>
        <w:t xml:space="preserve">   日  期：</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val="en-US" w:eastAsia="zh-CN"/>
        </w:rPr>
        <w:t>花坪</w:t>
      </w:r>
      <w:r>
        <w:rPr>
          <w:rFonts w:hint="eastAsia" w:ascii="宋体" w:hAnsi="宋体" w:cs="宋体"/>
          <w:b/>
          <w:bCs/>
          <w:color w:val="auto"/>
          <w:sz w:val="28"/>
          <w:szCs w:val="28"/>
          <w:highlight w:val="none"/>
          <w:lang w:eastAsia="zh-CN"/>
        </w:rPr>
        <w:t>保护区内（施工）作业</w:t>
      </w:r>
      <w:r>
        <w:rPr>
          <w:rFonts w:hint="eastAsia"/>
          <w:b/>
          <w:bCs/>
          <w:color w:val="auto"/>
          <w:sz w:val="28"/>
          <w:szCs w:val="28"/>
          <w:highlight w:val="none"/>
          <w:lang w:eastAsia="zh-CN"/>
        </w:rPr>
        <w:t>（单位）</w:t>
      </w:r>
      <w:r>
        <w:rPr>
          <w:rFonts w:hint="eastAsia"/>
          <w:b/>
          <w:bCs/>
          <w:color w:val="auto"/>
          <w:sz w:val="28"/>
          <w:szCs w:val="28"/>
          <w:highlight w:val="none"/>
        </w:rPr>
        <w:t>人员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安全生产承诺书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cs="宋体"/>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宋体" w:hAnsi="宋体" w:cs="宋体"/>
          <w:color w:val="auto"/>
          <w:sz w:val="28"/>
          <w:szCs w:val="28"/>
          <w:highlight w:val="none"/>
          <w:u w:val="none"/>
          <w:lang w:eastAsia="zh-CN"/>
        </w:rPr>
      </w:pPr>
      <w:r>
        <w:rPr>
          <w:rFonts w:hint="eastAsia" w:ascii="宋体" w:hAnsi="宋体" w:cs="宋体"/>
          <w:color w:val="auto"/>
          <w:sz w:val="28"/>
          <w:szCs w:val="28"/>
          <w:highlight w:val="none"/>
          <w:lang w:eastAsia="zh-CN"/>
        </w:rPr>
        <w:t>为确保</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lang w:eastAsia="zh-CN"/>
        </w:rPr>
        <w:t>项目组织（施工）作业安全，本单位：</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lang w:eastAsia="zh-CN"/>
        </w:rPr>
        <w:t>负责人：</w:t>
      </w:r>
      <w:r>
        <w:rPr>
          <w:rFonts w:hint="eastAsia" w:ascii="宋体" w:hAnsi="宋体" w:cs="宋体"/>
          <w:color w:val="auto"/>
          <w:sz w:val="28"/>
          <w:szCs w:val="28"/>
          <w:highlight w:val="none"/>
          <w:u w:val="none"/>
          <w:lang w:val="en-US" w:eastAsia="zh-CN"/>
        </w:rPr>
        <w:t xml:space="preserve">           </w:t>
      </w:r>
      <w:r>
        <w:rPr>
          <w:rFonts w:hint="eastAsia" w:ascii="宋体" w:hAnsi="宋体" w:cs="宋体"/>
          <w:color w:val="auto"/>
          <w:sz w:val="28"/>
          <w:szCs w:val="28"/>
          <w:highlight w:val="none"/>
          <w:u w:val="none"/>
          <w:lang w:eastAsia="zh-CN"/>
        </w:rPr>
        <w:t>郑重承诺，将依照施工</w:t>
      </w:r>
      <w:r>
        <w:rPr>
          <w:rFonts w:hint="eastAsia" w:ascii="宋体" w:hAnsi="宋体" w:cs="宋体"/>
          <w:color w:val="auto"/>
          <w:sz w:val="28"/>
          <w:szCs w:val="28"/>
          <w:highlight w:val="none"/>
          <w:u w:val="none"/>
          <w:lang w:val="en-US" w:eastAsia="zh-CN"/>
        </w:rPr>
        <w:t>作业</w:t>
      </w:r>
      <w:r>
        <w:rPr>
          <w:rFonts w:hint="eastAsia" w:ascii="宋体" w:hAnsi="宋体" w:cs="宋体"/>
          <w:color w:val="auto"/>
          <w:sz w:val="28"/>
          <w:szCs w:val="28"/>
          <w:highlight w:val="none"/>
          <w:u w:val="none"/>
          <w:lang w:eastAsia="zh-CN"/>
        </w:rPr>
        <w:t>合同（及相关法规）对本次施工</w:t>
      </w:r>
      <w:r>
        <w:rPr>
          <w:rFonts w:hint="eastAsia" w:ascii="宋体" w:hAnsi="宋体" w:cs="宋体"/>
          <w:color w:val="auto"/>
          <w:sz w:val="28"/>
          <w:szCs w:val="28"/>
          <w:highlight w:val="none"/>
          <w:u w:val="none"/>
          <w:lang w:val="en-US" w:eastAsia="zh-CN"/>
        </w:rPr>
        <w:t>作业</w:t>
      </w:r>
      <w:r>
        <w:rPr>
          <w:rFonts w:hint="eastAsia" w:ascii="宋体" w:hAnsi="宋体" w:cs="宋体"/>
          <w:color w:val="auto"/>
          <w:sz w:val="28"/>
          <w:szCs w:val="28"/>
          <w:highlight w:val="none"/>
          <w:u w:val="none"/>
          <w:lang w:eastAsia="zh-CN"/>
        </w:rPr>
        <w:t>范围内的安全管理承担责任，承诺基本内容如下：　　</w:t>
      </w:r>
    </w:p>
    <w:p>
      <w:pPr>
        <w:keepNext w:val="0"/>
        <w:keepLines w:val="0"/>
        <w:pageBreakBefore w:val="0"/>
        <w:widowControl w:val="0"/>
        <w:numPr>
          <w:ilvl w:val="0"/>
          <w:numId w:val="16"/>
        </w:numPr>
        <w:kinsoku/>
        <w:wordWrap/>
        <w:overflowPunct/>
        <w:topLinePunct w:val="0"/>
        <w:autoSpaceDE/>
        <w:autoSpaceDN/>
        <w:bidi w:val="0"/>
        <w:adjustRightInd/>
        <w:snapToGrid/>
        <w:spacing w:line="500" w:lineRule="exact"/>
        <w:ind w:firstLine="560"/>
        <w:jc w:val="left"/>
        <w:textAlignment w:val="auto"/>
        <w:rPr>
          <w:rFonts w:hint="eastAsia" w:ascii="宋体" w:hAnsi="宋体" w:cs="宋体"/>
          <w:color w:val="auto"/>
          <w:sz w:val="28"/>
          <w:szCs w:val="28"/>
          <w:highlight w:val="none"/>
          <w:u w:val="none"/>
          <w:lang w:eastAsia="zh-CN"/>
        </w:rPr>
      </w:pPr>
      <w:r>
        <w:rPr>
          <w:rFonts w:hint="eastAsia" w:ascii="宋体" w:hAnsi="宋体" w:cs="宋体"/>
          <w:color w:val="auto"/>
          <w:sz w:val="28"/>
          <w:szCs w:val="28"/>
          <w:highlight w:val="none"/>
          <w:u w:val="none"/>
          <w:lang w:eastAsia="zh-CN"/>
        </w:rPr>
        <w:t>承诺在（施工）作业期间，严格按</w:t>
      </w:r>
      <w:r>
        <w:rPr>
          <w:rFonts w:hint="eastAsia" w:ascii="宋体" w:hAnsi="宋体" w:cs="宋体"/>
          <w:color w:val="auto"/>
          <w:sz w:val="28"/>
          <w:szCs w:val="28"/>
          <w:highlight w:val="none"/>
          <w:u w:val="none"/>
          <w:lang w:val="en-US" w:eastAsia="zh-CN"/>
        </w:rPr>
        <w:t>照花坪</w:t>
      </w:r>
      <w:r>
        <w:rPr>
          <w:rFonts w:hint="eastAsia" w:ascii="宋体" w:hAnsi="宋体" w:cs="宋体"/>
          <w:color w:val="auto"/>
          <w:sz w:val="28"/>
          <w:szCs w:val="28"/>
          <w:highlight w:val="none"/>
          <w:u w:val="none"/>
          <w:lang w:eastAsia="zh-CN"/>
        </w:rPr>
        <w:t>保护区(以下简称保护区)的要求，依照相关施工法律法规要求，明确安全责任，做好施工</w:t>
      </w:r>
      <w:r>
        <w:rPr>
          <w:rFonts w:hint="eastAsia" w:ascii="宋体" w:hAnsi="宋体" w:cs="宋体"/>
          <w:color w:val="auto"/>
          <w:sz w:val="28"/>
          <w:szCs w:val="28"/>
          <w:highlight w:val="none"/>
          <w:u w:val="none"/>
          <w:lang w:val="en-US" w:eastAsia="zh-CN"/>
        </w:rPr>
        <w:t>作业</w:t>
      </w:r>
      <w:r>
        <w:rPr>
          <w:rFonts w:hint="eastAsia" w:ascii="宋体" w:hAnsi="宋体" w:cs="宋体"/>
          <w:color w:val="auto"/>
          <w:sz w:val="28"/>
          <w:szCs w:val="28"/>
          <w:highlight w:val="none"/>
          <w:u w:val="none"/>
          <w:lang w:eastAsia="zh-CN"/>
        </w:rPr>
        <w:t>组织设计和施工</w:t>
      </w:r>
      <w:r>
        <w:rPr>
          <w:rFonts w:hint="eastAsia" w:ascii="宋体" w:hAnsi="宋体" w:cs="宋体"/>
          <w:color w:val="auto"/>
          <w:sz w:val="28"/>
          <w:szCs w:val="28"/>
          <w:highlight w:val="none"/>
          <w:u w:val="none"/>
          <w:lang w:val="en-US" w:eastAsia="zh-CN"/>
        </w:rPr>
        <w:t>作业</w:t>
      </w:r>
      <w:r>
        <w:rPr>
          <w:rFonts w:hint="eastAsia" w:ascii="宋体" w:hAnsi="宋体" w:cs="宋体"/>
          <w:color w:val="auto"/>
          <w:sz w:val="28"/>
          <w:szCs w:val="28"/>
          <w:highlight w:val="none"/>
          <w:u w:val="none"/>
          <w:lang w:eastAsia="zh-CN"/>
        </w:rPr>
        <w:t>安全技术交底，服从保护区相关部门的日常管理和检查。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宋体" w:hAnsi="宋体" w:cs="宋体"/>
          <w:color w:val="auto"/>
          <w:sz w:val="28"/>
          <w:szCs w:val="28"/>
          <w:highlight w:val="none"/>
          <w:u w:val="none"/>
          <w:lang w:eastAsia="zh-CN"/>
        </w:rPr>
      </w:pPr>
      <w:r>
        <w:rPr>
          <w:rFonts w:hint="eastAsia" w:ascii="宋体" w:hAnsi="宋体" w:cs="宋体"/>
          <w:color w:val="auto"/>
          <w:sz w:val="28"/>
          <w:szCs w:val="28"/>
          <w:highlight w:val="none"/>
          <w:u w:val="none"/>
          <w:lang w:eastAsia="zh-CN"/>
        </w:rPr>
        <w:t>二、承诺对本单位（施工）作业人员进行安全教育，有健全的安全管理制度，保证（施工）作业人员遵守安全生产规范，服从保护区现场管理人员的管理。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宋体" w:hAnsi="宋体" w:cs="宋体"/>
          <w:color w:val="auto"/>
          <w:sz w:val="28"/>
          <w:szCs w:val="28"/>
          <w:highlight w:val="none"/>
          <w:u w:val="none"/>
          <w:lang w:eastAsia="zh-CN"/>
        </w:rPr>
      </w:pPr>
      <w:r>
        <w:rPr>
          <w:rFonts w:hint="eastAsia" w:ascii="宋体" w:hAnsi="宋体" w:cs="宋体"/>
          <w:color w:val="auto"/>
          <w:sz w:val="28"/>
          <w:szCs w:val="28"/>
          <w:highlight w:val="none"/>
          <w:u w:val="none"/>
          <w:lang w:eastAsia="zh-CN"/>
        </w:rPr>
        <w:t>三、承诺文明（施工）作业，保证现场不出现消防安全事故和工伤事故，设立现场安全负责人。保护区监管人员发现有重大不安全因素时，随时有权要求（施工）作业方停工整改，（施工）作业方不得继续违章操作强行（施工）作业。如因（施工）作业发生任何意外或造成人员伤亡，（施工）作业方承诺承担完全负责，与保护区无关。需上报</w:t>
      </w:r>
      <w:r>
        <w:rPr>
          <w:rFonts w:hint="eastAsia" w:ascii="宋体" w:hAnsi="宋体" w:cs="宋体"/>
          <w:color w:val="auto"/>
          <w:sz w:val="28"/>
          <w:szCs w:val="28"/>
          <w:highlight w:val="none"/>
          <w:u w:val="none"/>
          <w:lang w:val="en-US" w:eastAsia="zh-CN"/>
        </w:rPr>
        <w:t>上级</w:t>
      </w:r>
      <w:r>
        <w:rPr>
          <w:rFonts w:hint="eastAsia" w:ascii="宋体" w:hAnsi="宋体" w:cs="宋体"/>
          <w:color w:val="auto"/>
          <w:sz w:val="28"/>
          <w:szCs w:val="28"/>
          <w:highlight w:val="none"/>
          <w:u w:val="none"/>
          <w:lang w:eastAsia="zh-CN"/>
        </w:rPr>
        <w:t>安监局及有关部门的安全事故，一切手续由（施工）作业方负责处理，无需保护区办理。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宋体" w:hAnsi="宋体" w:cs="宋体"/>
          <w:color w:val="auto"/>
          <w:sz w:val="28"/>
          <w:szCs w:val="28"/>
          <w:highlight w:val="none"/>
          <w:u w:val="none"/>
          <w:lang w:eastAsia="zh-CN"/>
        </w:rPr>
      </w:pPr>
      <w:r>
        <w:rPr>
          <w:rFonts w:hint="eastAsia" w:ascii="宋体" w:hAnsi="宋体" w:cs="宋体"/>
          <w:color w:val="auto"/>
          <w:sz w:val="28"/>
          <w:szCs w:val="28"/>
          <w:highlight w:val="none"/>
          <w:u w:val="none"/>
          <w:lang w:eastAsia="zh-CN"/>
        </w:rPr>
        <w:t>四、承诺（施工）作业期间不影响周边人员、卫生、环境安全，不得破坏生态环境。并对本单位（施工）作业人员造成的一切不良影响负责。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宋体" w:hAnsi="宋体" w:cs="宋体"/>
          <w:color w:val="auto"/>
          <w:sz w:val="28"/>
          <w:szCs w:val="28"/>
          <w:highlight w:val="none"/>
          <w:u w:val="none"/>
          <w:lang w:eastAsia="zh-CN"/>
        </w:rPr>
      </w:pPr>
      <w:r>
        <w:rPr>
          <w:rFonts w:hint="eastAsia" w:ascii="宋体" w:hAnsi="宋体" w:cs="宋体"/>
          <w:color w:val="auto"/>
          <w:sz w:val="28"/>
          <w:szCs w:val="28"/>
          <w:highlight w:val="none"/>
          <w:u w:val="none"/>
          <w:lang w:eastAsia="zh-CN"/>
        </w:rPr>
        <w:t>五、本承诺书是保护区对外来（施工）作业安全监管的有效证明文件，是合同及进入保护区许可的附件，具有法律效力。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宋体" w:hAnsi="宋体" w:cs="宋体"/>
          <w:color w:val="auto"/>
          <w:sz w:val="28"/>
          <w:szCs w:val="28"/>
          <w:highlight w:val="none"/>
          <w:u w:val="none"/>
          <w:lang w:eastAsia="zh-CN"/>
        </w:rPr>
      </w:pPr>
      <w:r>
        <w:rPr>
          <w:rFonts w:hint="eastAsia" w:ascii="宋体" w:hAnsi="宋体" w:cs="宋体"/>
          <w:color w:val="auto"/>
          <w:sz w:val="28"/>
          <w:szCs w:val="28"/>
          <w:highlight w:val="none"/>
          <w:u w:val="none"/>
          <w:lang w:eastAsia="zh-CN"/>
        </w:rPr>
        <w:t>六、安全问题包括不仅限于上述情况，如有未尽详细事宜，参照国家法律法规的有关条款执行。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宋体" w:hAnsi="宋体" w:cs="宋体"/>
          <w:color w:val="auto"/>
          <w:sz w:val="28"/>
          <w:szCs w:val="28"/>
          <w:highlight w:val="none"/>
          <w:u w:val="none"/>
          <w:lang w:eastAsia="zh-CN"/>
        </w:rPr>
      </w:pPr>
      <w:r>
        <w:rPr>
          <w:rFonts w:hint="eastAsia" w:ascii="宋体" w:hAnsi="宋体" w:cs="宋体"/>
          <w:color w:val="auto"/>
          <w:sz w:val="28"/>
          <w:szCs w:val="28"/>
          <w:highlight w:val="none"/>
          <w:u w:val="none"/>
          <w:lang w:eastAsia="zh-CN"/>
        </w:rPr>
        <w:t>七、本承诺书一式两份，（施工）作业方和保护区各执一份。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宋体" w:hAnsi="宋体" w:cs="宋体"/>
          <w:color w:val="auto"/>
          <w:sz w:val="28"/>
          <w:szCs w:val="28"/>
          <w:highlight w:val="none"/>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宋体" w:hAnsi="宋体" w:cs="宋体"/>
          <w:color w:val="auto"/>
          <w:sz w:val="28"/>
          <w:szCs w:val="28"/>
          <w:highlight w:val="none"/>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宋体" w:hAnsi="宋体" w:cs="宋体"/>
          <w:color w:val="auto"/>
          <w:sz w:val="28"/>
          <w:szCs w:val="28"/>
          <w:highlight w:val="none"/>
          <w:u w:val="none"/>
          <w:lang w:eastAsia="zh-CN"/>
        </w:rPr>
      </w:pPr>
      <w:r>
        <w:rPr>
          <w:rFonts w:hint="eastAsia" w:ascii="宋体" w:hAnsi="宋体" w:cs="宋体"/>
          <w:color w:val="auto"/>
          <w:sz w:val="28"/>
          <w:szCs w:val="28"/>
          <w:highlight w:val="none"/>
          <w:u w:val="none"/>
          <w:lang w:eastAsia="zh-CN"/>
        </w:rPr>
        <w:t>承诺（施工）作业单位(盖章)：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宋体" w:hAnsi="宋体" w:cs="宋体"/>
          <w:color w:val="auto"/>
          <w:sz w:val="28"/>
          <w:szCs w:val="28"/>
          <w:highlight w:val="none"/>
          <w:u w:val="none"/>
          <w:lang w:eastAsia="zh-CN"/>
        </w:rPr>
      </w:pPr>
      <w:r>
        <w:rPr>
          <w:rFonts w:hint="eastAsia" w:ascii="宋体" w:hAnsi="宋体" w:cs="宋体"/>
          <w:color w:val="auto"/>
          <w:sz w:val="28"/>
          <w:szCs w:val="28"/>
          <w:highlight w:val="none"/>
          <w:u w:val="none"/>
          <w:lang w:eastAsia="zh-CN"/>
        </w:rPr>
        <w:t>负责人：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宋体" w:hAnsi="宋体" w:cs="宋体"/>
          <w:color w:val="auto"/>
          <w:sz w:val="28"/>
          <w:szCs w:val="28"/>
          <w:highlight w:val="none"/>
          <w:u w:val="none"/>
          <w:lang w:eastAsia="zh-CN"/>
        </w:rPr>
      </w:pPr>
      <w:r>
        <w:rPr>
          <w:rFonts w:hint="eastAsia" w:ascii="宋体" w:hAnsi="宋体" w:cs="宋体"/>
          <w:color w:val="auto"/>
          <w:sz w:val="28"/>
          <w:szCs w:val="28"/>
          <w:highlight w:val="none"/>
          <w:u w:val="none"/>
          <w:lang w:eastAsia="zh-CN"/>
        </w:rPr>
        <w:t>电 话：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宋体" w:hAnsi="宋体" w:cs="宋体"/>
          <w:color w:val="auto"/>
          <w:sz w:val="28"/>
          <w:szCs w:val="28"/>
          <w:highlight w:val="none"/>
          <w:u w:val="none"/>
          <w:lang w:eastAsia="zh-CN"/>
        </w:rPr>
      </w:pPr>
      <w:r>
        <w:rPr>
          <w:rFonts w:hint="eastAsia" w:ascii="宋体" w:hAnsi="宋体" w:cs="宋体"/>
          <w:color w:val="auto"/>
          <w:sz w:val="28"/>
          <w:szCs w:val="28"/>
          <w:highlight w:val="none"/>
          <w:u w:val="none"/>
          <w:lang w:eastAsia="zh-CN"/>
        </w:rPr>
        <w:t>日 期：　　</w:t>
      </w:r>
      <w:r>
        <w:rPr>
          <w:rFonts w:hint="eastAsia" w:ascii="宋体" w:hAnsi="宋体" w:cs="宋体"/>
          <w:color w:val="auto"/>
          <w:sz w:val="28"/>
          <w:szCs w:val="28"/>
          <w:highlight w:val="none"/>
          <w:u w:val="none"/>
          <w:lang w:val="en-US" w:eastAsia="zh-CN"/>
        </w:rPr>
        <w:t xml:space="preserve">   </w:t>
      </w:r>
      <w:r>
        <w:rPr>
          <w:rFonts w:hint="eastAsia" w:ascii="宋体" w:hAnsi="宋体" w:cs="宋体"/>
          <w:color w:val="auto"/>
          <w:sz w:val="28"/>
          <w:szCs w:val="28"/>
          <w:highlight w:val="none"/>
          <w:u w:val="none"/>
          <w:lang w:eastAsia="zh-CN"/>
        </w:rPr>
        <w:t>年</w:t>
      </w:r>
      <w:r>
        <w:rPr>
          <w:rFonts w:hint="eastAsia" w:ascii="宋体" w:hAnsi="宋体" w:cs="宋体"/>
          <w:color w:val="auto"/>
          <w:sz w:val="28"/>
          <w:szCs w:val="28"/>
          <w:highlight w:val="none"/>
          <w:u w:val="none"/>
          <w:lang w:val="en-US" w:eastAsia="zh-CN"/>
        </w:rPr>
        <w:t xml:space="preserve">   </w:t>
      </w:r>
      <w:r>
        <w:rPr>
          <w:rFonts w:hint="eastAsia" w:ascii="宋体" w:hAnsi="宋体" w:cs="宋体"/>
          <w:color w:val="auto"/>
          <w:sz w:val="28"/>
          <w:szCs w:val="28"/>
          <w:highlight w:val="none"/>
          <w:u w:val="none"/>
          <w:lang w:eastAsia="zh-CN"/>
        </w:rPr>
        <w:t>月</w:t>
      </w:r>
      <w:r>
        <w:rPr>
          <w:rFonts w:hint="eastAsia" w:ascii="宋体" w:hAnsi="宋体" w:cs="宋体"/>
          <w:color w:val="auto"/>
          <w:sz w:val="28"/>
          <w:szCs w:val="28"/>
          <w:highlight w:val="none"/>
          <w:u w:val="none"/>
          <w:lang w:val="en-US" w:eastAsia="zh-CN"/>
        </w:rPr>
        <w:t xml:space="preserve">    </w:t>
      </w:r>
      <w:r>
        <w:rPr>
          <w:rFonts w:hint="eastAsia" w:ascii="宋体" w:hAnsi="宋体" w:cs="宋体"/>
          <w:color w:val="auto"/>
          <w:sz w:val="28"/>
          <w:szCs w:val="28"/>
          <w:highlight w:val="none"/>
          <w:u w:val="none"/>
          <w:lang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宋体" w:hAnsi="宋体" w:cs="宋体"/>
          <w:color w:val="auto"/>
          <w:sz w:val="28"/>
          <w:szCs w:val="28"/>
          <w:highlight w:val="none"/>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s="宋体"/>
          <w:color w:val="auto"/>
          <w:sz w:val="28"/>
          <w:szCs w:val="28"/>
          <w:highlight w:val="none"/>
          <w:u w:val="none"/>
          <w:lang w:eastAsia="zh-CN"/>
        </w:rPr>
      </w:pPr>
      <w:r>
        <w:rPr>
          <w:rFonts w:hint="eastAsia" w:ascii="宋体" w:hAnsi="宋体" w:cs="宋体"/>
          <w:color w:val="auto"/>
          <w:sz w:val="28"/>
          <w:szCs w:val="28"/>
          <w:highlight w:val="none"/>
          <w:u w:val="none"/>
          <w:lang w:eastAsia="zh-CN"/>
        </w:rPr>
        <w:t>保护区(盖章)：</w:t>
      </w:r>
    </w:p>
    <w:p>
      <w:pPr>
        <w:rPr>
          <w:color w:val="auto"/>
          <w:highlight w:val="none"/>
          <w:u w:val="none"/>
        </w:rPr>
      </w:pPr>
    </w:p>
    <w:p>
      <w:pPr>
        <w:pStyle w:val="17"/>
        <w:rPr>
          <w:rFonts w:ascii="宋体" w:hAnsi="宋体" w:cs="宋体"/>
          <w:color w:val="auto"/>
          <w:highlight w:val="none"/>
          <w:u w:val="none"/>
        </w:rPr>
      </w:pPr>
    </w:p>
    <w:sectPr>
      <w:pgSz w:w="11906" w:h="16838"/>
      <w:pgMar w:top="1440" w:right="935" w:bottom="1440" w:left="7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decorative"/>
    <w:pitch w:val="default"/>
    <w:sig w:usb0="E1002EFF" w:usb1="C000605B" w:usb2="00000029" w:usb3="00000000" w:csb0="200101FF" w:csb1="20280000"/>
  </w:font>
  <w:font w:name="?? Light">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A229E"/>
    <w:multiLevelType w:val="singleLevel"/>
    <w:tmpl w:val="9F6A229E"/>
    <w:lvl w:ilvl="0" w:tentative="0">
      <w:start w:val="1"/>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FDFFE860"/>
    <w:multiLevelType w:val="singleLevel"/>
    <w:tmpl w:val="FDFFE860"/>
    <w:lvl w:ilvl="0" w:tentative="0">
      <w:start w:val="1"/>
      <w:numFmt w:val="chineseCounting"/>
      <w:suff w:val="nothing"/>
      <w:lvlText w:val="（%1）"/>
      <w:lvlJc w:val="left"/>
      <w:pPr>
        <w:ind w:left="421" w:leftChars="0" w:firstLine="0" w:firstLineChars="0"/>
      </w:pPr>
      <w:rPr>
        <w:rFonts w:hint="eastAsia"/>
      </w:rPr>
    </w:lvl>
  </w:abstractNum>
  <w:abstractNum w:abstractNumId="3">
    <w:nsid w:val="023DC6C4"/>
    <w:multiLevelType w:val="singleLevel"/>
    <w:tmpl w:val="023DC6C4"/>
    <w:lvl w:ilvl="0" w:tentative="0">
      <w:start w:val="4"/>
      <w:numFmt w:val="decimal"/>
      <w:suff w:val="nothing"/>
      <w:lvlText w:val="（%1）"/>
      <w:lvlJc w:val="left"/>
    </w:lvl>
  </w:abstractNum>
  <w:abstractNum w:abstractNumId="4">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5">
    <w:nsid w:val="1FD97BE0"/>
    <w:multiLevelType w:val="singleLevel"/>
    <w:tmpl w:val="1FD97BE0"/>
    <w:lvl w:ilvl="0" w:tentative="0">
      <w:start w:val="1"/>
      <w:numFmt w:val="chineseCounting"/>
      <w:suff w:val="nothing"/>
      <w:lvlText w:val="（%1）"/>
      <w:lvlJc w:val="left"/>
      <w:rPr>
        <w:rFonts w:hint="eastAsia"/>
      </w:rPr>
    </w:lvl>
  </w:abstractNum>
  <w:abstractNum w:abstractNumId="6">
    <w:nsid w:val="2EBEB4BA"/>
    <w:multiLevelType w:val="singleLevel"/>
    <w:tmpl w:val="2EBEB4BA"/>
    <w:lvl w:ilvl="0" w:tentative="0">
      <w:start w:val="26"/>
      <w:numFmt w:val="decimal"/>
      <w:suff w:val="space"/>
      <w:lvlText w:val="%1."/>
      <w:lvlJc w:val="left"/>
    </w:lvl>
  </w:abstractNum>
  <w:abstractNum w:abstractNumId="7">
    <w:nsid w:val="393ADA10"/>
    <w:multiLevelType w:val="singleLevel"/>
    <w:tmpl w:val="393ADA10"/>
    <w:lvl w:ilvl="0" w:tentative="0">
      <w:start w:val="31"/>
      <w:numFmt w:val="decimal"/>
      <w:suff w:val="space"/>
      <w:lvlText w:val="%1."/>
      <w:lvlJc w:val="left"/>
    </w:lvl>
  </w:abstractNum>
  <w:abstractNum w:abstractNumId="8">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9">
    <w:nsid w:val="620B07F5"/>
    <w:multiLevelType w:val="singleLevel"/>
    <w:tmpl w:val="620B07F5"/>
    <w:lvl w:ilvl="0" w:tentative="0">
      <w:start w:val="3"/>
      <w:numFmt w:val="decimal"/>
      <w:suff w:val="nothing"/>
      <w:lvlText w:val="%1."/>
      <w:lvlJc w:val="left"/>
      <w:pPr>
        <w:ind w:left="-60"/>
      </w:pPr>
    </w:lvl>
  </w:abstractNum>
  <w:abstractNum w:abstractNumId="10">
    <w:nsid w:val="643CBB0D"/>
    <w:multiLevelType w:val="singleLevel"/>
    <w:tmpl w:val="643CBB0D"/>
    <w:lvl w:ilvl="0" w:tentative="0">
      <w:start w:val="1"/>
      <w:numFmt w:val="chineseCounting"/>
      <w:suff w:val="nothing"/>
      <w:lvlText w:val="%1、"/>
      <w:lvlJc w:val="left"/>
    </w:lvl>
  </w:abstractNum>
  <w:abstractNum w:abstractNumId="11">
    <w:nsid w:val="64AF5AA1"/>
    <w:multiLevelType w:val="singleLevel"/>
    <w:tmpl w:val="64AF5AA1"/>
    <w:lvl w:ilvl="0" w:tentative="0">
      <w:start w:val="33"/>
      <w:numFmt w:val="decimal"/>
      <w:suff w:val="nothing"/>
      <w:lvlText w:val="%1."/>
      <w:lvlJc w:val="left"/>
    </w:lvl>
  </w:abstractNum>
  <w:abstractNum w:abstractNumId="12">
    <w:nsid w:val="64AFB80E"/>
    <w:multiLevelType w:val="singleLevel"/>
    <w:tmpl w:val="64AFB80E"/>
    <w:lvl w:ilvl="0" w:tentative="0">
      <w:start w:val="3"/>
      <w:numFmt w:val="chineseCounting"/>
      <w:suff w:val="space"/>
      <w:lvlText w:val="第%1章"/>
      <w:lvlJc w:val="left"/>
    </w:lvl>
  </w:abstractNum>
  <w:abstractNum w:abstractNumId="13">
    <w:nsid w:val="67497D31"/>
    <w:multiLevelType w:val="multilevel"/>
    <w:tmpl w:val="67497D31"/>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67497D3C"/>
    <w:multiLevelType w:val="multilevel"/>
    <w:tmpl w:val="67497D3C"/>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6AD43707"/>
    <w:multiLevelType w:val="singleLevel"/>
    <w:tmpl w:val="6AD43707"/>
    <w:lvl w:ilvl="0" w:tentative="0">
      <w:start w:val="5"/>
      <w:numFmt w:val="decimal"/>
      <w:suff w:val="space"/>
      <w:lvlText w:val="%1."/>
      <w:lvlJc w:val="left"/>
    </w:lvl>
  </w:abstractNum>
  <w:num w:numId="1">
    <w:abstractNumId w:val="4"/>
  </w:num>
  <w:num w:numId="2">
    <w:abstractNumId w:val="9"/>
  </w:num>
  <w:num w:numId="3">
    <w:abstractNumId w:val="15"/>
  </w:num>
  <w:num w:numId="4">
    <w:abstractNumId w:val="3"/>
  </w:num>
  <w:num w:numId="5">
    <w:abstractNumId w:val="1"/>
  </w:num>
  <w:num w:numId="6">
    <w:abstractNumId w:val="6"/>
  </w:num>
  <w:num w:numId="7">
    <w:abstractNumId w:val="7"/>
  </w:num>
  <w:num w:numId="8">
    <w:abstractNumId w:val="11"/>
  </w:num>
  <w:num w:numId="9">
    <w:abstractNumId w:val="12"/>
  </w:num>
  <w:num w:numId="10">
    <w:abstractNumId w:val="0"/>
  </w:num>
  <w:num w:numId="11">
    <w:abstractNumId w:val="2"/>
  </w:num>
  <w:num w:numId="12">
    <w:abstractNumId w:val="13"/>
    <w:lvlOverride w:ilvl="0">
      <w:startOverride w:val="2"/>
    </w:lvlOverride>
  </w:num>
  <w:num w:numId="13">
    <w:abstractNumId w:val="14"/>
    <w:lvlOverride w:ilvl="0">
      <w:startOverride w:val="2"/>
    </w:lvlOverride>
  </w:num>
  <w:num w:numId="14">
    <w:abstractNumId w:val="5"/>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ZjQxZTIwY2VhZDc0NzRmMzM2NGFkYjBkOWQ0MjcifQ=="/>
    <w:docVar w:name="KSO_WPS_MARK_KEY" w:val="8bedbf56-0780-4ac8-80fd-85fdbf889e71"/>
  </w:docVars>
  <w:rsids>
    <w:rsidRoot w:val="006B6B44"/>
    <w:rsid w:val="00155B9F"/>
    <w:rsid w:val="00227D5A"/>
    <w:rsid w:val="00273AA0"/>
    <w:rsid w:val="002C61F7"/>
    <w:rsid w:val="00361260"/>
    <w:rsid w:val="00377B03"/>
    <w:rsid w:val="00442CC9"/>
    <w:rsid w:val="0059276D"/>
    <w:rsid w:val="005F25A9"/>
    <w:rsid w:val="006B6B44"/>
    <w:rsid w:val="00784F0D"/>
    <w:rsid w:val="008408C6"/>
    <w:rsid w:val="00B65E05"/>
    <w:rsid w:val="00BE3755"/>
    <w:rsid w:val="00C5023F"/>
    <w:rsid w:val="00C83A4D"/>
    <w:rsid w:val="00CE3934"/>
    <w:rsid w:val="00DF61F0"/>
    <w:rsid w:val="00E34700"/>
    <w:rsid w:val="00EA6261"/>
    <w:rsid w:val="00EC296C"/>
    <w:rsid w:val="00EF5BA2"/>
    <w:rsid w:val="00F02DB1"/>
    <w:rsid w:val="0100033D"/>
    <w:rsid w:val="011C633D"/>
    <w:rsid w:val="013C3125"/>
    <w:rsid w:val="014E5B21"/>
    <w:rsid w:val="01821A3D"/>
    <w:rsid w:val="01B62CA7"/>
    <w:rsid w:val="01D84888"/>
    <w:rsid w:val="01E21263"/>
    <w:rsid w:val="020405D6"/>
    <w:rsid w:val="021E1981"/>
    <w:rsid w:val="02B95509"/>
    <w:rsid w:val="02EB4BA7"/>
    <w:rsid w:val="030932D4"/>
    <w:rsid w:val="03246CD1"/>
    <w:rsid w:val="033E499D"/>
    <w:rsid w:val="036C7E00"/>
    <w:rsid w:val="0377595E"/>
    <w:rsid w:val="03C12FE4"/>
    <w:rsid w:val="03F02E9E"/>
    <w:rsid w:val="040E5E88"/>
    <w:rsid w:val="04602F95"/>
    <w:rsid w:val="046D2412"/>
    <w:rsid w:val="047177B4"/>
    <w:rsid w:val="04732647"/>
    <w:rsid w:val="047A66B3"/>
    <w:rsid w:val="047F1B73"/>
    <w:rsid w:val="04854265"/>
    <w:rsid w:val="049357F2"/>
    <w:rsid w:val="04A27D7C"/>
    <w:rsid w:val="04D97DAE"/>
    <w:rsid w:val="04DF12E2"/>
    <w:rsid w:val="04F57ED0"/>
    <w:rsid w:val="05075F25"/>
    <w:rsid w:val="051031AE"/>
    <w:rsid w:val="051E5C06"/>
    <w:rsid w:val="052633D9"/>
    <w:rsid w:val="054D2E98"/>
    <w:rsid w:val="056469EE"/>
    <w:rsid w:val="05841AAD"/>
    <w:rsid w:val="059742FC"/>
    <w:rsid w:val="05A0109D"/>
    <w:rsid w:val="05CA7217"/>
    <w:rsid w:val="05E82D27"/>
    <w:rsid w:val="05EE68ED"/>
    <w:rsid w:val="060C5A1F"/>
    <w:rsid w:val="0633580E"/>
    <w:rsid w:val="06486645"/>
    <w:rsid w:val="065000D1"/>
    <w:rsid w:val="065B15E4"/>
    <w:rsid w:val="066D11E7"/>
    <w:rsid w:val="0680754D"/>
    <w:rsid w:val="06996022"/>
    <w:rsid w:val="06E71E07"/>
    <w:rsid w:val="06FE3C52"/>
    <w:rsid w:val="070723E2"/>
    <w:rsid w:val="070C1155"/>
    <w:rsid w:val="070E0C2D"/>
    <w:rsid w:val="071023CF"/>
    <w:rsid w:val="07513EF5"/>
    <w:rsid w:val="076C2901"/>
    <w:rsid w:val="0780268E"/>
    <w:rsid w:val="078646DF"/>
    <w:rsid w:val="07E3000E"/>
    <w:rsid w:val="07FC7407"/>
    <w:rsid w:val="08027E93"/>
    <w:rsid w:val="081712C5"/>
    <w:rsid w:val="083D2DFC"/>
    <w:rsid w:val="083F7130"/>
    <w:rsid w:val="0860005B"/>
    <w:rsid w:val="08697D35"/>
    <w:rsid w:val="086C7886"/>
    <w:rsid w:val="08812F2B"/>
    <w:rsid w:val="08CE08D5"/>
    <w:rsid w:val="08CF462B"/>
    <w:rsid w:val="09003B36"/>
    <w:rsid w:val="098106A1"/>
    <w:rsid w:val="09B43646"/>
    <w:rsid w:val="09BA72C3"/>
    <w:rsid w:val="09E813E1"/>
    <w:rsid w:val="09F267DA"/>
    <w:rsid w:val="09F467ED"/>
    <w:rsid w:val="0A0A6A80"/>
    <w:rsid w:val="0A101F26"/>
    <w:rsid w:val="0A114758"/>
    <w:rsid w:val="0A45079E"/>
    <w:rsid w:val="0A670558"/>
    <w:rsid w:val="0AA70314"/>
    <w:rsid w:val="0AE07DB7"/>
    <w:rsid w:val="0B523F25"/>
    <w:rsid w:val="0B6E26C2"/>
    <w:rsid w:val="0B77423C"/>
    <w:rsid w:val="0BC03CFE"/>
    <w:rsid w:val="0BD83EB7"/>
    <w:rsid w:val="0BE43E2A"/>
    <w:rsid w:val="0C0C54AC"/>
    <w:rsid w:val="0C1D3121"/>
    <w:rsid w:val="0C221581"/>
    <w:rsid w:val="0C2A21CD"/>
    <w:rsid w:val="0C637A1A"/>
    <w:rsid w:val="0C790059"/>
    <w:rsid w:val="0C9C22B2"/>
    <w:rsid w:val="0CC036D2"/>
    <w:rsid w:val="0D336721"/>
    <w:rsid w:val="0DA501B3"/>
    <w:rsid w:val="0DD67C92"/>
    <w:rsid w:val="0DE93DD0"/>
    <w:rsid w:val="0DF62709"/>
    <w:rsid w:val="0E3331BF"/>
    <w:rsid w:val="0E5817CB"/>
    <w:rsid w:val="0E5C2BE5"/>
    <w:rsid w:val="0E667A8A"/>
    <w:rsid w:val="0E68189B"/>
    <w:rsid w:val="0E69033F"/>
    <w:rsid w:val="0E993AB0"/>
    <w:rsid w:val="0EA12625"/>
    <w:rsid w:val="0EA65DCB"/>
    <w:rsid w:val="0EBA28D2"/>
    <w:rsid w:val="0ECA6143"/>
    <w:rsid w:val="0EE3235C"/>
    <w:rsid w:val="0EEE4008"/>
    <w:rsid w:val="0F152394"/>
    <w:rsid w:val="0F2738C4"/>
    <w:rsid w:val="0F4016E2"/>
    <w:rsid w:val="0F6B6C1D"/>
    <w:rsid w:val="0F9633C9"/>
    <w:rsid w:val="0FEF20FC"/>
    <w:rsid w:val="0FF85BE5"/>
    <w:rsid w:val="103656CA"/>
    <w:rsid w:val="10471B26"/>
    <w:rsid w:val="107E0B86"/>
    <w:rsid w:val="10934E21"/>
    <w:rsid w:val="109D27CB"/>
    <w:rsid w:val="11037A5C"/>
    <w:rsid w:val="110660A6"/>
    <w:rsid w:val="113D7A32"/>
    <w:rsid w:val="117F283F"/>
    <w:rsid w:val="118E7B9B"/>
    <w:rsid w:val="11CA3C1A"/>
    <w:rsid w:val="11DB182B"/>
    <w:rsid w:val="11F76665"/>
    <w:rsid w:val="11FB02FE"/>
    <w:rsid w:val="1260763B"/>
    <w:rsid w:val="127A31E0"/>
    <w:rsid w:val="129058CB"/>
    <w:rsid w:val="12A64995"/>
    <w:rsid w:val="12BA1B28"/>
    <w:rsid w:val="12BF4B9D"/>
    <w:rsid w:val="12E45B62"/>
    <w:rsid w:val="12EB2F00"/>
    <w:rsid w:val="12F906D8"/>
    <w:rsid w:val="12F908B4"/>
    <w:rsid w:val="13215279"/>
    <w:rsid w:val="133C3230"/>
    <w:rsid w:val="13856106"/>
    <w:rsid w:val="13C94A07"/>
    <w:rsid w:val="13D36C5E"/>
    <w:rsid w:val="13E72192"/>
    <w:rsid w:val="14771A6A"/>
    <w:rsid w:val="14817FDA"/>
    <w:rsid w:val="14B0225D"/>
    <w:rsid w:val="14C82B81"/>
    <w:rsid w:val="14D40C9A"/>
    <w:rsid w:val="14FB1C8F"/>
    <w:rsid w:val="1506135C"/>
    <w:rsid w:val="15122D32"/>
    <w:rsid w:val="1519733C"/>
    <w:rsid w:val="151A6E6E"/>
    <w:rsid w:val="154B61B2"/>
    <w:rsid w:val="156B61A7"/>
    <w:rsid w:val="15A0059B"/>
    <w:rsid w:val="16D87D6E"/>
    <w:rsid w:val="16FA6C98"/>
    <w:rsid w:val="170B353F"/>
    <w:rsid w:val="1725189E"/>
    <w:rsid w:val="173C6FEB"/>
    <w:rsid w:val="176F0A16"/>
    <w:rsid w:val="17733A06"/>
    <w:rsid w:val="1775207A"/>
    <w:rsid w:val="177523D1"/>
    <w:rsid w:val="1784346D"/>
    <w:rsid w:val="17C65D17"/>
    <w:rsid w:val="17CD1C16"/>
    <w:rsid w:val="17DA4C80"/>
    <w:rsid w:val="182A4348"/>
    <w:rsid w:val="184F13F4"/>
    <w:rsid w:val="188744BB"/>
    <w:rsid w:val="18926767"/>
    <w:rsid w:val="18A37708"/>
    <w:rsid w:val="18EB151D"/>
    <w:rsid w:val="191106C7"/>
    <w:rsid w:val="19346C7C"/>
    <w:rsid w:val="193B644D"/>
    <w:rsid w:val="194E3524"/>
    <w:rsid w:val="195D26D4"/>
    <w:rsid w:val="199063F6"/>
    <w:rsid w:val="19B65BE7"/>
    <w:rsid w:val="1A330456"/>
    <w:rsid w:val="1A41745E"/>
    <w:rsid w:val="1A976FFA"/>
    <w:rsid w:val="1AB620A6"/>
    <w:rsid w:val="1AC60298"/>
    <w:rsid w:val="1ACF7806"/>
    <w:rsid w:val="1ADF7C99"/>
    <w:rsid w:val="1AEF5AF1"/>
    <w:rsid w:val="1AFD127E"/>
    <w:rsid w:val="1B01720A"/>
    <w:rsid w:val="1B1C7D80"/>
    <w:rsid w:val="1B291668"/>
    <w:rsid w:val="1B311E97"/>
    <w:rsid w:val="1B3A1A58"/>
    <w:rsid w:val="1B3E54F1"/>
    <w:rsid w:val="1B5606C4"/>
    <w:rsid w:val="1B713E01"/>
    <w:rsid w:val="1B7758FD"/>
    <w:rsid w:val="1B992F08"/>
    <w:rsid w:val="1BB45520"/>
    <w:rsid w:val="1C1443B6"/>
    <w:rsid w:val="1CA0458E"/>
    <w:rsid w:val="1CCC06F6"/>
    <w:rsid w:val="1CE83B7D"/>
    <w:rsid w:val="1CEA0CE2"/>
    <w:rsid w:val="1D0D31E0"/>
    <w:rsid w:val="1D1207F7"/>
    <w:rsid w:val="1D430B8A"/>
    <w:rsid w:val="1D4674DC"/>
    <w:rsid w:val="1D594678"/>
    <w:rsid w:val="1D6923E1"/>
    <w:rsid w:val="1D6F3520"/>
    <w:rsid w:val="1DD34639"/>
    <w:rsid w:val="1DE34B94"/>
    <w:rsid w:val="1E002D45"/>
    <w:rsid w:val="1E1B70BC"/>
    <w:rsid w:val="1E3F5366"/>
    <w:rsid w:val="1E7526A1"/>
    <w:rsid w:val="1E7B4119"/>
    <w:rsid w:val="1E9B599E"/>
    <w:rsid w:val="1EB6799F"/>
    <w:rsid w:val="1EBA2D31"/>
    <w:rsid w:val="1ED91680"/>
    <w:rsid w:val="1EF3295A"/>
    <w:rsid w:val="1EFC46D7"/>
    <w:rsid w:val="1F0A153D"/>
    <w:rsid w:val="1F1403CE"/>
    <w:rsid w:val="1F1C105D"/>
    <w:rsid w:val="1F1C25A1"/>
    <w:rsid w:val="1F1E0784"/>
    <w:rsid w:val="1F2533FE"/>
    <w:rsid w:val="1F2F6111"/>
    <w:rsid w:val="1F776F31"/>
    <w:rsid w:val="1F81104A"/>
    <w:rsid w:val="1FE74446"/>
    <w:rsid w:val="20075BE8"/>
    <w:rsid w:val="20081198"/>
    <w:rsid w:val="200D1786"/>
    <w:rsid w:val="201044E2"/>
    <w:rsid w:val="202A40A9"/>
    <w:rsid w:val="203F3F27"/>
    <w:rsid w:val="20684BD2"/>
    <w:rsid w:val="20841A36"/>
    <w:rsid w:val="20B83463"/>
    <w:rsid w:val="20CB544E"/>
    <w:rsid w:val="20D51F33"/>
    <w:rsid w:val="20E41252"/>
    <w:rsid w:val="20EA0278"/>
    <w:rsid w:val="210545EA"/>
    <w:rsid w:val="21175AEB"/>
    <w:rsid w:val="211F672C"/>
    <w:rsid w:val="2130515F"/>
    <w:rsid w:val="21355DB9"/>
    <w:rsid w:val="213B25BD"/>
    <w:rsid w:val="214D2418"/>
    <w:rsid w:val="214E22CF"/>
    <w:rsid w:val="219A423A"/>
    <w:rsid w:val="21FD749A"/>
    <w:rsid w:val="220B7F0B"/>
    <w:rsid w:val="2228666C"/>
    <w:rsid w:val="225455FE"/>
    <w:rsid w:val="2254672B"/>
    <w:rsid w:val="226076E5"/>
    <w:rsid w:val="227332BD"/>
    <w:rsid w:val="228A64F0"/>
    <w:rsid w:val="22966C59"/>
    <w:rsid w:val="22AD2360"/>
    <w:rsid w:val="22C6291C"/>
    <w:rsid w:val="22D67DF5"/>
    <w:rsid w:val="22DB26BB"/>
    <w:rsid w:val="22FE33F9"/>
    <w:rsid w:val="23104DD0"/>
    <w:rsid w:val="23736488"/>
    <w:rsid w:val="23756255"/>
    <w:rsid w:val="23847F75"/>
    <w:rsid w:val="238F5D2E"/>
    <w:rsid w:val="23E3790D"/>
    <w:rsid w:val="24066FB4"/>
    <w:rsid w:val="242604B6"/>
    <w:rsid w:val="245A3C9B"/>
    <w:rsid w:val="247A72CB"/>
    <w:rsid w:val="251F61A7"/>
    <w:rsid w:val="25212425"/>
    <w:rsid w:val="25214718"/>
    <w:rsid w:val="254F4DAC"/>
    <w:rsid w:val="25573C2A"/>
    <w:rsid w:val="2579524A"/>
    <w:rsid w:val="25A44CDF"/>
    <w:rsid w:val="25BB1339"/>
    <w:rsid w:val="25DB498E"/>
    <w:rsid w:val="25E14C3C"/>
    <w:rsid w:val="260B7D56"/>
    <w:rsid w:val="261A7F80"/>
    <w:rsid w:val="261D76C7"/>
    <w:rsid w:val="262B6BA5"/>
    <w:rsid w:val="26380D40"/>
    <w:rsid w:val="26462E7B"/>
    <w:rsid w:val="26942FFE"/>
    <w:rsid w:val="26C43618"/>
    <w:rsid w:val="26D125D4"/>
    <w:rsid w:val="26D315AB"/>
    <w:rsid w:val="26EE7D79"/>
    <w:rsid w:val="26FE64D2"/>
    <w:rsid w:val="27231852"/>
    <w:rsid w:val="27872C1D"/>
    <w:rsid w:val="27967869"/>
    <w:rsid w:val="27C26C0C"/>
    <w:rsid w:val="27C47BCD"/>
    <w:rsid w:val="27CF3940"/>
    <w:rsid w:val="28415DAF"/>
    <w:rsid w:val="2848403E"/>
    <w:rsid w:val="28534CC7"/>
    <w:rsid w:val="285C68C6"/>
    <w:rsid w:val="2862619B"/>
    <w:rsid w:val="286666B5"/>
    <w:rsid w:val="287F16DC"/>
    <w:rsid w:val="291038D3"/>
    <w:rsid w:val="29195862"/>
    <w:rsid w:val="293465F4"/>
    <w:rsid w:val="295139F9"/>
    <w:rsid w:val="295C7D1E"/>
    <w:rsid w:val="295D104C"/>
    <w:rsid w:val="299A1EFE"/>
    <w:rsid w:val="29F76716"/>
    <w:rsid w:val="29FE4C20"/>
    <w:rsid w:val="2A1C4B42"/>
    <w:rsid w:val="2A461A00"/>
    <w:rsid w:val="2A526841"/>
    <w:rsid w:val="2AE013C4"/>
    <w:rsid w:val="2AF240E7"/>
    <w:rsid w:val="2B1E540E"/>
    <w:rsid w:val="2B336409"/>
    <w:rsid w:val="2B5D374A"/>
    <w:rsid w:val="2B6F40AB"/>
    <w:rsid w:val="2BD769AA"/>
    <w:rsid w:val="2BE867DE"/>
    <w:rsid w:val="2C126F23"/>
    <w:rsid w:val="2C301D85"/>
    <w:rsid w:val="2C5C3E0E"/>
    <w:rsid w:val="2C6F2F91"/>
    <w:rsid w:val="2C8B2EBE"/>
    <w:rsid w:val="2CA41AAD"/>
    <w:rsid w:val="2CBD784E"/>
    <w:rsid w:val="2D7366E1"/>
    <w:rsid w:val="2D80355B"/>
    <w:rsid w:val="2E56250D"/>
    <w:rsid w:val="2E953036"/>
    <w:rsid w:val="2EA476C7"/>
    <w:rsid w:val="2EBA2863"/>
    <w:rsid w:val="2F0974B4"/>
    <w:rsid w:val="2F2427C6"/>
    <w:rsid w:val="2F2D13BF"/>
    <w:rsid w:val="2F6E1B09"/>
    <w:rsid w:val="2FB344DB"/>
    <w:rsid w:val="2FC251C5"/>
    <w:rsid w:val="2FEE1AA4"/>
    <w:rsid w:val="2FF63FA8"/>
    <w:rsid w:val="302513B1"/>
    <w:rsid w:val="30437784"/>
    <w:rsid w:val="304406B6"/>
    <w:rsid w:val="30493046"/>
    <w:rsid w:val="305557A2"/>
    <w:rsid w:val="3056605C"/>
    <w:rsid w:val="30B34192"/>
    <w:rsid w:val="30E37FF0"/>
    <w:rsid w:val="30F26942"/>
    <w:rsid w:val="30F70011"/>
    <w:rsid w:val="31143E67"/>
    <w:rsid w:val="311A0404"/>
    <w:rsid w:val="318A035C"/>
    <w:rsid w:val="319D12C3"/>
    <w:rsid w:val="31A74B17"/>
    <w:rsid w:val="31BD6652"/>
    <w:rsid w:val="31BF7BF7"/>
    <w:rsid w:val="321015FB"/>
    <w:rsid w:val="32293DF3"/>
    <w:rsid w:val="322A6D80"/>
    <w:rsid w:val="32430109"/>
    <w:rsid w:val="32563766"/>
    <w:rsid w:val="325B2B9E"/>
    <w:rsid w:val="326A2B93"/>
    <w:rsid w:val="326C208D"/>
    <w:rsid w:val="32B057EA"/>
    <w:rsid w:val="32BC60A7"/>
    <w:rsid w:val="32C84B2E"/>
    <w:rsid w:val="32DB4E0E"/>
    <w:rsid w:val="33073FC8"/>
    <w:rsid w:val="33196C24"/>
    <w:rsid w:val="33581A03"/>
    <w:rsid w:val="337A3E72"/>
    <w:rsid w:val="33B2209F"/>
    <w:rsid w:val="33B74CDE"/>
    <w:rsid w:val="33CC574C"/>
    <w:rsid w:val="33ED7B1F"/>
    <w:rsid w:val="3411315F"/>
    <w:rsid w:val="34134BEF"/>
    <w:rsid w:val="34145B06"/>
    <w:rsid w:val="343E5052"/>
    <w:rsid w:val="34521A56"/>
    <w:rsid w:val="3457424D"/>
    <w:rsid w:val="34600E6E"/>
    <w:rsid w:val="348852A1"/>
    <w:rsid w:val="34EF36BF"/>
    <w:rsid w:val="35033E7C"/>
    <w:rsid w:val="3518676F"/>
    <w:rsid w:val="35253297"/>
    <w:rsid w:val="35445BF0"/>
    <w:rsid w:val="354D466A"/>
    <w:rsid w:val="355B20B3"/>
    <w:rsid w:val="355E745F"/>
    <w:rsid w:val="3561607B"/>
    <w:rsid w:val="357778F8"/>
    <w:rsid w:val="35810C58"/>
    <w:rsid w:val="35995BD6"/>
    <w:rsid w:val="36162765"/>
    <w:rsid w:val="361D365C"/>
    <w:rsid w:val="36206B3D"/>
    <w:rsid w:val="36531214"/>
    <w:rsid w:val="368A71F8"/>
    <w:rsid w:val="369E0EF6"/>
    <w:rsid w:val="36AB36F1"/>
    <w:rsid w:val="36B95EFA"/>
    <w:rsid w:val="36EB5B5C"/>
    <w:rsid w:val="37085392"/>
    <w:rsid w:val="371A3199"/>
    <w:rsid w:val="37457481"/>
    <w:rsid w:val="375E31F0"/>
    <w:rsid w:val="375E791B"/>
    <w:rsid w:val="377703A7"/>
    <w:rsid w:val="378873BF"/>
    <w:rsid w:val="37BD7DDF"/>
    <w:rsid w:val="37C061AF"/>
    <w:rsid w:val="37C204A6"/>
    <w:rsid w:val="37C24F10"/>
    <w:rsid w:val="37DD26B8"/>
    <w:rsid w:val="37E640D7"/>
    <w:rsid w:val="37F13AF8"/>
    <w:rsid w:val="37F51C53"/>
    <w:rsid w:val="38091218"/>
    <w:rsid w:val="38607858"/>
    <w:rsid w:val="386A0F99"/>
    <w:rsid w:val="386E7642"/>
    <w:rsid w:val="389153B5"/>
    <w:rsid w:val="38C22A7E"/>
    <w:rsid w:val="38CF0CDC"/>
    <w:rsid w:val="38E802E6"/>
    <w:rsid w:val="38FB1500"/>
    <w:rsid w:val="39071B67"/>
    <w:rsid w:val="39175C11"/>
    <w:rsid w:val="39224F11"/>
    <w:rsid w:val="3955343C"/>
    <w:rsid w:val="3960278E"/>
    <w:rsid w:val="398E625D"/>
    <w:rsid w:val="39957F50"/>
    <w:rsid w:val="399C171C"/>
    <w:rsid w:val="39AA42C1"/>
    <w:rsid w:val="39F3485B"/>
    <w:rsid w:val="3A1376B0"/>
    <w:rsid w:val="3A1A4E71"/>
    <w:rsid w:val="3A305F5F"/>
    <w:rsid w:val="3A43428E"/>
    <w:rsid w:val="3AA22453"/>
    <w:rsid w:val="3AB24F6F"/>
    <w:rsid w:val="3AB764B1"/>
    <w:rsid w:val="3ABF7840"/>
    <w:rsid w:val="3ACF550A"/>
    <w:rsid w:val="3AE5670A"/>
    <w:rsid w:val="3B37322C"/>
    <w:rsid w:val="3B641BF0"/>
    <w:rsid w:val="3B721655"/>
    <w:rsid w:val="3B947B1C"/>
    <w:rsid w:val="3C153A08"/>
    <w:rsid w:val="3C282E96"/>
    <w:rsid w:val="3CAC19F4"/>
    <w:rsid w:val="3CBD7C21"/>
    <w:rsid w:val="3CF24485"/>
    <w:rsid w:val="3CFD2D01"/>
    <w:rsid w:val="3D046180"/>
    <w:rsid w:val="3D297F36"/>
    <w:rsid w:val="3D5566FA"/>
    <w:rsid w:val="3D7039D2"/>
    <w:rsid w:val="3D7331CA"/>
    <w:rsid w:val="3D7F1373"/>
    <w:rsid w:val="3DA86969"/>
    <w:rsid w:val="3DDA73FC"/>
    <w:rsid w:val="3DEA0E8F"/>
    <w:rsid w:val="3E05017A"/>
    <w:rsid w:val="3E6E4482"/>
    <w:rsid w:val="3E7618FA"/>
    <w:rsid w:val="3E7B2030"/>
    <w:rsid w:val="3EBC2C40"/>
    <w:rsid w:val="3EC9204D"/>
    <w:rsid w:val="3F3348D1"/>
    <w:rsid w:val="3F49162A"/>
    <w:rsid w:val="3F6126FB"/>
    <w:rsid w:val="3F63314B"/>
    <w:rsid w:val="3F6A1E6E"/>
    <w:rsid w:val="3F8D5BE5"/>
    <w:rsid w:val="3F972CBA"/>
    <w:rsid w:val="400A5153"/>
    <w:rsid w:val="401E2A26"/>
    <w:rsid w:val="40313B62"/>
    <w:rsid w:val="40340199"/>
    <w:rsid w:val="4053561D"/>
    <w:rsid w:val="40A416C3"/>
    <w:rsid w:val="40A502F3"/>
    <w:rsid w:val="40CC37C8"/>
    <w:rsid w:val="40D048DF"/>
    <w:rsid w:val="40E0565D"/>
    <w:rsid w:val="40E06BFA"/>
    <w:rsid w:val="41017AF4"/>
    <w:rsid w:val="41166258"/>
    <w:rsid w:val="41174C22"/>
    <w:rsid w:val="41246AA2"/>
    <w:rsid w:val="414B5806"/>
    <w:rsid w:val="41C262D0"/>
    <w:rsid w:val="41E33EDC"/>
    <w:rsid w:val="41E922D5"/>
    <w:rsid w:val="41FF7786"/>
    <w:rsid w:val="426F5805"/>
    <w:rsid w:val="427A0DB5"/>
    <w:rsid w:val="42983C5A"/>
    <w:rsid w:val="429F0D52"/>
    <w:rsid w:val="42C61DC7"/>
    <w:rsid w:val="42C942ED"/>
    <w:rsid w:val="42CF3A15"/>
    <w:rsid w:val="42DB7E92"/>
    <w:rsid w:val="42DF397A"/>
    <w:rsid w:val="43103410"/>
    <w:rsid w:val="431C567C"/>
    <w:rsid w:val="433C261E"/>
    <w:rsid w:val="43482915"/>
    <w:rsid w:val="435833B8"/>
    <w:rsid w:val="43750A80"/>
    <w:rsid w:val="437F3405"/>
    <w:rsid w:val="4390415B"/>
    <w:rsid w:val="43B1724E"/>
    <w:rsid w:val="43BE409B"/>
    <w:rsid w:val="43D97B7C"/>
    <w:rsid w:val="43F9794F"/>
    <w:rsid w:val="444D4548"/>
    <w:rsid w:val="44531B89"/>
    <w:rsid w:val="445A2079"/>
    <w:rsid w:val="44765291"/>
    <w:rsid w:val="447C4669"/>
    <w:rsid w:val="448907C0"/>
    <w:rsid w:val="44E4722C"/>
    <w:rsid w:val="44E4748A"/>
    <w:rsid w:val="450D6521"/>
    <w:rsid w:val="4537152D"/>
    <w:rsid w:val="45482A0E"/>
    <w:rsid w:val="4548351D"/>
    <w:rsid w:val="454A4A52"/>
    <w:rsid w:val="456D1381"/>
    <w:rsid w:val="456E2FF9"/>
    <w:rsid w:val="45853583"/>
    <w:rsid w:val="45AD7AAF"/>
    <w:rsid w:val="45D54996"/>
    <w:rsid w:val="45F53761"/>
    <w:rsid w:val="460162E2"/>
    <w:rsid w:val="460B6FFA"/>
    <w:rsid w:val="462B5D05"/>
    <w:rsid w:val="462C5B9A"/>
    <w:rsid w:val="466C5BDD"/>
    <w:rsid w:val="467A08BB"/>
    <w:rsid w:val="46B02CAC"/>
    <w:rsid w:val="46B27839"/>
    <w:rsid w:val="46B7187E"/>
    <w:rsid w:val="46BC1650"/>
    <w:rsid w:val="46D71FE6"/>
    <w:rsid w:val="46D9282A"/>
    <w:rsid w:val="471774D0"/>
    <w:rsid w:val="47213261"/>
    <w:rsid w:val="4722660E"/>
    <w:rsid w:val="47370DB9"/>
    <w:rsid w:val="474437B8"/>
    <w:rsid w:val="47473481"/>
    <w:rsid w:val="47F605E0"/>
    <w:rsid w:val="48187985"/>
    <w:rsid w:val="481A362E"/>
    <w:rsid w:val="4822043E"/>
    <w:rsid w:val="482C230B"/>
    <w:rsid w:val="483076CD"/>
    <w:rsid w:val="483F0499"/>
    <w:rsid w:val="48557468"/>
    <w:rsid w:val="48564DC8"/>
    <w:rsid w:val="487830F3"/>
    <w:rsid w:val="488C6E00"/>
    <w:rsid w:val="48E70A52"/>
    <w:rsid w:val="48FA1296"/>
    <w:rsid w:val="49764A58"/>
    <w:rsid w:val="49D00811"/>
    <w:rsid w:val="49D41AA0"/>
    <w:rsid w:val="49EA1F85"/>
    <w:rsid w:val="4A187B9C"/>
    <w:rsid w:val="4AAE4FC7"/>
    <w:rsid w:val="4AC9458D"/>
    <w:rsid w:val="4ACB0C41"/>
    <w:rsid w:val="4B0E0E93"/>
    <w:rsid w:val="4B6052BB"/>
    <w:rsid w:val="4B8D047F"/>
    <w:rsid w:val="4B9B2242"/>
    <w:rsid w:val="4BB84DDD"/>
    <w:rsid w:val="4BD021A8"/>
    <w:rsid w:val="4BD93AB3"/>
    <w:rsid w:val="4BE3441A"/>
    <w:rsid w:val="4BFB1519"/>
    <w:rsid w:val="4C0D4CE7"/>
    <w:rsid w:val="4C217503"/>
    <w:rsid w:val="4C2674A9"/>
    <w:rsid w:val="4C9065A1"/>
    <w:rsid w:val="4CA41D1E"/>
    <w:rsid w:val="4D032D39"/>
    <w:rsid w:val="4D085C18"/>
    <w:rsid w:val="4D147255"/>
    <w:rsid w:val="4D2301D4"/>
    <w:rsid w:val="4D337A52"/>
    <w:rsid w:val="4D5831B4"/>
    <w:rsid w:val="4D7808E2"/>
    <w:rsid w:val="4DBD0245"/>
    <w:rsid w:val="4DD74C2E"/>
    <w:rsid w:val="4DF07841"/>
    <w:rsid w:val="4E314CF4"/>
    <w:rsid w:val="4E337D4C"/>
    <w:rsid w:val="4E3F5A59"/>
    <w:rsid w:val="4E417E90"/>
    <w:rsid w:val="4E497850"/>
    <w:rsid w:val="4E5C54C6"/>
    <w:rsid w:val="4E8F7CF4"/>
    <w:rsid w:val="4EB46E2B"/>
    <w:rsid w:val="4EE10922"/>
    <w:rsid w:val="4F292DFC"/>
    <w:rsid w:val="4F3B47E8"/>
    <w:rsid w:val="4F3E5B72"/>
    <w:rsid w:val="4F882F35"/>
    <w:rsid w:val="4F9C74D5"/>
    <w:rsid w:val="4FA62E9D"/>
    <w:rsid w:val="50010753"/>
    <w:rsid w:val="50090D09"/>
    <w:rsid w:val="500B71A4"/>
    <w:rsid w:val="50420E91"/>
    <w:rsid w:val="50755E6C"/>
    <w:rsid w:val="50795EBC"/>
    <w:rsid w:val="50AB1A62"/>
    <w:rsid w:val="50AF72DB"/>
    <w:rsid w:val="50C335DB"/>
    <w:rsid w:val="50C63C47"/>
    <w:rsid w:val="51183C80"/>
    <w:rsid w:val="511C22AE"/>
    <w:rsid w:val="512C1FE1"/>
    <w:rsid w:val="51456CD1"/>
    <w:rsid w:val="52180956"/>
    <w:rsid w:val="52297E55"/>
    <w:rsid w:val="522A7FC1"/>
    <w:rsid w:val="523B63BA"/>
    <w:rsid w:val="525A6DC5"/>
    <w:rsid w:val="52C46D79"/>
    <w:rsid w:val="52DD37A9"/>
    <w:rsid w:val="531243A6"/>
    <w:rsid w:val="53285977"/>
    <w:rsid w:val="53372935"/>
    <w:rsid w:val="53471890"/>
    <w:rsid w:val="53560736"/>
    <w:rsid w:val="539A2957"/>
    <w:rsid w:val="53A5652C"/>
    <w:rsid w:val="53C646E4"/>
    <w:rsid w:val="53C876EF"/>
    <w:rsid w:val="53D11D66"/>
    <w:rsid w:val="53DE45D6"/>
    <w:rsid w:val="53FE3F51"/>
    <w:rsid w:val="542E1799"/>
    <w:rsid w:val="549C3D50"/>
    <w:rsid w:val="54A07F9F"/>
    <w:rsid w:val="54A85C20"/>
    <w:rsid w:val="55054AAE"/>
    <w:rsid w:val="55094989"/>
    <w:rsid w:val="551C7020"/>
    <w:rsid w:val="552A1E7A"/>
    <w:rsid w:val="55362244"/>
    <w:rsid w:val="554E1AE0"/>
    <w:rsid w:val="555D0434"/>
    <w:rsid w:val="55826103"/>
    <w:rsid w:val="5586310C"/>
    <w:rsid w:val="558A20A7"/>
    <w:rsid w:val="55E71A57"/>
    <w:rsid w:val="561D3112"/>
    <w:rsid w:val="562422F7"/>
    <w:rsid w:val="564E4C07"/>
    <w:rsid w:val="5657153E"/>
    <w:rsid w:val="5695591B"/>
    <w:rsid w:val="56A428CB"/>
    <w:rsid w:val="56CC0D48"/>
    <w:rsid w:val="56D55E16"/>
    <w:rsid w:val="56D90887"/>
    <w:rsid w:val="56ED576B"/>
    <w:rsid w:val="56F541D8"/>
    <w:rsid w:val="56F90C53"/>
    <w:rsid w:val="56F97FFA"/>
    <w:rsid w:val="56FC38DD"/>
    <w:rsid w:val="570566FB"/>
    <w:rsid w:val="57104C56"/>
    <w:rsid w:val="5712706A"/>
    <w:rsid w:val="573D34C9"/>
    <w:rsid w:val="575042AD"/>
    <w:rsid w:val="575E5568"/>
    <w:rsid w:val="577F1FDA"/>
    <w:rsid w:val="579C1EFF"/>
    <w:rsid w:val="57A94647"/>
    <w:rsid w:val="57CA5A3E"/>
    <w:rsid w:val="57F50615"/>
    <w:rsid w:val="58033C1C"/>
    <w:rsid w:val="581B7518"/>
    <w:rsid w:val="582676AE"/>
    <w:rsid w:val="587670CA"/>
    <w:rsid w:val="588A08E5"/>
    <w:rsid w:val="58B95791"/>
    <w:rsid w:val="58C46BFB"/>
    <w:rsid w:val="58DB5A41"/>
    <w:rsid w:val="591C178D"/>
    <w:rsid w:val="59323D77"/>
    <w:rsid w:val="59BA1FB8"/>
    <w:rsid w:val="59FA4F0F"/>
    <w:rsid w:val="5A054FE1"/>
    <w:rsid w:val="5A1427BB"/>
    <w:rsid w:val="5A3202AD"/>
    <w:rsid w:val="5A3A638A"/>
    <w:rsid w:val="5A7D67B6"/>
    <w:rsid w:val="5A967F18"/>
    <w:rsid w:val="5B800CC5"/>
    <w:rsid w:val="5B834D61"/>
    <w:rsid w:val="5B9242D5"/>
    <w:rsid w:val="5BA070AD"/>
    <w:rsid w:val="5BA37FCD"/>
    <w:rsid w:val="5BAD5E9A"/>
    <w:rsid w:val="5BF37E30"/>
    <w:rsid w:val="5C002948"/>
    <w:rsid w:val="5C076A71"/>
    <w:rsid w:val="5C3D0E1E"/>
    <w:rsid w:val="5C401F83"/>
    <w:rsid w:val="5C6F7091"/>
    <w:rsid w:val="5CB30B19"/>
    <w:rsid w:val="5CE1795D"/>
    <w:rsid w:val="5D056076"/>
    <w:rsid w:val="5D120EB2"/>
    <w:rsid w:val="5D1A0A26"/>
    <w:rsid w:val="5D25114A"/>
    <w:rsid w:val="5D2577C8"/>
    <w:rsid w:val="5D31207E"/>
    <w:rsid w:val="5D354B81"/>
    <w:rsid w:val="5D5749EC"/>
    <w:rsid w:val="5D7E0FB5"/>
    <w:rsid w:val="5D9D5E1D"/>
    <w:rsid w:val="5DA55487"/>
    <w:rsid w:val="5DA56B37"/>
    <w:rsid w:val="5DAA2507"/>
    <w:rsid w:val="5E1F5AE8"/>
    <w:rsid w:val="5E822A4A"/>
    <w:rsid w:val="5E847F27"/>
    <w:rsid w:val="5E8F1669"/>
    <w:rsid w:val="5E985640"/>
    <w:rsid w:val="5EB23D46"/>
    <w:rsid w:val="5EC956D2"/>
    <w:rsid w:val="5ECE3E1C"/>
    <w:rsid w:val="5ED722CD"/>
    <w:rsid w:val="5F08597F"/>
    <w:rsid w:val="5F243F29"/>
    <w:rsid w:val="5F530D56"/>
    <w:rsid w:val="5F757C38"/>
    <w:rsid w:val="5F7808AE"/>
    <w:rsid w:val="5F7F6ECA"/>
    <w:rsid w:val="5F8F4D1C"/>
    <w:rsid w:val="5FFB42B6"/>
    <w:rsid w:val="600532C8"/>
    <w:rsid w:val="600B2286"/>
    <w:rsid w:val="6035290D"/>
    <w:rsid w:val="60371E35"/>
    <w:rsid w:val="60514499"/>
    <w:rsid w:val="60515232"/>
    <w:rsid w:val="60A223A0"/>
    <w:rsid w:val="60A87B16"/>
    <w:rsid w:val="60AC2370"/>
    <w:rsid w:val="60B345D4"/>
    <w:rsid w:val="60D55677"/>
    <w:rsid w:val="612D212E"/>
    <w:rsid w:val="61685397"/>
    <w:rsid w:val="617B0AAB"/>
    <w:rsid w:val="617C773A"/>
    <w:rsid w:val="61A22D98"/>
    <w:rsid w:val="61AD128D"/>
    <w:rsid w:val="61B32C73"/>
    <w:rsid w:val="61C138E8"/>
    <w:rsid w:val="61E569E0"/>
    <w:rsid w:val="61FB4C75"/>
    <w:rsid w:val="61FD78BE"/>
    <w:rsid w:val="62024C5F"/>
    <w:rsid w:val="621C0D9D"/>
    <w:rsid w:val="62297241"/>
    <w:rsid w:val="625A0317"/>
    <w:rsid w:val="62651044"/>
    <w:rsid w:val="629E6C38"/>
    <w:rsid w:val="62A56FE4"/>
    <w:rsid w:val="62F241B7"/>
    <w:rsid w:val="62F86379"/>
    <w:rsid w:val="63045A1F"/>
    <w:rsid w:val="63053D62"/>
    <w:rsid w:val="634B4E22"/>
    <w:rsid w:val="634E7139"/>
    <w:rsid w:val="635A5C6C"/>
    <w:rsid w:val="636B5EBC"/>
    <w:rsid w:val="63CA40E4"/>
    <w:rsid w:val="63CA5585"/>
    <w:rsid w:val="63FA178C"/>
    <w:rsid w:val="64207F1F"/>
    <w:rsid w:val="64264F51"/>
    <w:rsid w:val="642E437A"/>
    <w:rsid w:val="645B3B68"/>
    <w:rsid w:val="64606C85"/>
    <w:rsid w:val="64757075"/>
    <w:rsid w:val="648B3FB8"/>
    <w:rsid w:val="649E6D36"/>
    <w:rsid w:val="64C25C2B"/>
    <w:rsid w:val="64DF2B43"/>
    <w:rsid w:val="652248D5"/>
    <w:rsid w:val="652A1AB9"/>
    <w:rsid w:val="655F37A1"/>
    <w:rsid w:val="657123B4"/>
    <w:rsid w:val="657A284A"/>
    <w:rsid w:val="658C0F97"/>
    <w:rsid w:val="65AE1BAE"/>
    <w:rsid w:val="662B038E"/>
    <w:rsid w:val="662F30D7"/>
    <w:rsid w:val="664A2E5F"/>
    <w:rsid w:val="664D5EC2"/>
    <w:rsid w:val="66AF21DF"/>
    <w:rsid w:val="66BF4765"/>
    <w:rsid w:val="67003A73"/>
    <w:rsid w:val="672A36DE"/>
    <w:rsid w:val="67386876"/>
    <w:rsid w:val="67506908"/>
    <w:rsid w:val="67531E2F"/>
    <w:rsid w:val="675B4115"/>
    <w:rsid w:val="67763D4A"/>
    <w:rsid w:val="67A01F82"/>
    <w:rsid w:val="67EB1AD0"/>
    <w:rsid w:val="67EC7F14"/>
    <w:rsid w:val="67FA6AA3"/>
    <w:rsid w:val="680B3267"/>
    <w:rsid w:val="681637FC"/>
    <w:rsid w:val="682E158C"/>
    <w:rsid w:val="68387955"/>
    <w:rsid w:val="683A528F"/>
    <w:rsid w:val="687C69C4"/>
    <w:rsid w:val="68AC2CF6"/>
    <w:rsid w:val="68D54792"/>
    <w:rsid w:val="68D82D9A"/>
    <w:rsid w:val="690A0C77"/>
    <w:rsid w:val="690D6D80"/>
    <w:rsid w:val="691728C7"/>
    <w:rsid w:val="693E04B9"/>
    <w:rsid w:val="69400D4D"/>
    <w:rsid w:val="69625C3B"/>
    <w:rsid w:val="696B5D3C"/>
    <w:rsid w:val="6991631B"/>
    <w:rsid w:val="69960D5D"/>
    <w:rsid w:val="699A31AB"/>
    <w:rsid w:val="699E685E"/>
    <w:rsid w:val="69A5583E"/>
    <w:rsid w:val="69D97F33"/>
    <w:rsid w:val="69E770D3"/>
    <w:rsid w:val="6A000436"/>
    <w:rsid w:val="6A1663A2"/>
    <w:rsid w:val="6A212E7F"/>
    <w:rsid w:val="6A37458A"/>
    <w:rsid w:val="6A376637"/>
    <w:rsid w:val="6A39356C"/>
    <w:rsid w:val="6A8D7902"/>
    <w:rsid w:val="6AB71EF6"/>
    <w:rsid w:val="6B3029F3"/>
    <w:rsid w:val="6B534677"/>
    <w:rsid w:val="6B6A0368"/>
    <w:rsid w:val="6B6F6251"/>
    <w:rsid w:val="6B8E2363"/>
    <w:rsid w:val="6B9246C9"/>
    <w:rsid w:val="6BAD4363"/>
    <w:rsid w:val="6BB3513A"/>
    <w:rsid w:val="6BC534C0"/>
    <w:rsid w:val="6BD44496"/>
    <w:rsid w:val="6BD66A37"/>
    <w:rsid w:val="6BDC1080"/>
    <w:rsid w:val="6C1A54A7"/>
    <w:rsid w:val="6C1C48C2"/>
    <w:rsid w:val="6C6C1677"/>
    <w:rsid w:val="6C7960AB"/>
    <w:rsid w:val="6C7D3B93"/>
    <w:rsid w:val="6C8113CB"/>
    <w:rsid w:val="6C884F7A"/>
    <w:rsid w:val="6C973CB0"/>
    <w:rsid w:val="6C9C7F3A"/>
    <w:rsid w:val="6CC13187"/>
    <w:rsid w:val="6CE35466"/>
    <w:rsid w:val="6CEE3336"/>
    <w:rsid w:val="6CF273C5"/>
    <w:rsid w:val="6D1B431A"/>
    <w:rsid w:val="6D204ADF"/>
    <w:rsid w:val="6D3A00F9"/>
    <w:rsid w:val="6D4806C8"/>
    <w:rsid w:val="6D65184A"/>
    <w:rsid w:val="6D6D2C0B"/>
    <w:rsid w:val="6D802707"/>
    <w:rsid w:val="6D9253F2"/>
    <w:rsid w:val="6DBA4C92"/>
    <w:rsid w:val="6DEE1886"/>
    <w:rsid w:val="6E196034"/>
    <w:rsid w:val="6E1D034A"/>
    <w:rsid w:val="6E516D5B"/>
    <w:rsid w:val="6E7D5335"/>
    <w:rsid w:val="6EF14839"/>
    <w:rsid w:val="6F26561E"/>
    <w:rsid w:val="6F462634"/>
    <w:rsid w:val="6F5527FB"/>
    <w:rsid w:val="6F684E41"/>
    <w:rsid w:val="6F6C36F5"/>
    <w:rsid w:val="6F9F0634"/>
    <w:rsid w:val="6FAD572A"/>
    <w:rsid w:val="6FC92EBD"/>
    <w:rsid w:val="7026759E"/>
    <w:rsid w:val="70364BD5"/>
    <w:rsid w:val="70704013"/>
    <w:rsid w:val="70B86D64"/>
    <w:rsid w:val="70D56AB2"/>
    <w:rsid w:val="70F52DB1"/>
    <w:rsid w:val="70FD7FEB"/>
    <w:rsid w:val="711C7FB1"/>
    <w:rsid w:val="71474634"/>
    <w:rsid w:val="715C1A0D"/>
    <w:rsid w:val="71670655"/>
    <w:rsid w:val="718E1589"/>
    <w:rsid w:val="719055C6"/>
    <w:rsid w:val="71966EF5"/>
    <w:rsid w:val="71A5106C"/>
    <w:rsid w:val="71AE3EAF"/>
    <w:rsid w:val="71D3089A"/>
    <w:rsid w:val="720B64A8"/>
    <w:rsid w:val="721675B7"/>
    <w:rsid w:val="72477CBE"/>
    <w:rsid w:val="72684D25"/>
    <w:rsid w:val="72A352B0"/>
    <w:rsid w:val="72B648F6"/>
    <w:rsid w:val="72C5363D"/>
    <w:rsid w:val="72F8742B"/>
    <w:rsid w:val="732A0A91"/>
    <w:rsid w:val="73376B76"/>
    <w:rsid w:val="7338355D"/>
    <w:rsid w:val="7361609C"/>
    <w:rsid w:val="7363305A"/>
    <w:rsid w:val="73823E65"/>
    <w:rsid w:val="738F426C"/>
    <w:rsid w:val="73994D87"/>
    <w:rsid w:val="73A03418"/>
    <w:rsid w:val="73A70A92"/>
    <w:rsid w:val="74052759"/>
    <w:rsid w:val="74341EB6"/>
    <w:rsid w:val="744B61C8"/>
    <w:rsid w:val="745B0678"/>
    <w:rsid w:val="74781549"/>
    <w:rsid w:val="7484505F"/>
    <w:rsid w:val="74B6604D"/>
    <w:rsid w:val="74E527D3"/>
    <w:rsid w:val="74EE250C"/>
    <w:rsid w:val="74F547DE"/>
    <w:rsid w:val="74FC2C05"/>
    <w:rsid w:val="75682F59"/>
    <w:rsid w:val="757645E6"/>
    <w:rsid w:val="75CE7E20"/>
    <w:rsid w:val="75DE03EB"/>
    <w:rsid w:val="765F0D69"/>
    <w:rsid w:val="766005C6"/>
    <w:rsid w:val="767D1A7A"/>
    <w:rsid w:val="769000E8"/>
    <w:rsid w:val="76B6732A"/>
    <w:rsid w:val="76C1068E"/>
    <w:rsid w:val="76C318DA"/>
    <w:rsid w:val="77493659"/>
    <w:rsid w:val="77DD0911"/>
    <w:rsid w:val="77F02C20"/>
    <w:rsid w:val="78010DC2"/>
    <w:rsid w:val="78372EEC"/>
    <w:rsid w:val="7846054D"/>
    <w:rsid w:val="78846CF5"/>
    <w:rsid w:val="788C4EE8"/>
    <w:rsid w:val="78A52E33"/>
    <w:rsid w:val="78BE53A7"/>
    <w:rsid w:val="78C41E6C"/>
    <w:rsid w:val="78FE5CEA"/>
    <w:rsid w:val="793821A5"/>
    <w:rsid w:val="79B75EA3"/>
    <w:rsid w:val="79D7223F"/>
    <w:rsid w:val="79F67086"/>
    <w:rsid w:val="7A2B119E"/>
    <w:rsid w:val="7A4F7F19"/>
    <w:rsid w:val="7A785130"/>
    <w:rsid w:val="7A7E4CD5"/>
    <w:rsid w:val="7AA2418C"/>
    <w:rsid w:val="7AA31C11"/>
    <w:rsid w:val="7AB928EB"/>
    <w:rsid w:val="7ADA5FD2"/>
    <w:rsid w:val="7AED7EAE"/>
    <w:rsid w:val="7B05215F"/>
    <w:rsid w:val="7B2C57EF"/>
    <w:rsid w:val="7B384B5D"/>
    <w:rsid w:val="7B4508AD"/>
    <w:rsid w:val="7B5B4C8B"/>
    <w:rsid w:val="7B656EB9"/>
    <w:rsid w:val="7B910D5D"/>
    <w:rsid w:val="7BA5334A"/>
    <w:rsid w:val="7BB32E10"/>
    <w:rsid w:val="7BBA0FB3"/>
    <w:rsid w:val="7C0C4DFD"/>
    <w:rsid w:val="7C0E48E3"/>
    <w:rsid w:val="7C3E7E36"/>
    <w:rsid w:val="7C417FE9"/>
    <w:rsid w:val="7C533FE0"/>
    <w:rsid w:val="7CAA74E1"/>
    <w:rsid w:val="7CFB7B78"/>
    <w:rsid w:val="7D3F2FEA"/>
    <w:rsid w:val="7D751253"/>
    <w:rsid w:val="7D911A3D"/>
    <w:rsid w:val="7D92387D"/>
    <w:rsid w:val="7D983576"/>
    <w:rsid w:val="7DA34B71"/>
    <w:rsid w:val="7DA908E3"/>
    <w:rsid w:val="7E152E18"/>
    <w:rsid w:val="7E2F3454"/>
    <w:rsid w:val="7E657767"/>
    <w:rsid w:val="7E6E0110"/>
    <w:rsid w:val="7E7146EC"/>
    <w:rsid w:val="7E8A54C7"/>
    <w:rsid w:val="7EE15027"/>
    <w:rsid w:val="7EF0118F"/>
    <w:rsid w:val="7EF62354"/>
    <w:rsid w:val="7F132354"/>
    <w:rsid w:val="7F1C2150"/>
    <w:rsid w:val="7F1F593C"/>
    <w:rsid w:val="7F3E6D8A"/>
    <w:rsid w:val="7F4A46F4"/>
    <w:rsid w:val="7F740198"/>
    <w:rsid w:val="7F911CC9"/>
    <w:rsid w:val="7FE16D34"/>
    <w:rsid w:val="7FE358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480" w:lineRule="auto"/>
      <w:jc w:val="center"/>
      <w:outlineLvl w:val="0"/>
    </w:pPr>
    <w:rPr>
      <w:b/>
      <w:bCs/>
      <w:kern w:val="44"/>
      <w:sz w:val="36"/>
      <w:szCs w:val="44"/>
    </w:rPr>
  </w:style>
  <w:style w:type="paragraph" w:styleId="3">
    <w:name w:val="heading 2"/>
    <w:basedOn w:val="1"/>
    <w:next w:val="4"/>
    <w:autoRedefine/>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4"/>
    <w:link w:val="42"/>
    <w:autoRedefine/>
    <w:qFormat/>
    <w:uiPriority w:val="0"/>
    <w:pPr>
      <w:keepNext/>
      <w:keepLines/>
      <w:outlineLvl w:val="2"/>
    </w:pPr>
    <w:rPr>
      <w:rFonts w:ascii="Calibri" w:hAnsi="Calibri"/>
      <w:b/>
      <w:sz w:val="32"/>
    </w:rPr>
  </w:style>
  <w:style w:type="paragraph" w:styleId="6">
    <w:name w:val="heading 4"/>
    <w:basedOn w:val="1"/>
    <w:next w:val="1"/>
    <w:autoRedefine/>
    <w:qFormat/>
    <w:uiPriority w:val="0"/>
    <w:pPr>
      <w:keepNext/>
      <w:spacing w:before="240" w:after="60"/>
      <w:outlineLvl w:val="3"/>
    </w:pPr>
    <w:rPr>
      <w:b/>
      <w:bCs/>
      <w:sz w:val="28"/>
      <w:szCs w:val="28"/>
    </w:rPr>
  </w:style>
  <w:style w:type="character" w:default="1" w:styleId="26">
    <w:name w:val="Default Paragraph Font"/>
    <w:autoRedefine/>
    <w:unhideWhenUsed/>
    <w:qFormat/>
    <w:uiPriority w:val="1"/>
  </w:style>
  <w:style w:type="table" w:default="1" w:styleId="24">
    <w:name w:val="Normal Table"/>
    <w:autoRedefine/>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7">
    <w:name w:val="table of authorities"/>
    <w:basedOn w:val="1"/>
    <w:next w:val="1"/>
    <w:autoRedefine/>
    <w:qFormat/>
    <w:uiPriority w:val="0"/>
    <w:pPr>
      <w:ind w:left="420" w:leftChars="200"/>
    </w:pPr>
  </w:style>
  <w:style w:type="paragraph" w:styleId="8">
    <w:name w:val="index 8"/>
    <w:basedOn w:val="1"/>
    <w:next w:val="1"/>
    <w:autoRedefine/>
    <w:qFormat/>
    <w:uiPriority w:val="0"/>
    <w:pPr>
      <w:ind w:left="2940"/>
    </w:pPr>
  </w:style>
  <w:style w:type="paragraph" w:styleId="9">
    <w:name w:val="annotation text"/>
    <w:basedOn w:val="1"/>
    <w:autoRedefine/>
    <w:qFormat/>
    <w:uiPriority w:val="0"/>
    <w:pPr>
      <w:jc w:val="left"/>
    </w:pPr>
  </w:style>
  <w:style w:type="paragraph" w:styleId="10">
    <w:name w:val="Body Text"/>
    <w:basedOn w:val="1"/>
    <w:next w:val="11"/>
    <w:autoRedefine/>
    <w:qFormat/>
    <w:uiPriority w:val="0"/>
  </w:style>
  <w:style w:type="paragraph" w:styleId="11">
    <w:name w:val="Body Text First Indent 2"/>
    <w:basedOn w:val="12"/>
    <w:autoRedefine/>
    <w:unhideWhenUsed/>
    <w:qFormat/>
    <w:uiPriority w:val="99"/>
    <w:pPr>
      <w:ind w:firstLine="420" w:firstLineChars="200"/>
    </w:pPr>
  </w:style>
  <w:style w:type="paragraph" w:styleId="12">
    <w:name w:val="Body Text Indent"/>
    <w:basedOn w:val="1"/>
    <w:next w:val="13"/>
    <w:autoRedefine/>
    <w:qFormat/>
    <w:uiPriority w:val="0"/>
    <w:pPr>
      <w:spacing w:after="120"/>
      <w:ind w:left="420" w:leftChars="200"/>
    </w:pPr>
  </w:style>
  <w:style w:type="paragraph" w:styleId="13">
    <w:name w:val="envelope return"/>
    <w:basedOn w:val="1"/>
    <w:autoRedefine/>
    <w:qFormat/>
    <w:uiPriority w:val="0"/>
    <w:pPr>
      <w:snapToGrid w:val="0"/>
    </w:pPr>
    <w:rPr>
      <w:rFonts w:ascii="Arial" w:hAnsi="Arial"/>
    </w:rPr>
  </w:style>
  <w:style w:type="paragraph" w:styleId="14">
    <w:name w:val="Block Text"/>
    <w:basedOn w:val="1"/>
    <w:autoRedefine/>
    <w:qFormat/>
    <w:uiPriority w:val="0"/>
    <w:pPr>
      <w:adjustRightInd w:val="0"/>
      <w:ind w:left="420" w:right="33"/>
      <w:jc w:val="left"/>
      <w:textAlignment w:val="baseline"/>
    </w:pPr>
    <w:rPr>
      <w:kern w:val="0"/>
      <w:szCs w:val="20"/>
    </w:rPr>
  </w:style>
  <w:style w:type="paragraph" w:styleId="15">
    <w:name w:val="toc 3"/>
    <w:basedOn w:val="1"/>
    <w:next w:val="1"/>
    <w:autoRedefine/>
    <w:unhideWhenUsed/>
    <w:qFormat/>
    <w:uiPriority w:val="39"/>
    <w:pPr>
      <w:ind w:left="840" w:leftChars="400"/>
    </w:pPr>
  </w:style>
  <w:style w:type="paragraph" w:styleId="16">
    <w:name w:val="Plain Text"/>
    <w:basedOn w:val="1"/>
    <w:next w:val="8"/>
    <w:autoRedefine/>
    <w:qFormat/>
    <w:uiPriority w:val="99"/>
    <w:rPr>
      <w:rFonts w:ascii="宋体" w:hAnsi="Courier New"/>
      <w:szCs w:val="20"/>
    </w:rPr>
  </w:style>
  <w:style w:type="paragraph" w:styleId="17">
    <w:name w:val="footer"/>
    <w:basedOn w:val="1"/>
    <w:autoRedefine/>
    <w:qFormat/>
    <w:uiPriority w:val="99"/>
    <w:pPr>
      <w:tabs>
        <w:tab w:val="center" w:pos="4153"/>
        <w:tab w:val="right" w:pos="8306"/>
      </w:tabs>
      <w:snapToGrid w:val="0"/>
      <w:jc w:val="left"/>
    </w:pPr>
    <w:rPr>
      <w:sz w:val="18"/>
      <w:szCs w:val="18"/>
    </w:rPr>
  </w:style>
  <w:style w:type="paragraph" w:styleId="1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2"/>
    <w:basedOn w:val="1"/>
    <w:next w:val="1"/>
    <w:autoRedefine/>
    <w:unhideWhenUsed/>
    <w:qFormat/>
    <w:uiPriority w:val="39"/>
    <w:pPr>
      <w:ind w:left="420" w:leftChars="200"/>
    </w:pPr>
  </w:style>
  <w:style w:type="paragraph" w:styleId="21">
    <w:name w:val="List 4"/>
    <w:basedOn w:val="1"/>
    <w:autoRedefine/>
    <w:qFormat/>
    <w:uiPriority w:val="0"/>
    <w:pPr>
      <w:ind w:left="100" w:leftChars="600" w:hanging="200" w:hangingChars="200"/>
      <w:contextualSpacing/>
    </w:pPr>
  </w:style>
  <w:style w:type="paragraph" w:styleId="2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3">
    <w:name w:val="Body Text First Indent"/>
    <w:basedOn w:val="10"/>
    <w:autoRedefine/>
    <w:qFormat/>
    <w:uiPriority w:val="0"/>
    <w:pPr>
      <w:ind w:firstLine="420" w:firstLineChars="100"/>
    </w:pPr>
  </w:style>
  <w:style w:type="table" w:styleId="25">
    <w:name w:val="Table Grid"/>
    <w:basedOn w:val="2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style>
  <w:style w:type="character" w:styleId="28">
    <w:name w:val="FollowedHyperlink"/>
    <w:basedOn w:val="26"/>
    <w:autoRedefine/>
    <w:qFormat/>
    <w:uiPriority w:val="0"/>
    <w:rPr>
      <w:color w:val="800080"/>
      <w:u w:val="none"/>
    </w:rPr>
  </w:style>
  <w:style w:type="character" w:styleId="29">
    <w:name w:val="Emphasis"/>
    <w:basedOn w:val="26"/>
    <w:autoRedefine/>
    <w:qFormat/>
    <w:uiPriority w:val="0"/>
  </w:style>
  <w:style w:type="character" w:styleId="30">
    <w:name w:val="HTML Definition"/>
    <w:basedOn w:val="26"/>
    <w:autoRedefine/>
    <w:qFormat/>
    <w:uiPriority w:val="0"/>
  </w:style>
  <w:style w:type="character" w:styleId="31">
    <w:name w:val="HTML Typewriter"/>
    <w:basedOn w:val="26"/>
    <w:autoRedefine/>
    <w:qFormat/>
    <w:uiPriority w:val="0"/>
    <w:rPr>
      <w:rFonts w:ascii="monospace" w:hAnsi="monospace" w:eastAsia="monospace" w:cs="monospace"/>
      <w:sz w:val="20"/>
    </w:rPr>
  </w:style>
  <w:style w:type="character" w:styleId="32">
    <w:name w:val="HTML Acronym"/>
    <w:basedOn w:val="26"/>
    <w:autoRedefine/>
    <w:qFormat/>
    <w:uiPriority w:val="0"/>
  </w:style>
  <w:style w:type="character" w:styleId="33">
    <w:name w:val="HTML Variable"/>
    <w:basedOn w:val="26"/>
    <w:autoRedefine/>
    <w:qFormat/>
    <w:uiPriority w:val="0"/>
  </w:style>
  <w:style w:type="character" w:styleId="34">
    <w:name w:val="Hyperlink"/>
    <w:basedOn w:val="26"/>
    <w:autoRedefine/>
    <w:qFormat/>
    <w:uiPriority w:val="0"/>
    <w:rPr>
      <w:color w:val="0000FF"/>
      <w:u w:val="none"/>
    </w:rPr>
  </w:style>
  <w:style w:type="character" w:styleId="35">
    <w:name w:val="HTML Code"/>
    <w:basedOn w:val="26"/>
    <w:autoRedefine/>
    <w:qFormat/>
    <w:uiPriority w:val="0"/>
    <w:rPr>
      <w:rFonts w:hint="default" w:ascii="monospace" w:hAnsi="monospace" w:eastAsia="monospace" w:cs="monospace"/>
      <w:sz w:val="20"/>
    </w:rPr>
  </w:style>
  <w:style w:type="character" w:styleId="36">
    <w:name w:val="HTML Cite"/>
    <w:basedOn w:val="26"/>
    <w:autoRedefine/>
    <w:qFormat/>
    <w:uiPriority w:val="0"/>
  </w:style>
  <w:style w:type="character" w:styleId="37">
    <w:name w:val="HTML Keyboard"/>
    <w:basedOn w:val="26"/>
    <w:autoRedefine/>
    <w:qFormat/>
    <w:uiPriority w:val="0"/>
    <w:rPr>
      <w:rFonts w:hint="default" w:ascii="monospace" w:hAnsi="monospace" w:eastAsia="monospace" w:cs="monospace"/>
      <w:sz w:val="20"/>
    </w:rPr>
  </w:style>
  <w:style w:type="character" w:styleId="38">
    <w:name w:val="HTML Sample"/>
    <w:basedOn w:val="26"/>
    <w:autoRedefine/>
    <w:qFormat/>
    <w:uiPriority w:val="0"/>
    <w:rPr>
      <w:rFonts w:hint="default" w:ascii="monospace" w:hAnsi="monospace" w:eastAsia="monospace" w:cs="monospace"/>
    </w:rPr>
  </w:style>
  <w:style w:type="paragraph" w:customStyle="1" w:styleId="39">
    <w:name w:val="首行缩进"/>
    <w:basedOn w:val="1"/>
    <w:autoRedefine/>
    <w:qFormat/>
    <w:uiPriority w:val="0"/>
    <w:pPr>
      <w:spacing w:line="360" w:lineRule="auto"/>
      <w:ind w:firstLine="480" w:firstLineChars="200"/>
    </w:pPr>
    <w:rPr>
      <w:rFonts w:ascii="宋体" w:hAnsi="宋体"/>
      <w:kern w:val="0"/>
      <w:sz w:val="24"/>
    </w:rPr>
  </w:style>
  <w:style w:type="paragraph" w:customStyle="1" w:styleId="40">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1">
    <w:name w:val="列出段落1"/>
    <w:basedOn w:val="1"/>
    <w:autoRedefine/>
    <w:qFormat/>
    <w:uiPriority w:val="99"/>
    <w:pPr>
      <w:ind w:firstLine="420" w:firstLineChars="200"/>
    </w:pPr>
  </w:style>
  <w:style w:type="character" w:customStyle="1" w:styleId="42">
    <w:name w:val="标题 3 Char"/>
    <w:link w:val="5"/>
    <w:autoRedefine/>
    <w:qFormat/>
    <w:uiPriority w:val="0"/>
    <w:rPr>
      <w:rFonts w:ascii="Calibri" w:hAnsi="Calibri" w:eastAsia="宋体"/>
      <w:b/>
      <w:sz w:val="32"/>
    </w:rPr>
  </w:style>
  <w:style w:type="paragraph" w:customStyle="1" w:styleId="43">
    <w:name w:val="Char1 Char Char Char Char Char Char"/>
    <w:basedOn w:val="1"/>
    <w:autoRedefine/>
    <w:qFormat/>
    <w:uiPriority w:val="0"/>
    <w:rPr>
      <w:rFonts w:ascii="Tahoma" w:hAnsi="Tahoma"/>
      <w:sz w:val="24"/>
      <w:szCs w:val="20"/>
    </w:rPr>
  </w:style>
  <w:style w:type="paragraph" w:customStyle="1" w:styleId="44">
    <w:name w:val="Char"/>
    <w:basedOn w:val="1"/>
    <w:autoRedefine/>
    <w:qFormat/>
    <w:uiPriority w:val="0"/>
  </w:style>
  <w:style w:type="character" w:customStyle="1" w:styleId="45">
    <w:name w:val="font21"/>
    <w:basedOn w:val="26"/>
    <w:autoRedefine/>
    <w:qFormat/>
    <w:uiPriority w:val="0"/>
    <w:rPr>
      <w:rFonts w:hint="eastAsia" w:ascii="宋体" w:hAnsi="宋体" w:eastAsia="宋体" w:cs="宋体"/>
      <w:color w:val="000000"/>
      <w:sz w:val="21"/>
      <w:szCs w:val="21"/>
      <w:u w:val="none"/>
    </w:rPr>
  </w:style>
  <w:style w:type="character" w:customStyle="1" w:styleId="46">
    <w:name w:val="font01"/>
    <w:basedOn w:val="26"/>
    <w:autoRedefine/>
    <w:qFormat/>
    <w:uiPriority w:val="0"/>
    <w:rPr>
      <w:rFonts w:hint="default" w:ascii="Calibri" w:hAnsi="Calibri" w:cs="Calibri"/>
      <w:color w:val="000000"/>
      <w:sz w:val="21"/>
      <w:szCs w:val="21"/>
      <w:u w:val="none"/>
    </w:rPr>
  </w:style>
  <w:style w:type="paragraph" w:customStyle="1" w:styleId="47">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
    <w:name w:val="NormalCharacter"/>
    <w:autoRedefine/>
    <w:semiHidden/>
    <w:qFormat/>
    <w:uiPriority w:val="0"/>
  </w:style>
  <w:style w:type="paragraph" w:customStyle="1" w:styleId="49">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50">
    <w:name w:val="null3"/>
    <w:autoRedefine/>
    <w:qFormat/>
    <w:uiPriority w:val="0"/>
    <w:rPr>
      <w:rFonts w:hint="eastAsia" w:ascii="Calibri" w:hAnsi="Calibri" w:eastAsia="宋体" w:cs="Times New Roman"/>
      <w:sz w:val="21"/>
      <w:szCs w:val="22"/>
      <w:lang w:val="en-US" w:eastAsia="zh-CN" w:bidi="ar-SA"/>
    </w:rPr>
  </w:style>
  <w:style w:type="paragraph" w:customStyle="1" w:styleId="51">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52">
    <w:name w:val="TOC 标题1"/>
    <w:basedOn w:val="2"/>
    <w:next w:val="1"/>
    <w:autoRedefine/>
    <w:qFormat/>
    <w:uiPriority w:val="0"/>
    <w:pPr>
      <w:widowControl/>
      <w:spacing w:before="240" w:line="259" w:lineRule="auto"/>
      <w:jc w:val="left"/>
      <w:outlineLvl w:val="9"/>
    </w:pPr>
    <w:rPr>
      <w:rFonts w:ascii="?? Light" w:hAnsi="?? Light"/>
      <w:b w:val="0"/>
      <w:color w:val="2F5496"/>
      <w:kern w:val="0"/>
      <w:szCs w:val="32"/>
    </w:rPr>
  </w:style>
  <w:style w:type="character" w:customStyle="1" w:styleId="53">
    <w:name w:val="font15"/>
    <w:basedOn w:val="26"/>
    <w:autoRedefine/>
    <w:qFormat/>
    <w:uiPriority w:val="0"/>
    <w:rPr>
      <w:rFonts w:hint="default" w:ascii="仿宋" w:hAnsi="仿宋" w:eastAsia="仿宋" w:cs="仿宋"/>
      <w:color w:val="000000"/>
      <w:sz w:val="22"/>
      <w:szCs w:val="22"/>
      <w:u w:val="none"/>
    </w:rPr>
  </w:style>
  <w:style w:type="character" w:customStyle="1" w:styleId="54">
    <w:name w:val="font141"/>
    <w:basedOn w:val="26"/>
    <w:autoRedefine/>
    <w:qFormat/>
    <w:uiPriority w:val="0"/>
    <w:rPr>
      <w:rFonts w:hint="default" w:ascii="仿宋_GB2312" w:eastAsia="仿宋_GB2312" w:cs="仿宋_GB2312"/>
      <w:color w:val="000000"/>
      <w:sz w:val="22"/>
      <w:szCs w:val="22"/>
      <w:u w:val="none"/>
    </w:rPr>
  </w:style>
  <w:style w:type="paragraph" w:customStyle="1" w:styleId="55">
    <w:name w:val="Other|1"/>
    <w:basedOn w:val="1"/>
    <w:autoRedefine/>
    <w:qFormat/>
    <w:uiPriority w:val="0"/>
    <w:pPr>
      <w:spacing w:line="410" w:lineRule="auto"/>
      <w:ind w:firstLine="400"/>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84</Pages>
  <Words>33994</Words>
  <Characters>36194</Characters>
  <Lines>464</Lines>
  <Paragraphs>130</Paragraphs>
  <TotalTime>43</TotalTime>
  <ScaleCrop>false</ScaleCrop>
  <LinksUpToDate>false</LinksUpToDate>
  <CharactersWithSpaces>36786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2024-11-01T02:38:00Z</dcterms:created>
  <dc:creator>Administrator</dc:creator>
  <cp:lastModifiedBy>@</cp:lastModifiedBy>
  <cp:lastPrinted>2024-01-25T07:29:00Z</cp:lastPrinted>
  <dcterms:modified xsi:type="dcterms:W3CDTF">2024-11-29T09:21:12Z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7902D4AD62244533BCFA84A6ACA4C0D3_13</vt:lpwstr>
  </property>
</Properties>
</file>