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hd w:val="clear" w:color="auto" w:fill="auto"/>
        <w:spacing w:before="120" w:beforeLines="50"/>
        <w:jc w:val="center"/>
        <w:rPr>
          <w:rFonts w:hint="eastAsia" w:ascii="宋体" w:hAnsi="宋体"/>
          <w:color w:val="auto"/>
          <w:sz w:val="52"/>
          <w:szCs w:val="52"/>
          <w:highlight w:val="none"/>
        </w:rPr>
      </w:pPr>
    </w:p>
    <w:p>
      <w:pPr>
        <w:shd w:val="clear" w:color="auto" w:fill="auto"/>
        <w:spacing w:before="120" w:beforeLines="50" w:line="360" w:lineRule="auto"/>
        <w:jc w:val="center"/>
        <w:rPr>
          <w:rFonts w:ascii="宋体" w:hAnsi="宋体"/>
          <w:color w:val="auto"/>
          <w:sz w:val="52"/>
          <w:szCs w:val="52"/>
          <w:highlight w:val="none"/>
        </w:rPr>
      </w:pPr>
      <w:r>
        <w:rPr>
          <w:rFonts w:hint="eastAsia" w:ascii="宋体" w:hAnsi="宋体"/>
          <w:color w:val="auto"/>
          <w:sz w:val="52"/>
          <w:szCs w:val="52"/>
          <w:highlight w:val="none"/>
        </w:rPr>
        <w:t>南宁市政府采购</w:t>
      </w:r>
    </w:p>
    <w:p>
      <w:pPr>
        <w:shd w:val="clear" w:color="auto" w:fill="auto"/>
        <w:spacing w:before="120" w:beforeLines="50" w:line="360" w:lineRule="auto"/>
        <w:jc w:val="center"/>
        <w:rPr>
          <w:rFonts w:hint="eastAsia" w:ascii="宋体" w:hAnsi="宋体"/>
          <w:color w:val="auto"/>
          <w:sz w:val="52"/>
          <w:szCs w:val="52"/>
          <w:highlight w:val="none"/>
        </w:rPr>
      </w:pPr>
      <w:r>
        <w:rPr>
          <w:rFonts w:hint="eastAsia" w:ascii="宋体" w:hAnsi="宋体"/>
          <w:color w:val="auto"/>
          <w:sz w:val="52"/>
          <w:szCs w:val="52"/>
          <w:highlight w:val="none"/>
        </w:rPr>
        <w:t>公开招标文件（服务类）</w:t>
      </w:r>
    </w:p>
    <w:p>
      <w:pPr>
        <w:shd w:val="clear" w:color="auto" w:fill="auto"/>
        <w:spacing w:before="120" w:beforeLines="50" w:line="360" w:lineRule="auto"/>
        <w:jc w:val="center"/>
        <w:rPr>
          <w:rFonts w:hint="eastAsia" w:ascii="仿宋_GB2312" w:hAnsi="宋体" w:eastAsia="仿宋_GB2312"/>
          <w:b/>
          <w:color w:val="auto"/>
          <w:sz w:val="48"/>
          <w:szCs w:val="48"/>
          <w:highlight w:val="none"/>
        </w:rPr>
      </w:pPr>
    </w:p>
    <w:p>
      <w:pPr>
        <w:shd w:val="clear" w:color="auto" w:fill="auto"/>
        <w:snapToGrid w:val="0"/>
        <w:spacing w:before="120" w:beforeLines="50" w:line="360" w:lineRule="auto"/>
        <w:jc w:val="center"/>
        <w:rPr>
          <w:rFonts w:hint="eastAsia" w:ascii="华文新魏" w:hAnsi="宋体" w:eastAsia="华文新魏"/>
          <w:color w:val="auto"/>
          <w:sz w:val="72"/>
          <w:szCs w:val="72"/>
          <w:highlight w:val="none"/>
        </w:rPr>
      </w:pPr>
      <w:r>
        <w:rPr>
          <w:rFonts w:hint="eastAsia" w:ascii="华文新魏" w:hAnsi="宋体" w:eastAsia="华文新魏"/>
          <w:color w:val="auto"/>
          <w:sz w:val="72"/>
          <w:szCs w:val="72"/>
          <w:highlight w:val="none"/>
        </w:rPr>
        <w:t>招 标 文 件</w:t>
      </w:r>
    </w:p>
    <w:p>
      <w:pPr>
        <w:shd w:val="clear" w:color="auto" w:fill="auto"/>
        <w:snapToGrid w:val="0"/>
        <w:spacing w:before="120" w:beforeLines="50" w:line="360" w:lineRule="auto"/>
        <w:jc w:val="center"/>
        <w:rPr>
          <w:rFonts w:hint="eastAsia" w:ascii="仿宋_GB2312" w:hAnsi="宋体" w:eastAsia="仿宋_GB2312"/>
          <w:color w:val="auto"/>
          <w:sz w:val="30"/>
          <w:szCs w:val="72"/>
          <w:highlight w:val="none"/>
        </w:rPr>
      </w:pPr>
      <w:r>
        <w:rPr>
          <w:rFonts w:hint="eastAsia" w:ascii="仿宋_GB2312" w:hAnsi="宋体" w:eastAsia="仿宋_GB2312"/>
          <w:color w:val="auto"/>
          <w:sz w:val="30"/>
          <w:szCs w:val="72"/>
          <w:highlight w:val="none"/>
        </w:rPr>
        <w:t>（全流程电子化评标）</w:t>
      </w:r>
    </w:p>
    <w:p>
      <w:pPr>
        <w:shd w:val="clear" w:color="auto" w:fill="auto"/>
        <w:jc w:val="center"/>
        <w:rPr>
          <w:rFonts w:hint="eastAsia" w:ascii="Calibri" w:hAnsi="Calibri"/>
          <w:color w:val="auto"/>
          <w:highlight w:val="none"/>
        </w:rPr>
      </w:pPr>
    </w:p>
    <w:p>
      <w:pPr>
        <w:shd w:val="clear" w:color="auto" w:fill="auto"/>
        <w:jc w:val="center"/>
        <w:rPr>
          <w:rFonts w:hint="eastAsia" w:ascii="Calibri" w:hAnsi="Calibri"/>
          <w:color w:val="auto"/>
          <w:szCs w:val="20"/>
          <w:highlight w:val="none"/>
        </w:rPr>
      </w:pPr>
    </w:p>
    <w:p>
      <w:pPr>
        <w:shd w:val="clear" w:color="auto" w:fill="auto"/>
        <w:jc w:val="center"/>
        <w:rPr>
          <w:rFonts w:hint="eastAsia" w:ascii="Calibri" w:hAnsi="Calibri"/>
          <w:color w:val="auto"/>
          <w:szCs w:val="20"/>
          <w:highlight w:val="none"/>
        </w:rPr>
      </w:pPr>
    </w:p>
    <w:p>
      <w:pPr>
        <w:shd w:val="clear" w:color="auto" w:fill="auto"/>
        <w:snapToGrid w:val="0"/>
        <w:spacing w:before="120" w:beforeLines="50" w:line="360" w:lineRule="auto"/>
        <w:jc w:val="center"/>
        <w:rPr>
          <w:rFonts w:hint="eastAsia" w:ascii="仿宋_GB2312" w:hAnsi="宋体" w:eastAsia="仿宋_GB2312" w:cs="Courier New"/>
          <w:b/>
          <w:bCs/>
          <w:color w:val="auto"/>
          <w:w w:val="95"/>
          <w:sz w:val="30"/>
          <w:szCs w:val="30"/>
          <w:highlight w:val="none"/>
        </w:rPr>
      </w:pPr>
      <w:r>
        <w:rPr>
          <w:rFonts w:hint="eastAsia" w:ascii="仿宋_GB2312" w:hAnsi="宋体" w:eastAsia="仿宋_GB2312" w:cs="Courier New"/>
          <w:b/>
          <w:bCs/>
          <w:color w:val="auto"/>
          <w:w w:val="95"/>
          <w:sz w:val="30"/>
          <w:szCs w:val="30"/>
          <w:highlight w:val="none"/>
        </w:rPr>
        <w:t>项目名称：</w:t>
      </w:r>
    </w:p>
    <w:p>
      <w:pPr>
        <w:shd w:val="clear" w:color="auto" w:fill="auto"/>
        <w:snapToGrid w:val="0"/>
        <w:spacing w:before="120" w:beforeLines="50" w:line="360" w:lineRule="auto"/>
        <w:jc w:val="center"/>
        <w:rPr>
          <w:rFonts w:hint="eastAsia" w:ascii="仿宋_GB2312" w:hAnsi="宋体" w:eastAsia="仿宋_GB2312" w:cs="Courier New"/>
          <w:b/>
          <w:bCs/>
          <w:color w:val="auto"/>
          <w:w w:val="95"/>
          <w:sz w:val="30"/>
          <w:szCs w:val="30"/>
          <w:highlight w:val="none"/>
          <w:lang w:eastAsia="zh-CN"/>
        </w:rPr>
      </w:pPr>
      <w:bookmarkStart w:id="0" w:name="OLE_LINK22"/>
      <w:r>
        <w:rPr>
          <w:rFonts w:hint="eastAsia" w:ascii="仿宋_GB2312" w:hAnsi="宋体" w:eastAsia="仿宋_GB2312" w:cs="Courier New"/>
          <w:b/>
          <w:bCs/>
          <w:color w:val="auto"/>
          <w:w w:val="95"/>
          <w:sz w:val="30"/>
          <w:szCs w:val="30"/>
          <w:highlight w:val="none"/>
          <w:lang w:eastAsia="zh-CN"/>
        </w:rPr>
        <w:t>2025年南宁市中考答题卡扫描、无纸化阅卷服务采购</w:t>
      </w:r>
      <w:bookmarkEnd w:id="0"/>
    </w:p>
    <w:p>
      <w:pPr>
        <w:shd w:val="clear" w:color="auto" w:fill="auto"/>
        <w:snapToGrid w:val="0"/>
        <w:spacing w:before="120" w:beforeLines="50" w:line="360" w:lineRule="auto"/>
        <w:jc w:val="center"/>
        <w:rPr>
          <w:rFonts w:hint="eastAsia" w:ascii="仿宋_GB2312" w:hAnsi="宋体" w:eastAsia="仿宋_GB2312"/>
          <w:b/>
          <w:color w:val="auto"/>
          <w:sz w:val="30"/>
          <w:szCs w:val="48"/>
          <w:highlight w:val="none"/>
          <w:lang w:eastAsia="zh-CN"/>
        </w:rPr>
      </w:pPr>
      <w:r>
        <w:rPr>
          <w:rFonts w:hint="eastAsia" w:ascii="仿宋_GB2312" w:hAnsi="宋体" w:eastAsia="仿宋_GB2312" w:cs="Courier New"/>
          <w:b/>
          <w:bCs/>
          <w:color w:val="auto"/>
          <w:w w:val="95"/>
          <w:sz w:val="30"/>
          <w:szCs w:val="30"/>
          <w:highlight w:val="none"/>
        </w:rPr>
        <w:t>项目</w:t>
      </w:r>
      <w:r>
        <w:rPr>
          <w:rFonts w:hint="eastAsia" w:ascii="仿宋_GB2312" w:hAnsi="宋体" w:eastAsia="仿宋_GB2312"/>
          <w:b/>
          <w:bCs/>
          <w:color w:val="auto"/>
          <w:sz w:val="30"/>
          <w:szCs w:val="30"/>
          <w:highlight w:val="none"/>
        </w:rPr>
        <w:t>编号</w:t>
      </w:r>
      <w:r>
        <w:rPr>
          <w:rFonts w:hint="eastAsia" w:ascii="仿宋_GB2312" w:hAnsi="宋体" w:eastAsia="仿宋_GB2312" w:cs="Courier New"/>
          <w:b/>
          <w:bCs/>
          <w:color w:val="auto"/>
          <w:w w:val="95"/>
          <w:sz w:val="30"/>
          <w:szCs w:val="30"/>
          <w:highlight w:val="none"/>
        </w:rPr>
        <w:t>：</w:t>
      </w:r>
      <w:r>
        <w:rPr>
          <w:rFonts w:hint="eastAsia" w:ascii="仿宋_GB2312" w:hAnsi="宋体" w:eastAsia="仿宋_GB2312" w:cs="Courier New"/>
          <w:b/>
          <w:bCs/>
          <w:color w:val="auto"/>
          <w:w w:val="95"/>
          <w:sz w:val="30"/>
          <w:szCs w:val="30"/>
          <w:highlight w:val="none"/>
          <w:lang w:eastAsia="zh-CN"/>
        </w:rPr>
        <w:t>NNZC2025-G3-990111-GXKL</w:t>
      </w:r>
    </w:p>
    <w:p>
      <w:pPr>
        <w:shd w:val="clear" w:color="auto" w:fill="auto"/>
        <w:snapToGrid w:val="0"/>
        <w:spacing w:before="120" w:beforeLines="50" w:line="360" w:lineRule="auto"/>
        <w:jc w:val="center"/>
        <w:rPr>
          <w:rFonts w:ascii="仿宋_GB2312" w:hAnsi="宋体" w:eastAsia="仿宋_GB2312"/>
          <w:b/>
          <w:color w:val="auto"/>
          <w:sz w:val="30"/>
          <w:szCs w:val="48"/>
          <w:highlight w:val="none"/>
        </w:rPr>
      </w:pPr>
      <w:r>
        <w:rPr>
          <w:rFonts w:hint="eastAsia" w:ascii="仿宋_GB2312" w:hAnsi="宋体" w:eastAsia="仿宋_GB2312"/>
          <w:b/>
          <w:color w:val="auto"/>
          <w:sz w:val="30"/>
          <w:szCs w:val="48"/>
          <w:highlight w:val="none"/>
        </w:rPr>
        <w:t>项目所属区划：南宁市本级</w:t>
      </w:r>
    </w:p>
    <w:p>
      <w:pPr>
        <w:shd w:val="clear" w:color="auto" w:fill="auto"/>
        <w:tabs>
          <w:tab w:val="left" w:pos="5705"/>
        </w:tabs>
        <w:snapToGrid w:val="0"/>
        <w:spacing w:before="50" w:after="120" w:line="360" w:lineRule="auto"/>
        <w:jc w:val="left"/>
        <w:rPr>
          <w:rFonts w:hint="eastAsia" w:ascii="仿宋_GB2312" w:hAnsi="宋体" w:eastAsia="仿宋_GB2312"/>
          <w:b/>
          <w:bCs/>
          <w:color w:val="auto"/>
          <w:w w:val="95"/>
          <w:sz w:val="30"/>
          <w:szCs w:val="30"/>
          <w:highlight w:val="none"/>
        </w:rPr>
      </w:pPr>
    </w:p>
    <w:p>
      <w:pPr>
        <w:pStyle w:val="14"/>
        <w:shd w:val="clear" w:color="auto" w:fill="auto"/>
        <w:rPr>
          <w:rFonts w:hint="eastAsia"/>
          <w:color w:val="auto"/>
          <w:highlight w:val="none"/>
        </w:rPr>
      </w:pPr>
    </w:p>
    <w:p>
      <w:pPr>
        <w:shd w:val="clear" w:color="auto" w:fill="auto"/>
        <w:rPr>
          <w:rFonts w:hint="eastAsia" w:ascii="Calibri" w:hAnsi="Calibri"/>
          <w:color w:val="auto"/>
          <w:szCs w:val="20"/>
          <w:highlight w:val="none"/>
        </w:rPr>
      </w:pPr>
    </w:p>
    <w:p>
      <w:pPr>
        <w:shd w:val="clear" w:color="auto" w:fill="auto"/>
        <w:snapToGrid w:val="0"/>
        <w:spacing w:before="50" w:after="120" w:line="360" w:lineRule="auto"/>
        <w:jc w:val="center"/>
        <w:rPr>
          <w:rFonts w:hint="eastAsia" w:ascii="仿宋_GB2312" w:hAnsi="宋体" w:eastAsia="仿宋_GB2312"/>
          <w:b/>
          <w:bCs/>
          <w:color w:val="auto"/>
          <w:w w:val="95"/>
          <w:sz w:val="30"/>
          <w:szCs w:val="30"/>
          <w:highlight w:val="none"/>
          <w:lang w:eastAsia="zh-CN"/>
        </w:rPr>
      </w:pPr>
      <w:r>
        <w:rPr>
          <w:rFonts w:hint="eastAsia" w:ascii="仿宋_GB2312" w:hAnsi="宋体" w:eastAsia="仿宋_GB2312"/>
          <w:b/>
          <w:bCs/>
          <w:color w:val="auto"/>
          <w:w w:val="95"/>
          <w:sz w:val="30"/>
          <w:szCs w:val="30"/>
          <w:highlight w:val="none"/>
        </w:rPr>
        <w:t>采购人：</w:t>
      </w:r>
      <w:r>
        <w:rPr>
          <w:rFonts w:hint="eastAsia" w:ascii="仿宋_GB2312" w:hAnsi="宋体" w:eastAsia="仿宋_GB2312"/>
          <w:b/>
          <w:bCs/>
          <w:color w:val="auto"/>
          <w:w w:val="95"/>
          <w:sz w:val="30"/>
          <w:szCs w:val="30"/>
          <w:highlight w:val="none"/>
          <w:lang w:eastAsia="zh-CN"/>
        </w:rPr>
        <w:t>南宁市招生考试院</w:t>
      </w:r>
    </w:p>
    <w:p>
      <w:pPr>
        <w:shd w:val="clear" w:color="auto" w:fill="auto"/>
        <w:snapToGrid w:val="0"/>
        <w:spacing w:before="50" w:after="120" w:line="360" w:lineRule="auto"/>
        <w:jc w:val="center"/>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rPr>
        <w:t>采购代理机构：</w:t>
      </w:r>
      <w:bookmarkStart w:id="1" w:name="PO_3000001866_PM031"/>
      <w:r>
        <w:rPr>
          <w:rFonts w:hint="eastAsia" w:ascii="仿宋_GB2312" w:hAnsi="宋体" w:eastAsia="仿宋_GB2312"/>
          <w:b/>
          <w:bCs/>
          <w:color w:val="auto"/>
          <w:w w:val="95"/>
          <w:sz w:val="30"/>
          <w:szCs w:val="30"/>
          <w:highlight w:val="none"/>
        </w:rPr>
        <w:t>广西科联招标中心有限公司</w:t>
      </w:r>
      <w:bookmarkEnd w:id="1"/>
    </w:p>
    <w:p>
      <w:pPr>
        <w:shd w:val="clear" w:color="auto" w:fill="auto"/>
        <w:snapToGrid w:val="0"/>
        <w:spacing w:before="50" w:after="120" w:line="360" w:lineRule="auto"/>
        <w:jc w:val="center"/>
        <w:rPr>
          <w:rFonts w:hint="eastAsia" w:ascii="仿宋_GB2312" w:hAnsi="宋体" w:eastAsia="仿宋_GB2312"/>
          <w:b/>
          <w:bCs/>
          <w:color w:val="auto"/>
          <w:w w:val="95"/>
          <w:sz w:val="30"/>
          <w:szCs w:val="30"/>
          <w:highlight w:val="none"/>
        </w:rPr>
      </w:pPr>
      <w:r>
        <w:rPr>
          <w:rFonts w:hint="eastAsia" w:ascii="仿宋_GB2312" w:hAnsi="宋体" w:eastAsia="仿宋_GB2312"/>
          <w:b/>
          <w:bCs/>
          <w:color w:val="auto"/>
          <w:w w:val="95"/>
          <w:sz w:val="30"/>
          <w:szCs w:val="30"/>
          <w:highlight w:val="none"/>
          <w:lang w:eastAsia="zh-CN"/>
        </w:rPr>
        <w:t>2025</w:t>
      </w:r>
      <w:r>
        <w:rPr>
          <w:rFonts w:hint="eastAsia" w:ascii="仿宋_GB2312" w:hAnsi="宋体" w:eastAsia="仿宋_GB2312"/>
          <w:b/>
          <w:bCs/>
          <w:color w:val="auto"/>
          <w:w w:val="95"/>
          <w:sz w:val="30"/>
          <w:szCs w:val="30"/>
          <w:highlight w:val="none"/>
        </w:rPr>
        <w:t>年</w:t>
      </w:r>
      <w:r>
        <w:rPr>
          <w:rFonts w:hint="eastAsia" w:ascii="仿宋_GB2312" w:hAnsi="宋体" w:eastAsia="仿宋_GB2312"/>
          <w:b/>
          <w:bCs/>
          <w:color w:val="auto"/>
          <w:w w:val="95"/>
          <w:sz w:val="30"/>
          <w:szCs w:val="30"/>
          <w:highlight w:val="none"/>
          <w:lang w:val="en-US" w:eastAsia="zh-CN"/>
        </w:rPr>
        <w:t>4</w:t>
      </w:r>
      <w:r>
        <w:rPr>
          <w:rFonts w:hint="eastAsia" w:ascii="仿宋_GB2312" w:hAnsi="宋体" w:eastAsia="仿宋_GB2312"/>
          <w:b/>
          <w:bCs/>
          <w:color w:val="auto"/>
          <w:w w:val="95"/>
          <w:sz w:val="30"/>
          <w:szCs w:val="30"/>
          <w:highlight w:val="none"/>
        </w:rPr>
        <w:t>月</w:t>
      </w:r>
      <w:r>
        <w:rPr>
          <w:rFonts w:hint="eastAsia" w:ascii="仿宋_GB2312" w:hAnsi="宋体" w:eastAsia="仿宋_GB2312"/>
          <w:b/>
          <w:bCs/>
          <w:color w:val="auto"/>
          <w:w w:val="95"/>
          <w:sz w:val="30"/>
          <w:szCs w:val="30"/>
          <w:highlight w:val="none"/>
          <w:lang w:val="en-US" w:eastAsia="zh-CN"/>
        </w:rPr>
        <w:t>3</w:t>
      </w:r>
      <w:r>
        <w:rPr>
          <w:rFonts w:hint="eastAsia" w:ascii="仿宋_GB2312" w:hAnsi="宋体" w:eastAsia="仿宋_GB2312"/>
          <w:b/>
          <w:bCs/>
          <w:color w:val="auto"/>
          <w:w w:val="95"/>
          <w:sz w:val="30"/>
          <w:szCs w:val="30"/>
          <w:highlight w:val="none"/>
        </w:rPr>
        <w:t>日</w:t>
      </w:r>
    </w:p>
    <w:p>
      <w:pPr>
        <w:shd w:val="clear" w:color="auto" w:fill="auto"/>
        <w:snapToGrid w:val="0"/>
        <w:spacing w:before="50" w:after="120" w:line="360" w:lineRule="auto"/>
        <w:jc w:val="center"/>
        <w:rPr>
          <w:rFonts w:hint="eastAsia"/>
          <w:b/>
          <w:color w:val="auto"/>
          <w:sz w:val="48"/>
          <w:szCs w:val="48"/>
          <w:highlight w:val="none"/>
        </w:rPr>
        <w:sectPr>
          <w:headerReference r:id="rId3" w:type="default"/>
          <w:footerReference r:id="rId4" w:type="default"/>
          <w:pgSz w:w="11911" w:h="16838"/>
          <w:pgMar w:top="1134" w:right="1134" w:bottom="1134" w:left="1134" w:header="720" w:footer="720" w:gutter="0"/>
          <w:pgNumType w:start="1"/>
          <w:cols w:space="720" w:num="1"/>
          <w:titlePg/>
          <w:docGrid w:linePitch="331" w:charSpace="0"/>
        </w:sectPr>
      </w:pPr>
    </w:p>
    <w:p>
      <w:pPr>
        <w:shd w:val="clear" w:color="auto" w:fill="auto"/>
        <w:snapToGrid w:val="0"/>
        <w:spacing w:before="50" w:after="120" w:line="360" w:lineRule="auto"/>
        <w:jc w:val="center"/>
        <w:rPr>
          <w:b/>
          <w:color w:val="auto"/>
          <w:sz w:val="48"/>
          <w:szCs w:val="48"/>
          <w:highlight w:val="none"/>
        </w:rPr>
      </w:pPr>
      <w:r>
        <w:rPr>
          <w:rFonts w:hint="eastAsia"/>
          <w:b/>
          <w:color w:val="auto"/>
          <w:sz w:val="48"/>
          <w:szCs w:val="48"/>
          <w:highlight w:val="none"/>
        </w:rPr>
        <w:t>目</w:t>
      </w:r>
      <w:r>
        <w:rPr>
          <w:b/>
          <w:color w:val="auto"/>
          <w:sz w:val="48"/>
          <w:szCs w:val="48"/>
          <w:highlight w:val="none"/>
        </w:rPr>
        <w:t xml:space="preserve">     </w:t>
      </w:r>
      <w:r>
        <w:rPr>
          <w:rFonts w:hint="eastAsia"/>
          <w:b/>
          <w:color w:val="auto"/>
          <w:sz w:val="48"/>
          <w:szCs w:val="48"/>
          <w:highlight w:val="none"/>
        </w:rPr>
        <w:t>录</w:t>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Fonts w:hint="eastAsia" w:ascii="宋体" w:hAnsi="宋体" w:cs="宋体"/>
          <w:b w:val="0"/>
          <w:bCs w:val="0"/>
          <w:caps w:val="0"/>
          <w:color w:val="auto"/>
          <w:highlight w:val="none"/>
        </w:rPr>
        <w:fldChar w:fldCharType="begin"/>
      </w:r>
      <w:r>
        <w:rPr>
          <w:rFonts w:hint="eastAsia" w:ascii="宋体" w:hAnsi="宋体" w:cs="宋体"/>
          <w:b w:val="0"/>
          <w:bCs w:val="0"/>
          <w:caps w:val="0"/>
          <w:color w:val="auto"/>
          <w:highlight w:val="none"/>
        </w:rPr>
        <w:instrText xml:space="preserve"> TOC \o "1-3" \h \z \u </w:instrText>
      </w:r>
      <w:r>
        <w:rPr>
          <w:rFonts w:hint="eastAsia" w:ascii="宋体" w:hAnsi="宋体" w:cs="宋体"/>
          <w:b w:val="0"/>
          <w:bCs w:val="0"/>
          <w:caps w:val="0"/>
          <w:color w:val="auto"/>
          <w:highlight w:val="none"/>
        </w:rPr>
        <w:fldChar w:fldCharType="separate"/>
      </w: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"_Toc177489446"</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第一章  招标公告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_Toc177489446 \h</w:instrText>
      </w:r>
      <w:r>
        <w:rPr>
          <w:rFonts w:hint="eastAsia"/>
          <w:color w:val="auto"/>
          <w:highlight w:val="none"/>
        </w:rPr>
        <w:instrText xml:space="preserve"> </w:instrText>
      </w:r>
      <w:r>
        <w:rPr>
          <w:color w:val="auto"/>
          <w:highlight w:val="none"/>
        </w:rPr>
        <w:fldChar w:fldCharType="separate"/>
      </w:r>
      <w:r>
        <w:rPr>
          <w:color w:val="auto"/>
          <w:highlight w:val="none"/>
        </w:rPr>
        <w:t>2</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"_Toc177489447"</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第二章  采购需求</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_Toc177489447 \h</w:instrText>
      </w:r>
      <w:r>
        <w:rPr>
          <w:rFonts w:hint="eastAsia"/>
          <w:color w:val="auto"/>
          <w:highlight w:val="none"/>
        </w:rPr>
        <w:instrText xml:space="preserve"> </w:instrText>
      </w:r>
      <w:r>
        <w:rPr>
          <w:color w:val="auto"/>
          <w:highlight w:val="none"/>
        </w:rPr>
        <w:fldChar w:fldCharType="separate"/>
      </w:r>
      <w:r>
        <w:rPr>
          <w:color w:val="auto"/>
          <w:highlight w:val="none"/>
        </w:rPr>
        <w:t>6</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"_Toc177489449"</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第三章  投标人须知</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_Toc177489449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"_Toc177489450"</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第一节 投标人须知前附表</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_Toc177489450 \h</w:instrText>
      </w:r>
      <w:r>
        <w:rPr>
          <w:rFonts w:hint="eastAsia"/>
          <w:color w:val="auto"/>
          <w:highlight w:val="none"/>
        </w:rPr>
        <w:instrText xml:space="preserve"> </w:instrText>
      </w:r>
      <w:r>
        <w:rPr>
          <w:color w:val="auto"/>
          <w:highlight w:val="none"/>
        </w:rPr>
        <w:fldChar w:fldCharType="separate"/>
      </w:r>
      <w:r>
        <w:rPr>
          <w:color w:val="auto"/>
          <w:highlight w:val="none"/>
        </w:rPr>
        <w:t>17</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"_Toc177489451"</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Arial" w:hAnsi="Arial" w:eastAsia="黑体"/>
          <w:color w:val="auto"/>
          <w:highlight w:val="none"/>
        </w:rPr>
        <w:t>第二节 投标人须知正文</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_Toc177489451 \h</w:instrText>
      </w:r>
      <w:r>
        <w:rPr>
          <w:rFonts w:hint="eastAsia"/>
          <w:color w:val="auto"/>
          <w:highlight w:val="none"/>
        </w:rPr>
        <w:instrText xml:space="preserve"> </w:instrText>
      </w:r>
      <w:r>
        <w:rPr>
          <w:color w:val="auto"/>
          <w:highlight w:val="none"/>
        </w:rPr>
        <w:fldChar w:fldCharType="separate"/>
      </w:r>
      <w:r>
        <w:rPr>
          <w:color w:val="auto"/>
          <w:highlight w:val="none"/>
        </w:rPr>
        <w:t>22</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"_Toc177489462"</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第四章  评标方法及评分标准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_Toc177489462 \h</w:instrText>
      </w:r>
      <w:r>
        <w:rPr>
          <w:rFonts w:hint="eastAsia"/>
          <w:color w:val="auto"/>
          <w:highlight w:val="none"/>
        </w:rPr>
        <w:instrText xml:space="preserve"> </w:instrText>
      </w:r>
      <w:r>
        <w:rPr>
          <w:color w:val="auto"/>
          <w:highlight w:val="none"/>
        </w:rPr>
        <w:fldChar w:fldCharType="separate"/>
      </w:r>
      <w:r>
        <w:rPr>
          <w:color w:val="auto"/>
          <w:highlight w:val="none"/>
        </w:rPr>
        <w:t>36</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"_Toc177489463"</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第一节 评标方法</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_Toc177489463 \h</w:instrText>
      </w:r>
      <w:r>
        <w:rPr>
          <w:rFonts w:hint="eastAsia"/>
          <w:color w:val="auto"/>
          <w:highlight w:val="none"/>
        </w:rPr>
        <w:instrText xml:space="preserve"> </w:instrText>
      </w:r>
      <w:r>
        <w:rPr>
          <w:color w:val="auto"/>
          <w:highlight w:val="none"/>
        </w:rPr>
        <w:fldChar w:fldCharType="separate"/>
      </w:r>
      <w:r>
        <w:rPr>
          <w:color w:val="auto"/>
          <w:highlight w:val="none"/>
        </w:rPr>
        <w:t>36</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"_Toc177489464"</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第二节 评标程序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_Toc177489464 \h</w:instrText>
      </w:r>
      <w:r>
        <w:rPr>
          <w:rFonts w:hint="eastAsia"/>
          <w:color w:val="auto"/>
          <w:highlight w:val="none"/>
        </w:rPr>
        <w:instrText xml:space="preserve"> </w:instrText>
      </w:r>
      <w:r>
        <w:rPr>
          <w:color w:val="auto"/>
          <w:highlight w:val="none"/>
        </w:rPr>
        <w:fldChar w:fldCharType="separate"/>
      </w:r>
      <w:r>
        <w:rPr>
          <w:color w:val="auto"/>
          <w:highlight w:val="none"/>
        </w:rPr>
        <w:t>36</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"_Toc177489465"</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Arial" w:hAnsi="Arial" w:eastAsia="黑体"/>
          <w:color w:val="auto"/>
          <w:highlight w:val="none"/>
        </w:rPr>
        <w:t>第三节 评分标准</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_Toc177489465 \h</w:instrText>
      </w:r>
      <w:r>
        <w:rPr>
          <w:rFonts w:hint="eastAsia"/>
          <w:color w:val="auto"/>
          <w:highlight w:val="none"/>
        </w:rPr>
        <w:instrText xml:space="preserve"> </w:instrText>
      </w:r>
      <w:r>
        <w:rPr>
          <w:color w:val="auto"/>
          <w:highlight w:val="none"/>
        </w:rPr>
        <w:fldChar w:fldCharType="separate"/>
      </w:r>
      <w:r>
        <w:rPr>
          <w:color w:val="auto"/>
          <w:highlight w:val="none"/>
        </w:rPr>
        <w:t>39</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"_Toc177489466"</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Arial" w:hAnsi="Arial" w:eastAsia="黑体"/>
          <w:color w:val="auto"/>
          <w:highlight w:val="none"/>
        </w:rPr>
        <w:t>第四节 中标候选人推荐原则</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_Toc177489466 \h</w:instrText>
      </w:r>
      <w:r>
        <w:rPr>
          <w:rFonts w:hint="eastAsia"/>
          <w:color w:val="auto"/>
          <w:highlight w:val="none"/>
        </w:rPr>
        <w:instrText xml:space="preserve"> </w:instrText>
      </w:r>
      <w:r>
        <w:rPr>
          <w:color w:val="auto"/>
          <w:highlight w:val="none"/>
        </w:rPr>
        <w:fldChar w:fldCharType="separate"/>
      </w:r>
      <w:r>
        <w:rPr>
          <w:color w:val="auto"/>
          <w:highlight w:val="none"/>
        </w:rPr>
        <w:t>41</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"_Toc177489467"</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Arial" w:hAnsi="Arial" w:eastAsia="黑体"/>
          <w:color w:val="auto"/>
          <w:highlight w:val="none"/>
        </w:rPr>
        <w:t>第五节 评标报告</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_Toc177489467 \h</w:instrText>
      </w:r>
      <w:r>
        <w:rPr>
          <w:rFonts w:hint="eastAsia"/>
          <w:color w:val="auto"/>
          <w:highlight w:val="none"/>
        </w:rPr>
        <w:instrText xml:space="preserve"> </w:instrText>
      </w:r>
      <w:r>
        <w:rPr>
          <w:color w:val="auto"/>
          <w:highlight w:val="none"/>
        </w:rPr>
        <w:fldChar w:fldCharType="separate"/>
      </w:r>
      <w:r>
        <w:rPr>
          <w:color w:val="auto"/>
          <w:highlight w:val="none"/>
        </w:rPr>
        <w:t>41</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"_Toc177489468"</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第五章 拟签订的合同文本</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_Toc177489468 \h</w:instrText>
      </w:r>
      <w:r>
        <w:rPr>
          <w:rFonts w:hint="eastAsia"/>
          <w:color w:val="auto"/>
          <w:highlight w:val="none"/>
        </w:rPr>
        <w:instrText xml:space="preserve"> </w:instrText>
      </w:r>
      <w:r>
        <w:rPr>
          <w:color w:val="auto"/>
          <w:highlight w:val="none"/>
        </w:rPr>
        <w:fldChar w:fldCharType="separate"/>
      </w:r>
      <w:r>
        <w:rPr>
          <w:color w:val="auto"/>
          <w:highlight w:val="none"/>
        </w:rPr>
        <w:t>42</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"_Toc177489469"</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第六章 投标文件格式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_Toc177489469 \h</w:instrText>
      </w:r>
      <w:r>
        <w:rPr>
          <w:rFonts w:hint="eastAsia"/>
          <w:color w:val="auto"/>
          <w:highlight w:val="none"/>
        </w:rPr>
        <w:instrText xml:space="preserve"> </w:instrText>
      </w:r>
      <w:r>
        <w:rPr>
          <w:color w:val="auto"/>
          <w:highlight w:val="none"/>
        </w:rPr>
        <w:fldChar w:fldCharType="separate"/>
      </w:r>
      <w:r>
        <w:rPr>
          <w:color w:val="auto"/>
          <w:highlight w:val="none"/>
        </w:rPr>
        <w:t>54</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"_Toc177489470"</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第一节 投标文件封面格式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_Toc177489470 \h</w:instrText>
      </w:r>
      <w:r>
        <w:rPr>
          <w:rFonts w:hint="eastAsia"/>
          <w:color w:val="auto"/>
          <w:highlight w:val="none"/>
        </w:rPr>
        <w:instrText xml:space="preserve"> </w:instrText>
      </w:r>
      <w:r>
        <w:rPr>
          <w:color w:val="auto"/>
          <w:highlight w:val="none"/>
        </w:rPr>
        <w:fldChar w:fldCharType="separate"/>
      </w:r>
      <w:r>
        <w:rPr>
          <w:color w:val="auto"/>
          <w:highlight w:val="none"/>
        </w:rPr>
        <w:t>55</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"_Toc177489471"</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第二节 资格证明文件格式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_Toc177489471 \h</w:instrText>
      </w:r>
      <w:r>
        <w:rPr>
          <w:rFonts w:hint="eastAsia"/>
          <w:color w:val="auto"/>
          <w:highlight w:val="none"/>
        </w:rPr>
        <w:instrText xml:space="preserve"> </w:instrText>
      </w:r>
      <w:r>
        <w:rPr>
          <w:color w:val="auto"/>
          <w:highlight w:val="none"/>
        </w:rPr>
        <w:fldChar w:fldCharType="separate"/>
      </w:r>
      <w:r>
        <w:rPr>
          <w:color w:val="auto"/>
          <w:highlight w:val="none"/>
        </w:rPr>
        <w:t>56</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"_Toc177489472"</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第三节 商务文件格式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_Toc177489472 \h</w:instrText>
      </w:r>
      <w:r>
        <w:rPr>
          <w:rFonts w:hint="eastAsia"/>
          <w:color w:val="auto"/>
          <w:highlight w:val="none"/>
        </w:rPr>
        <w:instrText xml:space="preserve"> </w:instrText>
      </w:r>
      <w:r>
        <w:rPr>
          <w:color w:val="auto"/>
          <w:highlight w:val="none"/>
        </w:rPr>
        <w:fldChar w:fldCharType="separate"/>
      </w:r>
      <w:r>
        <w:rPr>
          <w:color w:val="auto"/>
          <w:highlight w:val="none"/>
        </w:rPr>
        <w:t>67</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"_Toc177489473"</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第四节 技术文件格式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_Toc177489473 \h</w:instrText>
      </w:r>
      <w:r>
        <w:rPr>
          <w:rFonts w:hint="eastAsia"/>
          <w:color w:val="auto"/>
          <w:highlight w:val="none"/>
        </w:rPr>
        <w:instrText xml:space="preserve"> </w:instrText>
      </w:r>
      <w:r>
        <w:rPr>
          <w:color w:val="auto"/>
          <w:highlight w:val="none"/>
        </w:rPr>
        <w:fldChar w:fldCharType="separate"/>
      </w:r>
      <w:r>
        <w:rPr>
          <w:color w:val="auto"/>
          <w:highlight w:val="none"/>
        </w:rPr>
        <w:t>74</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"_Toc177489474"</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color w:val="auto"/>
          <w:highlight w:val="none"/>
        </w:rPr>
        <w:t>第五节 报价文件格式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_Toc177489474 \h</w:instrText>
      </w:r>
      <w:r>
        <w:rPr>
          <w:rFonts w:hint="eastAsia"/>
          <w:color w:val="auto"/>
          <w:highlight w:val="none"/>
        </w:rPr>
        <w:instrText xml:space="preserve"> </w:instrText>
      </w:r>
      <w:r>
        <w:rPr>
          <w:color w:val="auto"/>
          <w:highlight w:val="none"/>
        </w:rPr>
        <w:fldChar w:fldCharType="separate"/>
      </w:r>
      <w:r>
        <w:rPr>
          <w:color w:val="auto"/>
          <w:highlight w:val="none"/>
        </w:rPr>
        <w:t>78</w:t>
      </w:r>
      <w:r>
        <w:rPr>
          <w:rFonts w:hint="eastAsia"/>
          <w:color w:val="auto"/>
          <w:highlight w:val="none"/>
        </w:rPr>
        <w:fldChar w:fldCharType="end"/>
      </w:r>
      <w:r>
        <w:rPr>
          <w:rStyle w:val="41"/>
          <w:rFonts w:hint="eastAsia"/>
          <w:color w:val="auto"/>
          <w:highlight w:val="none"/>
        </w:rPr>
        <w:fldChar w:fldCharType="end"/>
      </w:r>
    </w:p>
    <w:p>
      <w:pPr>
        <w:pStyle w:val="26"/>
        <w:shd w:val="clear" w:color="auto" w:fill="auto"/>
        <w:tabs>
          <w:tab w:val="right" w:leader="dot" w:pos="9633"/>
        </w:tabs>
        <w:rPr>
          <w:rFonts w:hint="eastAsia" w:ascii="等线" w:hAnsi="等线" w:eastAsia="等线"/>
          <w:b w:val="0"/>
          <w:bCs w:val="0"/>
          <w:caps w:val="0"/>
          <w:color w:val="auto"/>
          <w:sz w:val="21"/>
          <w:highlight w:val="none"/>
          <w:u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"_Toc177489475"</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color w:val="auto"/>
          <w:highlight w:val="none"/>
        </w:rPr>
        <w:t>第七章 质疑、投诉材料格式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_Toc177489475 \h</w:instrText>
      </w:r>
      <w:r>
        <w:rPr>
          <w:rFonts w:hint="eastAsia"/>
          <w:color w:val="auto"/>
          <w:highlight w:val="none"/>
        </w:rPr>
        <w:instrText xml:space="preserve"> </w:instrText>
      </w:r>
      <w:r>
        <w:rPr>
          <w:color w:val="auto"/>
          <w:highlight w:val="none"/>
        </w:rPr>
        <w:fldChar w:fldCharType="separate"/>
      </w:r>
      <w:r>
        <w:rPr>
          <w:color w:val="auto"/>
          <w:highlight w:val="none"/>
        </w:rPr>
        <w:t>84</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"_Toc177489476"</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eastAsia="黑体"/>
          <w:color w:val="auto"/>
          <w:highlight w:val="none"/>
        </w:rPr>
        <w:t>第一节 质疑函（格式）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_Toc177489476 \h</w:instrText>
      </w:r>
      <w:r>
        <w:rPr>
          <w:rFonts w:hint="eastAsia"/>
          <w:color w:val="auto"/>
          <w:highlight w:val="none"/>
        </w:rPr>
        <w:instrText xml:space="preserve"> </w:instrText>
      </w:r>
      <w:r>
        <w:rPr>
          <w:color w:val="auto"/>
          <w:highlight w:val="none"/>
        </w:rPr>
        <w:fldChar w:fldCharType="separate"/>
      </w:r>
      <w:r>
        <w:rPr>
          <w:color w:val="auto"/>
          <w:highlight w:val="none"/>
        </w:rPr>
        <w:t>85</w:t>
      </w:r>
      <w:r>
        <w:rPr>
          <w:rFonts w:hint="eastAsia"/>
          <w:color w:val="auto"/>
          <w:highlight w:val="none"/>
        </w:rPr>
        <w:fldChar w:fldCharType="end"/>
      </w:r>
      <w:r>
        <w:rPr>
          <w:rStyle w:val="41"/>
          <w:rFonts w:hint="eastAsia"/>
          <w:color w:val="auto"/>
          <w:highlight w:val="none"/>
        </w:rPr>
        <w:fldChar w:fldCharType="end"/>
      </w:r>
    </w:p>
    <w:p>
      <w:pPr>
        <w:pStyle w:val="30"/>
        <w:shd w:val="clear" w:color="auto" w:fill="auto"/>
        <w:tabs>
          <w:tab w:val="right" w:leader="dot" w:pos="9633"/>
        </w:tabs>
        <w:rPr>
          <w:rFonts w:hint="eastAsia" w:ascii="等线" w:hAnsi="等线" w:eastAsia="等线"/>
          <w:b w:val="0"/>
          <w:bCs w:val="0"/>
          <w:smallCaps w:val="0"/>
          <w:color w:val="auto"/>
          <w:sz w:val="21"/>
          <w:highlight w:val="none"/>
        </w:rPr>
      </w:pPr>
      <w:r>
        <w:rPr>
          <w:rStyle w:val="41"/>
          <w:rFonts w:hint="eastAsia"/>
          <w:color w:val="auto"/>
          <w:highlight w:val="none"/>
        </w:rPr>
        <w:fldChar w:fldCharType="begin"/>
      </w:r>
      <w:r>
        <w:rPr>
          <w:rStyle w:val="41"/>
          <w:rFonts w:hint="eastAsia"/>
          <w:color w:val="auto"/>
          <w:highlight w:val="none"/>
        </w:rPr>
        <w:instrText xml:space="preserve"> </w:instrText>
      </w:r>
      <w:r>
        <w:rPr>
          <w:rFonts w:hint="eastAsia"/>
          <w:color w:val="auto"/>
          <w:highlight w:val="none"/>
        </w:rPr>
        <w:instrText xml:space="preserve">HYPERLINK \l "_Toc177489477"</w:instrText>
      </w:r>
      <w:r>
        <w:rPr>
          <w:rStyle w:val="41"/>
          <w:rFonts w:hint="eastAsia"/>
          <w:color w:val="auto"/>
          <w:highlight w:val="none"/>
        </w:rPr>
        <w:instrText xml:space="preserve"> </w:instrText>
      </w:r>
      <w:r>
        <w:rPr>
          <w:rStyle w:val="41"/>
          <w:rFonts w:hint="eastAsia"/>
          <w:color w:val="auto"/>
          <w:highlight w:val="none"/>
        </w:rPr>
        <w:fldChar w:fldCharType="separate"/>
      </w:r>
      <w:r>
        <w:rPr>
          <w:rStyle w:val="41"/>
          <w:rFonts w:hint="eastAsia" w:ascii="宋体" w:hAnsi="宋体" w:eastAsia="黑体"/>
          <w:color w:val="auto"/>
          <w:highlight w:val="none"/>
        </w:rPr>
        <w:t>第二节 投诉书（格式）</w:t>
      </w:r>
      <w:r>
        <w:rPr>
          <w:rFonts w:hint="eastAsia"/>
          <w:color w:val="auto"/>
          <w:highlight w:val="none"/>
        </w:rPr>
        <w:tab/>
      </w:r>
      <w:r>
        <w:rPr>
          <w:rFonts w:hint="eastAsia"/>
          <w:color w:val="auto"/>
          <w:highlight w:val="none"/>
        </w:rPr>
        <w:fldChar w:fldCharType="begin"/>
      </w:r>
      <w:r>
        <w:rPr>
          <w:rFonts w:hint="eastAsia"/>
          <w:color w:val="auto"/>
          <w:highlight w:val="none"/>
        </w:rPr>
        <w:instrText xml:space="preserve"> </w:instrText>
      </w:r>
      <w:r>
        <w:rPr>
          <w:color w:val="auto"/>
          <w:highlight w:val="none"/>
        </w:rPr>
        <w:instrText xml:space="preserve">PAGEREF _Toc177489477 \h</w:instrText>
      </w:r>
      <w:r>
        <w:rPr>
          <w:rFonts w:hint="eastAsia"/>
          <w:color w:val="auto"/>
          <w:highlight w:val="none"/>
        </w:rPr>
        <w:instrText xml:space="preserve"> </w:instrText>
      </w:r>
      <w:r>
        <w:rPr>
          <w:color w:val="auto"/>
          <w:highlight w:val="none"/>
        </w:rPr>
        <w:fldChar w:fldCharType="separate"/>
      </w:r>
      <w:r>
        <w:rPr>
          <w:color w:val="auto"/>
          <w:highlight w:val="none"/>
        </w:rPr>
        <w:t>87</w:t>
      </w:r>
      <w:r>
        <w:rPr>
          <w:rFonts w:hint="eastAsia"/>
          <w:color w:val="auto"/>
          <w:highlight w:val="none"/>
        </w:rPr>
        <w:fldChar w:fldCharType="end"/>
      </w:r>
      <w:r>
        <w:rPr>
          <w:rStyle w:val="41"/>
          <w:rFonts w:hint="eastAsia"/>
          <w:color w:val="auto"/>
          <w:highlight w:val="none"/>
        </w:rPr>
        <w:fldChar w:fldCharType="end"/>
      </w:r>
    </w:p>
    <w:p>
      <w:pPr>
        <w:shd w:val="clear" w:color="auto" w:fill="auto"/>
        <w:jc w:val="center"/>
        <w:rPr>
          <w:rFonts w:ascii="宋体" w:hAnsi="Courier New"/>
          <w:color w:val="auto"/>
          <w:szCs w:val="20"/>
          <w:highlight w:val="none"/>
        </w:rPr>
      </w:pPr>
      <w:r>
        <w:rPr>
          <w:rFonts w:hint="eastAsia" w:ascii="宋体" w:hAnsi="宋体" w:cs="宋体"/>
          <w:bCs/>
          <w:caps/>
          <w:color w:val="auto"/>
          <w:sz w:val="22"/>
          <w:szCs w:val="22"/>
          <w:highlight w:val="none"/>
          <w:u w:val="single"/>
        </w:rPr>
        <w:fldChar w:fldCharType="end"/>
      </w:r>
      <w:r>
        <w:rPr>
          <w:rFonts w:ascii="宋体" w:hAnsi="Courier New"/>
          <w:color w:val="auto"/>
          <w:szCs w:val="20"/>
          <w:highlight w:val="none"/>
        </w:rPr>
        <w:tab/>
      </w:r>
      <w:bookmarkStart w:id="2" w:name="_Toc532545041"/>
    </w:p>
    <w:p>
      <w:pPr>
        <w:shd w:val="clear" w:color="auto" w:fill="auto"/>
        <w:jc w:val="center"/>
        <w:rPr>
          <w:rFonts w:ascii="宋体" w:hAnsi="Courier New"/>
          <w:color w:val="auto"/>
          <w:szCs w:val="20"/>
          <w:highlight w:val="none"/>
        </w:rPr>
      </w:pPr>
      <w:r>
        <w:rPr>
          <w:rFonts w:ascii="宋体" w:hAnsi="Courier New"/>
          <w:color w:val="auto"/>
          <w:szCs w:val="20"/>
          <w:highlight w:val="none"/>
        </w:rPr>
        <w:br w:type="page"/>
      </w:r>
    </w:p>
    <w:p>
      <w:pPr>
        <w:shd w:val="clear" w:color="auto" w:fill="auto"/>
        <w:spacing w:line="360" w:lineRule="auto"/>
        <w:jc w:val="center"/>
        <w:outlineLvl w:val="0"/>
        <w:rPr>
          <w:rFonts w:hint="eastAsia"/>
          <w:b/>
          <w:color w:val="auto"/>
          <w:sz w:val="36"/>
          <w:szCs w:val="20"/>
          <w:highlight w:val="none"/>
        </w:rPr>
      </w:pPr>
      <w:bookmarkStart w:id="3" w:name="_Toc177489446"/>
      <w:r>
        <w:rPr>
          <w:rFonts w:hint="eastAsia"/>
          <w:b/>
          <w:color w:val="auto"/>
          <w:sz w:val="36"/>
          <w:szCs w:val="20"/>
          <w:highlight w:val="none"/>
        </w:rPr>
        <w:t>第一章  招标公告</w:t>
      </w:r>
      <w:bookmarkEnd w:id="2"/>
      <w:bookmarkEnd w:id="3"/>
    </w:p>
    <w:p>
      <w:pPr>
        <w:shd w:val="clear" w:color="auto" w:fill="auto"/>
        <w:jc w:val="center"/>
        <w:rPr>
          <w:rFonts w:hint="eastAsia"/>
          <w:b/>
          <w:color w:val="auto"/>
          <w:sz w:val="30"/>
          <w:szCs w:val="30"/>
          <w:highlight w:val="none"/>
        </w:rPr>
      </w:pPr>
    </w:p>
    <w:p>
      <w:pPr>
        <w:shd w:val="clear" w:color="auto" w:fill="auto"/>
        <w:jc w:val="center"/>
        <w:rPr>
          <w:rFonts w:hint="eastAsia" w:ascii="宋体" w:hAnsi="宋体" w:cs="宋体"/>
          <w:b/>
          <w:color w:val="auto"/>
          <w:sz w:val="40"/>
          <w:szCs w:val="40"/>
          <w:highlight w:val="none"/>
        </w:rPr>
      </w:pPr>
      <w:r>
        <w:rPr>
          <w:rFonts w:hint="eastAsia" w:ascii="宋体" w:hAnsi="宋体" w:cs="宋体"/>
          <w:b/>
          <w:color w:val="auto"/>
          <w:sz w:val="40"/>
          <w:szCs w:val="40"/>
          <w:highlight w:val="none"/>
        </w:rPr>
        <w:t>广西科联招标中心有限公司关于</w:t>
      </w:r>
      <w:r>
        <w:rPr>
          <w:rFonts w:hint="eastAsia" w:ascii="宋体" w:hAnsi="宋体" w:cs="宋体"/>
          <w:b/>
          <w:color w:val="auto"/>
          <w:sz w:val="40"/>
          <w:szCs w:val="40"/>
          <w:highlight w:val="none"/>
          <w:lang w:eastAsia="zh-CN"/>
        </w:rPr>
        <w:t>2025年南宁市中考答题卡扫描、无纸化阅卷服务采购</w:t>
      </w:r>
      <w:r>
        <w:rPr>
          <w:rFonts w:hint="eastAsia" w:ascii="宋体" w:hAnsi="宋体" w:cs="宋体"/>
          <w:b/>
          <w:color w:val="auto"/>
          <w:sz w:val="40"/>
          <w:szCs w:val="40"/>
          <w:highlight w:val="none"/>
        </w:rPr>
        <w:t>（</w:t>
      </w:r>
      <w:r>
        <w:rPr>
          <w:rFonts w:hint="eastAsia" w:ascii="宋体" w:hAnsi="宋体" w:cs="宋体"/>
          <w:b/>
          <w:color w:val="auto"/>
          <w:sz w:val="40"/>
          <w:szCs w:val="40"/>
          <w:highlight w:val="none"/>
          <w:lang w:eastAsia="zh-CN"/>
        </w:rPr>
        <w:t>NNZC2025-G3-990111-GXKL</w:t>
      </w:r>
      <w:r>
        <w:rPr>
          <w:rFonts w:hint="eastAsia" w:ascii="宋体" w:hAnsi="宋体" w:cs="宋体"/>
          <w:b/>
          <w:color w:val="auto"/>
          <w:sz w:val="40"/>
          <w:szCs w:val="40"/>
          <w:highlight w:val="none"/>
        </w:rPr>
        <w:t>）的招标公告</w:t>
      </w:r>
    </w:p>
    <w:p>
      <w:pPr>
        <w:shd w:val="clear" w:color="auto" w:fill="auto"/>
        <w:spacing w:line="400" w:lineRule="exact"/>
        <w:jc w:val="center"/>
        <w:rPr>
          <w:rFonts w:hint="eastAsia" w:ascii="宋体" w:hAnsi="宋体" w:cs="宋体"/>
          <w:b/>
          <w:color w:val="auto"/>
          <w:sz w:val="30"/>
          <w:szCs w:val="30"/>
          <w:highlight w:val="none"/>
        </w:rPr>
      </w:pPr>
    </w:p>
    <w:p>
      <w:pPr>
        <w:pBdr>
          <w:top w:val="single" w:color="auto" w:sz="4" w:space="1"/>
          <w:left w:val="single" w:color="auto" w:sz="4" w:space="4"/>
          <w:bottom w:val="single" w:color="auto" w:sz="4" w:space="1"/>
          <w:right w:val="single" w:color="auto" w:sz="4" w:space="4"/>
        </w:pBd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项目概况</w:t>
      </w:r>
    </w:p>
    <w:p>
      <w:pPr>
        <w:pBdr>
          <w:top w:val="single" w:color="auto" w:sz="4" w:space="1"/>
          <w:left w:val="single" w:color="auto" w:sz="4" w:space="4"/>
          <w:bottom w:val="single" w:color="auto" w:sz="4" w:space="1"/>
          <w:right w:val="single" w:color="auto" w:sz="4" w:space="4"/>
        </w:pBdr>
        <w:shd w:val="clear" w:color="auto" w:fill="auto"/>
        <w:spacing w:line="400" w:lineRule="exact"/>
        <w:ind w:firstLine="525" w:firstLineChars="250"/>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eastAsia="zh-CN"/>
        </w:rPr>
        <w:t>2025年南宁市中考答题卡扫描、无纸化阅卷服务采购</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招标项目的潜在投标人应在</w:t>
      </w:r>
      <w:r>
        <w:rPr>
          <w:rFonts w:hint="eastAsia" w:ascii="宋体" w:hAnsi="宋体" w:cs="宋体"/>
          <w:color w:val="auto"/>
          <w:szCs w:val="21"/>
          <w:highlight w:val="none"/>
          <w:u w:val="single"/>
        </w:rPr>
        <w:t>广西政府采购云平台（https://www.gcy.zfcg.gxzf.gov.cn/）</w:t>
      </w:r>
      <w:r>
        <w:rPr>
          <w:rFonts w:hint="eastAsia" w:ascii="宋体" w:hAnsi="宋体" w:cs="宋体"/>
          <w:color w:val="auto"/>
          <w:szCs w:val="21"/>
          <w:highlight w:val="none"/>
        </w:rPr>
        <w:t>获取招标文件，并于</w:t>
      </w:r>
      <w:bookmarkStart w:id="4" w:name="PO_3000001867_PM015"/>
      <w:r>
        <w:rPr>
          <w:rFonts w:hint="eastAsia" w:ascii="宋体" w:hAnsi="宋体" w:cs="宋体"/>
          <w:color w:val="auto"/>
          <w:szCs w:val="21"/>
          <w:highlight w:val="none"/>
          <w:u w:val="single"/>
          <w:lang w:eastAsia="zh-CN"/>
        </w:rPr>
        <w:t>2025</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24</w:t>
      </w:r>
      <w:r>
        <w:rPr>
          <w:rFonts w:hint="eastAsia" w:ascii="宋体" w:hAnsi="宋体" w:cs="宋体"/>
          <w:color w:val="auto"/>
          <w:szCs w:val="21"/>
          <w:highlight w:val="none"/>
          <w:u w:val="single"/>
        </w:rPr>
        <w:t>日 09:30:00</w:t>
      </w:r>
      <w:bookmarkEnd w:id="4"/>
      <w:r>
        <w:rPr>
          <w:rFonts w:hint="eastAsia" w:ascii="宋体" w:hAnsi="宋体" w:cs="宋体"/>
          <w:bCs/>
          <w:color w:val="auto"/>
          <w:szCs w:val="21"/>
          <w:highlight w:val="none"/>
        </w:rPr>
        <w:t>（北京时间）前</w:t>
      </w:r>
      <w:r>
        <w:rPr>
          <w:rFonts w:hint="eastAsia" w:ascii="宋体" w:hAnsi="宋体" w:cs="宋体"/>
          <w:color w:val="auto"/>
          <w:szCs w:val="21"/>
          <w:highlight w:val="none"/>
        </w:rPr>
        <w:t>递交投标文件。</w:t>
      </w:r>
    </w:p>
    <w:p>
      <w:pPr>
        <w:shd w:val="clear" w:color="auto" w:fill="auto"/>
        <w:spacing w:line="400" w:lineRule="exact"/>
        <w:rPr>
          <w:rFonts w:hint="eastAsia" w:ascii="宋体" w:hAnsi="宋体" w:cs="宋体"/>
          <w:b/>
          <w:bCs/>
          <w:color w:val="auto"/>
          <w:sz w:val="24"/>
          <w:highlight w:val="none"/>
        </w:rPr>
      </w:pPr>
      <w:bookmarkStart w:id="5" w:name="_Toc35393790"/>
      <w:bookmarkStart w:id="6" w:name="_Toc28359079"/>
      <w:bookmarkStart w:id="7" w:name="_Toc35393621"/>
      <w:bookmarkStart w:id="8" w:name="_Toc28359002"/>
      <w:bookmarkStart w:id="9" w:name="_Hlk24379207"/>
    </w:p>
    <w:p>
      <w:pPr>
        <w:shd w:val="clear" w:color="auto" w:fill="auto"/>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一、项目基本情况</w:t>
      </w:r>
      <w:bookmarkEnd w:id="5"/>
      <w:bookmarkEnd w:id="6"/>
      <w:bookmarkEnd w:id="7"/>
      <w:bookmarkEnd w:id="8"/>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NNZC2025-G3-990111-GXKL</w:t>
      </w:r>
      <w:r>
        <w:rPr>
          <w:rFonts w:hint="eastAsia" w:ascii="宋体" w:hAnsi="宋体" w:cs="宋体"/>
          <w:color w:val="auto"/>
          <w:szCs w:val="21"/>
          <w:highlight w:val="none"/>
        </w:rPr>
        <w:t>（采购计划编号：NNZC[2025]495号）</w:t>
      </w:r>
    </w:p>
    <w:p>
      <w:pPr>
        <w:shd w:val="clear" w:color="auto" w:fill="auto"/>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项目名称：</w:t>
      </w:r>
      <w:r>
        <w:rPr>
          <w:rFonts w:hint="eastAsia" w:ascii="宋体" w:hAnsi="宋体" w:cs="宋体"/>
          <w:color w:val="auto"/>
          <w:szCs w:val="21"/>
          <w:highlight w:val="none"/>
          <w:lang w:eastAsia="zh-CN"/>
        </w:rPr>
        <w:t>2025年南宁市中考答题卡扫描、无纸化阅卷服务采购</w:t>
      </w:r>
    </w:p>
    <w:bookmarkEnd w:id="9"/>
    <w:p>
      <w:pPr>
        <w:shd w:val="clear" w:color="auto" w:fill="auto"/>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预算总金额（元）：1062</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rPr>
        <w:t>.00</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采购需求：</w:t>
      </w:r>
    </w:p>
    <w:p>
      <w:pPr>
        <w:shd w:val="clear" w:color="auto" w:fill="auto"/>
        <w:spacing w:line="400" w:lineRule="exact"/>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2025年南宁市中考答题卡扫描、无纸化阅卷服务采购</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数量：1</w:t>
      </w:r>
      <w:r>
        <w:rPr>
          <w:rFonts w:hint="eastAsia"/>
          <w:color w:val="auto"/>
          <w:highlight w:val="none"/>
        </w:rPr>
        <w:t>项</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预算金额（元）：1062</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rPr>
        <w:t>.00</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bookmarkStart w:id="10" w:name="OLE_LINK31"/>
      <w:r>
        <w:rPr>
          <w:rFonts w:hint="eastAsia" w:ascii="宋体" w:hAnsi="宋体" w:cs="宋体"/>
          <w:color w:val="auto"/>
          <w:szCs w:val="21"/>
          <w:highlight w:val="none"/>
        </w:rPr>
        <w:t>中考答题卡扫描、无纸化阅卷服务</w:t>
      </w:r>
      <w:bookmarkEnd w:id="10"/>
      <w:r>
        <w:rPr>
          <w:rFonts w:hint="eastAsia" w:ascii="宋体" w:hAnsi="宋体" w:cs="宋体"/>
          <w:color w:val="auto"/>
          <w:szCs w:val="21"/>
          <w:highlight w:val="none"/>
        </w:rPr>
        <w:t>1项，详见本招标公告附件。</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最高限价（如有）：1062</w:t>
      </w:r>
      <w:r>
        <w:rPr>
          <w:rFonts w:hint="eastAsia" w:ascii="宋体" w:hAnsi="宋体" w:cs="宋体"/>
          <w:color w:val="auto"/>
          <w:szCs w:val="21"/>
          <w:highlight w:val="none"/>
          <w:lang w:val="en-US" w:eastAsia="zh-CN"/>
        </w:rPr>
        <w:t>000</w:t>
      </w:r>
      <w:r>
        <w:rPr>
          <w:rFonts w:hint="eastAsia" w:ascii="宋体" w:hAnsi="宋体" w:cs="宋体"/>
          <w:color w:val="auto"/>
          <w:szCs w:val="21"/>
          <w:highlight w:val="none"/>
        </w:rPr>
        <w:t>.00</w:t>
      </w:r>
      <w:bookmarkStart w:id="362" w:name="_GoBack"/>
      <w:bookmarkEnd w:id="362"/>
    </w:p>
    <w:p>
      <w:pPr>
        <w:shd w:val="clear" w:color="auto" w:fill="auto"/>
        <w:spacing w:line="4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合同履行期限：</w:t>
      </w:r>
      <w:r>
        <w:rPr>
          <w:rFonts w:hint="eastAsia"/>
          <w:bCs/>
          <w:color w:val="auto"/>
        </w:rPr>
        <w:t>202</w:t>
      </w:r>
      <w:r>
        <w:rPr>
          <w:rFonts w:hint="eastAsia"/>
          <w:bCs/>
          <w:color w:val="auto"/>
          <w:lang w:val="en-US" w:eastAsia="zh-CN"/>
        </w:rPr>
        <w:t>5</w:t>
      </w:r>
      <w:r>
        <w:rPr>
          <w:rFonts w:hint="eastAsia"/>
          <w:bCs/>
          <w:color w:val="auto"/>
        </w:rPr>
        <w:t>年</w:t>
      </w:r>
      <w:r>
        <w:rPr>
          <w:rFonts w:hint="eastAsia"/>
          <w:color w:val="auto"/>
          <w:lang w:val="en-US" w:eastAsia="zh-CN"/>
        </w:rPr>
        <w:t>7</w:t>
      </w:r>
      <w:r>
        <w:rPr>
          <w:rFonts w:hint="eastAsia"/>
          <w:color w:val="auto"/>
        </w:rPr>
        <w:t>月</w:t>
      </w:r>
      <w:r>
        <w:rPr>
          <w:rFonts w:hint="eastAsia"/>
          <w:color w:val="auto"/>
          <w:lang w:val="en-US" w:eastAsia="zh-CN"/>
        </w:rPr>
        <w:t>7</w:t>
      </w:r>
      <w:r>
        <w:rPr>
          <w:rFonts w:hint="eastAsia"/>
          <w:color w:val="auto"/>
        </w:rPr>
        <w:t>日前实施完毕，</w:t>
      </w:r>
      <w:r>
        <w:rPr>
          <w:rFonts w:hint="eastAsia"/>
          <w:bCs/>
          <w:color w:val="auto"/>
        </w:rPr>
        <w:t>202</w:t>
      </w:r>
      <w:r>
        <w:rPr>
          <w:rFonts w:hint="eastAsia"/>
          <w:bCs/>
          <w:color w:val="auto"/>
          <w:lang w:val="en-US" w:eastAsia="zh-CN"/>
        </w:rPr>
        <w:t>5</w:t>
      </w:r>
      <w:r>
        <w:rPr>
          <w:rFonts w:hint="eastAsia"/>
          <w:bCs/>
          <w:color w:val="auto"/>
        </w:rPr>
        <w:t>年</w:t>
      </w:r>
      <w:r>
        <w:rPr>
          <w:rFonts w:hint="eastAsia"/>
          <w:color w:val="auto"/>
          <w:lang w:val="en-US" w:eastAsia="zh-CN"/>
        </w:rPr>
        <w:t>7</w:t>
      </w:r>
      <w:r>
        <w:rPr>
          <w:rFonts w:hint="eastAsia"/>
          <w:color w:val="auto"/>
        </w:rPr>
        <w:t>月1</w:t>
      </w:r>
      <w:r>
        <w:rPr>
          <w:rFonts w:hint="eastAsia"/>
          <w:color w:val="auto"/>
          <w:lang w:val="en-US" w:eastAsia="zh-CN"/>
        </w:rPr>
        <w:t>5</w:t>
      </w:r>
      <w:r>
        <w:rPr>
          <w:rFonts w:hint="eastAsia"/>
          <w:color w:val="auto"/>
        </w:rPr>
        <w:t>日进行本项目的验收。</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本项目(否)接受联合体投标</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备注：无</w:t>
      </w:r>
    </w:p>
    <w:p>
      <w:pPr>
        <w:shd w:val="clear" w:color="auto" w:fill="auto"/>
        <w:spacing w:line="400" w:lineRule="exact"/>
        <w:rPr>
          <w:rFonts w:hint="eastAsia" w:ascii="宋体" w:hAnsi="宋体" w:cs="宋体"/>
          <w:b/>
          <w:bCs/>
          <w:color w:val="auto"/>
          <w:sz w:val="24"/>
          <w:highlight w:val="none"/>
        </w:rPr>
      </w:pPr>
      <w:bookmarkStart w:id="11" w:name="_Toc35393622"/>
      <w:bookmarkStart w:id="12" w:name="_Toc28359003"/>
      <w:bookmarkStart w:id="13" w:name="_Toc35393791"/>
      <w:bookmarkStart w:id="14" w:name="_Toc28359080"/>
      <w:r>
        <w:rPr>
          <w:rFonts w:hint="eastAsia" w:ascii="宋体" w:hAnsi="宋体" w:cs="宋体"/>
          <w:b/>
          <w:bCs/>
          <w:color w:val="auto"/>
          <w:sz w:val="24"/>
          <w:highlight w:val="none"/>
        </w:rPr>
        <w:t>二、申请人的资格要求：</w:t>
      </w:r>
      <w:bookmarkEnd w:id="11"/>
      <w:bookmarkEnd w:id="12"/>
      <w:bookmarkEnd w:id="13"/>
      <w:bookmarkEnd w:id="14"/>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1.满足《中华人民共和国政府采购法》第二十二条规定；</w:t>
      </w:r>
    </w:p>
    <w:p>
      <w:pPr>
        <w:shd w:val="clear" w:color="auto" w:fill="auto"/>
        <w:spacing w:line="400" w:lineRule="exact"/>
        <w:ind w:firstLine="420" w:firstLineChars="200"/>
        <w:rPr>
          <w:rFonts w:hint="eastAsia" w:ascii="宋体" w:hAnsi="宋体" w:cs="宋体"/>
          <w:color w:val="auto"/>
          <w:szCs w:val="21"/>
          <w:highlight w:val="none"/>
        </w:rPr>
      </w:pPr>
      <w:bookmarkStart w:id="15" w:name="_Toc28359081"/>
      <w:bookmarkStart w:id="16" w:name="_Toc28359004"/>
      <w:r>
        <w:rPr>
          <w:rFonts w:hint="eastAsia" w:ascii="宋体" w:hAnsi="宋体" w:cs="宋体"/>
          <w:color w:val="auto"/>
          <w:szCs w:val="21"/>
          <w:highlight w:val="none"/>
        </w:rPr>
        <w:t>2.落实政府采购政策需满足的资格要求：本项目为专门面向</w:t>
      </w:r>
      <w:r>
        <w:rPr>
          <w:rFonts w:hint="eastAsia" w:ascii="宋体" w:hAnsi="宋体" w:cs="宋体"/>
          <w:color w:val="auto"/>
          <w:szCs w:val="21"/>
          <w:highlight w:val="none"/>
          <w:lang w:eastAsia="zh-CN"/>
        </w:rPr>
        <w:t>小微企业</w:t>
      </w:r>
      <w:r>
        <w:rPr>
          <w:rFonts w:hint="eastAsia" w:ascii="宋体" w:hAnsi="宋体" w:cs="宋体"/>
          <w:color w:val="auto"/>
          <w:szCs w:val="21"/>
          <w:highlight w:val="none"/>
        </w:rPr>
        <w:t>采购的项目。</w:t>
      </w:r>
      <w:r>
        <w:rPr>
          <w:rFonts w:hint="eastAsia"/>
          <w:color w:val="auto"/>
          <w:highlight w:val="none"/>
        </w:rPr>
        <w:t>投标人</w:t>
      </w:r>
      <w:r>
        <w:rPr>
          <w:rFonts w:hint="eastAsia" w:ascii="宋体" w:hAnsi="宋体" w:cs="宋体"/>
          <w:color w:val="auto"/>
          <w:szCs w:val="21"/>
          <w:highlight w:val="none"/>
        </w:rPr>
        <w:t>必须提供中小企业声明函或者残疾人福利性单位声明函（格式后附）或者供应商属于监狱企业的需提供由省级以上监狱管理局、戒毒管理局（含新疆生产建设兵团）出具的属于监狱企业的证明文件。</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3.本项目的特定资格要求：无。</w:t>
      </w:r>
    </w:p>
    <w:p>
      <w:pPr>
        <w:shd w:val="clear" w:color="auto" w:fill="auto"/>
        <w:spacing w:line="400" w:lineRule="exact"/>
        <w:rPr>
          <w:rFonts w:hint="eastAsia" w:ascii="宋体" w:hAnsi="宋体" w:cs="宋体"/>
          <w:b/>
          <w:bCs/>
          <w:color w:val="auto"/>
          <w:sz w:val="24"/>
          <w:highlight w:val="none"/>
        </w:rPr>
      </w:pPr>
      <w:bookmarkStart w:id="17" w:name="_Toc35393623"/>
      <w:bookmarkStart w:id="18" w:name="_Toc35393792"/>
      <w:r>
        <w:rPr>
          <w:rFonts w:hint="eastAsia" w:ascii="宋体" w:hAnsi="宋体" w:cs="宋体"/>
          <w:b/>
          <w:bCs/>
          <w:color w:val="auto"/>
          <w:sz w:val="24"/>
          <w:highlight w:val="none"/>
        </w:rPr>
        <w:t>三、获取招标文件</w:t>
      </w:r>
      <w:bookmarkEnd w:id="15"/>
      <w:bookmarkEnd w:id="16"/>
      <w:bookmarkEnd w:id="17"/>
      <w:bookmarkEnd w:id="18"/>
    </w:p>
    <w:p>
      <w:pPr>
        <w:shd w:val="clear" w:color="auto" w:fill="auto"/>
        <w:snapToGrid w:val="0"/>
        <w:spacing w:line="400" w:lineRule="exact"/>
        <w:ind w:firstLine="472" w:firstLineChars="225"/>
        <w:rPr>
          <w:rFonts w:hint="eastAsia" w:ascii="宋体" w:hAnsi="宋体" w:cs="宋体"/>
          <w:color w:val="auto"/>
          <w:szCs w:val="21"/>
          <w:highlight w:val="none"/>
        </w:rPr>
      </w:pPr>
      <w:bookmarkStart w:id="19" w:name="_Toc28359005"/>
      <w:bookmarkStart w:id="20" w:name="_Toc28359082"/>
      <w:bookmarkStart w:id="21" w:name="_Toc35393793"/>
      <w:bookmarkStart w:id="22" w:name="_Toc35393624"/>
      <w:r>
        <w:rPr>
          <w:rFonts w:hint="eastAsia" w:ascii="宋体" w:hAnsi="宋体" w:cs="宋体"/>
          <w:color w:val="auto"/>
          <w:szCs w:val="21"/>
          <w:highlight w:val="none"/>
        </w:rPr>
        <w:t>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日至</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日，每天上午00:00至12:00，下午12:00至23:59（北京时间）。</w:t>
      </w:r>
    </w:p>
    <w:p>
      <w:pPr>
        <w:shd w:val="clear" w:color="auto" w:fill="auto"/>
        <w:snapToGrid w:val="0"/>
        <w:spacing w:line="4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地点（网址）：广西政府采购云平台（https://www.gcy.zfcg.gxzf.gov.cn/）</w:t>
      </w:r>
    </w:p>
    <w:p>
      <w:pPr>
        <w:shd w:val="clear" w:color="auto" w:fill="auto"/>
        <w:snapToGrid w:val="0"/>
        <w:spacing w:line="4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 xml:space="preserve">方式 : </w:t>
      </w:r>
      <w:bookmarkStart w:id="23" w:name="OLE_LINK39"/>
      <w:r>
        <w:rPr>
          <w:rFonts w:hint="eastAsia" w:ascii="宋体" w:hAnsi="宋体" w:cs="宋体"/>
          <w:color w:val="auto"/>
          <w:szCs w:val="21"/>
          <w:highlight w:val="none"/>
        </w:rPr>
        <w:t>网上下载。本项目不发放纸质文件，潜在供应商可自行登录广西政府采购云平台下载采购文件，电子投标文件制作需要基于广西政府采购云平台获取的采购文件编制。</w:t>
      </w:r>
    </w:p>
    <w:bookmarkEnd w:id="23"/>
    <w:p>
      <w:pPr>
        <w:shd w:val="clear" w:color="auto" w:fill="auto"/>
        <w:snapToGrid w:val="0"/>
        <w:spacing w:line="400" w:lineRule="exact"/>
        <w:ind w:firstLine="472" w:firstLineChars="225"/>
        <w:rPr>
          <w:rFonts w:hint="eastAsia" w:ascii="宋体" w:hAnsi="宋体" w:cs="宋体"/>
          <w:color w:val="auto"/>
          <w:szCs w:val="21"/>
          <w:highlight w:val="none"/>
        </w:rPr>
      </w:pPr>
      <w:r>
        <w:rPr>
          <w:rFonts w:hint="eastAsia" w:ascii="宋体" w:hAnsi="宋体" w:cs="宋体"/>
          <w:color w:val="auto"/>
          <w:szCs w:val="21"/>
          <w:highlight w:val="none"/>
        </w:rPr>
        <w:t>售价：0.00元。</w:t>
      </w:r>
    </w:p>
    <w:p>
      <w:pPr>
        <w:shd w:val="clear" w:color="auto" w:fill="auto"/>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四、提交投标文件</w:t>
      </w:r>
      <w:bookmarkEnd w:id="19"/>
      <w:bookmarkEnd w:id="20"/>
      <w:r>
        <w:rPr>
          <w:rFonts w:hint="eastAsia" w:ascii="宋体" w:hAnsi="宋体" w:cs="宋体"/>
          <w:b/>
          <w:bCs/>
          <w:color w:val="auto"/>
          <w:sz w:val="24"/>
          <w:highlight w:val="none"/>
        </w:rPr>
        <w:t>截止时间、开标时间和地点</w:t>
      </w:r>
      <w:bookmarkEnd w:id="21"/>
      <w:bookmarkEnd w:id="22"/>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提交投标文件截止时间：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 09:30:00（北京时间）</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投标地点（网址）：广西政府采购云平台（https://www.gcy.zfcg.gxzf.gov.cn/）</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开标时间：</w:t>
      </w:r>
      <w:r>
        <w:rPr>
          <w:rFonts w:hint="eastAsia" w:ascii="宋体" w:hAnsi="宋体" w:cs="宋体"/>
          <w:color w:val="auto"/>
          <w:szCs w:val="21"/>
          <w:highlight w:val="none"/>
          <w:lang w:eastAsia="zh-CN"/>
        </w:rPr>
        <w:t>2025</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24</w:t>
      </w:r>
      <w:r>
        <w:rPr>
          <w:rFonts w:hint="eastAsia" w:ascii="宋体" w:hAnsi="宋体" w:cs="宋体"/>
          <w:color w:val="auto"/>
          <w:szCs w:val="21"/>
          <w:highlight w:val="none"/>
        </w:rPr>
        <w:t>日 09:30:00（北京时间）</w:t>
      </w:r>
    </w:p>
    <w:p>
      <w:pPr>
        <w:shd w:val="clear" w:color="auto" w:fill="auto"/>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开标地点：</w:t>
      </w:r>
      <w:bookmarkStart w:id="24" w:name="OLE_LINK32"/>
      <w:r>
        <w:rPr>
          <w:rFonts w:hint="eastAsia" w:ascii="宋体" w:hAnsi="宋体" w:cs="宋体"/>
          <w:color w:val="auto"/>
          <w:szCs w:val="21"/>
          <w:highlight w:val="none"/>
        </w:rPr>
        <w:t>广西政府采购云平台</w:t>
      </w:r>
      <w:r>
        <w:rPr>
          <w:rFonts w:hint="eastAsia" w:ascii="宋体" w:hAnsi="宋体" w:cs="宋体"/>
          <w:bCs/>
          <w:color w:val="auto"/>
          <w:szCs w:val="21"/>
          <w:highlight w:val="none"/>
        </w:rPr>
        <w:t>电子开标大厅</w:t>
      </w:r>
      <w:bookmarkEnd w:id="24"/>
    </w:p>
    <w:p>
      <w:pPr>
        <w:shd w:val="clear" w:color="auto" w:fill="auto"/>
        <w:spacing w:line="400" w:lineRule="exact"/>
        <w:rPr>
          <w:rFonts w:hint="eastAsia" w:ascii="宋体" w:hAnsi="宋体" w:cs="宋体"/>
          <w:b/>
          <w:bCs/>
          <w:color w:val="auto"/>
          <w:sz w:val="24"/>
          <w:highlight w:val="none"/>
        </w:rPr>
      </w:pPr>
      <w:bookmarkStart w:id="25" w:name="_Toc28359007"/>
      <w:bookmarkStart w:id="26" w:name="_Toc28359084"/>
      <w:bookmarkStart w:id="27" w:name="_Toc35393625"/>
      <w:bookmarkStart w:id="28" w:name="_Toc35393794"/>
      <w:r>
        <w:rPr>
          <w:rFonts w:hint="eastAsia" w:ascii="宋体" w:hAnsi="宋体" w:cs="宋体"/>
          <w:b/>
          <w:bCs/>
          <w:color w:val="auto"/>
          <w:sz w:val="24"/>
          <w:highlight w:val="none"/>
        </w:rPr>
        <w:t>五、公告期限</w:t>
      </w:r>
      <w:bookmarkEnd w:id="25"/>
      <w:bookmarkEnd w:id="26"/>
      <w:bookmarkEnd w:id="27"/>
      <w:bookmarkEnd w:id="28"/>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shd w:val="clear" w:color="auto" w:fill="auto"/>
        <w:spacing w:line="400" w:lineRule="exact"/>
        <w:rPr>
          <w:rFonts w:hint="eastAsia" w:ascii="宋体" w:hAnsi="宋体" w:cs="宋体"/>
          <w:b/>
          <w:bCs/>
          <w:color w:val="auto"/>
          <w:sz w:val="24"/>
          <w:highlight w:val="none"/>
        </w:rPr>
      </w:pPr>
      <w:bookmarkStart w:id="29" w:name="_Toc35393626"/>
      <w:bookmarkStart w:id="30" w:name="_Toc35393795"/>
      <w:r>
        <w:rPr>
          <w:rFonts w:hint="eastAsia" w:ascii="宋体" w:hAnsi="宋体" w:cs="宋体"/>
          <w:b/>
          <w:bCs/>
          <w:color w:val="auto"/>
          <w:sz w:val="24"/>
          <w:highlight w:val="none"/>
        </w:rPr>
        <w:t>六、其他补充事宜</w:t>
      </w:r>
      <w:bookmarkEnd w:id="29"/>
      <w:bookmarkEnd w:id="30"/>
    </w:p>
    <w:p>
      <w:pPr>
        <w:shd w:val="clear" w:color="auto" w:fill="auto"/>
        <w:spacing w:line="400" w:lineRule="exact"/>
        <w:ind w:firstLine="315" w:firstLineChars="150"/>
        <w:rPr>
          <w:rFonts w:hint="eastAsia" w:ascii="宋体" w:hAnsi="宋体" w:cs="宋体"/>
          <w:color w:val="auto"/>
          <w:kern w:val="0"/>
          <w:szCs w:val="21"/>
          <w:highlight w:val="none"/>
        </w:rPr>
      </w:pPr>
      <w:bookmarkStart w:id="31" w:name="_Toc35393627"/>
      <w:bookmarkStart w:id="32" w:name="_Toc28359085"/>
      <w:bookmarkStart w:id="33" w:name="_Toc28359008"/>
      <w:bookmarkStart w:id="34" w:name="_Toc35393796"/>
      <w:r>
        <w:rPr>
          <w:rFonts w:hint="eastAsia" w:ascii="宋体" w:hAnsi="宋体" w:cs="宋体"/>
          <w:color w:val="auto"/>
          <w:kern w:val="0"/>
          <w:szCs w:val="21"/>
          <w:highlight w:val="none"/>
        </w:rPr>
        <w:t>1.投标保证金：本项目不收取投标保证金。</w:t>
      </w:r>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2.采购意向公开链接：</w:t>
      </w:r>
      <w:bookmarkStart w:id="35" w:name="OLE_LINK8"/>
    </w:p>
    <w:p>
      <w:pPr>
        <w:shd w:val="clear" w:color="auto" w:fill="auto"/>
        <w:spacing w:line="400" w:lineRule="exact"/>
        <w:ind w:firstLine="420" w:firstLineChars="200"/>
        <w:rPr>
          <w:rFonts w:hint="default" w:ascii="宋体" w:hAnsi="宋体" w:cs="宋体"/>
          <w:color w:val="auto"/>
          <w:kern w:val="0"/>
          <w:szCs w:val="21"/>
          <w:highlight w:val="none"/>
          <w:lang w:val="en-US"/>
        </w:rPr>
      </w:pPr>
      <w:r>
        <w:rPr>
          <w:rFonts w:hint="eastAsia" w:ascii="宋体" w:hAnsi="宋体" w:eastAsia="宋体" w:cs="宋体"/>
          <w:color w:val="auto"/>
          <w:kern w:val="0"/>
          <w:sz w:val="21"/>
          <w:szCs w:val="21"/>
          <w:highlight w:val="none"/>
        </w:rPr>
        <w:fldChar w:fldCharType="begin"/>
      </w:r>
      <w:r>
        <w:rPr>
          <w:rFonts w:hint="eastAsia" w:ascii="宋体" w:hAnsi="宋体" w:eastAsia="宋体" w:cs="宋体"/>
          <w:color w:val="auto"/>
          <w:kern w:val="0"/>
          <w:sz w:val="21"/>
          <w:szCs w:val="21"/>
          <w:highlight w:val="none"/>
        </w:rPr>
        <w:instrText xml:space="preserve"> HYPERLINK "http://www.ccgp-guangxi.gov.cn/site/detail?parentId=66601&amp;articleId=McgZhJ8YInxfifoSrQzfNA==" </w:instrText>
      </w:r>
      <w:r>
        <w:rPr>
          <w:rFonts w:hint="eastAsia" w:ascii="宋体" w:hAnsi="宋体" w:eastAsia="宋体" w:cs="宋体"/>
          <w:color w:val="auto"/>
          <w:kern w:val="0"/>
          <w:sz w:val="21"/>
          <w:szCs w:val="21"/>
          <w:highlight w:val="none"/>
        </w:rPr>
        <w:fldChar w:fldCharType="separate"/>
      </w:r>
      <w:r>
        <w:rPr>
          <w:rFonts w:hint="eastAsia" w:ascii="宋体" w:hAnsi="宋体" w:eastAsia="宋体" w:cs="宋体"/>
          <w:color w:val="auto"/>
          <w:kern w:val="0"/>
          <w:sz w:val="21"/>
          <w:szCs w:val="21"/>
          <w:highlight w:val="none"/>
        </w:rPr>
        <w:t>http://www.ccgp-guangxi.gov.cn/site/detail?parentId=66601&amp;articleId=McgZhJ8YInxfifoSrQzfNA==</w:t>
      </w:r>
      <w:r>
        <w:rPr>
          <w:rFonts w:hint="eastAsia" w:ascii="宋体" w:hAnsi="宋体" w:eastAsia="宋体" w:cs="宋体"/>
          <w:color w:val="auto"/>
          <w:kern w:val="0"/>
          <w:sz w:val="21"/>
          <w:szCs w:val="21"/>
          <w:highlight w:val="none"/>
        </w:rPr>
        <w:fldChar w:fldCharType="end"/>
      </w:r>
      <w:bookmarkEnd w:id="35"/>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3.网上查询地址：http://www.ccgp.gov.cn/</w:t>
      </w:r>
      <w:r>
        <w:rPr>
          <w:rFonts w:hint="eastAsia" w:ascii="宋体" w:hAnsi="宋体" w:cs="宋体"/>
          <w:color w:val="auto"/>
          <w:kern w:val="0"/>
          <w:szCs w:val="21"/>
          <w:highlight w:val="none"/>
          <w:lang w:val="en-US" w:eastAsia="zh-CN"/>
        </w:rPr>
        <w:t>（中国政府采购网）、</w:t>
      </w:r>
      <w:r>
        <w:rPr>
          <w:rFonts w:hint="eastAsia" w:ascii="宋体" w:hAnsi="宋体" w:cs="宋体"/>
          <w:color w:val="auto"/>
          <w:kern w:val="0"/>
          <w:szCs w:val="21"/>
          <w:highlight w:val="none"/>
        </w:rPr>
        <w:t>http://www.ccgp-guangxi.gov.cn/（中国政府采购网广西分网）、http://ggzy.jgswj.gxzf.gov.cn/nnggzy/（全国公共资源交易平台(广西.南宁)）。</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 本项目需要落实的政府采购政策（如有）：</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5.供应商认为招标文件使自己的权益受到损害的，可以在知道或者应知其权益受到损害之日起7个工作日内，以书面形式向采购人、采购代理机构提出质疑。质疑供应商对采购人、采购代理机构的答复不满意或者采购人、采购代理机构未在规定的时间内作出答复的，可以在答复期满后十五个工作日内向同级政府采购监督管理部门投诉。</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6.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7.对在“信用中国”网站(www.creditchina.gov.cn) 、中国政府采购网(www.ccgp.gov.cn)被列入失信被执行人、重大税收违法案件当事人名单（重大税收违法失信主体）、政府采购严重违法失信行为记录名单及其他不符合《中华人民共和国政府采购法》第二十二条规定条件的供应商，不得参与政府采购活动。</w:t>
      </w:r>
    </w:p>
    <w:p>
      <w:pPr>
        <w:shd w:val="clear" w:color="auto" w:fill="auto"/>
        <w:spacing w:line="400" w:lineRule="exact"/>
        <w:ind w:firstLine="315" w:firstLineChars="150"/>
        <w:rPr>
          <w:rFonts w:hint="eastAsia" w:ascii="宋体" w:hAnsi="宋体" w:cs="宋体"/>
          <w:color w:val="auto"/>
          <w:kern w:val="0"/>
          <w:szCs w:val="21"/>
          <w:highlight w:val="none"/>
        </w:rPr>
      </w:pPr>
      <w:r>
        <w:rPr>
          <w:rFonts w:hint="eastAsia" w:ascii="宋体" w:hAnsi="宋体" w:cs="宋体"/>
          <w:color w:val="auto"/>
          <w:kern w:val="0"/>
          <w:szCs w:val="21"/>
          <w:highlight w:val="none"/>
        </w:rPr>
        <w:t>8.投标人投标注意事项：</w:t>
      </w:r>
    </w:p>
    <w:p>
      <w:pPr>
        <w:widowControl/>
        <w:shd w:val="clear" w:color="auto"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（1）投标文件提交方式：本项目为南宁市全流程电子化项目，通过广西政府采购云平台（https://www.gcy.zfcg.gxzf.gov.cn/）实行在线电子投标，供应商应先安装</w:t>
      </w:r>
      <w:r>
        <w:rPr>
          <w:rFonts w:hint="eastAsia" w:ascii="宋体" w:hAnsi="宋体" w:cs="宋体"/>
          <w:color w:val="auto"/>
          <w:kern w:val="0"/>
          <w:szCs w:val="21"/>
          <w:highlight w:val="none"/>
        </w:rPr>
        <w:t>广西政府采购云平台新版客户端</w:t>
      </w:r>
      <w:r>
        <w:rPr>
          <w:rFonts w:hint="eastAsia" w:ascii="宋体" w:hAnsi="宋体" w:cs="宋体"/>
          <w:color w:val="auto"/>
          <w:szCs w:val="21"/>
          <w:highlight w:val="none"/>
        </w:rPr>
        <w:t>（请自行前往广西政府采购云平台进行下载），并按照本项目招标文件和广西政府采购云平台的要求编制、加密后在投标截止时间前通过网络上传至南宁市广西政府采购云平台，供应商在广西政府采购云平台提交电子版投标文件时，请填写参加远程开标活动经办人联系方式，电子投标具体操作流程详见本公告文字附件2。</w:t>
      </w:r>
    </w:p>
    <w:p>
      <w:pPr>
        <w:widowControl/>
        <w:shd w:val="clear" w:color="auto"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未进行网上注册并办理数字证书（CA认证）的供应商将无法参与本项目政府采购活动，潜在供应商应当在投标截止时间前，完成电子交易平台上的CA数字证书办理（申领流程见本公告文字附件1）及投标文件的提交。完成CA数字证书办理预计7日左右，投标人只需办理其中一家CA数字证书及签章，建议各投标人抓紧时间办理。</w:t>
      </w:r>
    </w:p>
    <w:p>
      <w:pPr>
        <w:widowControl/>
        <w:shd w:val="clear" w:color="auto"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（3）为确保网上操作合法、有效和安全，请投标供应商确保在电子投标过程中能够对相关数据电文进行加密和使用电子签章，妥善保管CA数字证书并使用有效的CA数字证书参与整个招标活动。</w:t>
      </w:r>
    </w:p>
    <w:p>
      <w:pPr>
        <w:shd w:val="clear" w:color="auto" w:fill="auto"/>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pPr>
        <w:widowControl/>
        <w:shd w:val="clear" w:color="auto" w:fill="auto"/>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（4）开标地点：本次招标将在广西政府采购云平台电子开标大厅开标。</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5）CA证书在线解密：供应商投标时，需携带制作投标文件时用来加密的有效数字证书（CA认证）登录广西政府采购云平台电子开标大厅现场按规定时间对加密的投标文件进行解密，未能按要求进行解密的，由此产生的后果由投标人自行承担。</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（6）若对项目采购电子交易系统操作有疑问，可登录广西政府采购云平台（https://www.gcy.zfcg.gxzf.gov.cn/），点击右侧咨询小采，获取采小蜜智能服务管家帮助，或拨打</w:t>
      </w:r>
      <w:r>
        <w:rPr>
          <w:rFonts w:hint="eastAsia" w:ascii="宋体" w:hAnsi="宋体" w:cs="宋体"/>
          <w:b/>
          <w:bCs/>
          <w:color w:val="auto"/>
          <w:kern w:val="0"/>
          <w:szCs w:val="21"/>
          <w:highlight w:val="none"/>
        </w:rPr>
        <w:t>广西政府采购云平台服务热线95763</w:t>
      </w:r>
      <w:r>
        <w:rPr>
          <w:rFonts w:hint="eastAsia" w:ascii="宋体" w:hAnsi="宋体" w:cs="宋体"/>
          <w:color w:val="auto"/>
          <w:kern w:val="0"/>
          <w:szCs w:val="21"/>
          <w:highlight w:val="none"/>
        </w:rPr>
        <w:t>获取热线服务帮助。</w:t>
      </w:r>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9.公告附件：</w:t>
      </w:r>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szCs w:val="21"/>
          <w:highlight w:val="none"/>
        </w:rPr>
        <w:t>CA证书申请方式及操作指南下载地址（登录</w:t>
      </w:r>
      <w:r>
        <w:rPr>
          <w:rFonts w:hint="eastAsia" w:ascii="宋体" w:hAnsi="宋体" w:cs="宋体"/>
          <w:color w:val="auto"/>
          <w:highlight w:val="none"/>
        </w:rPr>
        <w:t>http://nncz.nanning.gov.cn/（南宁市财政局官网）-业务专题-政府采购监督管理-资料下载-“广西政采云西部CA办理方式”或“南宁市政采云CA证书办理操作指南”</w:t>
      </w:r>
      <w:r>
        <w:rPr>
          <w:rFonts w:hint="eastAsia" w:ascii="宋体" w:hAnsi="宋体" w:cs="宋体"/>
          <w:color w:val="auto"/>
          <w:szCs w:val="21"/>
          <w:highlight w:val="none"/>
        </w:rPr>
        <w:t>）</w:t>
      </w:r>
    </w:p>
    <w:p>
      <w:pPr>
        <w:shd w:val="clear" w:color="auto" w:fill="auto"/>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szCs w:val="21"/>
          <w:highlight w:val="none"/>
        </w:rPr>
        <w:t>电子投标文件制作与投送教程（在此网址下载：</w:t>
      </w:r>
      <w:r>
        <w:rPr>
          <w:rFonts w:hint="eastAsia" w:ascii="宋体" w:hAnsi="宋体" w:cs="宋体"/>
          <w:color w:val="auto"/>
          <w:highlight w:val="none"/>
        </w:rPr>
        <w:t>http://nncz.nanning.gov.cn/（南宁市财政局官网）-业务专题-政府采购监督管理-资料下载-南宁市政府采购项目全流程电子化交易操作指南</w:t>
      </w:r>
      <w:r>
        <w:rPr>
          <w:rFonts w:hint="eastAsia" w:ascii="宋体" w:hAnsi="宋体" w:cs="宋体"/>
          <w:color w:val="auto"/>
          <w:szCs w:val="21"/>
          <w:highlight w:val="none"/>
        </w:rPr>
        <w:t>）</w:t>
      </w:r>
      <w:r>
        <w:rPr>
          <w:rFonts w:hint="eastAsia" w:ascii="宋体" w:hAnsi="宋体" w:cs="宋体"/>
          <w:color w:val="auto"/>
          <w:kern w:val="0"/>
          <w:szCs w:val="21"/>
          <w:highlight w:val="none"/>
        </w:rPr>
        <w:t>。</w:t>
      </w:r>
    </w:p>
    <w:p>
      <w:pPr>
        <w:shd w:val="clear" w:color="auto" w:fill="auto"/>
        <w:spacing w:line="400" w:lineRule="exact"/>
        <w:rPr>
          <w:rFonts w:hint="eastAsia" w:ascii="宋体" w:hAnsi="宋体" w:cs="宋体"/>
          <w:b/>
          <w:bCs/>
          <w:color w:val="auto"/>
          <w:sz w:val="24"/>
          <w:highlight w:val="none"/>
        </w:rPr>
      </w:pPr>
      <w:r>
        <w:rPr>
          <w:rFonts w:hint="eastAsia" w:ascii="宋体" w:hAnsi="宋体" w:cs="宋体"/>
          <w:b/>
          <w:bCs/>
          <w:color w:val="auto"/>
          <w:sz w:val="24"/>
          <w:highlight w:val="none"/>
        </w:rPr>
        <w:t>七、对本次招标提出询问，请按以下方式联系。</w:t>
      </w:r>
      <w:bookmarkEnd w:id="31"/>
      <w:bookmarkEnd w:id="32"/>
      <w:bookmarkEnd w:id="33"/>
      <w:bookmarkEnd w:id="34"/>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1.采购人信息</w:t>
      </w:r>
    </w:p>
    <w:p>
      <w:pPr>
        <w:shd w:val="clear" w:color="auto" w:fill="auto"/>
        <w:snapToGrid w:val="0"/>
        <w:spacing w:line="400" w:lineRule="exact"/>
        <w:ind w:firstLine="420" w:firstLineChars="200"/>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lang w:eastAsia="zh-CN"/>
        </w:rPr>
        <w:t>南宁市招生考试院</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eastAsia="宋体" w:cs="宋体"/>
          <w:color w:val="auto"/>
          <w:kern w:val="0"/>
          <w:szCs w:val="21"/>
          <w:highlight w:val="none"/>
        </w:rPr>
        <w:t>南宁市民生路维新街南一里9号</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w:t>
      </w:r>
      <w:r>
        <w:rPr>
          <w:rFonts w:hint="eastAsia" w:ascii="宋体" w:hAnsi="宋体" w:eastAsia="宋体" w:cs="宋体"/>
          <w:color w:val="auto"/>
          <w:kern w:val="0"/>
          <w:szCs w:val="21"/>
          <w:highlight w:val="none"/>
        </w:rPr>
        <w:t>张弛</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联系电话：</w:t>
      </w:r>
      <w:r>
        <w:rPr>
          <w:rFonts w:ascii="宋体" w:hAnsi="宋体" w:eastAsia="宋体" w:cs="宋体"/>
          <w:color w:val="auto"/>
          <w:kern w:val="0"/>
          <w:szCs w:val="21"/>
          <w:highlight w:val="none"/>
        </w:rPr>
        <w:t>0771-2803208</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名称：</w:t>
      </w:r>
      <w:bookmarkStart w:id="36" w:name="PO_3000001866_PM031_1"/>
      <w:r>
        <w:rPr>
          <w:rFonts w:hint="eastAsia" w:ascii="宋体" w:hAnsi="宋体" w:cs="宋体"/>
          <w:color w:val="auto"/>
          <w:kern w:val="0"/>
          <w:szCs w:val="21"/>
          <w:highlight w:val="none"/>
        </w:rPr>
        <w:t>广西科联招标中心有限公司</w:t>
      </w:r>
      <w:bookmarkEnd w:id="36"/>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bookmarkStart w:id="37" w:name="PO_3000001866_PM035_1"/>
      <w:r>
        <w:rPr>
          <w:rFonts w:hint="eastAsia" w:ascii="宋体" w:hAnsi="宋体" w:cs="宋体"/>
          <w:color w:val="auto"/>
          <w:kern w:val="0"/>
          <w:szCs w:val="21"/>
          <w:highlight w:val="none"/>
        </w:rPr>
        <w:t>南宁市大学东路170号</w:t>
      </w:r>
      <w:bookmarkEnd w:id="37"/>
    </w:p>
    <w:p>
      <w:pPr>
        <w:shd w:val="clear" w:color="auto" w:fill="auto"/>
        <w:snapToGrid w:val="0"/>
        <w:spacing w:line="40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项目联系人：江炎兰</w:t>
      </w:r>
    </w:p>
    <w:p>
      <w:pPr>
        <w:shd w:val="clear" w:color="auto" w:fill="auto"/>
        <w:snapToGrid w:val="0"/>
        <w:spacing w:line="400" w:lineRule="exact"/>
        <w:ind w:firstLine="420" w:firstLineChars="200"/>
        <w:rPr>
          <w:rFonts w:hint="eastAsia" w:ascii="宋体" w:hAnsi="宋体"/>
          <w:color w:val="auto"/>
          <w:highlight w:val="none"/>
        </w:rPr>
      </w:pPr>
      <w:r>
        <w:rPr>
          <w:rFonts w:hint="eastAsia" w:ascii="宋体" w:hAnsi="宋体" w:cs="宋体"/>
          <w:color w:val="auto"/>
          <w:kern w:val="0"/>
          <w:szCs w:val="21"/>
          <w:highlight w:val="none"/>
        </w:rPr>
        <w:t>项目联系方式：0771-3486281</w:t>
      </w:r>
    </w:p>
    <w:p>
      <w:pPr>
        <w:shd w:val="clear" w:color="auto" w:fill="auto"/>
        <w:snapToGrid w:val="0"/>
        <w:spacing w:line="360" w:lineRule="auto"/>
        <w:rPr>
          <w:rFonts w:ascii="宋体" w:hAnsi="宋体" w:cs="宋体"/>
          <w:color w:val="auto"/>
          <w:sz w:val="24"/>
          <w:highlight w:val="none"/>
          <w:lang w:val="zh-CN"/>
        </w:rPr>
        <w:sectPr>
          <w:footerReference r:id="rId6" w:type="first"/>
          <w:footerReference r:id="rId5" w:type="default"/>
          <w:pgSz w:w="11911" w:h="16838"/>
          <w:pgMar w:top="1134" w:right="1134" w:bottom="1134" w:left="1134" w:header="720" w:footer="720" w:gutter="0"/>
          <w:pgNumType w:start="1"/>
          <w:cols w:space="720" w:num="1"/>
          <w:docGrid w:linePitch="331" w:charSpace="0"/>
        </w:sectPr>
      </w:pPr>
    </w:p>
    <w:p>
      <w:pPr>
        <w:shd w:val="clear" w:color="auto" w:fill="auto"/>
        <w:jc w:val="center"/>
        <w:outlineLvl w:val="0"/>
        <w:rPr>
          <w:rFonts w:hint="eastAsia"/>
          <w:b/>
          <w:color w:val="auto"/>
          <w:sz w:val="36"/>
          <w:szCs w:val="20"/>
          <w:highlight w:val="none"/>
        </w:rPr>
      </w:pPr>
      <w:bookmarkStart w:id="38" w:name="_Toc532545042"/>
    </w:p>
    <w:p>
      <w:pPr>
        <w:shd w:val="clear" w:color="auto" w:fill="auto"/>
        <w:jc w:val="center"/>
        <w:outlineLvl w:val="0"/>
        <w:rPr>
          <w:rFonts w:hint="eastAsia"/>
          <w:b/>
          <w:color w:val="auto"/>
          <w:sz w:val="36"/>
          <w:szCs w:val="20"/>
          <w:highlight w:val="none"/>
        </w:rPr>
      </w:pPr>
      <w:bookmarkStart w:id="39" w:name="_Toc177489447"/>
      <w:r>
        <w:rPr>
          <w:rFonts w:hint="eastAsia"/>
          <w:b/>
          <w:color w:val="auto"/>
          <w:sz w:val="36"/>
          <w:szCs w:val="20"/>
          <w:highlight w:val="none"/>
        </w:rPr>
        <w:t>第二章</w:t>
      </w:r>
      <w:r>
        <w:rPr>
          <w:b/>
          <w:color w:val="auto"/>
          <w:sz w:val="36"/>
          <w:szCs w:val="20"/>
          <w:highlight w:val="none"/>
        </w:rPr>
        <w:t xml:space="preserve">  </w:t>
      </w:r>
      <w:bookmarkEnd w:id="38"/>
      <w:r>
        <w:rPr>
          <w:rFonts w:hint="eastAsia"/>
          <w:b/>
          <w:color w:val="auto"/>
          <w:sz w:val="36"/>
          <w:szCs w:val="20"/>
          <w:highlight w:val="none"/>
        </w:rPr>
        <w:t>采购需求</w:t>
      </w:r>
      <w:bookmarkEnd w:id="39"/>
    </w:p>
    <w:p>
      <w:pPr>
        <w:shd w:val="clear" w:color="auto" w:fill="auto"/>
        <w:adjustRightInd w:val="0"/>
        <w:spacing w:line="340" w:lineRule="exact"/>
        <w:rPr>
          <w:rFonts w:hAnsi="宋体"/>
          <w:b/>
          <w:color w:val="auto"/>
          <w:szCs w:val="21"/>
          <w:highlight w:val="none"/>
        </w:rPr>
      </w:pPr>
    </w:p>
    <w:p>
      <w:pPr>
        <w:shd w:val="clear" w:color="auto" w:fill="auto"/>
        <w:adjustRightInd w:val="0"/>
        <w:spacing w:line="400" w:lineRule="exact"/>
        <w:rPr>
          <w:rFonts w:hint="eastAsia" w:hAnsi="宋体"/>
          <w:b/>
          <w:color w:val="auto"/>
          <w:szCs w:val="21"/>
          <w:highlight w:val="none"/>
        </w:rPr>
      </w:pPr>
      <w:r>
        <w:rPr>
          <w:rFonts w:hint="eastAsia" w:hAnsi="宋体"/>
          <w:b/>
          <w:color w:val="auto"/>
          <w:szCs w:val="21"/>
          <w:highlight w:val="none"/>
        </w:rPr>
        <w:t>说明：</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1. 为落实政府采购政策需满足的要求：本招标文件所称中小企业必须符合《政府采购促进中小企业发展管理办法》（财库〔2020〕46号）的规定。</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3.不需要投标人对采购需求响应为具体数值的，此采购需求的数值后将以◆号标注。</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4.如投标人投标产品存在侵犯他人的知识产权或者专利成果行为的，应承担相应法律责任。</w:t>
      </w:r>
    </w:p>
    <w:p>
      <w:pPr>
        <w:shd w:val="clear" w:color="auto" w:fill="auto"/>
        <w:spacing w:line="360" w:lineRule="auto"/>
        <w:ind w:firstLine="420" w:firstLineChars="200"/>
        <w:jc w:val="left"/>
        <w:rPr>
          <w:rFonts w:hint="eastAsia" w:ascii="宋体" w:hAnsi="宋体" w:cs="宋体"/>
          <w:color w:val="auto"/>
          <w:highlight w:val="none"/>
        </w:rPr>
      </w:pPr>
      <w:r>
        <w:rPr>
          <w:rFonts w:hint="eastAsia" w:ascii="宋体" w:hAnsi="宋体" w:cs="宋体"/>
          <w:color w:val="auto"/>
          <w:highlight w:val="none"/>
        </w:rPr>
        <w:t>5.采购标的对应的中小企业划分标准所属行业名称：</w:t>
      </w:r>
      <w:r>
        <w:rPr>
          <w:rFonts w:hint="eastAsia"/>
          <w:color w:val="auto"/>
          <w:szCs w:val="21"/>
          <w:highlight w:val="none"/>
        </w:rPr>
        <w:t>租赁和商务服务业</w:t>
      </w:r>
      <w:r>
        <w:rPr>
          <w:rFonts w:hint="eastAsia" w:ascii="宋体" w:hAnsi="宋体" w:cs="宋体"/>
          <w:color w:val="auto"/>
          <w:highlight w:val="none"/>
        </w:rPr>
        <w:t>。中小企业划分标准详见本章附件。</w:t>
      </w:r>
    </w:p>
    <w:p>
      <w:pPr>
        <w:shd w:val="clear" w:color="auto" w:fill="auto"/>
        <w:rPr>
          <w:color w:val="auto"/>
          <w:highlight w:val="none"/>
        </w:rPr>
      </w:pPr>
    </w:p>
    <w:tbl>
      <w:tblPr>
        <w:tblStyle w:val="35"/>
        <w:tblW w:w="100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24"/>
        <w:gridCol w:w="739"/>
        <w:gridCol w:w="264"/>
        <w:gridCol w:w="244"/>
        <w:gridCol w:w="484"/>
        <w:gridCol w:w="5400"/>
        <w:gridCol w:w="1017"/>
        <w:gridCol w:w="8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0046" w:type="dxa"/>
            <w:gridSpan w:val="9"/>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072" w:type="dxa"/>
            <w:gridSpan w:val="4"/>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标段（分标）</w:t>
            </w:r>
          </w:p>
        </w:tc>
        <w:tc>
          <w:tcPr>
            <w:tcW w:w="7974" w:type="dxa"/>
            <w:gridSpan w:val="5"/>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textAlignment w:val="auto"/>
              <w:outlineLvl w:val="0"/>
              <w:rPr>
                <w:rFonts w:hint="eastAsia" w:ascii="宋体" w:hAnsi="宋体" w:eastAsia="宋体" w:cs="宋体"/>
                <w:b/>
                <w:color w:val="auto"/>
                <w:szCs w:val="21"/>
                <w:highlight w:val="none"/>
              </w:rPr>
            </w:pPr>
            <w:bookmarkStart w:id="40" w:name="_Toc177489448"/>
            <w:r>
              <w:rPr>
                <w:rFonts w:hint="eastAsia" w:ascii="宋体" w:hAnsi="宋体" w:eastAsia="宋体" w:cs="宋体"/>
                <w:b/>
                <w:bCs/>
                <w:color w:val="auto"/>
                <w:szCs w:val="21"/>
                <w:highlight w:val="none"/>
              </w:rPr>
              <w:t>/</w:t>
            </w:r>
            <w:bookmarkEnd w:id="4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采购清单及服务参数</w:t>
            </w:r>
          </w:p>
        </w:tc>
        <w:tc>
          <w:tcPr>
            <w:tcW w:w="52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73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标的名称</w:t>
            </w:r>
          </w:p>
        </w:tc>
        <w:tc>
          <w:tcPr>
            <w:tcW w:w="508"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数量</w:t>
            </w:r>
          </w:p>
        </w:tc>
        <w:tc>
          <w:tcPr>
            <w:tcW w:w="48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bookmarkStart w:id="41" w:name="OLE_LINK34"/>
            <w:r>
              <w:rPr>
                <w:rFonts w:hint="eastAsia" w:ascii="宋体" w:hAnsi="宋体" w:eastAsia="宋体" w:cs="宋体"/>
                <w:color w:val="auto"/>
                <w:szCs w:val="21"/>
                <w:highlight w:val="none"/>
              </w:rPr>
              <w:t>服务参数</w:t>
            </w:r>
            <w:bookmarkEnd w:id="41"/>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分项预算合计（</w:t>
            </w:r>
            <w:r>
              <w:rPr>
                <w:rFonts w:hint="eastAsia" w:ascii="宋体" w:hAnsi="宋体" w:eastAsia="宋体" w:cs="宋体"/>
                <w:color w:val="auto"/>
                <w:szCs w:val="21"/>
                <w:highlight w:val="none"/>
                <w:lang w:eastAsia="zh-CN"/>
              </w:rPr>
              <w:t>万</w:t>
            </w:r>
            <w:r>
              <w:rPr>
                <w:rFonts w:hint="eastAsia" w:ascii="宋体" w:hAnsi="宋体" w:eastAsia="宋体" w:cs="宋体"/>
                <w:color w:val="auto"/>
                <w:szCs w:val="21"/>
                <w:highlight w:val="none"/>
              </w:rPr>
              <w:t>元）</w:t>
            </w:r>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tLeas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 w:val="20"/>
                <w:szCs w:val="20"/>
                <w:highlight w:val="none"/>
              </w:rPr>
              <w:t>中小企业划分标准所属行业名称（行业名称及划分见本章附件）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vMerge w:val="continue"/>
            <w:tcBorders>
              <w:left w:val="single" w:color="auto" w:sz="4" w:space="0"/>
              <w:right w:val="single" w:color="auto" w:sz="4" w:space="0"/>
            </w:tcBorders>
            <w:noWrap w:val="0"/>
            <w:vAlign w:val="top"/>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b/>
                <w:bCs/>
                <w:color w:val="auto"/>
                <w:szCs w:val="21"/>
                <w:highlight w:val="none"/>
              </w:rPr>
            </w:pP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739"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bidi w:val="0"/>
              <w:spacing w:line="400" w:lineRule="exact"/>
              <w:ind w:left="0"/>
              <w:textAlignment w:val="auto"/>
              <w:rPr>
                <w:rFonts w:hint="eastAsia" w:ascii="宋体" w:hAnsi="宋体" w:eastAsia="宋体" w:cs="宋体"/>
                <w:bCs/>
                <w:caps/>
                <w:color w:val="auto"/>
                <w:szCs w:val="21"/>
                <w:highlight w:val="none"/>
              </w:rPr>
            </w:pPr>
            <w:r>
              <w:rPr>
                <w:rFonts w:hint="eastAsia" w:hAnsi="宋体" w:eastAsia="宋体" w:cs="宋体"/>
                <w:color w:val="auto"/>
                <w:kern w:val="0"/>
                <w:szCs w:val="21"/>
                <w:highlight w:val="none"/>
              </w:rPr>
              <w:t>中考答题卡扫描、无纸化阅卷服务</w:t>
            </w:r>
          </w:p>
        </w:tc>
        <w:tc>
          <w:tcPr>
            <w:tcW w:w="508" w:type="dxa"/>
            <w:gridSpan w:val="2"/>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hAnsi="宋体" w:eastAsia="宋体" w:cs="宋体"/>
                <w:color w:val="auto"/>
                <w:kern w:val="0"/>
                <w:szCs w:val="21"/>
                <w:highlight w:val="none"/>
              </w:rPr>
              <w:t>1</w:t>
            </w:r>
          </w:p>
        </w:tc>
        <w:tc>
          <w:tcPr>
            <w:tcW w:w="484" w:type="dxa"/>
            <w:tcBorders>
              <w:top w:val="single" w:color="auto" w:sz="4" w:space="0"/>
              <w:left w:val="single" w:color="auto" w:sz="4" w:space="0"/>
              <w:bottom w:val="single" w:color="auto" w:sz="4" w:space="0"/>
              <w:right w:val="single" w:color="auto" w:sz="4" w:space="0"/>
            </w:tcBorders>
            <w:noWrap w:val="0"/>
            <w:vAlign w:val="center"/>
          </w:tcPr>
          <w:p>
            <w:pPr>
              <w:pStyle w:val="19"/>
              <w:keepNext w:val="0"/>
              <w:keepLines w:val="0"/>
              <w:pageBreakBefore w:val="0"/>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hAnsi="宋体" w:eastAsia="宋体" w:cs="宋体"/>
                <w:color w:val="auto"/>
                <w:kern w:val="0"/>
                <w:szCs w:val="21"/>
                <w:highlight w:val="none"/>
              </w:rPr>
              <w:t>项</w:t>
            </w:r>
          </w:p>
        </w:tc>
        <w:tc>
          <w:tcPr>
            <w:tcW w:w="54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ind w:left="0" w:firstLine="422" w:firstLineChars="200"/>
              <w:textAlignment w:val="auto"/>
              <w:rPr>
                <w:rFonts w:ascii="宋体"/>
                <w:b/>
                <w:color w:val="auto"/>
                <w:szCs w:val="21"/>
              </w:rPr>
            </w:pPr>
            <w:r>
              <w:rPr>
                <w:rFonts w:hint="eastAsia" w:ascii="宋体"/>
                <w:b/>
                <w:color w:val="auto"/>
                <w:szCs w:val="21"/>
              </w:rPr>
              <w:t>一、服务项目的内容及技术要求：</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对202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月的南宁市中考进行无纸化阅卷提供技术服务：包括对</w:t>
            </w:r>
            <w:r>
              <w:rPr>
                <w:rFonts w:hint="eastAsia" w:ascii="宋体"/>
                <w:color w:val="auto"/>
                <w:szCs w:val="21"/>
                <w:lang w:val="en-US" w:eastAsia="zh-CN"/>
              </w:rPr>
              <w:t>考生条形码制作、</w:t>
            </w:r>
            <w:r>
              <w:rPr>
                <w:rFonts w:hint="eastAsia" w:ascii="宋体"/>
                <w:color w:val="auto"/>
                <w:szCs w:val="21"/>
              </w:rPr>
              <w:t>答题卡进行信息采集</w:t>
            </w:r>
            <w:r>
              <w:rPr>
                <w:rFonts w:hint="eastAsia" w:ascii="宋体"/>
                <w:color w:val="auto"/>
                <w:szCs w:val="21"/>
                <w:lang w:eastAsia="zh-CN"/>
              </w:rPr>
              <w:t>、</w:t>
            </w:r>
            <w:r>
              <w:rPr>
                <w:rFonts w:hint="eastAsia" w:ascii="宋体"/>
                <w:color w:val="auto"/>
                <w:szCs w:val="21"/>
              </w:rPr>
              <w:t>客观题系统识别评分</w:t>
            </w:r>
            <w:r>
              <w:rPr>
                <w:rFonts w:hint="eastAsia" w:ascii="宋体"/>
                <w:color w:val="auto"/>
                <w:szCs w:val="21"/>
                <w:lang w:eastAsia="zh-CN"/>
              </w:rPr>
              <w:t>、</w:t>
            </w:r>
            <w:r>
              <w:rPr>
                <w:rFonts w:hint="eastAsia" w:ascii="宋体"/>
                <w:color w:val="auto"/>
                <w:szCs w:val="21"/>
              </w:rPr>
              <w:t>主观题网上阅卷评分</w:t>
            </w:r>
            <w:r>
              <w:rPr>
                <w:rFonts w:hint="eastAsia" w:ascii="宋体"/>
                <w:color w:val="auto"/>
                <w:szCs w:val="21"/>
                <w:lang w:eastAsia="zh-CN"/>
              </w:rPr>
              <w:t>、</w:t>
            </w:r>
            <w:r>
              <w:rPr>
                <w:rFonts w:hint="eastAsia" w:ascii="宋体"/>
                <w:color w:val="auto"/>
                <w:szCs w:val="21"/>
              </w:rPr>
              <w:t>分数合成学生成绩报表、试卷分析报表以及中考成绩查分。技术要求达到：</w:t>
            </w:r>
          </w:p>
          <w:p>
            <w:pPr>
              <w:keepNext w:val="0"/>
              <w:keepLines w:val="0"/>
              <w:pageBreakBefore w:val="0"/>
              <w:kinsoku/>
              <w:wordWrap/>
              <w:overflowPunct/>
              <w:topLinePunct w:val="0"/>
              <w:bidi w:val="0"/>
              <w:spacing w:line="400" w:lineRule="exact"/>
              <w:ind w:left="0" w:firstLine="0" w:firstLineChars="0"/>
              <w:textAlignment w:val="auto"/>
              <w:rPr>
                <w:rFonts w:hint="eastAsia" w:ascii="宋体"/>
                <w:b/>
                <w:bCs/>
                <w:color w:val="auto"/>
                <w:szCs w:val="21"/>
              </w:rPr>
            </w:pPr>
            <w:r>
              <w:rPr>
                <w:rFonts w:hint="eastAsia" w:ascii="宋体"/>
                <w:b/>
                <w:bCs/>
                <w:color w:val="auto"/>
                <w:szCs w:val="21"/>
                <w:lang w:eastAsia="zh-CN"/>
              </w:rPr>
              <w:t>（</w:t>
            </w:r>
            <w:r>
              <w:rPr>
                <w:rFonts w:hint="eastAsia" w:ascii="宋体"/>
                <w:b/>
                <w:bCs/>
                <w:color w:val="auto"/>
                <w:szCs w:val="21"/>
                <w:lang w:val="en-US" w:eastAsia="zh-CN"/>
              </w:rPr>
              <w:t>一</w:t>
            </w:r>
            <w:r>
              <w:rPr>
                <w:rFonts w:hint="eastAsia" w:ascii="宋体"/>
                <w:b/>
                <w:bCs/>
                <w:color w:val="auto"/>
                <w:szCs w:val="21"/>
                <w:lang w:eastAsia="zh-CN"/>
              </w:rPr>
              <w:t>）</w:t>
            </w:r>
            <w:r>
              <w:rPr>
                <w:rFonts w:hint="eastAsia" w:ascii="宋体"/>
                <w:b/>
                <w:bCs/>
                <w:color w:val="auto"/>
                <w:szCs w:val="21"/>
              </w:rPr>
              <w:t>投标人应拥有以下</w:t>
            </w:r>
            <w:bookmarkStart w:id="42" w:name="OLE_LINK17"/>
            <w:r>
              <w:rPr>
                <w:rFonts w:hint="eastAsia" w:ascii="宋体"/>
                <w:b/>
                <w:bCs/>
                <w:color w:val="auto"/>
                <w:szCs w:val="21"/>
              </w:rPr>
              <w:t>软硬件设备</w:t>
            </w:r>
            <w:bookmarkEnd w:id="42"/>
            <w:r>
              <w:rPr>
                <w:rFonts w:hint="eastAsia" w:ascii="宋体"/>
                <w:b/>
                <w:bCs/>
                <w:color w:val="auto"/>
                <w:szCs w:val="21"/>
              </w:rPr>
              <w:t>，且该软硬件设备须符合以下技术要求：</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1.应配有</w:t>
            </w:r>
            <w:r>
              <w:rPr>
                <w:rFonts w:hint="eastAsia" w:ascii="宋体"/>
                <w:color w:val="auto"/>
                <w:szCs w:val="21"/>
                <w:lang w:val="en-US" w:eastAsia="zh-CN"/>
              </w:rPr>
              <w:t>12</w:t>
            </w:r>
            <w:r>
              <w:rPr>
                <w:rFonts w:hint="eastAsia" w:ascii="宋体"/>
                <w:color w:val="auto"/>
                <w:szCs w:val="21"/>
              </w:rPr>
              <w:t>台以上（含</w:t>
            </w:r>
            <w:r>
              <w:rPr>
                <w:rFonts w:hint="eastAsia" w:ascii="宋体"/>
                <w:color w:val="auto"/>
                <w:szCs w:val="21"/>
                <w:lang w:val="en-US" w:eastAsia="zh-CN"/>
              </w:rPr>
              <w:t>12</w:t>
            </w:r>
            <w:r>
              <w:rPr>
                <w:rFonts w:hint="eastAsia" w:ascii="宋体"/>
                <w:color w:val="auto"/>
                <w:szCs w:val="21"/>
              </w:rPr>
              <w:t>台）高速扫描仪</w:t>
            </w:r>
            <w:bookmarkStart w:id="43" w:name="OLE_LINK35"/>
            <w:r>
              <w:rPr>
                <w:rFonts w:hint="eastAsia" w:ascii="宋体"/>
                <w:color w:val="auto"/>
                <w:szCs w:val="21"/>
              </w:rPr>
              <w:t>以及</w:t>
            </w:r>
            <w:r>
              <w:rPr>
                <w:rFonts w:hint="eastAsia" w:ascii="宋体"/>
                <w:color w:val="auto"/>
                <w:szCs w:val="21"/>
                <w:lang w:val="en-US" w:eastAsia="zh-CN"/>
              </w:rPr>
              <w:t>12</w:t>
            </w:r>
            <w:r>
              <w:rPr>
                <w:rFonts w:hint="eastAsia" w:ascii="宋体"/>
                <w:color w:val="auto"/>
                <w:szCs w:val="21"/>
              </w:rPr>
              <w:t>台扫描服务器</w:t>
            </w:r>
            <w:bookmarkEnd w:id="43"/>
            <w:r>
              <w:rPr>
                <w:rFonts w:hint="eastAsia" w:ascii="宋体"/>
                <w:color w:val="auto"/>
                <w:szCs w:val="21"/>
                <w:lang w:eastAsia="zh-CN"/>
              </w:rPr>
              <w:t>。</w:t>
            </w:r>
            <w:r>
              <w:rPr>
                <w:rFonts w:hint="eastAsia" w:ascii="宋体"/>
                <w:color w:val="auto"/>
                <w:szCs w:val="21"/>
              </w:rPr>
              <w:t xml:space="preserve"> </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(1）双面彩色高速文档扫描仪， ADF容量≥ 200张（ 64g/㎡）。</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(2）CMOS图像传感器</w:t>
            </w:r>
            <w:r>
              <w:rPr>
                <w:rFonts w:hint="eastAsia" w:ascii="宋体"/>
                <w:color w:val="auto"/>
                <w:szCs w:val="21"/>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(3）光学分辨率≥ 400dpi。</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(4）输出分辨率:150×150dpi，200×200dpi，240×240dpi</w:t>
            </w:r>
            <w:r>
              <w:rPr>
                <w:rFonts w:hint="eastAsia" w:ascii="宋体"/>
                <w:color w:val="auto"/>
                <w:szCs w:val="21"/>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300×300dpi，400×400dpi，600×600dpi</w:t>
            </w:r>
            <w:r>
              <w:rPr>
                <w:rFonts w:hint="eastAsia"/>
                <w:color w:val="auto"/>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hAnsi="宋体" w:cs="宋体"/>
                <w:color w:val="auto"/>
                <w:highlight w:val="none"/>
              </w:rPr>
              <w:t>◆</w:t>
            </w:r>
            <w:r>
              <w:rPr>
                <w:rFonts w:hint="eastAsia" w:ascii="宋体"/>
                <w:color w:val="auto"/>
                <w:szCs w:val="21"/>
              </w:rPr>
              <w:t>(</w:t>
            </w:r>
            <w:r>
              <w:rPr>
                <w:rFonts w:hint="eastAsia" w:ascii="宋体"/>
                <w:color w:val="auto"/>
                <w:szCs w:val="21"/>
                <w:lang w:val="en-US" w:eastAsia="zh-CN"/>
              </w:rPr>
              <w:t>5</w:t>
            </w:r>
            <w:r>
              <w:rPr>
                <w:rFonts w:hint="eastAsia" w:ascii="宋体"/>
                <w:color w:val="auto"/>
                <w:szCs w:val="21"/>
              </w:rPr>
              <w:t>）纸张规格：最小 :A8；最大：A3；无限长度扫描。</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w:t>
            </w:r>
            <w:r>
              <w:rPr>
                <w:rFonts w:hint="eastAsia" w:ascii="宋体"/>
                <w:color w:val="auto"/>
                <w:szCs w:val="21"/>
                <w:lang w:val="en-US" w:eastAsia="zh-CN"/>
              </w:rPr>
              <w:t>6</w:t>
            </w:r>
            <w:r>
              <w:rPr>
                <w:rFonts w:hint="eastAsia" w:ascii="宋体"/>
                <w:color w:val="auto"/>
                <w:szCs w:val="21"/>
              </w:rPr>
              <w:t>）扫描速度：100ppm（单面）</w:t>
            </w:r>
            <w:r>
              <w:rPr>
                <w:rFonts w:hint="eastAsia" w:ascii="宋体"/>
                <w:color w:val="auto"/>
                <w:szCs w:val="21"/>
                <w:lang w:val="en-US" w:eastAsia="zh-CN"/>
              </w:rPr>
              <w:t>和</w:t>
            </w:r>
            <w:r>
              <w:rPr>
                <w:rFonts w:hint="eastAsia" w:ascii="宋体"/>
                <w:color w:val="auto"/>
                <w:szCs w:val="21"/>
              </w:rPr>
              <w:t>200ipm（双面）</w:t>
            </w:r>
            <w:r>
              <w:rPr>
                <w:rFonts w:hint="eastAsia" w:ascii="宋体"/>
                <w:color w:val="auto"/>
                <w:szCs w:val="21"/>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w:t>
            </w:r>
            <w:r>
              <w:rPr>
                <w:rFonts w:hint="eastAsia" w:ascii="宋体"/>
                <w:color w:val="auto"/>
                <w:szCs w:val="21"/>
                <w:lang w:val="en-US" w:eastAsia="zh-CN"/>
              </w:rPr>
              <w:t>7</w:t>
            </w:r>
            <w:r>
              <w:rPr>
                <w:rFonts w:hint="eastAsia" w:ascii="宋体"/>
                <w:color w:val="auto"/>
                <w:szCs w:val="21"/>
              </w:rPr>
              <w:t>）</w:t>
            </w:r>
            <w:r>
              <w:rPr>
                <w:rFonts w:hint="eastAsia" w:ascii="宋体"/>
                <w:color w:val="auto"/>
                <w:szCs w:val="21"/>
                <w:lang w:val="en-US" w:eastAsia="zh-CN"/>
              </w:rPr>
              <w:t>扫描仪具备：</w:t>
            </w:r>
            <w:r>
              <w:rPr>
                <w:rFonts w:hint="eastAsia" w:ascii="宋体"/>
                <w:color w:val="auto"/>
                <w:szCs w:val="21"/>
              </w:rPr>
              <w:t>作业功能</w:t>
            </w:r>
            <w:r>
              <w:rPr>
                <w:rFonts w:hint="eastAsia" w:ascii="宋体"/>
                <w:color w:val="auto"/>
                <w:szCs w:val="21"/>
                <w:lang w:eastAsia="zh-CN"/>
              </w:rPr>
              <w:t>、</w:t>
            </w:r>
            <w:r>
              <w:rPr>
                <w:rFonts w:hint="eastAsia" w:ascii="宋体"/>
                <w:color w:val="auto"/>
                <w:szCs w:val="21"/>
              </w:rPr>
              <w:t>超声波双张送入检测</w:t>
            </w:r>
            <w:r>
              <w:rPr>
                <w:rFonts w:hint="eastAsia" w:ascii="宋体"/>
                <w:color w:val="auto"/>
                <w:szCs w:val="21"/>
                <w:lang w:eastAsia="zh-CN"/>
              </w:rPr>
              <w:t>、</w:t>
            </w:r>
            <w:r>
              <w:rPr>
                <w:rFonts w:hint="eastAsia" w:ascii="宋体"/>
                <w:color w:val="auto"/>
                <w:szCs w:val="21"/>
              </w:rPr>
              <w:t>订书钉检测</w:t>
            </w:r>
            <w:r>
              <w:rPr>
                <w:rFonts w:hint="eastAsia" w:ascii="宋体"/>
                <w:color w:val="auto"/>
                <w:szCs w:val="21"/>
                <w:lang w:eastAsia="zh-CN"/>
              </w:rPr>
              <w:t>、</w:t>
            </w:r>
            <w:r>
              <w:rPr>
                <w:rFonts w:hint="eastAsia" w:ascii="宋体"/>
                <w:color w:val="auto"/>
                <w:szCs w:val="21"/>
              </w:rPr>
              <w:t>文本增强</w:t>
            </w:r>
            <w:r>
              <w:rPr>
                <w:rFonts w:hint="eastAsia" w:ascii="宋体"/>
                <w:color w:val="auto"/>
                <w:szCs w:val="21"/>
                <w:lang w:eastAsia="zh-CN"/>
              </w:rPr>
              <w:t>、</w:t>
            </w:r>
            <w:r>
              <w:rPr>
                <w:rFonts w:hint="eastAsia" w:ascii="宋体"/>
                <w:color w:val="auto"/>
                <w:szCs w:val="21"/>
              </w:rPr>
              <w:t>除色和颜色增强</w:t>
            </w:r>
            <w:r>
              <w:rPr>
                <w:rFonts w:hint="eastAsia" w:ascii="宋体"/>
                <w:color w:val="auto"/>
                <w:szCs w:val="21"/>
                <w:lang w:eastAsia="zh-CN"/>
              </w:rPr>
              <w:t>、</w:t>
            </w:r>
            <w:r>
              <w:rPr>
                <w:rFonts w:hint="eastAsia" w:ascii="宋体"/>
                <w:color w:val="auto"/>
                <w:szCs w:val="21"/>
              </w:rPr>
              <w:t>自动纸张尺寸检测</w:t>
            </w:r>
            <w:r>
              <w:rPr>
                <w:rFonts w:hint="eastAsia" w:ascii="宋体"/>
                <w:color w:val="auto"/>
                <w:szCs w:val="21"/>
                <w:lang w:eastAsia="zh-CN"/>
              </w:rPr>
              <w:t>、</w:t>
            </w:r>
            <w:r>
              <w:rPr>
                <w:rFonts w:hint="eastAsia" w:ascii="宋体"/>
                <w:color w:val="auto"/>
                <w:szCs w:val="21"/>
              </w:rPr>
              <w:t>3维色彩校正</w:t>
            </w:r>
            <w:r>
              <w:rPr>
                <w:rFonts w:hint="eastAsia" w:ascii="宋体"/>
                <w:color w:val="auto"/>
                <w:szCs w:val="21"/>
                <w:lang w:eastAsia="zh-CN"/>
              </w:rPr>
              <w:t>、</w:t>
            </w:r>
            <w:r>
              <w:rPr>
                <w:rFonts w:hint="eastAsia" w:ascii="宋体"/>
                <w:color w:val="auto"/>
                <w:szCs w:val="21"/>
              </w:rPr>
              <w:t>图像旋转</w:t>
            </w:r>
            <w:r>
              <w:rPr>
                <w:rFonts w:hint="eastAsia" w:ascii="宋体"/>
                <w:color w:val="auto"/>
                <w:szCs w:val="21"/>
                <w:lang w:eastAsia="zh-CN"/>
              </w:rPr>
              <w:t>、</w:t>
            </w:r>
            <w:r>
              <w:rPr>
                <w:rFonts w:hint="eastAsia" w:ascii="宋体"/>
                <w:color w:val="auto"/>
                <w:szCs w:val="21"/>
              </w:rPr>
              <w:t>跳过空白页</w:t>
            </w:r>
            <w:r>
              <w:rPr>
                <w:rFonts w:hint="eastAsia" w:ascii="宋体"/>
                <w:color w:val="auto"/>
                <w:szCs w:val="21"/>
                <w:lang w:eastAsia="zh-CN"/>
              </w:rPr>
              <w:t>、</w:t>
            </w:r>
            <w:r>
              <w:rPr>
                <w:rFonts w:hint="eastAsia" w:ascii="宋体"/>
                <w:color w:val="auto"/>
                <w:szCs w:val="21"/>
              </w:rPr>
              <w:t>边缘增强</w:t>
            </w:r>
            <w:r>
              <w:rPr>
                <w:rFonts w:hint="eastAsia" w:ascii="宋体"/>
                <w:color w:val="auto"/>
                <w:szCs w:val="21"/>
                <w:lang w:eastAsia="zh-CN"/>
              </w:rPr>
              <w:t>、</w:t>
            </w:r>
            <w:r>
              <w:rPr>
                <w:rFonts w:hint="eastAsia" w:ascii="宋体"/>
                <w:color w:val="auto"/>
                <w:szCs w:val="21"/>
              </w:rPr>
              <w:t>减少摩尔纹</w:t>
            </w:r>
            <w:r>
              <w:rPr>
                <w:rFonts w:hint="eastAsia" w:ascii="宋体"/>
                <w:color w:val="auto"/>
                <w:szCs w:val="21"/>
                <w:lang w:eastAsia="zh-CN"/>
              </w:rPr>
              <w:t>、</w:t>
            </w:r>
            <w:r>
              <w:rPr>
                <w:rFonts w:hint="eastAsia" w:ascii="宋体"/>
                <w:color w:val="auto"/>
                <w:szCs w:val="21"/>
              </w:rPr>
              <w:t>防止渗透/移除背景</w:t>
            </w:r>
            <w:r>
              <w:rPr>
                <w:rFonts w:hint="eastAsia" w:ascii="宋体"/>
                <w:color w:val="auto"/>
                <w:szCs w:val="21"/>
                <w:lang w:eastAsia="zh-CN"/>
              </w:rPr>
              <w:t>、</w:t>
            </w:r>
            <w:r>
              <w:rPr>
                <w:rFonts w:hint="eastAsia" w:ascii="宋体"/>
                <w:color w:val="auto"/>
                <w:szCs w:val="21"/>
              </w:rPr>
              <w:t>对比度调整</w:t>
            </w:r>
            <w:r>
              <w:rPr>
                <w:rFonts w:hint="eastAsia" w:ascii="宋体"/>
                <w:color w:val="auto"/>
                <w:szCs w:val="21"/>
                <w:lang w:eastAsia="zh-CN"/>
              </w:rPr>
              <w:t>、</w:t>
            </w:r>
            <w:r>
              <w:rPr>
                <w:rFonts w:hint="eastAsia" w:ascii="宋体"/>
                <w:color w:val="auto"/>
                <w:szCs w:val="21"/>
              </w:rPr>
              <w:t>阴影校正</w:t>
            </w:r>
            <w:r>
              <w:rPr>
                <w:rFonts w:hint="eastAsia" w:ascii="宋体"/>
                <w:color w:val="auto"/>
                <w:szCs w:val="21"/>
                <w:lang w:eastAsia="zh-CN"/>
              </w:rPr>
              <w:t>、</w:t>
            </w:r>
            <w:r>
              <w:rPr>
                <w:rFonts w:hint="eastAsia" w:ascii="宋体"/>
                <w:color w:val="auto"/>
                <w:szCs w:val="21"/>
              </w:rPr>
              <w:t>亮度调整</w:t>
            </w:r>
            <w:r>
              <w:rPr>
                <w:rFonts w:hint="eastAsia" w:ascii="宋体"/>
                <w:color w:val="auto"/>
                <w:szCs w:val="21"/>
                <w:lang w:eastAsia="zh-CN"/>
              </w:rPr>
              <w:t>、</w:t>
            </w:r>
            <w:r>
              <w:rPr>
                <w:rFonts w:hint="eastAsia" w:ascii="宋体"/>
                <w:color w:val="auto"/>
                <w:szCs w:val="21"/>
              </w:rPr>
              <w:t>歪斜校正</w:t>
            </w:r>
            <w:r>
              <w:rPr>
                <w:rFonts w:hint="eastAsia" w:ascii="宋体"/>
                <w:color w:val="auto"/>
                <w:szCs w:val="21"/>
                <w:lang w:eastAsia="zh-CN"/>
              </w:rPr>
              <w:t>、</w:t>
            </w:r>
            <w:r>
              <w:rPr>
                <w:rFonts w:hint="eastAsia" w:ascii="宋体"/>
                <w:color w:val="auto"/>
                <w:szCs w:val="21"/>
              </w:rPr>
              <w:t>移除边框</w:t>
            </w:r>
            <w:r>
              <w:rPr>
                <w:rFonts w:hint="eastAsia" w:ascii="宋体"/>
                <w:color w:val="auto"/>
                <w:szCs w:val="21"/>
                <w:lang w:eastAsia="zh-CN"/>
              </w:rPr>
              <w:t>、</w:t>
            </w:r>
            <w:r>
              <w:rPr>
                <w:rFonts w:hint="eastAsia" w:ascii="宋体"/>
                <w:color w:val="auto"/>
                <w:szCs w:val="21"/>
              </w:rPr>
              <w:t>扫描面选择</w:t>
            </w:r>
            <w:r>
              <w:rPr>
                <w:rFonts w:hint="eastAsia" w:ascii="宋体"/>
                <w:color w:val="auto"/>
                <w:szCs w:val="21"/>
                <w:lang w:eastAsia="zh-CN"/>
              </w:rPr>
              <w:t>、</w:t>
            </w:r>
            <w:r>
              <w:rPr>
                <w:rFonts w:hint="eastAsia" w:ascii="宋体"/>
                <w:color w:val="auto"/>
                <w:szCs w:val="21"/>
              </w:rPr>
              <w:t>扫描区域设置</w:t>
            </w:r>
            <w:r>
              <w:rPr>
                <w:rFonts w:hint="eastAsia" w:ascii="宋体"/>
                <w:color w:val="auto"/>
                <w:szCs w:val="21"/>
                <w:lang w:eastAsia="zh-CN"/>
              </w:rPr>
              <w:t>、</w:t>
            </w:r>
            <w:r>
              <w:rPr>
                <w:rFonts w:hint="eastAsia" w:ascii="宋体"/>
                <w:color w:val="auto"/>
                <w:szCs w:val="21"/>
              </w:rPr>
              <w:t>Addon设置</w:t>
            </w:r>
            <w:r>
              <w:rPr>
                <w:rFonts w:hint="eastAsia" w:ascii="宋体"/>
                <w:color w:val="auto"/>
                <w:szCs w:val="21"/>
                <w:lang w:eastAsia="zh-CN"/>
              </w:rPr>
              <w:t>、</w:t>
            </w:r>
            <w:r>
              <w:rPr>
                <w:rFonts w:hint="eastAsia" w:ascii="宋体"/>
                <w:color w:val="auto"/>
                <w:szCs w:val="21"/>
              </w:rPr>
              <w:t>文本方向识别</w:t>
            </w:r>
            <w:r>
              <w:rPr>
                <w:rFonts w:hint="eastAsia" w:ascii="宋体"/>
                <w:color w:val="auto"/>
                <w:szCs w:val="21"/>
                <w:lang w:eastAsia="zh-CN"/>
              </w:rPr>
              <w:t>、</w:t>
            </w:r>
            <w:r>
              <w:rPr>
                <w:rFonts w:hint="eastAsia" w:ascii="宋体"/>
                <w:color w:val="auto"/>
                <w:szCs w:val="21"/>
              </w:rPr>
              <w:t>移除装订孔</w:t>
            </w:r>
            <w:r>
              <w:rPr>
                <w:rFonts w:hint="eastAsia" w:ascii="宋体"/>
                <w:color w:val="auto"/>
                <w:szCs w:val="21"/>
                <w:lang w:eastAsia="zh-CN"/>
              </w:rPr>
              <w:t>、</w:t>
            </w:r>
            <w:r>
              <w:rPr>
                <w:rFonts w:hint="eastAsia" w:ascii="宋体"/>
                <w:color w:val="auto"/>
                <w:szCs w:val="21"/>
              </w:rPr>
              <w:t>对开扫描</w:t>
            </w:r>
            <w:r>
              <w:rPr>
                <w:rFonts w:hint="eastAsia" w:ascii="宋体"/>
                <w:color w:val="auto"/>
                <w:szCs w:val="21"/>
                <w:lang w:eastAsia="zh-CN"/>
              </w:rPr>
              <w:t>、</w:t>
            </w:r>
            <w:r>
              <w:rPr>
                <w:rFonts w:hint="eastAsia" w:ascii="宋体"/>
                <w:color w:val="auto"/>
                <w:szCs w:val="21"/>
              </w:rPr>
              <w:t>噪点移除</w:t>
            </w:r>
            <w:r>
              <w:rPr>
                <w:rFonts w:hint="eastAsia" w:ascii="宋体"/>
                <w:color w:val="auto"/>
                <w:szCs w:val="21"/>
                <w:lang w:eastAsia="zh-CN"/>
              </w:rPr>
              <w:t>、</w:t>
            </w:r>
            <w:r>
              <w:rPr>
                <w:rFonts w:hint="eastAsia" w:ascii="宋体"/>
                <w:color w:val="auto"/>
                <w:szCs w:val="21"/>
              </w:rPr>
              <w:t>缺口移除</w:t>
            </w:r>
            <w:r>
              <w:rPr>
                <w:rFonts w:hint="eastAsia" w:ascii="宋体"/>
                <w:color w:val="auto"/>
                <w:szCs w:val="21"/>
                <w:lang w:eastAsia="zh-CN"/>
              </w:rPr>
              <w:t>、</w:t>
            </w:r>
            <w:r>
              <w:rPr>
                <w:rFonts w:hint="eastAsia" w:ascii="宋体"/>
                <w:color w:val="auto"/>
                <w:szCs w:val="21"/>
              </w:rPr>
              <w:t>背景平滑</w:t>
            </w:r>
            <w:r>
              <w:rPr>
                <w:rFonts w:hint="eastAsia" w:ascii="宋体"/>
                <w:color w:val="auto"/>
                <w:szCs w:val="21"/>
                <w:lang w:eastAsia="zh-CN"/>
              </w:rPr>
              <w:t>、</w:t>
            </w:r>
            <w:r>
              <w:rPr>
                <w:rFonts w:hint="eastAsia" w:ascii="宋体"/>
                <w:color w:val="auto"/>
                <w:szCs w:val="21"/>
              </w:rPr>
              <w:t>字符增强</w:t>
            </w:r>
            <w:r>
              <w:rPr>
                <w:rFonts w:hint="eastAsia" w:ascii="宋体"/>
                <w:color w:val="auto"/>
                <w:szCs w:val="21"/>
                <w:lang w:eastAsia="zh-CN"/>
              </w:rPr>
              <w:t>、</w:t>
            </w:r>
            <w:r>
              <w:rPr>
                <w:rFonts w:hint="eastAsia" w:ascii="宋体"/>
                <w:color w:val="auto"/>
                <w:szCs w:val="21"/>
              </w:rPr>
              <w:t>仅计数模式</w:t>
            </w:r>
            <w:r>
              <w:rPr>
                <w:rFonts w:hint="eastAsia" w:ascii="宋体"/>
                <w:color w:val="auto"/>
                <w:szCs w:val="21"/>
                <w:lang w:eastAsia="zh-CN"/>
              </w:rPr>
              <w:t>、</w:t>
            </w:r>
            <w:r>
              <w:rPr>
                <w:rFonts w:hint="eastAsia" w:ascii="宋体"/>
                <w:color w:val="auto"/>
                <w:szCs w:val="21"/>
              </w:rPr>
              <w:t>验证扫描</w:t>
            </w:r>
            <w:r>
              <w:rPr>
                <w:rFonts w:hint="eastAsia" w:ascii="宋体"/>
                <w:color w:val="auto"/>
                <w:szCs w:val="21"/>
                <w:lang w:eastAsia="zh-CN"/>
              </w:rPr>
              <w:t>、</w:t>
            </w:r>
            <w:r>
              <w:rPr>
                <w:rFonts w:hint="eastAsia" w:ascii="宋体"/>
                <w:color w:val="auto"/>
                <w:szCs w:val="21"/>
              </w:rPr>
              <w:t>快速恢复系统</w:t>
            </w:r>
            <w:r>
              <w:rPr>
                <w:rFonts w:hint="eastAsia" w:ascii="宋体"/>
                <w:color w:val="auto"/>
                <w:szCs w:val="21"/>
                <w:lang w:eastAsia="zh-CN"/>
              </w:rPr>
              <w:t>、</w:t>
            </w:r>
            <w:r>
              <w:rPr>
                <w:rFonts w:hint="eastAsia" w:ascii="宋体"/>
                <w:color w:val="auto"/>
                <w:szCs w:val="21"/>
              </w:rPr>
              <w:t>多流输出</w:t>
            </w:r>
            <w:r>
              <w:rPr>
                <w:rFonts w:hint="eastAsia"/>
                <w:color w:val="auto"/>
                <w:lang w:val="en-US" w:eastAsia="zh-CN"/>
              </w:rPr>
              <w:t>等功能</w:t>
            </w:r>
            <w:r>
              <w:rPr>
                <w:rFonts w:hint="eastAsia"/>
                <w:color w:val="auto"/>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w:t>
            </w:r>
            <w:r>
              <w:rPr>
                <w:rFonts w:hint="eastAsia" w:ascii="宋体"/>
                <w:color w:val="auto"/>
                <w:szCs w:val="21"/>
                <w:lang w:val="en-US" w:eastAsia="zh-CN"/>
              </w:rPr>
              <w:t>8</w:t>
            </w:r>
            <w:r>
              <w:rPr>
                <w:rFonts w:hint="eastAsia" w:ascii="宋体"/>
                <w:color w:val="auto"/>
                <w:szCs w:val="21"/>
              </w:rPr>
              <w:t>）钢芯结构的走纸U型通道。</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ascii="宋体"/>
                <w:color w:val="auto"/>
                <w:szCs w:val="21"/>
              </w:rPr>
              <w:t>扫描服务配置要求</w:t>
            </w:r>
            <w:r>
              <w:rPr>
                <w:rFonts w:hint="eastAsia" w:ascii="宋体"/>
                <w:color w:val="auto"/>
                <w:szCs w:val="21"/>
                <w:lang w:eastAsia="zh-CN"/>
              </w:rPr>
              <w:t>：</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eastAsia="宋体"/>
                <w:color w:val="auto"/>
                <w:szCs w:val="21"/>
                <w:lang w:eastAsia="zh-CN"/>
              </w:rPr>
            </w:pPr>
            <w:r>
              <w:rPr>
                <w:rFonts w:hint="eastAsia"/>
                <w:color w:val="auto"/>
                <w:lang w:val="en-US" w:eastAsia="zh-CN"/>
              </w:rPr>
              <w:t>相当于</w:t>
            </w:r>
            <w:r>
              <w:rPr>
                <w:rFonts w:hint="eastAsia" w:ascii="宋体"/>
                <w:color w:val="auto"/>
                <w:szCs w:val="21"/>
              </w:rPr>
              <w:t>i5处理器</w:t>
            </w:r>
            <w:r>
              <w:rPr>
                <w:rFonts w:hint="eastAsia" w:ascii="宋体"/>
                <w:color w:val="auto"/>
                <w:szCs w:val="21"/>
                <w:lang w:val="en-US" w:eastAsia="zh-CN"/>
              </w:rPr>
              <w:t>或以上</w:t>
            </w:r>
            <w:bookmarkStart w:id="44" w:name="OLE_LINK11"/>
            <w:r>
              <w:rPr>
                <w:rFonts w:hint="eastAsia" w:ascii="宋体"/>
                <w:color w:val="auto"/>
                <w:szCs w:val="21"/>
              </w:rPr>
              <w:t>\</w:t>
            </w:r>
            <w:bookmarkEnd w:id="44"/>
            <w:r>
              <w:rPr>
                <w:rFonts w:hint="eastAsia" w:ascii="宋体"/>
                <w:color w:val="auto"/>
                <w:szCs w:val="21"/>
              </w:rPr>
              <w:t>≥4GB\≥1TB 7200rpm SATA硬盘\≥1GB独立显存\Rambo\no Wifi\无读卡器口\串并口</w:t>
            </w:r>
            <w:r>
              <w:rPr>
                <w:rFonts w:hint="eastAsia"/>
                <w:color w:val="auto"/>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jc w:val="left"/>
              <w:textAlignment w:val="auto"/>
              <w:rPr>
                <w:rFonts w:hint="eastAsia" w:ascii="宋体" w:hAnsi="宋体"/>
                <w:b/>
                <w:bCs/>
                <w:color w:val="auto"/>
                <w:kern w:val="0"/>
                <w:szCs w:val="21"/>
                <w:lang w:eastAsia="zh-CN"/>
              </w:rPr>
            </w:pPr>
            <w:r>
              <w:rPr>
                <w:rFonts w:hint="eastAsia" w:ascii="宋体" w:hAnsi="宋体" w:cs="宋体"/>
                <w:color w:val="auto"/>
                <w:highlight w:val="none"/>
              </w:rPr>
              <w:t>◆</w:t>
            </w:r>
            <w:r>
              <w:rPr>
                <w:rFonts w:hint="eastAsia" w:ascii="宋体" w:hAnsi="宋体"/>
                <w:b/>
                <w:bCs/>
                <w:color w:val="auto"/>
                <w:kern w:val="0"/>
                <w:sz w:val="21"/>
                <w:szCs w:val="21"/>
                <w:lang w:val="en-US" w:eastAsia="zh-CN" w:bidi="ar-SA"/>
              </w:rPr>
              <w:t>（二）</w:t>
            </w:r>
            <w:r>
              <w:rPr>
                <w:rFonts w:hint="eastAsia" w:ascii="宋体" w:hAnsi="宋体" w:eastAsia="宋体"/>
                <w:b/>
                <w:bCs/>
                <w:color w:val="auto"/>
                <w:kern w:val="0"/>
                <w:szCs w:val="21"/>
              </w:rPr>
              <w:t>用于服务的阅卷软件应满足以下技术参数要求</w:t>
            </w:r>
            <w:r>
              <w:rPr>
                <w:rFonts w:hint="eastAsia" w:ascii="宋体" w:hAnsi="宋体"/>
                <w:b/>
                <w:bCs/>
                <w:color w:val="auto"/>
                <w:kern w:val="0"/>
                <w:szCs w:val="21"/>
                <w:lang w:eastAsia="zh-CN"/>
              </w:rPr>
              <w:t>：</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网阅平台</w:t>
            </w:r>
            <w:r>
              <w:rPr>
                <w:rFonts w:hint="eastAsia" w:ascii="宋体" w:hAnsi="宋体" w:cs="宋体"/>
                <w:b w:val="0"/>
                <w:bCs w:val="0"/>
                <w:color w:val="auto"/>
                <w:sz w:val="21"/>
                <w:szCs w:val="21"/>
                <w:highlight w:val="none"/>
                <w:lang w:val="en-US" w:eastAsia="zh-CN"/>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扫描识别功能</w:t>
            </w:r>
            <w:r>
              <w:rPr>
                <w:rFonts w:hint="eastAsia" w:ascii="宋体" w:hAnsi="宋体" w:eastAsia="宋体" w:cs="宋体"/>
                <w:color w:val="auto"/>
                <w:sz w:val="21"/>
                <w:szCs w:val="21"/>
                <w:highlight w:val="none"/>
                <w:lang w:eastAsia="zh-CN"/>
              </w:rPr>
              <w:t>：</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答题卡必须能够使用52克以上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cs="宋体"/>
                <w:color w:val="auto"/>
                <w:sz w:val="21"/>
                <w:szCs w:val="21"/>
                <w:highlight w:val="none"/>
                <w:lang w:val="en-US" w:eastAsia="zh-CN"/>
              </w:rPr>
              <w:t>52</w:t>
            </w:r>
            <w:r>
              <w:rPr>
                <w:rFonts w:hint="eastAsia" w:ascii="宋体" w:hAnsi="宋体" w:eastAsia="宋体" w:cs="宋体"/>
                <w:color w:val="auto"/>
                <w:sz w:val="21"/>
                <w:szCs w:val="21"/>
                <w:highlight w:val="none"/>
                <w:lang w:val="en-US" w:eastAsia="zh-CN"/>
              </w:rPr>
              <w:t>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新闻纸和环保纸双面单色印刷，印刷和裁切误差允许±3cm，允许印刷内容出现缩放歪斜现象。能够识别所有题卡合一、题卡分离的答题卡。选择题中选项数量无限制，同一选择题选项填涂区域可以跨页面；同一主观题作答区域可以跨版面和跨页面，自动识别不同卷型不同布局的答题卡。</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拥有一键式试卷扫描识别程序，兼容所有扫描仪，既可以使用Twain协议也可以使用ISIS协议，在试卷扫描整个过程，无需设置扫描分辨率、纸张大小、色彩模式以及扫描仪提供的任何其它高级扫描功能；试卷扫描时特别是多页时试卷放置不论倒置，正反和前后顺序，识别系统必须自动纠正试卷倒置和正反现象；在不采取任何识别的情况下，扫描软件在扫描的过程中可以实时自动检测试卷折角现象。</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试卷扫描采用256级</w:t>
            </w:r>
            <w:r>
              <w:rPr>
                <w:rFonts w:hint="eastAsia" w:ascii="宋体" w:hAnsi="宋体" w:cs="宋体"/>
                <w:color w:val="auto"/>
                <w:sz w:val="21"/>
                <w:szCs w:val="21"/>
                <w:highlight w:val="none"/>
                <w:lang w:val="en-US" w:eastAsia="zh-CN"/>
              </w:rPr>
              <w:t>或以上</w:t>
            </w:r>
            <w:r>
              <w:rPr>
                <w:rFonts w:hint="eastAsia" w:ascii="宋体" w:hAnsi="宋体" w:eastAsia="宋体" w:cs="宋体"/>
                <w:color w:val="auto"/>
                <w:sz w:val="21"/>
                <w:szCs w:val="21"/>
                <w:highlight w:val="none"/>
              </w:rPr>
              <w:t>灰度扫描，扫描保存的图像必须是256级</w:t>
            </w:r>
            <w:r>
              <w:rPr>
                <w:rFonts w:hint="eastAsia" w:ascii="宋体" w:hAnsi="宋体" w:cs="宋体"/>
                <w:color w:val="auto"/>
                <w:sz w:val="21"/>
                <w:szCs w:val="21"/>
                <w:highlight w:val="none"/>
                <w:lang w:val="en-US" w:eastAsia="zh-CN"/>
              </w:rPr>
              <w:t>或以上</w:t>
            </w:r>
            <w:r>
              <w:rPr>
                <w:rFonts w:hint="eastAsia" w:ascii="宋体" w:hAnsi="宋体" w:eastAsia="宋体" w:cs="宋体"/>
                <w:color w:val="auto"/>
                <w:sz w:val="21"/>
                <w:szCs w:val="21"/>
                <w:highlight w:val="none"/>
              </w:rPr>
              <w:t>灰度图像；实时扫描控制程序，不依赖包括扫描仪自带软件在内的其他通用图像扫描软件，支持多台不同型号的扫描仪同时进行试卷扫描,不受系统软件的限制，在识别过程中无需为不同扫描仪扫描的试卷图像做独立的识别模版；在扫描过程中，系统后台自动将每个文件包中的试卷影像文件压缩成一个文件上传至远程服务器，远程服务器自动解压上传来的压缩文件包，自动校对服务器端试卷影像文件和扫描端试卷影像文件，故障自动恢复重传，实现试卷影像文件一致。采用不停机扫描模式，扫描时不提供任何考生信息，学生填涂错误由系统软件自动处理。</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能识别任何布局的答题卡，智能匹配被缩放印刷的答题卡。识别系统必须采用256级灰度</w:t>
            </w:r>
            <w:r>
              <w:rPr>
                <w:rFonts w:hint="eastAsia" w:ascii="宋体" w:hAnsi="宋体" w:cs="宋体"/>
                <w:color w:val="auto"/>
                <w:sz w:val="21"/>
                <w:szCs w:val="21"/>
                <w:highlight w:val="none"/>
                <w:lang w:val="en-US" w:eastAsia="zh-CN"/>
              </w:rPr>
              <w:t>或</w:t>
            </w:r>
            <w:r>
              <w:rPr>
                <w:rFonts w:hint="eastAsia" w:ascii="宋体" w:hAnsi="宋体" w:eastAsia="宋体" w:cs="宋体"/>
                <w:color w:val="auto"/>
                <w:sz w:val="21"/>
                <w:szCs w:val="21"/>
                <w:highlight w:val="none"/>
              </w:rPr>
              <w:t>以上识别技术，可以自动检测填涂过轻，擦除不干净等现象；OMR识别不能通过双阈值原理来控制，必须通过其它的数学模型，根据需要实时调整识别灵敏度，在150DPI下选择题差错率必须小于万分之一，不允许在没有作答的选择题上出现非法识别结果；可以在扫描时同时生成原始整图、切分图、拼接图、客观题识别及判分等相关数据文件。</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重号、错号、选择性内容出现不确定性等情况，可以采用实时处理方式也可以采用事后检查、改正、追踪等手段；在选择性内容修正的过程中，系统自动复原答题卡（如滤色扫描后的答题卡图像，在原始位置上复原出相应的选择性内容），既可在答题卡图像建立的可编辑图层上只将问题选项以精确的图像区域自动突出显示给校对操作者通过鼠标同屏点击修改，也可显示所有选择题识别结果可编辑图层，根据业务需要将鼠标选中区域中的所有选择题识别结果设置成未填涂状态，修改后的选项图层区域用不同颜色标注以示区分。</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识别系统同时支持精确定位、模糊定位和锚定位，物理裁切和虚拟裁切，精确定位失效时系统自动切换到模糊定位或锚定位；支持识别模版自动诊断，诊断模版问题和识别上那些参数需要调整以达到最佳识别效果，系统自动检测OMR识别阈值；识别裁切完成后，系统后台自动将每个文件包中的试卷影像文件、选择题识别信息、裁切信息、考生信息等压缩成一个文件上传至远程服务器，远程服务器自动解压上传来的压缩文件包,将相关信息自动写入服务器，自动校对服务器端试卷影像文件和扫描端试卷影像文件，故障自动恢复重传，实现试卷影像文件一致和数据记录完整唯一。</w:t>
            </w:r>
          </w:p>
          <w:p>
            <w:pPr>
              <w:pStyle w:val="24"/>
              <w:keepNext w:val="0"/>
              <w:keepLines w:val="0"/>
              <w:pageBreakBefore w:val="0"/>
              <w:numPr>
                <w:ilvl w:val="0"/>
                <w:numId w:val="0"/>
              </w:numPr>
              <w:kinsoku/>
              <w:wordWrap/>
              <w:overflowPunct/>
              <w:topLinePunct w:val="0"/>
              <w:bidi w:val="0"/>
              <w:spacing w:line="400" w:lineRule="exact"/>
              <w:ind w:left="0"/>
              <w:textAlignment w:val="auto"/>
              <w:rPr>
                <w:rFonts w:hint="eastAsia"/>
                <w:color w:val="auto"/>
                <w:lang w:val="en-US" w:eastAsia="zh-CN"/>
              </w:rPr>
            </w:pPr>
            <w:r>
              <w:rPr>
                <w:rFonts w:hint="eastAsia" w:ascii="宋体" w:hAnsi="宋体" w:eastAsia="宋体" w:cs="宋体"/>
                <w:color w:val="auto"/>
                <w:sz w:val="21"/>
                <w:szCs w:val="21"/>
                <w:highlight w:val="none"/>
              </w:rPr>
              <w:t>▲</w:t>
            </w:r>
            <w:r>
              <w:rPr>
                <w:rFonts w:hint="eastAsia" w:ascii="宋体" w:hAnsi="宋体" w:cs="宋体"/>
                <w:color w:val="auto"/>
                <w:kern w:val="2"/>
                <w:sz w:val="21"/>
                <w:szCs w:val="21"/>
                <w:highlight w:val="none"/>
                <w:lang w:val="en-US" w:eastAsia="zh-CN" w:bidi="ar-SA"/>
              </w:rPr>
              <w:t>（7）</w:t>
            </w:r>
            <w:r>
              <w:rPr>
                <w:rFonts w:hint="eastAsia" w:ascii="宋体" w:hAnsi="宋体" w:eastAsia="宋体" w:cs="宋体"/>
                <w:color w:val="auto"/>
                <w:kern w:val="2"/>
                <w:sz w:val="21"/>
                <w:szCs w:val="21"/>
                <w:highlight w:val="none"/>
                <w:lang w:val="en-US" w:eastAsia="zh-CN" w:bidi="ar-SA"/>
              </w:rPr>
              <w:t>支持单卷、AB卷、ABC卷等卷型，提供一键导入到网阅系统，自动生成评分规则，用自动生成网阅模板，可以边扫描边阅卷，扫描答题卡时，自动识别印刷缩放、倾斜等异常情况并智能处理为正常答题卡。</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阅卷前和阅卷中，系统在不影响现有批阅结果的情况下自动采用5个以上(包括</w:t>
            </w:r>
            <w:r>
              <w:rPr>
                <w:rFonts w:hint="eastAsia" w:ascii="宋体" w:hAnsi="宋体" w:eastAsia="宋体" w:cs="宋体"/>
                <w:color w:val="auto"/>
                <w:sz w:val="21"/>
                <w:szCs w:val="21"/>
                <w:highlight w:val="none"/>
                <w:lang w:val="en-US" w:eastAsia="zh-CN"/>
              </w:rPr>
              <w:t>5个</w:t>
            </w:r>
            <w:r>
              <w:rPr>
                <w:rFonts w:hint="eastAsia" w:ascii="宋体" w:hAnsi="宋体" w:eastAsia="宋体" w:cs="宋体"/>
                <w:color w:val="auto"/>
                <w:sz w:val="21"/>
                <w:szCs w:val="21"/>
                <w:highlight w:val="none"/>
              </w:rPr>
              <w:t>)进程对某些指定的试题块重新裁切、拼接或者由灰度图像转换成黑白图像；同一试题中可以实现虚拟裁切和物理裁切并存，根据业务需要在任何时刻进行相互转换。某些考生作答的异常试题(例如书写过界，作答位置交换等等)可以根据实际情况在不用修改系统模板或参数的条件下对实际作答区域位置大小进行调整、增加裁切区域等来例外实现这些考生作答内容裁切的完整性。</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评卷数据库和识别数据库必须是同一个无缝连接的数据库，不需要通过任何方式进行导入导出操作。</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系统识别要求：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1)识别答卷填涂项：</w:t>
            </w:r>
            <w:bookmarkStart w:id="45" w:name="OLE_LINK36"/>
            <w:r>
              <w:rPr>
                <w:rFonts w:hint="eastAsia"/>
                <w:color w:val="auto"/>
                <w:lang w:val="en-US" w:eastAsia="zh-CN"/>
              </w:rPr>
              <w:t>答题卡</w:t>
            </w:r>
            <w:r>
              <w:rPr>
                <w:rFonts w:hint="eastAsia"/>
                <w:color w:val="auto"/>
              </w:rPr>
              <w:t>印刷</w:t>
            </w:r>
            <w:r>
              <w:rPr>
                <w:rFonts w:hint="eastAsia"/>
                <w:color w:val="auto"/>
                <w:lang w:val="en-US" w:eastAsia="zh-CN"/>
              </w:rPr>
              <w:t>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w:t>
            </w:r>
            <w:bookmarkEnd w:id="45"/>
            <w:r>
              <w:rPr>
                <w:rFonts w:hint="eastAsia" w:ascii="宋体" w:hAnsi="宋体" w:eastAsia="宋体" w:cs="宋体"/>
                <w:color w:val="auto"/>
                <w:sz w:val="21"/>
                <w:szCs w:val="21"/>
                <w:highlight w:val="none"/>
              </w:rPr>
              <w:t>或A3双面单色黑白胶印或速印或复印，有单选、多选客观题；测试能自动检测填涂过轻、多选题填涂擦拭非常不干净、未填涂等现象，对填涂笔无特殊要求。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2）识别歪斜答卷：</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由于印刷或扫描答卷出现倾斜，测试系统能自动纠偏答卷，答卷填涂识别率100%。支持新课改选做题答卷方式，如三选一只留一个题的答题区域，节约答题区域并能够在多选题区域中加选择题、分小题分块阅卷。</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3）识别边距裁切大小不一答卷：</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普通纸A3双面单色黑白胶印或速印或复印，由于答卷印刷裁切不一，边距误差1-2cm，答卷填涂识别率100%。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普通纸A3双面单色黑白胶印或速印或复印，对于扫描时的答题卡正扫测试系统能自动纠正倒置答卷填涂识别率100%。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普通纸A3双面单色黑白胶印或速印或复印，倒扫答题卷，在不准人工干预旋转图像，测试系统能自动纠正倒置。答卷填涂识别率100%。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bookmarkStart w:id="46" w:name="OLE_LINK38"/>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bookmarkEnd w:id="46"/>
            <w:r>
              <w:rPr>
                <w:rFonts w:hint="eastAsia" w:ascii="宋体" w:hAnsi="宋体" w:eastAsia="宋体" w:cs="宋体"/>
                <w:color w:val="auto"/>
                <w:sz w:val="21"/>
                <w:szCs w:val="21"/>
                <w:highlight w:val="none"/>
              </w:rPr>
              <w:t>普通纸A3双面单色黑白胶印或速印或复印，反面正扫答题卷，测试系统能自动纠正倒置，不准人工干预旋转图像，答卷填涂识别率100%。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普通纸A3双面单色黑白胶印或速印或复印，反面倒扫答题卷，测试系统能自动纠正倒置，不准人工干预旋转图像，答卷填涂识别率100%。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r>
              <w:rPr>
                <w:rFonts w:hint="eastAsia"/>
                <w:color w:val="auto"/>
                <w:lang w:val="en-US" w:eastAsia="zh-CN"/>
              </w:rPr>
              <w:t>答题卡印刷使用</w:t>
            </w:r>
            <w:r>
              <w:rPr>
                <w:rFonts w:hint="eastAsia" w:ascii="宋体" w:hAnsi="宋体" w:eastAsia="宋体" w:cs="宋体"/>
                <w:color w:val="auto"/>
                <w:sz w:val="21"/>
                <w:szCs w:val="21"/>
                <w:highlight w:val="none"/>
              </w:rPr>
              <w:t>70克以上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包括</w:t>
            </w:r>
            <w:r>
              <w:rPr>
                <w:rFonts w:hint="eastAsia" w:ascii="宋体" w:hAnsi="宋体" w:eastAsia="宋体" w:cs="宋体"/>
                <w:color w:val="auto"/>
                <w:sz w:val="21"/>
                <w:szCs w:val="21"/>
                <w:highlight w:val="none"/>
                <w:lang w:val="en-US" w:eastAsia="zh-CN"/>
              </w:rPr>
              <w:t>70克</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普通纸A3双面单色黑白胶印对于正反面印刷错位或正反面倒置的答题卡，测试系统能自动纠正识别，不准人工干预旋转图像，答卷填涂识别率100%。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主观题网上评卷功能</w:t>
            </w:r>
            <w:r>
              <w:rPr>
                <w:rFonts w:hint="eastAsia" w:ascii="宋体" w:hAnsi="宋体" w:cs="宋体"/>
                <w:b/>
                <w:bCs/>
                <w:color w:val="auto"/>
                <w:sz w:val="21"/>
                <w:szCs w:val="21"/>
                <w:highlight w:val="none"/>
                <w:lang w:val="en-US" w:eastAsia="zh-CN"/>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支持阅卷过程中只显示批阅试题作答信息，屏蔽试卷上其它任何信息；支持跟随给分、浮动给分、数字键盘给分等</w:t>
            </w:r>
            <w:r>
              <w:rPr>
                <w:rFonts w:hint="eastAsia" w:ascii="宋体" w:hAnsi="宋体" w:cs="宋体"/>
                <w:color w:val="auto"/>
                <w:sz w:val="21"/>
                <w:szCs w:val="21"/>
                <w:highlight w:val="none"/>
                <w:lang w:val="en-US" w:eastAsia="zh-CN"/>
              </w:rPr>
              <w:t>不低于3</w:t>
            </w:r>
            <w:r>
              <w:rPr>
                <w:rFonts w:hint="eastAsia" w:ascii="宋体" w:hAnsi="宋体" w:eastAsia="宋体" w:cs="宋体"/>
                <w:color w:val="auto"/>
                <w:sz w:val="21"/>
                <w:szCs w:val="21"/>
                <w:highlight w:val="none"/>
              </w:rPr>
              <w:t>种输入分数模式；支持对同一道题内的小题通过鼠标点击实现持续打分并自动累加分数，减轻阅卷老师负担；评卷组长在阅卷过程中能随时查阅教师的批注及得分。</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批阅痕迹自动跟随标记功能：在多次给分题目中，阅卷教师每给一次分，在阅卷界面就会在对应的位置上显示相对应的批阅分数及痕迹，让阅卷教师能清楚了解自己已批阅多少，并知道正在批阅的位置。</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教师批阅的试题</w:t>
            </w:r>
            <w:r>
              <w:rPr>
                <w:rFonts w:hint="eastAsia"/>
                <w:color w:val="auto"/>
                <w:lang w:val="en-US" w:eastAsia="zh-CN"/>
              </w:rPr>
              <w:t>既</w:t>
            </w:r>
            <w:r>
              <w:rPr>
                <w:rFonts w:hint="eastAsia" w:ascii="宋体" w:hAnsi="宋体" w:eastAsia="宋体" w:cs="宋体"/>
                <w:color w:val="auto"/>
                <w:sz w:val="21"/>
                <w:szCs w:val="21"/>
                <w:highlight w:val="none"/>
              </w:rPr>
              <w:t>可以在批阅完毕后可以按照零分复查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比例复查等方式进行复查又可以指定其他教师实时复查。</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能够批改重号、错号等试卷，实现边扫描边阅卷；分发的试题图像必须是裁切的256级灰度</w:t>
            </w:r>
            <w:r>
              <w:rPr>
                <w:rFonts w:hint="eastAsia" w:ascii="宋体" w:hAnsi="宋体" w:cs="宋体"/>
                <w:color w:val="auto"/>
                <w:sz w:val="21"/>
                <w:szCs w:val="21"/>
                <w:highlight w:val="none"/>
                <w:lang w:val="en-US" w:eastAsia="zh-CN"/>
              </w:rPr>
              <w:t>或以上</w:t>
            </w:r>
            <w:r>
              <w:rPr>
                <w:rFonts w:hint="eastAsia" w:ascii="宋体" w:hAnsi="宋体" w:eastAsia="宋体" w:cs="宋体"/>
                <w:color w:val="auto"/>
                <w:sz w:val="21"/>
                <w:szCs w:val="21"/>
                <w:highlight w:val="none"/>
              </w:rPr>
              <w:t>试题图像。服务器并发用户数量不低于1000。</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在选择题内容修正的过程中，系统自动复原答题卡（如滤色扫描后的答题卡图像，在原始位置上复原出相应的选择性内容），在答题卡图像建立的图层上将问题选项以精确的图像区域并自动突出显示给校对操作者通过鼠标同屏点击修改。B/S架构采用无感阅卷技术，可以在微信、QQ 、钉钉等系统中阅卷，自适应屏幕分辨率，支持横竖屏。阅卷终端必须在客户机内存中有试卷缓存功能,缓存的试卷数量不少于30份并且这个数量可以通过服务器配置自由更改，增强阅卷用户流畅性，支持的操作系统至少必须包括 Windows XP 、Windows 7 、Windows8 、Andriod、苹果等系统。</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阅卷系统所有软件支持的操作系统必须包括 Windows XP, Windows 7 、Windows 8、Windows 2003、Windows 2008、Windows 2012等。</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7</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阅卷系统自带由服务器统一配置并控制的压力测试软件，用于测试网络速度和服务器的并发性能。</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能够随时根据阅卷进度，动态增加阅卷教师账号，无需人工介入，系统即可自动为新增的账号分配阅卷任务，阅卷教师使用新增的账号即可在普通电脑上阅卷，而无需增加额外的阅卷终端设备，提高阅卷效率。</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设置试题多评规则时，用户可以设置当出现零分、满分、双评误差等条件，即可自动进入终评。</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提供自主条码打印工具，用户无需制作条形码，仅需选择考试项目和科目，即使打印考试所需的条形码；打印条形码时，可以设置按考场或者班级进行排序打印，可以自定义是否需要打印学校、班级、考场、座号等信息。</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阅卷时，提供“标注加分”和“标注扣分”模式，用户通过鼠标点击试题图片，即可标注分数，系统自动计算试题得分，并判断分数是否在允许范围，并提醒用户。</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用户在电脑阅卷时，如果试题图片无法一屏显示完全，则在自动另外显示试题缩略图，方便用户更加直观阅卷。</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分析阅卷质量时，提供所有阅卷用户阅卷量、均分、标准差的对比分析，同时可以选择单个阅卷用户，按自然天分析该用户的阅卷量、均分、标准差。</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无需制作阅卷识别模板和评分规则，通过选择在线制作的答题卡，无需人工介入，即可自动生成阅卷识别所需的模板及评分规则，提升阅卷效率。</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能够随时根据阅卷进度，动态增加或者减少阅卷教师账号同时无需重新分配任务。设置试题多评规则时，用户可以设置当出现零分、满分、双评误差等条件，即可自动进入终评。</w:t>
            </w:r>
          </w:p>
          <w:p>
            <w:pPr>
              <w:pStyle w:val="97"/>
              <w:keepNext w:val="0"/>
              <w:keepLines w:val="0"/>
              <w:pageBreakBefore w:val="0"/>
              <w:numPr>
                <w:ilvl w:val="0"/>
                <w:numId w:val="0"/>
              </w:numPr>
              <w:kinsoku/>
              <w:wordWrap/>
              <w:overflowPunct/>
              <w:topLinePunct w:val="0"/>
              <w:autoSpaceDN w:val="0"/>
              <w:bidi w:val="0"/>
              <w:snapToGrid/>
              <w:spacing w:line="40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（16）</w:t>
            </w:r>
            <w:r>
              <w:rPr>
                <w:rFonts w:hint="eastAsia" w:ascii="宋体" w:hAnsi="宋体" w:eastAsia="宋体" w:cs="宋体"/>
                <w:color w:val="auto"/>
                <w:kern w:val="2"/>
                <w:sz w:val="21"/>
                <w:szCs w:val="21"/>
                <w:highlight w:val="none"/>
                <w:lang w:val="en-US" w:eastAsia="zh-CN" w:bidi="ar-SA"/>
              </w:rPr>
              <w:t>监控后台服务器性能指标，并以直观的图表展示，保证评卷流程安全。</w:t>
            </w:r>
          </w:p>
          <w:p>
            <w:pPr>
              <w:pStyle w:val="97"/>
              <w:keepNext w:val="0"/>
              <w:keepLines w:val="0"/>
              <w:pageBreakBefore w:val="0"/>
              <w:numPr>
                <w:ilvl w:val="0"/>
                <w:numId w:val="0"/>
              </w:numPr>
              <w:kinsoku/>
              <w:wordWrap/>
              <w:overflowPunct/>
              <w:topLinePunct w:val="0"/>
              <w:autoSpaceDN w:val="0"/>
              <w:bidi w:val="0"/>
              <w:spacing w:line="40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（17）</w:t>
            </w:r>
            <w:r>
              <w:rPr>
                <w:rFonts w:hint="eastAsia" w:ascii="宋体" w:hAnsi="宋体" w:eastAsia="宋体" w:cs="宋体"/>
                <w:color w:val="auto"/>
                <w:kern w:val="2"/>
                <w:sz w:val="21"/>
                <w:szCs w:val="21"/>
                <w:highlight w:val="none"/>
                <w:lang w:val="en-US" w:eastAsia="zh-CN" w:bidi="ar-SA"/>
              </w:rPr>
              <w:t>提供试题实时全方位监控，包括：试题进度、分发、异常、剩余量、仲裁量、怀疑量等，并提供在线处理工具。</w:t>
            </w:r>
          </w:p>
          <w:p>
            <w:pPr>
              <w:pStyle w:val="97"/>
              <w:keepNext w:val="0"/>
              <w:keepLines w:val="0"/>
              <w:pageBreakBefore w:val="0"/>
              <w:numPr>
                <w:ilvl w:val="0"/>
                <w:numId w:val="0"/>
              </w:numPr>
              <w:kinsoku/>
              <w:wordWrap/>
              <w:overflowPunct/>
              <w:topLinePunct w:val="0"/>
              <w:autoSpaceDN w:val="0"/>
              <w:bidi w:val="0"/>
              <w:spacing w:line="40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（18）</w:t>
            </w:r>
            <w:r>
              <w:rPr>
                <w:rFonts w:hint="eastAsia" w:ascii="宋体" w:hAnsi="宋体" w:eastAsia="宋体" w:cs="宋体"/>
                <w:color w:val="auto"/>
                <w:kern w:val="2"/>
                <w:sz w:val="21"/>
                <w:szCs w:val="21"/>
                <w:highlight w:val="none"/>
                <w:lang w:val="en-US" w:eastAsia="zh-CN" w:bidi="ar-SA"/>
              </w:rPr>
              <w:t>实时查看个人评分质量、试题得分分布，对于不合理的评分进行打回重评。</w:t>
            </w:r>
          </w:p>
          <w:p>
            <w:pPr>
              <w:pStyle w:val="97"/>
              <w:keepNext w:val="0"/>
              <w:keepLines w:val="0"/>
              <w:pageBreakBefore w:val="0"/>
              <w:numPr>
                <w:ilvl w:val="0"/>
                <w:numId w:val="0"/>
              </w:numPr>
              <w:kinsoku/>
              <w:wordWrap/>
              <w:overflowPunct/>
              <w:topLinePunct w:val="0"/>
              <w:autoSpaceDN w:val="0"/>
              <w:bidi w:val="0"/>
              <w:spacing w:line="400" w:lineRule="exact"/>
              <w:ind w:left="0" w:left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（19）</w:t>
            </w:r>
            <w:r>
              <w:rPr>
                <w:rFonts w:hint="eastAsia" w:ascii="宋体" w:hAnsi="宋体" w:eastAsia="宋体" w:cs="宋体"/>
                <w:color w:val="auto"/>
                <w:kern w:val="2"/>
                <w:sz w:val="21"/>
                <w:szCs w:val="21"/>
                <w:highlight w:val="none"/>
                <w:lang w:val="en-US" w:eastAsia="zh-CN" w:bidi="ar-SA"/>
              </w:rPr>
              <w:t>记录阅卷教师动作全轨迹并自动备份到安全区，确保数据的万无一失。</w:t>
            </w:r>
          </w:p>
          <w:p>
            <w:pPr>
              <w:pStyle w:val="97"/>
              <w:keepNext w:val="0"/>
              <w:keepLines w:val="0"/>
              <w:pageBreakBefore w:val="0"/>
              <w:numPr>
                <w:ilvl w:val="0"/>
                <w:numId w:val="0"/>
              </w:numPr>
              <w:kinsoku/>
              <w:wordWrap/>
              <w:overflowPunct/>
              <w:topLinePunct w:val="0"/>
              <w:autoSpaceDN w:val="0"/>
              <w:bidi w:val="0"/>
              <w:spacing w:line="400" w:lineRule="exact"/>
              <w:ind w:left="0" w:leftChars="0"/>
              <w:textAlignment w:val="auto"/>
              <w:rPr>
                <w:rFonts w:hint="eastAsia"/>
                <w:color w:val="auto"/>
              </w:rPr>
            </w:pPr>
            <w:r>
              <w:rPr>
                <w:rFonts w:hint="eastAsia" w:ascii="宋体" w:hAnsi="宋体" w:eastAsia="宋体" w:cs="宋体"/>
                <w:color w:val="auto"/>
                <w:sz w:val="21"/>
                <w:szCs w:val="21"/>
                <w:highlight w:val="none"/>
              </w:rPr>
              <w:t>▲</w:t>
            </w:r>
            <w:r>
              <w:rPr>
                <w:rFonts w:hint="eastAsia" w:ascii="宋体" w:hAnsi="宋体" w:cs="宋体"/>
                <w:color w:val="auto"/>
                <w:kern w:val="2"/>
                <w:sz w:val="21"/>
                <w:szCs w:val="21"/>
                <w:highlight w:val="none"/>
                <w:lang w:val="en-US" w:eastAsia="zh-CN" w:bidi="ar-SA"/>
              </w:rPr>
              <w:t>（20）</w:t>
            </w:r>
            <w:r>
              <w:rPr>
                <w:rFonts w:hint="eastAsia" w:ascii="宋体" w:hAnsi="宋体" w:eastAsia="宋体" w:cs="宋体"/>
                <w:color w:val="auto"/>
                <w:kern w:val="2"/>
                <w:sz w:val="21"/>
                <w:szCs w:val="21"/>
                <w:highlight w:val="none"/>
                <w:lang w:val="en-US" w:eastAsia="zh-CN" w:bidi="ar-SA"/>
              </w:rPr>
              <w:t>提供阅卷数据实时全方位监管，提供数据同步、任务监督、离线回收、试题重评等工具。</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考试成绩分析定制服务</w:t>
            </w:r>
            <w:r>
              <w:rPr>
                <w:rFonts w:hint="eastAsia" w:ascii="宋体" w:hAnsi="宋体" w:cs="宋体"/>
                <w:b/>
                <w:bCs/>
                <w:color w:val="auto"/>
                <w:sz w:val="21"/>
                <w:szCs w:val="21"/>
                <w:highlight w:val="none"/>
                <w:lang w:val="en-US" w:eastAsia="zh-CN"/>
              </w:rPr>
              <w:t>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满足成绩分析个性化定制，同时必须满足以下参数要求：</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报表支持PDF、EXCEL、DBF、TXT、CSV、ACCESS格式导出。</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支持原始分、标准分、平均分、排名、选择率、正确率、最高分、最低分、闪光点、薄弱点、标准差、区分度、贡献值、难度、信度、Z分数、分数百分等级、分数分布、名次分布等统计指标；可自动生成个人、班级、年级的成绩报表、对比报表、汇总报表、抽样统计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边缘生统计表</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正态分布</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两端分布表等。</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系统自动记载并评估每位教师每次评卷质量，实现教师阅卷质量档案管理。</w:t>
            </w:r>
          </w:p>
          <w:p>
            <w:pPr>
              <w:keepNext w:val="0"/>
              <w:keepLines w:val="0"/>
              <w:pageBreakBefore w:val="0"/>
              <w:widowControl w:val="0"/>
              <w:kinsoku/>
              <w:wordWrap/>
              <w:overflowPunct/>
              <w:topLinePunct w:val="0"/>
              <w:autoSpaceDE w:val="0"/>
              <w:autoSpaceDN w:val="0"/>
              <w:bidi w:val="0"/>
              <w:adjustRightInd w:val="0"/>
              <w:snapToGrid/>
              <w:spacing w:line="400" w:lineRule="exact"/>
              <w:ind w:left="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分析阅卷质量时，提供所有阅卷用户阅卷量、均分、标准差的对比分析，同时可以选择单个阅卷用户，按自然天分析该用户的阅卷量、均分、标准差。分析报表支持动态定义，可图表结合，支持线状、柱状、饼图、雷达图等常见格式，报表修改与添加不需要重新部署系统环境。支持从个人、学校、县（区）、地市、省等无限层级数据统计。</w:t>
            </w:r>
          </w:p>
          <w:p>
            <w:pPr>
              <w:pStyle w:val="19"/>
              <w:keepNext w:val="0"/>
              <w:keepLines w:val="0"/>
              <w:pageBreakBefore w:val="0"/>
              <w:kinsoku/>
              <w:wordWrap/>
              <w:overflowPunct/>
              <w:topLinePunct w:val="0"/>
              <w:bidi w:val="0"/>
              <w:spacing w:line="400" w:lineRule="exact"/>
              <w:ind w:lef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w:t>
            </w:r>
            <w:r>
              <w:rPr>
                <w:rFonts w:hint="eastAsia"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分析报表支持动态定义，可图表结合，支持线状、柱状、饼图、雷达图等常见格式，报表修改与添加不需要重新部署系统环境，以免影响现有查询。</w:t>
            </w:r>
          </w:p>
          <w:p>
            <w:pPr>
              <w:keepNext w:val="0"/>
              <w:keepLines w:val="0"/>
              <w:pageBreakBefore w:val="0"/>
              <w:widowControl/>
              <w:kinsoku/>
              <w:wordWrap/>
              <w:overflowPunct/>
              <w:topLinePunct w:val="0"/>
              <w:bidi w:val="0"/>
              <w:spacing w:line="400" w:lineRule="exact"/>
              <w:ind w:left="0" w:firstLine="420" w:firstLineChars="200"/>
              <w:textAlignment w:val="auto"/>
              <w:rPr>
                <w:rFonts w:hint="eastAsia" w:ascii="宋体"/>
                <w:b/>
                <w:color w:val="auto"/>
                <w:szCs w:val="21"/>
              </w:rPr>
            </w:pPr>
            <w:r>
              <w:rPr>
                <w:rFonts w:hint="eastAsia" w:ascii="宋体" w:hAnsi="宋体"/>
                <w:color w:val="auto"/>
              </w:rPr>
              <w:t>▲</w:t>
            </w:r>
            <w:r>
              <w:rPr>
                <w:rFonts w:hint="eastAsia" w:ascii="宋体"/>
                <w:b/>
                <w:color w:val="auto"/>
                <w:szCs w:val="21"/>
              </w:rPr>
              <w:t xml:space="preserve">二、服务工作要求和进度要求 </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1、中标人在202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5</w:t>
            </w:r>
            <w:r>
              <w:rPr>
                <w:rFonts w:hint="eastAsia" w:ascii="宋体"/>
                <w:color w:val="auto"/>
                <w:szCs w:val="21"/>
              </w:rPr>
              <w:t>月下旬须向采购人提交202</w:t>
            </w:r>
            <w:r>
              <w:rPr>
                <w:rFonts w:hint="eastAsia" w:ascii="宋体"/>
                <w:color w:val="auto"/>
                <w:szCs w:val="21"/>
                <w:lang w:val="en-US" w:eastAsia="zh-CN"/>
              </w:rPr>
              <w:t>5</w:t>
            </w:r>
            <w:r>
              <w:rPr>
                <w:rFonts w:hint="eastAsia" w:ascii="宋体"/>
                <w:color w:val="auto"/>
                <w:szCs w:val="21"/>
              </w:rPr>
              <w:t>年南宁市中考无纸化阅卷方案，协助</w:t>
            </w:r>
            <w:r>
              <w:rPr>
                <w:rFonts w:hint="eastAsia" w:ascii="宋体"/>
                <w:color w:val="auto"/>
                <w:szCs w:val="21"/>
                <w:lang w:eastAsia="zh-CN"/>
              </w:rPr>
              <w:t>采购人</w:t>
            </w:r>
            <w:r>
              <w:rPr>
                <w:rFonts w:hint="eastAsia" w:ascii="宋体"/>
                <w:color w:val="auto"/>
                <w:szCs w:val="21"/>
              </w:rPr>
              <w:t>构建无纸化阅卷的软、硬件环境。</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rPr>
              <w:t>2、为</w:t>
            </w:r>
            <w:r>
              <w:rPr>
                <w:rFonts w:hint="eastAsia" w:ascii="宋体"/>
                <w:color w:val="auto"/>
                <w:szCs w:val="21"/>
                <w:lang w:eastAsia="zh-CN"/>
              </w:rPr>
              <w:t>采购人</w:t>
            </w:r>
            <w:r>
              <w:rPr>
                <w:rFonts w:hint="eastAsia" w:ascii="宋体"/>
                <w:color w:val="auto"/>
                <w:szCs w:val="21"/>
              </w:rPr>
              <w:t>提供中考无纸化阅卷前期的各类培训以及相应的技术咨询和技术指导。</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lang w:val="en-US" w:eastAsia="zh-CN"/>
              </w:rPr>
              <w:t>3</w:t>
            </w:r>
            <w:r>
              <w:rPr>
                <w:rFonts w:hint="eastAsia" w:ascii="宋体"/>
                <w:color w:val="auto"/>
                <w:szCs w:val="21"/>
              </w:rPr>
              <w:t>、中标人于202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月初（具体时间按</w:t>
            </w:r>
            <w:r>
              <w:rPr>
                <w:rFonts w:hint="eastAsia" w:ascii="宋体"/>
                <w:color w:val="auto"/>
                <w:szCs w:val="21"/>
                <w:lang w:eastAsia="zh-CN"/>
              </w:rPr>
              <w:t>采购人</w:t>
            </w:r>
            <w:r>
              <w:rPr>
                <w:rFonts w:hint="eastAsia" w:ascii="宋体"/>
                <w:color w:val="auto"/>
                <w:szCs w:val="21"/>
              </w:rPr>
              <w:t>要求）完成考生条形码（具体数量按</w:t>
            </w:r>
            <w:r>
              <w:rPr>
                <w:rFonts w:hint="eastAsia" w:ascii="宋体"/>
                <w:color w:val="auto"/>
                <w:szCs w:val="21"/>
                <w:lang w:eastAsia="zh-CN"/>
              </w:rPr>
              <w:t>采购人</w:t>
            </w:r>
            <w:r>
              <w:rPr>
                <w:rFonts w:hint="eastAsia" w:ascii="宋体"/>
                <w:color w:val="auto"/>
                <w:szCs w:val="21"/>
              </w:rPr>
              <w:t>要求）的制作。</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lang w:val="en-US" w:eastAsia="zh-CN"/>
              </w:rPr>
              <w:t>4</w:t>
            </w:r>
            <w:r>
              <w:rPr>
                <w:rFonts w:hint="eastAsia" w:ascii="宋体"/>
                <w:color w:val="auto"/>
                <w:szCs w:val="21"/>
              </w:rPr>
              <w:t>、中标人于202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月中旬（具体时间按</w:t>
            </w:r>
            <w:r>
              <w:rPr>
                <w:rFonts w:hint="eastAsia" w:ascii="宋体"/>
                <w:color w:val="auto"/>
                <w:szCs w:val="21"/>
                <w:lang w:eastAsia="zh-CN"/>
              </w:rPr>
              <w:t>采购人</w:t>
            </w:r>
            <w:r>
              <w:rPr>
                <w:rFonts w:hint="eastAsia" w:ascii="宋体"/>
                <w:color w:val="auto"/>
                <w:szCs w:val="21"/>
              </w:rPr>
              <w:t>要求）到达</w:t>
            </w:r>
            <w:r>
              <w:rPr>
                <w:rFonts w:hint="eastAsia" w:ascii="宋体"/>
                <w:color w:val="auto"/>
                <w:szCs w:val="21"/>
                <w:lang w:eastAsia="zh-CN"/>
              </w:rPr>
              <w:t>采购人</w:t>
            </w:r>
            <w:r>
              <w:rPr>
                <w:rFonts w:hint="eastAsia" w:ascii="宋体"/>
                <w:color w:val="auto"/>
                <w:szCs w:val="21"/>
              </w:rPr>
              <w:t>指定地点进行前期准备（对局域网进行检查并安装无纸化阅卷系统）和对相关人员进行培训。</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bookmarkStart w:id="47" w:name="OLE_LINK37"/>
            <w:r>
              <w:rPr>
                <w:rFonts w:hint="eastAsia" w:ascii="宋体"/>
                <w:color w:val="auto"/>
                <w:szCs w:val="21"/>
                <w:lang w:val="en-US" w:eastAsia="zh-CN"/>
              </w:rPr>
              <w:t>5</w:t>
            </w:r>
            <w:r>
              <w:rPr>
                <w:rFonts w:hint="eastAsia" w:ascii="宋体"/>
                <w:color w:val="auto"/>
                <w:szCs w:val="21"/>
              </w:rPr>
              <w:t>、中标人至少派出十名以上工作人员于202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月23日到达答卷扫描地点，202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月24 日正式开始对答卷扫描；答卷扫描在202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w:t>
            </w:r>
            <w:r>
              <w:rPr>
                <w:rFonts w:hint="eastAsia" w:ascii="宋体"/>
                <w:color w:val="auto"/>
                <w:szCs w:val="21"/>
                <w:lang w:val="en-US" w:eastAsia="zh-CN"/>
              </w:rPr>
              <w:t>30</w:t>
            </w:r>
            <w:r>
              <w:rPr>
                <w:rFonts w:hint="eastAsia" w:ascii="宋体"/>
                <w:color w:val="auto"/>
                <w:szCs w:val="21"/>
              </w:rPr>
              <w:t>日前完成</w:t>
            </w:r>
            <w:r>
              <w:rPr>
                <w:rFonts w:hint="eastAsia" w:ascii="宋体"/>
                <w:color w:val="auto"/>
                <w:szCs w:val="21"/>
                <w:lang w:eastAsia="zh-CN"/>
              </w:rPr>
              <w:t>（</w:t>
            </w:r>
            <w:r>
              <w:rPr>
                <w:rFonts w:hint="eastAsia" w:ascii="宋体"/>
                <w:color w:val="auto"/>
                <w:szCs w:val="21"/>
              </w:rPr>
              <w:t>具体时间按</w:t>
            </w:r>
            <w:r>
              <w:rPr>
                <w:rFonts w:hint="eastAsia" w:ascii="宋体"/>
                <w:color w:val="auto"/>
                <w:szCs w:val="21"/>
                <w:lang w:eastAsia="zh-CN"/>
              </w:rPr>
              <w:t>采购人</w:t>
            </w:r>
            <w:r>
              <w:rPr>
                <w:rFonts w:hint="eastAsia" w:ascii="宋体"/>
                <w:color w:val="auto"/>
                <w:szCs w:val="21"/>
              </w:rPr>
              <w:t>要求</w:t>
            </w:r>
            <w:r>
              <w:rPr>
                <w:rFonts w:hint="eastAsia" w:ascii="宋体"/>
                <w:color w:val="auto"/>
                <w:szCs w:val="21"/>
                <w:lang w:eastAsia="zh-CN"/>
              </w:rPr>
              <w:t>）</w:t>
            </w:r>
            <w:r>
              <w:rPr>
                <w:rFonts w:hint="eastAsia" w:ascii="宋体"/>
                <w:color w:val="auto"/>
                <w:szCs w:val="21"/>
              </w:rPr>
              <w:t>；答卷扫描用的高速扫描仪由中标人提供。</w:t>
            </w:r>
          </w:p>
          <w:p>
            <w:pPr>
              <w:keepNext w:val="0"/>
              <w:keepLines w:val="0"/>
              <w:pageBreakBefore w:val="0"/>
              <w:kinsoku/>
              <w:wordWrap/>
              <w:overflowPunct/>
              <w:topLinePunct w:val="0"/>
              <w:bidi w:val="0"/>
              <w:spacing w:line="400" w:lineRule="exact"/>
              <w:ind w:left="0" w:firstLine="420" w:firstLineChars="200"/>
              <w:textAlignment w:val="auto"/>
              <w:rPr>
                <w:rFonts w:hint="eastAsia" w:ascii="宋体"/>
                <w:color w:val="auto"/>
                <w:szCs w:val="21"/>
              </w:rPr>
            </w:pPr>
            <w:r>
              <w:rPr>
                <w:rFonts w:hint="eastAsia" w:ascii="宋体"/>
                <w:color w:val="auto"/>
                <w:szCs w:val="21"/>
                <w:lang w:val="en-US" w:eastAsia="zh-CN"/>
              </w:rPr>
              <w:t>6</w:t>
            </w:r>
            <w:r>
              <w:rPr>
                <w:rFonts w:hint="eastAsia" w:ascii="宋体"/>
                <w:color w:val="auto"/>
                <w:szCs w:val="21"/>
              </w:rPr>
              <w:t>、202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6</w:t>
            </w:r>
            <w:r>
              <w:rPr>
                <w:rFonts w:hint="eastAsia" w:ascii="宋体"/>
                <w:color w:val="auto"/>
                <w:szCs w:val="21"/>
              </w:rPr>
              <w:t>月</w:t>
            </w:r>
            <w:r>
              <w:rPr>
                <w:rFonts w:hint="eastAsia" w:ascii="宋体"/>
                <w:color w:val="auto"/>
                <w:szCs w:val="21"/>
                <w:lang w:val="en-US" w:eastAsia="zh-CN"/>
              </w:rPr>
              <w:t>30</w:t>
            </w:r>
            <w:r>
              <w:rPr>
                <w:rFonts w:hint="eastAsia" w:ascii="宋体"/>
                <w:color w:val="auto"/>
                <w:szCs w:val="21"/>
              </w:rPr>
              <w:t>日开始无纸化阅卷，中标人至少派出十名以上核心技术开发人员在阅卷现场，安排在各阅卷点的技术人员具有独立解决阅卷过程中的技术问题</w:t>
            </w:r>
            <w:bookmarkEnd w:id="47"/>
            <w:r>
              <w:rPr>
                <w:rFonts w:hint="eastAsia" w:ascii="宋体"/>
                <w:color w:val="auto"/>
                <w:szCs w:val="21"/>
              </w:rPr>
              <w:t>，按中考阅卷的有关规定，和阅卷老师一样，住宿于阅卷点，按阅卷点作息时间工作。对于市区考生和县份考生，分别在202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7</w:t>
            </w:r>
            <w:r>
              <w:rPr>
                <w:rFonts w:hint="eastAsia" w:ascii="宋体"/>
                <w:color w:val="auto"/>
                <w:szCs w:val="21"/>
              </w:rPr>
              <w:t>月</w:t>
            </w:r>
            <w:r>
              <w:rPr>
                <w:rFonts w:hint="eastAsia" w:ascii="宋体"/>
                <w:color w:val="auto"/>
                <w:szCs w:val="21"/>
                <w:lang w:val="en-US" w:eastAsia="zh-CN"/>
              </w:rPr>
              <w:t>3</w:t>
            </w:r>
            <w:r>
              <w:rPr>
                <w:rFonts w:hint="eastAsia" w:ascii="宋体"/>
                <w:color w:val="auto"/>
                <w:szCs w:val="21"/>
              </w:rPr>
              <w:t>日和202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7</w:t>
            </w:r>
            <w:r>
              <w:rPr>
                <w:rFonts w:hint="eastAsia" w:ascii="宋体"/>
                <w:color w:val="auto"/>
                <w:szCs w:val="21"/>
              </w:rPr>
              <w:t>月</w:t>
            </w:r>
            <w:r>
              <w:rPr>
                <w:rFonts w:hint="eastAsia" w:ascii="宋体"/>
                <w:color w:val="auto"/>
                <w:szCs w:val="21"/>
                <w:lang w:val="en-US" w:eastAsia="zh-CN"/>
              </w:rPr>
              <w:t>5</w:t>
            </w:r>
            <w:r>
              <w:rPr>
                <w:rFonts w:hint="eastAsia" w:ascii="宋体"/>
                <w:color w:val="auto"/>
                <w:szCs w:val="21"/>
              </w:rPr>
              <w:t>日完成阅卷</w:t>
            </w:r>
            <w:r>
              <w:rPr>
                <w:rFonts w:hint="eastAsia" w:ascii="宋体"/>
                <w:color w:val="auto"/>
                <w:szCs w:val="21"/>
                <w:lang w:eastAsia="zh-CN"/>
              </w:rPr>
              <w:t>（</w:t>
            </w:r>
            <w:r>
              <w:rPr>
                <w:rFonts w:hint="eastAsia" w:ascii="宋体"/>
                <w:color w:val="auto"/>
                <w:szCs w:val="21"/>
              </w:rPr>
              <w:t>具体时间按</w:t>
            </w:r>
            <w:r>
              <w:rPr>
                <w:rFonts w:hint="eastAsia" w:ascii="宋体"/>
                <w:color w:val="auto"/>
                <w:szCs w:val="21"/>
                <w:lang w:eastAsia="zh-CN"/>
              </w:rPr>
              <w:t>采购人</w:t>
            </w:r>
            <w:r>
              <w:rPr>
                <w:rFonts w:hint="eastAsia" w:ascii="宋体"/>
                <w:color w:val="auto"/>
                <w:szCs w:val="21"/>
              </w:rPr>
              <w:t>要求</w:t>
            </w:r>
            <w:r>
              <w:rPr>
                <w:rFonts w:hint="eastAsia" w:ascii="宋体"/>
                <w:color w:val="auto"/>
                <w:szCs w:val="21"/>
                <w:lang w:eastAsia="zh-CN"/>
              </w:rPr>
              <w:t>）</w:t>
            </w:r>
            <w:r>
              <w:rPr>
                <w:rFonts w:hint="eastAsia" w:ascii="宋体"/>
                <w:color w:val="auto"/>
                <w:szCs w:val="21"/>
              </w:rPr>
              <w:t>；</w:t>
            </w:r>
            <w:r>
              <w:rPr>
                <w:rFonts w:hint="eastAsia" w:ascii="宋体"/>
                <w:color w:val="auto"/>
                <w:szCs w:val="21"/>
                <w:lang w:val="en-US" w:eastAsia="zh-CN"/>
              </w:rPr>
              <w:t>2025</w:t>
            </w:r>
            <w:r>
              <w:rPr>
                <w:rFonts w:hint="eastAsia" w:ascii="宋体"/>
                <w:color w:val="auto"/>
                <w:szCs w:val="21"/>
              </w:rPr>
              <w:t>年</w:t>
            </w:r>
            <w:r>
              <w:rPr>
                <w:rFonts w:hint="eastAsia" w:ascii="宋体"/>
                <w:color w:val="auto"/>
                <w:szCs w:val="21"/>
                <w:lang w:val="en-US" w:eastAsia="zh-CN"/>
              </w:rPr>
              <w:t>7</w:t>
            </w:r>
            <w:r>
              <w:rPr>
                <w:rFonts w:hint="eastAsia" w:ascii="宋体"/>
                <w:color w:val="auto"/>
                <w:szCs w:val="21"/>
              </w:rPr>
              <w:t>月</w:t>
            </w:r>
            <w:r>
              <w:rPr>
                <w:rFonts w:hint="eastAsia" w:ascii="宋体"/>
                <w:color w:val="auto"/>
                <w:szCs w:val="21"/>
                <w:lang w:val="en-US" w:eastAsia="zh-CN"/>
              </w:rPr>
              <w:t>3</w:t>
            </w:r>
            <w:r>
              <w:rPr>
                <w:rFonts w:hint="eastAsia" w:ascii="宋体"/>
                <w:color w:val="auto"/>
                <w:szCs w:val="21"/>
              </w:rPr>
              <w:t>日和202</w:t>
            </w:r>
            <w:r>
              <w:rPr>
                <w:rFonts w:hint="eastAsia" w:ascii="宋体"/>
                <w:color w:val="auto"/>
                <w:szCs w:val="21"/>
                <w:lang w:val="en-US" w:eastAsia="zh-CN"/>
              </w:rPr>
              <w:t>5</w:t>
            </w:r>
            <w:r>
              <w:rPr>
                <w:rFonts w:hint="eastAsia" w:ascii="宋体"/>
                <w:color w:val="auto"/>
                <w:szCs w:val="21"/>
              </w:rPr>
              <w:t>年</w:t>
            </w:r>
            <w:r>
              <w:rPr>
                <w:rFonts w:hint="eastAsia" w:ascii="宋体"/>
                <w:color w:val="auto"/>
                <w:szCs w:val="21"/>
                <w:lang w:val="en-US" w:eastAsia="zh-CN"/>
              </w:rPr>
              <w:t>7</w:t>
            </w:r>
            <w:r>
              <w:rPr>
                <w:rFonts w:hint="eastAsia" w:ascii="宋体"/>
                <w:color w:val="auto"/>
                <w:szCs w:val="21"/>
              </w:rPr>
              <w:t>月</w:t>
            </w:r>
            <w:r>
              <w:rPr>
                <w:rFonts w:hint="eastAsia" w:ascii="宋体"/>
                <w:color w:val="auto"/>
                <w:szCs w:val="21"/>
                <w:lang w:val="en-US" w:eastAsia="zh-CN"/>
              </w:rPr>
              <w:t>6</w:t>
            </w:r>
            <w:r>
              <w:rPr>
                <w:rFonts w:hint="eastAsia" w:ascii="宋体"/>
                <w:color w:val="auto"/>
                <w:szCs w:val="21"/>
              </w:rPr>
              <w:t>日完成分数合成以及学生成绩报表和试卷分析报表</w:t>
            </w:r>
            <w:r>
              <w:rPr>
                <w:rFonts w:hint="eastAsia" w:ascii="宋体"/>
                <w:color w:val="auto"/>
                <w:szCs w:val="21"/>
                <w:lang w:eastAsia="zh-CN"/>
              </w:rPr>
              <w:t>（</w:t>
            </w:r>
            <w:r>
              <w:rPr>
                <w:rFonts w:hint="eastAsia" w:ascii="宋体"/>
                <w:color w:val="auto"/>
                <w:szCs w:val="21"/>
              </w:rPr>
              <w:t>具体时间按</w:t>
            </w:r>
            <w:r>
              <w:rPr>
                <w:rFonts w:hint="eastAsia" w:ascii="宋体"/>
                <w:color w:val="auto"/>
                <w:szCs w:val="21"/>
                <w:lang w:eastAsia="zh-CN"/>
              </w:rPr>
              <w:t>采购人</w:t>
            </w:r>
            <w:r>
              <w:rPr>
                <w:rFonts w:hint="eastAsia" w:ascii="宋体"/>
                <w:color w:val="auto"/>
                <w:szCs w:val="21"/>
              </w:rPr>
              <w:t>要求</w:t>
            </w:r>
            <w:r>
              <w:rPr>
                <w:rFonts w:hint="eastAsia" w:ascii="宋体"/>
                <w:color w:val="auto"/>
                <w:szCs w:val="21"/>
                <w:lang w:eastAsia="zh-CN"/>
              </w:rPr>
              <w:t>）</w:t>
            </w:r>
            <w:r>
              <w:rPr>
                <w:rFonts w:hint="eastAsia" w:ascii="宋体"/>
                <w:color w:val="auto"/>
                <w:szCs w:val="21"/>
              </w:rPr>
              <w:t>。</w:t>
            </w:r>
          </w:p>
          <w:p>
            <w:pPr>
              <w:pStyle w:val="19"/>
              <w:keepNext w:val="0"/>
              <w:keepLines w:val="0"/>
              <w:pageBreakBefore w:val="0"/>
              <w:kinsoku/>
              <w:wordWrap/>
              <w:overflowPunct/>
              <w:topLinePunct w:val="0"/>
              <w:bidi w:val="0"/>
              <w:spacing w:line="400" w:lineRule="exact"/>
              <w:ind w:left="0"/>
              <w:textAlignment w:val="auto"/>
              <w:rPr>
                <w:rFonts w:hint="eastAsia" w:ascii="宋体" w:hAnsi="宋体" w:eastAsia="宋体" w:cs="宋体"/>
                <w:color w:val="auto"/>
                <w:szCs w:val="21"/>
                <w:highlight w:val="none"/>
              </w:rPr>
            </w:pPr>
            <w:r>
              <w:rPr>
                <w:rFonts w:hint="eastAsia" w:ascii="宋体" w:hAnsi="Calibri" w:eastAsia="宋体" w:cs="Times New Roman"/>
                <w:color w:val="auto"/>
                <w:kern w:val="2"/>
                <w:sz w:val="21"/>
                <w:szCs w:val="21"/>
                <w:lang w:val="en-US" w:eastAsia="zh-CN" w:bidi="ar-SA"/>
              </w:rPr>
              <w:t>7、项目具体实施安排由</w:t>
            </w:r>
            <w:r>
              <w:rPr>
                <w:rFonts w:hint="eastAsia" w:ascii="宋体"/>
                <w:color w:val="auto"/>
                <w:szCs w:val="21"/>
                <w:lang w:eastAsia="zh-CN"/>
              </w:rPr>
              <w:t>采购人</w:t>
            </w:r>
            <w:r>
              <w:rPr>
                <w:rFonts w:hint="eastAsia" w:ascii="宋体" w:hAnsi="Calibri" w:eastAsia="宋体" w:cs="Times New Roman"/>
                <w:color w:val="auto"/>
                <w:kern w:val="2"/>
                <w:sz w:val="21"/>
                <w:szCs w:val="21"/>
                <w:lang w:val="en-US" w:eastAsia="zh-CN" w:bidi="ar-SA"/>
              </w:rPr>
              <w:t>根据实际情况进行调整安排，中标人无条件配合</w:t>
            </w:r>
            <w:r>
              <w:rPr>
                <w:rFonts w:hint="eastAsia" w:ascii="宋体"/>
                <w:color w:val="auto"/>
                <w:szCs w:val="21"/>
                <w:lang w:eastAsia="zh-CN"/>
              </w:rPr>
              <w:t>采购人</w:t>
            </w:r>
            <w:r>
              <w:rPr>
                <w:rFonts w:hint="eastAsia" w:ascii="宋体" w:hAnsi="Calibri" w:eastAsia="宋体" w:cs="Times New Roman"/>
                <w:color w:val="auto"/>
                <w:kern w:val="2"/>
                <w:sz w:val="21"/>
                <w:szCs w:val="21"/>
                <w:lang w:val="en-US" w:eastAsia="zh-CN" w:bidi="ar-SA"/>
              </w:rPr>
              <w:t>合理要求，无条件遵守采购人的保密纪律。</w:t>
            </w:r>
          </w:p>
        </w:tc>
        <w:tc>
          <w:tcPr>
            <w:tcW w:w="101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bookmarkStart w:id="48" w:name="OLE_LINK10"/>
            <w:bookmarkStart w:id="49" w:name="OLE_LINK9"/>
            <w:r>
              <w:rPr>
                <w:rFonts w:hint="eastAsia" w:ascii="宋体" w:hAnsi="宋体" w:cs="宋体"/>
                <w:b w:val="0"/>
                <w:bCs w:val="0"/>
                <w:color w:val="auto"/>
                <w:szCs w:val="21"/>
                <w:highlight w:val="none"/>
                <w:lang w:val="en-US" w:eastAsia="zh-CN"/>
              </w:rPr>
              <w:t>106</w:t>
            </w:r>
            <w:bookmarkEnd w:id="48"/>
            <w:r>
              <w:rPr>
                <w:rFonts w:hint="eastAsia" w:ascii="宋体" w:hAnsi="宋体" w:cs="宋体"/>
                <w:b w:val="0"/>
                <w:bCs w:val="0"/>
                <w:color w:val="auto"/>
                <w:szCs w:val="21"/>
                <w:highlight w:val="none"/>
                <w:lang w:val="en-US" w:eastAsia="zh-CN"/>
              </w:rPr>
              <w:t>.20</w:t>
            </w:r>
            <w:bookmarkEnd w:id="49"/>
          </w:p>
        </w:tc>
        <w:tc>
          <w:tcPr>
            <w:tcW w:w="82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left="0"/>
              <w:jc w:val="center"/>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rPr>
              <w:t>租赁和商务服务业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hd w:val="clear" w:color="auto" w:fill="auto"/>
              <w:kinsoku/>
              <w:wordWrap/>
              <w:overflowPunct/>
              <w:topLinePunct w:val="0"/>
              <w:bidi w:val="0"/>
              <w:spacing w:line="400" w:lineRule="exact"/>
              <w:ind w:left="0"/>
              <w:jc w:val="center"/>
              <w:textAlignment w:val="auto"/>
              <w:rPr>
                <w:rFonts w:hint="eastAsia" w:ascii="宋体" w:hAnsi="宋体" w:eastAsia="宋体" w:cs="宋体"/>
                <w:color w:val="auto"/>
                <w:szCs w:val="21"/>
                <w:highlight w:val="none"/>
              </w:rPr>
            </w:pPr>
            <w:r>
              <w:rPr>
                <w:rFonts w:hint="eastAsia" w:ascii="宋体" w:hAnsi="宋体" w:cs="宋体"/>
                <w:color w:val="auto"/>
                <w:highlight w:val="none"/>
              </w:rPr>
              <w:t>◆</w:t>
            </w:r>
            <w:r>
              <w:rPr>
                <w:rFonts w:hint="eastAsia" w:ascii="宋体" w:hAnsi="宋体" w:eastAsia="宋体" w:cs="宋体"/>
                <w:color w:val="auto"/>
                <w:szCs w:val="21"/>
                <w:highlight w:val="none"/>
              </w:rPr>
              <w:t>商务条款</w:t>
            </w:r>
          </w:p>
        </w:tc>
        <w:tc>
          <w:tcPr>
            <w:tcW w:w="9501" w:type="dxa"/>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ascii="宋体" w:hAnsi="宋体"/>
                <w:color w:val="auto"/>
              </w:rPr>
              <w:t>▲</w:t>
            </w:r>
            <w:r>
              <w:rPr>
                <w:rFonts w:hint="eastAsia"/>
                <w:color w:val="auto"/>
              </w:rPr>
              <w:t>一、合同签订期：自中标通知书发出之日起</w:t>
            </w:r>
            <w:r>
              <w:rPr>
                <w:rFonts w:hint="eastAsia"/>
                <w:color w:val="auto"/>
                <w:lang w:val="en-US" w:eastAsia="zh-CN"/>
              </w:rPr>
              <w:t>10</w:t>
            </w:r>
            <w:r>
              <w:rPr>
                <w:rFonts w:hint="eastAsia"/>
                <w:color w:val="auto"/>
              </w:rPr>
              <w:t>个工作日内</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ascii="宋体" w:hAnsi="宋体"/>
                <w:color w:val="auto"/>
              </w:rPr>
              <w:t>▲</w:t>
            </w:r>
            <w:r>
              <w:rPr>
                <w:rFonts w:hint="eastAsia"/>
                <w:color w:val="auto"/>
              </w:rPr>
              <w:t>二、</w:t>
            </w:r>
            <w:bookmarkStart w:id="50" w:name="OLE_LINK12"/>
            <w:bookmarkStart w:id="51" w:name="OLE_LINK13"/>
            <w:r>
              <w:rPr>
                <w:rFonts w:hint="eastAsia"/>
                <w:bCs/>
                <w:color w:val="auto"/>
              </w:rPr>
              <w:t>提交</w:t>
            </w:r>
            <w:bookmarkStart w:id="52" w:name="OLE_LINK3"/>
            <w:r>
              <w:rPr>
                <w:rFonts w:hint="eastAsia"/>
                <w:bCs/>
                <w:color w:val="auto"/>
              </w:rPr>
              <w:t>服务成果</w:t>
            </w:r>
            <w:bookmarkEnd w:id="50"/>
            <w:bookmarkEnd w:id="52"/>
            <w:r>
              <w:rPr>
                <w:rFonts w:hint="eastAsia"/>
                <w:bCs/>
                <w:color w:val="auto"/>
              </w:rPr>
              <w:t>时间</w:t>
            </w:r>
            <w:bookmarkEnd w:id="51"/>
            <w:r>
              <w:rPr>
                <w:rFonts w:hint="eastAsia"/>
                <w:bCs/>
                <w:color w:val="auto"/>
              </w:rPr>
              <w:t>：202</w:t>
            </w:r>
            <w:r>
              <w:rPr>
                <w:rFonts w:hint="eastAsia"/>
                <w:bCs/>
                <w:color w:val="auto"/>
                <w:lang w:val="en-US" w:eastAsia="zh-CN"/>
              </w:rPr>
              <w:t>5</w:t>
            </w:r>
            <w:r>
              <w:rPr>
                <w:rFonts w:hint="eastAsia"/>
                <w:bCs/>
                <w:color w:val="auto"/>
              </w:rPr>
              <w:t>年</w:t>
            </w:r>
            <w:r>
              <w:rPr>
                <w:rFonts w:hint="eastAsia"/>
                <w:color w:val="auto"/>
                <w:lang w:val="en-US" w:eastAsia="zh-CN"/>
              </w:rPr>
              <w:t>7</w:t>
            </w:r>
            <w:r>
              <w:rPr>
                <w:rFonts w:hint="eastAsia"/>
                <w:color w:val="auto"/>
              </w:rPr>
              <w:t>月</w:t>
            </w:r>
            <w:r>
              <w:rPr>
                <w:rFonts w:hint="eastAsia"/>
                <w:color w:val="auto"/>
                <w:lang w:val="en-US" w:eastAsia="zh-CN"/>
              </w:rPr>
              <w:t>7</w:t>
            </w:r>
            <w:r>
              <w:rPr>
                <w:rFonts w:hint="eastAsia"/>
                <w:color w:val="auto"/>
              </w:rPr>
              <w:t>日前实施完毕，</w:t>
            </w:r>
            <w:r>
              <w:rPr>
                <w:rFonts w:hint="eastAsia"/>
                <w:bCs/>
                <w:color w:val="auto"/>
              </w:rPr>
              <w:t>202</w:t>
            </w:r>
            <w:r>
              <w:rPr>
                <w:rFonts w:hint="eastAsia"/>
                <w:bCs/>
                <w:color w:val="auto"/>
                <w:lang w:val="en-US" w:eastAsia="zh-CN"/>
              </w:rPr>
              <w:t>5</w:t>
            </w:r>
            <w:r>
              <w:rPr>
                <w:rFonts w:hint="eastAsia"/>
                <w:bCs/>
                <w:color w:val="auto"/>
              </w:rPr>
              <w:t>年</w:t>
            </w:r>
            <w:r>
              <w:rPr>
                <w:rFonts w:hint="eastAsia"/>
                <w:color w:val="auto"/>
                <w:lang w:val="en-US" w:eastAsia="zh-CN"/>
              </w:rPr>
              <w:t>7</w:t>
            </w:r>
            <w:r>
              <w:rPr>
                <w:rFonts w:hint="eastAsia"/>
                <w:color w:val="auto"/>
              </w:rPr>
              <w:t>月1</w:t>
            </w:r>
            <w:r>
              <w:rPr>
                <w:rFonts w:hint="eastAsia"/>
                <w:color w:val="auto"/>
                <w:lang w:val="en-US" w:eastAsia="zh-CN"/>
              </w:rPr>
              <w:t>5</w:t>
            </w:r>
            <w:r>
              <w:rPr>
                <w:rFonts w:hint="eastAsia"/>
                <w:color w:val="auto"/>
              </w:rPr>
              <w:t>日进行本项目的验收。</w:t>
            </w:r>
          </w:p>
          <w:p>
            <w:pPr>
              <w:keepNext w:val="0"/>
              <w:keepLines w:val="0"/>
              <w:pageBreakBefore w:val="0"/>
              <w:kinsoku/>
              <w:wordWrap/>
              <w:overflowPunct/>
              <w:topLinePunct w:val="0"/>
              <w:bidi w:val="0"/>
              <w:spacing w:line="400" w:lineRule="exact"/>
              <w:ind w:left="0"/>
              <w:textAlignment w:val="auto"/>
              <w:rPr>
                <w:rFonts w:hint="eastAsia" w:eastAsia="宋体"/>
                <w:bCs/>
                <w:color w:val="auto"/>
                <w:u w:val="single"/>
                <w:lang w:eastAsia="zh-CN"/>
              </w:rPr>
            </w:pPr>
            <w:r>
              <w:rPr>
                <w:rFonts w:hint="eastAsia"/>
                <w:color w:val="auto"/>
              </w:rPr>
              <w:t>三、</w:t>
            </w:r>
            <w:r>
              <w:rPr>
                <w:rFonts w:hint="eastAsia"/>
                <w:bCs/>
                <w:color w:val="auto"/>
              </w:rPr>
              <w:t>提交服务成果地点：</w:t>
            </w:r>
            <w:r>
              <w:rPr>
                <w:rFonts w:hint="eastAsia"/>
                <w:color w:val="auto"/>
                <w:lang w:val="en-US" w:eastAsia="zh-CN"/>
              </w:rPr>
              <w:t>广西</w:t>
            </w:r>
            <w:r>
              <w:rPr>
                <w:rFonts w:hint="eastAsia"/>
                <w:bCs/>
                <w:color w:val="auto"/>
                <w:u w:val="none"/>
              </w:rPr>
              <w:t>南宁市采购人指定地点</w:t>
            </w:r>
            <w:r>
              <w:rPr>
                <w:rFonts w:hint="eastAsia"/>
                <w:bCs/>
                <w:color w:val="auto"/>
                <w:u w:val="none"/>
                <w:lang w:eastAsia="zh-CN"/>
              </w:rPr>
              <w:t>。</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四、</w:t>
            </w:r>
            <w:r>
              <w:rPr>
                <w:rFonts w:hint="eastAsia"/>
                <w:color w:val="auto"/>
                <w:u w:val="none"/>
              </w:rPr>
              <w:t>质量保证期：至</w:t>
            </w:r>
            <w:r>
              <w:rPr>
                <w:rFonts w:hint="eastAsia"/>
                <w:bCs/>
                <w:color w:val="auto"/>
                <w:u w:val="none"/>
              </w:rPr>
              <w:t>提交服务成果经</w:t>
            </w:r>
            <w:r>
              <w:rPr>
                <w:rFonts w:hint="eastAsia"/>
                <w:color w:val="auto"/>
                <w:u w:val="none"/>
              </w:rPr>
              <w:t>验收合格之日止。</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五、其他要求：</w:t>
            </w:r>
          </w:p>
          <w:p>
            <w:pPr>
              <w:keepNext w:val="0"/>
              <w:keepLines w:val="0"/>
              <w:pageBreakBefore w:val="0"/>
              <w:kinsoku/>
              <w:wordWrap/>
              <w:overflowPunct/>
              <w:topLinePunct w:val="0"/>
              <w:bidi w:val="0"/>
              <w:spacing w:line="400" w:lineRule="exact"/>
              <w:ind w:left="0"/>
              <w:textAlignment w:val="auto"/>
              <w:rPr>
                <w:color w:val="auto"/>
              </w:rPr>
            </w:pPr>
            <w:r>
              <w:rPr>
                <w:rFonts w:hint="eastAsia" w:ascii="宋体" w:hAnsi="宋体"/>
                <w:color w:val="auto"/>
              </w:rPr>
              <w:t>▲</w:t>
            </w:r>
            <w:r>
              <w:rPr>
                <w:rFonts w:hint="eastAsia"/>
                <w:color w:val="auto"/>
              </w:rPr>
              <w:t>1、报价必须含以下部分，包括：</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服务价格：要求投标人按</w:t>
            </w:r>
            <w:r>
              <w:rPr>
                <w:rFonts w:hint="eastAsia"/>
                <w:b/>
                <w:bCs/>
                <w:color w:val="auto"/>
                <w:lang w:val="en-US" w:eastAsia="zh-CN"/>
              </w:rPr>
              <w:t>88.5</w:t>
            </w:r>
            <w:r>
              <w:rPr>
                <w:rFonts w:hint="eastAsia"/>
                <w:b/>
                <w:bCs/>
                <w:color w:val="auto"/>
              </w:rPr>
              <w:t>万</w:t>
            </w:r>
            <w:r>
              <w:rPr>
                <w:rFonts w:hint="eastAsia"/>
                <w:color w:val="auto"/>
              </w:rPr>
              <w:t>张答卷计算的扫描服务费报出总价</w:t>
            </w:r>
            <w:r>
              <w:rPr>
                <w:rFonts w:hint="eastAsia"/>
                <w:color w:val="auto"/>
                <w:lang w:val="en-US" w:eastAsia="zh-CN"/>
              </w:rPr>
              <w:t>和单张服务价格</w:t>
            </w:r>
            <w:r>
              <w:rPr>
                <w:rFonts w:hint="eastAsia"/>
                <w:color w:val="auto"/>
              </w:rPr>
              <w:t>，单张答卷扫描服务费的价格=投标总报价</w:t>
            </w:r>
            <w:r>
              <w:rPr>
                <w:rFonts w:hint="eastAsia"/>
                <w:b/>
                <w:bCs/>
                <w:color w:val="auto"/>
              </w:rPr>
              <w:t>÷</w:t>
            </w:r>
            <w:r>
              <w:rPr>
                <w:rFonts w:hint="eastAsia"/>
                <w:b/>
                <w:bCs/>
                <w:color w:val="auto"/>
                <w:lang w:val="en-US" w:eastAsia="zh-CN"/>
              </w:rPr>
              <w:t>885</w:t>
            </w:r>
            <w:r>
              <w:rPr>
                <w:b/>
                <w:bCs/>
                <w:color w:val="auto"/>
              </w:rPr>
              <w:t>000</w:t>
            </w:r>
            <w:r>
              <w:rPr>
                <w:rFonts w:hint="eastAsia"/>
                <w:color w:val="auto"/>
              </w:rPr>
              <w:t>。（本项目采购预算为暂定价格，最终服务费以实际扫描的答卷数量乘以</w:t>
            </w:r>
            <w:r>
              <w:rPr>
                <w:rFonts w:hint="eastAsia"/>
                <w:color w:val="auto"/>
                <w:lang w:val="en-US" w:eastAsia="zh-CN"/>
              </w:rPr>
              <w:t>中标</w:t>
            </w:r>
            <w:r>
              <w:rPr>
                <w:rFonts w:hint="eastAsia"/>
                <w:color w:val="auto"/>
              </w:rPr>
              <w:t>单价进行结算。）</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总价中须含：</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①答卷制作软件以及模板的开发费用；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②考生条形码的制作费用（约</w:t>
            </w:r>
            <w:r>
              <w:rPr>
                <w:rFonts w:hint="eastAsia"/>
                <w:b/>
                <w:bCs/>
                <w:color w:val="auto"/>
                <w:lang w:val="en-US" w:eastAsia="zh-CN"/>
              </w:rPr>
              <w:t>88.5</w:t>
            </w:r>
            <w:r>
              <w:rPr>
                <w:rFonts w:hint="eastAsia"/>
                <w:b/>
                <w:bCs/>
                <w:color w:val="auto"/>
              </w:rPr>
              <w:t>万</w:t>
            </w:r>
            <w:r>
              <w:rPr>
                <w:rFonts w:hint="eastAsia"/>
                <w:color w:val="auto"/>
              </w:rPr>
              <w:t>张，最终数量按考生实际人数）；</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③对扫描和评卷场地的局域网进行构建和检查，安装调试无纸化阅卷系统软件，培训相关人员的有关费用；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④解决阅卷过程中技术问题的费用；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⑤合成考生分数、生成成绩和试卷分析报表的费用；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⑥必要的保险费用和各项税金。</w:t>
            </w:r>
          </w:p>
          <w:p>
            <w:pPr>
              <w:keepNext w:val="0"/>
              <w:keepLines w:val="0"/>
              <w:pageBreakBefore w:val="0"/>
              <w:kinsoku/>
              <w:wordWrap/>
              <w:overflowPunct/>
              <w:topLinePunct w:val="0"/>
              <w:bidi w:val="0"/>
              <w:spacing w:line="400" w:lineRule="exact"/>
              <w:ind w:left="0"/>
              <w:textAlignment w:val="auto"/>
              <w:rPr>
                <w:color w:val="auto"/>
                <w:u w:val="single"/>
              </w:rPr>
            </w:pPr>
            <w:r>
              <w:rPr>
                <w:rFonts w:hint="eastAsia"/>
                <w:color w:val="auto"/>
              </w:rPr>
              <w:t>（2）安装、调试、培训、技术支持、售后服务、更新升级等费用。</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(说明：本项目采购预算为暂定价格，最终服务费以</w:t>
            </w:r>
            <w:bookmarkStart w:id="53" w:name="OLE_LINK15"/>
            <w:r>
              <w:rPr>
                <w:rFonts w:hint="eastAsia"/>
                <w:color w:val="auto"/>
              </w:rPr>
              <w:t>实际扫描的答卷数量</w:t>
            </w:r>
            <w:bookmarkEnd w:id="53"/>
            <w:r>
              <w:rPr>
                <w:rFonts w:hint="eastAsia"/>
                <w:color w:val="auto"/>
              </w:rPr>
              <w:t>乘以</w:t>
            </w:r>
            <w:r>
              <w:rPr>
                <w:rFonts w:hint="eastAsia"/>
                <w:color w:val="auto"/>
                <w:lang w:val="en-US" w:eastAsia="zh-CN"/>
              </w:rPr>
              <w:t>中标</w:t>
            </w:r>
            <w:r>
              <w:rPr>
                <w:rFonts w:hint="eastAsia"/>
                <w:color w:val="auto"/>
              </w:rPr>
              <w:t>单价进行结算，但总价不能超过采购预算。)</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2、</w:t>
            </w:r>
            <w:bookmarkStart w:id="54" w:name="OLE_LINK14"/>
            <w:r>
              <w:rPr>
                <w:rFonts w:hint="eastAsia"/>
                <w:color w:val="auto"/>
              </w:rPr>
              <w:t>付款方式</w:t>
            </w:r>
            <w:bookmarkEnd w:id="54"/>
            <w:r>
              <w:rPr>
                <w:rFonts w:hint="eastAsia"/>
                <w:color w:val="auto"/>
              </w:rPr>
              <w:t>：</w:t>
            </w:r>
          </w:p>
          <w:p>
            <w:pPr>
              <w:keepNext w:val="0"/>
              <w:keepLines w:val="0"/>
              <w:pageBreakBefore w:val="0"/>
              <w:numPr>
                <w:ilvl w:val="0"/>
                <w:numId w:val="2"/>
              </w:numPr>
              <w:kinsoku/>
              <w:wordWrap/>
              <w:overflowPunct/>
              <w:topLinePunct w:val="0"/>
              <w:bidi w:val="0"/>
              <w:spacing w:line="400" w:lineRule="exact"/>
              <w:ind w:left="0"/>
              <w:textAlignment w:val="auto"/>
              <w:rPr>
                <w:rFonts w:hint="eastAsia" w:ascii="宋体" w:hAnsi="宋体" w:cs="宋体"/>
                <w:color w:val="auto"/>
                <w:szCs w:val="21"/>
              </w:rPr>
            </w:pPr>
            <w:bookmarkStart w:id="55" w:name="OLE_LINK16"/>
            <w:r>
              <w:rPr>
                <w:rFonts w:hint="eastAsia" w:ascii="宋体" w:hAnsi="宋体" w:cs="宋体"/>
                <w:color w:val="auto"/>
                <w:szCs w:val="21"/>
              </w:rPr>
              <w:t>合同签定后</w:t>
            </w:r>
            <w:bookmarkStart w:id="56" w:name="OLE_LINK4"/>
            <w:r>
              <w:rPr>
                <w:rFonts w:hint="eastAsia" w:ascii="宋体" w:hAnsi="宋体" w:cs="宋体"/>
                <w:color w:val="auto"/>
                <w:szCs w:val="21"/>
              </w:rPr>
              <w:t>10个工作日内支付</w:t>
            </w:r>
            <w:bookmarkEnd w:id="56"/>
            <w:r>
              <w:rPr>
                <w:rFonts w:hint="eastAsia" w:ascii="宋体" w:hAnsi="宋体" w:cs="宋体"/>
                <w:color w:val="auto"/>
                <w:szCs w:val="21"/>
              </w:rPr>
              <w:t>预付</w:t>
            </w:r>
            <w:r>
              <w:rPr>
                <w:rFonts w:hint="eastAsia" w:ascii="宋体" w:hAnsi="宋体" w:cs="宋体"/>
                <w:color w:val="auto"/>
                <w:szCs w:val="21"/>
                <w:lang w:val="en-US" w:eastAsia="zh-CN"/>
              </w:rPr>
              <w:t>合同款</w:t>
            </w:r>
            <w:r>
              <w:rPr>
                <w:rFonts w:hint="eastAsia" w:ascii="宋体" w:hAnsi="宋体" w:cs="宋体"/>
                <w:color w:val="auto"/>
                <w:szCs w:val="21"/>
              </w:rPr>
              <w:t>的30%</w:t>
            </w:r>
            <w:bookmarkEnd w:id="55"/>
            <w:r>
              <w:rPr>
                <w:rFonts w:hint="eastAsia" w:ascii="宋体" w:hAnsi="宋体" w:cs="宋体"/>
                <w:color w:val="auto"/>
                <w:szCs w:val="21"/>
              </w:rPr>
              <w:t>。</w:t>
            </w:r>
          </w:p>
          <w:p>
            <w:pPr>
              <w:keepNext w:val="0"/>
              <w:keepLines w:val="0"/>
              <w:pageBreakBefore w:val="0"/>
              <w:kinsoku/>
              <w:wordWrap/>
              <w:overflowPunct/>
              <w:topLinePunct w:val="0"/>
              <w:bidi w:val="0"/>
              <w:spacing w:line="240" w:lineRule="auto"/>
              <w:ind w:left="0"/>
              <w:textAlignment w:val="auto"/>
              <w:rPr>
                <w:rFonts w:hint="eastAsia" w:ascii="宋体" w:hAnsi="宋体" w:cs="宋体"/>
                <w:color w:val="auto"/>
                <w:szCs w:val="21"/>
              </w:rPr>
            </w:pPr>
            <w:r>
              <w:rPr>
                <w:rFonts w:hint="eastAsia"/>
                <w:color w:val="auto"/>
                <w:lang w:eastAsia="zh-CN"/>
              </w:rPr>
              <w:t>（</w:t>
            </w:r>
            <w:r>
              <w:rPr>
                <w:rFonts w:hint="eastAsia"/>
                <w:color w:val="auto"/>
                <w:lang w:val="en-US" w:eastAsia="zh-CN"/>
              </w:rPr>
              <w:t>2</w:t>
            </w:r>
            <w:r>
              <w:rPr>
                <w:rFonts w:hint="eastAsia"/>
                <w:color w:val="auto"/>
                <w:lang w:eastAsia="zh-CN"/>
              </w:rPr>
              <w:t>）</w:t>
            </w:r>
            <w:bookmarkStart w:id="57" w:name="OLE_LINK21"/>
            <w:r>
              <w:rPr>
                <w:rFonts w:hint="eastAsia"/>
                <w:color w:val="auto"/>
                <w:lang w:eastAsia="zh-CN"/>
              </w:rPr>
              <w:t>中标人所提交的服务经采购人书面验收合格</w:t>
            </w:r>
            <w:r>
              <w:rPr>
                <w:rFonts w:hint="eastAsia"/>
                <w:color w:val="auto"/>
                <w:lang w:val="en-US" w:eastAsia="zh-CN"/>
              </w:rPr>
              <w:t>后</w:t>
            </w:r>
            <w:r>
              <w:rPr>
                <w:rFonts w:hint="eastAsia" w:ascii="宋体" w:hAnsi="宋体" w:cs="宋体"/>
                <w:color w:val="auto"/>
                <w:szCs w:val="21"/>
              </w:rPr>
              <w:t>10个工作日内支付</w:t>
            </w:r>
            <w:r>
              <w:rPr>
                <w:rFonts w:hint="eastAsia"/>
                <w:color w:val="auto"/>
              </w:rPr>
              <w:t>合同</w:t>
            </w:r>
            <w:r>
              <w:rPr>
                <w:rFonts w:hint="eastAsia"/>
                <w:color w:val="auto"/>
                <w:lang w:val="en-US" w:eastAsia="zh-CN"/>
              </w:rPr>
              <w:t>余</w:t>
            </w:r>
            <w:r>
              <w:rPr>
                <w:rFonts w:hint="eastAsia"/>
                <w:color w:val="auto"/>
              </w:rPr>
              <w:t>款</w:t>
            </w:r>
            <w:bookmarkEnd w:id="57"/>
            <w:r>
              <w:rPr>
                <w:rFonts w:hint="eastAsia"/>
                <w:color w:val="auto"/>
              </w:rPr>
              <w:t>。</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3、验收要求：</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（1）中标人设计或协助</w:t>
            </w:r>
            <w:r>
              <w:rPr>
                <w:rFonts w:hint="eastAsia" w:ascii="宋体"/>
                <w:color w:val="auto"/>
                <w:szCs w:val="21"/>
                <w:lang w:eastAsia="zh-CN"/>
              </w:rPr>
              <w:t>采购人</w:t>
            </w:r>
            <w:r>
              <w:rPr>
                <w:rFonts w:hint="eastAsia"/>
                <w:color w:val="auto"/>
              </w:rPr>
              <w:t>设计的答卷经过阅卷系统处理后所生成的</w:t>
            </w:r>
            <w:bookmarkStart w:id="58" w:name="OLE_LINK1"/>
            <w:bookmarkStart w:id="59" w:name="OLE_LINK2"/>
            <w:r>
              <w:rPr>
                <w:rFonts w:hint="eastAsia"/>
                <w:color w:val="auto"/>
              </w:rPr>
              <w:t>图象</w:t>
            </w:r>
            <w:bookmarkEnd w:id="58"/>
            <w:r>
              <w:rPr>
                <w:rFonts w:hint="eastAsia"/>
                <w:color w:val="auto"/>
              </w:rPr>
              <w:t>和数据信息</w:t>
            </w:r>
            <w:bookmarkEnd w:id="59"/>
            <w:r>
              <w:rPr>
                <w:rFonts w:hint="eastAsia"/>
                <w:color w:val="auto"/>
              </w:rPr>
              <w:t>符合</w:t>
            </w:r>
            <w:r>
              <w:rPr>
                <w:rFonts w:hint="eastAsia" w:ascii="宋体"/>
                <w:color w:val="auto"/>
                <w:szCs w:val="21"/>
                <w:lang w:eastAsia="zh-CN"/>
              </w:rPr>
              <w:t>采购人</w:t>
            </w:r>
            <w:r>
              <w:rPr>
                <w:rFonts w:hint="eastAsia"/>
                <w:color w:val="auto"/>
              </w:rPr>
              <w:t>的有关规定和要求。</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（2）中标人经过系统处理形成的考生数据库应与</w:t>
            </w:r>
            <w:r>
              <w:rPr>
                <w:rFonts w:hint="eastAsia" w:ascii="宋体"/>
                <w:color w:val="auto"/>
                <w:szCs w:val="21"/>
                <w:lang w:eastAsia="zh-CN"/>
              </w:rPr>
              <w:t>采购人</w:t>
            </w:r>
            <w:r>
              <w:rPr>
                <w:rFonts w:hint="eastAsia"/>
                <w:color w:val="auto"/>
              </w:rPr>
              <w:t>提供的考生数据库必须完全相附，确定考生信息和索引的准确性。</w:t>
            </w:r>
          </w:p>
          <w:p>
            <w:pPr>
              <w:keepNext w:val="0"/>
              <w:keepLines w:val="0"/>
              <w:pageBreakBefore w:val="0"/>
              <w:kinsoku/>
              <w:wordWrap/>
              <w:overflowPunct/>
              <w:topLinePunct w:val="0"/>
              <w:bidi w:val="0"/>
              <w:spacing w:line="400" w:lineRule="exact"/>
              <w:ind w:left="0"/>
              <w:textAlignment w:val="auto"/>
              <w:rPr>
                <w:rFonts w:hint="eastAsia"/>
                <w:color w:val="auto"/>
              </w:rPr>
            </w:pPr>
            <w:r>
              <w:rPr>
                <w:rFonts w:hint="eastAsia"/>
                <w:color w:val="auto"/>
              </w:rPr>
              <w:t>（3）中标人须保证</w:t>
            </w:r>
            <w:r>
              <w:rPr>
                <w:rFonts w:hint="eastAsia" w:ascii="宋体"/>
                <w:color w:val="auto"/>
                <w:szCs w:val="21"/>
                <w:lang w:eastAsia="zh-CN"/>
              </w:rPr>
              <w:t>采购人</w:t>
            </w:r>
            <w:r>
              <w:rPr>
                <w:rFonts w:hint="eastAsia"/>
                <w:color w:val="auto"/>
              </w:rPr>
              <w:t>的成绩数据库、电子影像索引和档案完整、准确。</w:t>
            </w:r>
          </w:p>
          <w:p>
            <w:pPr>
              <w:keepNext w:val="0"/>
              <w:keepLines w:val="0"/>
              <w:pageBreakBefore w:val="0"/>
              <w:kinsoku/>
              <w:wordWrap/>
              <w:overflowPunct/>
              <w:topLinePunct w:val="0"/>
              <w:bidi w:val="0"/>
              <w:spacing w:line="400" w:lineRule="exact"/>
              <w:ind w:left="0"/>
              <w:textAlignment w:val="auto"/>
              <w:rPr>
                <w:color w:val="auto"/>
              </w:rPr>
            </w:pPr>
            <w:r>
              <w:rPr>
                <w:rFonts w:hint="eastAsia" w:ascii="宋体" w:hAnsi="宋体"/>
                <w:color w:val="auto"/>
              </w:rPr>
              <w:t>▲</w:t>
            </w:r>
            <w:r>
              <w:rPr>
                <w:rFonts w:hint="eastAsia"/>
                <w:color w:val="auto"/>
              </w:rPr>
              <w:t>（4）签订合同后</w:t>
            </w:r>
            <w:r>
              <w:rPr>
                <w:rFonts w:hint="eastAsia"/>
                <w:color w:val="auto"/>
                <w:lang w:eastAsia="zh-CN"/>
              </w:rPr>
              <w:t>，</w:t>
            </w:r>
            <w:r>
              <w:rPr>
                <w:rFonts w:hint="eastAsia"/>
                <w:color w:val="auto"/>
                <w:lang w:val="en-US" w:eastAsia="zh-CN"/>
              </w:rPr>
              <w:t>中标人</w:t>
            </w:r>
            <w:r>
              <w:rPr>
                <w:rFonts w:hint="eastAsia"/>
                <w:color w:val="auto"/>
              </w:rPr>
              <w:t>须对中标软件进行</w:t>
            </w:r>
            <w:r>
              <w:rPr>
                <w:rFonts w:hint="eastAsia"/>
                <w:color w:val="auto"/>
                <w:lang w:eastAsia="zh-CN"/>
              </w:rPr>
              <w:t>初步验收</w:t>
            </w:r>
            <w:r>
              <w:rPr>
                <w:rFonts w:hint="eastAsia"/>
                <w:color w:val="auto"/>
              </w:rPr>
              <w:t>。</w:t>
            </w:r>
            <w:r>
              <w:rPr>
                <w:rFonts w:hint="eastAsia"/>
                <w:color w:val="auto"/>
                <w:lang w:eastAsia="zh-CN"/>
              </w:rPr>
              <w:t>初步验收</w:t>
            </w:r>
            <w:r>
              <w:rPr>
                <w:rFonts w:hint="eastAsia"/>
                <w:b/>
                <w:color w:val="auto"/>
              </w:rPr>
              <w:t>现场不提供网络连接服务，采购人提供100份测试答题卡</w:t>
            </w:r>
            <w:r>
              <w:rPr>
                <w:rFonts w:hint="eastAsia"/>
                <w:color w:val="auto"/>
              </w:rPr>
              <w:t>。采购人组织专家对阅卷软件功能进行</w:t>
            </w:r>
            <w:r>
              <w:rPr>
                <w:rFonts w:hint="eastAsia"/>
                <w:color w:val="auto"/>
                <w:lang w:eastAsia="zh-CN"/>
              </w:rPr>
              <w:t>初步验收</w:t>
            </w:r>
            <w:r>
              <w:rPr>
                <w:rFonts w:hint="eastAsia"/>
                <w:color w:val="auto"/>
              </w:rPr>
              <w:t>。</w:t>
            </w:r>
          </w:p>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eastAsia="zh-CN"/>
              </w:rPr>
              <w:t>初步验收</w:t>
            </w:r>
            <w:r>
              <w:rPr>
                <w:rFonts w:hint="eastAsia"/>
                <w:color w:val="auto"/>
              </w:rPr>
              <w:t>内容：</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3"/>
              <w:gridCol w:w="4509"/>
              <w:gridCol w:w="40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43" w:type="dxa"/>
                  <w:noWrap w:val="0"/>
                  <w:vAlign w:val="center"/>
                </w:tcPr>
                <w:p>
                  <w:pPr>
                    <w:keepNext w:val="0"/>
                    <w:keepLines w:val="0"/>
                    <w:pageBreakBefore w:val="0"/>
                    <w:kinsoku/>
                    <w:wordWrap/>
                    <w:overflowPunct/>
                    <w:topLinePunct w:val="0"/>
                    <w:bidi w:val="0"/>
                    <w:spacing w:line="400" w:lineRule="exact"/>
                    <w:ind w:left="0"/>
                    <w:jc w:val="center"/>
                    <w:textAlignment w:val="auto"/>
                    <w:rPr>
                      <w:b/>
                      <w:color w:val="auto"/>
                    </w:rPr>
                  </w:pPr>
                  <w:r>
                    <w:rPr>
                      <w:rFonts w:hint="eastAsia"/>
                      <w:b/>
                      <w:color w:val="auto"/>
                    </w:rPr>
                    <w:t>序号</w:t>
                  </w:r>
                </w:p>
              </w:tc>
              <w:tc>
                <w:tcPr>
                  <w:tcW w:w="4509" w:type="dxa"/>
                  <w:noWrap w:val="0"/>
                  <w:vAlign w:val="center"/>
                </w:tcPr>
                <w:p>
                  <w:pPr>
                    <w:keepNext w:val="0"/>
                    <w:keepLines w:val="0"/>
                    <w:pageBreakBefore w:val="0"/>
                    <w:kinsoku/>
                    <w:wordWrap/>
                    <w:overflowPunct/>
                    <w:topLinePunct w:val="0"/>
                    <w:bidi w:val="0"/>
                    <w:spacing w:line="400" w:lineRule="exact"/>
                    <w:ind w:left="0"/>
                    <w:jc w:val="center"/>
                    <w:textAlignment w:val="auto"/>
                    <w:rPr>
                      <w:b/>
                      <w:color w:val="auto"/>
                    </w:rPr>
                  </w:pPr>
                  <w:r>
                    <w:rPr>
                      <w:rFonts w:hint="eastAsia"/>
                      <w:color w:val="auto"/>
                      <w:lang w:eastAsia="zh-CN"/>
                    </w:rPr>
                    <w:t>初步验收</w:t>
                  </w:r>
                  <w:r>
                    <w:rPr>
                      <w:rFonts w:hint="eastAsia"/>
                      <w:b/>
                      <w:color w:val="auto"/>
                    </w:rPr>
                    <w:t>内容</w:t>
                  </w:r>
                </w:p>
              </w:tc>
              <w:tc>
                <w:tcPr>
                  <w:tcW w:w="4037" w:type="dxa"/>
                  <w:noWrap w:val="0"/>
                  <w:vAlign w:val="center"/>
                </w:tcPr>
                <w:p>
                  <w:pPr>
                    <w:keepNext w:val="0"/>
                    <w:keepLines w:val="0"/>
                    <w:pageBreakBefore w:val="0"/>
                    <w:kinsoku/>
                    <w:wordWrap/>
                    <w:overflowPunct/>
                    <w:topLinePunct w:val="0"/>
                    <w:bidi w:val="0"/>
                    <w:spacing w:line="400" w:lineRule="exact"/>
                    <w:ind w:left="0"/>
                    <w:jc w:val="center"/>
                    <w:textAlignment w:val="auto"/>
                    <w:rPr>
                      <w:b/>
                      <w:color w:val="auto"/>
                    </w:rPr>
                  </w:pPr>
                  <w:r>
                    <w:rPr>
                      <w:rFonts w:hint="eastAsia"/>
                      <w:color w:val="auto"/>
                      <w:lang w:eastAsia="zh-CN"/>
                    </w:rPr>
                    <w:t>初步验收</w:t>
                  </w:r>
                  <w:r>
                    <w:rPr>
                      <w:rFonts w:hint="eastAsia"/>
                      <w:b/>
                      <w:color w:val="auto"/>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（1）</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w:t>
                  </w:r>
                  <w:r>
                    <w:rPr>
                      <w:rFonts w:hint="eastAsia"/>
                      <w:color w:val="auto"/>
                    </w:rPr>
                    <w:t>印刷</w:t>
                  </w:r>
                  <w:r>
                    <w:rPr>
                      <w:rFonts w:hint="eastAsia"/>
                      <w:color w:val="auto"/>
                      <w:lang w:val="en-US" w:eastAsia="zh-CN"/>
                    </w:rPr>
                    <w:t>使用</w:t>
                  </w:r>
                  <w:r>
                    <w:rPr>
                      <w:rFonts w:hint="eastAsia"/>
                      <w:color w:val="auto"/>
                    </w:rPr>
                    <w:t>双面单色黑白胶印或速印或复印，由于印刷或扫描答卷出现倾斜，不准人工干预校正图像，测试系统能自动纠偏答卷，答卷填涂识别率100%</w:t>
                  </w:r>
                </w:p>
              </w:tc>
              <w:tc>
                <w:tcPr>
                  <w:tcW w:w="4037" w:type="dxa"/>
                  <w:vMerge w:val="restart"/>
                  <w:noWrap w:val="0"/>
                  <w:vAlign w:val="center"/>
                </w:tcPr>
                <w:p>
                  <w:pPr>
                    <w:keepNext w:val="0"/>
                    <w:keepLines w:val="0"/>
                    <w:pageBreakBefore w:val="0"/>
                    <w:kinsoku/>
                    <w:wordWrap/>
                    <w:overflowPunct/>
                    <w:topLinePunct w:val="0"/>
                    <w:bidi w:val="0"/>
                    <w:spacing w:line="400" w:lineRule="exact"/>
                    <w:ind w:left="0"/>
                    <w:textAlignment w:val="auto"/>
                    <w:rPr>
                      <w:b/>
                      <w:color w:val="auto"/>
                    </w:rPr>
                  </w:pPr>
                  <w:r>
                    <w:rPr>
                      <w:rFonts w:hint="eastAsia"/>
                      <w:color w:val="auto"/>
                    </w:rPr>
                    <w:t>对</w:t>
                  </w:r>
                  <w:r>
                    <w:rPr>
                      <w:rFonts w:hint="eastAsia"/>
                      <w:color w:val="auto"/>
                      <w:lang w:val="en-US" w:eastAsia="zh-CN"/>
                    </w:rPr>
                    <w:t>采购人</w:t>
                  </w:r>
                  <w:r>
                    <w:rPr>
                      <w:rFonts w:hint="eastAsia"/>
                      <w:color w:val="auto"/>
                    </w:rPr>
                    <w:t>提供往年的答卷100张按正面正的、倒的、反面正的、倒的和歪斜、印刷边距偏离1-2CM并有折角的和正常的答题卡混合进行扫描识别，必须把每份题卡的所有填涂信息识别出来，完成时间不能超过10分钟。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（2）</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答题卡印刷使用</w:t>
                  </w:r>
                  <w:r>
                    <w:rPr>
                      <w:rFonts w:hint="eastAsia"/>
                      <w:color w:val="auto"/>
                    </w:rPr>
                    <w:t>双面单色黑白胶印或速印或复印，对于扫描时的答题卡</w:t>
                  </w:r>
                  <w:r>
                    <w:rPr>
                      <w:rFonts w:hint="eastAsia"/>
                      <w:b/>
                      <w:color w:val="auto"/>
                    </w:rPr>
                    <w:t>正扫</w:t>
                  </w:r>
                  <w:r>
                    <w:rPr>
                      <w:rFonts w:hint="eastAsia"/>
                      <w:color w:val="auto"/>
                    </w:rPr>
                    <w:t>测试系统能自动纠正倒置答卷填涂识别率100%</w:t>
                  </w:r>
                </w:p>
              </w:tc>
              <w:tc>
                <w:tcPr>
                  <w:tcW w:w="4037" w:type="dxa"/>
                  <w:vMerge w:val="continue"/>
                  <w:noWrap w:val="0"/>
                  <w:vAlign w:val="top"/>
                </w:tcPr>
                <w:p>
                  <w:pPr>
                    <w:keepNext w:val="0"/>
                    <w:keepLines w:val="0"/>
                    <w:pageBreakBefore w:val="0"/>
                    <w:kinsoku/>
                    <w:wordWrap/>
                    <w:overflowPunct/>
                    <w:topLinePunct w:val="0"/>
                    <w:bidi w:val="0"/>
                    <w:spacing w:line="400" w:lineRule="exact"/>
                    <w:ind w:left="0"/>
                    <w:textAlignment w:val="auto"/>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（3）</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答题卡印刷使用</w:t>
                  </w:r>
                  <w:r>
                    <w:rPr>
                      <w:rFonts w:hint="eastAsia"/>
                      <w:color w:val="auto"/>
                    </w:rPr>
                    <w:t>双面单色黑白胶印或速印或复印，</w:t>
                  </w:r>
                  <w:r>
                    <w:rPr>
                      <w:rFonts w:hint="eastAsia"/>
                      <w:b/>
                      <w:color w:val="auto"/>
                    </w:rPr>
                    <w:t>倒扫</w:t>
                  </w:r>
                  <w:r>
                    <w:rPr>
                      <w:rFonts w:hint="eastAsia"/>
                      <w:color w:val="auto"/>
                    </w:rPr>
                    <w:t>答题卷，不准人工干预旋转图像，测试系统能自动纠正倒置。答卷填涂识别率100%</w:t>
                  </w:r>
                </w:p>
              </w:tc>
              <w:tc>
                <w:tcPr>
                  <w:tcW w:w="4037" w:type="dxa"/>
                  <w:vMerge w:val="continue"/>
                  <w:noWrap w:val="0"/>
                  <w:vAlign w:val="top"/>
                </w:tcPr>
                <w:p>
                  <w:pPr>
                    <w:keepNext w:val="0"/>
                    <w:keepLines w:val="0"/>
                    <w:pageBreakBefore w:val="0"/>
                    <w:kinsoku/>
                    <w:wordWrap/>
                    <w:overflowPunct/>
                    <w:topLinePunct w:val="0"/>
                    <w:bidi w:val="0"/>
                    <w:spacing w:line="400" w:lineRule="exact"/>
                    <w:ind w:left="0"/>
                    <w:textAlignment w:val="auto"/>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（4）</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答题卡印刷使用</w:t>
                  </w:r>
                  <w:r>
                    <w:rPr>
                      <w:rFonts w:hint="eastAsia"/>
                      <w:color w:val="auto"/>
                    </w:rPr>
                    <w:t>双面单色黑白胶印或速印或复印，</w:t>
                  </w:r>
                  <w:r>
                    <w:rPr>
                      <w:rFonts w:hint="eastAsia"/>
                      <w:b/>
                      <w:color w:val="auto"/>
                    </w:rPr>
                    <w:t>反面正扫</w:t>
                  </w:r>
                  <w:r>
                    <w:rPr>
                      <w:rFonts w:hint="eastAsia"/>
                      <w:color w:val="auto"/>
                    </w:rPr>
                    <w:t>答题卷，不准人工干预旋转图像，测试系统能自动纠正倒置。答卷填涂识别率100%</w:t>
                  </w:r>
                </w:p>
              </w:tc>
              <w:tc>
                <w:tcPr>
                  <w:tcW w:w="4037" w:type="dxa"/>
                  <w:vMerge w:val="continue"/>
                  <w:noWrap w:val="0"/>
                  <w:vAlign w:val="top"/>
                </w:tcPr>
                <w:p>
                  <w:pPr>
                    <w:keepNext w:val="0"/>
                    <w:keepLines w:val="0"/>
                    <w:pageBreakBefore w:val="0"/>
                    <w:kinsoku/>
                    <w:wordWrap/>
                    <w:overflowPunct/>
                    <w:topLinePunct w:val="0"/>
                    <w:bidi w:val="0"/>
                    <w:spacing w:line="400" w:lineRule="exact"/>
                    <w:ind w:left="0"/>
                    <w:textAlignment w:val="auto"/>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（5）</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lang w:val="en-US" w:eastAsia="zh-CN"/>
                    </w:rPr>
                    <w:t>答题卡印刷使用</w:t>
                  </w:r>
                  <w:r>
                    <w:rPr>
                      <w:rFonts w:hint="eastAsia"/>
                      <w:color w:val="auto"/>
                    </w:rPr>
                    <w:t>双面单色黑白胶印或速印或复印，</w:t>
                  </w:r>
                  <w:r>
                    <w:rPr>
                      <w:rFonts w:hint="eastAsia"/>
                      <w:b/>
                      <w:color w:val="auto"/>
                    </w:rPr>
                    <w:t>反面倒扫</w:t>
                  </w:r>
                  <w:r>
                    <w:rPr>
                      <w:rFonts w:hint="eastAsia"/>
                      <w:color w:val="auto"/>
                    </w:rPr>
                    <w:t>答题卷，不准人工干预旋转图像，测试系统能自动纠正倒置。答卷填涂识别率100%</w:t>
                  </w:r>
                </w:p>
              </w:tc>
              <w:tc>
                <w:tcPr>
                  <w:tcW w:w="4037" w:type="dxa"/>
                  <w:vMerge w:val="continue"/>
                  <w:noWrap w:val="0"/>
                  <w:vAlign w:val="top"/>
                </w:tcPr>
                <w:p>
                  <w:pPr>
                    <w:keepNext w:val="0"/>
                    <w:keepLines w:val="0"/>
                    <w:pageBreakBefore w:val="0"/>
                    <w:kinsoku/>
                    <w:wordWrap/>
                    <w:overflowPunct/>
                    <w:topLinePunct w:val="0"/>
                    <w:bidi w:val="0"/>
                    <w:spacing w:line="400" w:lineRule="exact"/>
                    <w:ind w:left="0"/>
                    <w:textAlignment w:val="auto"/>
                    <w:rPr>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（6）</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阅卷系统有严格的信息安全管理体系。在试卷扫描与评卷时不能导入或显示考生考号、姓名、考场、标准答案等相关信息，只能在试卷全部阅完进行成绩统计时才能进行输入姓名、考场、标准答案等相关信息。</w:t>
                  </w:r>
                </w:p>
              </w:tc>
              <w:tc>
                <w:tcPr>
                  <w:tcW w:w="4037"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打开试卷扫描在不导入考生考号、姓名、考场等相关信息，系统能准确识别考生信息和选择题。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（7）</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专用试卷扫描软件，一键式扫描功能，能自动检测折角答卷。重扫自动替换原有答题卡图像。测试扫描软件不需要设置纸张幅面大小（自动检测纸张大小）、扫描分辨率、色彩模式，并扫描完毕，同步完成上传。</w:t>
                  </w:r>
                </w:p>
              </w:tc>
              <w:tc>
                <w:tcPr>
                  <w:tcW w:w="4037" w:type="dxa"/>
                  <w:noWrap w:val="0"/>
                  <w:vAlign w:val="top"/>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按一个键就实现答题卡扫描，不需要设置纸张幅面大小扫描分辨率、色彩模式减少人为干预有时犯错影响识别结果。对折角答题卡会报警，重扫自动替换原有答题卡图像。以免在阅卷老师在阅主观题发现折角无法阅卷时在众多的答题中去找折角答题卡重扫，影响阅卷进度、工作效率和减少人工干预犯错的概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（8）</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对于正反面印刷错位或正反面倒置的答题卡，测试系统能自动纠正识别，不准人工干预旋转图像，答卷填涂识别率100%。</w:t>
                  </w:r>
                </w:p>
              </w:tc>
              <w:tc>
                <w:tcPr>
                  <w:tcW w:w="4037"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双面印刷的答题卡，正面是正常的，反面是倒的，不准人工干预旋转图像，系统能自动纠正识别，答卷填涂识别率100%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（9）</w:t>
                  </w:r>
                </w:p>
              </w:tc>
              <w:tc>
                <w:tcPr>
                  <w:tcW w:w="4509"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测试阅卷客户端在客户机内存中有试卷缓存功能,缓存的试卷数量不少于60份并且这个数量可以通过服务器配置自由更改，用来减轻服务器压力。</w:t>
                  </w:r>
                </w:p>
              </w:tc>
              <w:tc>
                <w:tcPr>
                  <w:tcW w:w="4037" w:type="dxa"/>
                  <w:noWrap w:val="0"/>
                  <w:vAlign w:val="center"/>
                </w:tcPr>
                <w:p>
                  <w:pPr>
                    <w:keepNext w:val="0"/>
                    <w:keepLines w:val="0"/>
                    <w:pageBreakBefore w:val="0"/>
                    <w:kinsoku/>
                    <w:wordWrap/>
                    <w:overflowPunct/>
                    <w:topLinePunct w:val="0"/>
                    <w:bidi w:val="0"/>
                    <w:spacing w:line="400" w:lineRule="exact"/>
                    <w:ind w:left="0"/>
                    <w:textAlignment w:val="auto"/>
                    <w:rPr>
                      <w:color w:val="auto"/>
                    </w:rPr>
                  </w:pPr>
                  <w:r>
                    <w:rPr>
                      <w:rFonts w:hint="eastAsia"/>
                      <w:color w:val="auto"/>
                    </w:rPr>
                    <w:t>客户端在与服务器断开网络及服务的情况下可以正常阅卷60份，当与服务器取得链接后可将阅卷数据提交给服务器入库。</w:t>
                  </w:r>
                </w:p>
              </w:tc>
            </w:tr>
          </w:tbl>
          <w:p>
            <w:pPr>
              <w:pStyle w:val="14"/>
              <w:keepNext w:val="0"/>
              <w:keepLines w:val="0"/>
              <w:pageBreakBefore w:val="0"/>
              <w:shd w:val="clear" w:color="auto" w:fill="auto"/>
              <w:kinsoku/>
              <w:wordWrap/>
              <w:overflowPunct/>
              <w:topLinePunct w:val="0"/>
              <w:bidi w:val="0"/>
              <w:spacing w:after="0" w:line="400" w:lineRule="exact"/>
              <w:ind w:left="0"/>
              <w:textAlignment w:val="auto"/>
              <w:rPr>
                <w:rFonts w:hint="eastAsia" w:ascii="宋体" w:hAnsi="宋体" w:eastAsia="宋体" w:cs="宋体"/>
                <w:color w:val="auto"/>
                <w:highlight w:val="none"/>
              </w:rPr>
            </w:pPr>
            <w:r>
              <w:rPr>
                <w:rFonts w:hint="eastAsia" w:ascii="宋体" w:hAnsi="宋体" w:eastAsia="宋体" w:cs="宋体"/>
                <w:color w:val="auto"/>
                <w:kern w:val="0"/>
                <w:szCs w:val="21"/>
                <w:highlight w:val="none"/>
                <w:lang w:eastAsia="zh-CN"/>
              </w:rPr>
              <w:t>六、</w:t>
            </w:r>
            <w:r>
              <w:rPr>
                <w:rFonts w:hint="eastAsia"/>
                <w:color w:val="auto"/>
              </w:rPr>
              <w:t>▲若因招标时不可预见的原因（包括但不限于政策变更、疫情防控等）导致部分服务项目无法实施的，中标人应就仍可实施的服务项目按中标标准予以实施，采购人按实际实施的服务项目予以结算，就无法实施的服务项目双方互不承担违约责任。若因招标时不可预见的原因（包括但不限于政策变更、疫情防控等）导致全部服务项目无法实施的，双方应解除已签订的合同，互不承担违约责任。</w:t>
            </w:r>
          </w:p>
        </w:tc>
      </w:tr>
    </w:tbl>
    <w:p>
      <w:pPr>
        <w:shd w:val="clear" w:color="auto" w:fill="auto"/>
        <w:ind w:left="119"/>
        <w:rPr>
          <w:rFonts w:ascii="宋体" w:hAnsi="宋体" w:cs="宋体"/>
          <w:color w:val="auto"/>
          <w:sz w:val="32"/>
          <w:szCs w:val="32"/>
          <w:highlight w:val="none"/>
        </w:rPr>
      </w:pPr>
      <w:r>
        <w:rPr>
          <w:color w:val="auto"/>
          <w:highlight w:val="none"/>
        </w:rPr>
        <w:br w:type="page"/>
      </w:r>
      <w:r>
        <w:rPr>
          <w:rFonts w:hint="eastAsia" w:ascii="宋体" w:hAnsi="宋体" w:cs="宋体"/>
          <w:color w:val="auto"/>
          <w:sz w:val="32"/>
          <w:szCs w:val="32"/>
          <w:highlight w:val="none"/>
        </w:rPr>
        <w:t>附件：</w:t>
      </w:r>
    </w:p>
    <w:p>
      <w:pPr>
        <w:widowControl/>
        <w:shd w:val="clear" w:color="auto" w:fill="auto"/>
        <w:jc w:val="center"/>
        <w:rPr>
          <w:rFonts w:ascii="宋体" w:hAnsi="宋体" w:cs="宋体"/>
          <w:b/>
          <w:bCs/>
          <w:color w:val="auto"/>
          <w:kern w:val="0"/>
          <w:sz w:val="30"/>
          <w:szCs w:val="30"/>
          <w:highlight w:val="none"/>
        </w:rPr>
      </w:pPr>
      <w:bookmarkStart w:id="60" w:name="_Toc28361_WPSOffice_Level2"/>
      <w:r>
        <w:rPr>
          <w:rFonts w:hint="eastAsia" w:ascii="宋体" w:hAnsi="宋体" w:cs="宋体"/>
          <w:b/>
          <w:bCs/>
          <w:color w:val="auto"/>
          <w:kern w:val="0"/>
          <w:sz w:val="30"/>
          <w:szCs w:val="30"/>
          <w:highlight w:val="none"/>
        </w:rPr>
        <w:t>统计上大中小微型企业划分标准</w:t>
      </w:r>
      <w:bookmarkEnd w:id="60"/>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2113" w:type="dxa"/>
            <w:noWrap/>
            <w:vAlign w:val="center"/>
          </w:tcPr>
          <w:p>
            <w:pPr>
              <w:widowControl/>
              <w:shd w:val="clear" w:color="auto" w:fill="auto"/>
              <w:spacing w:line="26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计量单位</w:t>
            </w:r>
          </w:p>
        </w:tc>
        <w:tc>
          <w:tcPr>
            <w:tcW w:w="1125"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noWrap/>
            <w:vAlign w:val="center"/>
          </w:tcPr>
          <w:p>
            <w:pPr>
              <w:widowControl/>
              <w:shd w:val="clear" w:color="auto" w:fill="auto"/>
              <w:spacing w:line="26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农、林、牧、渔业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工业 *</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建筑业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批发业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noWrap/>
            <w:vAlign w:val="center"/>
          </w:tcPr>
          <w:p>
            <w:pPr>
              <w:widowControl/>
              <w:shd w:val="clear" w:color="auto" w:fill="auto"/>
              <w:spacing w:line="26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零售业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noWrap/>
            <w:vAlign w:val="center"/>
          </w:tcPr>
          <w:p>
            <w:pPr>
              <w:widowControl/>
              <w:shd w:val="clear" w:color="auto" w:fill="auto"/>
              <w:spacing w:line="26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noWrap/>
            <w:vAlign w:val="center"/>
          </w:tcPr>
          <w:p>
            <w:pPr>
              <w:widowControl/>
              <w:shd w:val="clear" w:color="auto" w:fill="auto"/>
              <w:spacing w:line="26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交通运输业 *</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仓储业*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邮政业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住宿业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餐饮业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信息传输业 *</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软件和信息技术服务业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房地产开发经营</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物业管理</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restart"/>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租赁和商务服务业</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vMerge w:val="continue"/>
            <w:noWrap/>
            <w:vAlign w:val="center"/>
          </w:tcPr>
          <w:p>
            <w:pPr>
              <w:shd w:val="clear" w:color="auto" w:fill="auto"/>
              <w:spacing w:line="260" w:lineRule="exact"/>
              <w:rPr>
                <w:color w:val="auto"/>
                <w:sz w:val="18"/>
                <w:szCs w:val="21"/>
                <w:highlight w:val="none"/>
              </w:rPr>
            </w:pP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13" w:type="dxa"/>
            <w:noWrap/>
            <w:vAlign w:val="center"/>
          </w:tcPr>
          <w:p>
            <w:pPr>
              <w:shd w:val="clear" w:color="auto" w:fill="auto"/>
              <w:spacing w:line="260" w:lineRule="exact"/>
              <w:rPr>
                <w:color w:val="auto"/>
                <w:sz w:val="18"/>
                <w:szCs w:val="21"/>
                <w:highlight w:val="none"/>
              </w:rPr>
            </w:pPr>
            <w:r>
              <w:rPr>
                <w:rFonts w:hint="eastAsia"/>
                <w:color w:val="auto"/>
                <w:sz w:val="18"/>
                <w:szCs w:val="21"/>
                <w:highlight w:val="none"/>
              </w:rPr>
              <w:t>其他未列明行业 *</w:t>
            </w:r>
          </w:p>
        </w:tc>
        <w:tc>
          <w:tcPr>
            <w:tcW w:w="136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noWrap/>
            <w:vAlign w:val="center"/>
          </w:tcPr>
          <w:p>
            <w:pPr>
              <w:widowControl/>
              <w:shd w:val="clear" w:color="auto" w:fill="auto"/>
              <w:spacing w:line="26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noWrap/>
            <w:vAlign w:val="center"/>
          </w:tcPr>
          <w:p>
            <w:pPr>
              <w:widowControl/>
              <w:shd w:val="clear" w:color="auto" w:fill="auto"/>
              <w:spacing w:line="26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bl>
    <w:p>
      <w:pPr>
        <w:widowControl/>
        <w:shd w:val="clear" w:color="auto" w:fill="auto"/>
        <w:spacing w:line="260" w:lineRule="exact"/>
        <w:rPr>
          <w:rFonts w:ascii="宋体" w:hAnsi="宋体" w:cs="宋体"/>
          <w:color w:val="auto"/>
          <w:kern w:val="0"/>
          <w:szCs w:val="21"/>
          <w:highlight w:val="none"/>
        </w:rPr>
      </w:pPr>
      <w:r>
        <w:rPr>
          <w:rFonts w:hint="eastAsia" w:ascii="宋体" w:hAnsi="宋体" w:cs="宋体"/>
          <w:color w:val="auto"/>
          <w:kern w:val="0"/>
          <w:szCs w:val="21"/>
          <w:highlight w:val="none"/>
        </w:rPr>
        <w:t>说明：</w:t>
      </w:r>
    </w:p>
    <w:p>
      <w:pPr>
        <w:shd w:val="clear" w:color="auto" w:fill="auto"/>
        <w:adjustRightInd w:val="0"/>
        <w:spacing w:line="260" w:lineRule="exact"/>
        <w:ind w:firstLine="420" w:firstLineChars="200"/>
        <w:contextualSpacing/>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1.大型、中型和小型企业须同时满足所列指标的下限，否则下划一档。微型企业只须满足所列指标中的一项即可。</w:t>
      </w:r>
    </w:p>
    <w:p>
      <w:pPr>
        <w:shd w:val="clear" w:color="auto" w:fill="auto"/>
        <w:adjustRightInd w:val="0"/>
        <w:spacing w:line="260" w:lineRule="exact"/>
        <w:ind w:firstLine="420" w:firstLineChars="200"/>
        <w:contextualSpacing/>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shd w:val="clear" w:color="auto" w:fill="auto"/>
        <w:adjustRightInd w:val="0"/>
        <w:spacing w:line="260" w:lineRule="exact"/>
        <w:ind w:firstLine="420" w:firstLineChars="200"/>
        <w:contextualSpacing/>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shd w:val="clear" w:color="auto" w:fill="auto"/>
        <w:spacing w:line="360" w:lineRule="auto"/>
        <w:jc w:val="center"/>
        <w:outlineLvl w:val="0"/>
        <w:rPr>
          <w:rFonts w:hint="eastAsia" w:ascii="宋体" w:hAnsi="宋体"/>
          <w:b/>
          <w:color w:val="auto"/>
          <w:sz w:val="36"/>
          <w:szCs w:val="36"/>
          <w:highlight w:val="none"/>
        </w:rPr>
      </w:pPr>
      <w:r>
        <w:rPr>
          <w:rFonts w:ascii="仿宋_GB2312" w:hAnsi="仿宋" w:eastAsia="仿宋_GB2312"/>
          <w:color w:val="auto"/>
          <w:szCs w:val="21"/>
          <w:highlight w:val="none"/>
        </w:rPr>
        <w:br w:type="page"/>
      </w:r>
      <w:bookmarkStart w:id="61" w:name="_Toc532545044"/>
      <w:bookmarkStart w:id="62" w:name="_Toc177489449"/>
      <w:r>
        <w:rPr>
          <w:rFonts w:hint="eastAsia"/>
          <w:b/>
          <w:color w:val="auto"/>
          <w:sz w:val="36"/>
          <w:szCs w:val="20"/>
          <w:highlight w:val="none"/>
        </w:rPr>
        <w:t>第三章</w:t>
      </w:r>
      <w:r>
        <w:rPr>
          <w:b/>
          <w:color w:val="auto"/>
          <w:sz w:val="36"/>
          <w:szCs w:val="20"/>
          <w:highlight w:val="none"/>
        </w:rPr>
        <w:t xml:space="preserve">  </w:t>
      </w:r>
      <w:r>
        <w:rPr>
          <w:rFonts w:hint="eastAsia"/>
          <w:b/>
          <w:color w:val="auto"/>
          <w:sz w:val="36"/>
          <w:szCs w:val="20"/>
          <w:highlight w:val="none"/>
        </w:rPr>
        <w:t>投标人须知</w:t>
      </w:r>
      <w:bookmarkEnd w:id="61"/>
      <w:bookmarkEnd w:id="62"/>
    </w:p>
    <w:p>
      <w:pPr>
        <w:shd w:val="clear" w:color="auto" w:fill="auto"/>
        <w:spacing w:line="360" w:lineRule="auto"/>
        <w:jc w:val="center"/>
        <w:outlineLvl w:val="1"/>
        <w:rPr>
          <w:rFonts w:hint="eastAsia"/>
          <w:b/>
          <w:color w:val="auto"/>
          <w:sz w:val="30"/>
          <w:szCs w:val="30"/>
          <w:highlight w:val="none"/>
        </w:rPr>
      </w:pPr>
      <w:bookmarkStart w:id="63" w:name="_Toc177489450"/>
      <w:r>
        <w:rPr>
          <w:rFonts w:hint="eastAsia"/>
          <w:b/>
          <w:color w:val="auto"/>
          <w:sz w:val="30"/>
          <w:szCs w:val="30"/>
          <w:highlight w:val="none"/>
        </w:rPr>
        <w:t>第一节 投标人须知前附表</w:t>
      </w:r>
      <w:bookmarkEnd w:id="63"/>
    </w:p>
    <w:tbl>
      <w:tblPr>
        <w:tblStyle w:val="35"/>
        <w:tblW w:w="1024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编列内容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64" w:name="_8.1"/>
            <w:bookmarkEnd w:id="64"/>
            <w:bookmarkStart w:id="65" w:name="_5"/>
            <w:bookmarkEnd w:id="65"/>
            <w:bookmarkStart w:id="66" w:name="_9.2"/>
            <w:bookmarkEnd w:id="66"/>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cs="宋体"/>
                <w:color w:val="auto"/>
                <w:szCs w:val="21"/>
                <w:highlight w:val="none"/>
              </w:rPr>
            </w:pPr>
            <w:bookmarkStart w:id="67" w:name="PO_3000001867_PM007_1"/>
            <w:r>
              <w:rPr>
                <w:rFonts w:hint="eastAsia" w:ascii="宋体" w:hAnsi="宋体" w:cs="宋体"/>
                <w:color w:val="auto"/>
                <w:szCs w:val="21"/>
                <w:highlight w:val="none"/>
              </w:rPr>
              <w:t>不允许联合体投标</w:t>
            </w:r>
            <w:bookmarkEnd w:id="67"/>
            <w:r>
              <w:rPr>
                <w:rFonts w:hint="eastAsia" w:ascii="宋体" w:hAnsi="宋体" w:cs="宋体"/>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11.6</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不组织召开开标前答疑会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bookmarkStart w:id="68" w:name="_13.2"/>
            <w:bookmarkEnd w:id="68"/>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1、投标人为法人或者其他组织的，提供营业执照等证明文件（如营业执照或者事业单位法人证书或者</w:t>
            </w:r>
            <w:r>
              <w:rPr>
                <w:rFonts w:hint="eastAsia" w:ascii="宋体" w:hAnsi="宋体" w:cs="宋体"/>
                <w:color w:val="auto"/>
                <w:szCs w:val="21"/>
                <w:highlight w:val="none"/>
                <w:lang w:val="zh-CN" w:bidi="zh-CN"/>
              </w:rPr>
              <w:t>执业许可证</w:t>
            </w:r>
            <w:r>
              <w:rPr>
                <w:rFonts w:hint="eastAsia" w:ascii="宋体" w:hAnsi="宋体" w:cs="宋体"/>
                <w:color w:val="auto"/>
                <w:szCs w:val="21"/>
                <w:highlight w:val="none"/>
              </w:rPr>
              <w:t>等），投标人为自然人的，提供身份证复印件。（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月至投标文件提交截止时间止的任意3个月的依法缴纳税收的凭据复印件；依法免税的</w:t>
            </w:r>
            <w:r>
              <w:rPr>
                <w:rFonts w:hint="eastAsia"/>
                <w:color w:val="auto"/>
                <w:highlight w:val="none"/>
              </w:rPr>
              <w:t>投标人</w:t>
            </w:r>
            <w:r>
              <w:rPr>
                <w:rFonts w:hint="eastAsia" w:ascii="宋体" w:hAnsi="宋体" w:cs="宋体"/>
                <w:color w:val="auto"/>
                <w:szCs w:val="21"/>
                <w:highlight w:val="none"/>
              </w:rPr>
              <w:t>，必须提供相应文件证明其依法免税。从取得营业执照时间起到投标文件提交截止时间为止不足要求月数的，只需提供从取得营业执照起的依法缴纳税收相应证明文件）。（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3、投标人依法缴纳社会保障资金的相关材料[提供税款所属时期或缴费起始时间为2024年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月至投标文件提交截止时间止的任意3个月的依法缴纳社会保障资金的缴费凭证（专用收据或者社会保险缴纳清单）复印件；依法不需要缴纳社会保障资金的</w:t>
            </w:r>
            <w:r>
              <w:rPr>
                <w:rFonts w:hint="eastAsia"/>
                <w:color w:val="auto"/>
                <w:highlight w:val="none"/>
              </w:rPr>
              <w:t>投标人</w:t>
            </w:r>
            <w:r>
              <w:rPr>
                <w:rFonts w:hint="eastAsia" w:ascii="宋体" w:hAnsi="宋体" w:cs="宋体"/>
                <w:color w:val="auto"/>
                <w:szCs w:val="21"/>
                <w:highlight w:val="none"/>
              </w:rPr>
              <w:t>，必须提供相应文件证明不需要缴纳社会保障资金。从取得营业执照时间起到投标文件提交截止时间为止不足要求月数的只需提供从取得营业执照起的依法缴纳社会保障资金的相应证明文件]。（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4、投标人财务状况报告：[</w:t>
            </w:r>
            <w:r>
              <w:rPr>
                <w:rFonts w:hint="eastAsia" w:ascii="宋体" w:hAnsi="宋体" w:cs="宋体"/>
                <w:color w:val="auto"/>
                <w:szCs w:val="21"/>
                <w:highlight w:val="none"/>
                <w:lang w:val="en-US" w:eastAsia="zh-CN"/>
              </w:rPr>
              <w:t>2024</w:t>
            </w:r>
            <w:r>
              <w:rPr>
                <w:rFonts w:hint="eastAsia" w:ascii="宋体" w:hAnsi="宋体" w:cs="宋体"/>
                <w:color w:val="auto"/>
                <w:szCs w:val="21"/>
                <w:highlight w:val="none"/>
              </w:rPr>
              <w:t>年度财务状况报告复印件；供应商成立不满一年的应提供截标之日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olor w:val="auto"/>
                <w:szCs w:val="21"/>
                <w:highlight w:val="none"/>
              </w:rPr>
            </w:pPr>
            <w:r>
              <w:rPr>
                <w:rFonts w:hint="eastAsia" w:ascii="宋体" w:hAnsi="宋体"/>
                <w:color w:val="auto"/>
                <w:szCs w:val="21"/>
                <w:highlight w:val="none"/>
              </w:rPr>
              <w:t>5、投标人直接控股股东信息表；（</w:t>
            </w:r>
            <w:r>
              <w:rPr>
                <w:rFonts w:hint="eastAsia" w:ascii="宋体" w:hAnsi="宋体"/>
                <w:b/>
                <w:color w:val="auto"/>
                <w:szCs w:val="21"/>
                <w:highlight w:val="none"/>
              </w:rPr>
              <w:t>必须提供，否则作无效投标处理</w:t>
            </w:r>
            <w:r>
              <w:rPr>
                <w:rFonts w:hint="eastAsia" w:ascii="宋体" w:hAnsi="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6、投标人直接管理关系信息表；</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7、投标声明函。（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8、</w:t>
            </w:r>
            <w:bookmarkStart w:id="69" w:name="OLE_LINK18"/>
            <w:r>
              <w:rPr>
                <w:rFonts w:hint="eastAsia" w:ascii="宋体" w:hAnsi="宋体"/>
                <w:color w:val="auto"/>
                <w:szCs w:val="21"/>
                <w:highlight w:val="none"/>
              </w:rPr>
              <w:t>知识产权合规性声明</w:t>
            </w:r>
            <w:bookmarkEnd w:id="69"/>
            <w:r>
              <w:rPr>
                <w:rFonts w:hint="eastAsia" w:ascii="宋体" w:hAnsi="宋体"/>
                <w:color w:val="auto"/>
                <w:szCs w:val="21"/>
                <w:highlight w:val="none"/>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pStyle w:val="14"/>
              <w:shd w:val="clear" w:color="auto" w:fill="auto"/>
              <w:rPr>
                <w:rFonts w:hint="eastAsia" w:ascii="宋体" w:hAnsi="宋体" w:cs="宋体"/>
                <w:color w:val="auto"/>
                <w:szCs w:val="21"/>
                <w:highlight w:val="none"/>
              </w:rPr>
            </w:pPr>
            <w:r>
              <w:rPr>
                <w:rFonts w:hint="eastAsia" w:ascii="宋体" w:hAnsi="宋体" w:cs="宋体"/>
                <w:color w:val="auto"/>
                <w:szCs w:val="21"/>
                <w:highlight w:val="none"/>
              </w:rPr>
              <w:t>9、本项目为专门面向</w:t>
            </w:r>
            <w:r>
              <w:rPr>
                <w:rFonts w:hint="eastAsia" w:ascii="宋体" w:hAnsi="宋体" w:cs="宋体"/>
                <w:color w:val="auto"/>
                <w:szCs w:val="21"/>
                <w:highlight w:val="none"/>
                <w:lang w:eastAsia="zh-CN"/>
              </w:rPr>
              <w:t>小微企业</w:t>
            </w:r>
            <w:r>
              <w:rPr>
                <w:rFonts w:hint="eastAsia" w:ascii="宋体" w:hAnsi="宋体" w:cs="宋体"/>
                <w:color w:val="auto"/>
                <w:szCs w:val="21"/>
                <w:highlight w:val="none"/>
              </w:rPr>
              <w:t>采购的项目。投标人必须提供中小企业声明函或者残疾人福利性单位声明函（格式后附）或者供应商属于监狱企业的需提供由省级以上监狱管理局、戒毒管理局（含新疆生产建设兵团）出具的属于监狱企业的证明文件。</w:t>
            </w:r>
            <w:r>
              <w:rPr>
                <w:rFonts w:hint="eastAsia" w:ascii="宋体" w:hAnsi="宋体" w:cs="宋体"/>
                <w:b/>
                <w:color w:val="auto"/>
                <w:szCs w:val="21"/>
                <w:highlight w:val="none"/>
              </w:rPr>
              <w:t>（必须提供，否则作无效投标处理）</w:t>
            </w:r>
          </w:p>
          <w:p>
            <w:pPr>
              <w:pStyle w:val="14"/>
              <w:shd w:val="clear" w:color="auto" w:fill="auto"/>
              <w:rPr>
                <w:rFonts w:hint="eastAsia" w:ascii="Calibri" w:hAnsi="Calibri"/>
                <w:color w:val="auto"/>
                <w:kern w:val="0"/>
                <w:highlight w:val="none"/>
              </w:rPr>
            </w:pPr>
            <w:r>
              <w:rPr>
                <w:rFonts w:hint="eastAsia" w:ascii="宋体" w:hAnsi="宋体" w:cs="宋体"/>
                <w:color w:val="auto"/>
                <w:szCs w:val="21"/>
                <w:highlight w:val="none"/>
              </w:rPr>
              <w:t>10</w:t>
            </w:r>
            <w:r>
              <w:rPr>
                <w:rFonts w:hint="eastAsia" w:ascii="宋体" w:hAnsi="宋体" w:cs="宋体"/>
                <w:color w:val="auto"/>
                <w:kern w:val="0"/>
                <w:szCs w:val="21"/>
                <w:highlight w:val="none"/>
              </w:rPr>
              <w:t>、投标人认为需要提供的其他证明材料。</w:t>
            </w:r>
          </w:p>
          <w:p>
            <w:pPr>
              <w:shd w:val="clear" w:color="auto" w:fill="auto"/>
              <w:snapToGrid w:val="0"/>
              <w:spacing w:line="400" w:lineRule="exact"/>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注：</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bookmarkStart w:id="70" w:name="_13.3"/>
            <w:bookmarkEnd w:id="70"/>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1、无串通投标行为的承诺函；（</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4、商务条款偏离表；（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5、投标人情况介绍；</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6、除招标文件规定必须提供以外，投标人认为需要提供的其他证明材料。（投标人根据“第二章 采购需求”及“第四章 评标方法及评标标准”提供有关证明材料）。</w:t>
            </w:r>
          </w:p>
          <w:p>
            <w:pPr>
              <w:shd w:val="clear" w:color="auto" w:fill="auto"/>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 1.法定代表人授权委托书必须由法定代表人及委托代理人签字，并加盖投标人公章，否则作无效投标处理。</w:t>
            </w:r>
          </w:p>
          <w:p>
            <w:pPr>
              <w:shd w:val="clear" w:color="auto" w:fill="auto"/>
              <w:snapToGrid w:val="0"/>
              <w:spacing w:line="400" w:lineRule="exact"/>
              <w:ind w:firstLine="632" w:firstLineChars="300"/>
              <w:jc w:val="left"/>
              <w:rPr>
                <w:rFonts w:hint="eastAsia" w:ascii="宋体" w:hAnsi="宋体" w:cs="宋体"/>
                <w:b/>
                <w:color w:val="auto"/>
                <w:szCs w:val="21"/>
                <w:highlight w:val="none"/>
              </w:rPr>
            </w:pPr>
            <w:r>
              <w:rPr>
                <w:rFonts w:hint="eastAsia" w:ascii="宋体" w:hAnsi="宋体" w:cs="宋体"/>
                <w:b/>
                <w:bCs/>
                <w:color w:val="auto"/>
                <w:szCs w:val="21"/>
                <w:highlight w:val="none"/>
              </w:rPr>
              <w:t>2.</w:t>
            </w:r>
            <w:r>
              <w:rPr>
                <w:rFonts w:hint="eastAsia" w:ascii="宋体" w:hAnsi="宋体" w:cs="宋体"/>
                <w:color w:val="auto"/>
                <w:szCs w:val="21"/>
                <w:highlight w:val="none"/>
              </w:rPr>
              <w:t xml:space="preserve"> </w:t>
            </w:r>
            <w:r>
              <w:rPr>
                <w:rFonts w:hint="eastAsia" w:ascii="宋体" w:hAnsi="宋体" w:cs="宋体"/>
                <w:b/>
                <w:bCs/>
                <w:color w:val="auto"/>
                <w:szCs w:val="21"/>
                <w:highlight w:val="none"/>
              </w:rPr>
              <w:t>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bookmarkStart w:id="71" w:name="_13.4"/>
            <w:bookmarkEnd w:id="71"/>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1、服务参数偏离表；（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2、项目实施和服务方案；</w:t>
            </w:r>
          </w:p>
          <w:p>
            <w:pPr>
              <w:shd w:val="clear" w:color="auto" w:fill="auto"/>
              <w:snapToGrid w:val="0"/>
              <w:spacing w:line="400" w:lineRule="exact"/>
              <w:jc w:val="left"/>
              <w:rPr>
                <w:rFonts w:hint="eastAsia" w:ascii="宋体" w:hAnsi="宋体" w:cs="宋体"/>
                <w:bCs/>
                <w:color w:val="auto"/>
                <w:szCs w:val="21"/>
                <w:highlight w:val="none"/>
              </w:rPr>
            </w:pPr>
            <w:r>
              <w:rPr>
                <w:rFonts w:hint="eastAsia" w:ascii="宋体" w:hAnsi="宋体" w:cs="宋体"/>
                <w:color w:val="auto"/>
                <w:kern w:val="0"/>
                <w:szCs w:val="21"/>
                <w:highlight w:val="none"/>
              </w:rPr>
              <w:t>3、</w:t>
            </w:r>
            <w:r>
              <w:rPr>
                <w:rFonts w:hint="eastAsia" w:ascii="宋体" w:hAnsi="宋体" w:cs="宋体"/>
                <w:color w:val="auto"/>
                <w:szCs w:val="21"/>
                <w:highlight w:val="none"/>
              </w:rPr>
              <w:t>除招标文件规定必须提供以外，投标人需要说明的其他文件和说明。</w:t>
            </w:r>
          </w:p>
          <w:p>
            <w:pPr>
              <w:shd w:val="clear" w:color="auto" w:fill="auto"/>
              <w:snapToGrid w:val="0"/>
              <w:spacing w:line="400" w:lineRule="exact"/>
              <w:jc w:val="left"/>
              <w:rPr>
                <w:rFonts w:hint="eastAsia"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，必须加盖投标人电子签章，否则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tabs>
                <w:tab w:val="left" w:pos="459"/>
              </w:tabs>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1、投标函；</w:t>
            </w:r>
            <w:r>
              <w:rPr>
                <w:rFonts w:hint="eastAsia" w:ascii="宋体" w:hAnsi="宋体" w:cs="宋体"/>
                <w:b/>
                <w:color w:val="auto"/>
                <w:szCs w:val="21"/>
                <w:highlight w:val="none"/>
              </w:rPr>
              <w:t>（必须提供并盖投标人电子签章，否则作无效投标处理）</w:t>
            </w:r>
          </w:p>
          <w:p>
            <w:pPr>
              <w:shd w:val="clear" w:color="auto" w:fill="auto"/>
              <w:tabs>
                <w:tab w:val="left" w:pos="459"/>
              </w:tabs>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2、开标一览表；（</w:t>
            </w:r>
            <w:r>
              <w:rPr>
                <w:rFonts w:hint="eastAsia" w:ascii="宋体" w:hAnsi="宋体" w:cs="宋体"/>
                <w:b/>
                <w:color w:val="auto"/>
                <w:szCs w:val="21"/>
                <w:highlight w:val="none"/>
              </w:rPr>
              <w:t>必须提供并盖投标人电子签章，否则作无效投标处理</w:t>
            </w:r>
            <w:r>
              <w:rPr>
                <w:rFonts w:hint="eastAsia" w:ascii="宋体" w:hAnsi="宋体" w:cs="宋体"/>
                <w:color w:val="auto"/>
                <w:szCs w:val="21"/>
                <w:highlight w:val="none"/>
              </w:rPr>
              <w:t>）</w:t>
            </w:r>
          </w:p>
          <w:p>
            <w:pPr>
              <w:shd w:val="clear" w:color="auto" w:fill="auto"/>
              <w:tabs>
                <w:tab w:val="left" w:pos="459"/>
              </w:tabs>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3、投标人认为需要提供的其他文件和说明。</w:t>
            </w:r>
          </w:p>
          <w:p>
            <w:pPr>
              <w:shd w:val="clear" w:color="auto" w:fill="auto"/>
              <w:tabs>
                <w:tab w:val="left" w:pos="459"/>
              </w:tabs>
              <w:snapToGrid w:val="0"/>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，必须加盖投标人电子签章，否则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2" w:name="_16.2"/>
            <w:bookmarkEnd w:id="72"/>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投标报价是履行合同的最终价格，必须包含满足本次投标全部采购需求所应提供的服务</w:t>
            </w:r>
            <w:r>
              <w:rPr>
                <w:rFonts w:hint="eastAsia" w:ascii="宋体" w:hAnsi="宋体" w:eastAsia="宋体" w:cs="宋体"/>
                <w:color w:val="auto"/>
                <w:szCs w:val="21"/>
              </w:rPr>
              <w:t>的</w:t>
            </w:r>
            <w:r>
              <w:rPr>
                <w:rFonts w:hint="eastAsia" w:ascii="宋体" w:hAnsi="宋体" w:eastAsia="宋体" w:cs="宋体"/>
                <w:color w:val="auto"/>
                <w:szCs w:val="21"/>
                <w:lang w:eastAsia="zh-CN"/>
              </w:rPr>
              <w:t>费用、</w:t>
            </w:r>
            <w:r>
              <w:rPr>
                <w:rFonts w:hint="eastAsia"/>
                <w:color w:val="auto"/>
              </w:rPr>
              <w:t>安装、调试、培训、技术支持、售后服务、更新升级等费用</w:t>
            </w:r>
            <w:r>
              <w:rPr>
                <w:rFonts w:hint="eastAsia" w:ascii="宋体" w:hAnsi="宋体" w:eastAsia="宋体" w:cs="宋体"/>
                <w:color w:val="auto"/>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3" w:name="_17.1"/>
            <w:bookmarkEnd w:id="73"/>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4" w:name="_18"/>
            <w:bookmarkEnd w:id="74"/>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本项目不收取投标保证金。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color w:val="auto"/>
                <w:szCs w:val="21"/>
                <w:highlight w:val="none"/>
                <w:u w:val="single"/>
              </w:rPr>
              <w:t>电子版投标文件制作方式见招标公告文字附件。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本项目不接受备份投标文件。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5" w:name="_21.1"/>
            <w:bookmarkEnd w:id="75"/>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详见招标公告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bCs/>
                <w:color w:val="auto"/>
                <w:szCs w:val="21"/>
                <w:highlight w:val="none"/>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6" w:name="_23"/>
            <w:bookmarkEnd w:id="76"/>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详见招标公告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25.3</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7" w:name="_25.3"/>
            <w:bookmarkEnd w:id="77"/>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资格审查结束前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在查询网站中直接查询记录，截图或打印作为附件保存。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案件当事人名单（重大税收违法失信主体）、政府采购严重违法失信行为记录名单及其他不符合《中华人民共和国政府采购法》第二十二条规定条件的供应商，</w:t>
            </w:r>
            <w:r>
              <w:rPr>
                <w:rFonts w:hint="eastAsia" w:ascii="宋体" w:hAnsi="宋体" w:cs="宋体"/>
                <w:b/>
                <w:bCs/>
                <w:color w:val="auto"/>
                <w:szCs w:val="21"/>
                <w:highlight w:val="none"/>
              </w:rPr>
              <w:t>采购人或者采购代理机构应当拒绝其参与政府采购活动。</w:t>
            </w:r>
            <w:r>
              <w:rPr>
                <w:rFonts w:hint="eastAsia" w:ascii="宋体" w:hAnsi="宋体" w:cs="宋体"/>
                <w:color w:val="auto"/>
                <w:szCs w:val="21"/>
                <w:highlight w:val="none"/>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78" w:name="_26"/>
            <w:bookmarkEnd w:id="78"/>
            <w:bookmarkStart w:id="79" w:name="_28.3"/>
            <w:bookmarkEnd w:id="79"/>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bookmarkStart w:id="80" w:name="PO_3000001867_PM051"/>
            <w:r>
              <w:rPr>
                <w:rFonts w:hint="eastAsia" w:ascii="宋体" w:hAnsi="宋体" w:cs="宋体"/>
                <w:color w:val="auto"/>
                <w:szCs w:val="21"/>
                <w:highlight w:val="none"/>
              </w:rPr>
              <w:t xml:space="preserve"> </w:t>
            </w:r>
            <w:bookmarkEnd w:id="80"/>
            <w:bookmarkStart w:id="81" w:name="PO_TDCUS_ITEM_SM_TABLE_4"/>
            <w:r>
              <w:rPr>
                <w:rFonts w:hint="eastAsia" w:ascii="宋体" w:hAnsi="宋体" w:cs="宋体"/>
                <w:color w:val="auto"/>
                <w:szCs w:val="21"/>
                <w:highlight w:val="none"/>
              </w:rPr>
              <w:t>综合评分法</w:t>
            </w:r>
            <w:bookmarkEnd w:id="81"/>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b/>
                <w:bCs/>
                <w:color w:val="auto"/>
                <w:szCs w:val="21"/>
                <w:highlight w:val="none"/>
              </w:rPr>
            </w:pPr>
            <w:bookmarkStart w:id="82" w:name="_29.2.2（2）"/>
            <w:bookmarkEnd w:id="82"/>
            <w:r>
              <w:rPr>
                <w:rFonts w:hint="eastAsia" w:ascii="宋体" w:hAnsi="宋体" w:cs="宋体"/>
                <w:b/>
                <w:bCs/>
                <w:color w:val="auto"/>
                <w:szCs w:val="21"/>
                <w:highlight w:val="none"/>
              </w:rPr>
              <w:t>允许负偏离项</w:t>
            </w:r>
          </w:p>
        </w:tc>
        <w:tc>
          <w:tcPr>
            <w:tcW w:w="7297" w:type="dxa"/>
            <w:tcBorders>
              <w:top w:val="single" w:color="auto" w:sz="4" w:space="0"/>
              <w:left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商务评审中允许负偏离的条款数为</w:t>
            </w:r>
            <w:r>
              <w:rPr>
                <w:rFonts w:hint="eastAsia" w:ascii="宋体" w:hAnsi="宋体" w:cs="宋体"/>
                <w:b/>
                <w:bCs/>
                <w:color w:val="auto"/>
                <w:szCs w:val="21"/>
                <w:highlight w:val="none"/>
                <w:u w:val="single"/>
              </w:rPr>
              <w:t xml:space="preserve"> 0 </w:t>
            </w:r>
            <w:r>
              <w:rPr>
                <w:rFonts w:hint="eastAsia" w:ascii="宋体" w:hAnsi="宋体" w:cs="宋体"/>
                <w:b/>
                <w:bCs/>
                <w:color w:val="auto"/>
                <w:szCs w:val="21"/>
                <w:highlight w:val="none"/>
              </w:rPr>
              <w:t>项。</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技术评审中允许负偏离的条款数为</w:t>
            </w:r>
            <w:r>
              <w:rPr>
                <w:rFonts w:hint="eastAsia" w:ascii="宋体" w:hAnsi="宋体" w:cs="宋体"/>
                <w:b/>
                <w:bCs/>
                <w:color w:val="auto"/>
                <w:szCs w:val="21"/>
                <w:highlight w:val="none"/>
                <w:u w:val="single"/>
              </w:rPr>
              <w:t xml:space="preserve"> </w:t>
            </w:r>
            <w:r>
              <w:rPr>
                <w:rFonts w:hint="eastAsia" w:ascii="宋体" w:hAnsi="宋体" w:cs="宋体"/>
                <w:b/>
                <w:bCs/>
                <w:color w:val="auto"/>
                <w:szCs w:val="21"/>
                <w:highlight w:val="none"/>
                <w:u w:val="single"/>
                <w:lang w:val="en-US" w:eastAsia="zh-CN"/>
              </w:rPr>
              <w:t>0</w:t>
            </w:r>
            <w:r>
              <w:rPr>
                <w:rFonts w:hint="eastAsia" w:ascii="宋体" w:hAnsi="宋体" w:cs="宋体"/>
                <w:b/>
                <w:bCs/>
                <w:color w:val="auto"/>
                <w:szCs w:val="21"/>
                <w:highlight w:val="none"/>
              </w:rPr>
              <w:t>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 xml:space="preserve">确定中标供应商时，出现中标候选人分数并列的情形，确定中标供应商方式 </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采用综合评分法的，按投标报价由低到高顺序排列。得分且投标报价相同的并列。投标文件满足招标文件全部实质性要求，且按照评审因素的量化指标评审得分最高的投标人为排名第一的中标候选人。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83" w:name="_39.1"/>
            <w:bookmarkEnd w:id="83"/>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noWrap w:val="0"/>
            <w:vAlign w:val="bottom"/>
          </w:tcPr>
          <w:p>
            <w:pPr>
              <w:shd w:val="clear" w:color="auto" w:fill="auto"/>
              <w:autoSpaceDE w:val="0"/>
              <w:autoSpaceDN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本项目不收取履约保证金。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84" w:name="_40.1"/>
            <w:bookmarkEnd w:id="84"/>
            <w:r>
              <w:rPr>
                <w:rFonts w:hint="eastAsia" w:ascii="宋体" w:hAnsi="宋体" w:cs="宋体"/>
                <w:color w:val="auto"/>
                <w:szCs w:val="21"/>
                <w:highlight w:val="none"/>
              </w:rPr>
              <w:t>签订电子合同携带的材料</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autoSpaceDE w:val="0"/>
              <w:autoSpaceDN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电子采购合同需要中标人通过有效CA证书进行电子签名与签章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以书面形式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w:t>
            </w:r>
            <w:bookmarkStart w:id="85" w:name="PO_3000001867_PM031_3"/>
            <w:r>
              <w:rPr>
                <w:rFonts w:hint="eastAsia" w:ascii="宋体" w:hAnsi="宋体" w:cs="宋体"/>
                <w:color w:val="auto"/>
                <w:szCs w:val="21"/>
                <w:highlight w:val="none"/>
              </w:rPr>
              <w:t>广西科联招标中心有限公司</w:t>
            </w:r>
            <w:bookmarkEnd w:id="85"/>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联系电话：0771-3486228</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通讯地址：广西科联招标中心有限公司103室（广西南宁市西乡塘区大学东路170号广西农业机械研究院有限公司内）</w:t>
            </w:r>
          </w:p>
          <w:p>
            <w:pPr>
              <w:shd w:val="clear" w:color="auto" w:fill="auto"/>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eastAsia="zh-CN"/>
              </w:rPr>
              <w:t>南宁市招生考试院</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联系电话：0771-2803208</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通讯地址：南宁市民生路维新街南一里9号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质疑期内每个工作日</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1、受理方式：纸质方式受理，投诉书正、副本（经过质疑的事项才可投诉）。</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2、通讯地址：</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名称：</w:t>
            </w:r>
            <w:bookmarkStart w:id="86" w:name="PO_3000001867_PM036"/>
            <w:r>
              <w:rPr>
                <w:rFonts w:hint="eastAsia" w:ascii="宋体" w:hAnsi="宋体" w:cs="宋体"/>
                <w:color w:val="auto"/>
                <w:szCs w:val="21"/>
                <w:highlight w:val="none"/>
              </w:rPr>
              <w:t>南宁市财政局政府采购监督管理科</w:t>
            </w:r>
            <w:bookmarkEnd w:id="86"/>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地址：南宁市东葛路129号南宁市财政局7楼</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联系电话：</w:t>
            </w:r>
            <w:bookmarkStart w:id="87" w:name="PO_3000001867_PM038"/>
            <w:r>
              <w:rPr>
                <w:rFonts w:hint="eastAsia" w:ascii="宋体" w:hAnsi="宋体" w:cs="宋体"/>
                <w:color w:val="auto"/>
                <w:szCs w:val="21"/>
                <w:highlight w:val="none"/>
              </w:rPr>
              <w:t>0771-2189091</w:t>
            </w:r>
            <w:bookmarkEnd w:id="87"/>
            <w:r>
              <w:rPr>
                <w:rFonts w:hint="eastAsia" w:ascii="宋体" w:hAnsi="宋体" w:cs="宋体"/>
                <w:color w:val="auto"/>
                <w:szCs w:val="21"/>
                <w:highlight w:val="none"/>
              </w:rPr>
              <w:t>、0771-2189095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restart"/>
            <w:tcBorders>
              <w:top w:val="single" w:color="auto" w:sz="4" w:space="0"/>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bookmarkStart w:id="88" w:name="_42"/>
            <w:bookmarkEnd w:id="88"/>
            <w:bookmarkStart w:id="89" w:name="_41"/>
            <w:bookmarkEnd w:id="89"/>
            <w:r>
              <w:rPr>
                <w:rFonts w:hint="eastAsia" w:ascii="宋体" w:hAnsi="宋体" w:cs="宋体"/>
                <w:color w:val="auto"/>
                <w:szCs w:val="21"/>
                <w:highlight w:val="none"/>
              </w:rPr>
              <w:t>采购代理费支付方式</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sym w:font="Wingdings 2" w:char="0052"/>
            </w:r>
            <w:r>
              <w:rPr>
                <w:rFonts w:hint="eastAsia" w:ascii="宋体" w:hAnsi="宋体" w:cs="宋体"/>
                <w:color w:val="auto"/>
                <w:szCs w:val="21"/>
                <w:highlight w:val="none"/>
              </w:rPr>
              <w:t>本项目代理服务费由</w:t>
            </w:r>
            <w:r>
              <w:rPr>
                <w:rFonts w:hint="eastAsia" w:ascii="宋体" w:hAnsi="宋体" w:cs="宋体"/>
                <w:color w:val="auto"/>
                <w:szCs w:val="21"/>
                <w:highlight w:val="none"/>
                <w:u w:val="single"/>
              </w:rPr>
              <w:t>中标供应商</w:t>
            </w:r>
            <w:r>
              <w:rPr>
                <w:rFonts w:hint="eastAsia" w:ascii="宋体" w:hAnsi="宋体" w:cs="宋体"/>
                <w:color w:val="auto"/>
                <w:szCs w:val="21"/>
                <w:highlight w:val="none"/>
              </w:rPr>
              <w:t>在签订合同前，一次性向采购代理机构支付。</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□采购人支付。</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□本项目不收取代理服务费。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☑以</w:t>
            </w:r>
            <w:r>
              <w:rPr>
                <w:rFonts w:hint="eastAsia" w:ascii="宋体" w:hAnsi="宋体" w:cs="宋体"/>
                <w:color w:val="auto"/>
                <w:szCs w:val="21"/>
                <w:highlight w:val="none"/>
                <w:lang w:eastAsia="zh-CN"/>
              </w:rPr>
              <w:t>项目</w:t>
            </w:r>
            <w:r>
              <w:rPr>
                <w:rFonts w:hint="eastAsia" w:ascii="宋体" w:hAnsi="宋体" w:cs="宋体"/>
                <w:color w:val="auto"/>
                <w:szCs w:val="21"/>
                <w:highlight w:val="none"/>
              </w:rPr>
              <w:t>（☑中标金额/□采购预算/□暂定中标金额/□其他</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）为计费额，</w:t>
            </w:r>
            <w:r>
              <w:rPr>
                <w:rFonts w:hint="eastAsia" w:ascii="宋体" w:hAnsi="宋体" w:cs="宋体"/>
                <w:color w:val="auto"/>
                <w:szCs w:val="20"/>
                <w:highlight w:val="none"/>
              </w:rPr>
              <w:t>本须知正文第</w:t>
            </w:r>
            <w:bookmarkStart w:id="90" w:name="OLE_LINK19"/>
            <w:r>
              <w:rPr>
                <w:rFonts w:hint="eastAsia" w:ascii="宋体" w:hAnsi="宋体" w:cs="宋体"/>
                <w:color w:val="auto"/>
                <w:szCs w:val="20"/>
                <w:highlight w:val="none"/>
              </w:rPr>
              <w:t>40.2</w:t>
            </w:r>
            <w:bookmarkEnd w:id="90"/>
            <w:r>
              <w:rPr>
                <w:rFonts w:hint="eastAsia" w:ascii="宋体" w:hAnsi="宋体" w:cs="宋体"/>
                <w:color w:val="auto"/>
                <w:szCs w:val="20"/>
                <w:highlight w:val="none"/>
              </w:rPr>
              <w:t>条规定的收费计算标准（服务招标）</w:t>
            </w:r>
            <w:r>
              <w:rPr>
                <w:rFonts w:hint="eastAsia" w:ascii="宋体" w:hAnsi="宋体" w:cs="宋体"/>
                <w:color w:val="auto"/>
                <w:szCs w:val="21"/>
                <w:highlight w:val="none"/>
              </w:rPr>
              <w:t>，采购代理收费以（</w:t>
            </w:r>
            <w:r>
              <w:rPr>
                <w:rFonts w:hint="eastAsia" w:ascii="宋体" w:hAnsi="宋体" w:cs="宋体"/>
                <w:color w:val="auto"/>
                <w:szCs w:val="21"/>
                <w:highlight w:val="none"/>
                <w:lang w:eastAsia="zh-CN"/>
              </w:rPr>
              <w:t>☑</w:t>
            </w:r>
            <w:r>
              <w:rPr>
                <w:rFonts w:hint="eastAsia" w:ascii="宋体" w:hAnsi="宋体" w:cs="宋体"/>
                <w:color w:val="auto"/>
                <w:szCs w:val="21"/>
                <w:highlight w:val="none"/>
              </w:rPr>
              <w:t>收费基准价格/</w:t>
            </w:r>
            <w:r>
              <w:rPr>
                <w:rFonts w:hint="eastAsia" w:ascii="宋体" w:hAnsi="宋体" w:cs="宋体"/>
                <w:color w:val="auto"/>
                <w:szCs w:val="21"/>
                <w:highlight w:val="none"/>
                <w:lang w:eastAsia="zh-CN"/>
              </w:rPr>
              <w:t>□</w:t>
            </w:r>
            <w:r>
              <w:rPr>
                <w:rFonts w:hint="eastAsia" w:ascii="宋体" w:hAnsi="宋体" w:cs="宋体"/>
                <w:color w:val="auto"/>
                <w:szCs w:val="21"/>
                <w:highlight w:val="none"/>
              </w:rPr>
              <w:t>收费基准价格下浮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r>
              <w:rPr>
                <w:rFonts w:hint="eastAsia" w:ascii="宋体" w:hAnsi="宋体" w:cs="宋体"/>
                <w:color w:val="auto"/>
                <w:szCs w:val="21"/>
                <w:highlight w:val="none"/>
              </w:rPr>
              <w:t>/□收费基准价格上浮</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）收取。</w:t>
            </w:r>
          </w:p>
          <w:p>
            <w:pPr>
              <w:shd w:val="clear" w:color="auto" w:fill="auto"/>
              <w:snapToGrid w:val="0"/>
              <w:spacing w:line="400" w:lineRule="exact"/>
              <w:rPr>
                <w:rFonts w:hint="eastAsia" w:ascii="宋体" w:hAnsi="宋体" w:cs="宋体"/>
                <w:color w:val="auto"/>
                <w:szCs w:val="21"/>
                <w:highlight w:val="none"/>
                <w:u w:val="single"/>
              </w:rPr>
            </w:pPr>
            <w:r>
              <w:rPr>
                <w:rFonts w:hint="eastAsia" w:ascii="宋体" w:hAnsi="宋体" w:cs="宋体"/>
                <w:color w:val="auto"/>
                <w:szCs w:val="21"/>
                <w:highlight w:val="none"/>
              </w:rPr>
              <w:sym w:font="Wingdings 2" w:char="00A3"/>
            </w:r>
            <w:r>
              <w:rPr>
                <w:rFonts w:hint="eastAsia" w:ascii="宋体" w:hAnsi="宋体" w:cs="宋体"/>
                <w:color w:val="auto"/>
                <w:szCs w:val="21"/>
                <w:highlight w:val="none"/>
              </w:rPr>
              <w:t>固定采购代理收费：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vMerge w:val="continue"/>
            <w:tcBorders>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400" w:lineRule="exact"/>
              <w:rPr>
                <w:rFonts w:hint="eastAsia" w:ascii="宋体" w:hAnsi="宋体" w:cs="宋体"/>
                <w:color w:val="auto"/>
                <w:szCs w:val="21"/>
                <w:highlight w:val="none"/>
              </w:rPr>
            </w:pPr>
            <w:r>
              <w:rPr>
                <w:rFonts w:hint="eastAsia" w:ascii="宋体" w:hAnsi="宋体" w:cs="宋体"/>
                <w:color w:val="auto"/>
                <w:szCs w:val="21"/>
                <w:highlight w:val="none"/>
              </w:rPr>
              <w:t>代理服务费收款账户信息</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开户名称：广西科联招标中心有限公司</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开户银行：中国工商银行南宁市高新科技支行</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银行账号：2102111229300032105</w:t>
            </w:r>
          </w:p>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开户行行号：102611011101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及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由采购人或者采购代理机构负责解释。</w:t>
            </w:r>
          </w:p>
          <w:p>
            <w:pPr>
              <w:shd w:val="clear" w:color="auto" w:fill="auto"/>
              <w:snapToGrid w:val="0"/>
              <w:spacing w:line="400" w:lineRule="exact"/>
              <w:rPr>
                <w:rFonts w:hint="eastAsia" w:ascii="宋体" w:hAnsi="宋体" w:cs="宋体"/>
                <w:b/>
                <w:color w:val="auto"/>
                <w:szCs w:val="21"/>
                <w:highlight w:val="none"/>
              </w:rPr>
            </w:pPr>
            <w:r>
              <w:rPr>
                <w:rFonts w:hint="eastAsia" w:ascii="宋体" w:hAnsi="宋体" w:cs="宋体"/>
                <w:b/>
                <w:color w:val="auto"/>
                <w:szCs w:val="21"/>
                <w:highlight w:val="none"/>
              </w:rPr>
              <w:t>法律责任：</w:t>
            </w:r>
          </w:p>
          <w:p>
            <w:pPr>
              <w:numPr>
                <w:ilvl w:val="0"/>
                <w:numId w:val="3"/>
              </w:num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p>
            <w:pPr>
              <w:numPr>
                <w:ilvl w:val="0"/>
                <w:numId w:val="3"/>
              </w:numPr>
              <w:shd w:val="clear" w:color="auto" w:fill="auto"/>
              <w:snapToGrid w:val="0"/>
              <w:spacing w:line="400" w:lineRule="exact"/>
              <w:rPr>
                <w:rFonts w:hint="eastAsia" w:ascii="宋体" w:hAnsi="宋体" w:cs="宋体"/>
                <w:color w:val="auto"/>
                <w:szCs w:val="21"/>
                <w:highlight w:val="none"/>
              </w:rPr>
            </w:pPr>
            <w:r>
              <w:rPr>
                <w:rFonts w:hint="eastAsia" w:ascii="宋体" w:hAnsi="宋体" w:cs="宋体"/>
                <w:bCs/>
                <w:color w:val="auto"/>
                <w:szCs w:val="21"/>
                <w:highlight w:val="none"/>
              </w:rPr>
              <w:t>本项目采购代理机构应严格按照广西政府采购云平台项目采购全流程电子化电子开评标规程执行项目采购活动，代理机构在广西政府采购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1.本招标文件中描述投标人的“公章”是指根据我国对公章的管理规定，用投标人法定主体行为名称制作的印章（含投标人通过指定电子化政府采购平台办理数字证书（CA认证）获得的以法定主体行为名称制作的电子印章签章），除本招标文件有特殊规定外，投标人的财务章、部门章、分公司章、工会章、合同章、投标专用章、业务专用章及银行的转账章、现金收讫章、现金付讫章等其他形式印章均不能代替公章。实物印章与电子印章签章具有同等法律效力，不因其采用电子化表现形式而否定其法律效力。</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2.投标人为其他组织或者自然人时，本招标文件规定的法定代表人指负责人或者自然人。本招标文件所称负责人是指参加投标的其他组织营业执照上的负责人，本招标文件所称自然人指参与投标的自然人本人。</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3.本招标文件中描述投标人的“签字”是指投标人的法定代表人或者委托代理人亲自在文件规定签署处亲笔写上个人的名字的行为（含投标人通过指定电子化政府采购平台办理数字证书（CA认证）获得的以投标人法定代表人或者委托代理人姓名制作的电子印章签章或手写签字），私章、签字章、印鉴、影印等其他形式均不能代替亲笔签字。</w:t>
            </w:r>
          </w:p>
          <w:p>
            <w:pPr>
              <w:shd w:val="clear" w:color="auto" w:fill="auto"/>
              <w:snapToGrid w:val="0"/>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rPr>
              <w:t>4.自然人投标的，招标文件规定盖电子签章处由自然人摁手指指印。</w:t>
            </w:r>
          </w:p>
          <w:p>
            <w:pPr>
              <w:shd w:val="clear" w:color="auto" w:fill="auto"/>
              <w:spacing w:line="400" w:lineRule="exact"/>
              <w:jc w:val="left"/>
              <w:rPr>
                <w:rFonts w:hint="eastAsia" w:ascii="宋体" w:hAnsi="宋体" w:cs="宋体"/>
                <w:color w:val="auto"/>
                <w:szCs w:val="21"/>
                <w:highlight w:val="none"/>
              </w:rPr>
            </w:pPr>
            <w:r>
              <w:rPr>
                <w:rFonts w:hint="eastAsia" w:ascii="宋体" w:hAnsi="宋体" w:cs="宋体"/>
                <w:b/>
                <w:bCs/>
                <w:color w:val="auto"/>
                <w:szCs w:val="21"/>
                <w:highlight w:val="none"/>
              </w:rPr>
              <w:t>5.本招标文件所称的“以上”“以下”“以内”“届满”，包括本数；所称的“不满”“超过”“以外”，不包括本数。</w:t>
            </w:r>
          </w:p>
        </w:tc>
      </w:tr>
    </w:tbl>
    <w:p>
      <w:pPr>
        <w:shd w:val="clear" w:color="auto" w:fill="auto"/>
        <w:rPr>
          <w:color w:val="auto"/>
          <w:highlight w:val="none"/>
        </w:rPr>
        <w:sectPr>
          <w:headerReference r:id="rId7" w:type="first"/>
          <w:footerReference r:id="rId9" w:type="first"/>
          <w:footerReference r:id="rId8" w:type="default"/>
          <w:pgSz w:w="11911" w:h="16838"/>
          <w:pgMar w:top="1134" w:right="1134" w:bottom="1134" w:left="1134" w:header="720" w:footer="720" w:gutter="0"/>
          <w:cols w:space="720" w:num="1"/>
          <w:titlePg/>
          <w:docGrid w:linePitch="331" w:charSpace="0"/>
        </w:sectPr>
      </w:pPr>
    </w:p>
    <w:p>
      <w:pPr>
        <w:shd w:val="clear" w:color="auto" w:fill="auto"/>
        <w:rPr>
          <w:rFonts w:hint="eastAsia"/>
          <w:color w:val="auto"/>
          <w:highlight w:val="none"/>
        </w:rPr>
      </w:pPr>
    </w:p>
    <w:p>
      <w:pPr>
        <w:keepNext/>
        <w:keepLines/>
        <w:shd w:val="clear" w:color="auto" w:fill="auto"/>
        <w:spacing w:before="260" w:after="260" w:line="413" w:lineRule="auto"/>
        <w:jc w:val="center"/>
        <w:outlineLvl w:val="1"/>
        <w:rPr>
          <w:rFonts w:hint="eastAsia" w:ascii="Arial" w:hAnsi="Arial" w:eastAsia="黑体"/>
          <w:b/>
          <w:bCs/>
          <w:color w:val="auto"/>
          <w:sz w:val="32"/>
          <w:szCs w:val="32"/>
          <w:highlight w:val="none"/>
        </w:rPr>
      </w:pPr>
      <w:bookmarkStart w:id="91" w:name="_Toc177489451"/>
      <w:r>
        <w:rPr>
          <w:rFonts w:hint="eastAsia" w:ascii="Arial" w:hAnsi="Arial" w:eastAsia="黑体"/>
          <w:b/>
          <w:bCs/>
          <w:color w:val="auto"/>
          <w:sz w:val="32"/>
          <w:szCs w:val="32"/>
          <w:highlight w:val="none"/>
        </w:rPr>
        <w:t>第二节 投标人须知正文</w:t>
      </w:r>
      <w:bookmarkEnd w:id="91"/>
    </w:p>
    <w:p>
      <w:pPr>
        <w:shd w:val="clear" w:color="auto" w:fill="auto"/>
        <w:spacing w:line="400" w:lineRule="exact"/>
        <w:ind w:firstLine="643" w:firstLineChars="200"/>
        <w:jc w:val="center"/>
        <w:outlineLvl w:val="2"/>
        <w:rPr>
          <w:rFonts w:hint="eastAsia"/>
          <w:b/>
          <w:bCs/>
          <w:color w:val="auto"/>
          <w:sz w:val="32"/>
          <w:szCs w:val="32"/>
          <w:highlight w:val="none"/>
        </w:rPr>
      </w:pPr>
      <w:bookmarkStart w:id="92" w:name="_Toc177489452"/>
      <w:r>
        <w:rPr>
          <w:rFonts w:hint="eastAsia"/>
          <w:b/>
          <w:bCs/>
          <w:color w:val="auto"/>
          <w:sz w:val="32"/>
          <w:szCs w:val="32"/>
          <w:highlight w:val="none"/>
        </w:rPr>
        <w:t>一、总  则</w:t>
      </w:r>
      <w:bookmarkEnd w:id="92"/>
    </w:p>
    <w:p>
      <w:pPr>
        <w:shd w:val="clear" w:color="auto" w:fill="auto"/>
        <w:spacing w:line="360" w:lineRule="auto"/>
        <w:ind w:firstLine="480" w:firstLineChars="200"/>
        <w:rPr>
          <w:rFonts w:hint="eastAsia" w:ascii="黑体" w:hAnsi="黑体" w:eastAsia="黑体"/>
          <w:color w:val="auto"/>
          <w:sz w:val="24"/>
          <w:highlight w:val="none"/>
        </w:rPr>
      </w:pPr>
      <w:bookmarkStart w:id="93" w:name="_Toc254970527"/>
      <w:bookmarkStart w:id="94" w:name="_Toc254970668"/>
      <w:r>
        <w:rPr>
          <w:rFonts w:hint="eastAsia" w:ascii="黑体" w:hAnsi="黑体" w:eastAsia="黑体"/>
          <w:color w:val="auto"/>
          <w:sz w:val="24"/>
          <w:highlight w:val="none"/>
        </w:rPr>
        <w:t>1.适用范围</w:t>
      </w:r>
      <w:bookmarkEnd w:id="93"/>
      <w:bookmarkEnd w:id="94"/>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pPr>
        <w:shd w:val="clear" w:color="auto" w:fill="auto"/>
        <w:spacing w:line="360" w:lineRule="auto"/>
        <w:ind w:firstLine="480" w:firstLineChars="200"/>
        <w:rPr>
          <w:rFonts w:hint="eastAsia" w:ascii="黑体" w:hAnsi="黑体" w:eastAsia="黑体"/>
          <w:color w:val="auto"/>
          <w:sz w:val="24"/>
          <w:highlight w:val="none"/>
        </w:rPr>
      </w:pPr>
      <w:bookmarkStart w:id="95" w:name="_Toc254970669"/>
      <w:bookmarkStart w:id="96" w:name="_Toc254970528"/>
      <w:r>
        <w:rPr>
          <w:rFonts w:hint="eastAsia" w:ascii="黑体" w:hAnsi="黑体" w:eastAsia="黑体"/>
          <w:color w:val="auto"/>
          <w:sz w:val="24"/>
          <w:highlight w:val="none"/>
        </w:rPr>
        <w:t>2.定义</w:t>
      </w:r>
      <w:bookmarkEnd w:id="95"/>
      <w:bookmarkEnd w:id="96"/>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2.1“采购人”是指依法进行政府采购的国家机关、事业单位、团体组织。</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2.2“采购代理机构” 指政府采购集中采购机构和集中采购机构以外的采购代理机构。</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2.3“供应商”是指向采购人提供货物、工程或者服务的法人、其他组织或者自然人。</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2.4“投标人”是指响应招标、参加投标竞争的法人、非法人组织或者自然人。</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2.5“服务”是指除货物和工程以外的其他政府采购对象。</w:t>
      </w:r>
    </w:p>
    <w:p>
      <w:pPr>
        <w:shd w:val="clear" w:color="auto" w:fill="auto"/>
        <w:spacing w:line="360" w:lineRule="auto"/>
        <w:ind w:firstLine="422" w:firstLineChars="200"/>
        <w:outlineLvl w:val="4"/>
        <w:rPr>
          <w:rFonts w:hint="eastAsia" w:ascii="宋体" w:hAnsi="宋体"/>
          <w:b/>
          <w:color w:val="auto"/>
          <w:szCs w:val="21"/>
          <w:highlight w:val="none"/>
        </w:rPr>
      </w:pPr>
      <w:r>
        <w:rPr>
          <w:rFonts w:hint="eastAsia" w:ascii="宋体" w:hAnsi="宋体"/>
          <w:b/>
          <w:color w:val="auto"/>
          <w:szCs w:val="21"/>
          <w:highlight w:val="none"/>
        </w:rPr>
        <w:t>2.6“售后服务” 是指采购的服务完成以后所提供的各种后续服务。</w:t>
      </w:r>
    </w:p>
    <w:p>
      <w:pPr>
        <w:shd w:val="clear" w:color="auto" w:fill="auto"/>
        <w:spacing w:line="360" w:lineRule="auto"/>
        <w:outlineLvl w:val="4"/>
        <w:rPr>
          <w:rFonts w:hint="eastAsia" w:ascii="宋体" w:hAnsi="宋体"/>
          <w:b/>
          <w:color w:val="auto"/>
          <w:szCs w:val="21"/>
          <w:highlight w:val="none"/>
        </w:rPr>
      </w:pPr>
      <w:r>
        <w:rPr>
          <w:rFonts w:hint="eastAsia" w:ascii="宋体" w:hAnsi="宋体"/>
          <w:b/>
          <w:color w:val="auto"/>
          <w:szCs w:val="21"/>
          <w:highlight w:val="none"/>
        </w:rPr>
        <w:t xml:space="preserve">    2.7“书面形式”是指合同书、信件和数据电文（包括电报、电传、传真、电子数据交换和电子邮件）等可以有形地表现所载内容的形式。</w:t>
      </w:r>
    </w:p>
    <w:p>
      <w:pPr>
        <w:shd w:val="clear" w:color="auto" w:fill="auto"/>
        <w:spacing w:line="360" w:lineRule="auto"/>
        <w:ind w:firstLine="422" w:firstLineChars="200"/>
        <w:outlineLvl w:val="4"/>
        <w:rPr>
          <w:rFonts w:hint="eastAsia" w:ascii="宋体" w:hAnsi="宋体"/>
          <w:b/>
          <w:color w:val="auto"/>
          <w:szCs w:val="21"/>
          <w:highlight w:val="none"/>
        </w:rPr>
      </w:pPr>
      <w:r>
        <w:rPr>
          <w:rFonts w:hint="eastAsia" w:ascii="宋体" w:hAnsi="宋体"/>
          <w:b/>
          <w:color w:val="auto"/>
          <w:szCs w:val="21"/>
          <w:highlight w:val="none"/>
        </w:rPr>
        <w:t>2.8“实质性要求”是指招标文件中已经指明不满足则投标无效的条款，或者不能负偏离的条款，或者采购需求中带“▲”的条款，“实质性要求”有任何一条负偏离或不响应的，将导致无效投标。</w:t>
      </w:r>
    </w:p>
    <w:p>
      <w:pPr>
        <w:shd w:val="clear" w:color="auto" w:fill="auto"/>
        <w:snapToGrid w:val="0"/>
        <w:spacing w:line="360" w:lineRule="auto"/>
        <w:ind w:firstLine="422" w:firstLineChars="200"/>
        <w:jc w:val="left"/>
        <w:rPr>
          <w:rFonts w:ascii="宋体" w:hAnsi="宋体" w:cs="宋体"/>
          <w:b/>
          <w:color w:val="auto"/>
          <w:szCs w:val="21"/>
          <w:highlight w:val="none"/>
        </w:rPr>
      </w:pPr>
      <w:r>
        <w:rPr>
          <w:rFonts w:hint="eastAsia" w:ascii="宋体" w:hAnsi="宋体"/>
          <w:b/>
          <w:color w:val="auto"/>
          <w:szCs w:val="21"/>
          <w:highlight w:val="none"/>
        </w:rPr>
        <w:t xml:space="preserve">2.9 </w:t>
      </w:r>
      <w:r>
        <w:rPr>
          <w:rFonts w:hint="eastAsia" w:ascii="宋体" w:hAnsi="宋体" w:cs="宋体"/>
          <w:b/>
          <w:color w:val="auto"/>
          <w:szCs w:val="21"/>
          <w:highlight w:val="none"/>
        </w:rPr>
        <w:t>“正偏离”，是指投标文件对招标文件“采购需求”中有关条款作出的响应优于条款要求并有利于采购人的情形。</w:t>
      </w:r>
    </w:p>
    <w:p>
      <w:pPr>
        <w:shd w:val="clear" w:color="auto" w:fill="auto"/>
        <w:snapToGrid w:val="0"/>
        <w:spacing w:line="360" w:lineRule="auto"/>
        <w:ind w:firstLine="422" w:firstLineChars="200"/>
        <w:jc w:val="left"/>
        <w:rPr>
          <w:rFonts w:ascii="宋体" w:hAnsi="宋体" w:cs="宋体"/>
          <w:b/>
          <w:color w:val="auto"/>
          <w:szCs w:val="21"/>
          <w:highlight w:val="none"/>
        </w:rPr>
      </w:pPr>
      <w:r>
        <w:rPr>
          <w:rFonts w:ascii="宋体" w:hAnsi="宋体" w:cs="宋体"/>
          <w:b/>
          <w:color w:val="auto"/>
          <w:szCs w:val="21"/>
          <w:highlight w:val="none"/>
        </w:rPr>
        <w:t>2.10</w:t>
      </w:r>
      <w:r>
        <w:rPr>
          <w:rFonts w:hint="eastAsia" w:ascii="宋体" w:hAnsi="宋体" w:cs="宋体"/>
          <w:b/>
          <w:color w:val="auto"/>
          <w:szCs w:val="21"/>
          <w:highlight w:val="none"/>
        </w:rPr>
        <w:t>“负偏离”，是指投标文件对招标文件“采购需求”中有关条款作出的响应不满足条款要求，导致采购人要求不能得到满足的情形。</w:t>
      </w:r>
    </w:p>
    <w:p>
      <w:pPr>
        <w:shd w:val="clear" w:color="auto" w:fill="auto"/>
        <w:snapToGrid w:val="0"/>
        <w:spacing w:line="360" w:lineRule="auto"/>
        <w:ind w:firstLine="422" w:firstLineChars="200"/>
        <w:jc w:val="left"/>
        <w:rPr>
          <w:rFonts w:hint="eastAsia" w:ascii="宋体" w:hAnsi="宋体" w:cs="宋体"/>
          <w:b/>
          <w:color w:val="auto"/>
          <w:szCs w:val="21"/>
          <w:highlight w:val="none"/>
        </w:rPr>
      </w:pPr>
      <w:r>
        <w:rPr>
          <w:rFonts w:hint="eastAsia" w:ascii="宋体" w:hAnsi="宋体"/>
          <w:b/>
          <w:color w:val="auto"/>
          <w:szCs w:val="21"/>
          <w:highlight w:val="none"/>
        </w:rPr>
        <w:t>2.1</w:t>
      </w:r>
      <w:r>
        <w:rPr>
          <w:rFonts w:ascii="宋体" w:hAnsi="宋体"/>
          <w:b/>
          <w:color w:val="auto"/>
          <w:szCs w:val="21"/>
          <w:highlight w:val="none"/>
        </w:rPr>
        <w:t>1</w:t>
      </w:r>
      <w:r>
        <w:rPr>
          <w:rFonts w:hint="eastAsia" w:ascii="宋体" w:hAnsi="宋体" w:cs="宋体"/>
          <w:b/>
          <w:color w:val="auto"/>
          <w:szCs w:val="21"/>
          <w:highlight w:val="none"/>
        </w:rPr>
        <w:t>“允许负偏离的条款”是指采购需求中的不属于“实质性要求”的条款。</w:t>
      </w:r>
    </w:p>
    <w:p>
      <w:pPr>
        <w:shd w:val="clear" w:color="auto" w:fill="auto"/>
        <w:spacing w:line="360" w:lineRule="auto"/>
        <w:ind w:firstLine="480" w:firstLineChars="200"/>
        <w:rPr>
          <w:rFonts w:hint="eastAsia" w:ascii="黑体" w:hAnsi="黑体" w:eastAsia="黑体"/>
          <w:color w:val="auto"/>
          <w:sz w:val="24"/>
          <w:highlight w:val="none"/>
        </w:rPr>
      </w:pPr>
      <w:bookmarkStart w:id="97" w:name="_Toc254970670"/>
      <w:bookmarkStart w:id="98" w:name="_Toc254970529"/>
      <w:r>
        <w:rPr>
          <w:rFonts w:hint="eastAsia" w:ascii="黑体" w:hAnsi="黑体" w:eastAsia="黑体"/>
          <w:color w:val="auto"/>
          <w:sz w:val="24"/>
          <w:highlight w:val="none"/>
        </w:rPr>
        <w:t>3.</w:t>
      </w:r>
      <w:bookmarkEnd w:id="97"/>
      <w:bookmarkEnd w:id="98"/>
      <w:r>
        <w:rPr>
          <w:rFonts w:hint="eastAsia" w:ascii="黑体" w:hAnsi="黑体" w:eastAsia="黑体"/>
          <w:color w:val="auto"/>
          <w:sz w:val="24"/>
          <w:highlight w:val="none"/>
        </w:rPr>
        <w:t>投标人的资格要求</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投标人的资格要求详见“招标公告”。</w:t>
      </w:r>
    </w:p>
    <w:p>
      <w:pPr>
        <w:shd w:val="clear" w:color="auto" w:fill="auto"/>
        <w:spacing w:line="360" w:lineRule="auto"/>
        <w:ind w:firstLine="480" w:firstLineChars="200"/>
        <w:rPr>
          <w:rFonts w:hint="eastAsia" w:ascii="黑体" w:hAnsi="黑体" w:eastAsia="黑体"/>
          <w:color w:val="auto"/>
          <w:sz w:val="24"/>
          <w:highlight w:val="none"/>
        </w:rPr>
      </w:pPr>
      <w:bookmarkStart w:id="99" w:name="_Toc254970671"/>
      <w:bookmarkStart w:id="100" w:name="_Toc254970530"/>
      <w:r>
        <w:rPr>
          <w:rFonts w:hint="eastAsia" w:ascii="黑体" w:hAnsi="黑体" w:eastAsia="黑体"/>
          <w:color w:val="auto"/>
          <w:sz w:val="24"/>
          <w:highlight w:val="none"/>
        </w:rPr>
        <w:t>4.投标委托</w:t>
      </w:r>
      <w:bookmarkEnd w:id="99"/>
      <w:bookmarkEnd w:id="100"/>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投标人代表参加投标活动过程中必须携带个人有效身份证件。如投标人代表不是法定代表人，须持有法定代表人授权委托书（按第六章要求格式填写）。</w:t>
      </w:r>
    </w:p>
    <w:p>
      <w:pPr>
        <w:shd w:val="clear" w:color="auto" w:fill="auto"/>
        <w:spacing w:line="360" w:lineRule="auto"/>
        <w:ind w:firstLine="480" w:firstLineChars="200"/>
        <w:rPr>
          <w:rFonts w:hint="eastAsia" w:ascii="黑体" w:hAnsi="黑体" w:eastAsia="黑体"/>
          <w:color w:val="auto"/>
          <w:sz w:val="24"/>
          <w:highlight w:val="none"/>
        </w:rPr>
      </w:pPr>
      <w:bookmarkStart w:id="101" w:name="_5.投标费用"/>
      <w:bookmarkEnd w:id="101"/>
      <w:bookmarkStart w:id="102" w:name="_Toc254970531"/>
      <w:bookmarkStart w:id="103" w:name="_Toc254970672"/>
      <w:r>
        <w:rPr>
          <w:rFonts w:hint="eastAsia" w:ascii="黑体" w:hAnsi="黑体" w:eastAsia="黑体"/>
          <w:color w:val="auto"/>
          <w:sz w:val="24"/>
          <w:highlight w:val="none"/>
        </w:rPr>
        <w:t>5.投标费用</w:t>
      </w:r>
      <w:bookmarkEnd w:id="102"/>
      <w:bookmarkEnd w:id="103"/>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6.联合体投标</w:t>
      </w:r>
    </w:p>
    <w:p>
      <w:pPr>
        <w:shd w:val="clear" w:color="auto" w:fill="auto"/>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6.1本项目是否接受联合体投标，详见“投标人须知前附表”。</w:t>
      </w:r>
    </w:p>
    <w:p>
      <w:pPr>
        <w:shd w:val="clear" w:color="auto" w:fill="auto"/>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6.2如接受联合体投标，联合体投标要求详见“投标人须知前附表”。</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6.3非专门面向中小微企业采购的项目：根据《政府采购促进中小企业发展管理办法》（财库[2020]46号）第九条、《广西壮族自治区财政厅关于贯彻落实政府采购支持中小企业发展政策的通知》（桂财采〔2022〕31号）规定，接受大中型企业与小微企业组成联合体的采购项目，对于联合协议约定小微企业的合同份额占到合同总金额 30%以上的，采购人、采购代理机构应当对联合体的报价给予4%-6%的扣除，用扣除后的价格参加评审。组成联合体的小微企业与联合体内其他企业、分包企业之间存在直接控股、管理关系的，不享受价格扣除优惠政策。专门面向中小微企业采购的项目:按照《政府采购促进中小企业发展管理办法》（财库〔2020〕46号）的规定，对投标人的投标报价不再执行价格评审优惠的扶持政策。</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7.转包与分包</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7.1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pPr>
        <w:shd w:val="clear" w:color="auto" w:fill="auto"/>
        <w:spacing w:line="360" w:lineRule="auto"/>
        <w:ind w:firstLine="420" w:firstLineChars="200"/>
        <w:rPr>
          <w:rFonts w:hint="eastAsia" w:ascii="宋体" w:hAnsi="宋体" w:cs="宋体"/>
          <w:color w:val="auto"/>
          <w:szCs w:val="21"/>
          <w:highlight w:val="none"/>
        </w:rPr>
      </w:pPr>
      <w:bookmarkStart w:id="104" w:name="_Toc254970532"/>
      <w:bookmarkStart w:id="105" w:name="_Toc254970673"/>
      <w:r>
        <w:rPr>
          <w:rFonts w:hint="eastAsia" w:ascii="宋体" w:hAnsi="宋体" w:cs="宋体"/>
          <w:bCs/>
          <w:color w:val="auto"/>
          <w:szCs w:val="21"/>
          <w:highlight w:val="none"/>
        </w:rPr>
        <w:t>7.2非专门面向中小微企业采购的项目：根据《政府采购促进中小企业发展管理办法》（财库[2020]46号）第九条、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 30%以上的，采购人、采购代理机构应当对大中型企业的报价给予 4%-6%的扣除，用扣除后的价格参加评审。接受分包的小微企业与分包企业之间存在直接控股、管理关系的，不享受价格扣除优惠政策。</w:t>
      </w:r>
      <w:r>
        <w:rPr>
          <w:rFonts w:hint="eastAsia" w:ascii="宋体" w:hAnsi="宋体" w:cs="宋体"/>
          <w:color w:val="auto"/>
          <w:szCs w:val="21"/>
          <w:highlight w:val="none"/>
        </w:rPr>
        <w:t>专门面向中小微企业采购的项目：按照《政府采购促进中小企业发展管理办法》（财库〔2020〕46号）的规定，对投标人的投标报价不再执行价格评审优惠的扶持政策。</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8.特别说明</w:t>
      </w:r>
      <w:bookmarkEnd w:id="104"/>
      <w:bookmarkEnd w:id="105"/>
      <w:bookmarkStart w:id="106" w:name="_8.1提供相同品牌产品且通过资格审查、符合性审查的不同投标人参加同一合"/>
      <w:bookmarkEnd w:id="106"/>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1</w:t>
      </w:r>
      <w:r>
        <w:rPr>
          <w:rFonts w:hint="eastAsia" w:ascii="宋体" w:hAnsi="宋体"/>
          <w:b/>
          <w:color w:val="auto"/>
          <w:szCs w:val="21"/>
          <w:highlight w:val="none"/>
        </w:rPr>
        <w:t>如果本招标文件要求投标人提供资格、信誉、荣誉、业绩与企业认证等材料的，则投标人所提供的以上材料必须为该投标人所拥有。</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2</w:t>
      </w:r>
      <w:r>
        <w:rPr>
          <w:rFonts w:hint="eastAsia" w:ascii="宋体" w:hAnsi="宋体"/>
          <w:b/>
          <w:color w:val="auto"/>
          <w:szCs w:val="21"/>
          <w:highlight w:val="none"/>
        </w:rPr>
        <w:t>投标人应仔细阅读招标文件的所有内容，按照招标文件的要求提交投标文件，并对所提供的全部资料的真实性承担法律责任。</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8.</w:t>
      </w:r>
      <w:r>
        <w:rPr>
          <w:rFonts w:ascii="宋体" w:hAnsi="宋体"/>
          <w:b/>
          <w:color w:val="auto"/>
          <w:szCs w:val="21"/>
          <w:highlight w:val="none"/>
        </w:rPr>
        <w:t>3</w:t>
      </w:r>
      <w:r>
        <w:rPr>
          <w:rFonts w:hint="eastAsia" w:ascii="宋体" w:hAnsi="宋体"/>
          <w:b/>
          <w:color w:val="auto"/>
          <w:szCs w:val="21"/>
          <w:highlight w:val="none"/>
        </w:rPr>
        <w:t>投标人在投标活动中提供任何虚假材料，将报监管部门查处；中标后发现的，中标供应商须依照《中华人民共和国消费者权益保护法》规定赔偿采购人，且民事赔偿并不免除违法投标人的行政与刑事责任。</w:t>
      </w:r>
    </w:p>
    <w:p>
      <w:pPr>
        <w:shd w:val="clear" w:color="auto" w:fill="auto"/>
        <w:spacing w:line="360" w:lineRule="auto"/>
        <w:ind w:firstLine="480" w:firstLineChars="200"/>
        <w:rPr>
          <w:rFonts w:ascii="黑体" w:hAnsi="黑体" w:eastAsia="黑体"/>
          <w:color w:val="auto"/>
          <w:sz w:val="24"/>
          <w:highlight w:val="none"/>
        </w:rPr>
      </w:pPr>
      <w:r>
        <w:rPr>
          <w:rFonts w:ascii="黑体" w:hAnsi="黑体" w:eastAsia="黑体"/>
          <w:color w:val="auto"/>
          <w:sz w:val="24"/>
          <w:highlight w:val="none"/>
        </w:rPr>
        <w:t>9.</w:t>
      </w:r>
      <w:r>
        <w:rPr>
          <w:rFonts w:hint="eastAsia" w:ascii="黑体" w:hAnsi="黑体" w:eastAsia="黑体"/>
          <w:color w:val="auto"/>
          <w:sz w:val="24"/>
          <w:highlight w:val="none"/>
        </w:rPr>
        <w:t>回避与串通投标</w:t>
      </w:r>
    </w:p>
    <w:p>
      <w:pPr>
        <w:shd w:val="clear" w:color="auto" w:fill="auto"/>
        <w:spacing w:line="360" w:lineRule="auto"/>
        <w:ind w:firstLine="422" w:firstLineChars="200"/>
        <w:rPr>
          <w:rFonts w:ascii="宋体" w:hAnsi="宋体"/>
          <w:b/>
          <w:color w:val="auto"/>
          <w:szCs w:val="21"/>
          <w:highlight w:val="none"/>
        </w:rPr>
      </w:pPr>
      <w:r>
        <w:rPr>
          <w:rFonts w:hint="eastAsia" w:ascii="宋体" w:hAnsi="宋体"/>
          <w:b/>
          <w:color w:val="auto"/>
          <w:szCs w:val="21"/>
          <w:highlight w:val="none"/>
        </w:rPr>
        <w:t>9</w:t>
      </w:r>
      <w:r>
        <w:rPr>
          <w:rFonts w:ascii="宋体" w:hAnsi="宋体"/>
          <w:b/>
          <w:color w:val="auto"/>
          <w:szCs w:val="21"/>
          <w:highlight w:val="none"/>
        </w:rPr>
        <w:t>.1在政府采购活动中，采购人员及相关人员与</w:t>
      </w:r>
      <w:r>
        <w:rPr>
          <w:rFonts w:hint="eastAsia" w:ascii="宋体" w:hAnsi="宋体"/>
          <w:b/>
          <w:color w:val="auto"/>
          <w:szCs w:val="21"/>
          <w:highlight w:val="none"/>
        </w:rPr>
        <w:t>供应商</w:t>
      </w:r>
      <w:r>
        <w:rPr>
          <w:rFonts w:ascii="宋体" w:hAnsi="宋体"/>
          <w:b/>
          <w:color w:val="auto"/>
          <w:szCs w:val="21"/>
          <w:highlight w:val="none"/>
        </w:rPr>
        <w:t>有下列利害关系之一的，应当回避：</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1</w:t>
      </w:r>
      <w:r>
        <w:rPr>
          <w:rFonts w:hAnsi="宋体"/>
          <w:color w:val="auto"/>
          <w:highlight w:val="none"/>
        </w:rPr>
        <w:t>）参加采购活动前3年内与</w:t>
      </w:r>
      <w:r>
        <w:rPr>
          <w:rFonts w:hint="eastAsia" w:hAnsi="宋体"/>
          <w:color w:val="auto"/>
          <w:highlight w:val="none"/>
        </w:rPr>
        <w:t>供应商</w:t>
      </w:r>
      <w:r>
        <w:rPr>
          <w:rFonts w:hAnsi="宋体"/>
          <w:color w:val="auto"/>
          <w:highlight w:val="none"/>
        </w:rPr>
        <w:t>存在劳动关系；</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2</w:t>
      </w:r>
      <w:r>
        <w:rPr>
          <w:rFonts w:hAnsi="宋体"/>
          <w:color w:val="auto"/>
          <w:highlight w:val="none"/>
        </w:rPr>
        <w:t>）参加采购活动前3年内担任</w:t>
      </w:r>
      <w:r>
        <w:rPr>
          <w:rFonts w:hint="eastAsia" w:hAnsi="宋体"/>
          <w:color w:val="auto"/>
          <w:highlight w:val="none"/>
        </w:rPr>
        <w:t>供应商</w:t>
      </w:r>
      <w:r>
        <w:rPr>
          <w:rFonts w:hAnsi="宋体"/>
          <w:color w:val="auto"/>
          <w:highlight w:val="none"/>
        </w:rPr>
        <w:t>的董事、监事；</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3</w:t>
      </w:r>
      <w:r>
        <w:rPr>
          <w:rFonts w:hAnsi="宋体"/>
          <w:color w:val="auto"/>
          <w:highlight w:val="none"/>
        </w:rPr>
        <w:t>）参加采购活动前3年内是</w:t>
      </w:r>
      <w:r>
        <w:rPr>
          <w:rFonts w:hint="eastAsia" w:hAnsi="宋体"/>
          <w:color w:val="auto"/>
          <w:highlight w:val="none"/>
        </w:rPr>
        <w:t>供应商</w:t>
      </w:r>
      <w:r>
        <w:rPr>
          <w:rFonts w:hAnsi="宋体"/>
          <w:color w:val="auto"/>
          <w:highlight w:val="none"/>
        </w:rPr>
        <w:t>的控股股东或者实际控制人；</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4</w:t>
      </w:r>
      <w:r>
        <w:rPr>
          <w:rFonts w:hAnsi="宋体"/>
          <w:color w:val="auto"/>
          <w:highlight w:val="none"/>
        </w:rPr>
        <w:t>）与</w:t>
      </w:r>
      <w:r>
        <w:rPr>
          <w:rFonts w:hint="eastAsia" w:hAnsi="宋体"/>
          <w:color w:val="auto"/>
          <w:highlight w:val="none"/>
        </w:rPr>
        <w:t>供应商</w:t>
      </w:r>
      <w:r>
        <w:rPr>
          <w:rFonts w:hAnsi="宋体"/>
          <w:color w:val="auto"/>
          <w:highlight w:val="none"/>
        </w:rPr>
        <w:t>的法定代表人或者负责人有夫妻、直系血亲、三代以内旁系血亲或者近姻亲关系；</w:t>
      </w:r>
    </w:p>
    <w:p>
      <w:pPr>
        <w:shd w:val="clear" w:color="auto" w:fill="auto"/>
        <w:spacing w:line="360" w:lineRule="auto"/>
        <w:ind w:firstLine="420" w:firstLineChars="200"/>
        <w:rPr>
          <w:rFonts w:hAnsi="宋体"/>
          <w:color w:val="auto"/>
          <w:highlight w:val="none"/>
        </w:rPr>
      </w:pPr>
      <w:r>
        <w:rPr>
          <w:rFonts w:hAnsi="宋体"/>
          <w:color w:val="auto"/>
          <w:highlight w:val="none"/>
        </w:rPr>
        <w:t>（</w:t>
      </w:r>
      <w:r>
        <w:rPr>
          <w:rFonts w:hint="eastAsia" w:hAnsi="宋体"/>
          <w:color w:val="auto"/>
          <w:highlight w:val="none"/>
        </w:rPr>
        <w:t>5</w:t>
      </w:r>
      <w:r>
        <w:rPr>
          <w:rFonts w:hAnsi="宋体"/>
          <w:color w:val="auto"/>
          <w:highlight w:val="none"/>
        </w:rPr>
        <w:t>）与</w:t>
      </w:r>
      <w:r>
        <w:rPr>
          <w:rFonts w:hint="eastAsia" w:hAnsi="宋体"/>
          <w:color w:val="auto"/>
          <w:highlight w:val="none"/>
        </w:rPr>
        <w:t>供应商</w:t>
      </w:r>
      <w:r>
        <w:rPr>
          <w:rFonts w:hAnsi="宋体"/>
          <w:color w:val="auto"/>
          <w:highlight w:val="none"/>
        </w:rPr>
        <w:t>有其他可能影响政府采购活动公平、公正进行的关系。</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供应商</w:t>
      </w:r>
      <w:r>
        <w:rPr>
          <w:rFonts w:hAnsi="宋体"/>
          <w:color w:val="auto"/>
          <w:highlight w:val="none"/>
        </w:rPr>
        <w:t>认为采购人员及相关人员与其他</w:t>
      </w:r>
      <w:r>
        <w:rPr>
          <w:rFonts w:hint="eastAsia" w:hAnsi="宋体"/>
          <w:color w:val="auto"/>
          <w:highlight w:val="none"/>
        </w:rPr>
        <w:t>供应商</w:t>
      </w:r>
      <w:r>
        <w:rPr>
          <w:rFonts w:hAnsi="宋体"/>
          <w:color w:val="auto"/>
          <w:highlight w:val="none"/>
        </w:rPr>
        <w:t>有利害关系的，可以向采购人或者采购代理机构书面提出回避申请，并说明理由。采购人或者采购代理机构应当及时询问被申请回避人员，有利害关系的被申请回避人员应当回避。</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9.2</w:t>
      </w:r>
      <w:r>
        <w:rPr>
          <w:rFonts w:hint="eastAsia" w:ascii="宋体" w:hAnsi="宋体"/>
          <w:color w:val="auto"/>
          <w:szCs w:val="21"/>
          <w:highlight w:val="none"/>
        </w:rPr>
        <w:t>有下列情形之一的视为投标人相互串通投标，投标文件将被视为无效：</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（1）不同投标人的投标文件由同一单位或者个人编制；或者不同投标人报名的IP地址一致的；或者编制标书硬件设备CPU编号、硬盘编号、网卡地址一致的情况；</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（2）不同投标人委托同一单位或者个人办理投标事宜；</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（3）不同的投标人的投标文件载明的项目管理员为同一个人；</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（4）不同投标人的投标文件异常一致或者投标报价呈规律性差异；</w:t>
      </w:r>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（5）不同投标人的投标文件相互混装；</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9.3</w:t>
      </w:r>
      <w:r>
        <w:rPr>
          <w:rFonts w:hint="eastAsia" w:ascii="宋体" w:hAnsi="宋体"/>
          <w:color w:val="auto"/>
          <w:szCs w:val="21"/>
          <w:highlight w:val="none"/>
        </w:rPr>
        <w:t>供应商有下列情形之一的，属于恶意串通行为，将报同级监督管理部门：</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（1）供应商直接或者间接从采购人或者采购代理机构处获得其他供应商的相关信息并修改其投标文件或者响应文件；</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（2）供应商按照采购人或者采购代理机构的授意撤换、修改投标文件或者响应文件；</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（3）供应商之间协商报价、技术方案等投标文件或者响应文件的实质性内容；</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（4）属于同一集团、协会、商会等组织成员的供应商按照该组织要求协同参加政府采购活动；</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（5）供应商之间事先约定一致抬高或者压低投标报价，或者在招标项目中事先约定轮流以高价位或者低价位中标，或者事先约定由某一特定供应商中标，然后再参加投标；</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（6）供应商之间商定部分供应商放弃参加政府采购活动或者放弃中标；</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（7）供应商与采购人或者采购代理机构之间、供应商相互之间，为谋求特定供应商中标或者排斥其他供应商的其他串通行为。</w:t>
      </w:r>
    </w:p>
    <w:p>
      <w:pPr>
        <w:shd w:val="clear" w:color="auto" w:fill="auto"/>
        <w:snapToGrid w:val="0"/>
        <w:spacing w:line="360" w:lineRule="auto"/>
        <w:ind w:left="2" w:leftChars="1" w:firstLine="422" w:firstLineChars="200"/>
        <w:rPr>
          <w:rFonts w:hint="eastAsia" w:ascii="宋体" w:hAnsi="宋体"/>
          <w:b/>
          <w:color w:val="auto"/>
          <w:szCs w:val="20"/>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07" w:name="_Toc177489453"/>
      <w:bookmarkStart w:id="108" w:name="_Toc254970534"/>
      <w:bookmarkStart w:id="109" w:name="_Toc254970675"/>
      <w:r>
        <w:rPr>
          <w:rFonts w:hint="eastAsia"/>
          <w:b/>
          <w:bCs/>
          <w:color w:val="auto"/>
          <w:sz w:val="32"/>
          <w:szCs w:val="32"/>
          <w:highlight w:val="none"/>
        </w:rPr>
        <w:t>二、招标文件</w:t>
      </w:r>
      <w:bookmarkEnd w:id="107"/>
      <w:bookmarkEnd w:id="108"/>
      <w:bookmarkEnd w:id="109"/>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10.招标文件的组成</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第一章 招标公告；</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第二章 采购需求； </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第三章 投标人须知；</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第四章 评标方法及评标标准；</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第五章 拟签订的合同文本；</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第六章 投标文件格式；</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第七章 质疑、投诉材料格式</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根据本章第11.1项的规定对公开招标文件所做的澄清、修改，构成招标文件的组成部分。当公开招标文件与招标文件的澄清和修改就同一内容的表述不一致时，</w:t>
      </w:r>
      <w:r>
        <w:rPr>
          <w:rFonts w:hint="eastAsia"/>
          <w:color w:val="auto"/>
          <w:highlight w:val="none"/>
        </w:rPr>
        <w:t>以最后澄清或修改公告为准。</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11.招标文件的澄清、修改 、现场考察和答疑会</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11.2 投标人应认真审阅本公开招标文件，如有疑问，或发现其中有误或有要求不合理的，应在投标人须知前附表规定的</w:t>
      </w:r>
      <w:r>
        <w:rPr>
          <w:rFonts w:hint="eastAsia" w:cs="宋体"/>
          <w:color w:val="auto"/>
          <w:kern w:val="0"/>
          <w:szCs w:val="21"/>
          <w:highlight w:val="none"/>
        </w:rPr>
        <w:t>投标截止时间</w:t>
      </w:r>
      <w:r>
        <w:rPr>
          <w:rFonts w:hint="eastAsia" w:hAnsi="宋体"/>
          <w:color w:val="auto"/>
          <w:highlight w:val="none"/>
        </w:rPr>
        <w:t>前以书面形式要求采购人或采购代理机构对招标文件予以澄清；否则，由此产生的后果由投标人自行负责。</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Ansi="宋体"/>
          <w:color w:val="auto"/>
          <w:szCs w:val="21"/>
          <w:highlight w:val="none"/>
        </w:rPr>
        <w:t>投标人须知前附表”</w:t>
      </w:r>
      <w:r>
        <w:rPr>
          <w:rFonts w:hint="eastAsia" w:hAnsi="宋体"/>
          <w:color w:val="auto"/>
          <w:highlight w:val="none"/>
        </w:rPr>
        <w:t>规定的政府采购信息发布媒体上发布更正公告及平台短信通知)所有获取招标文件的潜在投标人；不足15日的，采购人或者采购代理机构应当顺延提交投标文件的截止时间。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 xml:space="preserve">11.4 </w:t>
      </w:r>
      <w:r>
        <w:rPr>
          <w:rFonts w:hint="eastAsia"/>
          <w:color w:val="auto"/>
          <w:highlight w:val="none"/>
        </w:rPr>
        <w:t>采购人和采购代理机构可以视采购具体情况，变更投标截止时间和开标时间，将变更时间将在</w:t>
      </w:r>
      <w:r>
        <w:rPr>
          <w:rFonts w:hint="eastAsia" w:hAnsi="宋体"/>
          <w:color w:val="auto"/>
          <w:highlight w:val="none"/>
        </w:rPr>
        <w:t>“</w:t>
      </w:r>
      <w:r>
        <w:rPr>
          <w:rFonts w:hAnsi="宋体"/>
          <w:color w:val="auto"/>
          <w:szCs w:val="21"/>
          <w:highlight w:val="none"/>
        </w:rPr>
        <w:t>投标人须知前附表”</w:t>
      </w:r>
      <w:r>
        <w:rPr>
          <w:rFonts w:hint="eastAsia" w:cs="宋体"/>
          <w:color w:val="auto"/>
          <w:kern w:val="0"/>
          <w:szCs w:val="21"/>
          <w:highlight w:val="none"/>
        </w:rPr>
        <w:t>规定的政府采购信息发布媒体上</w:t>
      </w:r>
      <w:r>
        <w:rPr>
          <w:rFonts w:hint="eastAsia"/>
          <w:color w:val="auto"/>
          <w:highlight w:val="none"/>
        </w:rPr>
        <w:t>发布更正公告。</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1</w:t>
      </w:r>
      <w:r>
        <w:rPr>
          <w:rFonts w:hAnsi="宋体"/>
          <w:color w:val="auto"/>
          <w:highlight w:val="none"/>
        </w:rPr>
        <w:t>1.</w:t>
      </w:r>
      <w:bookmarkStart w:id="110" w:name="_Hlk53134511"/>
      <w:r>
        <w:rPr>
          <w:rFonts w:hint="eastAsia" w:hAnsi="宋体"/>
          <w:color w:val="auto"/>
          <w:highlight w:val="none"/>
        </w:rPr>
        <w:t>5采购人或者采购代理机构可以在招标文件提供期限截止后，组织已获取招标文件的潜在投标人现场考察或者召开开标前答疑会，具体详见“投标人须知前附表”。</w:t>
      </w:r>
    </w:p>
    <w:p>
      <w:pPr>
        <w:shd w:val="clear" w:color="auto" w:fill="auto"/>
        <w:spacing w:line="360" w:lineRule="auto"/>
        <w:ind w:firstLine="420" w:firstLineChars="200"/>
        <w:rPr>
          <w:rFonts w:hint="eastAsia" w:hAnsi="宋体"/>
          <w:color w:val="auto"/>
          <w:highlight w:val="none"/>
        </w:rPr>
      </w:pPr>
    </w:p>
    <w:bookmarkEnd w:id="110"/>
    <w:p>
      <w:pPr>
        <w:shd w:val="clear" w:color="auto" w:fill="auto"/>
        <w:spacing w:line="400" w:lineRule="exact"/>
        <w:ind w:firstLine="643" w:firstLineChars="200"/>
        <w:jc w:val="center"/>
        <w:outlineLvl w:val="2"/>
        <w:rPr>
          <w:rFonts w:hint="eastAsia"/>
          <w:b/>
          <w:bCs/>
          <w:color w:val="auto"/>
          <w:sz w:val="32"/>
          <w:szCs w:val="32"/>
          <w:highlight w:val="none"/>
        </w:rPr>
      </w:pPr>
      <w:bookmarkStart w:id="111" w:name="_Toc254970535"/>
      <w:bookmarkStart w:id="112" w:name="_Toc177489454"/>
      <w:bookmarkStart w:id="113" w:name="_Toc254970676"/>
      <w:r>
        <w:rPr>
          <w:rFonts w:hint="eastAsia"/>
          <w:b/>
          <w:bCs/>
          <w:color w:val="auto"/>
          <w:sz w:val="32"/>
          <w:szCs w:val="32"/>
          <w:highlight w:val="none"/>
        </w:rPr>
        <w:t>三、投标文件的编制</w:t>
      </w:r>
      <w:bookmarkEnd w:id="111"/>
      <w:bookmarkEnd w:id="112"/>
      <w:bookmarkEnd w:id="113"/>
    </w:p>
    <w:p>
      <w:pPr>
        <w:shd w:val="clear" w:color="auto" w:fill="auto"/>
        <w:spacing w:line="360" w:lineRule="auto"/>
        <w:ind w:firstLine="480" w:firstLineChars="200"/>
        <w:rPr>
          <w:rFonts w:hint="eastAsia" w:ascii="黑体" w:hAnsi="黑体" w:eastAsia="黑体"/>
          <w:color w:val="auto"/>
          <w:sz w:val="24"/>
          <w:highlight w:val="none"/>
        </w:rPr>
      </w:pPr>
      <w:bookmarkStart w:id="114" w:name="_Toc254970536"/>
      <w:bookmarkStart w:id="115" w:name="_Toc254970677"/>
      <w:r>
        <w:rPr>
          <w:rFonts w:hint="eastAsia" w:ascii="黑体" w:hAnsi="黑体" w:eastAsia="黑体"/>
          <w:color w:val="auto"/>
          <w:sz w:val="24"/>
          <w:highlight w:val="none"/>
        </w:rPr>
        <w:t>12.投标文件的编制原则</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12.1</w:t>
      </w:r>
      <w:r>
        <w:rPr>
          <w:rFonts w:ascii="宋体" w:hAnsi="宋体"/>
          <w:color w:val="auto"/>
          <w:szCs w:val="21"/>
          <w:highlight w:val="none"/>
        </w:rPr>
        <w:t>投标人必须按照招标文件的要求编制投标文件。投标文件必须对招标文件提出的要求和条件作出明确响应。</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12.2投标人应根据自身实际情况如实响应招标文件，对于重要技术条款或技术参数在投标文件中要求提供技术支持资料的，技术支持资料以招标文件中规定的形式为准，否则将视为无效技术支持资料。</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13.投标文件的组成</w:t>
      </w:r>
      <w:bookmarkEnd w:id="114"/>
      <w:bookmarkEnd w:id="115"/>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3.1</w:t>
      </w:r>
      <w:r>
        <w:rPr>
          <w:rFonts w:hint="eastAsia" w:ascii="宋体" w:hAnsi="宋体"/>
          <w:color w:val="auto"/>
          <w:szCs w:val="21"/>
          <w:highlight w:val="none"/>
        </w:rPr>
        <w:t>投标文件由报价文件、资格证明文件、商务文件、技术文件四部分组成。</w:t>
      </w:r>
    </w:p>
    <w:p>
      <w:pPr>
        <w:shd w:val="clear" w:color="auto" w:fill="auto"/>
        <w:spacing w:line="360" w:lineRule="auto"/>
        <w:ind w:firstLine="420" w:firstLineChars="200"/>
        <w:rPr>
          <w:rFonts w:hint="eastAsia" w:ascii="宋体" w:hAnsi="宋体"/>
          <w:bCs/>
          <w:color w:val="auto"/>
          <w:szCs w:val="21"/>
          <w:highlight w:val="none"/>
        </w:rPr>
      </w:pPr>
      <w:bookmarkStart w:id="116" w:name="_13.2资格证明文件：具体材料见“投标人须知前附表”。"/>
      <w:bookmarkEnd w:id="116"/>
      <w:bookmarkStart w:id="117" w:name="_13.1报价文件:_具体材料见“投标人须知前附表”。"/>
      <w:bookmarkEnd w:id="117"/>
      <w:r>
        <w:rPr>
          <w:rFonts w:hint="eastAsia" w:ascii="宋体" w:hAnsi="宋体"/>
          <w:bCs/>
          <w:color w:val="auto"/>
          <w:szCs w:val="21"/>
          <w:highlight w:val="none"/>
        </w:rPr>
        <w:t>（1）资格证明文件：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pPr>
        <w:shd w:val="clear" w:color="auto" w:fill="auto"/>
        <w:spacing w:line="360" w:lineRule="auto"/>
        <w:ind w:firstLine="420" w:firstLineChars="200"/>
        <w:rPr>
          <w:rFonts w:hint="eastAsia" w:ascii="宋体" w:hAnsi="宋体"/>
          <w:bCs/>
          <w:color w:val="auto"/>
          <w:szCs w:val="21"/>
          <w:highlight w:val="none"/>
        </w:rPr>
      </w:pPr>
      <w:bookmarkStart w:id="118" w:name="_13.3商务文件:_具体材料见“投标人须知前附表”。"/>
      <w:bookmarkEnd w:id="118"/>
      <w:r>
        <w:rPr>
          <w:rFonts w:hint="eastAsia" w:ascii="宋体" w:hAnsi="宋体"/>
          <w:bCs/>
          <w:color w:val="auto"/>
          <w:szCs w:val="21"/>
          <w:highlight w:val="none"/>
        </w:rPr>
        <w:t>（2）商务文件：</w:t>
      </w:r>
      <w:r>
        <w:rPr>
          <w:rFonts w:ascii="宋体" w:hAnsi="宋体"/>
          <w:bCs/>
          <w:color w:val="auto"/>
          <w:szCs w:val="21"/>
          <w:highlight w:val="none"/>
        </w:rPr>
        <w:t>具体材料见“投标人须知前附表”</w:t>
      </w:r>
      <w:r>
        <w:rPr>
          <w:rFonts w:hint="eastAsia" w:ascii="宋体" w:hAnsi="宋体"/>
          <w:bCs/>
          <w:color w:val="auto"/>
          <w:szCs w:val="21"/>
          <w:highlight w:val="none"/>
        </w:rPr>
        <w:t>。</w:t>
      </w:r>
    </w:p>
    <w:p>
      <w:pPr>
        <w:shd w:val="clear" w:color="auto" w:fill="auto"/>
        <w:spacing w:line="360" w:lineRule="auto"/>
        <w:ind w:firstLine="420" w:firstLineChars="200"/>
        <w:rPr>
          <w:rFonts w:hint="eastAsia" w:ascii="宋体" w:hAnsi="宋体"/>
          <w:bCs/>
          <w:color w:val="auto"/>
          <w:szCs w:val="21"/>
          <w:highlight w:val="none"/>
        </w:rPr>
      </w:pPr>
      <w:bookmarkStart w:id="119" w:name="_13.4技术文件：具体材料见“投标人须知前附表”。"/>
      <w:bookmarkEnd w:id="119"/>
      <w:r>
        <w:rPr>
          <w:rFonts w:hint="eastAsia" w:ascii="宋体" w:hAnsi="宋体"/>
          <w:bCs/>
          <w:color w:val="auto"/>
          <w:szCs w:val="21"/>
          <w:highlight w:val="none"/>
        </w:rPr>
        <w:t>（3）技术文件：</w:t>
      </w:r>
      <w:r>
        <w:rPr>
          <w:rFonts w:ascii="宋体" w:hAnsi="宋体"/>
          <w:bCs/>
          <w:color w:val="auto"/>
          <w:szCs w:val="21"/>
          <w:highlight w:val="none"/>
        </w:rPr>
        <w:t>具体材料见“投标人须知前附表”</w:t>
      </w:r>
      <w:r>
        <w:rPr>
          <w:rFonts w:hint="eastAsia" w:ascii="宋体" w:hAnsi="宋体"/>
          <w:bCs/>
          <w:color w:val="auto"/>
          <w:szCs w:val="21"/>
          <w:highlight w:val="none"/>
        </w:rPr>
        <w:t xml:space="preserve">。 </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（4）报价文件：</w:t>
      </w:r>
      <w:r>
        <w:rPr>
          <w:rFonts w:ascii="宋体" w:hAnsi="宋体"/>
          <w:bCs/>
          <w:color w:val="auto"/>
          <w:szCs w:val="21"/>
          <w:highlight w:val="none"/>
        </w:rPr>
        <w:t xml:space="preserve"> 具体材料见“投标人须知前附表”</w:t>
      </w:r>
      <w:r>
        <w:rPr>
          <w:rFonts w:hint="eastAsia" w:ascii="宋体" w:hAnsi="宋体"/>
          <w:bCs/>
          <w:color w:val="auto"/>
          <w:szCs w:val="21"/>
          <w:highlight w:val="none"/>
        </w:rPr>
        <w:t>。</w:t>
      </w:r>
    </w:p>
    <w:p>
      <w:pPr>
        <w:shd w:val="clear" w:color="auto" w:fill="auto"/>
        <w:spacing w:line="360" w:lineRule="auto"/>
        <w:ind w:firstLine="420" w:firstLineChars="200"/>
        <w:rPr>
          <w:rFonts w:hint="eastAsia" w:ascii="宋体" w:hAnsi="宋体"/>
          <w:bCs/>
          <w:color w:val="auto"/>
          <w:szCs w:val="21"/>
          <w:highlight w:val="none"/>
        </w:rPr>
      </w:pPr>
      <w:bookmarkStart w:id="120" w:name="_13.5投标文件电子版：具体材料见“投标人须知前附表”。"/>
      <w:bookmarkEnd w:id="120"/>
      <w:r>
        <w:rPr>
          <w:rFonts w:hint="eastAsia" w:ascii="宋体" w:hAnsi="宋体"/>
          <w:bCs/>
          <w:color w:val="auto"/>
          <w:szCs w:val="21"/>
          <w:highlight w:val="none"/>
        </w:rPr>
        <w:t>13.</w:t>
      </w:r>
      <w:r>
        <w:rPr>
          <w:rFonts w:ascii="宋体" w:hAnsi="宋体"/>
          <w:bCs/>
          <w:color w:val="auto"/>
          <w:szCs w:val="21"/>
          <w:highlight w:val="none"/>
        </w:rPr>
        <w:t>2</w:t>
      </w:r>
      <w:r>
        <w:rPr>
          <w:rFonts w:hint="eastAsia" w:ascii="宋体" w:hAnsi="宋体"/>
          <w:bCs/>
          <w:color w:val="auto"/>
          <w:szCs w:val="21"/>
          <w:highlight w:val="none"/>
        </w:rPr>
        <w:t>投标文件电子版：</w:t>
      </w:r>
      <w:r>
        <w:rPr>
          <w:rFonts w:ascii="宋体" w:hAnsi="宋体"/>
          <w:bCs/>
          <w:color w:val="auto"/>
          <w:szCs w:val="21"/>
          <w:highlight w:val="none"/>
        </w:rPr>
        <w:t>具体</w:t>
      </w:r>
      <w:r>
        <w:rPr>
          <w:rFonts w:hint="eastAsia" w:ascii="宋体" w:hAnsi="宋体"/>
          <w:bCs/>
          <w:color w:val="auto"/>
          <w:szCs w:val="21"/>
          <w:highlight w:val="none"/>
        </w:rPr>
        <w:t>要求</w:t>
      </w:r>
      <w:r>
        <w:rPr>
          <w:rFonts w:ascii="宋体" w:hAnsi="宋体"/>
          <w:bCs/>
          <w:color w:val="auto"/>
          <w:szCs w:val="21"/>
          <w:highlight w:val="none"/>
        </w:rPr>
        <w:t>见</w:t>
      </w:r>
      <w:r>
        <w:rPr>
          <w:rFonts w:hint="eastAsia" w:ascii="宋体" w:hAnsi="宋体"/>
          <w:bCs/>
          <w:color w:val="auto"/>
          <w:szCs w:val="21"/>
          <w:highlight w:val="none"/>
        </w:rPr>
        <w:t>本节19.投标文件编制。</w:t>
      </w:r>
    </w:p>
    <w:p>
      <w:pPr>
        <w:shd w:val="clear" w:color="auto" w:fill="auto"/>
        <w:spacing w:line="360" w:lineRule="auto"/>
        <w:ind w:firstLine="480" w:firstLineChars="200"/>
        <w:rPr>
          <w:rFonts w:hint="eastAsia" w:ascii="黑体" w:hAnsi="黑体" w:eastAsia="黑体"/>
          <w:color w:val="auto"/>
          <w:sz w:val="24"/>
          <w:highlight w:val="none"/>
        </w:rPr>
      </w:pPr>
      <w:bookmarkStart w:id="121" w:name="_Toc254970678"/>
      <w:bookmarkStart w:id="122" w:name="_Toc254970537"/>
      <w:r>
        <w:rPr>
          <w:rFonts w:hint="eastAsia" w:ascii="黑体" w:hAnsi="黑体" w:eastAsia="黑体"/>
          <w:color w:val="auto"/>
          <w:sz w:val="24"/>
          <w:highlight w:val="none"/>
        </w:rPr>
        <w:t>14.投标文件的语言及计量</w:t>
      </w:r>
      <w:bookmarkEnd w:id="121"/>
      <w:bookmarkEnd w:id="122"/>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14.1语言文字</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pPr>
        <w:shd w:val="clear" w:color="auto" w:fill="auto"/>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14.2投标计量单位</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招标文件已有明确规定的，使用招标文件规定的计量单位；招标文件没有规定的，应采用中华人民共和国法定计量单位，货币种类为人民币，否则视同未响应。</w:t>
      </w:r>
    </w:p>
    <w:p>
      <w:pPr>
        <w:shd w:val="clear" w:color="auto" w:fill="auto"/>
        <w:spacing w:line="360" w:lineRule="auto"/>
        <w:ind w:firstLine="482" w:firstLineChars="200"/>
        <w:rPr>
          <w:rFonts w:hint="eastAsia" w:ascii="黑体" w:hAnsi="黑体" w:eastAsia="黑体"/>
          <w:b/>
          <w:bCs/>
          <w:color w:val="auto"/>
          <w:sz w:val="24"/>
          <w:highlight w:val="none"/>
        </w:rPr>
      </w:pPr>
      <w:r>
        <w:rPr>
          <w:rFonts w:hint="eastAsia" w:ascii="黑体" w:hAnsi="黑体" w:eastAsia="黑体"/>
          <w:b/>
          <w:bCs/>
          <w:color w:val="auto"/>
          <w:sz w:val="24"/>
          <w:highlight w:val="none"/>
        </w:rPr>
        <w:t>15.投标文件提交的风险</w:t>
      </w:r>
    </w:p>
    <w:p>
      <w:pPr>
        <w:shd w:val="clear" w:color="auto" w:fill="auto"/>
        <w:spacing w:line="360" w:lineRule="auto"/>
        <w:ind w:firstLine="420" w:firstLineChars="200"/>
        <w:rPr>
          <w:rFonts w:hint="eastAsia" w:hAnsi="宋体"/>
          <w:b/>
          <w:bCs/>
          <w:color w:val="auto"/>
          <w:highlight w:val="none"/>
        </w:rPr>
      </w:pPr>
      <w:r>
        <w:rPr>
          <w:rFonts w:ascii="Calibri" w:hAnsi="Calibri"/>
          <w:color w:val="auto"/>
          <w:highlight w:val="none"/>
        </w:rPr>
        <w:t>投标文</w:t>
      </w:r>
      <w:r>
        <w:rPr>
          <w:rFonts w:hint="eastAsia" w:ascii="宋体" w:hAnsi="宋体"/>
          <w:bCs/>
          <w:color w:val="auto"/>
          <w:szCs w:val="21"/>
          <w:highlight w:val="none"/>
        </w:rPr>
        <w:t>件分为资格文件、商务文件、技术文件、报价文件四部分（其中：商务文件与技术文件合并编辑成一个电子文档）。各投标人在编制投标文件时请按</w:t>
      </w:r>
      <w:r>
        <w:rPr>
          <w:rFonts w:ascii="Calibri" w:hAnsi="Calibri"/>
          <w:color w:val="auto"/>
          <w:highlight w:val="none"/>
        </w:rPr>
        <w:t>照招标文件规定</w:t>
      </w:r>
      <w:r>
        <w:rPr>
          <w:rFonts w:ascii="Calibri" w:hAnsi="Calibri"/>
          <w:color w:val="auto"/>
          <w:spacing w:val="-2"/>
          <w:highlight w:val="none"/>
        </w:rPr>
        <w:t>的</w:t>
      </w:r>
      <w:r>
        <w:rPr>
          <w:rFonts w:ascii="Calibri" w:hAnsi="Calibri"/>
          <w:color w:val="auto"/>
          <w:highlight w:val="none"/>
        </w:rPr>
        <w:t>编</w:t>
      </w:r>
      <w:r>
        <w:rPr>
          <w:rFonts w:ascii="宋体" w:hAnsi="宋体" w:cs="宋体"/>
          <w:color w:val="auto"/>
          <w:highlight w:val="none"/>
        </w:rPr>
        <w:t>排</w:t>
      </w:r>
      <w:r>
        <w:rPr>
          <w:rFonts w:ascii="Calibri" w:hAnsi="Calibri"/>
          <w:color w:val="auto"/>
          <w:highlight w:val="none"/>
        </w:rPr>
        <w:t>格式</w:t>
      </w:r>
      <w:r>
        <w:rPr>
          <w:rFonts w:ascii="宋体" w:hAnsi="宋体" w:cs="宋体"/>
          <w:color w:val="auto"/>
          <w:highlight w:val="none"/>
        </w:rPr>
        <w:t>进</w:t>
      </w:r>
      <w:r>
        <w:rPr>
          <w:rFonts w:ascii="Calibri" w:hAnsi="Calibri"/>
          <w:color w:val="auto"/>
          <w:highlight w:val="none"/>
        </w:rPr>
        <w:t>行，不按要求提交</w:t>
      </w:r>
      <w:r>
        <w:rPr>
          <w:rFonts w:ascii="宋体" w:hAnsi="宋体" w:cs="宋体"/>
          <w:color w:val="auto"/>
          <w:highlight w:val="none"/>
        </w:rPr>
        <w:t>齐全</w:t>
      </w:r>
      <w:r>
        <w:rPr>
          <w:rFonts w:ascii="Calibri" w:hAnsi="Calibri"/>
          <w:color w:val="auto"/>
          <w:highlight w:val="none"/>
        </w:rPr>
        <w:t>的文件</w:t>
      </w:r>
      <w:r>
        <w:rPr>
          <w:rFonts w:ascii="Calibri" w:hAnsi="Calibri"/>
          <w:color w:val="auto"/>
          <w:spacing w:val="-22"/>
          <w:highlight w:val="none"/>
        </w:rPr>
        <w:t>、</w:t>
      </w:r>
      <w:r>
        <w:rPr>
          <w:rFonts w:ascii="宋体" w:hAnsi="宋体" w:cs="宋体"/>
          <w:color w:val="auto"/>
          <w:highlight w:val="none"/>
        </w:rPr>
        <w:t>混乱</w:t>
      </w:r>
      <w:r>
        <w:rPr>
          <w:rFonts w:ascii="Calibri" w:hAnsi="Calibri"/>
          <w:color w:val="auto"/>
          <w:highlight w:val="none"/>
        </w:rPr>
        <w:t>的编</w:t>
      </w:r>
      <w:r>
        <w:rPr>
          <w:rFonts w:ascii="宋体" w:hAnsi="宋体" w:cs="宋体"/>
          <w:color w:val="auto"/>
          <w:highlight w:val="none"/>
        </w:rPr>
        <w:t>排导</w:t>
      </w:r>
      <w:r>
        <w:rPr>
          <w:rFonts w:ascii="Calibri" w:hAnsi="Calibri"/>
          <w:color w:val="auto"/>
          <w:highlight w:val="none"/>
        </w:rPr>
        <w:t>致投标文件</w:t>
      </w:r>
      <w:r>
        <w:rPr>
          <w:rFonts w:ascii="宋体" w:hAnsi="宋体" w:cs="宋体"/>
          <w:color w:val="auto"/>
          <w:highlight w:val="none"/>
        </w:rPr>
        <w:t>被误读</w:t>
      </w:r>
      <w:r>
        <w:rPr>
          <w:rFonts w:ascii="Calibri" w:hAnsi="Calibri"/>
          <w:color w:val="auto"/>
          <w:highlight w:val="none"/>
        </w:rPr>
        <w:t>或</w:t>
      </w:r>
      <w:r>
        <w:rPr>
          <w:rFonts w:ascii="宋体" w:hAnsi="宋体" w:cs="宋体"/>
          <w:color w:val="auto"/>
          <w:highlight w:val="none"/>
        </w:rPr>
        <w:t>评</w:t>
      </w:r>
      <w:r>
        <w:rPr>
          <w:rFonts w:ascii="Calibri" w:hAnsi="Calibri"/>
          <w:color w:val="auto"/>
          <w:highlight w:val="none"/>
        </w:rPr>
        <w:t>标</w:t>
      </w:r>
      <w:r>
        <w:rPr>
          <w:rFonts w:ascii="宋体" w:hAnsi="宋体" w:cs="宋体"/>
          <w:color w:val="auto"/>
          <w:highlight w:val="none"/>
        </w:rPr>
        <w:t>委</w:t>
      </w:r>
      <w:r>
        <w:rPr>
          <w:rFonts w:ascii="Calibri" w:hAnsi="Calibri"/>
          <w:color w:val="auto"/>
          <w:highlight w:val="none"/>
        </w:rPr>
        <w:t>员</w:t>
      </w:r>
      <w:r>
        <w:rPr>
          <w:rFonts w:ascii="宋体" w:hAnsi="宋体" w:cs="宋体"/>
          <w:color w:val="auto"/>
          <w:highlight w:val="none"/>
        </w:rPr>
        <w:t>会查找</w:t>
      </w:r>
      <w:r>
        <w:rPr>
          <w:rFonts w:ascii="Calibri" w:hAnsi="Calibri"/>
          <w:color w:val="auto"/>
          <w:highlight w:val="none"/>
        </w:rPr>
        <w:t>不</w:t>
      </w:r>
      <w:r>
        <w:rPr>
          <w:rFonts w:ascii="宋体" w:hAnsi="宋体" w:cs="宋体"/>
          <w:color w:val="auto"/>
          <w:highlight w:val="none"/>
        </w:rPr>
        <w:t>到</w:t>
      </w:r>
      <w:r>
        <w:rPr>
          <w:rFonts w:ascii="Calibri" w:hAnsi="Calibri"/>
          <w:color w:val="auto"/>
          <w:highlight w:val="none"/>
        </w:rPr>
        <w:t>有效文件是</w:t>
      </w:r>
      <w:r>
        <w:rPr>
          <w:rFonts w:ascii="宋体" w:hAnsi="宋体" w:cs="宋体"/>
          <w:color w:val="auto"/>
          <w:highlight w:val="none"/>
        </w:rPr>
        <w:t>造</w:t>
      </w:r>
      <w:r>
        <w:rPr>
          <w:rFonts w:ascii="Calibri" w:hAnsi="Calibri"/>
          <w:color w:val="auto"/>
          <w:highlight w:val="none"/>
        </w:rPr>
        <w:t>成投标人投标文件无效的</w:t>
      </w:r>
      <w:r>
        <w:rPr>
          <w:rFonts w:ascii="宋体" w:hAnsi="宋体" w:cs="宋体"/>
          <w:color w:val="auto"/>
          <w:highlight w:val="none"/>
        </w:rPr>
        <w:t>风险</w:t>
      </w:r>
      <w:r>
        <w:rPr>
          <w:rFonts w:ascii="Calibri" w:hAnsi="Calibri"/>
          <w:color w:val="auto"/>
          <w:spacing w:val="-6"/>
          <w:highlight w:val="none"/>
        </w:rPr>
        <w:t>。</w:t>
      </w:r>
      <w:r>
        <w:rPr>
          <w:rFonts w:ascii="Calibri" w:hAnsi="Calibri"/>
          <w:b/>
          <w:bCs/>
          <w:color w:val="auto"/>
          <w:highlight w:val="none"/>
        </w:rPr>
        <w:t>投标文件内容不</w:t>
      </w:r>
      <w:r>
        <w:rPr>
          <w:rFonts w:ascii="宋体" w:hAnsi="宋体" w:cs="宋体"/>
          <w:b/>
          <w:bCs/>
          <w:color w:val="auto"/>
          <w:highlight w:val="none"/>
        </w:rPr>
        <w:t>齐全</w:t>
      </w:r>
      <w:r>
        <w:rPr>
          <w:rFonts w:ascii="Calibri" w:hAnsi="Calibri"/>
          <w:b/>
          <w:bCs/>
          <w:color w:val="auto"/>
          <w:spacing w:val="-6"/>
          <w:highlight w:val="none"/>
        </w:rPr>
        <w:t>、</w:t>
      </w:r>
      <w:r>
        <w:rPr>
          <w:rFonts w:ascii="宋体" w:hAnsi="宋体" w:cs="宋体"/>
          <w:b/>
          <w:bCs/>
          <w:color w:val="auto"/>
          <w:highlight w:val="none"/>
        </w:rPr>
        <w:t>未</w:t>
      </w:r>
      <w:r>
        <w:rPr>
          <w:rFonts w:ascii="Calibri" w:hAnsi="Calibri"/>
          <w:b/>
          <w:bCs/>
          <w:color w:val="auto"/>
          <w:highlight w:val="none"/>
        </w:rPr>
        <w:t>按规定</w:t>
      </w:r>
      <w:r>
        <w:rPr>
          <w:rFonts w:ascii="Calibri" w:hAnsi="Calibri"/>
          <w:b/>
          <w:bCs/>
          <w:color w:val="auto"/>
          <w:spacing w:val="-2"/>
          <w:highlight w:val="none"/>
        </w:rPr>
        <w:t>的</w:t>
      </w:r>
      <w:r>
        <w:rPr>
          <w:rFonts w:ascii="Calibri" w:hAnsi="Calibri"/>
          <w:b/>
          <w:bCs/>
          <w:color w:val="auto"/>
          <w:highlight w:val="none"/>
        </w:rPr>
        <w:t>文件格式编制的</w:t>
      </w:r>
      <w:r>
        <w:rPr>
          <w:rFonts w:ascii="Calibri" w:hAnsi="Calibri"/>
          <w:b/>
          <w:bCs/>
          <w:color w:val="auto"/>
          <w:spacing w:val="-7"/>
          <w:highlight w:val="none"/>
        </w:rPr>
        <w:t>、</w:t>
      </w:r>
      <w:r>
        <w:rPr>
          <w:rFonts w:ascii="Calibri" w:hAnsi="Calibri"/>
          <w:b/>
          <w:bCs/>
          <w:color w:val="auto"/>
          <w:highlight w:val="none"/>
        </w:rPr>
        <w:t>没有对招标文件作出实质性</w:t>
      </w:r>
      <w:r>
        <w:rPr>
          <w:rFonts w:ascii="宋体" w:hAnsi="宋体" w:cs="宋体"/>
          <w:b/>
          <w:bCs/>
          <w:color w:val="auto"/>
          <w:highlight w:val="none"/>
        </w:rPr>
        <w:t>响</w:t>
      </w:r>
      <w:r>
        <w:rPr>
          <w:rFonts w:ascii="Calibri" w:hAnsi="Calibri"/>
          <w:b/>
          <w:bCs/>
          <w:color w:val="auto"/>
          <w:highlight w:val="none"/>
        </w:rPr>
        <w:t>应，投标无效</w:t>
      </w:r>
      <w:r>
        <w:rPr>
          <w:rFonts w:hint="eastAsia" w:hAnsi="宋体"/>
          <w:b/>
          <w:bCs/>
          <w:color w:val="auto"/>
          <w:highlight w:val="none"/>
        </w:rPr>
        <w:t>。</w:t>
      </w:r>
    </w:p>
    <w:p>
      <w:pPr>
        <w:shd w:val="clear" w:color="auto" w:fill="auto"/>
        <w:spacing w:line="360" w:lineRule="auto"/>
        <w:ind w:firstLine="480" w:firstLineChars="200"/>
        <w:rPr>
          <w:rFonts w:hint="eastAsia" w:ascii="黑体" w:hAnsi="黑体" w:eastAsia="黑体"/>
          <w:color w:val="auto"/>
          <w:sz w:val="24"/>
          <w:highlight w:val="none"/>
        </w:rPr>
      </w:pPr>
      <w:bookmarkStart w:id="123" w:name="_Toc254970679"/>
      <w:bookmarkStart w:id="124" w:name="_Toc254970538"/>
      <w:r>
        <w:rPr>
          <w:rFonts w:hint="eastAsia" w:ascii="黑体" w:hAnsi="黑体" w:eastAsia="黑体"/>
          <w:color w:val="auto"/>
          <w:sz w:val="24"/>
          <w:highlight w:val="none"/>
        </w:rPr>
        <w:t>16.投标报价</w:t>
      </w:r>
      <w:bookmarkEnd w:id="123"/>
      <w:bookmarkEnd w:id="124"/>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16.1投标报价应</w:t>
      </w:r>
      <w:r>
        <w:rPr>
          <w:rFonts w:hint="eastAsia" w:ascii="宋体" w:hAnsi="宋体"/>
          <w:bCs/>
          <w:color w:val="auto"/>
          <w:szCs w:val="20"/>
          <w:highlight w:val="none"/>
        </w:rPr>
        <w:t>按“第六章　投标文件格式”中“开标一览表”格式填写。</w:t>
      </w:r>
    </w:p>
    <w:p>
      <w:pPr>
        <w:shd w:val="clear" w:color="auto" w:fill="auto"/>
        <w:spacing w:line="360" w:lineRule="auto"/>
        <w:ind w:firstLine="420" w:firstLineChars="200"/>
        <w:rPr>
          <w:rFonts w:hint="eastAsia" w:ascii="宋体" w:hAnsi="宋体"/>
          <w:bCs/>
          <w:color w:val="auto"/>
          <w:szCs w:val="21"/>
          <w:highlight w:val="none"/>
        </w:rPr>
      </w:pPr>
      <w:bookmarkStart w:id="125" w:name="_16.2投标报价具体定义见投标人须知前附表。"/>
      <w:bookmarkEnd w:id="125"/>
      <w:r>
        <w:rPr>
          <w:rFonts w:hint="eastAsia" w:ascii="宋体" w:hAnsi="宋体"/>
          <w:bCs/>
          <w:color w:val="auto"/>
          <w:szCs w:val="21"/>
          <w:highlight w:val="none"/>
        </w:rPr>
        <w:t>16.2投标报价具体包括内容详见“投标人须知前附表”。</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16.3投标人必须就所投项目/每个分标的全部内容分别作完整唯一总价报价，不得存在漏项报价；投标人必须就所投项目/每个分标的单项内容作唯一报价。</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17.投标有效期</w:t>
      </w:r>
    </w:p>
    <w:p>
      <w:pPr>
        <w:shd w:val="clear" w:color="auto" w:fill="auto"/>
        <w:spacing w:line="360" w:lineRule="auto"/>
        <w:ind w:firstLine="420" w:firstLineChars="200"/>
        <w:rPr>
          <w:rFonts w:hint="eastAsia" w:ascii="宋体" w:hAnsi="宋体"/>
          <w:bCs/>
          <w:color w:val="auto"/>
          <w:szCs w:val="21"/>
          <w:highlight w:val="none"/>
        </w:rPr>
      </w:pPr>
      <w:bookmarkStart w:id="126" w:name="_17.1投标有效期应按“投标人须知中的前附表”规定的期限。"/>
      <w:bookmarkEnd w:id="126"/>
      <w:r>
        <w:rPr>
          <w:rFonts w:hint="eastAsia" w:ascii="宋体" w:hAnsi="宋体"/>
          <w:bCs/>
          <w:color w:val="auto"/>
          <w:szCs w:val="21"/>
          <w:highlight w:val="none"/>
        </w:rPr>
        <w:t>17.1投标有效期是指为保证采购人有足够的时间在开标后完成评标、定标、合同签订等工作而要求投标人提交的投标文件在一定时间内保持有效的期限。</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17.2</w:t>
      </w:r>
      <w:bookmarkStart w:id="127" w:name="_Toc254970540"/>
      <w:bookmarkStart w:id="128" w:name="_Toc254970681"/>
      <w:r>
        <w:rPr>
          <w:rFonts w:hint="eastAsia" w:ascii="宋体" w:hAnsi="宋体"/>
          <w:bCs/>
          <w:color w:val="auto"/>
          <w:szCs w:val="21"/>
          <w:highlight w:val="none"/>
        </w:rPr>
        <w:t xml:space="preserve"> 投标有效期应按规定的期限作出承诺，具体详见“投标人须知前附表”。</w:t>
      </w:r>
    </w:p>
    <w:p>
      <w:pPr>
        <w:shd w:val="clear" w:color="auto" w:fill="auto"/>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17.3投标人的投标文件在投标有效期内均保持有效。</w:t>
      </w:r>
      <w:bookmarkEnd w:id="127"/>
      <w:bookmarkEnd w:id="128"/>
    </w:p>
    <w:p>
      <w:pPr>
        <w:shd w:val="clear" w:color="auto" w:fill="auto"/>
        <w:spacing w:line="360" w:lineRule="auto"/>
        <w:ind w:firstLine="480" w:firstLineChars="200"/>
        <w:rPr>
          <w:rFonts w:hint="eastAsia" w:ascii="黑体" w:hAnsi="黑体" w:eastAsia="黑体"/>
          <w:color w:val="auto"/>
          <w:sz w:val="24"/>
          <w:highlight w:val="none"/>
        </w:rPr>
      </w:pPr>
      <w:bookmarkStart w:id="129" w:name="_18.投标保证金"/>
      <w:bookmarkEnd w:id="129"/>
      <w:bookmarkStart w:id="130" w:name="_Toc254970541"/>
      <w:bookmarkStart w:id="131" w:name="_Toc254970682"/>
      <w:r>
        <w:rPr>
          <w:rFonts w:hint="eastAsia" w:ascii="黑体" w:hAnsi="黑体" w:eastAsia="黑体"/>
          <w:color w:val="auto"/>
          <w:sz w:val="24"/>
          <w:highlight w:val="none"/>
        </w:rPr>
        <w:t>18.投标保证金</w:t>
      </w:r>
      <w:bookmarkEnd w:id="130"/>
      <w:bookmarkEnd w:id="131"/>
    </w:p>
    <w:p>
      <w:pPr>
        <w:shd w:val="clear" w:color="auto" w:fill="auto"/>
        <w:spacing w:line="360" w:lineRule="auto"/>
        <w:ind w:firstLine="420" w:firstLineChars="200"/>
        <w:rPr>
          <w:rFonts w:hint="eastAsia" w:ascii="宋体" w:hAnsi="宋体"/>
          <w:bCs/>
          <w:color w:val="auto"/>
          <w:szCs w:val="21"/>
          <w:highlight w:val="none"/>
        </w:rPr>
      </w:pPr>
      <w:bookmarkStart w:id="132" w:name="_Toc254970542"/>
      <w:bookmarkStart w:id="133" w:name="_Toc254970683"/>
      <w:r>
        <w:rPr>
          <w:rFonts w:hint="eastAsia" w:ascii="宋体" w:hAnsi="宋体"/>
          <w:bCs/>
          <w:color w:val="auto"/>
          <w:szCs w:val="21"/>
          <w:highlight w:val="none"/>
        </w:rPr>
        <w:t>见“投标人须知前附表”。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19.投标文件的</w:t>
      </w:r>
      <w:bookmarkEnd w:id="132"/>
      <w:bookmarkEnd w:id="133"/>
      <w:r>
        <w:rPr>
          <w:rFonts w:hint="eastAsia" w:ascii="黑体" w:hAnsi="黑体" w:eastAsia="黑体"/>
          <w:color w:val="auto"/>
          <w:sz w:val="24"/>
          <w:highlight w:val="none"/>
        </w:rPr>
        <w:t>编制</w:t>
      </w:r>
    </w:p>
    <w:p>
      <w:pPr>
        <w:shd w:val="clear" w:color="auto" w:fill="auto"/>
        <w:spacing w:line="360" w:lineRule="auto"/>
        <w:ind w:firstLine="422" w:firstLineChars="200"/>
        <w:rPr>
          <w:rFonts w:hint="eastAsia" w:hAnsi="宋体"/>
          <w:color w:val="auto"/>
          <w:szCs w:val="21"/>
          <w:highlight w:val="none"/>
        </w:rPr>
      </w:pPr>
      <w:r>
        <w:rPr>
          <w:rFonts w:hint="eastAsia" w:ascii="宋体" w:hAnsi="宋体"/>
          <w:b/>
          <w:color w:val="auto"/>
          <w:szCs w:val="21"/>
          <w:highlight w:val="none"/>
        </w:rPr>
        <w:t xml:space="preserve"> </w:t>
      </w:r>
      <w:r>
        <w:rPr>
          <w:rFonts w:hint="eastAsia" w:hAnsi="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34" w:name="_19.2投标文件应按报价文件、资格证明文件、商务文件、技术文件分别编制"/>
      <w:bookmarkEnd w:id="134"/>
      <w:r>
        <w:rPr>
          <w:rFonts w:hint="eastAsia" w:hAnsi="宋体"/>
          <w:color w:val="auto"/>
          <w:szCs w:val="21"/>
          <w:highlight w:val="none"/>
        </w:rPr>
        <w:t xml:space="preserve"> </w:t>
      </w:r>
    </w:p>
    <w:p>
      <w:pPr>
        <w:shd w:val="clear" w:color="auto" w:fill="auto"/>
        <w:adjustRightInd w:val="0"/>
        <w:snapToGrid w:val="0"/>
        <w:spacing w:line="360" w:lineRule="auto"/>
        <w:ind w:firstLine="420" w:firstLineChars="200"/>
        <w:rPr>
          <w:rFonts w:hint="eastAsia" w:hAnsi="宋体"/>
          <w:color w:val="auto"/>
          <w:szCs w:val="21"/>
          <w:highlight w:val="none"/>
        </w:rPr>
      </w:pPr>
      <w:r>
        <w:rPr>
          <w:rFonts w:hAnsi="宋体"/>
          <w:color w:val="auto"/>
          <w:szCs w:val="21"/>
          <w:highlight w:val="none"/>
        </w:rPr>
        <w:t>19</w:t>
      </w:r>
      <w:r>
        <w:rPr>
          <w:rFonts w:hint="eastAsia" w:hAnsi="宋体"/>
          <w:color w:val="auto"/>
          <w:szCs w:val="21"/>
          <w:highlight w:val="none"/>
        </w:rPr>
        <w:t>.2投标文件按照招标文件第六章格式要求进行签署、盖章。投标人的投标文件未按照招标文件要求签署、盖章的，</w:t>
      </w:r>
      <w:r>
        <w:rPr>
          <w:rFonts w:hint="eastAsia" w:hAnsi="宋体"/>
          <w:b/>
          <w:color w:val="auto"/>
          <w:szCs w:val="21"/>
          <w:highlight w:val="none"/>
        </w:rPr>
        <w:t>其投标无效。</w:t>
      </w:r>
      <w:r>
        <w:rPr>
          <w:rFonts w:hint="eastAsia" w:hAnsi="宋体"/>
          <w:color w:val="auto"/>
          <w:szCs w:val="21"/>
          <w:highlight w:val="none"/>
        </w:rPr>
        <w:t>骑缝盖公章不视为在规定位置盖章。</w:t>
      </w:r>
    </w:p>
    <w:p>
      <w:pPr>
        <w:shd w:val="clear" w:color="auto" w:fill="auto"/>
        <w:adjustRightInd w:val="0"/>
        <w:snapToGrid w:val="0"/>
        <w:spacing w:line="360" w:lineRule="auto"/>
        <w:ind w:firstLine="420" w:firstLineChars="200"/>
        <w:rPr>
          <w:rFonts w:hint="eastAsia" w:hAnsi="宋体"/>
          <w:color w:val="auto"/>
          <w:szCs w:val="21"/>
          <w:highlight w:val="none"/>
        </w:rPr>
      </w:pPr>
      <w:r>
        <w:rPr>
          <w:rFonts w:hAnsi="宋体"/>
          <w:color w:val="auto"/>
          <w:szCs w:val="21"/>
          <w:highlight w:val="none"/>
        </w:rPr>
        <w:t>19.</w:t>
      </w:r>
      <w:r>
        <w:rPr>
          <w:rFonts w:hint="eastAsia" w:hAnsi="宋体"/>
          <w:color w:val="auto"/>
          <w:szCs w:val="21"/>
          <w:highlight w:val="none"/>
        </w:rPr>
        <w:t>3为确保网上操作合法、有效和安全，投标人应当在投标截止时间前完成在广西政府采购云平台的身份认证，确保在电子投标过程中能够对相关数据电文进行加密和使用电子签名。</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19.4投标文件中标注的投标人名称应与主体资格证明（如营业执照、事业单位法人证书、执业许可证、自然人身份证等）及公章(电子签章)一致，</w:t>
      </w:r>
      <w:r>
        <w:rPr>
          <w:rFonts w:hint="eastAsia" w:ascii="宋体" w:hAnsi="宋体"/>
          <w:color w:val="auto"/>
          <w:szCs w:val="21"/>
          <w:highlight w:val="none"/>
        </w:rPr>
        <w:t>否则作无效投标处理</w:t>
      </w:r>
      <w:r>
        <w:rPr>
          <w:rFonts w:hint="eastAsia" w:ascii="宋体" w:hAnsi="宋体"/>
          <w:b/>
          <w:color w:val="auto"/>
          <w:szCs w:val="21"/>
          <w:highlight w:val="none"/>
        </w:rPr>
        <w:t>。</w:t>
      </w:r>
    </w:p>
    <w:p>
      <w:pPr>
        <w:shd w:val="clear" w:color="auto" w:fill="auto"/>
        <w:spacing w:line="360" w:lineRule="auto"/>
        <w:ind w:firstLine="420" w:firstLineChars="200"/>
        <w:rPr>
          <w:rFonts w:hint="eastAsia" w:ascii="宋体" w:hAnsi="宋体" w:cs="宋体"/>
          <w:b/>
          <w:color w:val="auto"/>
          <w:szCs w:val="21"/>
          <w:highlight w:val="none"/>
        </w:rPr>
      </w:pPr>
      <w:r>
        <w:rPr>
          <w:rFonts w:hint="eastAsia" w:hAnsi="宋体"/>
          <w:color w:val="auto"/>
          <w:szCs w:val="21"/>
          <w:highlight w:val="none"/>
        </w:rPr>
        <w:t xml:space="preserve"> 19.5投标文件应避免涂改、行间插字或者删除</w:t>
      </w:r>
      <w:r>
        <w:rPr>
          <w:rFonts w:hint="eastAsia" w:ascii="宋体" w:hAnsi="宋体" w:cs="宋体"/>
          <w:color w:val="auto"/>
          <w:szCs w:val="21"/>
          <w:highlight w:val="none"/>
        </w:rPr>
        <w:t>。</w:t>
      </w:r>
    </w:p>
    <w:p>
      <w:pPr>
        <w:shd w:val="clear" w:color="auto" w:fill="auto"/>
        <w:spacing w:line="360" w:lineRule="auto"/>
        <w:ind w:firstLine="520" w:firstLineChars="248"/>
        <w:rPr>
          <w:rFonts w:hint="eastAsia" w:hAnsi="宋体"/>
          <w:color w:val="auto"/>
          <w:highlight w:val="none"/>
        </w:rPr>
      </w:pPr>
      <w:r>
        <w:rPr>
          <w:rFonts w:hint="eastAsia" w:hAnsi="宋体"/>
          <w:color w:val="auto"/>
          <w:highlight w:val="none"/>
        </w:rPr>
        <w:t>19.6 对招标文件的实质性要求和条件作出响应是指投标人必须对招标文件中标注为实质性要求和条件的服务参数、商务条款及其它内容</w:t>
      </w:r>
      <w:r>
        <w:rPr>
          <w:rFonts w:hint="eastAsia"/>
          <w:b/>
          <w:color w:val="auto"/>
          <w:highlight w:val="none"/>
        </w:rPr>
        <w:t>作出满足或者优于原要求和条件的承诺</w:t>
      </w:r>
      <w:r>
        <w:rPr>
          <w:rFonts w:hint="eastAsia"/>
          <w:color w:val="auto"/>
          <w:highlight w:val="none"/>
        </w:rPr>
        <w:t>。</w:t>
      </w:r>
    </w:p>
    <w:p>
      <w:pPr>
        <w:shd w:val="clear" w:color="auto" w:fill="auto"/>
        <w:spacing w:line="360" w:lineRule="auto"/>
        <w:ind w:firstLine="422" w:firstLineChars="200"/>
        <w:rPr>
          <w:rFonts w:hint="eastAsia" w:ascii="宋体" w:hAnsi="宋体"/>
          <w:b/>
          <w:color w:val="auto"/>
          <w:szCs w:val="21"/>
          <w:highlight w:val="none"/>
          <w:u w:val="single"/>
        </w:rPr>
      </w:pPr>
      <w:r>
        <w:rPr>
          <w:rFonts w:hint="eastAsia" w:ascii="宋体" w:hAnsi="宋体"/>
          <w:b/>
          <w:color w:val="auto"/>
          <w:szCs w:val="21"/>
          <w:highlight w:val="none"/>
          <w:u w:val="single"/>
        </w:rPr>
        <w:t>19.7本项目为南宁市全流程电子化项目，异常情况见“第二节 投标人须知正文”中“四、24.2</w:t>
      </w:r>
      <w:r>
        <w:rPr>
          <w:rFonts w:ascii="宋体" w:hAnsi="宋体"/>
          <w:b/>
          <w:color w:val="auto"/>
          <w:szCs w:val="21"/>
          <w:highlight w:val="none"/>
          <w:u w:val="single"/>
        </w:rPr>
        <w:t>开</w:t>
      </w:r>
      <w:r>
        <w:rPr>
          <w:rFonts w:hint="eastAsia" w:ascii="宋体" w:hAnsi="宋体"/>
          <w:b/>
          <w:color w:val="auto"/>
          <w:szCs w:val="21"/>
          <w:highlight w:val="none"/>
          <w:u w:val="single"/>
        </w:rPr>
        <w:t>标</w:t>
      </w:r>
      <w:r>
        <w:rPr>
          <w:rFonts w:ascii="宋体" w:hAnsi="宋体"/>
          <w:b/>
          <w:color w:val="auto"/>
          <w:szCs w:val="21"/>
          <w:highlight w:val="none"/>
          <w:u w:val="single"/>
        </w:rPr>
        <w:t>程序</w:t>
      </w:r>
      <w:r>
        <w:rPr>
          <w:rFonts w:hint="eastAsia" w:ascii="宋体" w:hAnsi="宋体"/>
          <w:b/>
          <w:color w:val="auto"/>
          <w:szCs w:val="21"/>
          <w:highlight w:val="none"/>
          <w:u w:val="single"/>
        </w:rPr>
        <w:t>”。</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20.备份投标文件</w:t>
      </w:r>
    </w:p>
    <w:p>
      <w:pPr>
        <w:shd w:val="clear" w:color="auto" w:fill="auto"/>
        <w:spacing w:line="360" w:lineRule="auto"/>
        <w:ind w:firstLine="420" w:firstLineChars="200"/>
        <w:rPr>
          <w:rFonts w:hint="eastAsia" w:ascii="黑体" w:hAnsi="黑体" w:eastAsia="黑体"/>
          <w:color w:val="auto"/>
          <w:sz w:val="24"/>
          <w:highlight w:val="none"/>
        </w:rPr>
      </w:pPr>
      <w:r>
        <w:rPr>
          <w:rFonts w:hint="eastAsia" w:hAnsi="宋体"/>
          <w:bCs/>
          <w:color w:val="auto"/>
          <w:szCs w:val="21"/>
          <w:highlight w:val="none"/>
        </w:rPr>
        <w:t>详见“投标人须知前附表”。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21.投标文件的提交</w:t>
      </w:r>
    </w:p>
    <w:p>
      <w:pPr>
        <w:shd w:val="clear" w:color="auto" w:fill="auto"/>
        <w:spacing w:line="360" w:lineRule="auto"/>
        <w:ind w:firstLine="420" w:firstLineChars="200"/>
        <w:rPr>
          <w:rFonts w:hint="eastAsia" w:hAnsi="宋体"/>
          <w:b/>
          <w:color w:val="auto"/>
          <w:highlight w:val="none"/>
        </w:rPr>
      </w:pPr>
      <w:bookmarkStart w:id="135" w:name="_21.1投标人必须在“投标人须知中的前附表”规定的投标文件接收时间和投"/>
      <w:bookmarkEnd w:id="135"/>
      <w:r>
        <w:rPr>
          <w:rFonts w:hint="eastAsia" w:hAnsi="宋体"/>
          <w:bCs/>
          <w:color w:val="auto"/>
          <w:szCs w:val="21"/>
          <w:highlight w:val="none"/>
        </w:rPr>
        <w:t>21.1投标人必须在“投标人须知前附表”规定的投标文件接收时间和投标地点提交电子版投标文件。电子投标文件应在制作完成后，</w:t>
      </w:r>
      <w:r>
        <w:rPr>
          <w:rFonts w:hAnsi="宋体"/>
          <w:bCs/>
          <w:color w:val="auto"/>
          <w:szCs w:val="21"/>
          <w:highlight w:val="none"/>
        </w:rPr>
        <w:t>在投标截止时间前</w:t>
      </w:r>
      <w:r>
        <w:rPr>
          <w:rFonts w:hint="eastAsia" w:hAnsi="宋体"/>
          <w:bCs/>
          <w:color w:val="auto"/>
          <w:szCs w:val="21"/>
          <w:highlight w:val="none"/>
        </w:rPr>
        <w:t xml:space="preserve">通过有效数字证书（CA认证锁）进行电子签章、加密，然后通过网络将加密的电子投标文件递交至广西政府采购云平台。 </w:t>
      </w:r>
      <w:r>
        <w:rPr>
          <w:rFonts w:hint="eastAsia" w:hAnsi="宋体"/>
          <w:b/>
          <w:color w:val="auto"/>
          <w:highlight w:val="none"/>
        </w:rPr>
        <w:t xml:space="preserve"> </w:t>
      </w:r>
    </w:p>
    <w:p>
      <w:pPr>
        <w:shd w:val="clear" w:color="auto" w:fill="auto"/>
        <w:spacing w:line="360" w:lineRule="auto"/>
        <w:ind w:firstLine="422" w:firstLineChars="200"/>
        <w:rPr>
          <w:rFonts w:hint="eastAsia" w:ascii="宋体" w:hAnsi="宋体"/>
          <w:b/>
          <w:color w:val="auto"/>
          <w:szCs w:val="20"/>
          <w:highlight w:val="none"/>
        </w:rPr>
      </w:pPr>
      <w:r>
        <w:rPr>
          <w:rFonts w:hint="eastAsia" w:ascii="宋体" w:hAnsi="宋体"/>
          <w:b/>
          <w:color w:val="auto"/>
          <w:szCs w:val="21"/>
          <w:highlight w:val="none"/>
        </w:rPr>
        <w:t>21.</w:t>
      </w:r>
      <w:r>
        <w:rPr>
          <w:rFonts w:ascii="宋体" w:hAnsi="宋体"/>
          <w:b/>
          <w:color w:val="auto"/>
          <w:szCs w:val="21"/>
          <w:highlight w:val="none"/>
        </w:rPr>
        <w:t>2</w:t>
      </w:r>
      <w:r>
        <w:rPr>
          <w:rFonts w:hint="eastAsia" w:ascii="宋体" w:hAnsi="宋体"/>
          <w:b/>
          <w:color w:val="auto"/>
          <w:szCs w:val="21"/>
          <w:highlight w:val="none"/>
        </w:rPr>
        <w:t>未在规定时间内提交或者未按照招标文件要求密封或者标记的电子投标文件，广西政府采购云平台将拒收。</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w:t>
      </w:r>
      <w:r>
        <w:rPr>
          <w:rFonts w:ascii="宋体" w:hAnsi="宋体"/>
          <w:color w:val="auto"/>
          <w:szCs w:val="21"/>
          <w:highlight w:val="none"/>
        </w:rPr>
        <w:t>3</w:t>
      </w:r>
      <w:r>
        <w:rPr>
          <w:rFonts w:hint="eastAsia" w:ascii="宋体" w:hAnsi="宋体"/>
          <w:color w:val="auto"/>
          <w:szCs w:val="21"/>
          <w:highlight w:val="none"/>
        </w:rPr>
        <w:t>电子版投标文件提交方式见招标公告</w:t>
      </w:r>
      <w:r>
        <w:rPr>
          <w:rFonts w:hint="eastAsia" w:ascii="宋体" w:hAnsi="宋体"/>
          <w:bCs/>
          <w:color w:val="auto"/>
          <w:szCs w:val="21"/>
          <w:highlight w:val="none"/>
        </w:rPr>
        <w:t>。</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22. 投标文件的补充、修改、撤回与退回</w:t>
      </w:r>
      <w:bookmarkStart w:id="136" w:name="_Toc254970543"/>
      <w:bookmarkStart w:id="137" w:name="_Toc254970684"/>
    </w:p>
    <w:p>
      <w:pPr>
        <w:shd w:val="clear" w:color="auto" w:fill="auto"/>
        <w:spacing w:line="360" w:lineRule="auto"/>
        <w:ind w:firstLine="420" w:firstLineChars="200"/>
        <w:rPr>
          <w:rFonts w:hint="eastAsia" w:ascii="黑体" w:hAnsi="黑体" w:eastAsia="黑体"/>
          <w:color w:val="auto"/>
          <w:sz w:val="24"/>
          <w:highlight w:val="none"/>
        </w:rPr>
      </w:pPr>
      <w:r>
        <w:rPr>
          <w:rFonts w:ascii="宋体" w:hAnsi="宋体" w:cs="宋体"/>
          <w:color w:val="auto"/>
          <w:szCs w:val="21"/>
          <w:highlight w:val="none"/>
        </w:rPr>
        <w:t>22</w:t>
      </w:r>
      <w:r>
        <w:rPr>
          <w:rFonts w:hint="eastAsia" w:ascii="宋体" w:hAnsi="宋体" w:cs="宋体"/>
          <w:color w:val="auto"/>
          <w:szCs w:val="21"/>
          <w:highlight w:val="none"/>
        </w:rPr>
        <w:t>.1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广西政府采购云平台将拒收。（补充、修改或者撤回方式见</w:t>
      </w:r>
      <w:r>
        <w:rPr>
          <w:rFonts w:hint="eastAsia"/>
          <w:color w:val="auto"/>
          <w:highlight w:val="none"/>
        </w:rPr>
        <w:t>招标</w:t>
      </w:r>
      <w:r>
        <w:rPr>
          <w:rFonts w:hint="eastAsia" w:ascii="宋体" w:hAnsi="宋体" w:cs="宋体"/>
          <w:color w:val="auto"/>
          <w:szCs w:val="21"/>
          <w:highlight w:val="none"/>
        </w:rPr>
        <w:t>公告附件“电子投标文件制作与投送教程”）</w:t>
      </w:r>
    </w:p>
    <w:p>
      <w:pPr>
        <w:shd w:val="clear" w:color="auto" w:fill="auto"/>
        <w:adjustRightInd w:val="0"/>
        <w:spacing w:line="360" w:lineRule="auto"/>
        <w:ind w:firstLine="420" w:firstLineChars="200"/>
        <w:rPr>
          <w:rFonts w:hint="eastAsia" w:ascii="宋体" w:hAnsi="宋体" w:cs="宋体"/>
          <w:color w:val="auto"/>
          <w:szCs w:val="21"/>
          <w:highlight w:val="none"/>
        </w:rPr>
      </w:pPr>
      <w:r>
        <w:rPr>
          <w:rFonts w:ascii="宋体" w:hAnsi="宋体" w:cs="宋体"/>
          <w:color w:val="auto"/>
          <w:szCs w:val="21"/>
          <w:highlight w:val="none"/>
        </w:rPr>
        <w:t>22.</w:t>
      </w:r>
      <w:r>
        <w:rPr>
          <w:rFonts w:hint="eastAsia" w:ascii="宋体" w:hAnsi="宋体" w:cs="宋体"/>
          <w:color w:val="auto"/>
          <w:szCs w:val="21"/>
          <w:highlight w:val="none"/>
        </w:rPr>
        <w:t>2广西政府采购云平台收到投标文件，将妥善保存并即时向供应商发出确认回执通知。在投标截止时间前，除投标人补充、修改或者撤回投标文件外，任何单位和个人不得解密或提取投标文件。</w:t>
      </w:r>
    </w:p>
    <w:bookmarkEnd w:id="136"/>
    <w:bookmarkEnd w:id="137"/>
    <w:p>
      <w:pPr>
        <w:shd w:val="clear" w:color="auto" w:fill="auto"/>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w:t>
      </w:r>
      <w:r>
        <w:rPr>
          <w:rFonts w:ascii="宋体" w:hAnsi="宋体" w:cs="宋体"/>
          <w:color w:val="auto"/>
          <w:szCs w:val="21"/>
          <w:highlight w:val="none"/>
        </w:rPr>
        <w:t>3</w:t>
      </w:r>
      <w:r>
        <w:rPr>
          <w:rFonts w:hint="eastAsia" w:ascii="宋体" w:hAnsi="宋体" w:cs="宋体"/>
          <w:color w:val="auto"/>
          <w:szCs w:val="21"/>
          <w:highlight w:val="none"/>
        </w:rPr>
        <w:t>在投标截止时间止提交电子版投标文件的投标人不足3家时，电子版投标文件的退回由广西政府采购云平台自动操作。</w:t>
      </w:r>
    </w:p>
    <w:p>
      <w:pPr>
        <w:shd w:val="clear" w:color="auto" w:fill="auto"/>
        <w:snapToGrid w:val="0"/>
        <w:spacing w:line="400" w:lineRule="exact"/>
        <w:ind w:firstLine="739"/>
        <w:rPr>
          <w:rFonts w:hint="eastAsia" w:ascii="宋体" w:hAnsi="宋体"/>
          <w:snapToGrid w:val="0"/>
          <w:color w:val="auto"/>
          <w:spacing w:val="-4"/>
          <w:szCs w:val="21"/>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38" w:name="_Toc254970544"/>
      <w:bookmarkStart w:id="139" w:name="_Toc254970685"/>
      <w:bookmarkStart w:id="140" w:name="_Toc177489455"/>
      <w:r>
        <w:rPr>
          <w:rFonts w:hint="eastAsia"/>
          <w:b/>
          <w:bCs/>
          <w:color w:val="auto"/>
          <w:sz w:val="32"/>
          <w:szCs w:val="32"/>
          <w:highlight w:val="none"/>
        </w:rPr>
        <w:t>四、开    标</w:t>
      </w:r>
      <w:bookmarkEnd w:id="138"/>
      <w:bookmarkEnd w:id="139"/>
      <w:bookmarkEnd w:id="140"/>
    </w:p>
    <w:p>
      <w:pPr>
        <w:shd w:val="clear" w:color="auto" w:fill="auto"/>
        <w:spacing w:line="360" w:lineRule="auto"/>
        <w:ind w:firstLine="480" w:firstLineChars="200"/>
        <w:rPr>
          <w:rFonts w:hint="eastAsia" w:ascii="黑体" w:hAnsi="黑体" w:eastAsia="黑体"/>
          <w:color w:val="auto"/>
          <w:sz w:val="24"/>
          <w:highlight w:val="none"/>
        </w:rPr>
      </w:pPr>
      <w:bookmarkStart w:id="141" w:name="_23.开标时间和地点"/>
      <w:bookmarkEnd w:id="141"/>
      <w:r>
        <w:rPr>
          <w:rFonts w:hint="eastAsia" w:ascii="黑体" w:hAnsi="黑体" w:eastAsia="黑体"/>
          <w:color w:val="auto"/>
          <w:sz w:val="24"/>
          <w:highlight w:val="none"/>
        </w:rPr>
        <w:t>23.开标时间和地点</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23.1开标时间及地点详见“投标人须知前附表”</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23.2如</w:t>
      </w:r>
      <w:r>
        <w:rPr>
          <w:rFonts w:hint="eastAsia" w:hAnsi="宋体"/>
          <w:bCs/>
          <w:color w:val="auto"/>
          <w:highlight w:val="none"/>
        </w:rPr>
        <w:t>投标人成功解密投标文件，但未在广西政府采购云平台电子开标大厅参加开标的，视同认可开标过程和结果，</w:t>
      </w:r>
      <w:r>
        <w:rPr>
          <w:rFonts w:hint="eastAsia" w:hAnsi="宋体"/>
          <w:color w:val="auto"/>
          <w:highlight w:val="none"/>
        </w:rPr>
        <w:t xml:space="preserve">由此产生的后果由投标人自行负责。 </w:t>
      </w:r>
      <w:r>
        <w:rPr>
          <w:rFonts w:hint="eastAsia"/>
          <w:color w:val="auto"/>
          <w:highlight w:val="none"/>
        </w:rPr>
        <w:t>投标人不足3家的，不得开标。</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24.开标程序</w:t>
      </w:r>
    </w:p>
    <w:p>
      <w:pPr>
        <w:shd w:val="clear" w:color="auto" w:fill="auto"/>
        <w:autoSpaceDE w:val="0"/>
        <w:autoSpaceDN w:val="0"/>
        <w:adjustRightInd w:val="0"/>
        <w:spacing w:line="440" w:lineRule="exact"/>
        <w:ind w:firstLine="420" w:firstLineChars="200"/>
        <w:rPr>
          <w:rFonts w:ascii="宋体" w:hAnsi="宋体"/>
          <w:color w:val="auto"/>
          <w:kern w:val="0"/>
          <w:szCs w:val="21"/>
          <w:highlight w:val="none"/>
        </w:rPr>
      </w:pPr>
      <w:r>
        <w:rPr>
          <w:rFonts w:hint="eastAsia" w:ascii="宋体" w:hAnsi="宋体"/>
          <w:bCs/>
          <w:color w:val="auto"/>
          <w:szCs w:val="21"/>
          <w:highlight w:val="none"/>
        </w:rPr>
        <w:t>24.1</w:t>
      </w:r>
      <w:r>
        <w:rPr>
          <w:rFonts w:hint="eastAsia" w:ascii="宋体" w:hAnsi="宋体"/>
          <w:color w:val="auto"/>
          <w:kern w:val="0"/>
          <w:szCs w:val="21"/>
          <w:highlight w:val="none"/>
        </w:rPr>
        <w:t>开标形式：</w:t>
      </w:r>
    </w:p>
    <w:p>
      <w:pPr>
        <w:shd w:val="clear" w:color="auto" w:fill="auto"/>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开标的准备工作由采购代理机构负责落实，采购代理机构必须基于广西政府采购云平台依法抽取评审专家，如采购代理机构未按规定依法抽取专家的，视为本次开评标无效，应当重新采购；</w:t>
      </w:r>
    </w:p>
    <w:p>
      <w:pPr>
        <w:shd w:val="clear" w:color="auto" w:fill="auto"/>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（2）采购代理机构将按照招标文件规定的时间通过广西政府采购云平台组织线上开标活动、开启投标文件，所有供应商均应当准时在线参加。投标人</w:t>
      </w:r>
      <w:r>
        <w:rPr>
          <w:rFonts w:ascii="宋体" w:hAnsi="宋体"/>
          <w:bCs/>
          <w:color w:val="auto"/>
          <w:szCs w:val="21"/>
          <w:highlight w:val="none"/>
        </w:rPr>
        <w:t>如不</w:t>
      </w:r>
      <w:r>
        <w:rPr>
          <w:rFonts w:hint="eastAsia" w:ascii="宋体" w:hAnsi="宋体"/>
          <w:bCs/>
          <w:color w:val="auto"/>
          <w:szCs w:val="21"/>
          <w:highlight w:val="none"/>
        </w:rPr>
        <w:t>参加</w:t>
      </w:r>
      <w:r>
        <w:rPr>
          <w:rFonts w:ascii="宋体" w:hAnsi="宋体"/>
          <w:bCs/>
          <w:color w:val="auto"/>
          <w:szCs w:val="21"/>
          <w:highlight w:val="none"/>
        </w:rPr>
        <w:t>开标大会的，</w:t>
      </w:r>
      <w:r>
        <w:rPr>
          <w:rFonts w:hint="eastAsia" w:ascii="宋体" w:hAnsi="宋体"/>
          <w:bCs/>
          <w:color w:val="auto"/>
          <w:szCs w:val="21"/>
          <w:highlight w:val="none"/>
        </w:rPr>
        <w:t>视同认可开标结果，</w:t>
      </w:r>
      <w:r>
        <w:rPr>
          <w:rFonts w:ascii="宋体" w:hAnsi="宋体"/>
          <w:bCs/>
          <w:color w:val="auto"/>
          <w:szCs w:val="21"/>
          <w:highlight w:val="none"/>
        </w:rPr>
        <w:t>事后不得对采购相关人员、开标过程和开标结果提出异议</w:t>
      </w:r>
      <w:r>
        <w:rPr>
          <w:rFonts w:hint="eastAsia" w:ascii="宋体" w:hAnsi="宋体"/>
          <w:bCs/>
          <w:color w:val="auto"/>
          <w:szCs w:val="21"/>
          <w:highlight w:val="none"/>
        </w:rPr>
        <w:t>，同时投标人因未在线参加开标而导致投标文件无法按时解密等一切后果由投标人自己承担。</w:t>
      </w:r>
    </w:p>
    <w:p>
      <w:pPr>
        <w:shd w:val="clear" w:color="auto" w:fill="auto"/>
        <w:autoSpaceDE w:val="0"/>
        <w:autoSpaceDN w:val="0"/>
        <w:adjustRightIn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24.2</w:t>
      </w:r>
      <w:r>
        <w:rPr>
          <w:rFonts w:ascii="宋体" w:hAnsi="宋体"/>
          <w:bCs/>
          <w:color w:val="auto"/>
          <w:szCs w:val="21"/>
          <w:highlight w:val="none"/>
        </w:rPr>
        <w:t>开</w:t>
      </w:r>
      <w:r>
        <w:rPr>
          <w:rFonts w:hint="eastAsia" w:ascii="宋体" w:hAnsi="宋体"/>
          <w:bCs/>
          <w:color w:val="auto"/>
          <w:szCs w:val="21"/>
          <w:highlight w:val="none"/>
        </w:rPr>
        <w:t>标</w:t>
      </w:r>
      <w:r>
        <w:rPr>
          <w:rFonts w:ascii="宋体" w:hAnsi="宋体"/>
          <w:bCs/>
          <w:color w:val="auto"/>
          <w:szCs w:val="21"/>
          <w:highlight w:val="none"/>
        </w:rPr>
        <w:t>程序：</w:t>
      </w:r>
    </w:p>
    <w:p>
      <w:pPr>
        <w:shd w:val="clear" w:color="auto" w:fill="auto"/>
        <w:snapToGrid w:val="0"/>
        <w:spacing w:line="400" w:lineRule="exact"/>
        <w:ind w:firstLine="422" w:firstLineChars="200"/>
        <w:rPr>
          <w:rFonts w:hint="eastAsia" w:ascii="宋体" w:hAnsi="宋体"/>
          <w:color w:val="auto"/>
          <w:szCs w:val="21"/>
          <w:highlight w:val="none"/>
        </w:rPr>
      </w:pPr>
      <w:r>
        <w:rPr>
          <w:rFonts w:hint="eastAsia" w:ascii="宋体" w:hAnsi="宋体"/>
          <w:b/>
          <w:color w:val="auto"/>
          <w:szCs w:val="21"/>
          <w:highlight w:val="none"/>
        </w:rPr>
        <w:t>（1）解密电子投标文件。</w:t>
      </w:r>
      <w:r>
        <w:rPr>
          <w:rFonts w:hint="eastAsia" w:ascii="宋体" w:hAnsi="宋体" w:cs="仿宋_GB2312"/>
          <w:bCs/>
          <w:color w:val="auto"/>
          <w:szCs w:val="21"/>
          <w:highlight w:val="none"/>
        </w:rPr>
        <w:t>广西政府采购云平台</w:t>
      </w:r>
      <w:r>
        <w:rPr>
          <w:rFonts w:hint="eastAsia" w:ascii="宋体" w:hAnsi="宋体" w:cs="仿宋_GB2312"/>
          <w:color w:val="auto"/>
          <w:szCs w:val="21"/>
          <w:highlight w:val="none"/>
        </w:rPr>
        <w:t>按开标时间自动提取所有投标文件。采购代理机构依托广西政府采购云平台</w:t>
      </w:r>
      <w:r>
        <w:rPr>
          <w:rFonts w:hint="eastAsia" w:ascii="宋体" w:hAnsi="宋体"/>
          <w:color w:val="auto"/>
          <w:szCs w:val="21"/>
          <w:highlight w:val="none"/>
        </w:rPr>
        <w:t>向各投标人发出电子加密投标文件【开始解密】通知，由投标人按广西政府采购云平台规定的时间（一般为30分钟，以系统为准）内自行进行投标文件解密。投标人的法定代表人或其委托代理人</w:t>
      </w:r>
      <w:r>
        <w:rPr>
          <w:rFonts w:hint="eastAsia" w:ascii="宋体" w:hAnsi="宋体"/>
          <w:b/>
          <w:color w:val="auto"/>
          <w:szCs w:val="21"/>
          <w:highlight w:val="none"/>
        </w:rPr>
        <w:t>须携带加密时所用的CA锁准时登录到广西政府采购云平台电子开标大厅签到并对电子投标文件解密</w:t>
      </w:r>
      <w:r>
        <w:rPr>
          <w:rFonts w:hint="eastAsia" w:ascii="宋体" w:hAnsi="宋体"/>
          <w:color w:val="auto"/>
          <w:szCs w:val="21"/>
          <w:highlight w:val="none"/>
        </w:rPr>
        <w:t>。</w:t>
      </w:r>
      <w:r>
        <w:rPr>
          <w:rFonts w:hint="eastAsia" w:ascii="Calibri" w:hAnsi="宋体"/>
          <w:color w:val="auto"/>
          <w:szCs w:val="21"/>
          <w:highlight w:val="none"/>
        </w:rPr>
        <w:t>开标后5分钟投标人还未进行解密的，</w:t>
      </w:r>
      <w:r>
        <w:rPr>
          <w:rFonts w:hint="eastAsia" w:ascii="宋体" w:hAnsi="宋体"/>
          <w:color w:val="auto"/>
          <w:szCs w:val="21"/>
          <w:highlight w:val="none"/>
        </w:rPr>
        <w:t>代理机构可通知投标人。</w:t>
      </w:r>
      <w:r>
        <w:rPr>
          <w:rFonts w:hint="eastAsia" w:ascii="宋体" w:hAnsi="宋体" w:cs="仿宋_GB2312"/>
          <w:color w:val="auto"/>
          <w:szCs w:val="21"/>
          <w:highlight w:val="none"/>
        </w:rPr>
        <w:t>投标文件未按时解密，</w:t>
      </w:r>
      <w:r>
        <w:rPr>
          <w:rFonts w:hint="eastAsia" w:ascii="宋体" w:hAnsi="宋体"/>
          <w:color w:val="auto"/>
          <w:szCs w:val="21"/>
          <w:highlight w:val="none"/>
        </w:rPr>
        <w:t>或者投标人没预留联系方式或预留联系方式无效，导致代理机构无法联系到投标人进行解密的，</w:t>
      </w:r>
      <w:r>
        <w:rPr>
          <w:rFonts w:hint="eastAsia" w:ascii="宋体" w:hAnsi="宋体"/>
          <w:b/>
          <w:color w:val="auto"/>
          <w:szCs w:val="21"/>
          <w:highlight w:val="none"/>
        </w:rPr>
        <w:t>均视为无效投标。</w:t>
      </w:r>
    </w:p>
    <w:p>
      <w:pPr>
        <w:shd w:val="clear" w:color="auto" w:fill="auto"/>
        <w:snapToGrid w:val="0"/>
        <w:spacing w:line="400" w:lineRule="exact"/>
        <w:ind w:firstLine="420" w:firstLineChars="200"/>
        <w:rPr>
          <w:rFonts w:hint="eastAsia" w:ascii="宋体" w:hAnsi="宋体"/>
          <w:color w:val="auto"/>
          <w:szCs w:val="21"/>
          <w:highlight w:val="none"/>
        </w:rPr>
      </w:pPr>
      <w:r>
        <w:rPr>
          <w:rFonts w:hint="eastAsia" w:ascii="宋体" w:hAnsi="宋体"/>
          <w:color w:val="auto"/>
          <w:szCs w:val="21"/>
          <w:highlight w:val="none"/>
        </w:rPr>
        <w:t>（解密</w:t>
      </w:r>
      <w:r>
        <w:rPr>
          <w:rFonts w:hint="eastAsia" w:ascii="宋体" w:hAnsi="宋体"/>
          <w:bCs/>
          <w:color w:val="auto"/>
          <w:szCs w:val="21"/>
          <w:highlight w:val="none"/>
        </w:rPr>
        <w:t>异常情况处理：详见本章</w:t>
      </w:r>
      <w:r>
        <w:rPr>
          <w:rFonts w:hint="eastAsia" w:ascii="宋体" w:hAnsi="宋体"/>
          <w:color w:val="auto"/>
          <w:szCs w:val="20"/>
          <w:highlight w:val="none"/>
        </w:rPr>
        <w:t>29.3 电子交易活动的中止。</w:t>
      </w:r>
      <w:r>
        <w:rPr>
          <w:rFonts w:hint="eastAsia" w:ascii="宋体" w:hAnsi="宋体"/>
          <w:color w:val="auto"/>
          <w:szCs w:val="21"/>
          <w:highlight w:val="none"/>
        </w:rPr>
        <w:t>）</w:t>
      </w:r>
    </w:p>
    <w:p>
      <w:pPr>
        <w:shd w:val="clear" w:color="auto" w:fill="auto"/>
        <w:spacing w:line="400" w:lineRule="exact"/>
        <w:ind w:firstLine="422" w:firstLineChars="200"/>
        <w:rPr>
          <w:rFonts w:hint="eastAsia" w:ascii="宋体" w:hAnsi="宋体"/>
          <w:color w:val="auto"/>
          <w:szCs w:val="21"/>
          <w:highlight w:val="none"/>
        </w:rPr>
      </w:pPr>
      <w:r>
        <w:rPr>
          <w:rFonts w:hint="eastAsia" w:ascii="宋体" w:hAnsi="宋体"/>
          <w:b/>
          <w:bCs/>
          <w:color w:val="auto"/>
          <w:szCs w:val="21"/>
          <w:highlight w:val="none"/>
        </w:rPr>
        <w:t>（2）电子唱标。</w:t>
      </w:r>
      <w:r>
        <w:rPr>
          <w:rFonts w:hint="eastAsia" w:ascii="宋体" w:hAnsi="宋体"/>
          <w:color w:val="auto"/>
          <w:szCs w:val="21"/>
          <w:highlight w:val="none"/>
        </w:rPr>
        <w:t>投标文件解密结束，各投标供应商报价均在广西政府采购云平台远程不见面开标大厅展示；</w:t>
      </w:r>
    </w:p>
    <w:p>
      <w:pPr>
        <w:shd w:val="clear" w:color="auto" w:fill="auto"/>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（3）开标过程由采购代理机构如实记录，并电子留痕，由参加电子开标的各投标人代表对电子开标记录在开标记录公布后15分钟内进行当场校核及勘误，并线上确认，未确认的视同认可开标结果。</w:t>
      </w:r>
    </w:p>
    <w:p>
      <w:pPr>
        <w:shd w:val="clear" w:color="auto" w:fill="auto"/>
        <w:spacing w:line="400" w:lineRule="exact"/>
        <w:ind w:firstLine="420" w:firstLineChars="200"/>
        <w:rPr>
          <w:rFonts w:hint="eastAsia" w:ascii="宋体" w:hAnsi="宋体"/>
          <w:bCs/>
          <w:color w:val="auto"/>
          <w:szCs w:val="21"/>
          <w:highlight w:val="none"/>
        </w:rPr>
      </w:pPr>
      <w:r>
        <w:rPr>
          <w:rFonts w:hint="eastAsia" w:ascii="宋体" w:hAnsi="宋体"/>
          <w:bCs/>
          <w:color w:val="auto"/>
          <w:szCs w:val="21"/>
          <w:highlight w:val="none"/>
        </w:rPr>
        <w:t>（4）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pPr>
        <w:shd w:val="clear" w:color="auto" w:fill="auto"/>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（5）开标结束。</w:t>
      </w:r>
    </w:p>
    <w:p>
      <w:pPr>
        <w:shd w:val="clear" w:color="auto" w:fill="auto"/>
        <w:snapToGrid w:val="0"/>
        <w:spacing w:line="440" w:lineRule="exact"/>
        <w:ind w:firstLine="422" w:firstLineChars="200"/>
        <w:rPr>
          <w:rFonts w:ascii="宋体" w:hAnsi="宋体"/>
          <w:color w:val="auto"/>
          <w:szCs w:val="21"/>
          <w:highlight w:val="none"/>
        </w:rPr>
      </w:pPr>
      <w:r>
        <w:rPr>
          <w:rFonts w:hint="eastAsia" w:ascii="宋体" w:hAnsi="宋体"/>
          <w:b/>
          <w:bCs/>
          <w:color w:val="auto"/>
          <w:szCs w:val="21"/>
          <w:highlight w:val="none"/>
        </w:rPr>
        <w:t>特别说明：</w:t>
      </w:r>
      <w:r>
        <w:rPr>
          <w:rFonts w:hint="eastAsia" w:ascii="宋体" w:hAnsi="宋体"/>
          <w:color w:val="auto"/>
          <w:szCs w:val="21"/>
          <w:highlight w:val="none"/>
        </w:rPr>
        <w:t>如遇广西政府采购云平台电子化开标或评审程序调整的，按调整后执行。</w:t>
      </w:r>
    </w:p>
    <w:p>
      <w:pPr>
        <w:shd w:val="clear" w:color="auto" w:fill="auto"/>
        <w:snapToGrid w:val="0"/>
        <w:spacing w:line="400" w:lineRule="exact"/>
        <w:ind w:left="689" w:leftChars="228" w:hanging="210" w:hangingChars="100"/>
        <w:rPr>
          <w:rFonts w:hint="eastAsia" w:ascii="宋体" w:hAnsi="宋体"/>
          <w:color w:val="auto"/>
          <w:szCs w:val="20"/>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42" w:name="_Toc177489456"/>
      <w:r>
        <w:rPr>
          <w:rFonts w:hint="eastAsia"/>
          <w:b/>
          <w:bCs/>
          <w:color w:val="auto"/>
          <w:sz w:val="32"/>
          <w:szCs w:val="32"/>
          <w:highlight w:val="none"/>
        </w:rPr>
        <w:t>五、资格审查</w:t>
      </w:r>
      <w:bookmarkEnd w:id="142"/>
    </w:p>
    <w:p>
      <w:pPr>
        <w:shd w:val="clear" w:color="auto" w:fill="auto"/>
        <w:spacing w:line="360" w:lineRule="auto"/>
        <w:ind w:firstLine="482" w:firstLineChars="200"/>
        <w:outlineLvl w:val="4"/>
        <w:rPr>
          <w:rFonts w:hint="eastAsia" w:ascii="黑体" w:hAnsi="黑体" w:eastAsia="黑体"/>
          <w:b/>
          <w:bCs/>
          <w:color w:val="auto"/>
          <w:sz w:val="24"/>
          <w:szCs w:val="28"/>
          <w:highlight w:val="none"/>
        </w:rPr>
      </w:pPr>
      <w:r>
        <w:rPr>
          <w:rFonts w:hint="eastAsia" w:ascii="黑体" w:hAnsi="黑体" w:eastAsia="黑体"/>
          <w:b/>
          <w:bCs/>
          <w:color w:val="auto"/>
          <w:sz w:val="24"/>
          <w:szCs w:val="28"/>
          <w:highlight w:val="none"/>
        </w:rPr>
        <w:t>25.资格审查</w:t>
      </w:r>
    </w:p>
    <w:p>
      <w:pPr>
        <w:shd w:val="clear" w:color="auto" w:fill="auto"/>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25.1</w:t>
      </w:r>
      <w:r>
        <w:rPr>
          <w:rFonts w:ascii="宋体" w:hAnsi="宋体"/>
          <w:b/>
          <w:bCs/>
          <w:color w:val="auto"/>
          <w:szCs w:val="20"/>
          <w:highlight w:val="none"/>
        </w:rPr>
        <w:t>开标结束后，</w:t>
      </w:r>
      <w:r>
        <w:rPr>
          <w:rFonts w:hint="eastAsia" w:ascii="宋体" w:hAnsi="宋体"/>
          <w:b/>
          <w:bCs/>
          <w:color w:val="auto"/>
          <w:szCs w:val="20"/>
          <w:highlight w:val="none"/>
        </w:rPr>
        <w:t>采购人或采购代理机构</w:t>
      </w:r>
      <w:r>
        <w:rPr>
          <w:rFonts w:ascii="宋体" w:hAnsi="宋体"/>
          <w:b/>
          <w:bCs/>
          <w:color w:val="auto"/>
          <w:szCs w:val="20"/>
          <w:highlight w:val="none"/>
        </w:rPr>
        <w:t>依法</w:t>
      </w:r>
      <w:r>
        <w:rPr>
          <w:rFonts w:hint="eastAsia" w:ascii="宋体" w:hAnsi="宋体"/>
          <w:b/>
          <w:bCs/>
          <w:color w:val="auto"/>
          <w:szCs w:val="20"/>
          <w:highlight w:val="none"/>
        </w:rPr>
        <w:t>通过电子投标文件</w:t>
      </w:r>
      <w:r>
        <w:rPr>
          <w:rFonts w:ascii="宋体" w:hAnsi="宋体"/>
          <w:b/>
          <w:bCs/>
          <w:color w:val="auto"/>
          <w:szCs w:val="20"/>
          <w:highlight w:val="none"/>
        </w:rPr>
        <w:t>对投标人的资格进行</w:t>
      </w:r>
      <w:r>
        <w:rPr>
          <w:rFonts w:hint="eastAsia" w:ascii="宋体" w:hAnsi="宋体"/>
          <w:b/>
          <w:bCs/>
          <w:color w:val="auto"/>
          <w:szCs w:val="20"/>
          <w:highlight w:val="none"/>
        </w:rPr>
        <w:t>线上</w:t>
      </w:r>
      <w:r>
        <w:rPr>
          <w:rFonts w:ascii="宋体" w:hAnsi="宋体"/>
          <w:b/>
          <w:bCs/>
          <w:color w:val="auto"/>
          <w:szCs w:val="20"/>
          <w:highlight w:val="none"/>
        </w:rPr>
        <w:t>审查。</w:t>
      </w:r>
    </w:p>
    <w:p>
      <w:pPr>
        <w:shd w:val="clear" w:color="auto" w:fill="auto"/>
        <w:spacing w:line="360" w:lineRule="auto"/>
        <w:ind w:firstLine="422" w:firstLineChars="200"/>
        <w:rPr>
          <w:rFonts w:hint="eastAsia" w:ascii="宋体" w:hAnsi="宋体"/>
          <w:b/>
          <w:bCs/>
          <w:color w:val="auto"/>
          <w:szCs w:val="20"/>
          <w:highlight w:val="none"/>
        </w:rPr>
      </w:pPr>
      <w:r>
        <w:rPr>
          <w:rFonts w:hint="eastAsia" w:ascii="宋体" w:hAnsi="宋体"/>
          <w:b/>
          <w:bCs/>
          <w:color w:val="auto"/>
          <w:szCs w:val="20"/>
          <w:highlight w:val="none"/>
        </w:rPr>
        <w:t xml:space="preserve"> 25.2采购人或采购代理机构依据法律法规和招标文件的规定，对投标人的基本资格条件、特定资格条件进行审查。</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25.3资格审查标准为本“招标文件”中“投标人须知前附表”13.1点载明对投标人资格要求的条件。本项目资格审查采用合格制，凡符合招标文件规定的投标人资格要求的投标人均通过资格审查。</w:t>
      </w:r>
    </w:p>
    <w:p>
      <w:pPr>
        <w:shd w:val="clear" w:color="auto" w:fill="auto"/>
        <w:spacing w:line="360" w:lineRule="auto"/>
        <w:ind w:firstLine="422" w:firstLineChars="200"/>
        <w:rPr>
          <w:rFonts w:hint="eastAsia" w:ascii="宋体" w:hAnsi="宋体"/>
          <w:b/>
          <w:bCs/>
          <w:color w:val="auto"/>
          <w:szCs w:val="20"/>
          <w:highlight w:val="none"/>
        </w:rPr>
      </w:pPr>
      <w:bookmarkStart w:id="143" w:name="_25.3_投标人有下列情形之一的，资格审查不通过而导致其投标无效："/>
      <w:bookmarkEnd w:id="143"/>
      <w:r>
        <w:rPr>
          <w:rFonts w:hint="eastAsia" w:ascii="宋体" w:hAnsi="宋体"/>
          <w:b/>
          <w:bCs/>
          <w:color w:val="auto"/>
          <w:szCs w:val="20"/>
          <w:highlight w:val="none"/>
        </w:rPr>
        <w:t>25.4投标人有下列情形之一的，资格审查不通过，作无效投标处理：</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（1）不具备招标文件中规定的资格要求的；（注：其中信用查询规则见“投标人须知前附表”，广西政府采购云平台已与“信用中国”平台做接口，审查人员可直接在线查询）</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（2）投标文件未提供任一项“投标人须知前附表”资格证明文件规定的“必须提供”的文件资料的；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（3）投标文件提供的资格证明文件出现任一项不符合“投标人须知前附表”资格证明文件规定的“必须提供”的文件资料要求或者无效的。</w:t>
      </w:r>
    </w:p>
    <w:p>
      <w:pPr>
        <w:shd w:val="clear" w:color="auto" w:fill="auto"/>
        <w:spacing w:line="360" w:lineRule="auto"/>
        <w:ind w:firstLine="420" w:firstLineChars="200"/>
        <w:outlineLvl w:val="4"/>
        <w:rPr>
          <w:rFonts w:hint="eastAsia" w:ascii="宋体" w:hAnsi="宋体"/>
          <w:color w:val="auto"/>
          <w:szCs w:val="20"/>
          <w:highlight w:val="none"/>
        </w:rPr>
      </w:pPr>
      <w:r>
        <w:rPr>
          <w:rFonts w:hint="eastAsia" w:ascii="宋体" w:hAnsi="宋体"/>
          <w:color w:val="auto"/>
          <w:szCs w:val="20"/>
          <w:highlight w:val="none"/>
        </w:rPr>
        <w:t>25.5资格审查的</w:t>
      </w:r>
      <w:r>
        <w:rPr>
          <w:rFonts w:ascii="宋体" w:hAnsi="宋体"/>
          <w:color w:val="auto"/>
          <w:szCs w:val="20"/>
          <w:highlight w:val="none"/>
        </w:rPr>
        <w:t>合格投标人不足3家的，不得评标。</w:t>
      </w:r>
    </w:p>
    <w:p>
      <w:pPr>
        <w:shd w:val="clear" w:color="auto" w:fill="auto"/>
        <w:spacing w:line="360" w:lineRule="auto"/>
        <w:ind w:firstLine="643" w:firstLineChars="200"/>
        <w:jc w:val="center"/>
        <w:outlineLvl w:val="2"/>
        <w:rPr>
          <w:rFonts w:hint="eastAsia"/>
          <w:b/>
          <w:bCs/>
          <w:color w:val="auto"/>
          <w:sz w:val="32"/>
          <w:szCs w:val="32"/>
          <w:highlight w:val="none"/>
        </w:rPr>
      </w:pPr>
      <w:bookmarkStart w:id="144" w:name="_Toc177489457"/>
      <w:r>
        <w:rPr>
          <w:rFonts w:hint="eastAsia"/>
          <w:b/>
          <w:bCs/>
          <w:color w:val="auto"/>
          <w:sz w:val="32"/>
          <w:szCs w:val="32"/>
          <w:highlight w:val="none"/>
        </w:rPr>
        <w:t>六、评   标</w:t>
      </w:r>
      <w:bookmarkEnd w:id="144"/>
    </w:p>
    <w:p>
      <w:pPr>
        <w:shd w:val="clear" w:color="auto" w:fill="auto"/>
        <w:spacing w:line="360" w:lineRule="auto"/>
        <w:ind w:firstLine="480" w:firstLineChars="200"/>
        <w:rPr>
          <w:rFonts w:hint="eastAsia" w:ascii="黑体" w:hAnsi="黑体" w:eastAsia="黑体"/>
          <w:color w:val="auto"/>
          <w:sz w:val="24"/>
          <w:highlight w:val="none"/>
        </w:rPr>
      </w:pPr>
      <w:bookmarkStart w:id="145" w:name="_26.组建评标委员会"/>
      <w:bookmarkEnd w:id="145"/>
      <w:r>
        <w:rPr>
          <w:rFonts w:hint="eastAsia" w:ascii="黑体" w:hAnsi="黑体" w:eastAsia="黑体"/>
          <w:color w:val="auto"/>
          <w:sz w:val="24"/>
          <w:highlight w:val="none"/>
        </w:rPr>
        <w:t>26.组建评标委员会</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评标委员会由采购人代表和评审专家组成，人数为5人以上单数，其中评审专家不得少于成员总数的三分之二。</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参加过采购项目前期咨询论证的专家，不得参加该采购项目的评审活动。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27.评标的依据</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评标委员会以招标文件为依据对投标文件进行评审，</w:t>
      </w:r>
      <w:r>
        <w:rPr>
          <w:rFonts w:hint="eastAsia" w:hAnsi="宋体" w:cs="宋体"/>
          <w:color w:val="auto"/>
          <w:highlight w:val="none"/>
        </w:rPr>
        <w:t>“第四章 评标方法及评分标准”</w:t>
      </w:r>
      <w:r>
        <w:rPr>
          <w:rFonts w:hAnsi="宋体"/>
          <w:color w:val="auto"/>
          <w:highlight w:val="none"/>
        </w:rPr>
        <w:t>没有规定的方法、评审因素和标准，不作为评标依据。</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28.评标原则</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28.2评委表决。在评标过程中出现法律法规和招标文件均没有明确规定的情形时，由评标委员会现场协商解决，协商不一致的，由全体评委投票表决，以得票率二分之一以上专家的意见为准并由采购代理机构做记录。</w:t>
      </w:r>
      <w:bookmarkStart w:id="146" w:name="_28.3评标方法。本项目将按须知前附表规定的评标办法进行评标，具体评标"/>
      <w:bookmarkEnd w:id="146"/>
    </w:p>
    <w:p>
      <w:pPr>
        <w:shd w:val="clear" w:color="auto" w:fill="auto"/>
        <w:spacing w:line="360" w:lineRule="auto"/>
        <w:ind w:firstLine="420" w:firstLineChars="200"/>
        <w:rPr>
          <w:rFonts w:hAnsi="宋体"/>
          <w:color w:val="auto"/>
          <w:highlight w:val="none"/>
        </w:rPr>
      </w:pPr>
      <w:r>
        <w:rPr>
          <w:rFonts w:hint="eastAsia" w:hAnsi="宋体"/>
          <w:color w:val="auto"/>
          <w:highlight w:val="none"/>
        </w:rPr>
        <w:t>28.</w:t>
      </w:r>
      <w:r>
        <w:rPr>
          <w:rFonts w:hAnsi="宋体"/>
          <w:color w:val="auto"/>
          <w:highlight w:val="none"/>
        </w:rPr>
        <w:t>3</w:t>
      </w:r>
      <w:r>
        <w:rPr>
          <w:rFonts w:hint="eastAsia" w:hAnsi="宋体"/>
          <w:color w:val="auto"/>
          <w:highlight w:val="none"/>
        </w:rPr>
        <w:t>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w:t>
      </w:r>
      <w:r>
        <w:rPr>
          <w:rFonts w:hAnsi="宋体"/>
          <w:color w:val="auto"/>
          <w:highlight w:val="none"/>
        </w:rPr>
        <w:t>8.4</w:t>
      </w:r>
      <w:r>
        <w:rPr>
          <w:rFonts w:hint="eastAsia" w:hAnsi="宋体"/>
          <w:color w:val="auto"/>
          <w:highlight w:val="none"/>
        </w:rPr>
        <w:t>评标过程的监控。本项目电子评标过程实行网上留痕、全程录音、录像监控，投标人在评标过程中所进行的试图影响评标结果的不公正活动，可能导致其投标按无效处理。</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28.5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29.评标方法及评标标准</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2</w:t>
      </w:r>
      <w:r>
        <w:rPr>
          <w:rFonts w:hAnsi="宋体"/>
          <w:color w:val="auto"/>
          <w:highlight w:val="none"/>
        </w:rPr>
        <w:t>9.1</w:t>
      </w:r>
      <w:r>
        <w:rPr>
          <w:rFonts w:hint="eastAsia" w:hAnsi="宋体"/>
          <w:color w:val="auto"/>
          <w:highlight w:val="none"/>
        </w:rPr>
        <w:t>本项目的评标方法详见“投标人须知前附表”。</w:t>
      </w:r>
    </w:p>
    <w:p>
      <w:pPr>
        <w:shd w:val="clear" w:color="auto" w:fill="auto"/>
        <w:spacing w:line="360" w:lineRule="auto"/>
        <w:ind w:firstLine="420" w:firstLineChars="200"/>
        <w:rPr>
          <w:rFonts w:hint="eastAsia" w:hAnsi="宋体"/>
          <w:bCs/>
          <w:color w:val="auto"/>
          <w:highlight w:val="none"/>
        </w:rPr>
      </w:pPr>
      <w:r>
        <w:rPr>
          <w:rFonts w:hint="eastAsia" w:hAnsi="宋体"/>
          <w:color w:val="auto"/>
          <w:highlight w:val="none"/>
        </w:rPr>
        <w:t>2</w:t>
      </w:r>
      <w:r>
        <w:rPr>
          <w:rFonts w:hAnsi="宋体"/>
          <w:color w:val="auto"/>
          <w:highlight w:val="none"/>
        </w:rPr>
        <w:t>9.2</w:t>
      </w:r>
      <w:r>
        <w:rPr>
          <w:rFonts w:hAnsi="宋体" w:cs="宋体"/>
          <w:color w:val="auto"/>
          <w:highlight w:val="none"/>
        </w:rPr>
        <w:t xml:space="preserve"> </w:t>
      </w:r>
      <w:r>
        <w:rPr>
          <w:rFonts w:hAnsi="宋体"/>
          <w:color w:val="auto"/>
          <w:highlight w:val="none"/>
        </w:rPr>
        <w:t>评标委员会按照</w:t>
      </w:r>
      <w:r>
        <w:rPr>
          <w:rFonts w:hint="eastAsia" w:hAnsi="宋体" w:cs="宋体"/>
          <w:b/>
          <w:color w:val="auto"/>
          <w:highlight w:val="none"/>
        </w:rPr>
        <w:t>“第四章 评标方法及评分标准</w:t>
      </w:r>
      <w:r>
        <w:rPr>
          <w:rFonts w:hint="eastAsia" w:hAnsi="宋体" w:cs="宋体"/>
          <w:bCs/>
          <w:color w:val="auto"/>
          <w:highlight w:val="none"/>
        </w:rPr>
        <w:t>”</w:t>
      </w:r>
      <w:r>
        <w:rPr>
          <w:rFonts w:hAnsi="宋体"/>
          <w:bCs/>
          <w:color w:val="auto"/>
          <w:highlight w:val="none"/>
        </w:rPr>
        <w:t>规定的方法、评审因素、标准和程序对投标文件进行评审。</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29.3 电子交易活动的中止。采购过程中出现以下情形，导致电子交易平台无法正常运行，或者无法保证电子交易的公平、公正和安全时，采购代理机构可中止电子交易活动：</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 xml:space="preserve">（1）电子交易平台发生故障而无法登录访问的； </w:t>
      </w:r>
    </w:p>
    <w:p>
      <w:pPr>
        <w:shd w:val="clear" w:color="auto" w:fill="auto"/>
        <w:spacing w:line="360" w:lineRule="auto"/>
        <w:ind w:firstLine="420" w:firstLineChars="200"/>
        <w:rPr>
          <w:rFonts w:hint="eastAsia" w:hAnsi="宋体"/>
          <w:color w:val="auto"/>
          <w:highlight w:val="none"/>
        </w:rPr>
      </w:pPr>
      <w:r>
        <w:rPr>
          <w:rFonts w:hint="eastAsia" w:hAnsi="宋体"/>
          <w:bCs/>
          <w:color w:val="auto"/>
          <w:highlight w:val="none"/>
        </w:rPr>
        <w:t>（2）电子交易平台应用或数据库出</w:t>
      </w:r>
      <w:r>
        <w:rPr>
          <w:rFonts w:hint="eastAsia" w:hAnsi="宋体"/>
          <w:color w:val="auto"/>
          <w:highlight w:val="none"/>
        </w:rPr>
        <w:t>现错误，不能进行正常操作的；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（3）电子交易平台发现严重安全漏洞，有潜在泄密危险的；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 xml:space="preserve">（4）病毒发作导致不能进行正常操作的； </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（5）其他无法保证电子交易的公平、公正和安全的情况。</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shd w:val="clear" w:color="auto" w:fill="auto"/>
        <w:snapToGrid w:val="0"/>
        <w:spacing w:line="400" w:lineRule="exact"/>
        <w:ind w:firstLine="420" w:firstLineChars="200"/>
        <w:rPr>
          <w:rFonts w:hint="eastAsia" w:ascii="宋体" w:hAnsi="宋体"/>
          <w:color w:val="auto"/>
          <w:szCs w:val="20"/>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47" w:name="_Toc254970546"/>
      <w:bookmarkStart w:id="148" w:name="_Toc254970687"/>
      <w:bookmarkStart w:id="149" w:name="_Toc177489458"/>
      <w:r>
        <w:rPr>
          <w:rFonts w:hint="eastAsia"/>
          <w:b/>
          <w:bCs/>
          <w:color w:val="auto"/>
          <w:sz w:val="32"/>
          <w:szCs w:val="32"/>
          <w:highlight w:val="none"/>
        </w:rPr>
        <w:t>七、</w:t>
      </w:r>
      <w:bookmarkEnd w:id="147"/>
      <w:bookmarkEnd w:id="148"/>
      <w:r>
        <w:rPr>
          <w:rFonts w:hint="eastAsia"/>
          <w:b/>
          <w:bCs/>
          <w:color w:val="auto"/>
          <w:sz w:val="32"/>
          <w:szCs w:val="32"/>
          <w:highlight w:val="none"/>
        </w:rPr>
        <w:t>中标和合同</w:t>
      </w:r>
      <w:bookmarkEnd w:id="149"/>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30.确定中标供应商</w:t>
      </w:r>
    </w:p>
    <w:p>
      <w:pPr>
        <w:shd w:val="clear" w:color="auto" w:fill="auto"/>
        <w:spacing w:line="360" w:lineRule="auto"/>
        <w:ind w:firstLine="422" w:firstLineChars="200"/>
        <w:rPr>
          <w:rFonts w:hint="eastAsia" w:ascii="宋体" w:hAnsi="宋体" w:cs="Courier New"/>
          <w:b/>
          <w:bCs/>
          <w:color w:val="auto"/>
          <w:szCs w:val="21"/>
          <w:highlight w:val="none"/>
        </w:rPr>
      </w:pPr>
      <w:r>
        <w:rPr>
          <w:rFonts w:ascii="宋体" w:hAnsi="宋体" w:cs="Courier New"/>
          <w:b/>
          <w:bCs/>
          <w:color w:val="auto"/>
          <w:szCs w:val="21"/>
          <w:highlight w:val="none"/>
        </w:rPr>
        <w:t>30.1</w:t>
      </w:r>
      <w:r>
        <w:rPr>
          <w:rFonts w:hint="eastAsia" w:ascii="宋体" w:hAnsi="宋体" w:cs="Courier New"/>
          <w:b/>
          <w:bCs/>
          <w:color w:val="auto"/>
          <w:szCs w:val="21"/>
          <w:highlight w:val="none"/>
        </w:rPr>
        <w:t>本项目授权评标委员会直接按第四章“评标方法及标准”的规定排列中标候选人顺序，并依照次序确定中标供应商。</w:t>
      </w:r>
    </w:p>
    <w:p>
      <w:pPr>
        <w:shd w:val="clear" w:color="auto" w:fill="auto"/>
        <w:spacing w:line="360" w:lineRule="auto"/>
        <w:ind w:firstLine="422" w:firstLineChars="200"/>
        <w:rPr>
          <w:rFonts w:hint="eastAsia" w:ascii="宋体" w:hAnsi="宋体" w:eastAsia="新宋体" w:cs="Courier New"/>
          <w:b/>
          <w:bCs/>
          <w:color w:val="auto"/>
          <w:szCs w:val="21"/>
          <w:highlight w:val="none"/>
        </w:rPr>
      </w:pPr>
      <w:r>
        <w:rPr>
          <w:rFonts w:hint="eastAsia" w:ascii="宋体" w:hAnsi="宋体" w:cs="Courier New"/>
          <w:b/>
          <w:bCs/>
          <w:color w:val="auto"/>
          <w:szCs w:val="21"/>
          <w:highlight w:val="none"/>
        </w:rPr>
        <w:t>30.2提供相同品牌产品且通过资格审查、符合性审查的不同投标人参加同一合同项下投标的，按一家投标人计算，采用综合评分法则以评审得分最高者获得中标人推荐资格，确定后其他同品牌投标人不作为中标候选人</w:t>
      </w:r>
      <w:r>
        <w:rPr>
          <w:rFonts w:hint="eastAsia" w:ascii="新宋体" w:hAnsi="新宋体" w:eastAsia="新宋体" w:cs="新宋体"/>
          <w:b/>
          <w:color w:val="auto"/>
          <w:szCs w:val="21"/>
          <w:highlight w:val="none"/>
        </w:rPr>
        <w:t>。</w:t>
      </w:r>
    </w:p>
    <w:p>
      <w:pPr>
        <w:shd w:val="clear" w:color="auto" w:fill="auto"/>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3采购人、采购代理机构认为供应商对采购过程、中标结果提出的质疑成立且影响或者可能影响中标结果的，合格供应商符合法定数量时，可以从合格的中标候选人中另行确定中标供应商的，应当依法另行确定中标供应商；否则应当重新开展采购活动。</w:t>
      </w:r>
    </w:p>
    <w:p>
      <w:pPr>
        <w:shd w:val="clear" w:color="auto" w:fill="auto"/>
        <w:spacing w:line="360" w:lineRule="auto"/>
        <w:ind w:firstLine="420" w:firstLineChars="200"/>
        <w:rPr>
          <w:rFonts w:hint="eastAsia" w:ascii="宋体" w:hAnsi="宋体" w:cs="Courier New"/>
          <w:color w:val="auto"/>
          <w:szCs w:val="21"/>
          <w:highlight w:val="none"/>
        </w:rPr>
      </w:pPr>
      <w:r>
        <w:rPr>
          <w:rFonts w:ascii="宋体" w:hAnsi="宋体" w:cs="Courier New"/>
          <w:color w:val="auto"/>
          <w:szCs w:val="21"/>
          <w:highlight w:val="none"/>
        </w:rPr>
        <w:t>30.</w:t>
      </w:r>
      <w:r>
        <w:rPr>
          <w:rFonts w:hint="eastAsia" w:ascii="宋体" w:hAnsi="宋体" w:cs="Courier New"/>
          <w:color w:val="auto"/>
          <w:szCs w:val="21"/>
          <w:highlight w:val="none"/>
        </w:rPr>
        <w:t>4中标供应商无正当理由拒签合同的，根据《中华人民共和国政府采购法》第七十七条第一款规定处理。</w:t>
      </w:r>
    </w:p>
    <w:p>
      <w:pPr>
        <w:shd w:val="clear" w:color="auto" w:fill="auto"/>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30.5根据《中华人民共和国民法典》</w:t>
      </w:r>
      <w:r>
        <w:rPr>
          <w:color w:val="auto"/>
          <w:sz w:val="19"/>
          <w:szCs w:val="19"/>
          <w:highlight w:val="none"/>
        </w:rPr>
        <w:t>第五百六十三条</w:t>
      </w:r>
      <w:r>
        <w:rPr>
          <w:rFonts w:hint="eastAsia" w:ascii="宋体" w:hAnsi="宋体" w:cs="Courier New"/>
          <w:color w:val="auto"/>
          <w:szCs w:val="21"/>
          <w:highlight w:val="none"/>
        </w:rPr>
        <w:t>，因不可抗力致使不能实现合同目的的，当事人可以解除合同。</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31. 结果公告</w:t>
      </w:r>
    </w:p>
    <w:p>
      <w:pPr>
        <w:shd w:val="clear" w:color="auto" w:fill="auto"/>
        <w:spacing w:line="360" w:lineRule="auto"/>
        <w:ind w:firstLine="420" w:firstLineChars="200"/>
        <w:rPr>
          <w:rFonts w:hint="eastAsia" w:hAnsi="宋体" w:cs="宋体"/>
          <w:color w:val="auto"/>
          <w:highlight w:val="none"/>
        </w:rPr>
      </w:pPr>
      <w:r>
        <w:rPr>
          <w:rFonts w:hint="eastAsia" w:hAnsi="宋体"/>
          <w:color w:val="auto"/>
          <w:szCs w:val="21"/>
          <w:highlight w:val="none"/>
        </w:rPr>
        <w:t>3</w:t>
      </w:r>
      <w:r>
        <w:rPr>
          <w:rFonts w:hAnsi="宋体"/>
          <w:color w:val="auto"/>
          <w:szCs w:val="21"/>
          <w:highlight w:val="none"/>
        </w:rPr>
        <w:t>1.1</w:t>
      </w:r>
      <w:r>
        <w:rPr>
          <w:rFonts w:hint="eastAsia" w:hAnsi="宋体" w:cs="宋体"/>
          <w:color w:val="auto"/>
          <w:highlight w:val="none"/>
        </w:rPr>
        <w:t>在中标供应商</w:t>
      </w:r>
      <w:r>
        <w:rPr>
          <w:rFonts w:hint="eastAsia" w:hAnsi="宋体" w:cs="Arial"/>
          <w:color w:val="auto"/>
          <w:highlight w:val="none"/>
        </w:rPr>
        <w:t>确定之日起</w:t>
      </w:r>
      <w:r>
        <w:rPr>
          <w:rFonts w:hint="eastAsia" w:hAnsi="宋体" w:cs="宋体"/>
          <w:color w:val="auto"/>
          <w:highlight w:val="none"/>
        </w:rPr>
        <w:t>2个工作日内，由采购代理机构</w:t>
      </w:r>
      <w:r>
        <w:rPr>
          <w:rFonts w:hint="eastAsia" w:hAnsi="宋体"/>
          <w:color w:val="auto"/>
          <w:szCs w:val="21"/>
          <w:highlight w:val="none"/>
        </w:rPr>
        <w:t>在招标公告发布媒体上</w:t>
      </w:r>
      <w:r>
        <w:rPr>
          <w:rFonts w:hint="eastAsia" w:hAnsi="宋体" w:cs="宋体"/>
          <w:color w:val="auto"/>
          <w:highlight w:val="none"/>
        </w:rPr>
        <w:t>发布中标结果公告，中标结果公告期限为1个工作日，发布中标结果公告的同时向中标供应商发出中标通知书。</w:t>
      </w:r>
      <w:r>
        <w:rPr>
          <w:rFonts w:hint="eastAsia" w:hAnsi="宋体"/>
          <w:b/>
          <w:color w:val="auto"/>
          <w:szCs w:val="21"/>
          <w:highlight w:val="none"/>
        </w:rPr>
        <w:t>采购代理机构发出中标通知书前，应当对中标供应商信用进行核实，对列入失信被执行人、重大税收违法案件当事人名单（重大税收违法失信主体）、政府采购严重违法失信行为记录名单及其他不符合《中华人民共和国政府采购法》第二十二条规定条件的投标人，取消其中标资格，并</w:t>
      </w:r>
      <w:r>
        <w:rPr>
          <w:rFonts w:hint="eastAsia"/>
          <w:b/>
          <w:bCs/>
          <w:color w:val="auto"/>
          <w:highlight w:val="none"/>
        </w:rPr>
        <w:t>依法</w:t>
      </w:r>
      <w:r>
        <w:rPr>
          <w:rFonts w:hint="eastAsia" w:hAnsi="宋体"/>
          <w:b/>
          <w:color w:val="auto"/>
          <w:szCs w:val="21"/>
          <w:highlight w:val="none"/>
        </w:rPr>
        <w:t>确定排名第二的中标候选人为中标供应商。</w:t>
      </w:r>
      <w:r>
        <w:rPr>
          <w:rFonts w:hint="eastAsia" w:hAnsi="宋体"/>
          <w:color w:val="auto"/>
          <w:szCs w:val="21"/>
          <w:highlight w:val="none"/>
        </w:rPr>
        <w:t>排名第二的中标候选人因前款规定的同样原因被取消中标资格的，</w:t>
      </w:r>
      <w:r>
        <w:rPr>
          <w:rFonts w:hint="eastAsia" w:hAnsi="宋体" w:cs="Courier New"/>
          <w:color w:val="auto"/>
          <w:szCs w:val="21"/>
          <w:highlight w:val="none"/>
        </w:rPr>
        <w:t>采购人</w:t>
      </w:r>
      <w:r>
        <w:rPr>
          <w:rFonts w:hint="eastAsia" w:hAnsi="宋体"/>
          <w:color w:val="auto"/>
          <w:szCs w:val="21"/>
          <w:highlight w:val="none"/>
        </w:rPr>
        <w:t>可以</w:t>
      </w:r>
      <w:r>
        <w:rPr>
          <w:rFonts w:hint="eastAsia"/>
          <w:color w:val="auto"/>
          <w:highlight w:val="none"/>
        </w:rPr>
        <w:t>依法</w:t>
      </w:r>
      <w:r>
        <w:rPr>
          <w:rFonts w:hint="eastAsia" w:hAnsi="宋体"/>
          <w:color w:val="auto"/>
          <w:szCs w:val="21"/>
          <w:highlight w:val="none"/>
        </w:rPr>
        <w:t>确定排名第三的中标候选人为中标供应商，以此类推。</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以上信息查询记录及相关证据与招标文件一并保存。</w:t>
      </w:r>
    </w:p>
    <w:p>
      <w:pPr>
        <w:shd w:val="clear" w:color="auto" w:fill="auto"/>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32.发出中标通知书</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32.1在发布中标公告的同时，采购代理机构向中标供应商通过广西政府采购云平台发出电子中标通知书。</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32.2对未通过资格审查的投标人，采购人或采购代理机构应当告知其未通过的原因；采用综合评分办法评审的，采购人或采购代理机构还应当告知未中标供应商本人的评审得分与排序。</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33. 无义务解释未中标原因</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采购代理机构无义务向未中标的投标人解释未中标原因和退还投标文件。</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34.合同授予标准</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s="Courier New"/>
          <w:color w:val="auto"/>
          <w:szCs w:val="21"/>
          <w:highlight w:val="none"/>
        </w:rPr>
        <w:t>合同将授予被确定实质上响应招标文件要求，具备履行合同能力的中标供应商（招标文件另有约定多名中标供应商的除外）。</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35.履约保证金</w:t>
      </w:r>
    </w:p>
    <w:p>
      <w:pPr>
        <w:shd w:val="clear" w:color="auto" w:fill="auto"/>
        <w:adjustRightInd w:val="0"/>
        <w:snapToGrid w:val="0"/>
        <w:spacing w:line="360" w:lineRule="auto"/>
        <w:ind w:firstLine="420" w:firstLineChars="200"/>
        <w:rPr>
          <w:rFonts w:hint="eastAsia" w:ascii="宋体" w:hAnsi="宋体"/>
          <w:color w:val="auto"/>
          <w:kern w:val="0"/>
          <w:szCs w:val="21"/>
          <w:highlight w:val="none"/>
          <w:lang w:val="zh-CN"/>
        </w:rPr>
      </w:pPr>
      <w:bookmarkStart w:id="150" w:name="_39.1中标人须于签订合同前按本须知前附表规定的金额转账或电汇到指定账"/>
      <w:bookmarkEnd w:id="150"/>
      <w:r>
        <w:rPr>
          <w:rFonts w:hint="eastAsia" w:ascii="宋体" w:hAnsi="宋体"/>
          <w:color w:val="auto"/>
          <w:kern w:val="0"/>
          <w:szCs w:val="21"/>
          <w:highlight w:val="none"/>
          <w:lang w:val="zh-CN"/>
        </w:rPr>
        <w:t>见“投标人须知前附表”。</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36.签订合同</w:t>
      </w:r>
    </w:p>
    <w:p>
      <w:pPr>
        <w:shd w:val="clear" w:color="auto" w:fill="auto"/>
        <w:adjustRightInd w:val="0"/>
        <w:snapToGrid w:val="0"/>
        <w:spacing w:line="360" w:lineRule="auto"/>
        <w:ind w:firstLine="422" w:firstLineChars="200"/>
        <w:rPr>
          <w:rFonts w:hint="eastAsia" w:ascii="宋体" w:hAnsi="宋体"/>
          <w:color w:val="auto"/>
          <w:kern w:val="0"/>
          <w:szCs w:val="21"/>
          <w:highlight w:val="none"/>
          <w:lang w:val="zh-CN"/>
        </w:rPr>
      </w:pPr>
      <w:bookmarkStart w:id="151" w:name="_40.1投标人接到中标通知书后，按须知前附表规定向采购人出示相关资格证"/>
      <w:bookmarkEnd w:id="151"/>
      <w:r>
        <w:rPr>
          <w:rFonts w:hint="eastAsia" w:ascii="宋体" w:hAnsi="宋体"/>
          <w:b/>
          <w:color w:val="auto"/>
          <w:szCs w:val="21"/>
          <w:highlight w:val="none"/>
        </w:rPr>
        <w:t xml:space="preserve"> 36.1中标供应商在电子中标通知书发出后，</w:t>
      </w:r>
      <w:r>
        <w:rPr>
          <w:rFonts w:hint="eastAsia" w:ascii="宋体" w:hAnsi="宋体"/>
          <w:color w:val="auto"/>
          <w:kern w:val="0"/>
          <w:szCs w:val="21"/>
          <w:highlight w:val="none"/>
          <w:lang w:val="zh-CN"/>
        </w:rPr>
        <w:t>按规定的日期、时间、地点，由法定代表人或其授权代表与采购人代表签订电子采购合同。如中标供应商为联合体的，由联合体成员各方法定代表人或其授权代表与采购人代表签订合同，签订携带资料详见“投标人须知前附表”。</w:t>
      </w:r>
    </w:p>
    <w:p>
      <w:pPr>
        <w:shd w:val="clear" w:color="auto" w:fill="auto"/>
        <w:adjustRightInd w:val="0"/>
        <w:snapToGrid w:val="0"/>
        <w:spacing w:line="360" w:lineRule="auto"/>
        <w:ind w:firstLine="420" w:firstLineChars="200"/>
        <w:rPr>
          <w:rFonts w:hint="eastAsia" w:ascii="宋体" w:hAnsi="宋体"/>
          <w:color w:val="auto"/>
          <w:kern w:val="0"/>
          <w:szCs w:val="21"/>
          <w:highlight w:val="none"/>
          <w:lang w:val="zh-CN"/>
        </w:rPr>
      </w:pPr>
      <w:r>
        <w:rPr>
          <w:rFonts w:hint="eastAsia" w:ascii="宋体" w:hAnsi="宋体"/>
          <w:color w:val="auto"/>
          <w:kern w:val="0"/>
          <w:szCs w:val="21"/>
          <w:highlight w:val="none"/>
          <w:lang w:val="zh-CN"/>
        </w:rPr>
        <w:t>36.2</w:t>
      </w:r>
      <w:r>
        <w:rPr>
          <w:rFonts w:ascii="宋体" w:hAnsi="宋体" w:cs="仿宋_GB2312"/>
          <w:color w:val="auto"/>
          <w:szCs w:val="21"/>
          <w:highlight w:val="none"/>
        </w:rPr>
        <w:t>采购合同由采购人与</w:t>
      </w:r>
      <w:r>
        <w:rPr>
          <w:rFonts w:hint="eastAsia" w:ascii="宋体" w:hAnsi="宋体" w:cs="仿宋_GB2312"/>
          <w:color w:val="auto"/>
          <w:szCs w:val="21"/>
          <w:highlight w:val="none"/>
        </w:rPr>
        <w:t>中标供应商</w:t>
      </w:r>
      <w:r>
        <w:rPr>
          <w:rFonts w:ascii="宋体" w:hAnsi="宋体" w:cs="仿宋_GB2312"/>
          <w:color w:val="auto"/>
          <w:szCs w:val="21"/>
          <w:highlight w:val="none"/>
        </w:rPr>
        <w:t>根据</w:t>
      </w:r>
      <w:r>
        <w:rPr>
          <w:rFonts w:hint="eastAsia" w:ascii="宋体" w:hAnsi="宋体" w:cs="仿宋_GB2312"/>
          <w:color w:val="auto"/>
          <w:szCs w:val="21"/>
          <w:highlight w:val="none"/>
        </w:rPr>
        <w:t>招标文件、投标文件等内容通过政府采购电子交易平台在线签订，自动备案。</w:t>
      </w:r>
    </w:p>
    <w:p>
      <w:pPr>
        <w:shd w:val="clear" w:color="auto" w:fill="auto"/>
        <w:adjustRightInd w:val="0"/>
        <w:snapToGrid w:val="0"/>
        <w:spacing w:line="360" w:lineRule="auto"/>
        <w:ind w:firstLine="420" w:firstLineChars="200"/>
        <w:rPr>
          <w:rFonts w:hint="eastAsia" w:ascii="宋体" w:hAnsi="宋体" w:cs="仿宋_GB2312"/>
          <w:color w:val="auto"/>
          <w:szCs w:val="21"/>
          <w:highlight w:val="none"/>
        </w:rPr>
      </w:pPr>
      <w:r>
        <w:rPr>
          <w:rFonts w:hint="eastAsia" w:ascii="宋体" w:hAnsi="宋体"/>
          <w:color w:val="auto"/>
          <w:szCs w:val="21"/>
          <w:highlight w:val="none"/>
        </w:rPr>
        <w:t>36.3签订合同时间：按中标通知书规定的时间与采购人签订合同。</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36.4中标供应商拒绝与采购人签订合同的，采购人可以按照评审报告推荐的中标候选人名单排序，确定下一候选人为中标供应商，也可以重新开展政府采购活动。如采购人无正当理由拒签合同的，给中标供应商造成损失的，中标供应商可追究采购人承担相应的法律责任。</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36.6采购人或中标供应商不得单方面向合同另一方提出任何招标文件没有约定的条件或不合理的要求，作为签订合同的条件；也不得协商另行订立背离招标文件和合同实质性内容的协议。</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36.7</w:t>
      </w:r>
      <w:r>
        <w:rPr>
          <w:rFonts w:hint="eastAsia" w:ascii="宋体" w:hAnsi="宋体" w:cs="仿宋_GB2312"/>
          <w:color w:val="auto"/>
          <w:szCs w:val="21"/>
          <w:highlight w:val="none"/>
        </w:rPr>
        <w:t>如签订合同并生效后，供应商无故拒绝或延期，除按照合同条款处理外，将承担相应的法律责任。</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36.8采购人需追加与合同标的相同的服务的，在不改变原合同条款且已报财政部门批准落实资金的前提下，可从原中标供应商处添购， 所签订的补充添置合同的采购资金总额不超过原采购合同金额的 10%。</w:t>
      </w:r>
    </w:p>
    <w:p>
      <w:pPr>
        <w:shd w:val="clear" w:color="auto" w:fill="auto"/>
        <w:spacing w:line="360" w:lineRule="auto"/>
        <w:ind w:firstLine="480" w:firstLineChars="200"/>
        <w:rPr>
          <w:rFonts w:hint="eastAsia" w:ascii="黑体" w:hAnsi="黑体" w:eastAsia="黑体"/>
          <w:color w:val="auto"/>
          <w:sz w:val="24"/>
          <w:highlight w:val="none"/>
        </w:rPr>
      </w:pPr>
      <w:bookmarkStart w:id="152" w:name="_41.政府采购合同公告"/>
      <w:bookmarkEnd w:id="152"/>
      <w:r>
        <w:rPr>
          <w:rFonts w:hint="eastAsia" w:ascii="黑体" w:hAnsi="黑体" w:eastAsia="黑体"/>
          <w:color w:val="auto"/>
          <w:sz w:val="24"/>
          <w:highlight w:val="none"/>
        </w:rPr>
        <w:t>37.政府采购合同公告</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采购人或者受托采购代理机构应当自政府采购合同签订之日起2个工作日内，将政府采购合同</w:t>
      </w:r>
      <w:r>
        <w:rPr>
          <w:rFonts w:hint="eastAsia" w:ascii="宋体" w:hAnsi="宋体"/>
          <w:bCs/>
          <w:color w:val="auto"/>
          <w:highlight w:val="none"/>
        </w:rPr>
        <w:t>在</w:t>
      </w:r>
      <w:r>
        <w:rPr>
          <w:rFonts w:hint="eastAsia" w:ascii="宋体" w:hAnsi="宋体" w:cs="宋体"/>
          <w:color w:val="auto"/>
          <w:kern w:val="0"/>
          <w:szCs w:val="21"/>
          <w:highlight w:val="none"/>
        </w:rPr>
        <w:t xml:space="preserve"> “广西政府采购网”（http://www.ccgp-guangxi.gov.cn/、http://zfcg.gxzf.gov.cn ）</w:t>
      </w:r>
      <w:r>
        <w:rPr>
          <w:rFonts w:hint="eastAsia" w:hAnsi="宋体"/>
          <w:color w:val="auto"/>
          <w:highlight w:val="none"/>
        </w:rPr>
        <w:t>上公告，</w:t>
      </w:r>
      <w:r>
        <w:rPr>
          <w:rFonts w:hAnsi="宋体"/>
          <w:color w:val="auto"/>
          <w:highlight w:val="none"/>
        </w:rPr>
        <w:t>但政府采购合同中涉及国家秘密、商业秘密的内容除外。</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3</w:t>
      </w:r>
      <w:r>
        <w:rPr>
          <w:rFonts w:ascii="黑体" w:hAnsi="黑体" w:eastAsia="黑体"/>
          <w:color w:val="auto"/>
          <w:sz w:val="24"/>
          <w:highlight w:val="none"/>
        </w:rPr>
        <w:t>8.</w:t>
      </w:r>
      <w:r>
        <w:rPr>
          <w:rFonts w:hint="eastAsia" w:ascii="黑体" w:hAnsi="黑体" w:eastAsia="黑体"/>
          <w:color w:val="auto"/>
          <w:sz w:val="24"/>
          <w:highlight w:val="none"/>
        </w:rPr>
        <w:t xml:space="preserve"> 询问、质疑和投诉</w:t>
      </w:r>
    </w:p>
    <w:p>
      <w:pPr>
        <w:shd w:val="clear" w:color="auto" w:fill="auto"/>
        <w:spacing w:line="360" w:lineRule="auto"/>
        <w:ind w:firstLine="422" w:firstLineChars="200"/>
        <w:rPr>
          <w:rFonts w:hint="eastAsia" w:hAnsi="宋体"/>
          <w:b/>
          <w:color w:val="auto"/>
          <w:szCs w:val="21"/>
          <w:highlight w:val="none"/>
        </w:rPr>
      </w:pPr>
      <w:r>
        <w:rPr>
          <w:rFonts w:hAnsi="宋体"/>
          <w:b/>
          <w:color w:val="auto"/>
          <w:szCs w:val="21"/>
          <w:highlight w:val="none"/>
        </w:rPr>
        <w:t>38.1</w:t>
      </w:r>
      <w:r>
        <w:rPr>
          <w:rFonts w:hint="eastAsia" w:hAnsi="宋体"/>
          <w:b/>
          <w:color w:val="auto"/>
          <w:szCs w:val="21"/>
          <w:highlight w:val="none"/>
        </w:rPr>
        <w:t>询问</w:t>
      </w:r>
    </w:p>
    <w:p>
      <w:pPr>
        <w:shd w:val="clear" w:color="auto" w:fill="auto"/>
        <w:spacing w:line="360" w:lineRule="auto"/>
        <w:ind w:firstLine="420" w:firstLineChars="200"/>
        <w:rPr>
          <w:rFonts w:hint="eastAsia"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.1供应商在开标前对政府采购活动事项有疑问的，可以向采购人或采购代理机构项目负责人提出询问。</w:t>
      </w:r>
    </w:p>
    <w:p>
      <w:pPr>
        <w:shd w:val="clear" w:color="auto" w:fill="auto"/>
        <w:spacing w:line="360" w:lineRule="auto"/>
        <w:ind w:firstLine="420" w:firstLineChars="200"/>
        <w:rPr>
          <w:rFonts w:hAnsi="宋体"/>
          <w:bCs/>
          <w:color w:val="auto"/>
          <w:szCs w:val="21"/>
          <w:highlight w:val="none"/>
        </w:rPr>
      </w:pPr>
      <w:r>
        <w:rPr>
          <w:rFonts w:hAnsi="宋体"/>
          <w:bCs/>
          <w:color w:val="auto"/>
          <w:szCs w:val="21"/>
          <w:highlight w:val="none"/>
        </w:rPr>
        <w:t>38.1</w:t>
      </w:r>
      <w:r>
        <w:rPr>
          <w:rFonts w:hint="eastAsia" w:hAnsi="宋体"/>
          <w:bCs/>
          <w:color w:val="auto"/>
          <w:szCs w:val="21"/>
          <w:highlight w:val="none"/>
        </w:rPr>
        <w:t>.2采购人或采购人委托的采购代理机构自受理询问之日起3个工作日内对供应商依法提出的询问作出答复，</w:t>
      </w:r>
      <w:r>
        <w:rPr>
          <w:rFonts w:hint="eastAsia"/>
          <w:color w:val="auto"/>
          <w:highlight w:val="none"/>
        </w:rPr>
        <w:t>但答复内容不得涉及商业秘密</w:t>
      </w:r>
      <w:r>
        <w:rPr>
          <w:rFonts w:hint="eastAsia" w:hAnsi="宋体"/>
          <w:bCs/>
          <w:color w:val="auto"/>
          <w:szCs w:val="21"/>
          <w:highlight w:val="none"/>
        </w:rPr>
        <w:t>。</w:t>
      </w:r>
    </w:p>
    <w:p>
      <w:pPr>
        <w:shd w:val="clear" w:color="auto" w:fill="auto"/>
        <w:spacing w:line="360" w:lineRule="auto"/>
        <w:ind w:firstLine="420" w:firstLineChars="200"/>
        <w:rPr>
          <w:rFonts w:hint="eastAsia" w:hAnsi="宋体"/>
          <w:bCs/>
          <w:color w:val="auto"/>
          <w:szCs w:val="21"/>
          <w:highlight w:val="none"/>
        </w:rPr>
      </w:pPr>
      <w:r>
        <w:rPr>
          <w:rFonts w:hAnsi="宋体"/>
          <w:bCs/>
          <w:color w:val="auto"/>
          <w:szCs w:val="21"/>
          <w:highlight w:val="none"/>
        </w:rPr>
        <w:t xml:space="preserve">38.1.3 </w:t>
      </w:r>
      <w:r>
        <w:rPr>
          <w:rFonts w:hint="eastAsia" w:hAnsi="宋体"/>
          <w:bCs/>
          <w:color w:val="auto"/>
          <w:szCs w:val="21"/>
          <w:highlight w:val="none"/>
        </w:rPr>
        <w:t>询问事项可能影响中标、成交结果的，采购人应当暂停签订合同，已经签订合同的，应当中止履行合同。</w:t>
      </w:r>
    </w:p>
    <w:p>
      <w:pPr>
        <w:shd w:val="clear" w:color="auto" w:fill="auto"/>
        <w:spacing w:line="360" w:lineRule="auto"/>
        <w:ind w:firstLine="422" w:firstLineChars="200"/>
        <w:rPr>
          <w:rFonts w:hint="eastAsia" w:ascii="宋体" w:hAnsi="宋体"/>
          <w:color w:val="auto"/>
          <w:szCs w:val="21"/>
          <w:highlight w:val="none"/>
        </w:rPr>
      </w:pPr>
      <w:r>
        <w:rPr>
          <w:rFonts w:hint="eastAsia" w:ascii="宋体" w:hAnsi="宋体"/>
          <w:b/>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质疑</w:t>
      </w:r>
    </w:p>
    <w:p>
      <w:pPr>
        <w:shd w:val="clear" w:color="auto" w:fill="auto"/>
        <w:spacing w:line="360" w:lineRule="auto"/>
        <w:ind w:firstLine="420" w:firstLineChars="200"/>
        <w:rPr>
          <w:rFonts w:hint="eastAsia" w:ascii="宋体" w:hAnsi="宋体"/>
          <w:b/>
          <w:color w:val="auto"/>
          <w:szCs w:val="21"/>
          <w:highlight w:val="none"/>
        </w:rPr>
      </w:pPr>
      <w:r>
        <w:rPr>
          <w:rFonts w:hint="eastAsia" w:ascii="宋体" w:hAnsi="宋体"/>
          <w:color w:val="auto"/>
          <w:szCs w:val="21"/>
          <w:highlight w:val="none"/>
        </w:rPr>
        <w:t>38.2.1</w:t>
      </w:r>
      <w:r>
        <w:rPr>
          <w:rFonts w:hint="eastAsia" w:ascii="宋体" w:hAnsi="宋体"/>
          <w:b/>
          <w:color w:val="auto"/>
          <w:szCs w:val="21"/>
          <w:highlight w:val="none"/>
        </w:rPr>
        <w:t xml:space="preserve">供应商认为招标文件、采购过程或者中标结果使自己的合法权益受到损害的，必须在知道或者应知其权益受到损害之日起7个工作日内，以书面形式向采购人、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（1）潜在供应商依法获取公开招标文件后，认为采购文件使自己的权益受到损害的，应当在公开招标文件公告期限届满之日起7个工作日内提出质疑。</w:t>
      </w:r>
      <w:r>
        <w:rPr>
          <w:rFonts w:hint="eastAsia"/>
          <w:color w:val="auto"/>
          <w:highlight w:val="none"/>
        </w:rPr>
        <w:t>委托代理协议无特殊约定的，</w:t>
      </w:r>
      <w:r>
        <w:rPr>
          <w:rFonts w:hint="eastAsia" w:hAnsi="宋体"/>
          <w:bCs/>
          <w:color w:val="auto"/>
          <w:highlight w:val="none"/>
        </w:rPr>
        <w:t>对公开招标文件中采购需求（含资格要求、采购预算和评分办法）的质疑由采购人受理并负责答复；对公开招标文件中的采购执行程序的质疑由采购代理机构受理并负责答复。</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代理机构提出，由采购人或代理机构受理并负责答复；对采购过程中采购执行程序的质疑由采购代理机构受理并负责答复。</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（3）供应商认为中标或者成交结果使自己的权益受到损害的，应当在中标或者成交结果公告期限届满之日起7个工作日内提出质疑，由采购人受理并负责答复。</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38.2.2供应商质疑实行实名制，其质疑应当有具体的质疑事项及事实根据，质疑应当坚持依法依规、诚实信用原则，不得进行虚假、恶意质疑。</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38.2.3 质疑供应商可以委托代理人办理质疑事务。委托代理人应熟悉相关业务情况。代理人办理质疑事务时，除提交质疑书外，还应当提交质疑供应商的授权委托书和委托代理人身份证明复印件。</w:t>
      </w:r>
    </w:p>
    <w:p>
      <w:pPr>
        <w:shd w:val="clear" w:color="auto" w:fill="auto"/>
        <w:spacing w:line="360" w:lineRule="auto"/>
        <w:ind w:firstLine="422" w:firstLineChars="200"/>
        <w:rPr>
          <w:rFonts w:hint="eastAsia" w:hAnsi="宋体"/>
          <w:b/>
          <w:bCs/>
          <w:color w:val="auto"/>
          <w:highlight w:val="none"/>
        </w:rPr>
      </w:pPr>
      <w:r>
        <w:rPr>
          <w:rFonts w:hint="eastAsia" w:hAnsi="宋体"/>
          <w:b/>
          <w:bCs/>
          <w:color w:val="auto"/>
          <w:highlight w:val="none"/>
        </w:rPr>
        <w:t>38.2.4 质疑供应商提起质疑应当符合下列条件：</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（1）质疑供应商是参与所质疑</w:t>
      </w:r>
      <w:r>
        <w:rPr>
          <w:rFonts w:hint="eastAsia" w:hAnsi="宋体"/>
          <w:bCs/>
          <w:color w:val="auto"/>
          <w:szCs w:val="21"/>
          <w:highlight w:val="none"/>
        </w:rPr>
        <w:t>项目</w:t>
      </w:r>
      <w:r>
        <w:rPr>
          <w:rFonts w:hint="eastAsia" w:hAnsi="宋体"/>
          <w:bCs/>
          <w:color w:val="auto"/>
          <w:highlight w:val="none"/>
        </w:rPr>
        <w:t>采购活动的供应商（潜在供应商已依法获取可质疑的采购文件的，可以对该采购文件质疑）；</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（2）质疑函内容符合本章第38.2.5项的规定；</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（3）在质疑有效期限内提起质疑；</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（4）属于所质疑的采购人或采购人委托的采购代理机构组织的采购活动；</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 xml:space="preserve">（5）同一质疑事项未经采购人或采购人委托的采购代理机构质疑处理； </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（6）供应商对同一采购程序环节的质疑应当在质疑有效期内一次性提出；</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（7）供应商提交质疑应当提交必要的证明材料，证明材料应以合法手段取得；</w:t>
      </w:r>
    </w:p>
    <w:p>
      <w:pPr>
        <w:shd w:val="clear" w:color="auto" w:fill="auto"/>
        <w:spacing w:line="360" w:lineRule="auto"/>
        <w:ind w:firstLine="420" w:firstLineChars="200"/>
        <w:rPr>
          <w:rFonts w:hint="eastAsia"/>
          <w:color w:val="auto"/>
          <w:highlight w:val="none"/>
        </w:rPr>
      </w:pPr>
      <w:r>
        <w:rPr>
          <w:rFonts w:hint="eastAsia" w:hAnsi="宋体"/>
          <w:bCs/>
          <w:color w:val="auto"/>
          <w:highlight w:val="none"/>
        </w:rPr>
        <w:t>（8）财政部门规定的其他条件。</w:t>
      </w:r>
    </w:p>
    <w:p>
      <w:pPr>
        <w:shd w:val="clear" w:color="auto" w:fill="auto"/>
        <w:spacing w:line="360" w:lineRule="auto"/>
        <w:ind w:firstLine="420" w:firstLineChars="200"/>
        <w:rPr>
          <w:rFonts w:ascii="宋体" w:hAnsi="宋体"/>
          <w:b/>
          <w:color w:val="auto"/>
          <w:szCs w:val="21"/>
          <w:highlight w:val="none"/>
        </w:rPr>
      </w:pPr>
      <w:bookmarkStart w:id="153" w:name="_9.2质疑、投诉应当采用书面形式，质疑函、投诉书均应明确阐述招标文件、"/>
      <w:bookmarkEnd w:id="153"/>
      <w:r>
        <w:rPr>
          <w:rFonts w:hint="eastAsia" w:ascii="宋体" w:hAnsi="宋体"/>
          <w:color w:val="auto"/>
          <w:szCs w:val="21"/>
          <w:highlight w:val="none"/>
        </w:rPr>
        <w:t xml:space="preserve"> </w:t>
      </w:r>
      <w:r>
        <w:rPr>
          <w:rFonts w:ascii="宋体" w:hAnsi="宋体"/>
          <w:color w:val="auto"/>
          <w:szCs w:val="21"/>
          <w:highlight w:val="none"/>
        </w:rPr>
        <w:t>38</w:t>
      </w:r>
      <w:r>
        <w:rPr>
          <w:rFonts w:hint="eastAsia" w:ascii="宋体" w:hAnsi="宋体"/>
          <w:color w:val="auto"/>
          <w:szCs w:val="21"/>
          <w:highlight w:val="none"/>
        </w:rPr>
        <w:t xml:space="preserve">.2.5 </w:t>
      </w:r>
      <w:r>
        <w:rPr>
          <w:rFonts w:hAnsi="宋体"/>
          <w:bCs/>
          <w:color w:val="auto"/>
          <w:highlight w:val="none"/>
        </w:rPr>
        <w:t>供应商提出质疑应当提交质疑函和必要的证明材料</w:t>
      </w:r>
      <w:r>
        <w:rPr>
          <w:rFonts w:hint="eastAsia" w:hAnsi="宋体"/>
          <w:bCs/>
          <w:color w:val="auto"/>
          <w:highlight w:val="none"/>
        </w:rPr>
        <w:t>，</w:t>
      </w:r>
      <w:r>
        <w:rPr>
          <w:rFonts w:hAnsi="宋体"/>
          <w:bCs/>
          <w:color w:val="auto"/>
          <w:highlight w:val="none"/>
        </w:rPr>
        <w:t>针对同一采购程序环节的质疑</w:t>
      </w:r>
      <w:r>
        <w:rPr>
          <w:rFonts w:hint="eastAsia" w:hAnsi="宋体"/>
          <w:bCs/>
          <w:color w:val="auto"/>
          <w:highlight w:val="none"/>
        </w:rPr>
        <w:t>必须</w:t>
      </w:r>
      <w:r>
        <w:rPr>
          <w:rFonts w:hAnsi="宋体"/>
          <w:bCs/>
          <w:color w:val="auto"/>
          <w:highlight w:val="none"/>
        </w:rPr>
        <w:t>在法定质疑期内一次性提出。质疑函应当包括下列内容</w:t>
      </w:r>
      <w:r>
        <w:rPr>
          <w:rFonts w:hint="eastAsia" w:hAnsi="宋体"/>
          <w:bCs/>
          <w:color w:val="auto"/>
          <w:highlight w:val="none"/>
        </w:rPr>
        <w:t>（质疑函格式后附）</w:t>
      </w:r>
      <w:r>
        <w:rPr>
          <w:rFonts w:hAnsi="宋体"/>
          <w:bCs/>
          <w:color w:val="auto"/>
          <w:highlight w:val="none"/>
        </w:rPr>
        <w:t>：</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1</w:t>
      </w:r>
      <w:r>
        <w:rPr>
          <w:rFonts w:hAnsi="宋体"/>
          <w:bCs/>
          <w:color w:val="auto"/>
          <w:highlight w:val="none"/>
        </w:rPr>
        <w:t>）供应商的姓名或者名称、地址、邮编、联系人及联系电话；</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2</w:t>
      </w:r>
      <w:r>
        <w:rPr>
          <w:rFonts w:hAnsi="宋体"/>
          <w:bCs/>
          <w:color w:val="auto"/>
          <w:highlight w:val="none"/>
        </w:rPr>
        <w:t>）质疑项目的名称、编号；</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3</w:t>
      </w:r>
      <w:r>
        <w:rPr>
          <w:rFonts w:hAnsi="宋体"/>
          <w:bCs/>
          <w:color w:val="auto"/>
          <w:highlight w:val="none"/>
        </w:rPr>
        <w:t>）具体、明确的质疑事项和与质疑事项相关的请求；</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4</w:t>
      </w:r>
      <w:r>
        <w:rPr>
          <w:rFonts w:hAnsi="宋体"/>
          <w:bCs/>
          <w:color w:val="auto"/>
          <w:highlight w:val="none"/>
        </w:rPr>
        <w:t>）事实依据</w:t>
      </w:r>
      <w:r>
        <w:rPr>
          <w:rFonts w:hint="eastAsia" w:hAnsi="宋体"/>
          <w:bCs/>
          <w:color w:val="auto"/>
          <w:highlight w:val="none"/>
        </w:rPr>
        <w:t>（列明权益受到损害的事实和理由）</w:t>
      </w:r>
      <w:r>
        <w:rPr>
          <w:rFonts w:hAnsi="宋体"/>
          <w:bCs/>
          <w:color w:val="auto"/>
          <w:highlight w:val="none"/>
        </w:rPr>
        <w:t>；</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5</w:t>
      </w:r>
      <w:r>
        <w:rPr>
          <w:rFonts w:hAnsi="宋体"/>
          <w:bCs/>
          <w:color w:val="auto"/>
          <w:highlight w:val="none"/>
        </w:rPr>
        <w:t>）必要的法律依据；</w:t>
      </w:r>
    </w:p>
    <w:p>
      <w:pPr>
        <w:shd w:val="clear" w:color="auto" w:fill="auto"/>
        <w:spacing w:line="360" w:lineRule="auto"/>
        <w:ind w:firstLine="420" w:firstLineChars="200"/>
        <w:rPr>
          <w:rFonts w:hAnsi="宋体"/>
          <w:bCs/>
          <w:color w:val="auto"/>
          <w:highlight w:val="none"/>
        </w:rPr>
      </w:pPr>
      <w:r>
        <w:rPr>
          <w:rFonts w:hAnsi="宋体"/>
          <w:bCs/>
          <w:color w:val="auto"/>
          <w:highlight w:val="none"/>
        </w:rPr>
        <w:t>（</w:t>
      </w:r>
      <w:r>
        <w:rPr>
          <w:rFonts w:hint="eastAsia" w:hAnsi="宋体"/>
          <w:bCs/>
          <w:color w:val="auto"/>
          <w:highlight w:val="none"/>
        </w:rPr>
        <w:t>6</w:t>
      </w:r>
      <w:r>
        <w:rPr>
          <w:rFonts w:hAnsi="宋体"/>
          <w:bCs/>
          <w:color w:val="auto"/>
          <w:highlight w:val="none"/>
        </w:rPr>
        <w:t>）提出质疑的日期。</w:t>
      </w:r>
    </w:p>
    <w:p>
      <w:pPr>
        <w:shd w:val="clear" w:color="auto" w:fill="auto"/>
        <w:spacing w:line="360" w:lineRule="auto"/>
        <w:ind w:firstLine="420" w:firstLineChars="200"/>
        <w:rPr>
          <w:rFonts w:hint="eastAsia" w:hAnsi="宋体"/>
          <w:bCs/>
          <w:color w:val="auto"/>
          <w:highlight w:val="none"/>
        </w:rPr>
      </w:pPr>
      <w:r>
        <w:rPr>
          <w:rFonts w:hAnsi="宋体"/>
          <w:bCs/>
          <w:color w:val="auto"/>
          <w:highlight w:val="none"/>
        </w:rPr>
        <w:t>供应商为自然人的，应当由本人签字；供应商为法人或者其他组织的，应当由法定代表人、主要负责人，或者其委托代理人签字或者盖章，并加盖公章</w:t>
      </w:r>
      <w:r>
        <w:rPr>
          <w:rFonts w:hint="eastAsia" w:hAnsi="宋体"/>
          <w:bCs/>
          <w:color w:val="auto"/>
          <w:highlight w:val="none"/>
        </w:rPr>
        <w:t>。</w:t>
      </w:r>
    </w:p>
    <w:p>
      <w:pPr>
        <w:shd w:val="clear" w:color="auto" w:fill="auto"/>
        <w:spacing w:line="360" w:lineRule="auto"/>
        <w:ind w:firstLine="422" w:firstLineChars="200"/>
        <w:rPr>
          <w:rFonts w:hint="eastAsia" w:ascii="宋体" w:hAnsi="宋体"/>
          <w:b/>
          <w:color w:val="auto"/>
          <w:szCs w:val="20"/>
          <w:highlight w:val="none"/>
        </w:rPr>
      </w:pPr>
      <w:r>
        <w:rPr>
          <w:rFonts w:hint="eastAsia" w:ascii="宋体" w:hAnsi="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p>
    <w:p>
      <w:pPr>
        <w:shd w:val="clear" w:color="auto" w:fill="auto"/>
        <w:spacing w:line="360" w:lineRule="auto"/>
        <w:ind w:firstLine="420" w:firstLineChars="200"/>
        <w:rPr>
          <w:rFonts w:hint="eastAsia" w:ascii="宋体" w:hAnsi="宋体"/>
          <w:bCs/>
          <w:color w:val="auto"/>
          <w:szCs w:val="21"/>
          <w:highlight w:val="none"/>
        </w:rPr>
      </w:pPr>
      <w:r>
        <w:rPr>
          <w:rFonts w:ascii="宋体" w:hAnsi="宋体"/>
          <w:color w:val="auto"/>
          <w:szCs w:val="21"/>
          <w:highlight w:val="none"/>
        </w:rPr>
        <w:t>3</w:t>
      </w:r>
      <w:r>
        <w:rPr>
          <w:rFonts w:ascii="宋体" w:hAnsi="宋体"/>
          <w:bCs/>
          <w:color w:val="auto"/>
          <w:szCs w:val="21"/>
          <w:highlight w:val="none"/>
        </w:rPr>
        <w:t>8.</w:t>
      </w:r>
      <w:r>
        <w:rPr>
          <w:rFonts w:hint="eastAsia" w:ascii="宋体" w:hAnsi="宋体"/>
          <w:bCs/>
          <w:color w:val="auto"/>
          <w:szCs w:val="21"/>
          <w:highlight w:val="none"/>
        </w:rPr>
        <w:t>2.7采购人、采购代理机构认为供应商质疑不成立，或者成立但未对中标结果构成影响的，继续开展采购活动；认为供应商质疑成立且影响或者可能影响中标结果的，按照下列情况处理：</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　　（一）对招标文件提出的质疑，依法通过澄清或者修改可以继续开展采购活动的，澄清或者修改招标文件后继续开展采购活动；否则应当修改招标文件后重新开展采购活动。</w:t>
      </w:r>
    </w:p>
    <w:p>
      <w:pPr>
        <w:shd w:val="clear" w:color="auto" w:fill="auto"/>
        <w:spacing w:line="360" w:lineRule="auto"/>
        <w:ind w:firstLine="420" w:firstLineChars="200"/>
        <w:rPr>
          <w:rFonts w:hint="eastAsia" w:hAnsi="宋体"/>
          <w:bCs/>
          <w:color w:val="auto"/>
          <w:highlight w:val="none"/>
        </w:rPr>
      </w:pPr>
      <w:r>
        <w:rPr>
          <w:rFonts w:hint="eastAsia" w:hAnsi="宋体"/>
          <w:bCs/>
          <w:color w:val="auto"/>
          <w:highlight w:val="none"/>
        </w:rPr>
        <w:t>　　（二）对采购过程、中标结果提出的质疑，合格供应商符合法定数量时，可以从合格的中标候选人中另行确定中标供应商的，应当依法另行确定中标供应商；否则应当重新开展采购活动。</w:t>
      </w:r>
    </w:p>
    <w:p>
      <w:pPr>
        <w:shd w:val="clear" w:color="auto" w:fill="auto"/>
        <w:spacing w:line="360" w:lineRule="auto"/>
        <w:ind w:firstLine="420" w:firstLineChars="200"/>
        <w:rPr>
          <w:rFonts w:hAnsi="宋体"/>
          <w:bCs/>
          <w:color w:val="auto"/>
          <w:highlight w:val="none"/>
        </w:rPr>
      </w:pPr>
      <w:r>
        <w:rPr>
          <w:rFonts w:hint="eastAsia" w:hAnsi="宋体"/>
          <w:bCs/>
          <w:color w:val="auto"/>
          <w:highlight w:val="none"/>
        </w:rPr>
        <w:t>质疑答复导致中标结果改变的，采购人或者采购代理机构应当将有关情况书面报告本级财政部门。</w:t>
      </w:r>
    </w:p>
    <w:p>
      <w:pPr>
        <w:shd w:val="clear" w:color="auto" w:fill="auto"/>
        <w:spacing w:line="360" w:lineRule="auto"/>
        <w:ind w:firstLine="422" w:firstLineChars="200"/>
        <w:rPr>
          <w:rFonts w:hint="eastAsia" w:hAnsi="宋体"/>
          <w:b/>
          <w:color w:val="auto"/>
          <w:highlight w:val="none"/>
        </w:rPr>
      </w:pPr>
      <w:r>
        <w:rPr>
          <w:rFonts w:hAnsi="宋体"/>
          <w:b/>
          <w:color w:val="auto"/>
          <w:highlight w:val="none"/>
        </w:rPr>
        <w:t>38</w:t>
      </w:r>
      <w:r>
        <w:rPr>
          <w:rFonts w:hint="eastAsia" w:hAnsi="宋体"/>
          <w:b/>
          <w:color w:val="auto"/>
          <w:highlight w:val="none"/>
        </w:rPr>
        <w:t>.3投诉</w:t>
      </w:r>
    </w:p>
    <w:p>
      <w:pPr>
        <w:shd w:val="clear" w:color="auto" w:fill="auto"/>
        <w:spacing w:line="360" w:lineRule="auto"/>
        <w:ind w:firstLine="422" w:firstLineChars="200"/>
        <w:rPr>
          <w:rFonts w:hint="eastAsia" w:hAnsi="宋体"/>
          <w:bCs/>
          <w:color w:val="auto"/>
          <w:highlight w:val="none"/>
        </w:rPr>
      </w:pPr>
      <w:r>
        <w:rPr>
          <w:rFonts w:hAnsi="宋体"/>
          <w:b/>
          <w:color w:val="auto"/>
          <w:highlight w:val="none"/>
        </w:rPr>
        <w:t>38</w:t>
      </w:r>
      <w:r>
        <w:rPr>
          <w:rFonts w:hint="eastAsia" w:hAnsi="宋体"/>
          <w:b/>
          <w:color w:val="auto"/>
          <w:highlight w:val="none"/>
        </w:rPr>
        <w:t>.3</w:t>
      </w:r>
      <w:r>
        <w:rPr>
          <w:rFonts w:hint="eastAsia" w:hAnsi="宋体"/>
          <w:bCs/>
          <w:color w:val="auto"/>
          <w:highlight w:val="none"/>
        </w:rPr>
        <w:t>.</w:t>
      </w:r>
      <w:r>
        <w:rPr>
          <w:rFonts w:hint="eastAsia" w:hAnsi="宋体"/>
          <w:b/>
          <w:bCs/>
          <w:color w:val="auto"/>
          <w:highlight w:val="none"/>
        </w:rPr>
        <w:t xml:space="preserve">1 </w:t>
      </w:r>
      <w:r>
        <w:rPr>
          <w:rFonts w:hint="eastAsia" w:hAnsi="宋体"/>
          <w:bCs/>
          <w:color w:val="auto"/>
          <w:highlight w:val="none"/>
        </w:rPr>
        <w:t xml:space="preserve"> 供应商认为采购文件、采购过程、中标和成交结果使自己的合法权益受到损害的，应当首先依法向采购人或采购人委托的</w:t>
      </w:r>
      <w:r>
        <w:rPr>
          <w:rFonts w:hint="eastAsia" w:hAnsi="宋体"/>
          <w:color w:val="auto"/>
          <w:highlight w:val="none"/>
        </w:rPr>
        <w:t>采购代理机构</w:t>
      </w:r>
      <w:r>
        <w:rPr>
          <w:rFonts w:hint="eastAsia" w:hAnsi="宋体"/>
          <w:bCs/>
          <w:color w:val="auto"/>
          <w:highlight w:val="none"/>
        </w:rPr>
        <w:t>提出质疑。对采购人、</w:t>
      </w:r>
      <w:r>
        <w:rPr>
          <w:rFonts w:hint="eastAsia" w:hAnsi="宋体"/>
          <w:color w:val="auto"/>
          <w:highlight w:val="none"/>
        </w:rPr>
        <w:t>采购代理机构</w:t>
      </w:r>
      <w:r>
        <w:rPr>
          <w:rFonts w:hint="eastAsia" w:hAnsi="宋体"/>
          <w:bCs/>
          <w:color w:val="auto"/>
          <w:highlight w:val="none"/>
        </w:rPr>
        <w:t>的答复不满意，或者采购人、</w:t>
      </w:r>
      <w:r>
        <w:rPr>
          <w:rFonts w:hint="eastAsia" w:hAnsi="宋体"/>
          <w:color w:val="auto"/>
          <w:highlight w:val="none"/>
        </w:rPr>
        <w:t>采购代理机构</w:t>
      </w:r>
      <w:r>
        <w:rPr>
          <w:rFonts w:hint="eastAsia" w:hAnsi="宋体"/>
          <w:bCs/>
          <w:color w:val="auto"/>
          <w:highlight w:val="none"/>
        </w:rPr>
        <w:t>未在规定期限内做出答复的，供应商可以在答复期满后15个工作日内向南宁市财政局政府采购监督管理办公室提起投诉，投诉联系方式见“投标人须知前附表”。</w:t>
      </w:r>
    </w:p>
    <w:p>
      <w:pPr>
        <w:shd w:val="clear" w:color="auto" w:fill="auto"/>
        <w:spacing w:line="360" w:lineRule="auto"/>
        <w:ind w:firstLine="422" w:firstLineChars="200"/>
        <w:rPr>
          <w:rFonts w:hint="eastAsia"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.2 </w:t>
      </w:r>
      <w:r>
        <w:rPr>
          <w:rFonts w:hint="eastAsia"/>
          <w:color w:val="auto"/>
          <w:highlight w:val="none"/>
        </w:rPr>
        <w:t xml:space="preserve"> 投诉人投诉时，应当提交投诉书，并按照被投诉采购人、</w:t>
      </w:r>
      <w:r>
        <w:rPr>
          <w:rFonts w:hint="eastAsia" w:hAnsi="宋体"/>
          <w:color w:val="auto"/>
          <w:highlight w:val="none"/>
        </w:rPr>
        <w:t>采购代理机构</w:t>
      </w:r>
      <w:r>
        <w:rPr>
          <w:rFonts w:hint="eastAsia"/>
          <w:color w:val="auto"/>
          <w:highlight w:val="none"/>
        </w:rPr>
        <w:t>和与投诉事项有关的供应商数量提供投诉书的副本。投诉书</w:t>
      </w:r>
      <w:r>
        <w:rPr>
          <w:rFonts w:hint="eastAsia"/>
          <w:color w:val="auto"/>
          <w:szCs w:val="21"/>
          <w:highlight w:val="none"/>
        </w:rPr>
        <w:t>应当包括下列主要内容</w:t>
      </w:r>
      <w:r>
        <w:rPr>
          <w:rFonts w:hint="eastAsia"/>
          <w:color w:val="auto"/>
          <w:highlight w:val="none"/>
        </w:rPr>
        <w:t>（如材料中有外文资料应同时附上对应的中文译本）</w:t>
      </w:r>
      <w:r>
        <w:rPr>
          <w:rFonts w:hint="eastAsia" w:hAnsi="宋体"/>
          <w:bCs/>
          <w:color w:val="auto"/>
          <w:highlight w:val="none"/>
        </w:rPr>
        <w:t>（投诉书格式后附）</w:t>
      </w:r>
      <w:r>
        <w:rPr>
          <w:rFonts w:hint="eastAsia"/>
          <w:color w:val="auto"/>
          <w:szCs w:val="21"/>
          <w:highlight w:val="none"/>
        </w:rPr>
        <w:t>：</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 xml:space="preserve">（1）投诉人和被投诉人的名称、地址、邮编、联系人及联系电话等； </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（2）质疑和质疑答复情况及相关证明材料；</w:t>
      </w:r>
      <w:r>
        <w:rPr>
          <w:rFonts w:hint="eastAsia"/>
          <w:color w:val="auto"/>
          <w:highlight w:val="none"/>
        </w:rPr>
        <w:t xml:space="preserve"> </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（3）具体、明确的投诉事项和与投诉事项相关的投诉请求；</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（4）事实依据；</w:t>
      </w:r>
    </w:p>
    <w:p>
      <w:pPr>
        <w:shd w:val="clear" w:color="auto" w:fill="auto"/>
        <w:spacing w:line="360" w:lineRule="auto"/>
        <w:ind w:firstLine="420" w:firstLineChars="200"/>
        <w:rPr>
          <w:rFonts w:hint="eastAsia"/>
          <w:color w:val="auto"/>
          <w:highlight w:val="none"/>
        </w:rPr>
      </w:pPr>
      <w:r>
        <w:rPr>
          <w:rFonts w:hint="eastAsia" w:hAnsi="宋体"/>
          <w:color w:val="auto"/>
          <w:highlight w:val="none"/>
        </w:rPr>
        <w:t>（5）法律依据；</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（6）提起投诉的日期。</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（7）附件材料：营业执照副本内页复印件（要求证件有效并清晰反映企业法人经营范围）。</w:t>
      </w:r>
      <w:r>
        <w:rPr>
          <w:rFonts w:hint="eastAsia" w:hAnsi="宋体"/>
          <w:color w:val="auto"/>
          <w:highlight w:val="none"/>
        </w:rPr>
        <w:tab/>
      </w:r>
    </w:p>
    <w:p>
      <w:pPr>
        <w:shd w:val="clear" w:color="auto" w:fill="auto"/>
        <w:spacing w:line="360" w:lineRule="auto"/>
        <w:ind w:firstLine="422" w:firstLineChars="200"/>
        <w:rPr>
          <w:rFonts w:hint="eastAsia" w:hAnsi="宋体"/>
          <w:bCs/>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 xml:space="preserve">.3  </w:t>
      </w:r>
      <w:r>
        <w:rPr>
          <w:rFonts w:hint="eastAsia"/>
          <w:color w:val="auto"/>
          <w:highlight w:val="none"/>
        </w:rPr>
        <w:t>投诉人可以委托代理人办理投诉事务。</w:t>
      </w:r>
      <w:r>
        <w:rPr>
          <w:rFonts w:hint="eastAsia" w:hAnsi="宋体"/>
          <w:bCs/>
          <w:color w:val="auto"/>
          <w:highlight w:val="none"/>
        </w:rPr>
        <w:t>委托代理人应熟悉相关业务情况。</w:t>
      </w:r>
      <w:r>
        <w:rPr>
          <w:rFonts w:hint="eastAsia"/>
          <w:color w:val="auto"/>
          <w:highlight w:val="none"/>
        </w:rPr>
        <w:t>代理人办理投诉事务时，除提交投诉书外，还应当提交投诉人的授权委托书和</w:t>
      </w:r>
      <w:r>
        <w:rPr>
          <w:rFonts w:hint="eastAsia" w:hAnsi="宋体"/>
          <w:color w:val="auto"/>
          <w:highlight w:val="none"/>
        </w:rPr>
        <w:t>委托代理人身份证明复印件。</w:t>
      </w:r>
    </w:p>
    <w:p>
      <w:pPr>
        <w:shd w:val="clear" w:color="auto" w:fill="auto"/>
        <w:spacing w:line="360" w:lineRule="auto"/>
        <w:ind w:firstLine="422" w:firstLineChars="200"/>
        <w:rPr>
          <w:rFonts w:hint="eastAsia" w:hAnsi="宋体"/>
          <w:color w:val="auto"/>
          <w:highlight w:val="none"/>
        </w:rPr>
      </w:pPr>
      <w:r>
        <w:rPr>
          <w:rFonts w:hAnsi="宋体"/>
          <w:b/>
          <w:color w:val="auto"/>
          <w:highlight w:val="none"/>
        </w:rPr>
        <w:t>38</w:t>
      </w:r>
      <w:r>
        <w:rPr>
          <w:rFonts w:hint="eastAsia" w:hAnsi="宋体"/>
          <w:b/>
          <w:color w:val="auto"/>
          <w:highlight w:val="none"/>
        </w:rPr>
        <w:t>.3</w:t>
      </w:r>
      <w:r>
        <w:rPr>
          <w:rFonts w:hint="eastAsia"/>
          <w:b/>
          <w:color w:val="auto"/>
          <w:highlight w:val="none"/>
        </w:rPr>
        <w:t>.4</w:t>
      </w:r>
      <w:r>
        <w:rPr>
          <w:rFonts w:hint="eastAsia"/>
          <w:color w:val="auto"/>
          <w:highlight w:val="none"/>
        </w:rPr>
        <w:t xml:space="preserve">  投诉人提起投诉应当符合下列条件：</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（1）投诉人是参与所投诉政府采购活动的供应商；</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（2）提起投诉前已依法进行质疑；</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（3）投诉书内容符合本章第38.3.2项的规定；</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（4）在投诉有效期限内提起投诉；</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（5）属于南宁市政府采购监督管理部门管辖；</w:t>
      </w:r>
    </w:p>
    <w:p>
      <w:pPr>
        <w:shd w:val="clear" w:color="auto" w:fill="auto"/>
        <w:spacing w:line="360" w:lineRule="auto"/>
        <w:ind w:firstLine="420" w:firstLineChars="200"/>
        <w:rPr>
          <w:rFonts w:hint="eastAsia" w:ascii="宋体" w:hAnsi="宋体"/>
          <w:color w:val="auto"/>
          <w:highlight w:val="none"/>
        </w:rPr>
      </w:pPr>
      <w:r>
        <w:rPr>
          <w:rFonts w:hint="eastAsia" w:ascii="宋体" w:hAnsi="宋体"/>
          <w:color w:val="auto"/>
          <w:highlight w:val="none"/>
        </w:rPr>
        <w:t>（6）同一投诉事项未经南宁市财政局政府采购监督管理办公室投诉处理；</w:t>
      </w:r>
    </w:p>
    <w:p>
      <w:pPr>
        <w:shd w:val="clear" w:color="auto" w:fill="auto"/>
        <w:spacing w:line="360" w:lineRule="auto"/>
        <w:ind w:firstLine="420" w:firstLineChars="200"/>
        <w:rPr>
          <w:rFonts w:hint="eastAsia" w:ascii="宋体"/>
          <w:color w:val="auto"/>
          <w:highlight w:val="none"/>
        </w:rPr>
      </w:pPr>
      <w:r>
        <w:rPr>
          <w:rFonts w:hint="eastAsia" w:ascii="宋体"/>
          <w:color w:val="auto"/>
          <w:highlight w:val="none"/>
        </w:rPr>
        <w:t>（7）</w:t>
      </w:r>
      <w:r>
        <w:rPr>
          <w:rFonts w:hint="eastAsia" w:ascii="宋体" w:hAnsi="Calibri"/>
          <w:color w:val="auto"/>
          <w:highlight w:val="none"/>
        </w:rPr>
        <w:t>国务院财政部门规定的其他条件。</w:t>
      </w:r>
    </w:p>
    <w:p>
      <w:pPr>
        <w:shd w:val="clear" w:color="auto" w:fill="auto"/>
        <w:spacing w:line="360" w:lineRule="auto"/>
        <w:ind w:firstLine="422" w:firstLineChars="200"/>
        <w:rPr>
          <w:rFonts w:hint="eastAsia"/>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.5</w:t>
      </w:r>
      <w:r>
        <w:rPr>
          <w:rFonts w:hint="eastAsia" w:ascii="宋体" w:hAnsi="Calibri"/>
          <w:color w:val="auto"/>
          <w:highlight w:val="none"/>
        </w:rPr>
        <w:t>南宁市政府采购监督管理部门</w:t>
      </w:r>
      <w:r>
        <w:rPr>
          <w:rFonts w:hint="eastAsia" w:ascii="Calibri" w:hAnsi="Calibri"/>
          <w:color w:val="auto"/>
          <w:highlight w:val="none"/>
        </w:rPr>
        <w:t>自受理投诉之日起</w:t>
      </w:r>
      <w:r>
        <w:rPr>
          <w:rFonts w:ascii="Calibri" w:hAnsi="Calibri"/>
          <w:color w:val="auto"/>
          <w:highlight w:val="none"/>
        </w:rPr>
        <w:t>30</w:t>
      </w:r>
      <w:r>
        <w:rPr>
          <w:rFonts w:hint="eastAsia" w:ascii="Calibri" w:hAnsi="Calibri"/>
          <w:color w:val="auto"/>
          <w:highlight w:val="none"/>
        </w:rPr>
        <w:t>个工作日内，对投诉事项作出处理决定，并以书面形式通知投诉人、被投诉人及其他与投诉处理结果有利害关系的政府采购当</w:t>
      </w:r>
      <w:r>
        <w:rPr>
          <w:rFonts w:hint="eastAsia" w:ascii="宋体" w:hAnsi="Calibri"/>
          <w:color w:val="auto"/>
          <w:highlight w:val="none"/>
        </w:rPr>
        <w:t>事人</w:t>
      </w:r>
      <w:r>
        <w:rPr>
          <w:rFonts w:hint="eastAsia" w:ascii="Calibri" w:hAnsi="Calibri"/>
          <w:color w:val="auto"/>
          <w:highlight w:val="none"/>
        </w:rPr>
        <w:t>。并将投诉结果在</w:t>
      </w:r>
      <w:r>
        <w:rPr>
          <w:rFonts w:hint="eastAsia"/>
          <w:color w:val="auto"/>
          <w:highlight w:val="none"/>
        </w:rPr>
        <w:t>http://www.ccgp-guangxi.gov.cn/、http://zfcg.gxzf.gov.cn (广西壮族自治区政府采购网)发布。</w:t>
      </w:r>
    </w:p>
    <w:p>
      <w:pPr>
        <w:shd w:val="clear" w:color="auto" w:fill="auto"/>
        <w:spacing w:line="360" w:lineRule="auto"/>
        <w:ind w:firstLine="422" w:firstLineChars="200"/>
        <w:rPr>
          <w:rFonts w:hint="eastAsia" w:ascii="宋体"/>
          <w:color w:val="auto"/>
          <w:highlight w:val="none"/>
        </w:rPr>
      </w:pPr>
      <w:r>
        <w:rPr>
          <w:rFonts w:hAnsi="宋体"/>
          <w:b/>
          <w:color w:val="auto"/>
          <w:highlight w:val="none"/>
        </w:rPr>
        <w:t>38</w:t>
      </w:r>
      <w:r>
        <w:rPr>
          <w:rFonts w:hint="eastAsia" w:hAnsi="宋体"/>
          <w:b/>
          <w:color w:val="auto"/>
          <w:highlight w:val="none"/>
        </w:rPr>
        <w:t>.3</w:t>
      </w:r>
      <w:r>
        <w:rPr>
          <w:rFonts w:hint="eastAsia" w:ascii="宋体"/>
          <w:b/>
          <w:color w:val="auto"/>
          <w:highlight w:val="none"/>
        </w:rPr>
        <w:t>.6</w:t>
      </w:r>
      <w:r>
        <w:rPr>
          <w:rFonts w:hint="eastAsia" w:ascii="宋体"/>
          <w:color w:val="auto"/>
          <w:highlight w:val="none"/>
        </w:rPr>
        <w:t xml:space="preserve">  南宁市政府采购监督管理部门在处理投诉事项期间，可以视具体情况暂停采购活动。</w:t>
      </w:r>
    </w:p>
    <w:p>
      <w:pPr>
        <w:shd w:val="clear" w:color="auto" w:fill="auto"/>
        <w:snapToGrid w:val="0"/>
        <w:jc w:val="left"/>
        <w:rPr>
          <w:rFonts w:hint="eastAsia" w:ascii="Calibri" w:hAnsi="Calibri"/>
          <w:color w:val="auto"/>
          <w:sz w:val="18"/>
          <w:szCs w:val="18"/>
          <w:highlight w:val="none"/>
        </w:rPr>
      </w:pPr>
    </w:p>
    <w:p>
      <w:pPr>
        <w:shd w:val="clear" w:color="auto" w:fill="auto"/>
        <w:spacing w:line="400" w:lineRule="exact"/>
        <w:ind w:firstLine="643" w:firstLineChars="200"/>
        <w:jc w:val="center"/>
        <w:outlineLvl w:val="2"/>
        <w:rPr>
          <w:rFonts w:hint="eastAsia"/>
          <w:b/>
          <w:bCs/>
          <w:color w:val="auto"/>
          <w:sz w:val="32"/>
          <w:szCs w:val="32"/>
          <w:highlight w:val="none"/>
        </w:rPr>
      </w:pPr>
      <w:bookmarkStart w:id="154" w:name="_Toc177489459"/>
      <w:r>
        <w:rPr>
          <w:rFonts w:hint="eastAsia"/>
          <w:b/>
          <w:bCs/>
          <w:color w:val="auto"/>
          <w:sz w:val="32"/>
          <w:szCs w:val="32"/>
          <w:highlight w:val="none"/>
        </w:rPr>
        <w:t>八、验收</w:t>
      </w:r>
      <w:bookmarkEnd w:id="154"/>
    </w:p>
    <w:p>
      <w:pPr>
        <w:shd w:val="clear" w:color="auto" w:fill="auto"/>
        <w:spacing w:line="360" w:lineRule="auto"/>
        <w:ind w:firstLine="422" w:firstLineChars="200"/>
        <w:rPr>
          <w:rFonts w:hint="eastAsia" w:hAnsi="宋体"/>
          <w:b/>
          <w:color w:val="auto"/>
          <w:highlight w:val="none"/>
        </w:rPr>
      </w:pPr>
      <w:r>
        <w:rPr>
          <w:rFonts w:hint="eastAsia" w:hAnsi="宋体"/>
          <w:b/>
          <w:color w:val="auto"/>
          <w:highlight w:val="none"/>
        </w:rPr>
        <w:t>39.验收</w:t>
      </w:r>
    </w:p>
    <w:p>
      <w:pPr>
        <w:shd w:val="clear" w:color="auto" w:fill="auto"/>
        <w:tabs>
          <w:tab w:val="left" w:pos="0"/>
        </w:tabs>
        <w:spacing w:line="360" w:lineRule="auto"/>
        <w:ind w:firstLine="480"/>
        <w:rPr>
          <w:rFonts w:hint="eastAsia" w:hAnsi="宋体"/>
          <w:color w:val="auto"/>
          <w:highlight w:val="none"/>
        </w:rPr>
      </w:pPr>
      <w:r>
        <w:rPr>
          <w:rFonts w:hint="eastAsia" w:hAnsi="宋体"/>
          <w:color w:val="auto"/>
          <w:highlight w:val="none"/>
        </w:rPr>
        <w:t>39.1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shd w:val="clear" w:color="auto" w:fill="auto"/>
        <w:tabs>
          <w:tab w:val="left" w:pos="0"/>
        </w:tabs>
        <w:spacing w:line="360" w:lineRule="auto"/>
        <w:ind w:firstLine="480"/>
        <w:rPr>
          <w:rFonts w:hint="eastAsia" w:hAnsi="宋体"/>
          <w:color w:val="auto"/>
          <w:highlight w:val="none"/>
        </w:rPr>
      </w:pPr>
      <w:r>
        <w:rPr>
          <w:rFonts w:hint="eastAsia" w:hAnsi="宋体"/>
          <w:color w:val="auto"/>
          <w:highlight w:val="none"/>
        </w:rPr>
        <w:t>39.2采购人可以邀请参加本项目的其他投标人或者第三方机构参与验收。参与验收的投标人或者第三方机构的意见作为验收书的参考资料一并存档。</w:t>
      </w:r>
    </w:p>
    <w:p>
      <w:pPr>
        <w:shd w:val="clear" w:color="auto" w:fill="auto"/>
        <w:tabs>
          <w:tab w:val="left" w:pos="0"/>
        </w:tabs>
        <w:spacing w:line="360" w:lineRule="auto"/>
        <w:ind w:firstLine="480"/>
        <w:rPr>
          <w:rFonts w:hint="eastAsia" w:hAnsi="宋体"/>
          <w:color w:val="auto"/>
          <w:highlight w:val="none"/>
        </w:rPr>
      </w:pPr>
      <w:r>
        <w:rPr>
          <w:rFonts w:hint="eastAsia" w:hAnsi="宋体"/>
          <w:color w:val="auto"/>
          <w:highlight w:val="none"/>
        </w:rPr>
        <w:t>39.3严格按照采购合同开展履约验收。采购人成立验收小组，按照采购合同的约定对供应商履约情况进行验收。验收时，按照采购合同的约定对每一项服务的履约情况进行确认。验收结束后，应当出具验收书，列明各项标准的验收情况及项目总体评价，由验收双方共同签署。验收结果与采购合同约定的资金支付及履约保证金</w:t>
      </w:r>
      <w:r>
        <w:rPr>
          <w:rFonts w:hint="eastAsia"/>
          <w:color w:val="auto"/>
          <w:highlight w:val="none"/>
        </w:rPr>
        <w:t>（如有）</w:t>
      </w:r>
      <w:r>
        <w:rPr>
          <w:rFonts w:hint="eastAsia" w:hAnsi="宋体"/>
          <w:color w:val="auto"/>
          <w:highlight w:val="none"/>
        </w:rPr>
        <w:t>返还条件挂钩。履约验收的各项资料应当存档备查。</w:t>
      </w:r>
    </w:p>
    <w:p>
      <w:pPr>
        <w:shd w:val="clear" w:color="auto" w:fill="auto"/>
        <w:tabs>
          <w:tab w:val="left" w:pos="0"/>
        </w:tabs>
        <w:spacing w:line="360" w:lineRule="auto"/>
        <w:ind w:firstLine="480"/>
        <w:rPr>
          <w:rFonts w:hint="eastAsia" w:hAnsi="宋体"/>
          <w:color w:val="auto"/>
          <w:highlight w:val="none"/>
        </w:rPr>
      </w:pPr>
      <w:r>
        <w:rPr>
          <w:rFonts w:hint="eastAsia" w:hAnsi="宋体"/>
          <w:color w:val="auto"/>
          <w:highlight w:val="none"/>
        </w:rPr>
        <w:t>39.4验收合格的项目，采购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hd w:val="clear" w:color="auto" w:fill="auto"/>
        <w:snapToGrid w:val="0"/>
        <w:spacing w:line="400" w:lineRule="exact"/>
        <w:rPr>
          <w:rFonts w:hint="eastAsia" w:ascii="宋体" w:hAnsi="宋体"/>
          <w:color w:val="auto"/>
          <w:szCs w:val="20"/>
          <w:highlight w:val="none"/>
        </w:rPr>
      </w:pPr>
    </w:p>
    <w:p>
      <w:pPr>
        <w:shd w:val="clear" w:color="auto" w:fill="auto"/>
        <w:spacing w:line="360" w:lineRule="auto"/>
        <w:ind w:firstLine="643" w:firstLineChars="200"/>
        <w:jc w:val="center"/>
        <w:outlineLvl w:val="2"/>
        <w:rPr>
          <w:rFonts w:hint="eastAsia"/>
          <w:b/>
          <w:bCs/>
          <w:color w:val="auto"/>
          <w:sz w:val="32"/>
          <w:szCs w:val="32"/>
          <w:highlight w:val="none"/>
        </w:rPr>
      </w:pPr>
      <w:bookmarkStart w:id="155" w:name="_八、其他事项"/>
      <w:bookmarkEnd w:id="155"/>
      <w:bookmarkStart w:id="156" w:name="_Toc177489460"/>
      <w:r>
        <w:rPr>
          <w:rFonts w:hint="eastAsia"/>
          <w:b/>
          <w:bCs/>
          <w:color w:val="auto"/>
          <w:sz w:val="32"/>
          <w:szCs w:val="32"/>
          <w:highlight w:val="none"/>
        </w:rPr>
        <w:t>九、其他事项</w:t>
      </w:r>
      <w:bookmarkEnd w:id="156"/>
    </w:p>
    <w:p>
      <w:pPr>
        <w:shd w:val="clear" w:color="auto" w:fill="auto"/>
        <w:spacing w:line="360" w:lineRule="auto"/>
        <w:ind w:firstLine="480" w:firstLineChars="200"/>
        <w:rPr>
          <w:rFonts w:hint="eastAsia" w:ascii="黑体" w:hAnsi="黑体" w:eastAsia="黑体"/>
          <w:color w:val="auto"/>
          <w:sz w:val="24"/>
          <w:highlight w:val="none"/>
        </w:rPr>
      </w:pPr>
      <w:bookmarkStart w:id="157" w:name="_42.代理服务费"/>
      <w:bookmarkEnd w:id="157"/>
      <w:r>
        <w:rPr>
          <w:rFonts w:hint="eastAsia" w:ascii="黑体" w:hAnsi="黑体" w:eastAsia="黑体"/>
          <w:color w:val="auto"/>
          <w:sz w:val="24"/>
          <w:highlight w:val="none"/>
        </w:rPr>
        <w:t>40.代理服务费</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40.1代理服务收费标准及缴费账户详见“投标人须知前附表”，投标人为联合体的，可以由联合体中的一方或者多方共同交纳代理服务费。</w:t>
      </w:r>
    </w:p>
    <w:p>
      <w:pPr>
        <w:shd w:val="clear" w:color="auto" w:fill="auto"/>
        <w:spacing w:line="396" w:lineRule="exact"/>
        <w:ind w:firstLine="470" w:firstLineChars="196"/>
        <w:outlineLvl w:val="1"/>
        <w:rPr>
          <w:color w:val="auto"/>
          <w:highlight w:val="none"/>
          <w:shd w:val="clear" w:color="auto" w:fill="FFFFFF"/>
        </w:rPr>
      </w:pPr>
      <w:bookmarkStart w:id="158" w:name="_Toc177489461"/>
      <w:r>
        <w:rPr>
          <w:rFonts w:hint="eastAsia" w:ascii="黑体" w:hAnsi="黑体" w:eastAsia="黑体"/>
          <w:color w:val="auto"/>
          <w:sz w:val="24"/>
          <w:highlight w:val="none"/>
        </w:rPr>
        <w:t>40.2</w:t>
      </w:r>
      <w:bookmarkStart w:id="159" w:name="_Toc482714760"/>
      <w:bookmarkStart w:id="160" w:name="_Toc14852624"/>
      <w:bookmarkStart w:id="161" w:name="_Toc493522515"/>
      <w:bookmarkStart w:id="162" w:name="_Toc7797858"/>
      <w:bookmarkStart w:id="163" w:name="_Toc36048171"/>
      <w:bookmarkStart w:id="164" w:name="_Toc448421124"/>
      <w:r>
        <w:rPr>
          <w:rFonts w:hint="eastAsia"/>
          <w:color w:val="auto"/>
          <w:highlight w:val="none"/>
          <w:shd w:val="clear" w:color="auto" w:fill="FFFFFF"/>
        </w:rPr>
        <w:t>代</w:t>
      </w:r>
      <w:bookmarkStart w:id="165" w:name="OLE_LINK20"/>
      <w:r>
        <w:rPr>
          <w:rFonts w:hint="eastAsia"/>
          <w:color w:val="auto"/>
          <w:highlight w:val="none"/>
          <w:shd w:val="clear" w:color="auto" w:fill="FFFFFF"/>
        </w:rPr>
        <w:t>理服务费收费标准</w:t>
      </w:r>
      <w:bookmarkEnd w:id="165"/>
      <w:r>
        <w:rPr>
          <w:rFonts w:hint="eastAsia"/>
          <w:color w:val="auto"/>
          <w:highlight w:val="none"/>
          <w:shd w:val="clear" w:color="auto" w:fill="FFFFFF"/>
        </w:rPr>
        <w:t>：</w:t>
      </w:r>
      <w:bookmarkEnd w:id="158"/>
      <w:bookmarkEnd w:id="159"/>
      <w:bookmarkEnd w:id="160"/>
      <w:bookmarkEnd w:id="161"/>
      <w:bookmarkEnd w:id="162"/>
      <w:bookmarkEnd w:id="163"/>
      <w:bookmarkEnd w:id="164"/>
    </w:p>
    <w:tbl>
      <w:tblPr>
        <w:tblStyle w:val="35"/>
        <w:tblW w:w="0" w:type="auto"/>
        <w:tblInd w:w="2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2"/>
        <w:gridCol w:w="1299"/>
        <w:gridCol w:w="1299"/>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8" w:hRule="atLeast"/>
        </w:trPr>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1470" w:firstLineChars="700"/>
              <w:rPr>
                <w:color w:val="auto"/>
                <w:highlight w:val="none"/>
                <w:shd w:val="clear" w:color="auto" w:fill="FFFFFF"/>
              </w:rPr>
            </w:pPr>
            <w:r>
              <w:rPr>
                <w:color w:val="auto"/>
                <w:highlight w:val="none"/>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108585</wp:posOffset>
                      </wp:positionV>
                      <wp:extent cx="1033145" cy="552450"/>
                      <wp:effectExtent l="2540" t="4445" r="12065" b="14605"/>
                      <wp:wrapNone/>
                      <wp:docPr id="4" name="Line 3"/>
                      <wp:cNvGraphicFramePr/>
                      <a:graphic xmlns:a="http://schemas.openxmlformats.org/drawingml/2006/main">
                        <a:graphicData uri="http://schemas.microsoft.com/office/word/2010/wordprocessingShape">
                          <wps:wsp>
                            <wps:cNvCnPr>
                              <a:cxnSpLocks noChangeShapeType="1"/>
                            </wps:cNvCnPr>
                            <wps:spPr bwMode="auto">
                              <a:xfrm>
                                <a:off x="0" y="0"/>
                                <a:ext cx="1033145" cy="552450"/>
                              </a:xfrm>
                              <a:prstGeom prst="line">
                                <a:avLst/>
                              </a:prstGeom>
                              <a:noFill/>
                              <a:ln w="9525">
                                <a:solidFill>
                                  <a:srgbClr val="000000"/>
                                </a:solidFill>
                                <a:round/>
                              </a:ln>
                              <a:effectLst/>
                            </wps:spPr>
                            <wps:bodyPr/>
                          </wps:wsp>
                        </a:graphicData>
                      </a:graphic>
                    </wp:anchor>
                  </w:drawing>
                </mc:Choice>
                <mc:Fallback>
                  <w:pict>
                    <v:line id="Line 3" o:spid="_x0000_s1026" o:spt="20" style="position:absolute;left:0pt;margin-left:5.4pt;margin-top:8.55pt;height:43.5pt;width:81.35pt;z-index:251659264;mso-width-relative:page;mso-height-relative:page;" filled="f" stroked="t" coordsize="21600,21600" o:gfxdata="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yYFArdUAAAAJAQAADwAAAAAAAAABACAAAAAi&#10;AAAAZHJzL2Rvd25yZXYueG1sUEsBAhQAFAAAAAgAh07iQEgH66nUAQAAsgMAAA4AAAAAAAAAAQAg&#10;AAAAJAEAAGRycy9lMm9Eb2MueG1sUEsFBgAAAAAGAAYAWQEAAGoFAAAAAA==&#10;">
                      <v:fill on="f" focussize="0,0"/>
                      <v:stroke color="#000000" joinstyle="round"/>
                      <v:imagedata o:title=""/>
                      <o:lock v:ext="edit" aspectratio="f"/>
                    </v:line>
                  </w:pict>
                </mc:Fallback>
              </mc:AlternateContent>
            </w:r>
            <w:r>
              <w:rPr>
                <w:rFonts w:hint="eastAsia"/>
                <w:color w:val="auto"/>
                <w:highlight w:val="none"/>
                <w:shd w:val="clear" w:color="auto" w:fill="FFFFFF"/>
              </w:rPr>
              <w:t xml:space="preserve">  服务类型</w:t>
            </w:r>
          </w:p>
          <w:p>
            <w:pPr>
              <w:shd w:val="clear" w:color="auto" w:fill="auto"/>
              <w:spacing w:line="396" w:lineRule="exact"/>
              <w:rPr>
                <w:color w:val="auto"/>
                <w:highlight w:val="none"/>
                <w:shd w:val="clear" w:color="auto" w:fill="FFFFFF"/>
              </w:rPr>
            </w:pPr>
            <w:r>
              <w:rPr>
                <w:rFonts w:hint="eastAsia"/>
                <w:color w:val="auto"/>
                <w:highlight w:val="none"/>
                <w:shd w:val="clear" w:color="auto" w:fill="FFFFFF"/>
              </w:rPr>
              <w:t xml:space="preserve">费率        </w:t>
            </w:r>
          </w:p>
          <w:p>
            <w:pPr>
              <w:shd w:val="clear" w:color="auto" w:fill="auto"/>
              <w:tabs>
                <w:tab w:val="right" w:pos="2646"/>
              </w:tabs>
              <w:spacing w:line="396" w:lineRule="exact"/>
              <w:rPr>
                <w:color w:val="auto"/>
                <w:szCs w:val="21"/>
                <w:highlight w:val="none"/>
                <w:shd w:val="clear" w:color="auto" w:fill="FFFFFF"/>
              </w:rPr>
            </w:pPr>
            <w:r>
              <w:rPr>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1905</wp:posOffset>
                      </wp:positionV>
                      <wp:extent cx="1115695" cy="306705"/>
                      <wp:effectExtent l="1270" t="4445" r="6985" b="12700"/>
                      <wp:wrapNone/>
                      <wp:docPr id="3" name="Line 2"/>
                      <wp:cNvGraphicFramePr/>
                      <a:graphic xmlns:a="http://schemas.openxmlformats.org/drawingml/2006/main">
                        <a:graphicData uri="http://schemas.microsoft.com/office/word/2010/wordprocessingShape">
                          <wps:wsp>
                            <wps:cNvCnPr>
                              <a:cxnSpLocks noChangeShapeType="1"/>
                            </wps:cNvCnPr>
                            <wps:spPr bwMode="auto">
                              <a:xfrm>
                                <a:off x="0" y="0"/>
                                <a:ext cx="1115695" cy="306705"/>
                              </a:xfrm>
                              <a:prstGeom prst="line">
                                <a:avLst/>
                              </a:prstGeom>
                              <a:noFill/>
                              <a:ln w="9525">
                                <a:solidFill>
                                  <a:srgbClr val="000000"/>
                                </a:solidFill>
                                <a:round/>
                              </a:ln>
                              <a:effectLst/>
                            </wps:spPr>
                            <wps:bodyPr/>
                          </wps:wsp>
                        </a:graphicData>
                      </a:graphic>
                    </wp:anchor>
                  </w:drawing>
                </mc:Choice>
                <mc:Fallback>
                  <w:pict>
                    <v:line id="Line 2" o:spid="_x0000_s1026" o:spt="20" style="position:absolute;left:0pt;margin-left:-5.1pt;margin-top:0.15pt;height:24.15pt;width:87.85pt;z-index:251660288;mso-width-relative:page;mso-height-relative:page;" filled="f" stroked="t" coordsize="21600,21600" o:gfxdata="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nZ1XD1QAAAAcBAAAPAAAAAAAAAAEAIAAAACIA&#10;AABkcnMvZG93bnJldi54bWxQSwECFAAUAAAACACHTuJAzuPnodMBAACyAwAADgAAAAAAAAABACAA&#10;AAAkAQAAZHJzL2Uyb0RvYy54bWxQSwUGAAAAAAYABgBZAQAAaQUAAAAA&#10;">
                      <v:fill on="f" focussize="0,0"/>
                      <v:stroke color="#000000" joinstyle="round"/>
                      <v:imagedata o:title=""/>
                      <o:lock v:ext="edit" aspectratio="f"/>
                    </v:line>
                  </w:pict>
                </mc:Fallback>
              </mc:AlternateContent>
            </w:r>
            <w:r>
              <w:rPr>
                <w:rFonts w:hint="eastAsia"/>
                <w:color w:val="auto"/>
                <w:szCs w:val="21"/>
                <w:highlight w:val="none"/>
                <w:shd w:val="clear" w:color="auto" w:fill="FFFFFF"/>
                <w:lang w:eastAsia="zh-CN"/>
              </w:rPr>
              <w:tab/>
            </w:r>
          </w:p>
          <w:p>
            <w:pPr>
              <w:shd w:val="clear" w:color="auto" w:fill="auto"/>
              <w:spacing w:line="396" w:lineRule="exact"/>
              <w:rPr>
                <w:color w:val="auto"/>
                <w:highlight w:val="none"/>
                <w:shd w:val="clear" w:color="auto" w:fill="FFFFFF"/>
              </w:rPr>
            </w:pPr>
            <w:r>
              <w:rPr>
                <w:rFonts w:hint="eastAsia"/>
                <w:color w:val="auto"/>
                <w:highlight w:val="none"/>
                <w:shd w:val="clear" w:color="auto" w:fill="FFFFFF"/>
              </w:rPr>
              <w:t>中标金额（万元）</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货物招标</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服务招标</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630" w:firstLineChars="300"/>
              <w:rPr>
                <w:color w:val="auto"/>
                <w:highlight w:val="none"/>
                <w:shd w:val="clear" w:color="auto" w:fill="FFFFFF"/>
              </w:rPr>
            </w:pPr>
            <w:r>
              <w:rPr>
                <w:rFonts w:hint="eastAsia"/>
                <w:color w:val="auto"/>
                <w:highlight w:val="none"/>
                <w:shd w:val="clear" w:color="auto" w:fill="FFFFFF"/>
              </w:rPr>
              <w:t>100以下</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1.5%</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1.5%</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630" w:firstLineChars="300"/>
              <w:rPr>
                <w:color w:val="auto"/>
                <w:highlight w:val="none"/>
                <w:shd w:val="clear" w:color="auto" w:fill="FFFFFF"/>
              </w:rPr>
            </w:pPr>
            <w:r>
              <w:rPr>
                <w:rFonts w:hint="eastAsia"/>
                <w:color w:val="auto"/>
                <w:highlight w:val="none"/>
                <w:shd w:val="clear" w:color="auto" w:fill="FFFFFF"/>
              </w:rPr>
              <w:t>100-500</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1.1%</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0.8%</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630" w:firstLineChars="300"/>
              <w:rPr>
                <w:color w:val="auto"/>
                <w:highlight w:val="none"/>
                <w:shd w:val="clear" w:color="auto" w:fill="FFFFFF"/>
              </w:rPr>
            </w:pPr>
            <w:r>
              <w:rPr>
                <w:rFonts w:hint="eastAsia"/>
                <w:color w:val="auto"/>
                <w:highlight w:val="none"/>
                <w:shd w:val="clear" w:color="auto" w:fill="FFFFFF"/>
              </w:rPr>
              <w:t>500-1000</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0.8%</w:t>
            </w:r>
          </w:p>
        </w:tc>
        <w:tc>
          <w:tcPr>
            <w:tcW w:w="129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0.45%</w:t>
            </w:r>
          </w:p>
        </w:tc>
        <w:tc>
          <w:tcPr>
            <w:tcW w:w="130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62"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ind w:firstLine="630" w:firstLineChars="300"/>
              <w:rPr>
                <w:color w:val="auto"/>
                <w:highlight w:val="none"/>
                <w:shd w:val="clear" w:color="auto" w:fill="FFFFFF"/>
              </w:rPr>
            </w:pPr>
            <w:r>
              <w:rPr>
                <w:rFonts w:hint="eastAsia"/>
                <w:color w:val="auto"/>
                <w:highlight w:val="none"/>
                <w:shd w:val="clear" w:color="auto" w:fill="FFFFFF"/>
              </w:rPr>
              <w:t>……</w:t>
            </w:r>
          </w:p>
        </w:tc>
        <w:tc>
          <w:tcPr>
            <w:tcW w:w="129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w:t>
            </w:r>
          </w:p>
        </w:tc>
        <w:tc>
          <w:tcPr>
            <w:tcW w:w="129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w:t>
            </w:r>
          </w:p>
        </w:tc>
        <w:tc>
          <w:tcPr>
            <w:tcW w:w="1300"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96" w:lineRule="exact"/>
              <w:jc w:val="center"/>
              <w:rPr>
                <w:color w:val="auto"/>
                <w:highlight w:val="none"/>
                <w:shd w:val="clear" w:color="auto" w:fill="FFFFFF"/>
              </w:rPr>
            </w:pPr>
            <w:r>
              <w:rPr>
                <w:rFonts w:hint="eastAsia"/>
                <w:color w:val="auto"/>
                <w:highlight w:val="none"/>
                <w:shd w:val="clear" w:color="auto" w:fill="FFFFFF"/>
              </w:rPr>
              <w:t>……</w:t>
            </w:r>
          </w:p>
        </w:tc>
      </w:tr>
    </w:tbl>
    <w:p>
      <w:pPr>
        <w:shd w:val="clear" w:color="auto" w:fill="auto"/>
        <w:spacing w:line="340" w:lineRule="exact"/>
        <w:ind w:firstLine="420" w:firstLineChars="200"/>
        <w:rPr>
          <w:color w:val="auto"/>
          <w:highlight w:val="none"/>
          <w:shd w:val="clear" w:color="auto" w:fill="FFFFFF"/>
        </w:rPr>
      </w:pPr>
      <w:bookmarkStart w:id="166" w:name="_Toc36048172"/>
      <w:r>
        <w:rPr>
          <w:rFonts w:hint="eastAsia"/>
          <w:color w:val="auto"/>
          <w:highlight w:val="none"/>
          <w:shd w:val="clear" w:color="auto" w:fill="FFFFFF"/>
        </w:rPr>
        <w:t>注：</w:t>
      </w:r>
      <w:r>
        <w:rPr>
          <w:rFonts w:hint="eastAsia"/>
          <w:color w:val="auto"/>
          <w:highlight w:val="none"/>
        </w:rPr>
        <w:t>采购</w:t>
      </w:r>
      <w:r>
        <w:rPr>
          <w:rFonts w:hint="eastAsia"/>
          <w:color w:val="auto"/>
          <w:highlight w:val="none"/>
          <w:shd w:val="clear" w:color="auto" w:fill="FFFFFF"/>
        </w:rPr>
        <w:t>代理服务费按差额定率累进法计算。</w:t>
      </w:r>
      <w:bookmarkEnd w:id="166"/>
    </w:p>
    <w:p>
      <w:pPr>
        <w:shd w:val="clear" w:color="auto" w:fill="auto"/>
        <w:spacing w:line="340" w:lineRule="exact"/>
        <w:ind w:firstLine="420" w:firstLineChars="200"/>
        <w:rPr>
          <w:color w:val="auto"/>
          <w:highlight w:val="none"/>
          <w:shd w:val="clear" w:color="auto" w:fill="FFFFFF"/>
        </w:rPr>
      </w:pPr>
      <w:r>
        <w:rPr>
          <w:rFonts w:hint="eastAsia"/>
          <w:color w:val="auto"/>
          <w:highlight w:val="none"/>
        </w:rPr>
        <w:t>采购</w:t>
      </w:r>
      <w:r>
        <w:rPr>
          <w:rFonts w:hint="eastAsia"/>
          <w:color w:val="auto"/>
          <w:highlight w:val="none"/>
          <w:shd w:val="clear" w:color="auto" w:fill="FFFFFF"/>
        </w:rPr>
        <w:t>代理服务费收费收款账户如下：</w:t>
      </w:r>
    </w:p>
    <w:p>
      <w:pPr>
        <w:shd w:val="clear" w:color="auto" w:fill="auto"/>
        <w:spacing w:line="340" w:lineRule="exact"/>
        <w:ind w:firstLine="420" w:firstLineChars="200"/>
        <w:rPr>
          <w:color w:val="auto"/>
          <w:highlight w:val="none"/>
          <w:shd w:val="clear" w:color="auto" w:fill="FFFFFF"/>
        </w:rPr>
      </w:pPr>
      <w:r>
        <w:rPr>
          <w:rFonts w:hint="eastAsia"/>
          <w:color w:val="auto"/>
          <w:highlight w:val="none"/>
          <w:shd w:val="clear" w:color="auto" w:fill="FFFFFF"/>
        </w:rPr>
        <w:t>开户名称：广西科联招标中心有限公司</w:t>
      </w:r>
    </w:p>
    <w:p>
      <w:pPr>
        <w:shd w:val="clear" w:color="auto" w:fill="auto"/>
        <w:spacing w:line="340" w:lineRule="exact"/>
        <w:ind w:firstLine="420" w:firstLineChars="200"/>
        <w:rPr>
          <w:color w:val="auto"/>
          <w:highlight w:val="none"/>
          <w:shd w:val="clear" w:color="auto" w:fill="FFFFFF"/>
        </w:rPr>
      </w:pPr>
      <w:r>
        <w:rPr>
          <w:rFonts w:hint="eastAsia"/>
          <w:color w:val="auto"/>
          <w:highlight w:val="none"/>
          <w:shd w:val="clear" w:color="auto" w:fill="FFFFFF"/>
        </w:rPr>
        <w:t>开户银行：中国工商银行南宁市高新科技支行</w:t>
      </w:r>
    </w:p>
    <w:p>
      <w:pPr>
        <w:shd w:val="clear" w:color="auto" w:fill="auto"/>
        <w:spacing w:line="340" w:lineRule="exact"/>
        <w:ind w:firstLine="420" w:firstLineChars="200"/>
        <w:rPr>
          <w:color w:val="auto"/>
          <w:highlight w:val="none"/>
          <w:shd w:val="clear" w:color="auto" w:fill="FFFFFF"/>
        </w:rPr>
      </w:pPr>
      <w:r>
        <w:rPr>
          <w:rFonts w:hint="eastAsia"/>
          <w:color w:val="auto"/>
          <w:highlight w:val="none"/>
          <w:shd w:val="clear" w:color="auto" w:fill="FFFFFF"/>
        </w:rPr>
        <w:t>账    号：2102111229300032105</w:t>
      </w:r>
    </w:p>
    <w:p>
      <w:pPr>
        <w:shd w:val="clear" w:color="auto" w:fill="auto"/>
        <w:spacing w:line="360" w:lineRule="auto"/>
        <w:ind w:firstLine="420" w:firstLineChars="200"/>
        <w:rPr>
          <w:rFonts w:ascii="黑体" w:hAnsi="黑体" w:eastAsia="黑体"/>
          <w:color w:val="auto"/>
          <w:sz w:val="24"/>
          <w:highlight w:val="none"/>
        </w:rPr>
      </w:pPr>
      <w:r>
        <w:rPr>
          <w:rFonts w:hint="eastAsia"/>
          <w:color w:val="auto"/>
          <w:highlight w:val="none"/>
          <w:shd w:val="clear" w:color="auto" w:fill="FFFFFF"/>
        </w:rPr>
        <w:t>注：如果转账时银行系统未显示出“中国工商银行南宁市甘蔗站支行”，可选择“中国工商银行南宁高新技术产业开发区支行”，开户名称、银行账号不变。</w:t>
      </w:r>
    </w:p>
    <w:p>
      <w:pPr>
        <w:shd w:val="clear" w:color="auto" w:fill="auto"/>
        <w:spacing w:line="360" w:lineRule="auto"/>
        <w:ind w:firstLine="480" w:firstLineChars="200"/>
        <w:rPr>
          <w:rFonts w:ascii="黑体" w:hAnsi="黑体" w:eastAsia="黑体"/>
          <w:color w:val="auto"/>
          <w:sz w:val="24"/>
          <w:highlight w:val="none"/>
        </w:rPr>
      </w:pPr>
      <w:r>
        <w:rPr>
          <w:rFonts w:hint="eastAsia" w:ascii="黑体" w:hAnsi="黑体" w:eastAsia="黑体"/>
          <w:color w:val="auto"/>
          <w:sz w:val="24"/>
          <w:highlight w:val="none"/>
        </w:rPr>
        <w:t>41</w:t>
      </w:r>
      <w:r>
        <w:rPr>
          <w:rFonts w:ascii="黑体" w:hAnsi="黑体" w:eastAsia="黑体"/>
          <w:color w:val="auto"/>
          <w:sz w:val="24"/>
          <w:highlight w:val="none"/>
        </w:rPr>
        <w:t>. 需要补充的其他内容</w:t>
      </w:r>
    </w:p>
    <w:p>
      <w:pPr>
        <w:shd w:val="clear" w:color="auto" w:fill="auto"/>
        <w:spacing w:line="360" w:lineRule="auto"/>
        <w:ind w:firstLine="420" w:firstLineChars="200"/>
        <w:rPr>
          <w:rFonts w:hAnsi="宋体"/>
          <w:color w:val="auto"/>
          <w:highlight w:val="none"/>
        </w:rPr>
      </w:pPr>
      <w:r>
        <w:rPr>
          <w:rFonts w:hAnsi="宋体"/>
          <w:color w:val="auto"/>
          <w:highlight w:val="none"/>
        </w:rPr>
        <w:t>4</w:t>
      </w:r>
      <w:r>
        <w:rPr>
          <w:rFonts w:hint="eastAsia" w:hAnsi="宋体"/>
          <w:color w:val="auto"/>
          <w:highlight w:val="none"/>
        </w:rPr>
        <w:t>1</w:t>
      </w:r>
      <w:r>
        <w:rPr>
          <w:rFonts w:hAnsi="宋体"/>
          <w:color w:val="auto"/>
          <w:highlight w:val="none"/>
        </w:rPr>
        <w:t>.1</w:t>
      </w:r>
      <w:r>
        <w:rPr>
          <w:rFonts w:hint="eastAsia" w:hAnsi="宋体" w:cs="宋体"/>
          <w:color w:val="auto"/>
          <w:highlight w:val="none"/>
        </w:rPr>
        <w:t>本招标文件解释规则详见</w:t>
      </w:r>
      <w:r>
        <w:rPr>
          <w:rFonts w:hint="eastAsia" w:hAnsi="宋体"/>
          <w:color w:val="auto"/>
          <w:highlight w:val="none"/>
        </w:rPr>
        <w:t>“投标人须知前附表”。</w:t>
      </w:r>
    </w:p>
    <w:p>
      <w:pPr>
        <w:shd w:val="clear" w:color="auto" w:fill="auto"/>
        <w:spacing w:line="360" w:lineRule="auto"/>
        <w:ind w:firstLine="420" w:firstLineChars="200"/>
        <w:rPr>
          <w:rFonts w:hAnsi="宋体"/>
          <w:color w:val="auto"/>
          <w:highlight w:val="none"/>
        </w:rPr>
      </w:pPr>
      <w:r>
        <w:rPr>
          <w:rFonts w:hAnsi="宋体" w:cs="宋体"/>
          <w:color w:val="auto"/>
          <w:highlight w:val="none"/>
        </w:rPr>
        <w:t>4</w:t>
      </w:r>
      <w:r>
        <w:rPr>
          <w:rFonts w:hint="eastAsia" w:hAnsi="宋体" w:cs="宋体"/>
          <w:color w:val="auto"/>
          <w:highlight w:val="none"/>
        </w:rPr>
        <w:t>1</w:t>
      </w:r>
      <w:r>
        <w:rPr>
          <w:rFonts w:hAnsi="宋体" w:cs="宋体"/>
          <w:color w:val="auto"/>
          <w:highlight w:val="none"/>
        </w:rPr>
        <w:t>.2</w:t>
      </w:r>
      <w:r>
        <w:rPr>
          <w:rFonts w:hint="eastAsia" w:hAnsi="宋体" w:cs="宋体"/>
          <w:color w:val="auto"/>
          <w:highlight w:val="none"/>
        </w:rPr>
        <w:t xml:space="preserve"> </w:t>
      </w:r>
      <w:r>
        <w:rPr>
          <w:rFonts w:hint="eastAsia" w:hAnsi="宋体"/>
          <w:color w:val="auto"/>
          <w:highlight w:val="none"/>
        </w:rPr>
        <w:t>其他事项详见“投标人须知前附表”。</w:t>
      </w:r>
    </w:p>
    <w:p>
      <w:pPr>
        <w:shd w:val="clear" w:color="auto" w:fill="auto"/>
        <w:spacing w:line="360" w:lineRule="auto"/>
        <w:ind w:firstLine="420" w:firstLineChars="200"/>
        <w:rPr>
          <w:rFonts w:hAnsi="宋体"/>
          <w:color w:val="auto"/>
          <w:highlight w:val="none"/>
        </w:rPr>
      </w:pPr>
      <w:r>
        <w:rPr>
          <w:rFonts w:hAnsi="宋体"/>
          <w:color w:val="auto"/>
          <w:highlight w:val="none"/>
        </w:rPr>
        <w:t>41.3</w:t>
      </w:r>
      <w:r>
        <w:rPr>
          <w:rFonts w:hint="eastAsia" w:hAnsi="宋体"/>
          <w:color w:val="auto"/>
          <w:highlight w:val="none"/>
        </w:rPr>
        <w:t>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服务的人员为中小企业依照《中华人民共和国劳动合同法》订立劳动合同的从业人员，</w:t>
      </w:r>
      <w:r>
        <w:rPr>
          <w:rFonts w:hint="eastAsia"/>
          <w:color w:val="auto"/>
          <w:highlight w:val="none"/>
        </w:rPr>
        <w:t>不对其中涉及的货物的制造商和工程承建商作出要求的，</w:t>
      </w:r>
      <w:r>
        <w:rPr>
          <w:rFonts w:hint="eastAsia" w:hAnsi="宋体"/>
          <w:color w:val="auto"/>
          <w:highlight w:val="none"/>
        </w:rPr>
        <w:t>享受本文件规定的中小企业扶持政策。</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以联合体形式参加政府采购活动，联合体各方均为中小企业的，联合体视同中小企业。其中，联合体各方均为小微企业的，联合体视同小微企业。</w:t>
      </w:r>
    </w:p>
    <w:p>
      <w:pPr>
        <w:shd w:val="clear" w:color="auto" w:fill="auto"/>
        <w:spacing w:before="120" w:after="120" w:line="360" w:lineRule="auto"/>
        <w:ind w:firstLine="420" w:firstLineChars="200"/>
        <w:contextualSpacing/>
        <w:rPr>
          <w:rFonts w:hint="eastAsia" w:ascii="宋体" w:hAnsi="宋体"/>
          <w:color w:val="auto"/>
          <w:szCs w:val="20"/>
          <w:highlight w:val="none"/>
        </w:rPr>
      </w:pPr>
      <w:r>
        <w:rPr>
          <w:rFonts w:hint="eastAsia" w:hAnsi="宋体"/>
          <w:color w:val="auto"/>
          <w:highlight w:val="none"/>
        </w:rPr>
        <w:t>依据本文件规定享受扶持政策获得政府采购合同的，小微企业不得将合同分包给大中型企业，中型企业不得将合同分包给大型企业。</w:t>
      </w:r>
    </w:p>
    <w:p>
      <w:pPr>
        <w:shd w:val="clear" w:color="auto" w:fill="auto"/>
        <w:spacing w:line="360" w:lineRule="auto"/>
        <w:ind w:firstLine="480" w:firstLineChars="200"/>
        <w:rPr>
          <w:rFonts w:hint="eastAsia" w:ascii="黑体" w:hAnsi="黑体" w:eastAsia="黑体"/>
          <w:color w:val="auto"/>
          <w:sz w:val="24"/>
          <w:highlight w:val="none"/>
        </w:rPr>
      </w:pPr>
      <w:r>
        <w:rPr>
          <w:rFonts w:hint="eastAsia" w:ascii="黑体" w:hAnsi="黑体" w:eastAsia="黑体"/>
          <w:color w:val="auto"/>
          <w:sz w:val="24"/>
          <w:highlight w:val="none"/>
        </w:rPr>
        <w:t>42. 政采贷相关说明</w:t>
      </w:r>
    </w:p>
    <w:p>
      <w:pPr>
        <w:shd w:val="clear" w:color="auto" w:fill="auto"/>
        <w:spacing w:line="360" w:lineRule="auto"/>
        <w:ind w:firstLine="420" w:firstLineChars="200"/>
        <w:jc w:val="left"/>
        <w:rPr>
          <w:rFonts w:hint="eastAsia" w:ascii="Calibri" w:hAnsi="宋体"/>
          <w:color w:val="auto"/>
          <w:highlight w:val="none"/>
        </w:rPr>
      </w:pPr>
      <w:r>
        <w:rPr>
          <w:rFonts w:hint="eastAsia" w:ascii="Calibri" w:hAnsi="宋体"/>
          <w:color w:val="auto"/>
          <w:highlight w:val="none"/>
        </w:rPr>
        <w:t>为优化政府采购营商环境，缓解供应商资金难题，南宁市政府采购试行政府采购信用融资制度，中标供应商如有融资需求，可凭政府采购合同通过以下方式申请政府采购信用融资贷款：</w:t>
      </w:r>
    </w:p>
    <w:p>
      <w:pPr>
        <w:shd w:val="clear" w:color="auto" w:fill="auto"/>
        <w:spacing w:line="360" w:lineRule="auto"/>
        <w:ind w:firstLine="420" w:firstLineChars="200"/>
        <w:jc w:val="left"/>
        <w:rPr>
          <w:rFonts w:hint="eastAsia" w:ascii="Calibri" w:hAnsi="宋体"/>
          <w:color w:val="auto"/>
          <w:highlight w:val="none"/>
        </w:rPr>
      </w:pPr>
      <w:r>
        <w:rPr>
          <w:rFonts w:hint="eastAsia" w:ascii="Calibri" w:hAnsi="宋体"/>
          <w:color w:val="auto"/>
          <w:highlight w:val="none"/>
        </w:rPr>
        <w:t>（1）线下渠道：在“南宁市公共资源交易中心”官网（网址：</w:t>
      </w:r>
      <w:r>
        <w:rPr>
          <w:rFonts w:ascii="Calibri" w:hAnsi="宋体"/>
          <w:color w:val="auto"/>
          <w:highlight w:val="none"/>
        </w:rPr>
        <w:t>http://www.nnggzy.org.cn</w:t>
      </w:r>
      <w:r>
        <w:rPr>
          <w:rFonts w:hint="eastAsia" w:ascii="Calibri" w:hAnsi="宋体"/>
          <w:color w:val="auto"/>
          <w:highlight w:val="none"/>
        </w:rPr>
        <w:t>）“交易信息</w:t>
      </w:r>
      <w:r>
        <w:rPr>
          <w:rFonts w:ascii="Calibri" w:hAnsi="宋体"/>
          <w:color w:val="auto"/>
          <w:highlight w:val="none"/>
        </w:rPr>
        <w:t>-</w:t>
      </w:r>
      <w:r>
        <w:rPr>
          <w:rFonts w:hint="eastAsia" w:ascii="Calibri" w:hAnsi="宋体"/>
          <w:color w:val="auto"/>
          <w:highlight w:val="none"/>
        </w:rPr>
        <w:t>政府采购</w:t>
      </w:r>
      <w:r>
        <w:rPr>
          <w:rFonts w:ascii="Calibri" w:hAnsi="宋体"/>
          <w:color w:val="auto"/>
          <w:highlight w:val="none"/>
        </w:rPr>
        <w:t>-</w:t>
      </w:r>
      <w:r>
        <w:rPr>
          <w:rFonts w:hint="eastAsia" w:ascii="Calibri" w:hAnsi="宋体"/>
          <w:color w:val="auto"/>
          <w:highlight w:val="none"/>
        </w:rPr>
        <w:t>政府采购信用融资”中融资银行和南宁市企业融资服务中心专栏信息申请政府采购信用融资。</w:t>
      </w:r>
    </w:p>
    <w:p>
      <w:pPr>
        <w:shd w:val="clear" w:color="auto" w:fill="auto"/>
        <w:spacing w:line="360" w:lineRule="auto"/>
        <w:ind w:firstLine="420" w:firstLineChars="200"/>
        <w:jc w:val="left"/>
        <w:rPr>
          <w:rFonts w:hint="eastAsia" w:hAnsi="宋体"/>
          <w:color w:val="auto"/>
          <w:highlight w:val="none"/>
        </w:rPr>
      </w:pPr>
      <w:r>
        <w:rPr>
          <w:rFonts w:hint="eastAsia" w:ascii="Calibri" w:hAnsi="宋体"/>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hAnsi="宋体"/>
          <w:color w:val="auto"/>
          <w:highlight w:val="none"/>
        </w:rPr>
        <w:br w:type="page"/>
      </w:r>
      <w:bookmarkStart w:id="167" w:name="_Toc532545043"/>
    </w:p>
    <w:p>
      <w:pPr>
        <w:shd w:val="clear" w:color="auto" w:fill="auto"/>
        <w:jc w:val="center"/>
        <w:outlineLvl w:val="0"/>
        <w:rPr>
          <w:b/>
          <w:color w:val="auto"/>
          <w:sz w:val="36"/>
          <w:szCs w:val="20"/>
          <w:highlight w:val="none"/>
        </w:rPr>
      </w:pPr>
      <w:bookmarkStart w:id="168" w:name="_Toc177489462"/>
      <w:r>
        <w:rPr>
          <w:rFonts w:hint="eastAsia"/>
          <w:b/>
          <w:color w:val="auto"/>
          <w:sz w:val="36"/>
          <w:szCs w:val="20"/>
          <w:highlight w:val="none"/>
        </w:rPr>
        <w:t>第四章</w:t>
      </w:r>
      <w:r>
        <w:rPr>
          <w:b/>
          <w:color w:val="auto"/>
          <w:sz w:val="36"/>
          <w:szCs w:val="20"/>
          <w:highlight w:val="none"/>
        </w:rPr>
        <w:t xml:space="preserve">  </w:t>
      </w:r>
      <w:r>
        <w:rPr>
          <w:rFonts w:hint="eastAsia"/>
          <w:b/>
          <w:color w:val="auto"/>
          <w:sz w:val="36"/>
          <w:szCs w:val="20"/>
          <w:highlight w:val="none"/>
        </w:rPr>
        <w:t>评标方法</w:t>
      </w:r>
      <w:bookmarkEnd w:id="167"/>
      <w:r>
        <w:rPr>
          <w:rFonts w:hint="eastAsia"/>
          <w:b/>
          <w:color w:val="auto"/>
          <w:sz w:val="36"/>
          <w:szCs w:val="20"/>
          <w:highlight w:val="none"/>
        </w:rPr>
        <w:t>及评分标准</w:t>
      </w:r>
      <w:bookmarkEnd w:id="168"/>
    </w:p>
    <w:p>
      <w:pPr>
        <w:shd w:val="clear" w:color="auto" w:fill="auto"/>
        <w:jc w:val="center"/>
        <w:outlineLvl w:val="1"/>
        <w:rPr>
          <w:rFonts w:hint="eastAsia"/>
          <w:b/>
          <w:bCs/>
          <w:color w:val="auto"/>
          <w:sz w:val="32"/>
          <w:szCs w:val="32"/>
          <w:highlight w:val="none"/>
        </w:rPr>
      </w:pPr>
      <w:bookmarkStart w:id="169" w:name="_Toc177489463"/>
      <w:r>
        <w:rPr>
          <w:rFonts w:hint="eastAsia"/>
          <w:b/>
          <w:bCs/>
          <w:color w:val="auto"/>
          <w:sz w:val="32"/>
          <w:szCs w:val="32"/>
          <w:highlight w:val="none"/>
        </w:rPr>
        <w:t>第一节 评标方法</w:t>
      </w:r>
      <w:bookmarkEnd w:id="169"/>
    </w:p>
    <w:p>
      <w:pPr>
        <w:shd w:val="clear" w:color="auto" w:fill="auto"/>
        <w:tabs>
          <w:tab w:val="left" w:pos="2472"/>
        </w:tabs>
        <w:spacing w:line="460" w:lineRule="exact"/>
        <w:ind w:firstLine="420" w:firstLineChars="200"/>
        <w:rPr>
          <w:rFonts w:hint="eastAsia" w:ascii="宋体" w:hAnsi="Courier New"/>
          <w:color w:val="auto"/>
          <w:szCs w:val="21"/>
          <w:highlight w:val="none"/>
        </w:rPr>
      </w:pPr>
      <w:r>
        <w:rPr>
          <w:rFonts w:hint="eastAsia" w:ascii="宋体" w:hAnsi="宋体" w:cs="宋体"/>
          <w:color w:val="auto"/>
          <w:szCs w:val="21"/>
          <w:highlight w:val="none"/>
        </w:rPr>
        <w:t>本项目采用</w:t>
      </w:r>
      <w:r>
        <w:rPr>
          <w:rFonts w:hint="eastAsia" w:ascii="宋体" w:hAnsi="宋体" w:cs="宋体"/>
          <w:color w:val="auto"/>
          <w:szCs w:val="21"/>
          <w:highlight w:val="none"/>
          <w:u w:val="single"/>
        </w:rPr>
        <w:t>以下勾选的方式</w:t>
      </w:r>
      <w:r>
        <w:rPr>
          <w:rFonts w:hint="eastAsia" w:ascii="宋体" w:hAnsi="宋体" w:cs="宋体"/>
          <w:color w:val="auto"/>
          <w:szCs w:val="21"/>
          <w:highlight w:val="none"/>
        </w:rPr>
        <w:t>进行评审。</w:t>
      </w:r>
    </w:p>
    <w:p>
      <w:pPr>
        <w:shd w:val="clear" w:color="auto" w:fill="auto"/>
        <w:spacing w:line="360" w:lineRule="auto"/>
        <w:ind w:firstLine="420"/>
        <w:rPr>
          <w:rFonts w:ascii="宋体" w:hAnsi="宋体"/>
          <w:color w:val="auto"/>
          <w:szCs w:val="20"/>
          <w:highlight w:val="none"/>
        </w:rPr>
      </w:pPr>
      <w:r>
        <w:rPr>
          <w:rFonts w:hint="eastAsia" w:ascii="宋体" w:hAnsi="宋体"/>
          <w:color w:val="auto"/>
          <w:szCs w:val="21"/>
          <w:highlight w:val="none"/>
        </w:rPr>
        <w:t>□最低评标价法，是指投标文件满足招标文件</w:t>
      </w:r>
      <w:r>
        <w:rPr>
          <w:rFonts w:hint="eastAsia" w:ascii="宋体" w:hAnsi="宋体"/>
          <w:color w:val="auto"/>
          <w:szCs w:val="20"/>
          <w:highlight w:val="none"/>
        </w:rPr>
        <w:t>全部实质性要求，且投标报价最低的投标人为中标候选人的评标方法。</w:t>
      </w:r>
    </w:p>
    <w:p>
      <w:pPr>
        <w:shd w:val="clear" w:color="auto" w:fill="auto"/>
        <w:autoSpaceDE w:val="0"/>
        <w:autoSpaceDN w:val="0"/>
        <w:adjustRightInd w:val="0"/>
        <w:spacing w:line="440" w:lineRule="exact"/>
        <w:ind w:firstLine="420" w:firstLineChars="200"/>
        <w:rPr>
          <w:rFonts w:hint="eastAsia" w:ascii="宋体" w:hAnsi="宋体"/>
          <w:color w:val="auto"/>
          <w:szCs w:val="20"/>
          <w:highlight w:val="none"/>
        </w:rPr>
      </w:pPr>
      <w:r>
        <w:rPr>
          <w:rFonts w:hint="eastAsia" w:hAnsi="宋体"/>
          <w:color w:val="auto"/>
          <w:highlight w:val="none"/>
        </w:rPr>
        <w:sym w:font="Wingdings 2" w:char="0052"/>
      </w:r>
      <w:r>
        <w:rPr>
          <w:rFonts w:hint="eastAsia" w:hAnsi="宋体"/>
          <w:color w:val="auto"/>
          <w:highlight w:val="none"/>
        </w:rPr>
        <w:t>综合评分法，</w:t>
      </w:r>
      <w:r>
        <w:rPr>
          <w:rFonts w:hint="eastAsia" w:ascii="宋体" w:hAnsi="宋体"/>
          <w:color w:val="auto"/>
          <w:szCs w:val="20"/>
          <w:highlight w:val="none"/>
        </w:rPr>
        <w:t>是指投标文件满足招标文件全部实质性要求，且按照评审因素的量化指标评审得分最高的投标人为中标候选人的评标方法。评标委员会将对各投标人的投标报价、技术、商务等方面进行综合评审，对实质上响应招标文件的投标人，由各评委独立记名打分。经统计，得出各投标人的综合得分,按综合得分由高到低顺序排列。若综合得分相同的，按投标报价由低到高顺序排列。若综合得分且投标报价相同并列。</w:t>
      </w:r>
    </w:p>
    <w:p>
      <w:pPr>
        <w:shd w:val="clear" w:color="auto" w:fill="auto"/>
        <w:spacing w:line="360" w:lineRule="auto"/>
        <w:ind w:firstLine="420"/>
        <w:rPr>
          <w:rFonts w:ascii="宋体" w:hAnsi="宋体"/>
          <w:color w:val="auto"/>
          <w:szCs w:val="20"/>
          <w:highlight w:val="none"/>
        </w:rPr>
      </w:pPr>
    </w:p>
    <w:p>
      <w:pPr>
        <w:shd w:val="clear" w:color="auto" w:fill="auto"/>
        <w:tabs>
          <w:tab w:val="left" w:pos="2472"/>
        </w:tabs>
        <w:spacing w:line="460" w:lineRule="exact"/>
        <w:jc w:val="center"/>
        <w:outlineLvl w:val="1"/>
        <w:rPr>
          <w:rFonts w:hint="eastAsia"/>
          <w:b/>
          <w:bCs/>
          <w:color w:val="auto"/>
          <w:sz w:val="32"/>
          <w:szCs w:val="32"/>
          <w:highlight w:val="none"/>
        </w:rPr>
      </w:pPr>
      <w:bookmarkStart w:id="170" w:name="_Toc177489464"/>
      <w:r>
        <w:rPr>
          <w:rFonts w:hint="eastAsia"/>
          <w:b/>
          <w:bCs/>
          <w:color w:val="auto"/>
          <w:sz w:val="32"/>
          <w:szCs w:val="32"/>
          <w:highlight w:val="none"/>
        </w:rPr>
        <w:t>第二节 评标程序</w:t>
      </w:r>
      <w:bookmarkEnd w:id="170"/>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1.符合性审查</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评标委员会应当对符合资格的投标人的投标文件进行投标报价、商务、技术等实质性内容符合性审查，以确定其是否满足招标文件的实质性要求。</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rPr>
        <w:t>符合性审查不通过而导致投标无效的情形</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投标人的投标文件中存在对招标文件的任何实质性要求和条件的负偏离，将被视为投标无效。</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2.1在报价评审时，如发现下列情形之一的，将被视为投标无效：</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（1）投标文件未提供“投标人须知前附表”第13.1条规定中“必须提供”的文件资料的;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（2）未采用人民币报价或者未按照招标文件标明的币种报价的；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（3）报价超出招标文件规定最高限价（包括分项最高限价），或者超出采购预算金额（包括分项预算金额）的；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人未就所投项目/分标进行报价或者存在漏项报价；投标人未就所投项目/分标的单项内容作唯一报价；投标人未就所投项目/分标的全部内容作唯一总价报价；存在有选择、有条件报价的（招标文件允许有备选方案或者其他约定的除外）；</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（5）修正后的报价，投标人不确认的；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（6）投标人属于本章第</w:t>
      </w:r>
      <w:r>
        <w:rPr>
          <w:rFonts w:ascii="宋体" w:hAnsi="宋体"/>
          <w:color w:val="auto"/>
          <w:szCs w:val="21"/>
          <w:highlight w:val="none"/>
        </w:rPr>
        <w:t>5</w:t>
      </w:r>
      <w:r>
        <w:rPr>
          <w:rFonts w:hint="eastAsia" w:ascii="宋体" w:hAnsi="宋体"/>
          <w:color w:val="auto"/>
          <w:szCs w:val="21"/>
          <w:highlight w:val="none"/>
        </w:rPr>
        <w:t>条第（2）项情形的。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2.2在商务评审时，如发现下列情形之一的，将被视为投标无效：</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（1）投标文件未按招标文件要求签署、盖章的；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 xml:space="preserve">（2）委托代理人未能出具有效身份证明或者出具的身份证明与授权委托书中的信息不符的； </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（3）投标文件未提供“投标人须知前附表”第13.</w:t>
      </w:r>
      <w:r>
        <w:rPr>
          <w:rFonts w:ascii="宋体" w:hAnsi="宋体"/>
          <w:color w:val="auto"/>
          <w:szCs w:val="21"/>
          <w:highlight w:val="none"/>
        </w:rPr>
        <w:t>1</w:t>
      </w:r>
      <w:r>
        <w:rPr>
          <w:rFonts w:hint="eastAsia" w:ascii="宋体" w:hAnsi="宋体"/>
          <w:color w:val="auto"/>
          <w:szCs w:val="21"/>
          <w:highlight w:val="none"/>
        </w:rPr>
        <w:t>条规定中“必须提供”或者“委托时必须提供”的文件资料的；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（4）投标有效期、服务时间、质保期或招标文件中标“▲”的商务条款发生负偏离的；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（5）商务评审允许负偏离的条款数超过“投标人须知前附表”规定项数的；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（6）投标文件的实质性内容未使用中文表述、使用计量单位不符合招标文件要求的；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（7）投标文件中的文件资料因填写不齐全或者内容虚假或者出现其他情形而导致被评标委员会认定无效的；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（8）投标文件含有采购人不能接受的附加条件的；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（9）未响应招标文件实质性要求的；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（10）属于投标人须知正文第</w:t>
      </w:r>
      <w:r>
        <w:rPr>
          <w:rFonts w:ascii="宋体" w:hAnsi="宋体"/>
          <w:color w:val="auto"/>
          <w:szCs w:val="21"/>
          <w:highlight w:val="none"/>
        </w:rPr>
        <w:t>9.2</w:t>
      </w:r>
      <w:r>
        <w:rPr>
          <w:rFonts w:hint="eastAsia" w:ascii="宋体" w:hAnsi="宋体"/>
          <w:color w:val="auto"/>
          <w:szCs w:val="21"/>
          <w:highlight w:val="none"/>
        </w:rPr>
        <w:t>条情形的；</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（11）法律、法规和招标文件规定的其他无效情形。</w:t>
      </w:r>
    </w:p>
    <w:p>
      <w:pPr>
        <w:shd w:val="clear" w:color="auto" w:fill="auto"/>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2.3在技术评审时，如发现下列情形之一的，将被视为投标无效：</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（1）不满足招标文件要求的服务参数，或者与招标文件中标“▲”的技术需求发生负偏离的；</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（2）技术评审允许负偏离的条款数超过“投标人须知前附表”规定项数的；</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（3）投标文件未提供“投标人须知前附表”第13.</w:t>
      </w:r>
      <w:r>
        <w:rPr>
          <w:rFonts w:hAnsi="宋体"/>
          <w:color w:val="auto"/>
          <w:szCs w:val="21"/>
          <w:highlight w:val="none"/>
        </w:rPr>
        <w:t>1</w:t>
      </w:r>
      <w:r>
        <w:rPr>
          <w:rFonts w:hint="eastAsia" w:hAnsi="宋体"/>
          <w:color w:val="auto"/>
          <w:szCs w:val="21"/>
          <w:highlight w:val="none"/>
        </w:rPr>
        <w:t>条规定中“必须提供”的文件资料的;</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（4）虚假投标，或者出现其他情形而导致被评标委员会认定无效的；</w:t>
      </w:r>
    </w:p>
    <w:p>
      <w:pPr>
        <w:shd w:val="clear" w:color="auto" w:fill="auto"/>
        <w:spacing w:line="360" w:lineRule="auto"/>
        <w:ind w:firstLine="420" w:firstLineChars="200"/>
        <w:rPr>
          <w:rFonts w:hint="eastAsia" w:hAnsi="宋体"/>
          <w:color w:val="auto"/>
          <w:szCs w:val="21"/>
          <w:highlight w:val="none"/>
        </w:rPr>
      </w:pPr>
      <w:r>
        <w:rPr>
          <w:rFonts w:hint="eastAsia" w:hAnsi="宋体"/>
          <w:color w:val="auto"/>
          <w:szCs w:val="21"/>
          <w:highlight w:val="none"/>
        </w:rPr>
        <w:t>（5）投标方案不明确，招标文件未允许但存在一个或者一个以上备选（替代）投标方案的。</w:t>
      </w:r>
    </w:p>
    <w:p>
      <w:pPr>
        <w:shd w:val="clear" w:color="auto" w:fill="auto"/>
        <w:spacing w:line="360" w:lineRule="auto"/>
        <w:ind w:firstLine="422" w:firstLineChars="200"/>
        <w:rPr>
          <w:rFonts w:hint="eastAsia"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澄清补正、说明或者补正</w:t>
      </w:r>
    </w:p>
    <w:p>
      <w:pPr>
        <w:shd w:val="clear" w:color="auto" w:fill="auto"/>
        <w:spacing w:line="360" w:lineRule="auto"/>
        <w:ind w:firstLine="420" w:firstLineChars="200"/>
        <w:rPr>
          <w:rFonts w:hint="eastAsia" w:ascii="宋体" w:hAnsi="宋体" w:cs="Courier New"/>
          <w:color w:val="auto"/>
          <w:szCs w:val="21"/>
          <w:highlight w:val="none"/>
        </w:rPr>
      </w:pPr>
      <w:r>
        <w:rPr>
          <w:rFonts w:hint="eastAsia" w:ascii="宋体" w:hAnsi="宋体" w:cs="Courier New"/>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电子签章（公章）后在线上传至评标委员会。投标人的澄清、说明或者补正不得超出投标文件的范围或者改变投标文件的实质性内容。投标人未在规定时间内进行澄清、说明或者补正的，按无效投标处理。</w:t>
      </w:r>
    </w:p>
    <w:p>
      <w:pPr>
        <w:shd w:val="clear" w:color="auto" w:fill="auto"/>
        <w:spacing w:line="360" w:lineRule="auto"/>
        <w:ind w:firstLine="420" w:firstLineChars="200"/>
        <w:rPr>
          <w:rFonts w:ascii="宋体" w:hAnsi="宋体" w:cs="Courier New"/>
          <w:color w:val="auto"/>
          <w:szCs w:val="21"/>
          <w:highlight w:val="none"/>
        </w:rPr>
      </w:pPr>
      <w:r>
        <w:rPr>
          <w:rFonts w:hint="eastAsia" w:ascii="宋体" w:hAnsi="宋体" w:cs="Courier New"/>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电子签章（公章），或者由法定代表人或者其授权的代表签字。</w:t>
      </w:r>
    </w:p>
    <w:p>
      <w:pPr>
        <w:shd w:val="clear" w:color="auto" w:fill="auto"/>
        <w:spacing w:line="360" w:lineRule="auto"/>
        <w:ind w:firstLine="422" w:firstLineChars="200"/>
        <w:rPr>
          <w:rFonts w:hint="eastAsia" w:ascii="宋体" w:hAnsi="宋体"/>
          <w:b/>
          <w:color w:val="auto"/>
          <w:szCs w:val="21"/>
          <w:highlight w:val="none"/>
        </w:rPr>
      </w:pPr>
      <w:r>
        <w:rPr>
          <w:rFonts w:ascii="宋体" w:hAnsi="宋体"/>
          <w:b/>
          <w:color w:val="auto"/>
          <w:szCs w:val="21"/>
          <w:highlight w:val="none"/>
        </w:rPr>
        <w:t>4.</w:t>
      </w:r>
      <w:r>
        <w:rPr>
          <w:rFonts w:hint="eastAsia" w:ascii="宋体" w:hAnsi="宋体"/>
          <w:b/>
          <w:color w:val="auto"/>
          <w:szCs w:val="21"/>
          <w:highlight w:val="none"/>
        </w:rPr>
        <w:t>投标文件修正</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 xml:space="preserve">.1投标文件报价出现前后不一致的，按照下列规定修正： </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（1）报价文件中“开标一览表”内容与投标文件中相应内容不一致的，以“开标一览表”为准；</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（2）大写金额和小写金额不一致的，以大写金额为准；</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（3）单价金额小数点或者百分比有明显错位的，以开标一览表的总价为准，并修改单价；</w:t>
      </w:r>
    </w:p>
    <w:p>
      <w:pPr>
        <w:shd w:val="clear" w:color="auto" w:fill="auto"/>
        <w:spacing w:line="360" w:lineRule="auto"/>
        <w:ind w:firstLine="420" w:firstLineChars="200"/>
        <w:rPr>
          <w:rFonts w:hAnsi="宋体"/>
          <w:color w:val="auto"/>
          <w:highlight w:val="none"/>
        </w:rPr>
      </w:pPr>
      <w:r>
        <w:rPr>
          <w:rFonts w:hint="eastAsia" w:hAnsi="宋体"/>
          <w:color w:val="auto"/>
          <w:highlight w:val="none"/>
        </w:rPr>
        <w:t>（4）总价金额与按单价汇总金额不一致的，以单价金额计算结果为准。</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同时出现两种以上不一致的，按照以上（1）-（4）规定的顺序修正。修正后的报价经投标人确认后产生约束力，投标人不确认的，其投标无效。</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.2经投标人确认修正后的报价若超过采购预算金额或者最高限价，投标人的投标文件作无效投标处理。</w:t>
      </w:r>
    </w:p>
    <w:p>
      <w:pPr>
        <w:shd w:val="clear" w:color="auto" w:fill="auto"/>
        <w:spacing w:line="360" w:lineRule="auto"/>
        <w:ind w:firstLine="420" w:firstLineChars="200"/>
        <w:rPr>
          <w:rFonts w:hint="eastAsia"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.3经投标人确认修正后的报价作为签订合同的依据，并以此报价计算价格分。</w:t>
      </w:r>
    </w:p>
    <w:p>
      <w:pPr>
        <w:shd w:val="clear" w:color="auto" w:fill="auto"/>
        <w:spacing w:line="360" w:lineRule="auto"/>
        <w:ind w:firstLine="422" w:firstLineChars="200"/>
        <w:rPr>
          <w:rFonts w:hint="eastAsia" w:ascii="宋体" w:hAnsi="宋体"/>
          <w:b/>
          <w:bCs/>
          <w:color w:val="auto"/>
          <w:szCs w:val="21"/>
          <w:highlight w:val="none"/>
        </w:rPr>
      </w:pPr>
      <w:r>
        <w:rPr>
          <w:rFonts w:ascii="宋体" w:hAnsi="宋体"/>
          <w:b/>
          <w:bCs/>
          <w:color w:val="auto"/>
          <w:szCs w:val="21"/>
          <w:highlight w:val="none"/>
        </w:rPr>
        <w:t>5.</w:t>
      </w:r>
      <w:r>
        <w:rPr>
          <w:rFonts w:hint="eastAsia" w:ascii="宋体" w:hAnsi="宋体"/>
          <w:b/>
          <w:bCs/>
          <w:color w:val="auto"/>
          <w:szCs w:val="21"/>
          <w:highlight w:val="none"/>
        </w:rPr>
        <w:t>比较与评价</w:t>
      </w:r>
    </w:p>
    <w:p>
      <w:pPr>
        <w:shd w:val="clear" w:color="auto" w:fill="auto"/>
        <w:spacing w:line="460" w:lineRule="exact"/>
        <w:ind w:firstLine="420" w:firstLineChars="200"/>
        <w:rPr>
          <w:rFonts w:hint="eastAsia" w:ascii="Calibri" w:hAnsi="宋体"/>
          <w:color w:val="auto"/>
          <w:highlight w:val="none"/>
        </w:rPr>
      </w:pPr>
      <w:r>
        <w:rPr>
          <w:rFonts w:ascii="Calibri" w:hAnsi="宋体"/>
          <w:color w:val="auto"/>
          <w:highlight w:val="none"/>
        </w:rPr>
        <w:t>5.1</w:t>
      </w:r>
      <w:r>
        <w:rPr>
          <w:rFonts w:hint="eastAsia" w:ascii="Calibri" w:hAnsi="宋体"/>
          <w:color w:val="auto"/>
          <w:highlight w:val="none"/>
        </w:rPr>
        <w:t>评标委员会按照招标文件中规定的评标方法及评分标准，对符合性审查合格的投标文件进行商务和技术评估，综合比较与评价。</w:t>
      </w:r>
    </w:p>
    <w:p>
      <w:pPr>
        <w:shd w:val="clear" w:color="auto" w:fill="auto"/>
        <w:spacing w:line="460" w:lineRule="exact"/>
        <w:ind w:firstLine="420" w:firstLineChars="200"/>
        <w:rPr>
          <w:rFonts w:ascii="Calibri" w:hAnsi="宋体"/>
          <w:color w:val="auto"/>
          <w:highlight w:val="none"/>
        </w:rPr>
      </w:pPr>
      <w:r>
        <w:rPr>
          <w:rFonts w:ascii="Calibri" w:hAnsi="宋体"/>
          <w:color w:val="auto"/>
          <w:highlight w:val="none"/>
        </w:rPr>
        <w:t>5.2</w:t>
      </w:r>
      <w:r>
        <w:rPr>
          <w:rFonts w:hint="eastAsia" w:ascii="Calibri" w:hAnsi="宋体"/>
          <w:color w:val="auto"/>
          <w:highlight w:val="none"/>
        </w:rPr>
        <w:t>评标委员会独立对每个投标人的投标文件进行评价，并汇总每个投标人的得分。</w:t>
      </w:r>
    </w:p>
    <w:p>
      <w:pPr>
        <w:widowControl/>
        <w:numPr>
          <w:ilvl w:val="0"/>
          <w:numId w:val="4"/>
        </w:numPr>
        <w:shd w:val="clear" w:color="auto" w:fill="auto"/>
        <w:spacing w:line="460" w:lineRule="exact"/>
        <w:ind w:firstLine="420" w:firstLineChars="200"/>
        <w:jc w:val="left"/>
        <w:rPr>
          <w:rFonts w:ascii="Calibri" w:hAnsi="宋体"/>
          <w:color w:val="auto"/>
          <w:highlight w:val="none"/>
        </w:rPr>
      </w:pPr>
      <w:r>
        <w:rPr>
          <w:rFonts w:hint="eastAsia" w:ascii="Calibri" w:hAnsi="宋体"/>
          <w:color w:val="auto"/>
          <w:highlight w:val="none"/>
        </w:rPr>
        <w:t>评审委员会成员要根据政府采购法律法规和采购文件所载明的评审方法、标准进行评审。对供应商的价格分等客观评分项的评分应当一致，对其他需要借助专业知识评判的主观评分项，应当严格按照评分细则公正评分。</w:t>
      </w:r>
    </w:p>
    <w:p>
      <w:pPr>
        <w:widowControl/>
        <w:numPr>
          <w:ilvl w:val="0"/>
          <w:numId w:val="4"/>
        </w:numPr>
        <w:shd w:val="clear" w:color="auto" w:fill="auto"/>
        <w:spacing w:line="460" w:lineRule="exact"/>
        <w:ind w:firstLine="420" w:firstLineChars="200"/>
        <w:jc w:val="left"/>
        <w:rPr>
          <w:rFonts w:ascii="Calibri" w:hAnsi="宋体"/>
          <w:color w:val="auto"/>
          <w:highlight w:val="none"/>
        </w:rPr>
      </w:pPr>
      <w:r>
        <w:rPr>
          <w:rFonts w:hint="eastAsia" w:ascii="Calibri"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pPr>
        <w:shd w:val="clear" w:color="auto" w:fill="auto"/>
        <w:spacing w:line="460" w:lineRule="exact"/>
        <w:ind w:firstLine="420" w:firstLineChars="200"/>
        <w:rPr>
          <w:rFonts w:ascii="Calibri" w:hAnsi="宋体"/>
          <w:color w:val="auto"/>
          <w:highlight w:val="none"/>
        </w:rPr>
      </w:pPr>
      <w:r>
        <w:rPr>
          <w:rFonts w:ascii="Calibri" w:hAnsi="宋体"/>
          <w:color w:val="auto"/>
          <w:highlight w:val="none"/>
        </w:rPr>
        <w:t>5.3</w:t>
      </w:r>
      <w:r>
        <w:rPr>
          <w:rFonts w:hint="eastAsia" w:ascii="Calibri" w:hAnsi="宋体"/>
          <w:color w:val="auto"/>
          <w:highlight w:val="none"/>
        </w:rPr>
        <w:t>评标委员会按照招标文件中规定的评标方法和标准计算各投标人的报价得分。在计算过程中，不得去掉最高报价或者最低报价。</w:t>
      </w:r>
    </w:p>
    <w:p>
      <w:pPr>
        <w:shd w:val="clear" w:color="auto" w:fill="auto"/>
        <w:spacing w:line="460" w:lineRule="exact"/>
        <w:ind w:firstLine="420" w:firstLineChars="200"/>
        <w:rPr>
          <w:rFonts w:ascii="Calibri" w:hAnsi="宋体"/>
          <w:color w:val="auto"/>
          <w:highlight w:val="none"/>
        </w:rPr>
      </w:pPr>
      <w:r>
        <w:rPr>
          <w:rFonts w:ascii="Calibri" w:hAnsi="宋体"/>
          <w:color w:val="auto"/>
          <w:highlight w:val="none"/>
        </w:rPr>
        <w:t>5.4</w:t>
      </w:r>
      <w:r>
        <w:rPr>
          <w:rFonts w:hint="eastAsia" w:ascii="Calibri" w:hAnsi="宋体"/>
          <w:color w:val="auto"/>
          <w:highlight w:val="none"/>
        </w:rPr>
        <w:t>各投标人的得分为评标委员会各成员的有效评分的算术平均数。</w:t>
      </w:r>
    </w:p>
    <w:p>
      <w:pPr>
        <w:shd w:val="clear" w:color="auto" w:fill="auto"/>
        <w:spacing w:line="460" w:lineRule="exact"/>
        <w:ind w:firstLine="420" w:firstLineChars="200"/>
        <w:rPr>
          <w:rFonts w:ascii="Calibri" w:hAnsi="宋体"/>
          <w:color w:val="auto"/>
          <w:highlight w:val="none"/>
        </w:rPr>
      </w:pPr>
      <w:r>
        <w:rPr>
          <w:rFonts w:ascii="Calibri" w:hAnsi="宋体"/>
          <w:color w:val="auto"/>
          <w:highlight w:val="none"/>
        </w:rPr>
        <w:t>5.5</w:t>
      </w:r>
      <w:r>
        <w:rPr>
          <w:rFonts w:hint="eastAsia" w:ascii="Calibri" w:hAnsi="宋体"/>
          <w:color w:val="auto"/>
          <w:highlight w:val="none"/>
        </w:rPr>
        <w:t>评标委员会按照招标文件中的规定推荐中标候选人。</w:t>
      </w:r>
    </w:p>
    <w:p>
      <w:pPr>
        <w:shd w:val="clear" w:color="auto" w:fill="auto"/>
        <w:spacing w:line="460" w:lineRule="exact"/>
        <w:ind w:firstLine="420" w:firstLineChars="200"/>
        <w:rPr>
          <w:rFonts w:hint="eastAsia" w:hAnsi="宋体"/>
          <w:color w:val="auto"/>
          <w:highlight w:val="none"/>
        </w:rPr>
      </w:pPr>
      <w:r>
        <w:rPr>
          <w:rFonts w:ascii="Calibri" w:hAnsi="宋体"/>
          <w:color w:val="auto"/>
          <w:highlight w:val="none"/>
        </w:rPr>
        <w:t>5.6</w:t>
      </w:r>
      <w:r>
        <w:rPr>
          <w:rFonts w:hint="eastAsia" w:ascii="Calibri" w:hAnsi="宋体"/>
          <w:color w:val="auto"/>
          <w:highlight w:val="none"/>
        </w:rPr>
        <w:t>起草并签署评标报告。评标委员会根据评标委员会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r>
        <w:rPr>
          <w:rFonts w:hint="eastAsia" w:hAnsi="宋体"/>
          <w:color w:val="auto"/>
          <w:highlight w:val="none"/>
        </w:rPr>
        <w:t>。</w:t>
      </w:r>
    </w:p>
    <w:p>
      <w:pPr>
        <w:shd w:val="clear" w:color="auto" w:fill="auto"/>
        <w:spacing w:line="360" w:lineRule="auto"/>
        <w:ind w:firstLine="422" w:firstLineChars="200"/>
        <w:rPr>
          <w:rFonts w:hint="eastAsia" w:hAnsi="宋体"/>
          <w:b/>
          <w:bCs/>
          <w:color w:val="auto"/>
          <w:highlight w:val="none"/>
        </w:rPr>
      </w:pPr>
      <w:r>
        <w:rPr>
          <w:rFonts w:hint="eastAsia" w:hAnsi="宋体"/>
          <w:b/>
          <w:bCs/>
          <w:color w:val="auto"/>
          <w:highlight w:val="none"/>
        </w:rPr>
        <w:t>6.评审复核</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6.1 评标报告签署前，评标委员会要对评审结果进行复核，复核意见要体现在评标报告中。</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6.2 评标结果汇总完成后，除下列情形外，任何人不得修改评标结果：</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（一）分值汇总计算错误的；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（二）分项评分超出评分标准范围的；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（三）评标委员会成员对客观评审因素评分不一致的；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（四）经评标委员会认定评分畸高、畸低的。</w:t>
      </w:r>
    </w:p>
    <w:p>
      <w:pPr>
        <w:shd w:val="clear" w:color="auto" w:fill="auto"/>
        <w:spacing w:line="360" w:lineRule="auto"/>
        <w:ind w:firstLine="420" w:firstLineChars="200"/>
        <w:rPr>
          <w:rFonts w:hint="eastAsia" w:hAnsi="宋体"/>
          <w:color w:val="auto"/>
          <w:highlight w:val="none"/>
        </w:rPr>
      </w:pPr>
      <w:r>
        <w:rPr>
          <w:rFonts w:hint="eastAsia" w:hAnsi="宋体"/>
          <w:color w:val="auto"/>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hd w:val="clear" w:color="auto" w:fill="auto"/>
        <w:spacing w:line="360" w:lineRule="auto"/>
        <w:ind w:firstLine="420" w:firstLineChars="200"/>
        <w:rPr>
          <w:rFonts w:hint="eastAsia" w:hAnsi="宋体"/>
          <w:color w:val="auto"/>
          <w:highlight w:val="none"/>
        </w:rPr>
      </w:pPr>
    </w:p>
    <w:p>
      <w:pPr>
        <w:keepNext/>
        <w:keepLines/>
        <w:shd w:val="clear" w:color="auto" w:fill="auto"/>
        <w:spacing w:before="260" w:after="260" w:line="413" w:lineRule="auto"/>
        <w:jc w:val="center"/>
        <w:outlineLvl w:val="1"/>
        <w:rPr>
          <w:rFonts w:hint="eastAsia" w:ascii="Arial" w:hAnsi="Arial" w:eastAsia="黑体"/>
          <w:bCs/>
          <w:color w:val="auto"/>
          <w:sz w:val="30"/>
          <w:szCs w:val="30"/>
          <w:highlight w:val="none"/>
        </w:rPr>
      </w:pPr>
      <w:r>
        <w:rPr>
          <w:rFonts w:hint="eastAsia" w:ascii="Arial" w:hAnsi="Arial" w:eastAsia="黑体"/>
          <w:bCs/>
          <w:color w:val="auto"/>
          <w:sz w:val="30"/>
          <w:szCs w:val="30"/>
          <w:highlight w:val="none"/>
        </w:rPr>
        <w:br w:type="page"/>
      </w:r>
      <w:bookmarkStart w:id="171" w:name="_Toc177489465"/>
      <w:r>
        <w:rPr>
          <w:rFonts w:hint="eastAsia" w:ascii="Arial" w:hAnsi="Arial" w:eastAsia="黑体"/>
          <w:bCs/>
          <w:color w:val="auto"/>
          <w:sz w:val="30"/>
          <w:szCs w:val="30"/>
          <w:highlight w:val="none"/>
        </w:rPr>
        <w:t>第三节 评分标准</w:t>
      </w:r>
      <w:bookmarkEnd w:id="171"/>
    </w:p>
    <w:p>
      <w:pPr>
        <w:shd w:val="clear" w:color="auto" w:fill="auto"/>
        <w:spacing w:line="500" w:lineRule="exact"/>
        <w:ind w:firstLine="602" w:firstLineChars="200"/>
        <w:jc w:val="center"/>
        <w:rPr>
          <w:b/>
          <w:color w:val="auto"/>
          <w:sz w:val="30"/>
          <w:szCs w:val="30"/>
          <w:highlight w:val="none"/>
        </w:rPr>
      </w:pPr>
      <w:r>
        <w:rPr>
          <w:rFonts w:hint="eastAsia"/>
          <w:b/>
          <w:color w:val="auto"/>
          <w:sz w:val="30"/>
          <w:szCs w:val="30"/>
          <w:highlight w:val="none"/>
        </w:rPr>
        <w:t>综合评分法</w:t>
      </w:r>
    </w:p>
    <w:p>
      <w:pPr>
        <w:shd w:val="clear" w:color="auto" w:fill="auto"/>
        <w:spacing w:line="500" w:lineRule="exact"/>
        <w:ind w:firstLine="420"/>
        <w:rPr>
          <w:rFonts w:hint="eastAsia" w:ascii="宋体" w:hAnsi="宋体"/>
          <w:bCs/>
          <w:color w:val="auto"/>
          <w:szCs w:val="20"/>
          <w:highlight w:val="none"/>
        </w:rPr>
      </w:pPr>
      <w:r>
        <w:rPr>
          <w:rFonts w:hint="eastAsia" w:ascii="宋体" w:hAnsi="宋体"/>
          <w:bCs/>
          <w:color w:val="auto"/>
          <w:szCs w:val="20"/>
          <w:highlight w:val="none"/>
        </w:rPr>
        <w:t>1、计分方法按四舍五入取至百分位。</w:t>
      </w:r>
    </w:p>
    <w:p>
      <w:pPr>
        <w:shd w:val="clear" w:color="auto" w:fill="auto"/>
        <w:spacing w:line="500" w:lineRule="exact"/>
        <w:ind w:firstLine="420"/>
        <w:rPr>
          <w:rFonts w:ascii="宋体" w:hAnsi="宋体"/>
          <w:bCs/>
          <w:color w:val="auto"/>
          <w:szCs w:val="20"/>
          <w:highlight w:val="none"/>
        </w:rPr>
      </w:pPr>
      <w:r>
        <w:rPr>
          <w:rFonts w:hint="eastAsia" w:ascii="宋体" w:hAnsi="宋体"/>
          <w:bCs/>
          <w:color w:val="auto"/>
          <w:szCs w:val="20"/>
          <w:highlight w:val="none"/>
        </w:rPr>
        <w:t>总得分=报价分+技术分+商务分</w:t>
      </w:r>
    </w:p>
    <w:p>
      <w:pPr>
        <w:shd w:val="clear" w:color="auto" w:fill="auto"/>
        <w:spacing w:line="500" w:lineRule="exact"/>
        <w:ind w:firstLine="420"/>
        <w:rPr>
          <w:rFonts w:hint="eastAsia" w:ascii="宋体" w:hAnsi="宋体"/>
          <w:bCs/>
          <w:color w:val="auto"/>
          <w:szCs w:val="20"/>
          <w:highlight w:val="none"/>
        </w:rPr>
      </w:pPr>
      <w:r>
        <w:rPr>
          <w:rFonts w:hint="eastAsia" w:ascii="宋体" w:hAnsi="宋体"/>
          <w:bCs/>
          <w:color w:val="auto"/>
          <w:szCs w:val="20"/>
          <w:highlight w:val="none"/>
        </w:rPr>
        <w:t>2、商务技术评审因素为</w:t>
      </w:r>
      <w:bookmarkStart w:id="172" w:name="OLE_LINK25"/>
      <w:r>
        <w:rPr>
          <w:rFonts w:hint="eastAsia" w:ascii="宋体" w:hAnsi="宋体"/>
          <w:bCs/>
          <w:color w:val="auto"/>
          <w:szCs w:val="20"/>
          <w:highlight w:val="none"/>
        </w:rPr>
        <w:t>客观评分项</w:t>
      </w:r>
      <w:bookmarkEnd w:id="172"/>
      <w:r>
        <w:rPr>
          <w:rFonts w:hint="eastAsia" w:ascii="宋体" w:hAnsi="宋体"/>
          <w:bCs/>
          <w:color w:val="auto"/>
          <w:szCs w:val="20"/>
          <w:highlight w:val="none"/>
        </w:rPr>
        <w:t>的，应在评分项目或评分标准中予以标注为“客观分”。对投标人的客观评分项目，各评标委员会成员评分应当一致。</w:t>
      </w:r>
    </w:p>
    <w:p>
      <w:pPr>
        <w:shd w:val="clear" w:color="auto" w:fill="auto"/>
        <w:spacing w:line="500" w:lineRule="exact"/>
        <w:ind w:firstLine="420"/>
        <w:rPr>
          <w:rFonts w:hint="eastAsia" w:ascii="宋体" w:hAnsi="宋体"/>
          <w:bCs/>
          <w:color w:val="auto"/>
          <w:szCs w:val="20"/>
          <w:highlight w:val="none"/>
        </w:rPr>
      </w:pPr>
      <w:r>
        <w:rPr>
          <w:rFonts w:hint="eastAsia" w:ascii="宋体" w:hAnsi="宋体"/>
          <w:bCs/>
          <w:color w:val="auto"/>
          <w:szCs w:val="20"/>
          <w:highlight w:val="none"/>
        </w:rPr>
        <w:t>注：计分方法按四舍五入取至百分位。</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081"/>
        <w:gridCol w:w="7260"/>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评分类型</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评分标准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满分分值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0</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报价</w:t>
            </w:r>
          </w:p>
        </w:tc>
        <w:tc>
          <w:tcPr>
            <w:tcW w:w="7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（1）本项目为专门面向</w:t>
            </w:r>
            <w:r>
              <w:rPr>
                <w:rFonts w:hint="eastAsia" w:ascii="宋体" w:hAnsi="宋体" w:cs="宋体"/>
                <w:color w:val="auto"/>
                <w:szCs w:val="21"/>
                <w:highlight w:val="none"/>
                <w:lang w:eastAsia="zh-CN"/>
              </w:rPr>
              <w:t>小微企业</w:t>
            </w:r>
            <w:r>
              <w:rPr>
                <w:rFonts w:hint="eastAsia" w:ascii="宋体" w:hAnsi="宋体" w:cs="宋体"/>
                <w:color w:val="auto"/>
                <w:szCs w:val="21"/>
                <w:highlight w:val="none"/>
              </w:rPr>
              <w:t>采购的项目，按照《政府采购促进中小企业发展管理办法》（财库〔2020〕46号）的规定，对投标人的投标报价不再执行价格评审优惠的扶持政策。</w:t>
            </w:r>
          </w:p>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（2）评标报价为投标人的投标报价，评标报价只是作为评审时使用。最终中标人的中标金额等于投标报价。</w:t>
            </w:r>
          </w:p>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（3）满足招标文件要求且评标报价最低的评标报价为评标基准价，基准价得分为</w:t>
            </w:r>
            <w:r>
              <w:rPr>
                <w:rFonts w:hint="eastAsia" w:ascii="宋体" w:hAnsi="宋体" w:cs="宋体"/>
                <w:bCs/>
                <w:color w:val="auto"/>
                <w:szCs w:val="21"/>
                <w:highlight w:val="none"/>
                <w:u w:val="single"/>
              </w:rPr>
              <w:t>10</w:t>
            </w:r>
            <w:r>
              <w:rPr>
                <w:rFonts w:hint="eastAsia" w:ascii="宋体" w:hAnsi="宋体" w:cs="宋体"/>
                <w:color w:val="auto"/>
                <w:szCs w:val="21"/>
                <w:highlight w:val="none"/>
              </w:rPr>
              <w:t>分。</w:t>
            </w:r>
          </w:p>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（4）价格分计算公式：</w:t>
            </w:r>
          </w:p>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color w:val="auto"/>
                <w:highlight w:val="none"/>
              </w:rPr>
            </w:pPr>
            <w:r>
              <w:rPr>
                <w:rFonts w:hint="eastAsia" w:ascii="宋体" w:hAnsi="宋体" w:cs="宋体"/>
                <w:color w:val="auto"/>
                <w:szCs w:val="21"/>
                <w:highlight w:val="none"/>
              </w:rPr>
              <w:t>价格分=(评标基准价／评标报价)×</w:t>
            </w:r>
            <w:r>
              <w:rPr>
                <w:rFonts w:hint="eastAsia" w:ascii="宋体" w:hAnsi="宋体" w:cs="宋体"/>
                <w:bCs/>
                <w:color w:val="auto"/>
                <w:szCs w:val="21"/>
                <w:highlight w:val="none"/>
                <w:u w:val="single"/>
              </w:rPr>
              <w:t>10</w:t>
            </w:r>
            <w:r>
              <w:rPr>
                <w:rFonts w:hint="eastAsia" w:ascii="宋体" w:hAnsi="宋体" w:cs="宋体"/>
                <w:color w:val="auto"/>
                <w:szCs w:val="21"/>
                <w:highlight w:val="none"/>
              </w:rPr>
              <w:t>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ascii="宋体" w:hAnsi="宋体" w:cs="宋体"/>
                <w:bCs/>
                <w:color w:val="auto"/>
                <w:szCs w:val="21"/>
                <w:highlight w:val="none"/>
              </w:rPr>
            </w:pPr>
            <w:r>
              <w:rPr>
                <w:rFonts w:hint="eastAsia" w:ascii="宋体" w:hAnsi="宋体" w:cs="宋体"/>
                <w:bCs/>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rPr>
            </w:pPr>
            <w:bookmarkStart w:id="173" w:name="_Hlk177486941"/>
            <w:bookmarkStart w:id="174" w:name="_Hlk177486979"/>
            <w:r>
              <w:rPr>
                <w:rFonts w:hint="eastAsia" w:ascii="宋体" w:hAnsi="宋体" w:eastAsia="宋体" w:cs="宋体"/>
                <w:bCs/>
                <w:color w:val="auto"/>
                <w:szCs w:val="21"/>
              </w:rPr>
              <w:t>2</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adjustRightInd w:val="0"/>
              <w:spacing w:line="400" w:lineRule="exact"/>
              <w:jc w:val="center"/>
              <w:textAlignment w:val="baseline"/>
              <w:rPr>
                <w:rFonts w:hint="eastAsia" w:ascii="宋体" w:hAnsi="宋体" w:cs="宋体"/>
                <w:bCs/>
                <w:color w:val="auto"/>
                <w:szCs w:val="21"/>
                <w:highlight w:val="none"/>
              </w:rPr>
            </w:pPr>
            <w:r>
              <w:rPr>
                <w:rFonts w:ascii="宋体" w:hAnsi="宋体" w:eastAsia="宋体" w:cs="宋体"/>
                <w:bCs/>
                <w:color w:val="auto"/>
              </w:rPr>
              <w:t>技术</w:t>
            </w:r>
          </w:p>
        </w:tc>
        <w:tc>
          <w:tcPr>
            <w:tcW w:w="7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szCs w:val="21"/>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eastAsia="宋体" w:cs="宋体"/>
                <w:bCs/>
                <w:color w:val="auto"/>
                <w:szCs w:val="21"/>
              </w:rPr>
              <w:t>2.1</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baseline"/>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技术参数、性能配置分</w:t>
            </w:r>
          </w:p>
          <w:p>
            <w:pPr>
              <w:adjustRightInd w:val="0"/>
              <w:spacing w:line="400" w:lineRule="exact"/>
              <w:jc w:val="center"/>
              <w:textAlignment w:val="baseline"/>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（客观分）</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rPr>
                <w:rFonts w:hint="eastAsia" w:hAnsi="宋体" w:eastAsia="宋体" w:cs="宋体"/>
                <w:color w:val="auto"/>
                <w:highlight w:val="none"/>
                <w:lang w:eastAsia="zh-CN"/>
              </w:rPr>
            </w:pPr>
            <w:r>
              <w:rPr>
                <w:rFonts w:hint="eastAsia"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rPr>
              <w:t>第二章  采购需求</w:t>
            </w:r>
            <w:r>
              <w:rPr>
                <w:rFonts w:hint="default" w:ascii="宋体" w:hAnsi="宋体" w:eastAsia="宋体" w:cs="宋体"/>
                <w:bCs/>
                <w:color w:val="auto"/>
                <w:szCs w:val="21"/>
                <w:highlight w:val="none"/>
                <w:lang w:val="en-US" w:eastAsia="zh-CN"/>
              </w:rPr>
              <w:t>”</w:t>
            </w:r>
            <w:r>
              <w:rPr>
                <w:rFonts w:hint="eastAsia" w:ascii="宋体" w:hAnsi="宋体" w:eastAsia="宋体" w:cs="宋体"/>
                <w:bCs/>
                <w:color w:val="auto"/>
                <w:szCs w:val="21"/>
                <w:highlight w:val="none"/>
                <w:lang w:val="en-US" w:eastAsia="zh-CN"/>
              </w:rPr>
              <w:t>的</w:t>
            </w:r>
            <w:r>
              <w:rPr>
                <w:rFonts w:hint="eastAsia" w:ascii="宋体" w:hAnsi="宋体" w:eastAsia="宋体"/>
                <w:color w:val="auto"/>
                <w:kern w:val="0"/>
                <w:szCs w:val="21"/>
              </w:rPr>
              <w:t>“（二）用于服务的阅卷软件应满足以下技术参数要求”中的</w:t>
            </w:r>
            <w:bookmarkStart w:id="175" w:name="OLE_LINK28"/>
            <w:r>
              <w:rPr>
                <w:rFonts w:hint="eastAsia" w:ascii="宋体" w:hAnsi="宋体" w:eastAsia="宋体"/>
                <w:color w:val="auto"/>
                <w:kern w:val="0"/>
                <w:szCs w:val="21"/>
              </w:rPr>
              <w:t>标注</w:t>
            </w:r>
            <w:bookmarkStart w:id="176" w:name="OLE_LINK27"/>
            <w:r>
              <w:rPr>
                <w:rFonts w:hint="eastAsia" w:ascii="宋体" w:hAnsi="宋体" w:eastAsia="宋体"/>
                <w:color w:val="auto"/>
                <w:kern w:val="0"/>
                <w:szCs w:val="21"/>
              </w:rPr>
              <w:t>▲</w:t>
            </w:r>
            <w:bookmarkEnd w:id="176"/>
            <w:r>
              <w:rPr>
                <w:rFonts w:hint="eastAsia" w:ascii="宋体" w:hAnsi="宋体" w:eastAsia="宋体"/>
                <w:color w:val="auto"/>
                <w:kern w:val="0"/>
                <w:szCs w:val="21"/>
              </w:rPr>
              <w:t>号的技术参数</w:t>
            </w:r>
            <w:bookmarkEnd w:id="175"/>
            <w:r>
              <w:rPr>
                <w:rFonts w:hint="eastAsia" w:ascii="宋体" w:hAnsi="宋体" w:eastAsia="宋体"/>
                <w:color w:val="auto"/>
                <w:kern w:val="0"/>
                <w:szCs w:val="21"/>
              </w:rPr>
              <w:t>能提供相应的证书或检测报告复印件或功能截图等</w:t>
            </w:r>
            <w:r>
              <w:rPr>
                <w:rFonts w:hint="eastAsia" w:ascii="宋体" w:hAnsi="宋体" w:eastAsia="宋体"/>
                <w:color w:val="auto"/>
                <w:kern w:val="0"/>
                <w:szCs w:val="21"/>
                <w:lang w:val="en-US" w:eastAsia="zh-CN"/>
              </w:rPr>
              <w:t>加盖投标人公章的</w:t>
            </w:r>
            <w:r>
              <w:rPr>
                <w:rFonts w:hint="eastAsia" w:ascii="宋体" w:hAnsi="宋体" w:eastAsia="宋体"/>
                <w:color w:val="auto"/>
                <w:kern w:val="0"/>
                <w:szCs w:val="21"/>
              </w:rPr>
              <w:t>证明材料，且评审时</w:t>
            </w:r>
            <w:r>
              <w:rPr>
                <w:rFonts w:hint="eastAsia" w:ascii="宋体" w:hAnsi="宋体" w:eastAsia="宋体"/>
                <w:color w:val="auto"/>
                <w:kern w:val="0"/>
                <w:szCs w:val="21"/>
                <w:lang w:eastAsia="zh-CN"/>
              </w:rPr>
              <w:t>经评标委员会</w:t>
            </w:r>
            <w:r>
              <w:rPr>
                <w:rFonts w:hint="eastAsia" w:ascii="宋体" w:hAnsi="宋体" w:eastAsia="宋体"/>
                <w:color w:val="auto"/>
                <w:kern w:val="0"/>
                <w:szCs w:val="21"/>
              </w:rPr>
              <w:t>接受的，每提供一项加2分</w:t>
            </w:r>
            <w:r>
              <w:rPr>
                <w:rFonts w:hint="eastAsia" w:ascii="宋体" w:hAnsi="宋体" w:eastAsia="宋体"/>
                <w:color w:val="auto"/>
                <w:kern w:val="0"/>
                <w:szCs w:val="21"/>
                <w:lang w:eastAsia="zh-CN"/>
              </w:rPr>
              <w:t>，</w:t>
            </w:r>
            <w:r>
              <w:rPr>
                <w:rFonts w:hint="eastAsia" w:ascii="宋体" w:hAnsi="宋体" w:eastAsia="宋体"/>
                <w:color w:val="auto"/>
                <w:kern w:val="0"/>
                <w:szCs w:val="21"/>
              </w:rPr>
              <w:t>提供同样内容的证明材料不能累计加分，满分</w:t>
            </w:r>
            <w:r>
              <w:rPr>
                <w:rFonts w:hint="eastAsia" w:ascii="宋体" w:hAnsi="宋体"/>
                <w:color w:val="auto"/>
                <w:kern w:val="0"/>
                <w:szCs w:val="21"/>
                <w:lang w:val="en-US" w:eastAsia="zh-CN"/>
              </w:rPr>
              <w:t>30</w:t>
            </w:r>
            <w:r>
              <w:rPr>
                <w:rFonts w:hint="eastAsia" w:ascii="宋体" w:hAnsi="宋体" w:eastAsia="宋体"/>
                <w:color w:val="auto"/>
                <w:kern w:val="0"/>
                <w:szCs w:val="21"/>
              </w:rPr>
              <w:t>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cs="宋体"/>
                <w:color w:val="auto"/>
                <w:szCs w:val="21"/>
                <w:highlight w:val="no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eastAsia="宋体" w:cs="宋体"/>
                <w:bCs/>
                <w:color w:val="auto"/>
                <w:szCs w:val="21"/>
              </w:rPr>
              <w:t>2.2</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baseline"/>
              <w:rPr>
                <w:rFonts w:hint="eastAsia" w:ascii="宋体" w:hAnsi="宋体" w:cs="宋体"/>
                <w:bCs/>
                <w:color w:val="auto"/>
                <w:szCs w:val="21"/>
                <w:highlight w:val="none"/>
              </w:rPr>
            </w:pPr>
            <w:r>
              <w:rPr>
                <w:rFonts w:hint="eastAsia" w:ascii="宋体" w:cs="宋体"/>
                <w:bCs/>
                <w:color w:val="auto"/>
                <w:kern w:val="0"/>
                <w:szCs w:val="21"/>
                <w:highlight w:val="none"/>
                <w:lang w:val="en-US" w:eastAsia="zh-CN"/>
              </w:rPr>
              <w:t>阅卷服务</w:t>
            </w:r>
            <w:r>
              <w:rPr>
                <w:rFonts w:hint="eastAsia" w:ascii="宋体" w:cs="宋体"/>
                <w:bCs/>
                <w:color w:val="auto"/>
                <w:kern w:val="0"/>
                <w:szCs w:val="21"/>
                <w:highlight w:val="none"/>
              </w:rPr>
              <w:t>产品质量性能分</w:t>
            </w:r>
            <w:r>
              <w:rPr>
                <w:rFonts w:hint="eastAsia" w:ascii="宋体" w:hAnsi="宋体" w:eastAsia="宋体" w:cs="宋体"/>
                <w:bCs/>
                <w:color w:val="auto"/>
                <w:szCs w:val="21"/>
                <w:highlight w:val="none"/>
                <w:lang w:eastAsia="zh-CN"/>
              </w:rPr>
              <w:t>（客观分）</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ind w:firstLine="420" w:firstLineChars="200"/>
              <w:rPr>
                <w:rFonts w:hint="eastAsia" w:hAnsi="宋体" w:cs="宋体"/>
                <w:color w:val="auto"/>
                <w:highlight w:val="none"/>
              </w:rPr>
            </w:pPr>
            <w:r>
              <w:rPr>
                <w:rFonts w:hint="eastAsia" w:ascii="宋体" w:hAnsi="宋体" w:eastAsia="宋体" w:cs="宋体"/>
                <w:bCs/>
                <w:color w:val="auto"/>
                <w:szCs w:val="21"/>
                <w:highlight w:val="none"/>
                <w:lang w:eastAsia="zh-CN"/>
              </w:rPr>
              <w:t>所投阅卷服务系统软件产品单次在大型考生阅卷时同时在线阅卷老师在6001至7000人的得1分，同时在线阅卷老师在7001至8000人的得2分，同时在线阅卷老师在8001至9000人的得3分，同时在线阅卷老师在9001人至</w:t>
            </w:r>
            <w:bookmarkStart w:id="177" w:name="OLE_LINK29"/>
            <w:r>
              <w:rPr>
                <w:rFonts w:hint="eastAsia" w:ascii="宋体" w:hAnsi="宋体" w:eastAsia="宋体" w:cs="宋体"/>
                <w:bCs/>
                <w:color w:val="auto"/>
                <w:szCs w:val="21"/>
                <w:highlight w:val="none"/>
                <w:lang w:eastAsia="zh-CN"/>
              </w:rPr>
              <w:t>10000人</w:t>
            </w:r>
            <w:bookmarkEnd w:id="177"/>
            <w:r>
              <w:rPr>
                <w:rFonts w:hint="eastAsia" w:ascii="宋体" w:hAnsi="宋体" w:eastAsia="宋体" w:cs="宋体"/>
                <w:bCs/>
                <w:color w:val="auto"/>
                <w:szCs w:val="21"/>
                <w:highlight w:val="none"/>
                <w:lang w:eastAsia="zh-CN"/>
              </w:rPr>
              <w:t>的得5分，同时在线阅卷老师在</w:t>
            </w:r>
            <w:bookmarkStart w:id="178" w:name="OLE_LINK30"/>
            <w:r>
              <w:rPr>
                <w:rFonts w:hint="eastAsia" w:ascii="宋体" w:hAnsi="宋体" w:eastAsia="宋体" w:cs="宋体"/>
                <w:bCs/>
                <w:color w:val="auto"/>
                <w:szCs w:val="21"/>
                <w:highlight w:val="none"/>
                <w:lang w:eastAsia="zh-CN"/>
              </w:rPr>
              <w:t>10001人以上</w:t>
            </w:r>
            <w:bookmarkEnd w:id="178"/>
            <w:r>
              <w:rPr>
                <w:rFonts w:hint="eastAsia" w:ascii="宋体" w:hAnsi="宋体" w:eastAsia="宋体" w:cs="宋体"/>
                <w:bCs/>
                <w:color w:val="auto"/>
                <w:szCs w:val="21"/>
                <w:highlight w:val="none"/>
                <w:lang w:eastAsia="zh-CN"/>
              </w:rPr>
              <w:t>的得7分。提供多个验收报告份数不叠加，以在线阅卷人数最高的验收报告为主。（满分7分）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eastAsia="宋体" w:cs="宋体"/>
                <w:color w:val="auto"/>
                <w:szCs w:val="21"/>
                <w:highlight w:val="none"/>
                <w:lang w:val="en-US" w:eastAsia="zh-CN"/>
              </w:rPr>
              <w:t>7</w:t>
            </w:r>
          </w:p>
        </w:tc>
      </w:tr>
      <w:bookmarkEnd w:id="17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rPr>
              <w:t>2.</w:t>
            </w:r>
            <w:r>
              <w:rPr>
                <w:rFonts w:hint="eastAsia" w:ascii="宋体" w:hAnsi="宋体" w:eastAsia="宋体" w:cs="宋体"/>
                <w:bCs/>
                <w:color w:val="auto"/>
                <w:szCs w:val="21"/>
                <w:lang w:val="en-US" w:eastAsia="zh-CN"/>
              </w:rPr>
              <w:t>3</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baseline"/>
              <w:rPr>
                <w:rFonts w:hint="eastAsia" w:ascii="宋体" w:hAnsi="宋体" w:cs="宋体"/>
                <w:bCs/>
                <w:color w:val="auto"/>
                <w:szCs w:val="21"/>
                <w:highlight w:val="none"/>
              </w:rPr>
            </w:pPr>
            <w:r>
              <w:rPr>
                <w:rFonts w:hint="eastAsia" w:ascii="宋体" w:hAnsi="宋体"/>
                <w:color w:val="auto"/>
                <w:kern w:val="0"/>
                <w:szCs w:val="21"/>
              </w:rPr>
              <w:t>实施</w:t>
            </w:r>
            <w:r>
              <w:rPr>
                <w:rFonts w:hint="eastAsia" w:ascii="宋体" w:hAnsi="宋体" w:eastAsia="宋体" w:cs="宋体"/>
                <w:color w:val="auto"/>
                <w:szCs w:val="21"/>
                <w:highlight w:val="none"/>
              </w:rPr>
              <w:t>方案分</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atLeast"/>
              <w:ind w:leftChars="0" w:firstLine="420" w:firstLineChars="200"/>
              <w:rPr>
                <w:rFonts w:hint="eastAsia" w:ascii="宋体" w:hAnsi="宋体"/>
                <w:color w:val="auto"/>
                <w:kern w:val="0"/>
                <w:szCs w:val="21"/>
              </w:rPr>
            </w:pPr>
            <w:r>
              <w:rPr>
                <w:rFonts w:hint="eastAsia" w:ascii="宋体" w:hAnsi="宋体"/>
                <w:color w:val="auto"/>
                <w:kern w:val="0"/>
                <w:szCs w:val="21"/>
              </w:rPr>
              <w:t>评审要素：实施方案包含但不限于以下2项内容：（1）实施方案内容、（2）实施人员及软硬件配置。各项内容不可重复，且各项内容必须与本项目运行维护相关，各项内容须合理，否则均不计入项数。</w:t>
            </w:r>
          </w:p>
          <w:p>
            <w:pPr>
              <w:numPr>
                <w:ilvl w:val="0"/>
                <w:numId w:val="0"/>
              </w:numPr>
              <w:spacing w:line="400" w:lineRule="atLeast"/>
              <w:ind w:leftChars="0" w:firstLine="420" w:firstLineChars="200"/>
              <w:rPr>
                <w:rFonts w:hint="eastAsia" w:ascii="宋体" w:hAnsi="宋体"/>
                <w:color w:val="auto"/>
                <w:kern w:val="0"/>
                <w:szCs w:val="21"/>
              </w:rPr>
            </w:pPr>
            <w:r>
              <w:rPr>
                <w:rFonts w:hint="eastAsia" w:ascii="宋体" w:hAnsi="宋体"/>
                <w:color w:val="auto"/>
                <w:kern w:val="0"/>
                <w:szCs w:val="21"/>
                <w:lang w:eastAsia="zh-CN"/>
              </w:rPr>
              <w:t>一</w:t>
            </w:r>
            <w:r>
              <w:rPr>
                <w:rFonts w:hint="eastAsia" w:ascii="宋体" w:hAnsi="宋体"/>
                <w:color w:val="auto"/>
                <w:kern w:val="0"/>
                <w:szCs w:val="21"/>
              </w:rPr>
              <w:t>档（</w:t>
            </w:r>
            <w:r>
              <w:rPr>
                <w:rFonts w:hint="eastAsia" w:ascii="宋体" w:hAnsi="宋体"/>
                <w:color w:val="auto"/>
                <w:kern w:val="0"/>
                <w:szCs w:val="21"/>
                <w:lang w:val="en-US" w:eastAsia="zh-CN"/>
              </w:rPr>
              <w:t>5</w:t>
            </w:r>
            <w:r>
              <w:rPr>
                <w:rFonts w:hint="eastAsia" w:ascii="宋体" w:hAnsi="宋体"/>
                <w:color w:val="auto"/>
                <w:kern w:val="0"/>
                <w:szCs w:val="21"/>
              </w:rPr>
              <w:t>分）：实施方案无缺项（2项），合计共有2项内容，且实施方案</w:t>
            </w:r>
            <w:r>
              <w:rPr>
                <w:rFonts w:hint="eastAsia" w:ascii="宋体" w:hAnsi="宋体"/>
                <w:color w:val="auto"/>
                <w:kern w:val="0"/>
                <w:szCs w:val="21"/>
                <w:lang w:val="en-US" w:eastAsia="zh-CN"/>
              </w:rPr>
              <w:t>内容</w:t>
            </w:r>
            <w:r>
              <w:rPr>
                <w:rFonts w:hint="eastAsia" w:ascii="宋体" w:hAnsi="宋体"/>
                <w:color w:val="auto"/>
                <w:kern w:val="0"/>
                <w:szCs w:val="21"/>
              </w:rPr>
              <w:t>不少于2点的；</w:t>
            </w:r>
          </w:p>
          <w:p>
            <w:pPr>
              <w:numPr>
                <w:ilvl w:val="0"/>
                <w:numId w:val="0"/>
              </w:numPr>
              <w:spacing w:line="400" w:lineRule="atLeast"/>
              <w:ind w:leftChars="0" w:firstLine="420" w:firstLineChars="200"/>
              <w:rPr>
                <w:rFonts w:hint="eastAsia" w:ascii="宋体" w:hAnsi="宋体"/>
                <w:color w:val="auto"/>
                <w:kern w:val="0"/>
                <w:szCs w:val="21"/>
              </w:rPr>
            </w:pPr>
            <w:r>
              <w:rPr>
                <w:rFonts w:hint="eastAsia" w:ascii="宋体" w:hAnsi="宋体"/>
                <w:color w:val="auto"/>
                <w:kern w:val="0"/>
                <w:szCs w:val="21"/>
                <w:lang w:eastAsia="zh-CN"/>
              </w:rPr>
              <w:t>二</w:t>
            </w:r>
            <w:r>
              <w:rPr>
                <w:rFonts w:hint="eastAsia" w:ascii="宋体" w:hAnsi="宋体"/>
                <w:color w:val="auto"/>
                <w:kern w:val="0"/>
                <w:szCs w:val="21"/>
              </w:rPr>
              <w:t>档（</w:t>
            </w:r>
            <w:r>
              <w:rPr>
                <w:rFonts w:hint="eastAsia" w:ascii="宋体" w:hAnsi="宋体"/>
                <w:color w:val="auto"/>
                <w:kern w:val="0"/>
                <w:szCs w:val="21"/>
                <w:lang w:val="en-US" w:eastAsia="zh-CN"/>
              </w:rPr>
              <w:t>10</w:t>
            </w:r>
            <w:r>
              <w:rPr>
                <w:rFonts w:hint="eastAsia" w:ascii="宋体" w:hAnsi="宋体"/>
                <w:color w:val="auto"/>
                <w:kern w:val="0"/>
                <w:szCs w:val="21"/>
              </w:rPr>
              <w:t>分）：实施方案无缺项（2项），合计共有2项内容，且实施方案</w:t>
            </w:r>
            <w:r>
              <w:rPr>
                <w:rFonts w:hint="eastAsia" w:ascii="宋体" w:hAnsi="宋体"/>
                <w:color w:val="auto"/>
                <w:kern w:val="0"/>
                <w:szCs w:val="21"/>
                <w:lang w:val="en-US" w:eastAsia="zh-CN"/>
              </w:rPr>
              <w:t>内容</w:t>
            </w:r>
            <w:r>
              <w:rPr>
                <w:rFonts w:hint="eastAsia" w:ascii="宋体" w:hAnsi="宋体"/>
                <w:color w:val="auto"/>
                <w:kern w:val="0"/>
                <w:szCs w:val="21"/>
              </w:rPr>
              <w:t>不少于4点的；</w:t>
            </w:r>
          </w:p>
          <w:p>
            <w:pPr>
              <w:numPr>
                <w:ilvl w:val="0"/>
                <w:numId w:val="0"/>
              </w:numPr>
              <w:spacing w:line="400" w:lineRule="atLeast"/>
              <w:ind w:leftChars="0" w:firstLine="420" w:firstLineChars="200"/>
              <w:rPr>
                <w:rFonts w:hint="eastAsia" w:ascii="宋体" w:hAnsi="宋体"/>
                <w:color w:val="auto"/>
                <w:kern w:val="0"/>
                <w:szCs w:val="21"/>
              </w:rPr>
            </w:pPr>
            <w:r>
              <w:rPr>
                <w:rFonts w:hint="eastAsia" w:ascii="宋体" w:hAnsi="宋体"/>
                <w:color w:val="auto"/>
                <w:kern w:val="0"/>
                <w:szCs w:val="21"/>
              </w:rPr>
              <w:t>三档（</w:t>
            </w:r>
            <w:r>
              <w:rPr>
                <w:rFonts w:hint="eastAsia" w:ascii="宋体" w:hAnsi="宋体"/>
                <w:color w:val="auto"/>
                <w:kern w:val="0"/>
                <w:szCs w:val="21"/>
                <w:lang w:val="en-US" w:eastAsia="zh-CN"/>
              </w:rPr>
              <w:t>15</w:t>
            </w:r>
            <w:r>
              <w:rPr>
                <w:rFonts w:hint="eastAsia" w:ascii="宋体" w:hAnsi="宋体"/>
                <w:color w:val="auto"/>
                <w:kern w:val="0"/>
                <w:szCs w:val="21"/>
              </w:rPr>
              <w:t>分）：实施方案无缺项（2项），合计共有2项内容，且实施方案</w:t>
            </w:r>
            <w:r>
              <w:rPr>
                <w:rFonts w:hint="eastAsia" w:ascii="宋体" w:hAnsi="宋体"/>
                <w:color w:val="auto"/>
                <w:kern w:val="0"/>
                <w:szCs w:val="21"/>
                <w:lang w:val="en-US" w:eastAsia="zh-CN"/>
              </w:rPr>
              <w:t>内容</w:t>
            </w:r>
            <w:r>
              <w:rPr>
                <w:rFonts w:hint="eastAsia" w:ascii="宋体" w:hAnsi="宋体"/>
                <w:color w:val="auto"/>
                <w:kern w:val="0"/>
                <w:szCs w:val="21"/>
              </w:rPr>
              <w:t>不少于6项的；</w:t>
            </w:r>
          </w:p>
          <w:p>
            <w:pPr>
              <w:numPr>
                <w:ilvl w:val="0"/>
                <w:numId w:val="0"/>
              </w:numPr>
              <w:spacing w:line="400" w:lineRule="atLeast"/>
              <w:ind w:left="0" w:leftChars="0" w:firstLine="420" w:firstLineChars="200"/>
              <w:rPr>
                <w:rFonts w:hint="eastAsia" w:ascii="仿宋_GB2312" w:eastAsia="仿宋_GB2312"/>
                <w:color w:val="auto"/>
                <w:sz w:val="24"/>
                <w:highlight w:val="none"/>
              </w:rPr>
            </w:pPr>
            <w:r>
              <w:rPr>
                <w:rFonts w:hint="eastAsia" w:ascii="宋体" w:hAnsi="宋体"/>
                <w:color w:val="auto"/>
                <w:kern w:val="0"/>
                <w:szCs w:val="21"/>
              </w:rPr>
              <w:t>四档（</w:t>
            </w:r>
            <w:r>
              <w:rPr>
                <w:rFonts w:hint="eastAsia" w:ascii="宋体" w:hAnsi="宋体"/>
                <w:color w:val="auto"/>
                <w:kern w:val="0"/>
                <w:szCs w:val="21"/>
                <w:lang w:val="en-US" w:eastAsia="zh-CN"/>
              </w:rPr>
              <w:t>20</w:t>
            </w:r>
            <w:r>
              <w:rPr>
                <w:rFonts w:hint="eastAsia" w:ascii="宋体" w:hAnsi="宋体"/>
                <w:color w:val="auto"/>
                <w:kern w:val="0"/>
                <w:szCs w:val="21"/>
              </w:rPr>
              <w:t>分）：实施方案无缺项（2项），合计共有2项内容，且实施方案</w:t>
            </w:r>
            <w:r>
              <w:rPr>
                <w:rFonts w:hint="eastAsia" w:ascii="宋体" w:hAnsi="宋体"/>
                <w:color w:val="auto"/>
                <w:kern w:val="0"/>
                <w:szCs w:val="21"/>
                <w:lang w:val="en-US" w:eastAsia="zh-CN"/>
              </w:rPr>
              <w:t>内容</w:t>
            </w:r>
            <w:r>
              <w:rPr>
                <w:rFonts w:hint="eastAsia" w:ascii="宋体" w:hAnsi="宋体"/>
                <w:color w:val="auto"/>
                <w:kern w:val="0"/>
                <w:szCs w:val="21"/>
              </w:rPr>
              <w:t>不少于8项的。并承诺0.5小时内提供服务技术支持并解决相关问题、方案内容更优化</w:t>
            </w:r>
            <w:r>
              <w:rPr>
                <w:rFonts w:hint="eastAsia" w:ascii="宋体" w:hAnsi="宋体"/>
                <w:color w:val="auto"/>
                <w:spacing w:val="-4"/>
                <w:szCs w:val="21"/>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宋体"/>
                <w:color w:val="auto"/>
                <w:highlight w:val="none"/>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cs="宋体"/>
                <w:color w:val="auto"/>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bCs/>
                <w:color w:val="auto"/>
                <w:szCs w:val="21"/>
              </w:rPr>
              <w:t>2</w:t>
            </w:r>
            <w:r>
              <w:rPr>
                <w:rFonts w:ascii="宋体" w:hAnsi="宋体" w:eastAsia="宋体" w:cs="宋体"/>
                <w:bCs/>
                <w:color w:val="auto"/>
                <w:szCs w:val="21"/>
              </w:rPr>
              <w:t>.</w:t>
            </w:r>
            <w:r>
              <w:rPr>
                <w:rFonts w:hint="eastAsia" w:ascii="宋体" w:hAnsi="宋体" w:eastAsia="宋体" w:cs="宋体"/>
                <w:bCs/>
                <w:color w:val="auto"/>
                <w:szCs w:val="21"/>
                <w:lang w:val="en-US" w:eastAsia="zh-CN"/>
              </w:rPr>
              <w:t>4</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adjustRightInd w:val="0"/>
              <w:spacing w:line="400" w:lineRule="exact"/>
              <w:jc w:val="center"/>
              <w:textAlignment w:val="baseline"/>
              <w:rPr>
                <w:rFonts w:hint="eastAsia" w:ascii="宋体" w:hAnsi="宋体" w:cs="宋体"/>
                <w:bCs/>
                <w:color w:val="auto"/>
                <w:szCs w:val="21"/>
                <w:highlight w:val="none"/>
              </w:rPr>
            </w:pPr>
            <w:r>
              <w:rPr>
                <w:rFonts w:hint="eastAsia" w:ascii="宋体" w:hAnsi="宋体" w:eastAsia="宋体" w:cs="宋体"/>
                <w:b w:val="0"/>
                <w:bCs/>
                <w:color w:val="auto"/>
                <w:szCs w:val="21"/>
              </w:rPr>
              <w:t>质量措施保证分</w:t>
            </w:r>
          </w:p>
        </w:tc>
        <w:tc>
          <w:tcPr>
            <w:tcW w:w="7260" w:type="dxa"/>
            <w:tcBorders>
              <w:top w:val="single" w:color="auto" w:sz="4" w:space="0"/>
              <w:left w:val="single" w:color="auto" w:sz="4" w:space="0"/>
              <w:bottom w:val="single" w:color="auto" w:sz="4" w:space="0"/>
              <w:right w:val="single" w:color="auto" w:sz="4" w:space="0"/>
            </w:tcBorders>
            <w:noWrap w:val="0"/>
            <w:vAlign w:val="center"/>
          </w:tcPr>
          <w:p>
            <w:pPr>
              <w:spacing w:line="400" w:lineRule="atLeast"/>
              <w:ind w:firstLine="420" w:firstLineChars="200"/>
              <w:rPr>
                <w:rFonts w:hint="eastAsia" w:ascii="宋体" w:hAnsi="宋体"/>
                <w:color w:val="auto"/>
                <w:kern w:val="0"/>
                <w:szCs w:val="21"/>
              </w:rPr>
            </w:pPr>
            <w:r>
              <w:rPr>
                <w:rFonts w:hint="eastAsia" w:ascii="宋体" w:hAnsi="宋体"/>
                <w:color w:val="auto"/>
                <w:kern w:val="0"/>
                <w:szCs w:val="21"/>
              </w:rPr>
              <w:t>一档</w:t>
            </w:r>
            <w:r>
              <w:rPr>
                <w:rFonts w:hint="eastAsia" w:ascii="宋体" w:hAnsi="宋体"/>
                <w:color w:val="auto"/>
                <w:kern w:val="0"/>
                <w:szCs w:val="21"/>
                <w:lang w:eastAsia="zh-CN"/>
              </w:rPr>
              <w:t>（</w:t>
            </w:r>
            <w:r>
              <w:rPr>
                <w:rFonts w:hint="eastAsia" w:ascii="宋体" w:hAnsi="宋体"/>
                <w:color w:val="auto"/>
                <w:kern w:val="0"/>
                <w:szCs w:val="21"/>
                <w:lang w:val="en-US" w:eastAsia="zh-CN"/>
              </w:rPr>
              <w:t>4</w:t>
            </w:r>
            <w:r>
              <w:rPr>
                <w:rFonts w:hint="eastAsia" w:ascii="宋体" w:hAnsi="宋体"/>
                <w:color w:val="auto"/>
                <w:kern w:val="0"/>
                <w:szCs w:val="21"/>
              </w:rPr>
              <w:t xml:space="preserve">分）：投标人能提供具体质量保证措施，形成项目管理文档计划，有项目管理组织机构，能基本说明各个阶段工作安排能说明人员安排及项目进度的； </w:t>
            </w:r>
          </w:p>
          <w:p>
            <w:pPr>
              <w:spacing w:line="400" w:lineRule="atLeast"/>
              <w:ind w:firstLine="420" w:firstLineChars="200"/>
              <w:rPr>
                <w:rFonts w:hint="eastAsia" w:ascii="宋体" w:hAnsi="宋体"/>
                <w:color w:val="auto"/>
                <w:kern w:val="0"/>
                <w:szCs w:val="21"/>
              </w:rPr>
            </w:pPr>
            <w:r>
              <w:rPr>
                <w:rFonts w:hint="eastAsia" w:ascii="宋体" w:hAnsi="宋体"/>
                <w:color w:val="auto"/>
                <w:kern w:val="0"/>
                <w:szCs w:val="21"/>
              </w:rPr>
              <w:t>二档（</w:t>
            </w:r>
            <w:r>
              <w:rPr>
                <w:rFonts w:hint="eastAsia" w:ascii="宋体" w:hAnsi="宋体"/>
                <w:color w:val="auto"/>
                <w:kern w:val="0"/>
                <w:szCs w:val="21"/>
                <w:lang w:val="en-US" w:eastAsia="zh-CN"/>
              </w:rPr>
              <w:t>8</w:t>
            </w:r>
            <w:r>
              <w:rPr>
                <w:rFonts w:hint="eastAsia" w:ascii="宋体" w:hAnsi="宋体"/>
                <w:color w:val="auto"/>
                <w:kern w:val="0"/>
                <w:szCs w:val="21"/>
              </w:rPr>
              <w:t>分）：投标人能提供具体质量保证措施，且措施合理、</w:t>
            </w:r>
            <w:r>
              <w:rPr>
                <w:rFonts w:hint="eastAsia"/>
                <w:color w:val="auto"/>
                <w:lang w:val="en-US" w:eastAsia="zh-CN"/>
              </w:rPr>
              <w:t>有可操作性</w:t>
            </w:r>
            <w:r>
              <w:rPr>
                <w:rFonts w:hint="eastAsia" w:ascii="宋体" w:hAnsi="宋体"/>
                <w:color w:val="auto"/>
                <w:kern w:val="0"/>
                <w:szCs w:val="21"/>
              </w:rPr>
              <w:t>，形成项目管理文档计划，有项目管理组织机构图，有详细说明各个阶段工作安排，列明项目</w:t>
            </w:r>
            <w:bookmarkStart w:id="179" w:name="OLE_LINK33"/>
            <w:r>
              <w:rPr>
                <w:rFonts w:hint="eastAsia" w:ascii="宋体" w:hAnsi="宋体"/>
                <w:color w:val="auto"/>
                <w:kern w:val="0"/>
                <w:szCs w:val="21"/>
              </w:rPr>
              <w:t>实施小组</w:t>
            </w:r>
            <w:bookmarkEnd w:id="179"/>
            <w:r>
              <w:rPr>
                <w:rFonts w:hint="eastAsia" w:ascii="宋体" w:hAnsi="宋体"/>
                <w:color w:val="auto"/>
                <w:kern w:val="0"/>
                <w:szCs w:val="21"/>
              </w:rPr>
              <w:t>成员名单；</w:t>
            </w:r>
          </w:p>
          <w:p>
            <w:pPr>
              <w:snapToGrid w:val="0"/>
              <w:spacing w:line="400" w:lineRule="exact"/>
              <w:ind w:firstLine="420" w:firstLineChars="200"/>
              <w:rPr>
                <w:rFonts w:hint="eastAsia" w:ascii="仿宋_GB2312" w:eastAsia="仿宋_GB2312"/>
                <w:color w:val="auto"/>
                <w:sz w:val="24"/>
                <w:highlight w:val="none"/>
              </w:rPr>
            </w:pPr>
            <w:r>
              <w:rPr>
                <w:rFonts w:hint="eastAsia" w:ascii="宋体" w:hAnsi="宋体"/>
                <w:color w:val="auto"/>
                <w:kern w:val="0"/>
                <w:szCs w:val="21"/>
              </w:rPr>
              <w:t>三档（</w:t>
            </w:r>
            <w:r>
              <w:rPr>
                <w:rFonts w:hint="default" w:ascii="宋体" w:hAnsi="宋体"/>
                <w:color w:val="auto"/>
                <w:kern w:val="0"/>
                <w:szCs w:val="21"/>
                <w:lang w:val="en-US"/>
              </w:rPr>
              <w:t>1</w:t>
            </w:r>
            <w:r>
              <w:rPr>
                <w:rFonts w:hint="eastAsia" w:ascii="宋体" w:hAnsi="宋体"/>
                <w:color w:val="auto"/>
                <w:kern w:val="0"/>
                <w:szCs w:val="21"/>
                <w:lang w:val="en-US" w:eastAsia="zh-CN"/>
              </w:rPr>
              <w:t>2</w:t>
            </w:r>
            <w:r>
              <w:rPr>
                <w:rFonts w:hint="eastAsia" w:ascii="宋体" w:hAnsi="宋体"/>
                <w:color w:val="auto"/>
                <w:kern w:val="0"/>
                <w:szCs w:val="21"/>
              </w:rPr>
              <w:t>分）：</w:t>
            </w:r>
            <w:r>
              <w:rPr>
                <w:rFonts w:hint="eastAsia" w:ascii="宋体" w:hAnsi="宋体"/>
                <w:color w:val="auto"/>
                <w:spacing w:val="-4"/>
                <w:szCs w:val="21"/>
              </w:rPr>
              <w:t>投标人能提供具体质量保证措施的，且措施合理、</w:t>
            </w:r>
            <w:r>
              <w:rPr>
                <w:rFonts w:hint="eastAsia"/>
                <w:color w:val="auto"/>
                <w:lang w:val="en-US" w:eastAsia="zh-CN"/>
              </w:rPr>
              <w:t>有可操作性</w:t>
            </w:r>
            <w:r>
              <w:rPr>
                <w:rFonts w:hint="eastAsia" w:ascii="宋体" w:hAnsi="宋体"/>
                <w:color w:val="auto"/>
                <w:spacing w:val="-4"/>
                <w:szCs w:val="21"/>
              </w:rPr>
              <w:t>的，形成项目管理文档计划，有项目管理组织机构图，有详细说明各个阶段工作安排，列明项目实施小组成员名单。并且有实施车辆、有项目实施安全保障措施、项目详细工作流程，项目进度表、项目风险预案等管理措施。</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default"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eastAsia="宋体" w:cs="宋体"/>
                <w:bCs/>
                <w:color w:val="auto"/>
                <w:szCs w:val="21"/>
                <w:highlight w:val="none"/>
                <w:lang w:eastAsia="zh-CN"/>
              </w:rPr>
            </w:pPr>
            <w:r>
              <w:rPr>
                <w:rFonts w:hint="eastAsia" w:ascii="宋体" w:hAnsi="宋体" w:cs="宋体"/>
                <w:bCs/>
                <w:color w:val="auto"/>
                <w:szCs w:val="21"/>
                <w:highlight w:val="none"/>
                <w:lang w:val="en-US" w:eastAsia="zh-CN"/>
              </w:rPr>
              <w:t>3</w:t>
            </w:r>
          </w:p>
        </w:tc>
        <w:tc>
          <w:tcPr>
            <w:tcW w:w="108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商务</w:t>
            </w:r>
            <w:r>
              <w:rPr>
                <w:rFonts w:hint="eastAsia" w:ascii="宋体" w:hAnsi="宋体" w:eastAsia="宋体" w:cs="宋体"/>
                <w:bCs/>
                <w:color w:val="auto"/>
                <w:szCs w:val="21"/>
                <w:highlight w:val="none"/>
                <w:lang w:eastAsia="zh-CN"/>
              </w:rPr>
              <w:t>（客观分）</w:t>
            </w:r>
          </w:p>
        </w:tc>
        <w:tc>
          <w:tcPr>
            <w:tcW w:w="72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shd w:val="clear" w:color="auto" w:fill="auto"/>
              <w:kinsoku/>
              <w:wordWrap/>
              <w:overflowPunct/>
              <w:topLinePunct w:val="0"/>
              <w:bidi w:val="0"/>
              <w:spacing w:line="400" w:lineRule="exact"/>
              <w:ind w:firstLine="420" w:firstLineChars="200"/>
              <w:rPr>
                <w:rFonts w:hint="eastAsia" w:ascii="宋体" w:hAnsi="宋体" w:cs="宋体"/>
                <w:color w:val="auto"/>
                <w:highlight w:val="none"/>
              </w:rPr>
            </w:pP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default" w:ascii="宋体" w:hAnsi="宋体" w:eastAsia="宋体" w:cs="宋体"/>
                <w:color w:val="auto"/>
                <w:highlight w:val="none"/>
                <w:lang w:val="en-US" w:eastAsia="zh-CN"/>
              </w:rPr>
            </w:pPr>
            <w:r>
              <w:rPr>
                <w:rFonts w:hint="eastAsia" w:ascii="宋体" w:hAnsi="宋体" w:cs="宋体"/>
                <w:color w:val="auto"/>
                <w:highlight w:val="none"/>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lang w:val="en-US" w:eastAsia="zh-CN"/>
              </w:rPr>
            </w:pPr>
            <w:r>
              <w:rPr>
                <w:rFonts w:hint="eastAsia" w:ascii="宋体" w:hAnsi="宋体" w:eastAsia="宋体" w:cs="宋体"/>
                <w:bCs/>
                <w:color w:val="auto"/>
                <w:szCs w:val="21"/>
              </w:rPr>
              <w:t>3.1</w:t>
            </w:r>
          </w:p>
        </w:tc>
        <w:tc>
          <w:tcPr>
            <w:tcW w:w="8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highlight w:val="none"/>
              </w:rPr>
            </w:pPr>
            <w:r>
              <w:rPr>
                <w:rFonts w:hint="eastAsia" w:ascii="宋体" w:hAnsi="宋体" w:eastAsia="宋体" w:cs="宋体"/>
                <w:color w:val="auto"/>
                <w:kern w:val="0"/>
                <w:sz w:val="21"/>
                <w:szCs w:val="21"/>
                <w:highlight w:val="none"/>
              </w:rPr>
              <w:t>所投阅卷服务软件或使用的技术获</w:t>
            </w:r>
            <w:r>
              <w:rPr>
                <w:rFonts w:hint="eastAsia"/>
                <w:color w:val="auto"/>
                <w:highlight w:val="none"/>
                <w:lang w:eastAsia="zh-CN"/>
              </w:rPr>
              <w:t>行政部门颁发的</w:t>
            </w:r>
            <w:r>
              <w:rPr>
                <w:rFonts w:hint="eastAsia" w:ascii="宋体" w:hAnsi="宋体" w:eastAsia="宋体" w:cs="宋体"/>
                <w:color w:val="auto"/>
                <w:kern w:val="0"/>
                <w:sz w:val="21"/>
                <w:szCs w:val="21"/>
                <w:highlight w:val="none"/>
              </w:rPr>
              <w:t>科技进步奖技术创新项目产品</w:t>
            </w:r>
            <w:r>
              <w:rPr>
                <w:rFonts w:hint="eastAsia" w:ascii="宋体" w:hAnsi="宋体" w:eastAsia="宋体" w:cs="宋体"/>
                <w:color w:val="auto"/>
                <w:kern w:val="0"/>
                <w:sz w:val="21"/>
                <w:szCs w:val="21"/>
                <w:highlight w:val="none"/>
                <w:lang w:eastAsia="zh-CN"/>
              </w:rPr>
              <w:t>或</w:t>
            </w:r>
            <w:r>
              <w:rPr>
                <w:rFonts w:hint="eastAsia" w:ascii="宋体" w:hAnsi="宋体" w:eastAsia="宋体" w:cs="宋体"/>
                <w:color w:val="auto"/>
                <w:kern w:val="0"/>
                <w:sz w:val="21"/>
                <w:szCs w:val="21"/>
                <w:highlight w:val="none"/>
              </w:rPr>
              <w:t>自主创新产品的，</w:t>
            </w:r>
            <w:r>
              <w:rPr>
                <w:rFonts w:hint="eastAsia"/>
                <w:color w:val="auto"/>
                <w:highlight w:val="none"/>
                <w:lang w:val="en-US" w:eastAsia="zh-CN"/>
              </w:rPr>
              <w:t>每有一个得1分</w:t>
            </w:r>
            <w:r>
              <w:rPr>
                <w:rFonts w:hint="eastAsia" w:ascii="宋体" w:hAnsi="宋体" w:eastAsia="宋体" w:cs="宋体"/>
                <w:color w:val="auto"/>
                <w:kern w:val="0"/>
                <w:sz w:val="21"/>
                <w:szCs w:val="21"/>
                <w:highlight w:val="none"/>
              </w:rPr>
              <w:t>，满分</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分；所投阅卷服务软件或使用的技术列入</w:t>
            </w:r>
            <w:r>
              <w:rPr>
                <w:rFonts w:hint="eastAsia" w:ascii="宋体" w:hAnsi="宋体" w:eastAsia="宋体" w:cs="宋体"/>
                <w:strike w:val="0"/>
                <w:dstrike w:val="0"/>
                <w:color w:val="auto"/>
                <w:kern w:val="0"/>
                <w:sz w:val="21"/>
                <w:szCs w:val="21"/>
                <w:highlight w:val="none"/>
                <w:lang w:eastAsia="zh-CN"/>
              </w:rPr>
              <w:t>行政部门颁发的</w:t>
            </w:r>
            <w:r>
              <w:rPr>
                <w:rFonts w:hint="eastAsia" w:ascii="宋体" w:hAnsi="宋体" w:eastAsia="宋体" w:cs="宋体"/>
                <w:color w:val="auto"/>
                <w:kern w:val="0"/>
                <w:sz w:val="21"/>
                <w:szCs w:val="21"/>
                <w:highlight w:val="none"/>
              </w:rPr>
              <w:t>科技创新成果，并通过验收的，得</w:t>
            </w:r>
            <w:r>
              <w:rPr>
                <w:rFonts w:hint="eastAsia" w:ascii="宋体" w:hAnsi="宋体" w:cs="宋体"/>
                <w:color w:val="auto"/>
                <w:kern w:val="0"/>
                <w:sz w:val="21"/>
                <w:szCs w:val="21"/>
                <w:highlight w:val="none"/>
                <w:lang w:val="en-US" w:eastAsia="zh-CN"/>
              </w:rPr>
              <w:t>3</w:t>
            </w:r>
            <w:r>
              <w:rPr>
                <w:rFonts w:hint="eastAsia" w:ascii="宋体" w:hAnsi="宋体" w:eastAsia="宋体" w:cs="宋体"/>
                <w:color w:val="auto"/>
                <w:kern w:val="0"/>
                <w:sz w:val="21"/>
                <w:szCs w:val="21"/>
                <w:highlight w:val="none"/>
              </w:rPr>
              <w:t>分；</w:t>
            </w:r>
            <w:r>
              <w:rPr>
                <w:rFonts w:hint="eastAsia" w:ascii="宋体" w:hAnsi="宋体" w:eastAsia="宋体" w:cs="宋体"/>
                <w:color w:val="auto"/>
                <w:kern w:val="0"/>
                <w:sz w:val="21"/>
                <w:szCs w:val="21"/>
                <w:highlight w:val="none"/>
                <w:lang w:eastAsia="zh-CN"/>
              </w:rPr>
              <w:t>本项</w:t>
            </w:r>
            <w:r>
              <w:rPr>
                <w:rFonts w:hint="eastAsia" w:ascii="宋体" w:hAnsi="宋体" w:eastAsia="宋体" w:cs="宋体"/>
                <w:color w:val="auto"/>
                <w:kern w:val="0"/>
                <w:sz w:val="21"/>
                <w:szCs w:val="21"/>
                <w:highlight w:val="none"/>
              </w:rPr>
              <w:t>满分</w:t>
            </w:r>
            <w:r>
              <w:rPr>
                <w:rFonts w:hint="eastAsia" w:ascii="宋体" w:hAnsi="宋体" w:cs="宋体"/>
                <w:color w:val="auto"/>
                <w:kern w:val="0"/>
                <w:sz w:val="21"/>
                <w:szCs w:val="21"/>
                <w:highlight w:val="none"/>
                <w:lang w:val="en-US" w:eastAsia="zh-CN"/>
              </w:rPr>
              <w:t>6</w:t>
            </w:r>
            <w:r>
              <w:rPr>
                <w:rFonts w:hint="eastAsia" w:ascii="宋体" w:hAnsi="宋体" w:eastAsia="宋体" w:cs="宋体"/>
                <w:color w:val="auto"/>
                <w:kern w:val="0"/>
                <w:sz w:val="21"/>
                <w:szCs w:val="21"/>
                <w:highlight w:val="none"/>
              </w:rPr>
              <w:t>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lang w:val="en-US" w:eastAsia="zh-CN"/>
              </w:rPr>
            </w:pPr>
            <w:r>
              <w:rPr>
                <w:rFonts w:hint="eastAsia" w:ascii="宋体" w:hAnsi="宋体" w:eastAsia="宋体" w:cs="宋体"/>
                <w:bCs/>
                <w:color w:val="auto"/>
                <w:szCs w:val="21"/>
              </w:rPr>
              <w:t>3.2</w:t>
            </w:r>
          </w:p>
        </w:tc>
        <w:tc>
          <w:tcPr>
            <w:tcW w:w="8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textAlignment w:val="auto"/>
              <w:rPr>
                <w:rFonts w:hint="eastAsia" w:ascii="宋体" w:hAnsi="宋体" w:cs="宋体"/>
                <w:color w:val="auto"/>
                <w:highlight w:val="none"/>
              </w:rPr>
            </w:pPr>
            <w:r>
              <w:rPr>
                <w:rFonts w:hint="eastAsia"/>
                <w:color w:val="auto"/>
                <w:lang w:val="en-US" w:eastAsia="zh-CN"/>
              </w:rPr>
              <w:t>投标人</w:t>
            </w:r>
            <w:r>
              <w:rPr>
                <w:rFonts w:hint="eastAsia"/>
                <w:color w:val="auto"/>
                <w:highlight w:val="none"/>
                <w:lang w:val="en-US" w:eastAsia="zh-CN"/>
              </w:rPr>
              <w:t>的</w:t>
            </w:r>
            <w:r>
              <w:rPr>
                <w:rFonts w:hint="eastAsia"/>
                <w:color w:val="auto"/>
                <w:lang w:val="en-US" w:eastAsia="zh-CN"/>
              </w:rPr>
              <w:t>拟投入本项目的设备</w:t>
            </w:r>
            <w:r>
              <w:rPr>
                <w:rFonts w:hint="eastAsia" w:ascii="宋体" w:hAnsi="宋体" w:eastAsia="宋体" w:cs="宋体"/>
                <w:color w:val="auto"/>
                <w:kern w:val="0"/>
                <w:sz w:val="21"/>
                <w:szCs w:val="21"/>
                <w:highlight w:val="none"/>
              </w:rPr>
              <w:t>应用于重大考试项目：普通高考网上评卷、应用于省级学业水平网上评卷、应用于市级中考网上阅卷评卷的案例</w:t>
            </w:r>
            <w:r>
              <w:rPr>
                <w:rFonts w:hint="eastAsia"/>
                <w:color w:val="auto"/>
                <w:lang w:val="en-US" w:eastAsia="zh-CN"/>
              </w:rPr>
              <w:t>或相同等级</w:t>
            </w:r>
            <w:r>
              <w:rPr>
                <w:rFonts w:hint="eastAsia" w:ascii="宋体" w:hAnsi="宋体" w:eastAsia="宋体" w:cs="宋体"/>
                <w:color w:val="auto"/>
                <w:kern w:val="0"/>
                <w:sz w:val="21"/>
                <w:szCs w:val="21"/>
                <w:highlight w:val="none"/>
              </w:rPr>
              <w:t>重大考试</w:t>
            </w:r>
            <w:r>
              <w:rPr>
                <w:rFonts w:hint="eastAsia" w:ascii="宋体" w:hAnsi="宋体" w:eastAsia="宋体" w:cs="宋体"/>
                <w:color w:val="auto"/>
                <w:kern w:val="0"/>
                <w:sz w:val="21"/>
                <w:szCs w:val="21"/>
                <w:highlight w:val="none"/>
                <w:lang w:val="en-US" w:eastAsia="zh-CN"/>
              </w:rPr>
              <w:t>的</w:t>
            </w:r>
            <w:r>
              <w:rPr>
                <w:rFonts w:hint="eastAsia"/>
                <w:color w:val="auto"/>
                <w:lang w:val="en-US" w:eastAsia="zh-CN"/>
              </w:rPr>
              <w:t>案例</w:t>
            </w:r>
            <w:r>
              <w:rPr>
                <w:rFonts w:hint="eastAsia" w:ascii="宋体" w:hAnsi="宋体" w:eastAsia="宋体" w:cs="宋体"/>
                <w:color w:val="auto"/>
                <w:kern w:val="0"/>
                <w:sz w:val="21"/>
                <w:szCs w:val="21"/>
                <w:highlight w:val="none"/>
              </w:rPr>
              <w:t>，并能提供</w:t>
            </w:r>
            <w:r>
              <w:rPr>
                <w:rFonts w:hint="eastAsia"/>
                <w:color w:val="auto"/>
                <w:lang w:val="en-US" w:eastAsia="zh-CN"/>
              </w:rPr>
              <w:t>案例的</w:t>
            </w:r>
            <w:r>
              <w:rPr>
                <w:rFonts w:hint="eastAsia" w:ascii="宋体" w:hAnsi="宋体" w:eastAsia="宋体" w:cs="宋体"/>
                <w:color w:val="auto"/>
                <w:kern w:val="0"/>
                <w:sz w:val="21"/>
                <w:szCs w:val="21"/>
                <w:highlight w:val="none"/>
              </w:rPr>
              <w:t>中标</w:t>
            </w:r>
            <w:r>
              <w:rPr>
                <w:rFonts w:hint="eastAsia" w:ascii="宋体" w:hAnsi="宋体" w:eastAsia="宋体" w:cs="宋体"/>
                <w:color w:val="auto"/>
                <w:lang w:val="en-US" w:eastAsia="zh-CN"/>
              </w:rPr>
              <w:t>/</w:t>
            </w:r>
            <w:r>
              <w:rPr>
                <w:rFonts w:hint="eastAsia"/>
                <w:color w:val="auto"/>
                <w:lang w:val="en-US" w:eastAsia="zh-CN"/>
              </w:rPr>
              <w:t>成交</w:t>
            </w:r>
            <w:r>
              <w:rPr>
                <w:rFonts w:hint="eastAsia" w:ascii="宋体" w:hAnsi="宋体" w:eastAsia="宋体" w:cs="宋体"/>
                <w:color w:val="auto"/>
                <w:kern w:val="0"/>
                <w:sz w:val="21"/>
                <w:szCs w:val="21"/>
                <w:highlight w:val="none"/>
              </w:rPr>
              <w:t>通知书</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或合同复印件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及项目验收报告复印，每提供一类案例得1分，不提供不得分，</w:t>
            </w:r>
            <w:r>
              <w:rPr>
                <w:rFonts w:hint="eastAsia" w:ascii="宋体" w:hAnsi="宋体" w:eastAsia="宋体" w:cs="宋体"/>
                <w:color w:val="auto"/>
                <w:kern w:val="0"/>
                <w:sz w:val="21"/>
                <w:szCs w:val="21"/>
                <w:highlight w:val="none"/>
                <w:lang w:eastAsia="zh-CN"/>
              </w:rPr>
              <w:t>满分</w:t>
            </w:r>
            <w:r>
              <w:rPr>
                <w:rFonts w:hint="eastAsia" w:ascii="宋体" w:hAnsi="宋体" w:eastAsia="宋体" w:cs="宋体"/>
                <w:color w:val="auto"/>
                <w:kern w:val="0"/>
                <w:sz w:val="21"/>
                <w:szCs w:val="21"/>
                <w:highlight w:val="none"/>
              </w:rPr>
              <w:t>3分。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auto"/>
                <w:highlight w:val="none"/>
                <w:lang w:eastAsia="zh-CN"/>
              </w:rPr>
            </w:pPr>
            <w:r>
              <w:rPr>
                <w:rFonts w:hint="eastAsia" w:ascii="宋体" w:hAnsi="宋体" w:eastAsia="宋体" w:cs="宋体"/>
                <w:color w:val="auto"/>
                <w:szCs w:val="21"/>
                <w:highlight w:val="none"/>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cs="宋体"/>
                <w:color w:val="auto"/>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lang w:val="en-US" w:eastAsia="zh-CN"/>
              </w:rPr>
            </w:pPr>
            <w:r>
              <w:rPr>
                <w:rFonts w:hint="eastAsia" w:ascii="宋体" w:hAnsi="宋体" w:eastAsia="宋体" w:cs="宋体"/>
                <w:bCs/>
                <w:color w:val="auto"/>
                <w:szCs w:val="21"/>
              </w:rPr>
              <w:t>3.3</w:t>
            </w:r>
          </w:p>
        </w:tc>
        <w:tc>
          <w:tcPr>
            <w:tcW w:w="8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textAlignment w:val="auto"/>
              <w:rPr>
                <w:rFonts w:hint="eastAsia" w:ascii="宋体" w:hAnsi="宋体" w:cs="宋体"/>
                <w:color w:val="auto"/>
                <w:highlight w:val="none"/>
              </w:rPr>
            </w:pPr>
            <w:r>
              <w:rPr>
                <w:rFonts w:hint="eastAsia" w:ascii="宋体" w:hAnsi="宋体"/>
                <w:b w:val="0"/>
                <w:bCs w:val="0"/>
                <w:color w:val="auto"/>
                <w:kern w:val="0"/>
                <w:szCs w:val="21"/>
                <w:highlight w:val="none"/>
                <w:lang w:val="en-US" w:eastAsia="zh-CN"/>
              </w:rPr>
              <w:t>投标供应商或</w:t>
            </w:r>
            <w:r>
              <w:rPr>
                <w:rFonts w:hint="eastAsia"/>
                <w:color w:val="auto"/>
                <w:lang w:val="en-US" w:eastAsia="zh-CN"/>
              </w:rPr>
              <w:t>拟投入本项目的</w:t>
            </w:r>
            <w:r>
              <w:rPr>
                <w:rFonts w:hint="eastAsia" w:ascii="宋体" w:hAnsi="宋体"/>
                <w:b w:val="0"/>
                <w:bCs w:val="0"/>
                <w:color w:val="auto"/>
                <w:kern w:val="0"/>
                <w:szCs w:val="21"/>
                <w:highlight w:val="none"/>
                <w:lang w:val="en-US" w:eastAsia="zh-CN"/>
              </w:rPr>
              <w:t>软件生产厂家</w:t>
            </w:r>
            <w:r>
              <w:rPr>
                <w:rFonts w:hint="eastAsia" w:ascii="宋体" w:hAnsi="宋体"/>
                <w:b w:val="0"/>
                <w:bCs w:val="0"/>
                <w:color w:val="auto"/>
                <w:kern w:val="0"/>
                <w:szCs w:val="21"/>
                <w:highlight w:val="none"/>
              </w:rPr>
              <w:t>20</w:t>
            </w:r>
            <w:r>
              <w:rPr>
                <w:rFonts w:hint="eastAsia" w:ascii="宋体" w:hAnsi="宋体"/>
                <w:b w:val="0"/>
                <w:bCs w:val="0"/>
                <w:color w:val="auto"/>
                <w:kern w:val="0"/>
                <w:szCs w:val="21"/>
                <w:highlight w:val="none"/>
                <w:lang w:val="en-US" w:eastAsia="zh-CN"/>
              </w:rPr>
              <w:t>22</w:t>
            </w:r>
            <w:r>
              <w:rPr>
                <w:rFonts w:hint="eastAsia" w:ascii="宋体" w:hAnsi="宋体"/>
                <w:b w:val="0"/>
                <w:bCs w:val="0"/>
                <w:color w:val="auto"/>
                <w:kern w:val="0"/>
                <w:szCs w:val="21"/>
                <w:highlight w:val="none"/>
              </w:rPr>
              <w:t>年</w:t>
            </w:r>
            <w:r>
              <w:rPr>
                <w:rFonts w:hint="eastAsia"/>
                <w:b w:val="0"/>
                <w:bCs w:val="0"/>
                <w:color w:val="auto"/>
                <w:lang w:val="en-US" w:eastAsia="zh-CN"/>
              </w:rPr>
              <w:t>1月1日</w:t>
            </w:r>
            <w:r>
              <w:rPr>
                <w:rFonts w:hint="eastAsia" w:ascii="宋体" w:hAnsi="宋体"/>
                <w:b w:val="0"/>
                <w:bCs w:val="0"/>
                <w:color w:val="auto"/>
                <w:kern w:val="0"/>
                <w:szCs w:val="21"/>
                <w:highlight w:val="none"/>
              </w:rPr>
              <w:t>以来有</w:t>
            </w:r>
            <w:r>
              <w:rPr>
                <w:rFonts w:hint="eastAsia"/>
                <w:b w:val="0"/>
                <w:bCs w:val="0"/>
                <w:color w:val="auto"/>
                <w:lang w:val="en-US" w:eastAsia="zh-CN"/>
              </w:rPr>
              <w:t>类似</w:t>
            </w:r>
            <w:r>
              <w:rPr>
                <w:rFonts w:hint="eastAsia" w:ascii="宋体" w:hAnsi="宋体"/>
                <w:b w:val="0"/>
                <w:bCs w:val="0"/>
                <w:color w:val="auto"/>
                <w:kern w:val="0"/>
                <w:szCs w:val="21"/>
                <w:highlight w:val="none"/>
              </w:rPr>
              <w:t>服务业绩的（以</w:t>
            </w:r>
            <w:r>
              <w:rPr>
                <w:rFonts w:hint="eastAsia"/>
                <w:b w:val="0"/>
                <w:bCs w:val="0"/>
                <w:color w:val="auto"/>
                <w:lang w:val="en-US" w:eastAsia="zh-CN"/>
              </w:rPr>
              <w:t>投标文件中提交的有效业绩的</w:t>
            </w:r>
            <w:r>
              <w:rPr>
                <w:rFonts w:hint="eastAsia" w:ascii="宋体" w:hAnsi="宋体"/>
                <w:b w:val="0"/>
                <w:bCs w:val="0"/>
                <w:color w:val="auto"/>
                <w:kern w:val="0"/>
                <w:szCs w:val="21"/>
                <w:highlight w:val="none"/>
              </w:rPr>
              <w:t>中标通知书或合同复印件为准）每项得1分，满分</w:t>
            </w:r>
            <w:r>
              <w:rPr>
                <w:rFonts w:hint="eastAsia" w:ascii="宋体" w:hAnsi="宋体"/>
                <w:b w:val="0"/>
                <w:bCs w:val="0"/>
                <w:color w:val="auto"/>
                <w:kern w:val="0"/>
                <w:szCs w:val="21"/>
                <w:highlight w:val="none"/>
                <w:lang w:val="en-US" w:eastAsia="zh-CN"/>
              </w:rPr>
              <w:t>12</w:t>
            </w:r>
            <w:r>
              <w:rPr>
                <w:rFonts w:hint="eastAsia" w:ascii="宋体" w:hAnsi="宋体"/>
                <w:b w:val="0"/>
                <w:bCs w:val="0"/>
                <w:color w:val="auto"/>
                <w:kern w:val="0"/>
                <w:szCs w:val="21"/>
                <w:highlight w:val="none"/>
              </w:rPr>
              <w:t>分</w:t>
            </w:r>
            <w:r>
              <w:rPr>
                <w:rFonts w:hint="eastAsia" w:ascii="宋体" w:hAnsi="宋体"/>
                <w:b w:val="0"/>
                <w:bCs w:val="0"/>
                <w:color w:val="auto"/>
                <w:kern w:val="0"/>
                <w:szCs w:val="21"/>
                <w:highlight w:val="none"/>
                <w:lang w:val="en-US" w:eastAsia="zh-CN"/>
              </w:rPr>
              <w:t>。</w:t>
            </w:r>
            <w:r>
              <w:rPr>
                <w:rFonts w:hint="eastAsia" w:ascii="宋体" w:hAnsi="宋体" w:eastAsia="宋体" w:cs="宋体"/>
                <w:b w:val="0"/>
                <w:bCs w:val="0"/>
                <w:color w:val="auto"/>
                <w:kern w:val="0"/>
                <w:sz w:val="21"/>
                <w:szCs w:val="21"/>
                <w:highlight w:val="none"/>
                <w:lang w:val="en-US" w:eastAsia="zh-CN"/>
              </w:rPr>
              <w:t>[</w:t>
            </w:r>
            <w:r>
              <w:rPr>
                <w:rFonts w:hint="eastAsia" w:ascii="宋体" w:hAnsi="宋体" w:eastAsia="宋体" w:cs="宋体"/>
                <w:b w:val="0"/>
                <w:bCs w:val="0"/>
                <w:color w:val="auto"/>
                <w:kern w:val="0"/>
                <w:sz w:val="21"/>
                <w:szCs w:val="21"/>
                <w:highlight w:val="none"/>
              </w:rPr>
              <w:t>已在业绩（3</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）中记分的项目不计入本</w:t>
            </w:r>
            <w:r>
              <w:rPr>
                <w:rFonts w:hint="eastAsia"/>
                <w:b w:val="0"/>
                <w:bCs w:val="0"/>
                <w:color w:val="auto"/>
                <w:lang w:val="en-US" w:eastAsia="zh-CN"/>
              </w:rPr>
              <w:t>项</w:t>
            </w:r>
            <w:r>
              <w:rPr>
                <w:rFonts w:hint="eastAsia" w:ascii="宋体" w:hAnsi="宋体" w:eastAsia="宋体" w:cs="宋体"/>
                <w:b w:val="0"/>
                <w:bCs w:val="0"/>
                <w:color w:val="auto"/>
                <w:kern w:val="0"/>
                <w:sz w:val="21"/>
                <w:szCs w:val="21"/>
                <w:highlight w:val="none"/>
              </w:rPr>
              <w:t>加分内容</w:t>
            </w:r>
            <w:r>
              <w:rPr>
                <w:rFonts w:hint="eastAsia" w:ascii="宋体" w:hAnsi="宋体" w:eastAsia="宋体" w:cs="宋体"/>
                <w:b w:val="0"/>
                <w:bCs w:val="0"/>
                <w:color w:val="auto"/>
                <w:kern w:val="0"/>
                <w:sz w:val="21"/>
                <w:szCs w:val="21"/>
                <w:highlight w:val="none"/>
                <w:lang w:val="en-US" w:eastAsia="zh-CN"/>
              </w:rPr>
              <w:t>]</w:t>
            </w:r>
          </w:p>
        </w:tc>
        <w:tc>
          <w:tcPr>
            <w:tcW w:w="722"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default" w:ascii="宋体" w:hAnsi="宋体" w:eastAsia="宋体" w:cs="宋体"/>
                <w:color w:val="auto"/>
                <w:highlight w:val="none"/>
                <w:lang w:val="en-US" w:eastAsia="zh-CN"/>
              </w:rPr>
            </w:pPr>
            <w:r>
              <w:rPr>
                <w:rFonts w:hint="eastAsia" w:ascii="宋体" w:hAnsi="宋体" w:eastAsia="宋体" w:cs="宋体"/>
                <w:b w:val="0"/>
                <w:bCs w:val="0"/>
                <w:color w:val="auto"/>
                <w:szCs w:val="21"/>
                <w:highlight w:val="none"/>
                <w:lang w:val="en-US" w:eastAsia="zh-CN"/>
              </w:rPr>
              <w:t>0</w:t>
            </w:r>
            <w:r>
              <w:rPr>
                <w:rStyle w:val="40"/>
                <w:rFonts w:ascii="Arial" w:hAnsi="Arial" w:eastAsia="宋体" w:cs="Arial"/>
                <w:i w:val="0"/>
                <w:iCs w:val="0"/>
                <w:caps w:val="0"/>
                <w:color w:val="auto"/>
                <w:spacing w:val="0"/>
                <w:sz w:val="19"/>
                <w:szCs w:val="19"/>
                <w:shd w:val="clear" w:color="auto" w:fill="FFFFFF"/>
              </w:rPr>
              <w:t>~</w:t>
            </w:r>
            <w:r>
              <w:rPr>
                <w:rFonts w:hint="eastAsia" w:ascii="宋体" w:hAnsi="宋体" w:eastAsia="宋体" w:cs="宋体"/>
                <w:b w:val="0"/>
                <w:bCs w:val="0"/>
                <w:color w:val="auto"/>
                <w:szCs w:val="21"/>
                <w:highlight w:val="none"/>
                <w:lang w:val="en-US" w:eastAsia="zh-CN"/>
              </w:rPr>
              <w:t>1</w:t>
            </w:r>
            <w:r>
              <w:rPr>
                <w:rFonts w:hint="eastAsia" w:ascii="宋体" w:hAnsi="宋体" w:cs="宋体"/>
                <w:b w:val="0"/>
                <w:bCs w:val="0"/>
                <w:color w:val="auto"/>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bidi w:val="0"/>
              <w:spacing w:line="400" w:lineRule="exact"/>
              <w:jc w:val="center"/>
              <w:rPr>
                <w:rFonts w:hint="eastAsia" w:ascii="宋体" w:hAnsi="宋体" w:cs="宋体"/>
                <w:bCs/>
                <w:color w:val="auto"/>
                <w:szCs w:val="21"/>
                <w:highlight w:val="none"/>
                <w:lang w:val="en-US" w:eastAsia="zh-CN"/>
              </w:rPr>
            </w:pPr>
            <w:r>
              <w:rPr>
                <w:rFonts w:hint="eastAsia" w:ascii="宋体" w:hAnsi="宋体" w:eastAsia="宋体" w:cs="宋体"/>
                <w:bCs/>
                <w:color w:val="auto"/>
                <w:szCs w:val="21"/>
              </w:rPr>
              <w:t>3.4</w:t>
            </w:r>
          </w:p>
        </w:tc>
        <w:tc>
          <w:tcPr>
            <w:tcW w:w="834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autoSpaceDE/>
              <w:autoSpaceDN/>
              <w:bidi w:val="0"/>
              <w:adjustRightInd/>
              <w:spacing w:line="400" w:lineRule="exact"/>
              <w:ind w:firstLine="420" w:firstLineChars="200"/>
              <w:textAlignment w:val="auto"/>
              <w:rPr>
                <w:rFonts w:hint="eastAsia" w:ascii="宋体" w:hAnsi="宋体" w:cs="宋体"/>
                <w:color w:val="auto"/>
                <w:kern w:val="2"/>
                <w:sz w:val="21"/>
                <w:szCs w:val="24"/>
                <w:highlight w:val="none"/>
                <w:lang w:val="en-US" w:eastAsia="zh-CN" w:bidi="ar-SA"/>
              </w:rPr>
            </w:pPr>
            <w:r>
              <w:rPr>
                <w:rFonts w:hint="eastAsia" w:ascii="宋体" w:hAnsi="宋体" w:cs="宋体"/>
                <w:bCs/>
                <w:color w:val="auto"/>
                <w:szCs w:val="20"/>
                <w:highlight w:val="none"/>
              </w:rPr>
              <w:t>投标人</w:t>
            </w:r>
            <w:bookmarkStart w:id="180" w:name="OLE_LINK26"/>
            <w:r>
              <w:rPr>
                <w:rFonts w:hint="eastAsia" w:ascii="宋体" w:hAnsi="宋体" w:cs="宋体"/>
                <w:bCs/>
                <w:color w:val="auto"/>
                <w:szCs w:val="20"/>
                <w:highlight w:val="none"/>
              </w:rPr>
              <w:t>在截标日前一年内在政府采购活动中存在违约违规行为的（以财政部门书面认定材料为评分依据）</w:t>
            </w:r>
            <w:bookmarkEnd w:id="180"/>
            <w:r>
              <w:rPr>
                <w:rFonts w:hint="eastAsia" w:ascii="宋体" w:hAnsi="宋体" w:cs="宋体"/>
                <w:bCs/>
                <w:color w:val="auto"/>
                <w:szCs w:val="20"/>
                <w:highlight w:val="none"/>
              </w:rPr>
              <w:t>，每次扣除3分，最高扣分6分。</w:t>
            </w:r>
          </w:p>
        </w:tc>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hd w:val="clear" w:color="auto" w:fill="auto"/>
              <w:kinsoku/>
              <w:wordWrap/>
              <w:overflowPunct/>
              <w:topLinePunct w:val="0"/>
              <w:bidi w:val="0"/>
              <w:spacing w:line="400" w:lineRule="exact"/>
              <w:jc w:val="center"/>
              <w:rPr>
                <w:rFonts w:hint="eastAsia" w:ascii="宋体" w:hAnsi="宋体" w:cs="宋体"/>
                <w:color w:val="auto"/>
                <w:kern w:val="2"/>
                <w:sz w:val="21"/>
                <w:szCs w:val="24"/>
                <w:highlight w:val="none"/>
                <w:lang w:val="en-US" w:eastAsia="zh-CN" w:bidi="ar-SA"/>
              </w:rPr>
            </w:pPr>
            <w:r>
              <w:rPr>
                <w:rFonts w:hint="eastAsia" w:ascii="Times New Roman" w:hAnsi="Times New Roman" w:eastAsia="宋体"/>
                <w:color w:val="auto"/>
                <w:lang w:val="en-US" w:eastAsia="zh-CN"/>
              </w:rPr>
              <w:t>-6</w:t>
            </w:r>
            <w:r>
              <w:rPr>
                <w:rFonts w:ascii="Times New Roman" w:hAnsi="Times New Roman" w:eastAsia="宋体"/>
                <w:color w:val="auto"/>
              </w:rPr>
              <w:t>~</w:t>
            </w:r>
            <w:r>
              <w:rPr>
                <w:rFonts w:hint="eastAsia" w:ascii="宋体" w:hAnsi="宋体" w:cs="宋体"/>
                <w:color w:val="auto"/>
                <w:highlight w:val="none"/>
              </w:rPr>
              <w:t>0</w:t>
            </w:r>
          </w:p>
        </w:tc>
      </w:tr>
      <w:bookmarkEnd w:id="174"/>
    </w:tbl>
    <w:p>
      <w:pPr>
        <w:pStyle w:val="14"/>
        <w:shd w:val="clear" w:color="auto" w:fill="auto"/>
        <w:rPr>
          <w:rFonts w:hint="eastAsia" w:ascii="宋体" w:hAnsi="宋体"/>
          <w:bCs/>
          <w:color w:val="auto"/>
          <w:szCs w:val="20"/>
          <w:highlight w:val="none"/>
        </w:rPr>
      </w:pPr>
    </w:p>
    <w:p>
      <w:pPr>
        <w:bidi w:val="0"/>
        <w:rPr>
          <w:rFonts w:hint="eastAsia"/>
          <w:color w:val="auto"/>
        </w:rPr>
      </w:pPr>
    </w:p>
    <w:p>
      <w:pPr>
        <w:bidi w:val="0"/>
        <w:rPr>
          <w:rFonts w:hint="eastAsia"/>
          <w:color w:val="auto"/>
        </w:rPr>
      </w:pPr>
    </w:p>
    <w:p>
      <w:pPr>
        <w:tabs>
          <w:tab w:val="left" w:pos="6463"/>
        </w:tabs>
        <w:bidi w:val="0"/>
        <w:jc w:val="left"/>
        <w:rPr>
          <w:rFonts w:hint="eastAsia" w:eastAsia="宋体"/>
          <w:color w:val="auto"/>
          <w:lang w:eastAsia="zh-CN"/>
        </w:rPr>
      </w:pPr>
      <w:r>
        <w:rPr>
          <w:rFonts w:hint="eastAsia"/>
          <w:color w:val="auto"/>
          <w:lang w:eastAsia="zh-CN"/>
        </w:rPr>
        <w:tab/>
      </w:r>
    </w:p>
    <w:p>
      <w:pPr>
        <w:keepNext/>
        <w:keepLines/>
        <w:shd w:val="clear" w:color="auto" w:fill="auto"/>
        <w:spacing w:before="260" w:after="260" w:line="413" w:lineRule="auto"/>
        <w:jc w:val="center"/>
        <w:outlineLvl w:val="1"/>
        <w:rPr>
          <w:rFonts w:hint="eastAsia" w:ascii="Arial" w:hAnsi="Arial" w:eastAsia="黑体"/>
          <w:bCs/>
          <w:color w:val="auto"/>
          <w:sz w:val="30"/>
          <w:szCs w:val="30"/>
          <w:highlight w:val="none"/>
        </w:rPr>
      </w:pPr>
      <w:bookmarkStart w:id="181" w:name="_Toc177489466"/>
      <w:r>
        <w:rPr>
          <w:rFonts w:hint="eastAsia" w:ascii="Arial" w:hAnsi="Arial" w:eastAsia="黑体"/>
          <w:bCs/>
          <w:color w:val="auto"/>
          <w:sz w:val="30"/>
          <w:szCs w:val="30"/>
          <w:highlight w:val="none"/>
        </w:rPr>
        <w:t>第四节 中标候选人推荐原则</w:t>
      </w:r>
      <w:bookmarkEnd w:id="181"/>
    </w:p>
    <w:p>
      <w:pPr>
        <w:shd w:val="clear" w:color="auto" w:fill="auto"/>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评标委员会将根据总得分由高到低排列次序并推荐中标候选人。总得分相同的，以投标报价由低到高顺序排列。得分相同且投标报价相同的并列，投标文件满足招标文件全部实质性要求，且按照评审因素的量化指标评审得分最高的投标人为排名第一的中标候选人。</w:t>
      </w:r>
    </w:p>
    <w:p>
      <w:pPr>
        <w:shd w:val="clear" w:color="auto" w:fill="auto"/>
        <w:spacing w:line="360" w:lineRule="auto"/>
        <w:ind w:firstLine="420" w:firstLineChars="200"/>
        <w:contextualSpacing/>
        <w:rPr>
          <w:rFonts w:hint="eastAsia" w:ascii="宋体" w:hAnsi="宋体"/>
          <w:color w:val="auto"/>
          <w:szCs w:val="20"/>
          <w:highlight w:val="none"/>
        </w:rPr>
      </w:pPr>
    </w:p>
    <w:p>
      <w:pPr>
        <w:keepNext/>
        <w:keepLines/>
        <w:shd w:val="clear" w:color="auto" w:fill="auto"/>
        <w:spacing w:line="360" w:lineRule="auto"/>
        <w:ind w:firstLine="600" w:firstLineChars="200"/>
        <w:jc w:val="center"/>
        <w:outlineLvl w:val="1"/>
        <w:rPr>
          <w:rFonts w:hint="eastAsia" w:ascii="Arial" w:hAnsi="Arial" w:eastAsia="黑体"/>
          <w:bCs/>
          <w:color w:val="auto"/>
          <w:sz w:val="30"/>
          <w:szCs w:val="30"/>
          <w:highlight w:val="none"/>
        </w:rPr>
      </w:pPr>
      <w:bookmarkStart w:id="182" w:name="_Toc177489467"/>
      <w:r>
        <w:rPr>
          <w:rFonts w:hint="eastAsia" w:ascii="Arial" w:hAnsi="Arial" w:eastAsia="黑体"/>
          <w:bCs/>
          <w:color w:val="auto"/>
          <w:sz w:val="30"/>
          <w:szCs w:val="30"/>
          <w:highlight w:val="none"/>
        </w:rPr>
        <w:t>第五节 评标报告</w:t>
      </w:r>
      <w:bookmarkEnd w:id="182"/>
    </w:p>
    <w:p>
      <w:pPr>
        <w:shd w:val="clear" w:color="auto" w:fill="auto"/>
        <w:adjustRightInd w:val="0"/>
        <w:spacing w:line="360" w:lineRule="auto"/>
        <w:ind w:firstLine="482" w:firstLineChars="200"/>
        <w:rPr>
          <w:rFonts w:hint="eastAsia" w:ascii="宋体" w:hAnsi="宋体"/>
          <w:b/>
          <w:bCs/>
          <w:color w:val="auto"/>
          <w:sz w:val="24"/>
          <w:highlight w:val="none"/>
        </w:rPr>
      </w:pPr>
      <w:r>
        <w:rPr>
          <w:rFonts w:hint="eastAsia" w:ascii="宋体" w:hAnsi="宋体"/>
          <w:b/>
          <w:bCs/>
          <w:color w:val="auto"/>
          <w:sz w:val="24"/>
          <w:highlight w:val="none"/>
        </w:rPr>
        <w:t>（一）评标报告与推荐中标候选人</w:t>
      </w:r>
    </w:p>
    <w:p>
      <w:pPr>
        <w:shd w:val="clear" w:color="auto" w:fill="auto"/>
        <w:tabs>
          <w:tab w:val="left" w:pos="2472"/>
        </w:tabs>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评标委员会根据原始评标记录和评标结果编写评标报告，并通过电子交易平台向采购人、采购代理机构提交。</w:t>
      </w:r>
    </w:p>
    <w:p>
      <w:pPr>
        <w:widowControl/>
        <w:shd w:val="clear" w:color="auto" w:fill="auto"/>
        <w:spacing w:line="360" w:lineRule="auto"/>
        <w:ind w:firstLine="482" w:firstLineChars="200"/>
        <w:jc w:val="left"/>
        <w:rPr>
          <w:rFonts w:hint="eastAsia" w:ascii="宋体" w:hAnsi="宋体"/>
          <w:b/>
          <w:bCs/>
          <w:color w:val="auto"/>
          <w:sz w:val="24"/>
          <w:highlight w:val="none"/>
        </w:rPr>
      </w:pPr>
      <w:r>
        <w:rPr>
          <w:rFonts w:hint="eastAsia" w:ascii="宋体" w:hAnsi="宋体"/>
          <w:b/>
          <w:bCs/>
          <w:color w:val="auto"/>
          <w:sz w:val="24"/>
          <w:highlight w:val="none"/>
        </w:rPr>
        <w:t>（二）评标争议事项处理</w:t>
      </w:r>
    </w:p>
    <w:p>
      <w:pPr>
        <w:shd w:val="clear" w:color="auto" w:fill="auto"/>
        <w:tabs>
          <w:tab w:val="left" w:pos="2472"/>
        </w:tabs>
        <w:spacing w:line="360" w:lineRule="auto"/>
        <w:ind w:firstLine="420" w:firstLineChars="200"/>
        <w:rPr>
          <w:rFonts w:hint="eastAsia" w:ascii="宋体" w:hAnsi="宋体"/>
          <w:color w:val="auto"/>
          <w:szCs w:val="20"/>
          <w:highlight w:val="none"/>
        </w:rPr>
      </w:pPr>
      <w:r>
        <w:rPr>
          <w:rFonts w:hint="eastAsia" w:ascii="宋体" w:hAnsi="宋体"/>
          <w:color w:val="auto"/>
          <w:szCs w:val="20"/>
          <w:highlight w:val="none"/>
        </w:rPr>
        <w:t>评标委员会成员对需要共同认定的事项存在争议的，应当按照少数服从多数的原则作出结论。持不同意见的评标委员会成员应当在评标报告上签署不同意见及理由，否则视为同意评标报告。</w:t>
      </w:r>
    </w:p>
    <w:p>
      <w:pPr>
        <w:shd w:val="clear" w:color="auto" w:fill="auto"/>
        <w:tabs>
          <w:tab w:val="left" w:pos="2472"/>
        </w:tabs>
        <w:spacing w:line="460" w:lineRule="exact"/>
        <w:rPr>
          <w:rFonts w:hint="eastAsia"/>
          <w:b/>
          <w:color w:val="auto"/>
          <w:sz w:val="36"/>
          <w:highlight w:val="none"/>
        </w:rPr>
        <w:sectPr>
          <w:pgSz w:w="11911" w:h="16838"/>
          <w:pgMar w:top="1134" w:right="1134" w:bottom="1134" w:left="1134" w:header="720" w:footer="720" w:gutter="0"/>
          <w:cols w:space="720" w:num="1"/>
          <w:titlePg/>
          <w:docGrid w:linePitch="331" w:charSpace="0"/>
        </w:sect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outlineLvl w:val="0"/>
        <w:rPr>
          <w:b/>
          <w:color w:val="auto"/>
          <w:sz w:val="36"/>
          <w:szCs w:val="20"/>
          <w:highlight w:val="none"/>
        </w:rPr>
      </w:pPr>
      <w:bookmarkStart w:id="183" w:name="_Toc177489468"/>
      <w:r>
        <w:rPr>
          <w:rFonts w:hint="eastAsia"/>
          <w:b/>
          <w:color w:val="auto"/>
          <w:sz w:val="36"/>
          <w:szCs w:val="20"/>
          <w:highlight w:val="none"/>
        </w:rPr>
        <w:t>第五章 拟签订的合同文本</w:t>
      </w:r>
      <w:bookmarkEnd w:id="183"/>
    </w:p>
    <w:p>
      <w:pPr>
        <w:shd w:val="clear" w:color="auto" w:fill="auto"/>
        <w:tabs>
          <w:tab w:val="left" w:pos="720"/>
        </w:tabs>
        <w:spacing w:line="460" w:lineRule="exact"/>
        <w:rPr>
          <w:bCs/>
          <w:color w:val="auto"/>
          <w:highlight w:val="none"/>
        </w:rPr>
        <w:sectPr>
          <w:pgSz w:w="11911" w:h="16838"/>
          <w:pgMar w:top="1134" w:right="1134" w:bottom="1134" w:left="1134" w:header="720" w:footer="720" w:gutter="0"/>
          <w:cols w:space="720" w:num="1"/>
          <w:titlePg/>
          <w:docGrid w:linePitch="331" w:charSpace="0"/>
        </w:sectPr>
      </w:pPr>
    </w:p>
    <w:p>
      <w:pPr>
        <w:shd w:val="clear" w:color="auto" w:fill="auto"/>
        <w:spacing w:line="360" w:lineRule="auto"/>
        <w:rPr>
          <w:rFonts w:hint="eastAsia" w:ascii="宋体" w:hAnsi="宋体" w:cs="宋体"/>
          <w:color w:val="auto"/>
          <w:sz w:val="24"/>
          <w:highlight w:val="none"/>
        </w:rPr>
      </w:pPr>
    </w:p>
    <w:p>
      <w:pPr>
        <w:shd w:val="clear" w:color="auto" w:fill="auto"/>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rPr>
        <w:t>广西政府采购云平台合同编号：</w:t>
      </w:r>
      <w:r>
        <w:rPr>
          <w:rFonts w:hint="eastAsia" w:ascii="宋体" w:hAnsi="宋体" w:cs="宋体"/>
          <w:color w:val="auto"/>
          <w:sz w:val="24"/>
          <w:highlight w:val="none"/>
          <w:u w:val="single"/>
        </w:rPr>
        <w:t xml:space="preserve">           </w:t>
      </w:r>
    </w:p>
    <w:p>
      <w:pPr>
        <w:shd w:val="clear" w:color="auto" w:fill="auto"/>
        <w:spacing w:line="360" w:lineRule="auto"/>
        <w:rPr>
          <w:rFonts w:hint="eastAsia" w:ascii="宋体" w:hAnsi="宋体" w:cs="宋体"/>
          <w:b/>
          <w:bCs/>
          <w:color w:val="auto"/>
          <w:sz w:val="52"/>
          <w:highlight w:val="none"/>
        </w:rPr>
      </w:pPr>
    </w:p>
    <w:p>
      <w:pPr>
        <w:shd w:val="clear" w:color="auto" w:fill="auto"/>
        <w:spacing w:line="360" w:lineRule="auto"/>
        <w:jc w:val="center"/>
        <w:rPr>
          <w:rFonts w:hint="eastAsia" w:ascii="宋体" w:hAnsi="宋体" w:cs="宋体"/>
          <w:b/>
          <w:bCs/>
          <w:color w:val="auto"/>
          <w:sz w:val="52"/>
          <w:highlight w:val="none"/>
        </w:rPr>
      </w:pPr>
      <w:r>
        <w:rPr>
          <w:rFonts w:hint="eastAsia" w:ascii="宋体" w:hAnsi="宋体" w:cs="宋体"/>
          <w:b/>
          <w:bCs/>
          <w:color w:val="auto"/>
          <w:sz w:val="52"/>
          <w:highlight w:val="none"/>
        </w:rPr>
        <w:t>南 宁 市 政 府 采 购</w:t>
      </w:r>
    </w:p>
    <w:p>
      <w:pPr>
        <w:shd w:val="clear" w:color="auto" w:fill="auto"/>
        <w:spacing w:line="360" w:lineRule="auto"/>
        <w:rPr>
          <w:rFonts w:hint="eastAsia" w:ascii="宋体" w:hAnsi="宋体" w:cs="宋体"/>
          <w:color w:val="auto"/>
          <w:highlight w:val="none"/>
        </w:rPr>
      </w:pPr>
    </w:p>
    <w:p>
      <w:pPr>
        <w:shd w:val="clear" w:color="auto" w:fill="auto"/>
        <w:spacing w:line="360" w:lineRule="auto"/>
        <w:rPr>
          <w:rFonts w:hint="eastAsia" w:ascii="宋体" w:hAnsi="宋体" w:cs="宋体"/>
          <w:color w:val="auto"/>
          <w:highlight w:val="none"/>
        </w:rPr>
      </w:pPr>
    </w:p>
    <w:p>
      <w:pPr>
        <w:shd w:val="clear" w:color="auto" w:fill="auto"/>
        <w:spacing w:line="360" w:lineRule="auto"/>
        <w:jc w:val="center"/>
        <w:rPr>
          <w:rFonts w:hint="eastAsia" w:ascii="宋体" w:hAnsi="宋体" w:cs="宋体"/>
          <w:b/>
          <w:bCs/>
          <w:color w:val="auto"/>
          <w:sz w:val="44"/>
          <w:highlight w:val="none"/>
        </w:rPr>
      </w:pPr>
      <w:r>
        <w:rPr>
          <w:rFonts w:hint="eastAsia" w:ascii="宋体" w:hAnsi="宋体" w:cs="宋体"/>
          <w:b/>
          <w:bCs/>
          <w:color w:val="auto"/>
          <w:sz w:val="44"/>
          <w:highlight w:val="none"/>
          <w:u w:val="single"/>
        </w:rPr>
        <w:t xml:space="preserve">         （项目名称）         </w:t>
      </w:r>
      <w:r>
        <w:rPr>
          <w:rFonts w:hint="eastAsia" w:ascii="宋体" w:hAnsi="宋体" w:cs="宋体"/>
          <w:b/>
          <w:bCs/>
          <w:color w:val="auto"/>
          <w:sz w:val="44"/>
          <w:highlight w:val="none"/>
        </w:rPr>
        <w:t>合同</w:t>
      </w:r>
    </w:p>
    <w:p>
      <w:pPr>
        <w:shd w:val="clear" w:color="auto" w:fill="auto"/>
        <w:spacing w:line="360" w:lineRule="auto"/>
        <w:rPr>
          <w:rFonts w:hint="eastAsia" w:ascii="宋体" w:hAnsi="宋体" w:cs="宋体"/>
          <w:b/>
          <w:bCs/>
          <w:color w:val="auto"/>
          <w:sz w:val="44"/>
          <w:highlight w:val="none"/>
        </w:rPr>
      </w:pPr>
    </w:p>
    <w:p>
      <w:pPr>
        <w:shd w:val="clear" w:color="auto" w:fill="auto"/>
        <w:spacing w:line="360" w:lineRule="auto"/>
        <w:rPr>
          <w:rFonts w:hint="eastAsia" w:ascii="宋体" w:hAnsi="宋体" w:cs="宋体"/>
          <w:b/>
          <w:bCs/>
          <w:color w:val="auto"/>
          <w:sz w:val="44"/>
          <w:highlight w:val="none"/>
        </w:rPr>
      </w:pPr>
    </w:p>
    <w:p>
      <w:pPr>
        <w:shd w:val="clear" w:color="auto" w:fill="auto"/>
        <w:spacing w:line="360" w:lineRule="auto"/>
        <w:rPr>
          <w:rFonts w:hint="eastAsia" w:ascii="宋体" w:hAnsi="宋体" w:cs="宋体"/>
          <w:b/>
          <w:bCs/>
          <w:color w:val="auto"/>
          <w:sz w:val="44"/>
          <w:highlight w:val="none"/>
        </w:rPr>
      </w:pPr>
    </w:p>
    <w:p>
      <w:pPr>
        <w:shd w:val="clear" w:color="auto" w:fill="auto"/>
        <w:spacing w:line="360" w:lineRule="auto"/>
        <w:rPr>
          <w:rFonts w:hint="eastAsia" w:ascii="宋体" w:hAnsi="宋体" w:cs="宋体"/>
          <w:b/>
          <w:bCs/>
          <w:color w:val="auto"/>
          <w:sz w:val="44"/>
          <w:highlight w:val="none"/>
        </w:rPr>
      </w:pPr>
    </w:p>
    <w:p>
      <w:pPr>
        <w:shd w:val="clear" w:color="auto" w:fill="auto"/>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项目编号：</w:t>
      </w:r>
      <w:r>
        <w:rPr>
          <w:rFonts w:hint="eastAsia" w:ascii="宋体" w:hAnsi="宋体" w:cs="宋体"/>
          <w:b/>
          <w:color w:val="auto"/>
          <w:sz w:val="36"/>
          <w:szCs w:val="36"/>
          <w:highlight w:val="none"/>
          <w:u w:val="single"/>
        </w:rPr>
        <w:t xml:space="preserve">                     </w:t>
      </w:r>
    </w:p>
    <w:p>
      <w:pPr>
        <w:shd w:val="clear" w:color="auto" w:fill="auto"/>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计划编号：</w:t>
      </w:r>
      <w:r>
        <w:rPr>
          <w:rFonts w:hint="eastAsia" w:ascii="宋体" w:hAnsi="宋体" w:cs="宋体"/>
          <w:b/>
          <w:color w:val="auto"/>
          <w:sz w:val="36"/>
          <w:szCs w:val="36"/>
          <w:highlight w:val="none"/>
          <w:u w:val="single"/>
        </w:rPr>
        <w:t xml:space="preserve">                     </w:t>
      </w:r>
    </w:p>
    <w:p>
      <w:pPr>
        <w:shd w:val="clear" w:color="auto" w:fill="auto"/>
        <w:ind w:firstLine="1995" w:firstLineChars="552"/>
        <w:rPr>
          <w:rFonts w:hint="eastAsia" w:ascii="宋体" w:hAnsi="宋体" w:cs="宋体"/>
          <w:b/>
          <w:color w:val="auto"/>
          <w:sz w:val="36"/>
          <w:szCs w:val="36"/>
          <w:highlight w:val="none"/>
        </w:rPr>
      </w:pPr>
      <w:r>
        <w:rPr>
          <w:rFonts w:hint="eastAsia" w:ascii="宋体" w:hAnsi="宋体" w:cs="宋体"/>
          <w:b/>
          <w:color w:val="auto"/>
          <w:sz w:val="36"/>
          <w:szCs w:val="36"/>
          <w:highlight w:val="none"/>
        </w:rPr>
        <w:t>分标号：</w:t>
      </w:r>
      <w:r>
        <w:rPr>
          <w:rFonts w:hint="eastAsia" w:ascii="宋体" w:hAnsi="宋体" w:cs="宋体"/>
          <w:b/>
          <w:color w:val="auto"/>
          <w:sz w:val="36"/>
          <w:szCs w:val="36"/>
          <w:highlight w:val="none"/>
          <w:u w:val="single"/>
        </w:rPr>
        <w:t xml:space="preserve">                       </w:t>
      </w:r>
    </w:p>
    <w:p>
      <w:pPr>
        <w:shd w:val="clear" w:color="auto" w:fill="auto"/>
        <w:rPr>
          <w:rFonts w:hint="eastAsia" w:ascii="宋体" w:hAnsi="宋体" w:cs="宋体"/>
          <w:b/>
          <w:color w:val="auto"/>
          <w:sz w:val="36"/>
          <w:szCs w:val="36"/>
          <w:highlight w:val="none"/>
          <w:u w:val="single"/>
        </w:rPr>
      </w:pPr>
    </w:p>
    <w:p>
      <w:pPr>
        <w:shd w:val="clear" w:color="auto" w:fill="auto"/>
        <w:rPr>
          <w:rFonts w:hint="eastAsia" w:ascii="宋体" w:hAnsi="宋体" w:cs="宋体"/>
          <w:b/>
          <w:color w:val="auto"/>
          <w:sz w:val="36"/>
          <w:szCs w:val="36"/>
          <w:highlight w:val="none"/>
          <w:u w:val="single"/>
        </w:rPr>
      </w:pPr>
    </w:p>
    <w:p>
      <w:pPr>
        <w:shd w:val="clear" w:color="auto" w:fill="auto"/>
        <w:rPr>
          <w:rFonts w:hint="eastAsia" w:ascii="宋体" w:hAnsi="宋体" w:cs="宋体"/>
          <w:b/>
          <w:color w:val="auto"/>
          <w:sz w:val="36"/>
          <w:szCs w:val="36"/>
          <w:highlight w:val="none"/>
          <w:u w:val="single"/>
        </w:rPr>
      </w:pPr>
    </w:p>
    <w:p>
      <w:pPr>
        <w:shd w:val="clear" w:color="auto" w:fill="auto"/>
        <w:tabs>
          <w:tab w:val="left" w:pos="7200"/>
        </w:tabs>
        <w:spacing w:line="360" w:lineRule="auto"/>
        <w:ind w:firstLine="1995" w:firstLineChars="552"/>
        <w:rPr>
          <w:rFonts w:hint="eastAsia" w:ascii="宋体" w:hAnsi="宋体" w:cs="宋体"/>
          <w:b/>
          <w:color w:val="auto"/>
          <w:sz w:val="36"/>
          <w:szCs w:val="36"/>
          <w:highlight w:val="none"/>
          <w:u w:val="single"/>
        </w:rPr>
      </w:pPr>
      <w:r>
        <w:rPr>
          <w:rFonts w:hint="eastAsia" w:ascii="宋体" w:hAnsi="宋体" w:cs="宋体"/>
          <w:b/>
          <w:color w:val="auto"/>
          <w:sz w:val="36"/>
          <w:szCs w:val="36"/>
          <w:highlight w:val="none"/>
        </w:rPr>
        <w:t>采购人：</w:t>
      </w:r>
      <w:r>
        <w:rPr>
          <w:rFonts w:hint="eastAsia" w:ascii="宋体" w:hAnsi="宋体" w:cs="宋体"/>
          <w:b/>
          <w:color w:val="auto"/>
          <w:sz w:val="36"/>
          <w:szCs w:val="36"/>
          <w:highlight w:val="none"/>
          <w:u w:val="single"/>
        </w:rPr>
        <w:t xml:space="preserve">                       </w:t>
      </w:r>
    </w:p>
    <w:p>
      <w:pPr>
        <w:shd w:val="clear" w:color="auto" w:fill="auto"/>
        <w:tabs>
          <w:tab w:val="left" w:pos="7380"/>
        </w:tabs>
        <w:spacing w:line="360" w:lineRule="auto"/>
        <w:ind w:firstLine="1995" w:firstLineChars="552"/>
        <w:rPr>
          <w:rFonts w:hint="eastAsia" w:ascii="宋体" w:hAnsi="宋体" w:cs="宋体"/>
          <w:b/>
          <w:bCs/>
          <w:color w:val="auto"/>
          <w:sz w:val="44"/>
          <w:highlight w:val="none"/>
        </w:rPr>
      </w:pPr>
      <w:r>
        <w:rPr>
          <w:rFonts w:hint="eastAsia" w:ascii="宋体" w:hAnsi="宋体" w:cs="宋体"/>
          <w:b/>
          <w:color w:val="auto"/>
          <w:sz w:val="36"/>
          <w:szCs w:val="36"/>
          <w:highlight w:val="none"/>
        </w:rPr>
        <w:t>中标供应商：</w:t>
      </w:r>
      <w:r>
        <w:rPr>
          <w:rFonts w:hint="eastAsia" w:ascii="宋体" w:hAnsi="宋体" w:cs="宋体"/>
          <w:b/>
          <w:color w:val="auto"/>
          <w:sz w:val="36"/>
          <w:szCs w:val="36"/>
          <w:highlight w:val="none"/>
          <w:u w:val="single"/>
        </w:rPr>
        <w:t xml:space="preserve">                   </w:t>
      </w:r>
    </w:p>
    <w:p>
      <w:pPr>
        <w:shd w:val="clear" w:color="auto" w:fill="auto"/>
        <w:autoSpaceDE w:val="0"/>
        <w:autoSpaceDN w:val="0"/>
        <w:adjustRightInd w:val="0"/>
        <w:snapToGrid w:val="0"/>
        <w:spacing w:after="120" w:line="360" w:lineRule="auto"/>
        <w:ind w:left="420" w:leftChars="200" w:firstLine="883" w:firstLineChars="200"/>
        <w:jc w:val="center"/>
        <w:rPr>
          <w:rFonts w:hint="eastAsia" w:ascii="宋体"/>
          <w:b/>
          <w:bCs/>
          <w:color w:val="auto"/>
          <w:sz w:val="44"/>
          <w:szCs w:val="21"/>
          <w:highlight w:val="none"/>
        </w:rPr>
      </w:pPr>
    </w:p>
    <w:p>
      <w:pPr>
        <w:shd w:val="clear" w:color="auto" w:fill="auto"/>
        <w:snapToGrid w:val="0"/>
        <w:spacing w:line="360" w:lineRule="auto"/>
        <w:jc w:val="center"/>
        <w:rPr>
          <w:rFonts w:hint="eastAsia" w:ascii="宋体"/>
          <w:b/>
          <w:bCs/>
          <w:color w:val="auto"/>
          <w:sz w:val="44"/>
          <w:highlight w:val="none"/>
        </w:rPr>
      </w:pPr>
      <w:r>
        <w:rPr>
          <w:rFonts w:hint="eastAsia" w:ascii="宋体"/>
          <w:b/>
          <w:bCs/>
          <w:color w:val="auto"/>
          <w:sz w:val="44"/>
          <w:highlight w:val="none"/>
        </w:rPr>
        <w:br w:type="page"/>
      </w:r>
    </w:p>
    <w:p>
      <w:pPr>
        <w:shd w:val="clear" w:color="auto" w:fill="auto"/>
        <w:snapToGrid w:val="0"/>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合同目录</w:t>
      </w:r>
    </w:p>
    <w:p>
      <w:pPr>
        <w:shd w:val="clear" w:color="auto" w:fill="auto"/>
        <w:snapToGrid w:val="0"/>
        <w:spacing w:line="360" w:lineRule="auto"/>
        <w:jc w:val="center"/>
        <w:rPr>
          <w:rFonts w:hint="eastAsia" w:ascii="宋体" w:hAnsi="宋体" w:cs="宋体"/>
          <w:b/>
          <w:bCs/>
          <w:color w:val="auto"/>
          <w:sz w:val="44"/>
          <w:highlight w:val="none"/>
        </w:rPr>
      </w:pPr>
    </w:p>
    <w:p>
      <w:pPr>
        <w:shd w:val="clear" w:color="auto" w:fill="auto"/>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一、</w:t>
      </w:r>
      <w:r>
        <w:rPr>
          <w:rFonts w:hint="eastAsia" w:ascii="宋体" w:hAnsi="宋体" w:cs="宋体"/>
          <w:color w:val="auto"/>
          <w:sz w:val="24"/>
          <w:highlight w:val="none"/>
        </w:rPr>
        <w:t>第一部分 合同书</w:t>
      </w:r>
      <w:r>
        <w:rPr>
          <w:rFonts w:hint="eastAsia" w:ascii="宋体" w:hAnsi="宋体" w:cs="宋体"/>
          <w:color w:val="auto"/>
          <w:kern w:val="0"/>
          <w:sz w:val="24"/>
          <w:highlight w:val="none"/>
        </w:rPr>
        <w:t>……………………………………………………………（页码）</w:t>
      </w:r>
    </w:p>
    <w:p>
      <w:pPr>
        <w:shd w:val="clear" w:color="auto" w:fill="auto"/>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二、第二部分 合同一般条款……………………………………………………（页码）</w:t>
      </w:r>
    </w:p>
    <w:p>
      <w:pPr>
        <w:shd w:val="clear" w:color="auto" w:fill="auto"/>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三、第三部分 合同专用条款……………………………………………………（页码）</w:t>
      </w:r>
    </w:p>
    <w:p>
      <w:pPr>
        <w:shd w:val="clear" w:color="auto" w:fill="auto"/>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四、</w:t>
      </w:r>
      <w:r>
        <w:rPr>
          <w:rFonts w:hint="eastAsia" w:ascii="宋体" w:hAnsi="宋体" w:cs="宋体"/>
          <w:color w:val="auto"/>
          <w:sz w:val="24"/>
          <w:highlight w:val="none"/>
        </w:rPr>
        <w:t>第四部分 合同附件</w:t>
      </w:r>
      <w:r>
        <w:rPr>
          <w:rFonts w:hint="eastAsia" w:ascii="宋体" w:hAnsi="宋体" w:cs="宋体"/>
          <w:color w:val="auto"/>
          <w:kern w:val="0"/>
          <w:sz w:val="24"/>
          <w:highlight w:val="none"/>
        </w:rPr>
        <w:t>…………………………………………………………（页码）</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4.1中标通知书</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4.2招标文件采购需求</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4.3招标文件的更改（如有）</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4.4投标函</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4.5开标一览表</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4.6服务参数偏离表</w:t>
      </w:r>
    </w:p>
    <w:p>
      <w:pPr>
        <w:shd w:val="clear" w:color="auto" w:fill="auto"/>
        <w:snapToGrid w:val="0"/>
        <w:spacing w:line="360" w:lineRule="auto"/>
        <w:ind w:right="397" w:rightChars="189" w:firstLine="585" w:firstLineChars="266"/>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4.7商务条款偏离表</w:t>
      </w:r>
    </w:p>
    <w:p>
      <w:pPr>
        <w:shd w:val="clear" w:color="auto" w:fill="auto"/>
        <w:snapToGrid w:val="0"/>
        <w:spacing w:line="360" w:lineRule="auto"/>
        <w:rPr>
          <w:rFonts w:ascii="仿宋_GB2312" w:hAnsi="仿宋" w:eastAsia="仿宋_GB2312" w:cs="仿宋_GB2312"/>
          <w:color w:val="auto"/>
          <w:kern w:val="0"/>
          <w:sz w:val="24"/>
          <w:highlight w:val="none"/>
        </w:rPr>
      </w:pPr>
    </w:p>
    <w:p>
      <w:pPr>
        <w:shd w:val="clear" w:color="auto" w:fill="auto"/>
        <w:rPr>
          <w:color w:val="auto"/>
          <w:highlight w:val="none"/>
        </w:rPr>
        <w:sectPr>
          <w:pgSz w:w="11911" w:h="16838"/>
          <w:pgMar w:top="1134" w:right="1134" w:bottom="1134" w:left="1134" w:header="720" w:footer="720" w:gutter="0"/>
          <w:cols w:space="720" w:num="1"/>
          <w:titlePg/>
          <w:docGrid w:linePitch="331" w:charSpace="0"/>
        </w:sectPr>
      </w:pPr>
    </w:p>
    <w:p>
      <w:pPr>
        <w:shd w:val="clear" w:color="auto" w:fill="auto"/>
        <w:autoSpaceDE w:val="0"/>
        <w:autoSpaceDN w:val="0"/>
        <w:adjustRightInd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第一部分 合同书</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年</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月</w:t>
      </w:r>
      <w:r>
        <w:rPr>
          <w:rFonts w:hint="eastAsia" w:ascii="宋体" w:hAnsi="宋体" w:cs="宋体"/>
          <w:color w:val="auto"/>
          <w:szCs w:val="21"/>
          <w:highlight w:val="none"/>
          <w:u w:val="single"/>
          <w:lang w:val="zh-CN"/>
        </w:rPr>
        <w:t xml:space="preserve">    </w:t>
      </w:r>
      <w:r>
        <w:rPr>
          <w:rFonts w:hint="eastAsia" w:ascii="宋体" w:hAnsi="宋体" w:cs="宋体"/>
          <w:color w:val="auto"/>
          <w:szCs w:val="21"/>
          <w:highlight w:val="none"/>
          <w:lang w:val="zh-CN"/>
        </w:rPr>
        <w:t>日</w:t>
      </w:r>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（采购人名称）   </w:t>
      </w:r>
      <w:r>
        <w:rPr>
          <w:rFonts w:hint="eastAsia" w:ascii="宋体" w:hAnsi="宋体" w:cs="宋体"/>
          <w:color w:val="auto"/>
          <w:szCs w:val="21"/>
          <w:highlight w:val="none"/>
        </w:rPr>
        <w:t>以</w:t>
      </w:r>
      <w:r>
        <w:rPr>
          <w:rFonts w:hint="eastAsia" w:ascii="宋体" w:hAnsi="宋体" w:cs="宋体"/>
          <w:color w:val="auto"/>
          <w:szCs w:val="21"/>
          <w:highlight w:val="none"/>
          <w:u w:val="single"/>
        </w:rPr>
        <w:t xml:space="preserve">   公开招标方式  </w:t>
      </w:r>
      <w:r>
        <w:rPr>
          <w:rFonts w:hint="eastAsia" w:ascii="宋体" w:hAnsi="宋体" w:cs="宋体"/>
          <w:color w:val="auto"/>
          <w:szCs w:val="21"/>
          <w:highlight w:val="none"/>
        </w:rPr>
        <w:t>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项目进行了采购。经</w:t>
      </w:r>
      <w:r>
        <w:rPr>
          <w:rFonts w:hint="eastAsia" w:ascii="宋体" w:hAnsi="宋体" w:cs="宋体"/>
          <w:color w:val="auto"/>
          <w:szCs w:val="21"/>
          <w:highlight w:val="none"/>
          <w:u w:val="single"/>
        </w:rPr>
        <w:t xml:space="preserve">   （相关评定主体名称）   </w:t>
      </w:r>
      <w:r>
        <w:rPr>
          <w:rFonts w:hint="eastAsia" w:ascii="宋体" w:hAnsi="宋体" w:cs="宋体"/>
          <w:color w:val="auto"/>
          <w:szCs w:val="21"/>
          <w:highlight w:val="none"/>
        </w:rPr>
        <w:t>评定，</w:t>
      </w:r>
      <w:r>
        <w:rPr>
          <w:rFonts w:hint="eastAsia" w:ascii="宋体" w:hAnsi="宋体" w:cs="宋体"/>
          <w:color w:val="auto"/>
          <w:szCs w:val="21"/>
          <w:highlight w:val="none"/>
          <w:u w:val="single"/>
        </w:rPr>
        <w:t xml:space="preserve">   （中标供应商名称）</w:t>
      </w:r>
      <w:r>
        <w:rPr>
          <w:rFonts w:hint="eastAsia" w:ascii="宋体" w:hAnsi="宋体" w:cs="宋体"/>
          <w:color w:val="auto"/>
          <w:szCs w:val="21"/>
          <w:highlight w:val="none"/>
        </w:rPr>
        <w:t>为该项目中标供应商。现于中标通知书发出之日起二十五日内，按照采购文件确定的事项签订本合同。</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Cs w:val="21"/>
          <w:highlight w:val="none"/>
          <w:u w:val="single"/>
        </w:rPr>
        <w:t xml:space="preserve">   （采购人名称）   </w:t>
      </w:r>
      <w:r>
        <w:rPr>
          <w:rFonts w:hint="eastAsia" w:ascii="宋体" w:hAnsi="宋体" w:cs="宋体"/>
          <w:color w:val="auto"/>
          <w:szCs w:val="21"/>
          <w:highlight w:val="none"/>
          <w:lang w:val="zh-CN"/>
        </w:rPr>
        <w:t>(以下简称：甲方)和</w:t>
      </w:r>
      <w:r>
        <w:rPr>
          <w:rFonts w:hint="eastAsia" w:ascii="宋体" w:hAnsi="宋体" w:cs="宋体"/>
          <w:color w:val="auto"/>
          <w:szCs w:val="21"/>
          <w:highlight w:val="none"/>
          <w:u w:val="single"/>
        </w:rPr>
        <w:t xml:space="preserve">   （中标供应商名称）   </w:t>
      </w:r>
      <w:r>
        <w:rPr>
          <w:rFonts w:hint="eastAsia" w:ascii="宋体" w:hAnsi="宋体" w:cs="宋体"/>
          <w:color w:val="auto"/>
          <w:szCs w:val="21"/>
          <w:highlight w:val="none"/>
          <w:lang w:val="zh-CN"/>
        </w:rPr>
        <w:t>(以下简称：乙方)协商一致，约定以下合同</w:t>
      </w:r>
      <w:r>
        <w:rPr>
          <w:rFonts w:hint="eastAsia" w:ascii="宋体" w:hAnsi="宋体" w:cs="宋体"/>
          <w:color w:val="auto"/>
          <w:szCs w:val="21"/>
          <w:highlight w:val="none"/>
        </w:rPr>
        <w:t>条款，以兹共同遵守、全面履行。</w:t>
      </w:r>
    </w:p>
    <w:p>
      <w:pPr>
        <w:shd w:val="clear" w:color="auto" w:fill="auto"/>
        <w:spacing w:line="500" w:lineRule="exact"/>
        <w:ind w:firstLine="422" w:firstLineChars="200"/>
        <w:rPr>
          <w:rFonts w:hint="eastAsia" w:ascii="宋体" w:hAnsi="宋体" w:cs="宋体"/>
          <w:b/>
          <w:color w:val="auto"/>
          <w:szCs w:val="21"/>
          <w:highlight w:val="none"/>
        </w:rPr>
      </w:pPr>
      <w:bookmarkStart w:id="184" w:name="_Toc3029"/>
      <w:bookmarkStart w:id="185" w:name="_Toc24059"/>
      <w:bookmarkStart w:id="186" w:name="_Toc2232"/>
      <w:r>
        <w:rPr>
          <w:rFonts w:hint="eastAsia" w:ascii="宋体" w:hAnsi="宋体" w:cs="宋体"/>
          <w:b/>
          <w:color w:val="auto"/>
          <w:szCs w:val="21"/>
          <w:highlight w:val="none"/>
        </w:rPr>
        <w:t>1.1 合同组成部分</w:t>
      </w:r>
      <w:bookmarkEnd w:id="184"/>
      <w:bookmarkEnd w:id="185"/>
      <w:bookmarkEnd w:id="186"/>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下列文件为本合同的组成部分，并构成一个整体，需综合解释、相互补充。如果下列文件内容出现不一致的情形，在保证按照采购文件确定的事项的前提下，组成本合同的多个文件的优先适用顺序如下：</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1.1.1 本合同及其补充合同、变更协议；</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1.1.2 中标通知书；</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 投标文件及“投标报价”（含澄清或者说明文件）；</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1.1.4 招标文件（含澄清或者修改文件）；</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1.1.5 其他相关采购文件。</w:t>
      </w:r>
    </w:p>
    <w:p>
      <w:pPr>
        <w:shd w:val="clear" w:color="auto" w:fill="auto"/>
        <w:spacing w:line="500" w:lineRule="exact"/>
        <w:ind w:firstLine="422" w:firstLineChars="200"/>
        <w:rPr>
          <w:rFonts w:hint="eastAsia" w:ascii="宋体" w:hAnsi="宋体" w:cs="宋体"/>
          <w:b/>
          <w:color w:val="auto"/>
          <w:szCs w:val="21"/>
          <w:highlight w:val="none"/>
        </w:rPr>
      </w:pPr>
      <w:bookmarkStart w:id="187" w:name="_Toc27126"/>
      <w:bookmarkStart w:id="188" w:name="_Toc21295"/>
      <w:bookmarkStart w:id="189" w:name="_Toc24300"/>
      <w:r>
        <w:rPr>
          <w:rFonts w:hint="eastAsia" w:ascii="宋体" w:hAnsi="宋体" w:cs="宋体"/>
          <w:b/>
          <w:color w:val="auto"/>
          <w:szCs w:val="21"/>
          <w:highlight w:val="none"/>
        </w:rPr>
        <w:t>1.2 标的物</w:t>
      </w:r>
      <w:bookmarkEnd w:id="187"/>
      <w:bookmarkEnd w:id="188"/>
      <w:bookmarkEnd w:id="189"/>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1.2.1 标的物信息</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标的物名称、数量、质量：</w:t>
      </w:r>
      <w:r>
        <w:rPr>
          <w:rFonts w:hint="eastAsia" w:ascii="宋体" w:hAnsi="宋体" w:cs="宋体"/>
          <w:color w:val="auto"/>
          <w:szCs w:val="21"/>
          <w:highlight w:val="none"/>
          <w:u w:val="single"/>
        </w:rPr>
        <w:t>详见开标一览表、服务参数偏离表和商务条款偏离表</w:t>
      </w:r>
      <w:r>
        <w:rPr>
          <w:rFonts w:hint="eastAsia" w:ascii="宋体" w:hAnsi="宋体" w:cs="宋体"/>
          <w:color w:val="auto"/>
          <w:szCs w:val="21"/>
          <w:highlight w:val="none"/>
        </w:rPr>
        <w:t>。</w:t>
      </w:r>
    </w:p>
    <w:p>
      <w:pPr>
        <w:shd w:val="clear" w:color="auto" w:fill="auto"/>
        <w:spacing w:line="500" w:lineRule="exact"/>
        <w:ind w:firstLine="422" w:firstLineChars="200"/>
        <w:rPr>
          <w:rFonts w:hint="eastAsia" w:ascii="宋体" w:hAnsi="宋体" w:cs="宋体"/>
          <w:b/>
          <w:color w:val="auto"/>
          <w:szCs w:val="21"/>
          <w:highlight w:val="none"/>
        </w:rPr>
      </w:pPr>
      <w:bookmarkStart w:id="190" w:name="_Toc21631"/>
      <w:bookmarkStart w:id="191" w:name="_Toc23292"/>
      <w:bookmarkStart w:id="192" w:name="_Toc21551"/>
      <w:r>
        <w:rPr>
          <w:rFonts w:hint="eastAsia" w:ascii="宋体" w:hAnsi="宋体" w:cs="宋体"/>
          <w:b/>
          <w:color w:val="auto"/>
          <w:szCs w:val="21"/>
          <w:highlight w:val="none"/>
        </w:rPr>
        <w:t>1.3 价款</w:t>
      </w:r>
      <w:bookmarkEnd w:id="190"/>
      <w:bookmarkEnd w:id="191"/>
      <w:bookmarkEnd w:id="192"/>
    </w:p>
    <w:p>
      <w:pPr>
        <w:shd w:val="clear" w:color="auto" w:fill="auto"/>
        <w:spacing w:line="500" w:lineRule="exact"/>
        <w:ind w:firstLine="420" w:firstLineChars="200"/>
        <w:rPr>
          <w:rFonts w:hint="eastAsia" w:ascii="宋体" w:hAnsi="宋体" w:cs="宋体"/>
          <w:color w:val="auto"/>
          <w:szCs w:val="21"/>
          <w:highlight w:val="none"/>
        </w:rPr>
      </w:pPr>
      <w:bookmarkStart w:id="193" w:name="_Toc22618"/>
      <w:bookmarkStart w:id="194" w:name="_Toc10340"/>
      <w:bookmarkStart w:id="195" w:name="_Toc1814"/>
      <w:r>
        <w:rPr>
          <w:rFonts w:hint="eastAsia" w:ascii="宋体" w:hAnsi="宋体" w:cs="宋体"/>
          <w:color w:val="auto"/>
          <w:szCs w:val="21"/>
          <w:highlight w:val="none"/>
        </w:rPr>
        <w:t>本</w:t>
      </w:r>
      <w:bookmarkStart w:id="196" w:name="OLE_LINK23"/>
      <w:bookmarkStart w:id="197" w:name="OLE_LINK24"/>
      <w:r>
        <w:rPr>
          <w:rFonts w:hint="eastAsia" w:ascii="宋体" w:hAnsi="宋体" w:cs="宋体"/>
          <w:color w:val="auto"/>
          <w:szCs w:val="21"/>
          <w:highlight w:val="none"/>
        </w:rPr>
        <w:t>合同</w:t>
      </w:r>
      <w:bookmarkEnd w:id="196"/>
      <w:r>
        <w:rPr>
          <w:rFonts w:hint="eastAsia" w:ascii="宋体" w:hAnsi="宋体" w:cs="宋体"/>
          <w:color w:val="auto"/>
          <w:szCs w:val="21"/>
          <w:highlight w:val="none"/>
        </w:rPr>
        <w:t>总价</w:t>
      </w:r>
      <w:bookmarkEnd w:id="197"/>
      <w:r>
        <w:rPr>
          <w:rFonts w:hint="eastAsia" w:ascii="宋体" w:hAnsi="宋体" w:cs="宋体"/>
          <w:color w:val="auto"/>
          <w:szCs w:val="21"/>
          <w:highlight w:val="none"/>
        </w:rPr>
        <w:t>为：人民币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元），含税。</w:t>
      </w:r>
      <w:r>
        <w:rPr>
          <w:rFonts w:hint="eastAsia"/>
          <w:color w:val="auto"/>
        </w:rPr>
        <w:t>最终</w:t>
      </w:r>
      <w:r>
        <w:rPr>
          <w:rFonts w:hint="eastAsia"/>
          <w:color w:val="auto"/>
          <w:lang w:val="en-US" w:eastAsia="zh-CN"/>
        </w:rPr>
        <w:t>合同款</w:t>
      </w:r>
      <w:r>
        <w:rPr>
          <w:rFonts w:hint="eastAsia"/>
          <w:color w:val="auto"/>
        </w:rPr>
        <w:t>以实际扫描的答卷数量乘以</w:t>
      </w:r>
      <w:r>
        <w:rPr>
          <w:rFonts w:hint="eastAsia"/>
          <w:color w:val="auto"/>
          <w:lang w:val="en-US" w:eastAsia="zh-CN"/>
        </w:rPr>
        <w:t>中标</w:t>
      </w:r>
      <w:r>
        <w:rPr>
          <w:rFonts w:hint="eastAsia"/>
          <w:color w:val="auto"/>
        </w:rPr>
        <w:t>单价进行结算，但总价不能超过采购预算。</w:t>
      </w:r>
    </w:p>
    <w:p>
      <w:pPr>
        <w:shd w:val="clear" w:color="auto" w:fill="auto"/>
        <w:spacing w:line="5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分项价格：详见开标一览表。</w:t>
      </w:r>
    </w:p>
    <w:p>
      <w:pPr>
        <w:shd w:val="clear" w:color="auto" w:fill="auto"/>
        <w:spacing w:line="50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1.4 付款方式和发票开具方式</w:t>
      </w:r>
      <w:bookmarkEnd w:id="193"/>
      <w:bookmarkEnd w:id="194"/>
      <w:bookmarkEnd w:id="195"/>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1.4.1 付款方式：</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rPr>
        <w:t>合同签定后10个工作日内支付预付</w:t>
      </w:r>
      <w:r>
        <w:rPr>
          <w:rFonts w:hint="eastAsia" w:ascii="宋体" w:hAnsi="宋体" w:cs="宋体"/>
          <w:color w:val="auto"/>
          <w:szCs w:val="21"/>
          <w:lang w:val="en-US" w:eastAsia="zh-CN"/>
        </w:rPr>
        <w:t>合同款</w:t>
      </w:r>
      <w:r>
        <w:rPr>
          <w:rFonts w:hint="eastAsia" w:ascii="宋体" w:hAnsi="宋体" w:cs="宋体"/>
          <w:color w:val="auto"/>
          <w:szCs w:val="21"/>
        </w:rPr>
        <w:t>的30%</w:t>
      </w:r>
      <w:r>
        <w:rPr>
          <w:rFonts w:hint="eastAsia" w:ascii="宋体" w:hAnsi="宋体" w:cs="宋体"/>
          <w:color w:val="auto"/>
          <w:szCs w:val="21"/>
          <w:highlight w:val="none"/>
        </w:rPr>
        <w:t>。</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color w:val="auto"/>
          <w:lang w:val="en-US" w:eastAsia="zh-CN"/>
        </w:rPr>
        <w:t>乙方</w:t>
      </w:r>
      <w:r>
        <w:rPr>
          <w:rFonts w:hint="eastAsia"/>
          <w:color w:val="auto"/>
          <w:lang w:eastAsia="zh-CN"/>
        </w:rPr>
        <w:t>所提交的服务经</w:t>
      </w:r>
      <w:r>
        <w:rPr>
          <w:rFonts w:hint="eastAsia"/>
          <w:color w:val="auto"/>
          <w:lang w:val="en-US" w:eastAsia="zh-CN"/>
        </w:rPr>
        <w:t>甲方</w:t>
      </w:r>
      <w:r>
        <w:rPr>
          <w:rFonts w:hint="eastAsia"/>
          <w:color w:val="auto"/>
          <w:lang w:eastAsia="zh-CN"/>
        </w:rPr>
        <w:t>书面验收合格</w:t>
      </w:r>
      <w:r>
        <w:rPr>
          <w:rFonts w:hint="eastAsia"/>
          <w:color w:val="auto"/>
          <w:lang w:val="en-US" w:eastAsia="zh-CN"/>
        </w:rPr>
        <w:t>后</w:t>
      </w:r>
      <w:r>
        <w:rPr>
          <w:rFonts w:hint="eastAsia" w:ascii="宋体" w:hAnsi="宋体" w:cs="宋体"/>
          <w:color w:val="auto"/>
          <w:szCs w:val="21"/>
        </w:rPr>
        <w:t>10个工作日内支付</w:t>
      </w:r>
      <w:r>
        <w:rPr>
          <w:rFonts w:hint="eastAsia"/>
          <w:color w:val="auto"/>
        </w:rPr>
        <w:t>合同</w:t>
      </w:r>
      <w:r>
        <w:rPr>
          <w:rFonts w:hint="eastAsia"/>
          <w:color w:val="auto"/>
          <w:lang w:val="en-US" w:eastAsia="zh-CN"/>
        </w:rPr>
        <w:t>余</w:t>
      </w:r>
      <w:r>
        <w:rPr>
          <w:rFonts w:hint="eastAsia"/>
          <w:color w:val="auto"/>
        </w:rPr>
        <w:t>款</w:t>
      </w:r>
      <w:r>
        <w:rPr>
          <w:rFonts w:hint="eastAsia" w:ascii="宋体" w:hAnsi="宋体" w:cs="宋体"/>
          <w:color w:val="auto"/>
          <w:szCs w:val="21"/>
          <w:highlight w:val="none"/>
        </w:rPr>
        <w:t>。</w:t>
      </w:r>
    </w:p>
    <w:p>
      <w:pPr>
        <w:shd w:val="clear" w:color="auto" w:fill="auto"/>
        <w:spacing w:line="5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1.4.2 发票开具方式：</w:t>
      </w:r>
      <w:r>
        <w:rPr>
          <w:rFonts w:hint="eastAsia" w:ascii="宋体" w:hAnsi="宋体" w:cs="宋体"/>
          <w:color w:val="auto"/>
          <w:szCs w:val="21"/>
          <w:highlight w:val="none"/>
          <w:u w:val="single"/>
        </w:rPr>
        <w:t xml:space="preserve"> 项目履约完成并通过最终验收后，乙方据实向甲方开具发票</w:t>
      </w:r>
      <w:r>
        <w:rPr>
          <w:rFonts w:hint="eastAsia" w:ascii="宋体" w:hAnsi="宋体" w:cs="宋体"/>
          <w:color w:val="auto"/>
          <w:szCs w:val="21"/>
          <w:highlight w:val="none"/>
        </w:rPr>
        <w:t>。</w:t>
      </w:r>
    </w:p>
    <w:p>
      <w:pPr>
        <w:shd w:val="clear" w:color="auto" w:fill="auto"/>
        <w:spacing w:line="500" w:lineRule="exact"/>
        <w:ind w:firstLine="422" w:firstLineChars="200"/>
        <w:rPr>
          <w:rFonts w:hint="eastAsia" w:ascii="宋体" w:hAnsi="宋体" w:cs="宋体"/>
          <w:b/>
          <w:color w:val="auto"/>
          <w:szCs w:val="21"/>
          <w:highlight w:val="none"/>
        </w:rPr>
      </w:pPr>
      <w:bookmarkStart w:id="198" w:name="_Toc2846"/>
      <w:bookmarkStart w:id="199" w:name="_Toc19304"/>
      <w:bookmarkStart w:id="200" w:name="_Toc32071"/>
      <w:r>
        <w:rPr>
          <w:rFonts w:hint="eastAsia" w:ascii="宋体" w:hAnsi="宋体" w:cs="宋体"/>
          <w:b/>
          <w:color w:val="auto"/>
          <w:szCs w:val="21"/>
          <w:highlight w:val="none"/>
        </w:rPr>
        <w:t>1.5 标的物交付期限、地点、方式</w:t>
      </w:r>
      <w:bookmarkEnd w:id="198"/>
      <w:bookmarkEnd w:id="199"/>
      <w:bookmarkEnd w:id="200"/>
      <w:r>
        <w:rPr>
          <w:rFonts w:hint="eastAsia" w:ascii="宋体" w:hAnsi="宋体" w:cs="宋体"/>
          <w:b/>
          <w:color w:val="auto"/>
          <w:szCs w:val="21"/>
          <w:highlight w:val="none"/>
        </w:rPr>
        <w:t>和质保期限</w:t>
      </w:r>
    </w:p>
    <w:p>
      <w:pPr>
        <w:shd w:val="clear" w:color="auto" w:fill="auto"/>
        <w:spacing w:line="50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1.5.1 交付期限（服务时间）：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1.5.2 交付地点：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1.5.3 交付方式：</w:t>
      </w:r>
      <w:r>
        <w:rPr>
          <w:rFonts w:hint="eastAsia" w:ascii="宋体" w:hAnsi="宋体" w:cs="宋体"/>
          <w:color w:val="auto"/>
          <w:szCs w:val="21"/>
          <w:highlight w:val="none"/>
          <w:u w:val="single"/>
        </w:rPr>
        <w:t>现场交付</w:t>
      </w:r>
      <w:r>
        <w:rPr>
          <w:rFonts w:hint="eastAsia" w:ascii="宋体" w:hAnsi="宋体" w:cs="宋体"/>
          <w:color w:val="auto"/>
          <w:szCs w:val="21"/>
          <w:highlight w:val="none"/>
        </w:rPr>
        <w:t>；</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1.5.4 质保期限：</w:t>
      </w:r>
      <w:r>
        <w:rPr>
          <w:rFonts w:hint="eastAsia" w:ascii="宋体" w:hAnsi="宋体" w:cs="宋体"/>
          <w:color w:val="auto"/>
          <w:szCs w:val="21"/>
          <w:highlight w:val="none"/>
          <w:u w:val="single"/>
        </w:rPr>
        <w:t xml:space="preserve">  自合同签订之日起至所提供的服务结束为止</w:t>
      </w:r>
      <w:r>
        <w:rPr>
          <w:rFonts w:hint="eastAsia" w:ascii="宋体" w:hAnsi="宋体" w:cs="宋体"/>
          <w:color w:val="auto"/>
          <w:szCs w:val="21"/>
          <w:highlight w:val="none"/>
        </w:rPr>
        <w:t>。</w:t>
      </w:r>
    </w:p>
    <w:p>
      <w:pPr>
        <w:shd w:val="clear" w:color="auto" w:fill="auto"/>
        <w:spacing w:line="500" w:lineRule="exact"/>
        <w:ind w:firstLine="422" w:firstLineChars="200"/>
        <w:rPr>
          <w:rFonts w:hint="eastAsia" w:ascii="宋体" w:hAnsi="宋体" w:cs="宋体"/>
          <w:b/>
          <w:color w:val="auto"/>
          <w:szCs w:val="21"/>
          <w:highlight w:val="none"/>
        </w:rPr>
      </w:pPr>
      <w:bookmarkStart w:id="201" w:name="_Toc19554"/>
      <w:bookmarkStart w:id="202" w:name="_Toc27250"/>
      <w:bookmarkStart w:id="203" w:name="_Toc21423"/>
      <w:r>
        <w:rPr>
          <w:rFonts w:hint="eastAsia" w:ascii="宋体" w:hAnsi="宋体" w:cs="宋体"/>
          <w:b/>
          <w:color w:val="auto"/>
          <w:szCs w:val="21"/>
          <w:highlight w:val="none"/>
        </w:rPr>
        <w:t>1.6 违约责任</w:t>
      </w:r>
      <w:bookmarkEnd w:id="201"/>
      <w:bookmarkEnd w:id="202"/>
      <w:bookmarkEnd w:id="203"/>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Cs w:val="21"/>
          <w:highlight w:val="none"/>
          <w:u w:val="single"/>
        </w:rPr>
        <w:t>万分之五</w:t>
      </w:r>
      <w:r>
        <w:rPr>
          <w:rFonts w:hint="eastAsia" w:ascii="宋体" w:hAnsi="宋体" w:cs="宋体"/>
          <w:color w:val="auto"/>
          <w:szCs w:val="21"/>
          <w:highlight w:val="none"/>
        </w:rPr>
        <w:t>计算，最高限额为本合同总价的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%；迟延超过</w:t>
      </w:r>
      <w:r>
        <w:rPr>
          <w:rFonts w:hint="eastAsia" w:ascii="宋体" w:hAnsi="宋体" w:cs="宋体"/>
          <w:color w:val="auto"/>
          <w:szCs w:val="21"/>
          <w:highlight w:val="none"/>
          <w:u w:val="single"/>
        </w:rPr>
        <w:t>5</w:t>
      </w:r>
      <w:r>
        <w:rPr>
          <w:rFonts w:hint="eastAsia" w:ascii="宋体" w:hAnsi="宋体" w:cs="宋体"/>
          <w:color w:val="auto"/>
          <w:szCs w:val="21"/>
          <w:highlight w:val="none"/>
        </w:rPr>
        <w:t>日的，甲方有权在要求乙方支付违约金的同时，书面通知乙方解除本合同，乙方应退回全部已收取的合同价款并按合同总金额的</w:t>
      </w:r>
      <w:r>
        <w:rPr>
          <w:rFonts w:hint="eastAsia" w:ascii="宋体" w:hAnsi="宋体" w:cs="宋体"/>
          <w:color w:val="auto"/>
          <w:szCs w:val="21"/>
          <w:highlight w:val="none"/>
          <w:u w:val="single"/>
        </w:rPr>
        <w:t>20%</w:t>
      </w:r>
      <w:r>
        <w:rPr>
          <w:rFonts w:hint="eastAsia" w:ascii="宋体" w:hAnsi="宋体" w:cs="宋体"/>
          <w:color w:val="auto"/>
          <w:szCs w:val="21"/>
          <w:highlight w:val="none"/>
        </w:rPr>
        <w:t>向甲方支付违约金；</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1.6.2 除不可抗力外，如果甲方没有按照本合同约定的付款方式付款，乙方可要求甲方支付违约金，违约金按每迟延付款一日的应付而未付款的</w:t>
      </w:r>
      <w:r>
        <w:rPr>
          <w:rFonts w:hint="eastAsia" w:ascii="宋体" w:hAnsi="宋体" w:cs="宋体"/>
          <w:color w:val="auto"/>
          <w:szCs w:val="21"/>
          <w:highlight w:val="none"/>
          <w:u w:val="single"/>
        </w:rPr>
        <w:t>万分之五</w:t>
      </w:r>
      <w:r>
        <w:rPr>
          <w:rFonts w:hint="eastAsia" w:ascii="宋体" w:hAnsi="宋体" w:cs="宋体"/>
          <w:color w:val="auto"/>
          <w:szCs w:val="21"/>
          <w:highlight w:val="none"/>
        </w:rPr>
        <w:t>计算，最高限额为欠付金额的</w:t>
      </w:r>
      <w:r>
        <w:rPr>
          <w:rFonts w:hint="eastAsia" w:ascii="宋体" w:hAnsi="宋体" w:cs="宋体"/>
          <w:color w:val="auto"/>
          <w:szCs w:val="21"/>
          <w:highlight w:val="none"/>
          <w:u w:val="single"/>
        </w:rPr>
        <w:t>20</w:t>
      </w:r>
      <w:r>
        <w:rPr>
          <w:rFonts w:hint="eastAsia" w:ascii="宋体" w:hAnsi="宋体" w:cs="宋体"/>
          <w:color w:val="auto"/>
          <w:szCs w:val="21"/>
          <w:highlight w:val="none"/>
        </w:rPr>
        <w:t>%；迟延付款的违约金计算数额达到前述最高限额之日起，乙方有权在要求甲方支付违约金的同时，书面通知甲方解除本合同；</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并可要求违约方按合同总金额的20%支付违约金；</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1.6.4乙方在质保期内未按承诺提供售后等服务的，每发生一次向甲方支付</w:t>
      </w:r>
      <w:r>
        <w:rPr>
          <w:rFonts w:hint="eastAsia" w:ascii="宋体" w:hAnsi="宋体" w:cs="宋体"/>
          <w:color w:val="auto"/>
          <w:szCs w:val="21"/>
          <w:highlight w:val="none"/>
          <w:u w:val="single"/>
        </w:rPr>
        <w:t>¥2000.00</w:t>
      </w:r>
      <w:r>
        <w:rPr>
          <w:rFonts w:hint="eastAsia" w:ascii="宋体" w:hAnsi="宋体" w:cs="宋体"/>
          <w:color w:val="auto"/>
          <w:szCs w:val="21"/>
          <w:highlight w:val="none"/>
        </w:rPr>
        <w:t>元的违约金，乙方收到甲方售后服务要求通知后3日内（甲方按照本合同尾部所留联系人及联系人电话完成通知或者按照本合同第1.8条完成通知的，均视为乙方已经收到通知），乙方未能提供售后服务的，甲方另行委托他人完成产生的费用由乙方承担。</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1.6.5 1.6条所约定的违约金均为惩罚性违约金，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1.6.7 如果出现政府采购监督管理部门在处理投诉事项期间，书面通知甲方暂停采购活动的情形，或者询问或质疑事项可能影响中标结果的，导致甲方中止履行合同或最终导致废标合同无效的情形，均不视为甲方违约，如废标原因是乙方过错导致，甲方可要求乙方因废标对甲方造成的损失承担赔偿责任。</w:t>
      </w:r>
    </w:p>
    <w:p>
      <w:pPr>
        <w:shd w:val="clear" w:color="auto" w:fill="auto"/>
        <w:spacing w:line="500" w:lineRule="exact"/>
        <w:ind w:firstLine="422" w:firstLineChars="200"/>
        <w:rPr>
          <w:rFonts w:hint="eastAsia" w:ascii="宋体" w:hAnsi="宋体" w:cs="宋体"/>
          <w:b/>
          <w:color w:val="auto"/>
          <w:szCs w:val="21"/>
          <w:highlight w:val="none"/>
        </w:rPr>
      </w:pPr>
      <w:bookmarkStart w:id="204" w:name="_Toc16021"/>
      <w:bookmarkStart w:id="205" w:name="_Toc15583"/>
      <w:bookmarkStart w:id="206" w:name="_Toc28375"/>
      <w:r>
        <w:rPr>
          <w:rFonts w:hint="eastAsia" w:ascii="宋体" w:hAnsi="宋体" w:cs="宋体"/>
          <w:b/>
          <w:color w:val="auto"/>
          <w:szCs w:val="21"/>
          <w:highlight w:val="none"/>
        </w:rPr>
        <w:t>1.7 合同争议的解决</w:t>
      </w:r>
      <w:bookmarkEnd w:id="204"/>
      <w:bookmarkEnd w:id="205"/>
      <w:bookmarkEnd w:id="206"/>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本合同履行过程中发生的任何争议，双方当事人均应通过友好协商的方式和解或者调解解决；不愿和解、调解或者和解、调解不成的，可以选择下列第</w:t>
      </w:r>
      <w:r>
        <w:rPr>
          <w:rFonts w:hint="eastAsia" w:ascii="宋体" w:hAnsi="宋体" w:cs="宋体"/>
          <w:color w:val="auto"/>
          <w:szCs w:val="21"/>
          <w:highlight w:val="none"/>
          <w:u w:val="single"/>
        </w:rPr>
        <w:t>1.7.2</w:t>
      </w:r>
      <w:r>
        <w:rPr>
          <w:rFonts w:hint="eastAsia" w:ascii="宋体" w:hAnsi="宋体" w:cs="宋体"/>
          <w:color w:val="auto"/>
          <w:szCs w:val="21"/>
          <w:highlight w:val="none"/>
        </w:rPr>
        <w:t>种方式解决：</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1.7.1 将争议提交</w:t>
      </w:r>
      <w:r>
        <w:rPr>
          <w:rFonts w:hint="eastAsia" w:ascii="宋体" w:hAnsi="宋体" w:cs="宋体"/>
          <w:color w:val="auto"/>
          <w:szCs w:val="21"/>
          <w:highlight w:val="none"/>
          <w:u w:val="single"/>
        </w:rPr>
        <w:t>南宁市</w:t>
      </w:r>
      <w:r>
        <w:rPr>
          <w:rFonts w:hint="eastAsia" w:ascii="宋体" w:hAnsi="宋体" w:cs="宋体"/>
          <w:color w:val="auto"/>
          <w:szCs w:val="21"/>
          <w:highlight w:val="none"/>
        </w:rPr>
        <w:t>仲裁委员会依申请仲裁时其现行有效的仲裁规则裁决；</w:t>
      </w:r>
    </w:p>
    <w:p>
      <w:pPr>
        <w:shd w:val="clear" w:color="auto" w:fill="auto"/>
        <w:spacing w:line="5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1.7.2 向</w:t>
      </w:r>
      <w:r>
        <w:rPr>
          <w:rFonts w:hint="eastAsia" w:ascii="宋体" w:hAnsi="宋体" w:cs="宋体"/>
          <w:color w:val="auto"/>
          <w:szCs w:val="21"/>
          <w:highlight w:val="none"/>
          <w:u w:val="single"/>
        </w:rPr>
        <w:t>甲方所在地</w:t>
      </w:r>
      <w:r>
        <w:rPr>
          <w:rFonts w:hint="eastAsia" w:ascii="宋体" w:hAnsi="宋体" w:cs="宋体"/>
          <w:color w:val="auto"/>
          <w:szCs w:val="21"/>
          <w:highlight w:val="none"/>
        </w:rPr>
        <w:t>有管辖权的人民法院起诉。</w:t>
      </w:r>
    </w:p>
    <w:p>
      <w:pPr>
        <w:shd w:val="clear" w:color="auto" w:fill="auto"/>
        <w:spacing w:line="500" w:lineRule="exact"/>
        <w:ind w:firstLine="422" w:firstLineChars="200"/>
        <w:rPr>
          <w:rFonts w:hint="eastAsia" w:ascii="宋体" w:hAnsi="宋体" w:cs="宋体"/>
          <w:b/>
          <w:color w:val="auto"/>
          <w:szCs w:val="21"/>
          <w:highlight w:val="none"/>
        </w:rPr>
      </w:pPr>
      <w:bookmarkStart w:id="207" w:name="_Toc11173"/>
      <w:bookmarkStart w:id="208" w:name="_Toc15322"/>
      <w:bookmarkStart w:id="209" w:name="_Toc7245"/>
      <w:r>
        <w:rPr>
          <w:rFonts w:hint="eastAsia" w:ascii="宋体" w:hAnsi="宋体" w:cs="宋体"/>
          <w:b/>
          <w:color w:val="auto"/>
          <w:szCs w:val="21"/>
          <w:highlight w:val="none"/>
        </w:rPr>
        <w:t>1.8 合同生效</w:t>
      </w:r>
      <w:bookmarkEnd w:id="207"/>
      <w:bookmarkEnd w:id="208"/>
      <w:bookmarkEnd w:id="209"/>
    </w:p>
    <w:p>
      <w:pPr>
        <w:shd w:val="clear" w:color="auto" w:fill="auto"/>
        <w:spacing w:line="50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本合同自双方当事人加盖公章或有效电子公章时生效。</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20"/>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820" w:type="dxa"/>
            <w:noWrap w:val="0"/>
            <w:vAlign w:val="center"/>
          </w:tcPr>
          <w:p>
            <w:pPr>
              <w:shd w:val="clear" w:color="auto" w:fill="auto"/>
              <w:spacing w:line="500" w:lineRule="exact"/>
              <w:rPr>
                <w:rFonts w:hint="eastAsia" w:ascii="宋体" w:hAnsi="宋体" w:cs="宋体"/>
                <w:color w:val="auto"/>
                <w:szCs w:val="21"/>
                <w:highlight w:val="none"/>
                <w:lang w:val="zh-CN"/>
              </w:rPr>
            </w:pPr>
            <w:bookmarkStart w:id="210" w:name="_Toc331685783"/>
            <w:r>
              <w:rPr>
                <w:rFonts w:hint="eastAsia" w:ascii="宋体" w:hAnsi="宋体" w:cs="宋体"/>
                <w:color w:val="auto"/>
                <w:szCs w:val="21"/>
                <w:highlight w:val="none"/>
                <w:lang w:val="zh-CN"/>
              </w:rPr>
              <w:t>甲方：</w:t>
            </w:r>
          </w:p>
          <w:p>
            <w:pPr>
              <w:shd w:val="clear" w:color="auto" w:fill="auto"/>
              <w:spacing w:line="500" w:lineRule="exact"/>
              <w:rPr>
                <w:rFonts w:hint="eastAsia" w:ascii="宋体" w:hAnsi="宋体" w:cs="宋体"/>
                <w:color w:val="auto"/>
                <w:szCs w:val="21"/>
                <w:highlight w:val="none"/>
                <w:lang w:val="zh-CN"/>
              </w:rPr>
            </w:pPr>
          </w:p>
          <w:p>
            <w:pPr>
              <w:shd w:val="clear" w:color="auto" w:fill="auto"/>
              <w:spacing w:line="500" w:lineRule="exact"/>
              <w:rPr>
                <w:rFonts w:hint="eastAsia" w:ascii="宋体" w:hAnsi="宋体" w:cs="宋体"/>
                <w:color w:val="auto"/>
                <w:szCs w:val="21"/>
                <w:highlight w:val="none"/>
                <w:lang w:val="zh-CN"/>
              </w:rPr>
            </w:pPr>
          </w:p>
          <w:p>
            <w:pPr>
              <w:shd w:val="clear" w:color="auto" w:fill="auto"/>
              <w:spacing w:line="500" w:lineRule="exact"/>
              <w:rPr>
                <w:rFonts w:hint="eastAsia" w:ascii="宋体" w:hAnsi="宋体" w:cs="宋体"/>
                <w:color w:val="auto"/>
                <w:szCs w:val="21"/>
                <w:highlight w:val="none"/>
                <w:lang w:val="zh-CN"/>
              </w:rPr>
            </w:pPr>
          </w:p>
        </w:tc>
        <w:tc>
          <w:tcPr>
            <w:tcW w:w="4820" w:type="dxa"/>
            <w:noWrap w:val="0"/>
            <w:vAlign w:val="center"/>
          </w:tcPr>
          <w:p>
            <w:pPr>
              <w:shd w:val="clear" w:color="auto" w:fill="auto"/>
              <w:spacing w:line="5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乙方：</w:t>
            </w:r>
          </w:p>
          <w:p>
            <w:pPr>
              <w:shd w:val="clear" w:color="auto" w:fill="auto"/>
              <w:spacing w:line="500" w:lineRule="exact"/>
              <w:rPr>
                <w:rFonts w:hint="eastAsia" w:ascii="宋体" w:hAnsi="宋体" w:cs="宋体"/>
                <w:color w:val="auto"/>
                <w:szCs w:val="21"/>
                <w:highlight w:val="none"/>
                <w:lang w:val="zh-CN"/>
              </w:rPr>
            </w:pPr>
          </w:p>
          <w:p>
            <w:pPr>
              <w:shd w:val="clear" w:color="auto" w:fill="auto"/>
              <w:spacing w:line="500" w:lineRule="exact"/>
              <w:rPr>
                <w:rFonts w:hint="eastAsia" w:ascii="宋体" w:hAnsi="宋体" w:cs="宋体"/>
                <w:color w:val="auto"/>
                <w:szCs w:val="21"/>
                <w:highlight w:val="none"/>
                <w:lang w:val="zh-CN"/>
              </w:rPr>
            </w:pPr>
          </w:p>
          <w:p>
            <w:pPr>
              <w:shd w:val="clear" w:color="auto" w:fill="auto"/>
              <w:spacing w:line="500" w:lineRule="exact"/>
              <w:rPr>
                <w:rFonts w:hint="eastAsia" w:ascii="宋体" w:hAnsi="宋体" w:cs="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统一社会信用代码：</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住所：</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w:t>
            </w:r>
          </w:p>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或授权代表（签字或盖章）：</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法定代表人</w:t>
            </w:r>
          </w:p>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或授权代表（签字或盖章）: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联系人：</w:t>
            </w:r>
          </w:p>
        </w:tc>
        <w:tc>
          <w:tcPr>
            <w:tcW w:w="4820" w:type="dxa"/>
            <w:noWrap w:val="0"/>
            <w:vAlign w:val="center"/>
          </w:tcPr>
          <w:p>
            <w:pPr>
              <w:shd w:val="clear" w:color="auto" w:fill="auto"/>
              <w:rPr>
                <w:rFonts w:hint="eastAsia" w:ascii="宋体" w:hAnsi="宋体" w:cs="宋体"/>
                <w:color w:val="auto"/>
                <w:szCs w:val="21"/>
                <w:highlight w:val="none"/>
              </w:rPr>
            </w:pPr>
            <w:r>
              <w:rPr>
                <w:rFonts w:hint="eastAsia" w:ascii="宋体" w:hAnsi="宋体" w:cs="宋体"/>
                <w:color w:val="auto"/>
                <w:szCs w:val="21"/>
                <w:highlight w:val="none"/>
                <w:lang w:val="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ascii="宋体" w:hAnsi="宋体" w:cs="宋体"/>
                <w:color w:val="auto"/>
                <w:szCs w:val="21"/>
                <w:highlight w:val="none"/>
              </w:rPr>
            </w:pPr>
            <w:r>
              <w:rPr>
                <w:rFonts w:hint="eastAsia" w:ascii="宋体" w:hAnsi="宋体" w:cs="宋体"/>
                <w:color w:val="auto"/>
                <w:szCs w:val="21"/>
                <w:highlight w:val="none"/>
                <w:lang w:val="zh-CN"/>
              </w:rPr>
              <w:t>约定送达地址：</w:t>
            </w:r>
            <w:r>
              <w:rPr>
                <w:rFonts w:hint="eastAsia" w:ascii="宋体" w:hAnsi="宋体" w:cs="宋体"/>
                <w:color w:val="auto"/>
                <w:szCs w:val="21"/>
                <w:highlight w:val="none"/>
              </w:rPr>
              <w:t>按住所</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约定送达地址：按住所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电话</w:t>
            </w:r>
            <w:bookmarkStart w:id="211" w:name="PO_3000001867_PM028"/>
            <w:r>
              <w:rPr>
                <w:rFonts w:hint="eastAsia" w:ascii="宋体" w:hAnsi="宋体" w:cs="宋体"/>
                <w:color w:val="auto"/>
                <w:szCs w:val="21"/>
                <w:highlight w:val="none"/>
                <w:lang w:val="zh-CN"/>
              </w:rPr>
              <w:t>：</w:t>
            </w:r>
            <w:bookmarkEnd w:id="211"/>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lang w:val="zh-CN"/>
              </w:rPr>
              <w:t>电子邮箱：</w:t>
            </w:r>
          </w:p>
        </w:tc>
        <w:tc>
          <w:tcPr>
            <w:tcW w:w="4820" w:type="dxa"/>
            <w:noWrap w:val="0"/>
            <w:vAlign w:val="center"/>
          </w:tcPr>
          <w:p>
            <w:pPr>
              <w:shd w:val="clear" w:color="auto" w:fill="auto"/>
              <w:rPr>
                <w:rFonts w:hint="eastAsia" w:ascii="宋体" w:hAnsi="宋体" w:cs="宋体"/>
                <w:color w:val="auto"/>
                <w:szCs w:val="21"/>
                <w:highlight w:val="none"/>
              </w:rPr>
            </w:pPr>
            <w:r>
              <w:rPr>
                <w:rFonts w:hint="eastAsia" w:ascii="宋体" w:hAnsi="宋体" w:cs="宋体"/>
                <w:color w:val="auto"/>
                <w:szCs w:val="21"/>
                <w:highlight w:val="none"/>
                <w:lang w:val="zh-CN"/>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开户银行：</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开户名称：</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开户账号：</w:t>
            </w:r>
          </w:p>
        </w:tc>
        <w:tc>
          <w:tcPr>
            <w:tcW w:w="4820" w:type="dxa"/>
            <w:noWrap w:val="0"/>
            <w:vAlign w:val="center"/>
          </w:tcPr>
          <w:p>
            <w:pPr>
              <w:shd w:val="clear" w:color="auto" w:fill="auto"/>
              <w:rPr>
                <w:rFonts w:hint="eastAsia" w:ascii="宋体" w:hAnsi="宋体" w:cs="宋体"/>
                <w:color w:val="auto"/>
                <w:szCs w:val="21"/>
                <w:highlight w:val="none"/>
                <w:lang w:val="zh-CN"/>
              </w:rPr>
            </w:pPr>
            <w:r>
              <w:rPr>
                <w:rFonts w:hint="eastAsia" w:ascii="宋体" w:hAnsi="宋体" w:cs="宋体"/>
                <w:color w:val="auto"/>
                <w:szCs w:val="21"/>
                <w:highlight w:val="none"/>
              </w:rPr>
              <w:t>开户账号：</w:t>
            </w:r>
          </w:p>
        </w:tc>
      </w:tr>
    </w:tbl>
    <w:p>
      <w:pPr>
        <w:shd w:val="clear" w:color="auto" w:fill="auto"/>
        <w:ind w:firstLine="200"/>
        <w:rPr>
          <w:rFonts w:hint="eastAsia" w:ascii="宋体" w:hAnsi="宋体" w:cs="宋体"/>
          <w:color w:val="auto"/>
          <w:szCs w:val="21"/>
          <w:highlight w:val="none"/>
        </w:rPr>
      </w:pPr>
    </w:p>
    <w:p>
      <w:pPr>
        <w:shd w:val="clear" w:color="auto" w:fill="auto"/>
        <w:spacing w:line="360" w:lineRule="auto"/>
        <w:ind w:firstLine="200"/>
        <w:jc w:val="center"/>
        <w:rPr>
          <w:rFonts w:hint="eastAsia" w:ascii="宋体" w:hAnsi="宋体" w:cs="宋体"/>
          <w:b/>
          <w:color w:val="auto"/>
          <w:sz w:val="28"/>
          <w:szCs w:val="28"/>
          <w:highlight w:val="none"/>
        </w:rPr>
      </w:pPr>
      <w:r>
        <w:rPr>
          <w:rFonts w:hint="eastAsia" w:ascii="宋体" w:hAnsi="宋体" w:cs="宋体"/>
          <w:b/>
          <w:color w:val="auto"/>
          <w:highlight w:val="none"/>
        </w:rPr>
        <w:br w:type="page"/>
      </w:r>
      <w:r>
        <w:rPr>
          <w:rFonts w:hint="eastAsia" w:ascii="宋体" w:hAnsi="宋体" w:cs="宋体"/>
          <w:b/>
          <w:color w:val="auto"/>
          <w:sz w:val="28"/>
          <w:szCs w:val="28"/>
          <w:highlight w:val="none"/>
        </w:rPr>
        <w:t>第二部分 合同一般条款</w:t>
      </w:r>
      <w:bookmarkEnd w:id="210"/>
    </w:p>
    <w:p>
      <w:pPr>
        <w:shd w:val="clear" w:color="auto" w:fill="auto"/>
        <w:spacing w:line="480" w:lineRule="exact"/>
        <w:ind w:firstLine="422" w:firstLineChars="200"/>
        <w:rPr>
          <w:rFonts w:hint="eastAsia" w:ascii="宋体" w:hAnsi="宋体" w:cs="宋体"/>
          <w:b/>
          <w:color w:val="auto"/>
          <w:szCs w:val="21"/>
          <w:highlight w:val="none"/>
        </w:rPr>
      </w:pPr>
      <w:bookmarkStart w:id="212" w:name="_Ref467378404"/>
      <w:bookmarkStart w:id="213" w:name="_Toc19614"/>
      <w:bookmarkStart w:id="214" w:name="_Ref467378499"/>
      <w:bookmarkStart w:id="215" w:name="_Toc16917"/>
      <w:bookmarkStart w:id="216" w:name="_Ref467379205"/>
      <w:bookmarkStart w:id="217" w:name="_Ref467378463"/>
      <w:bookmarkStart w:id="218" w:name="_Ref467379225"/>
      <w:bookmarkStart w:id="219" w:name="_Toc487900349"/>
      <w:bookmarkStart w:id="220" w:name="_Ref467379101"/>
      <w:bookmarkStart w:id="221" w:name="_Toc259093669"/>
      <w:bookmarkStart w:id="222" w:name="_Ref467379195"/>
      <w:bookmarkStart w:id="223" w:name="_Toc28763"/>
      <w:bookmarkStart w:id="224" w:name="_Ref467379094"/>
      <w:bookmarkStart w:id="225" w:name="_Ref467379109"/>
      <w:bookmarkStart w:id="226" w:name="_Toc279701240"/>
      <w:bookmarkStart w:id="227" w:name="_Ref467379214"/>
      <w:r>
        <w:rPr>
          <w:rFonts w:hint="eastAsia" w:ascii="宋体" w:hAnsi="宋体" w:cs="宋体"/>
          <w:b/>
          <w:color w:val="auto"/>
          <w:szCs w:val="21"/>
          <w:highlight w:val="none"/>
        </w:rPr>
        <w:t>2.1 定义</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本合同中的下列词语应按以下内容进行解释：</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 “合同”系指采购人和中标供应商签订的载明双方当事人所达成的协议，并包括所有的附件、附录和构成合同的其他文件。</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2.1.2 “合同价”系指根据合同约定，中标供应商在完全履行合同义务后，采购人应支付给中标供应商的价格。</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 “标的物”系指中标供应商根据合同约定应向采购人交付的一切各种形态和种类的货物、服务和工程，包括但不限于原材料、燃料、设备、机械、仪表、备件、计算机软件、信息化系统、信息化维保、物业服务、产品等，并包括工具、手册等其他相关资料。</w:t>
      </w:r>
    </w:p>
    <w:p>
      <w:pPr>
        <w:shd w:val="clear" w:color="auto" w:fill="auto"/>
        <w:spacing w:line="480" w:lineRule="exact"/>
        <w:ind w:firstLine="420" w:firstLineChars="200"/>
        <w:rPr>
          <w:rFonts w:hint="eastAsia" w:ascii="宋体" w:hAnsi="宋体" w:cs="宋体"/>
          <w:color w:val="auto"/>
          <w:szCs w:val="21"/>
          <w:highlight w:val="none"/>
        </w:rPr>
      </w:pPr>
      <w:bookmarkStart w:id="228" w:name="_Ref467378840"/>
      <w:r>
        <w:rPr>
          <w:rFonts w:hint="eastAsia" w:ascii="宋体" w:hAnsi="宋体" w:cs="宋体"/>
          <w:color w:val="auto"/>
          <w:szCs w:val="21"/>
          <w:highlight w:val="none"/>
        </w:rPr>
        <w:t>2.1.4 “甲方”系指与中标供应商签署合同的采购人</w:t>
      </w:r>
      <w:bookmarkEnd w:id="228"/>
      <w:r>
        <w:rPr>
          <w:rFonts w:hint="eastAsia" w:ascii="宋体" w:hAnsi="宋体" w:cs="宋体"/>
          <w:color w:val="auto"/>
          <w:szCs w:val="21"/>
          <w:highlight w:val="none"/>
        </w:rPr>
        <w:t>；采购人委托采购代理机构代表其与乙方签订合同的，采购人的授权委托书作为合同附件。</w:t>
      </w:r>
    </w:p>
    <w:p>
      <w:pPr>
        <w:shd w:val="clear" w:color="auto" w:fill="auto"/>
        <w:spacing w:line="480" w:lineRule="exact"/>
        <w:ind w:firstLine="420" w:firstLineChars="200"/>
        <w:rPr>
          <w:rFonts w:hint="eastAsia" w:ascii="宋体" w:hAnsi="宋体" w:cs="宋体"/>
          <w:color w:val="auto"/>
          <w:szCs w:val="21"/>
          <w:highlight w:val="none"/>
        </w:rPr>
      </w:pPr>
      <w:bookmarkStart w:id="229" w:name="_Ref467379400"/>
      <w:r>
        <w:rPr>
          <w:rFonts w:hint="eastAsia" w:ascii="宋体" w:hAnsi="宋体" w:cs="宋体"/>
          <w:color w:val="auto"/>
          <w:szCs w:val="21"/>
          <w:highlight w:val="none"/>
        </w:rPr>
        <w:t>2.1.5 “乙方”系指根据合同约定交付标的物的</w:t>
      </w:r>
      <w:bookmarkEnd w:id="229"/>
      <w:r>
        <w:rPr>
          <w:rFonts w:hint="eastAsia" w:ascii="宋体" w:hAnsi="宋体" w:cs="宋体"/>
          <w:color w:val="auto"/>
          <w:szCs w:val="21"/>
          <w:highlight w:val="none"/>
        </w:rPr>
        <w:t>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hd w:val="clear" w:color="auto" w:fill="auto"/>
        <w:spacing w:line="480" w:lineRule="exact"/>
        <w:ind w:firstLine="420" w:firstLineChars="200"/>
        <w:rPr>
          <w:rFonts w:hint="eastAsia" w:ascii="宋体" w:hAnsi="宋体" w:cs="宋体"/>
          <w:color w:val="auto"/>
          <w:szCs w:val="21"/>
          <w:highlight w:val="none"/>
        </w:rPr>
      </w:pPr>
      <w:bookmarkStart w:id="230" w:name="_Ref467379436"/>
      <w:r>
        <w:rPr>
          <w:rFonts w:hint="eastAsia" w:ascii="宋体" w:hAnsi="宋体" w:cs="宋体"/>
          <w:color w:val="auto"/>
          <w:szCs w:val="21"/>
          <w:highlight w:val="none"/>
        </w:rPr>
        <w:t>2.1.6 “现场”系指合同约定标的物将要运至或者实施或者安装的地点。</w:t>
      </w:r>
      <w:bookmarkEnd w:id="230"/>
    </w:p>
    <w:p>
      <w:pPr>
        <w:shd w:val="clear" w:color="auto" w:fill="auto"/>
        <w:spacing w:line="480" w:lineRule="exact"/>
        <w:ind w:firstLine="422" w:firstLineChars="200"/>
        <w:rPr>
          <w:rFonts w:hint="eastAsia" w:ascii="宋体" w:hAnsi="宋体" w:cs="宋体"/>
          <w:b/>
          <w:color w:val="auto"/>
          <w:szCs w:val="21"/>
          <w:highlight w:val="none"/>
        </w:rPr>
      </w:pPr>
      <w:bookmarkStart w:id="231" w:name="_Toc13336"/>
      <w:bookmarkStart w:id="232" w:name="_Toc32504"/>
      <w:bookmarkStart w:id="233" w:name="_Toc27635"/>
      <w:bookmarkStart w:id="234" w:name="_Toc259093670"/>
      <w:bookmarkStart w:id="235" w:name="_Toc487900350"/>
      <w:bookmarkStart w:id="236" w:name="_Toc279701241"/>
      <w:r>
        <w:rPr>
          <w:rFonts w:hint="eastAsia" w:ascii="宋体" w:hAnsi="宋体" w:cs="宋体"/>
          <w:b/>
          <w:color w:val="auto"/>
          <w:szCs w:val="21"/>
          <w:highlight w:val="none"/>
        </w:rPr>
        <w:t>2.2 技术规范</w:t>
      </w:r>
      <w:bookmarkEnd w:id="231"/>
      <w:bookmarkEnd w:id="232"/>
      <w:bookmarkEnd w:id="233"/>
      <w:bookmarkEnd w:id="234"/>
      <w:bookmarkEnd w:id="235"/>
      <w:bookmarkEnd w:id="236"/>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pPr>
        <w:shd w:val="clear" w:color="auto" w:fill="auto"/>
        <w:spacing w:line="480" w:lineRule="exact"/>
        <w:ind w:firstLine="422" w:firstLineChars="200"/>
        <w:rPr>
          <w:rFonts w:hint="eastAsia" w:ascii="宋体" w:hAnsi="宋体" w:cs="宋体"/>
          <w:b/>
          <w:color w:val="auto"/>
          <w:szCs w:val="21"/>
          <w:highlight w:val="none"/>
        </w:rPr>
      </w:pPr>
      <w:bookmarkStart w:id="237" w:name="_Toc259093671"/>
      <w:bookmarkStart w:id="238" w:name="_Toc487900351"/>
      <w:bookmarkStart w:id="239" w:name="_Toc9829"/>
      <w:bookmarkStart w:id="240" w:name="_Toc31634"/>
      <w:bookmarkStart w:id="241" w:name="_Toc279701242"/>
      <w:bookmarkStart w:id="242" w:name="_Toc27853"/>
      <w:r>
        <w:rPr>
          <w:rFonts w:hint="eastAsia" w:ascii="宋体" w:hAnsi="宋体" w:cs="宋体"/>
          <w:b/>
          <w:color w:val="auto"/>
          <w:szCs w:val="21"/>
          <w:highlight w:val="none"/>
        </w:rPr>
        <w:t>2.3 知识产权</w:t>
      </w:r>
      <w:bookmarkEnd w:id="237"/>
      <w:bookmarkEnd w:id="238"/>
      <w:bookmarkEnd w:id="239"/>
      <w:bookmarkEnd w:id="240"/>
      <w:bookmarkEnd w:id="241"/>
      <w:bookmarkEnd w:id="242"/>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2.3.2具有知识产权的计算机软件等标的物的知识产权归属，详见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43" w:name="_Toc29149"/>
      <w:bookmarkStart w:id="244" w:name="_Toc11932"/>
      <w:bookmarkStart w:id="245" w:name="_Toc4194"/>
      <w:r>
        <w:rPr>
          <w:rFonts w:hint="eastAsia" w:ascii="宋体" w:hAnsi="宋体" w:cs="宋体"/>
          <w:b/>
          <w:color w:val="auto"/>
          <w:szCs w:val="21"/>
          <w:highlight w:val="none"/>
        </w:rPr>
        <w:t>2.4 包装和装运</w:t>
      </w:r>
      <w:bookmarkEnd w:id="243"/>
      <w:bookmarkEnd w:id="244"/>
      <w:bookmarkEnd w:id="245"/>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2.4.1除</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2.4.2 装运标的物的要求和通知，详见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46" w:name="_Ref467379542"/>
      <w:bookmarkStart w:id="247" w:name="_Ref467379527"/>
      <w:bookmarkStart w:id="248" w:name="_Ref467378591"/>
      <w:bookmarkStart w:id="249" w:name="_Toc487900354"/>
      <w:bookmarkStart w:id="250" w:name="_Ref467378541"/>
      <w:bookmarkStart w:id="251" w:name="_Ref467379536"/>
      <w:bookmarkStart w:id="252" w:name="_Toc279701245"/>
      <w:bookmarkStart w:id="253" w:name="_Toc259093674"/>
      <w:bookmarkStart w:id="254" w:name="_Toc26182"/>
      <w:bookmarkStart w:id="255" w:name="_Toc30272"/>
      <w:bookmarkStart w:id="256" w:name="_Toc19074"/>
      <w:r>
        <w:rPr>
          <w:rFonts w:hint="eastAsia" w:ascii="宋体" w:hAnsi="宋体" w:cs="宋体"/>
          <w:b/>
          <w:color w:val="auto"/>
          <w:szCs w:val="21"/>
          <w:highlight w:val="none"/>
        </w:rPr>
        <w:t>2.</w:t>
      </w:r>
      <w:bookmarkEnd w:id="246"/>
      <w:bookmarkEnd w:id="247"/>
      <w:bookmarkEnd w:id="248"/>
      <w:bookmarkEnd w:id="249"/>
      <w:bookmarkEnd w:id="250"/>
      <w:bookmarkEnd w:id="251"/>
      <w:bookmarkEnd w:id="252"/>
      <w:bookmarkEnd w:id="253"/>
      <w:r>
        <w:rPr>
          <w:rFonts w:hint="eastAsia" w:ascii="宋体" w:hAnsi="宋体" w:cs="宋体"/>
          <w:b/>
          <w:color w:val="auto"/>
          <w:szCs w:val="21"/>
          <w:highlight w:val="none"/>
        </w:rPr>
        <w:t>5 履约检查和问题反馈</w:t>
      </w:r>
      <w:bookmarkEnd w:id="254"/>
      <w:bookmarkEnd w:id="255"/>
      <w:bookmarkEnd w:id="256"/>
    </w:p>
    <w:p>
      <w:pPr>
        <w:shd w:val="clear" w:color="auto" w:fill="auto"/>
        <w:spacing w:line="480" w:lineRule="exact"/>
        <w:ind w:firstLine="420" w:firstLineChars="200"/>
        <w:rPr>
          <w:rFonts w:hint="eastAsia" w:ascii="宋体" w:hAnsi="宋体" w:cs="宋体"/>
          <w:color w:val="auto"/>
          <w:szCs w:val="21"/>
          <w:highlight w:val="none"/>
        </w:rPr>
      </w:pPr>
      <w:bookmarkStart w:id="257" w:name="_Ref467379657"/>
      <w:r>
        <w:rPr>
          <w:rFonts w:hint="eastAsia" w:ascii="宋体" w:hAnsi="宋体" w:cs="宋体"/>
          <w:color w:val="auto"/>
          <w:szCs w:val="21"/>
          <w:highlight w:val="none"/>
        </w:rPr>
        <w:t>2.5.1</w:t>
      </w:r>
      <w:bookmarkEnd w:id="257"/>
      <w:bookmarkStart w:id="258" w:name="_Toc186431854"/>
      <w:bookmarkStart w:id="259" w:name="_Toc279701247"/>
      <w:bookmarkStart w:id="260" w:name="_Toc259093676"/>
      <w:bookmarkStart w:id="261" w:name="_Ref467379807"/>
      <w:bookmarkStart w:id="262" w:name="_Ref467379793"/>
      <w:bookmarkStart w:id="263" w:name="_Toc487900357"/>
      <w:r>
        <w:rPr>
          <w:rFonts w:hint="eastAsia" w:ascii="宋体" w:hAnsi="宋体" w:cs="宋体"/>
          <w:color w:val="auto"/>
          <w:szCs w:val="21"/>
          <w:highlight w:val="none"/>
        </w:rPr>
        <w:t>甲方有权在其认为必要时，对乙方是否能够按照合同约定交付标的物进行履约检查，以确保乙方所交付的标的物能够依约满足甲方之项目需求，但不得因履约检查妨碍乙方的正常工作，乙方应予积极配合；</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2.5.2 合同履行期间，甲方有权将履行过程中出现的问题反馈给乙方，双方当事人应以书面形式约定需要完善和改进的内容</w:t>
      </w:r>
      <w:bookmarkEnd w:id="258"/>
      <w:bookmarkStart w:id="264" w:name="_Toc186431855"/>
      <w:r>
        <w:rPr>
          <w:rFonts w:hint="eastAsia" w:ascii="宋体" w:hAnsi="宋体" w:cs="宋体"/>
          <w:color w:val="auto"/>
          <w:szCs w:val="21"/>
          <w:highlight w:val="none"/>
        </w:rPr>
        <w:t>。</w:t>
      </w:r>
    </w:p>
    <w:bookmarkEnd w:id="264"/>
    <w:p>
      <w:pPr>
        <w:shd w:val="clear" w:color="auto" w:fill="auto"/>
        <w:spacing w:line="480" w:lineRule="exact"/>
        <w:ind w:firstLine="422" w:firstLineChars="200"/>
        <w:rPr>
          <w:rFonts w:hint="eastAsia" w:ascii="宋体" w:hAnsi="宋体" w:cs="宋体"/>
          <w:b/>
          <w:color w:val="auto"/>
          <w:szCs w:val="21"/>
          <w:highlight w:val="none"/>
        </w:rPr>
      </w:pPr>
      <w:bookmarkStart w:id="265" w:name="_Toc28451"/>
      <w:bookmarkStart w:id="266" w:name="_Toc19219"/>
      <w:bookmarkStart w:id="267" w:name="_Toc7836"/>
      <w:r>
        <w:rPr>
          <w:rFonts w:hint="eastAsia" w:ascii="宋体" w:hAnsi="宋体" w:cs="宋体"/>
          <w:b/>
          <w:color w:val="auto"/>
          <w:szCs w:val="21"/>
          <w:highlight w:val="none"/>
        </w:rPr>
        <w:t>2.6 结算方式和付款条件</w:t>
      </w:r>
      <w:bookmarkEnd w:id="259"/>
      <w:bookmarkEnd w:id="260"/>
      <w:bookmarkEnd w:id="261"/>
      <w:bookmarkEnd w:id="262"/>
      <w:bookmarkEnd w:id="263"/>
      <w:bookmarkEnd w:id="265"/>
      <w:bookmarkEnd w:id="266"/>
      <w:bookmarkEnd w:id="267"/>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68" w:name="_Ref467379863"/>
      <w:bookmarkStart w:id="269" w:name="_Ref467379923"/>
      <w:bookmarkStart w:id="270" w:name="_Toc279701248"/>
      <w:bookmarkStart w:id="271" w:name="_Toc259093677"/>
      <w:bookmarkStart w:id="272" w:name="_Toc487900358"/>
      <w:bookmarkStart w:id="273" w:name="_Ref467379852"/>
      <w:bookmarkStart w:id="274" w:name="_Toc16110"/>
      <w:bookmarkStart w:id="275" w:name="_Toc3225"/>
      <w:bookmarkStart w:id="276" w:name="_Toc774"/>
      <w:r>
        <w:rPr>
          <w:rFonts w:hint="eastAsia" w:ascii="宋体" w:hAnsi="宋体" w:cs="宋体"/>
          <w:b/>
          <w:color w:val="auto"/>
          <w:szCs w:val="21"/>
          <w:highlight w:val="none"/>
        </w:rPr>
        <w:t>2.7 技术资料</w:t>
      </w:r>
      <w:bookmarkEnd w:id="268"/>
      <w:bookmarkEnd w:id="269"/>
      <w:bookmarkEnd w:id="270"/>
      <w:bookmarkEnd w:id="271"/>
      <w:bookmarkEnd w:id="272"/>
      <w:bookmarkEnd w:id="273"/>
      <w:r>
        <w:rPr>
          <w:rFonts w:hint="eastAsia" w:ascii="宋体" w:hAnsi="宋体" w:cs="宋体"/>
          <w:b/>
          <w:color w:val="auto"/>
          <w:szCs w:val="21"/>
          <w:highlight w:val="none"/>
        </w:rPr>
        <w:t>和保密义务</w:t>
      </w:r>
      <w:bookmarkEnd w:id="274"/>
      <w:bookmarkEnd w:id="275"/>
      <w:bookmarkEnd w:id="276"/>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2.7.1 乙方有权依据合同约定和项目需要，向甲方了解有关情况，调阅有关资料等，甲方应予积极配合；</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2.7.2 乙方有义务妥善保管和保护由甲方提供的前款信息和资料等；</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pPr>
        <w:shd w:val="clear" w:color="auto" w:fill="auto"/>
        <w:spacing w:line="480" w:lineRule="exact"/>
        <w:ind w:firstLine="422" w:firstLineChars="200"/>
        <w:rPr>
          <w:rFonts w:hint="eastAsia" w:ascii="宋体" w:hAnsi="宋体" w:cs="宋体"/>
          <w:b/>
          <w:color w:val="auto"/>
          <w:szCs w:val="21"/>
          <w:highlight w:val="none"/>
        </w:rPr>
      </w:pPr>
      <w:bookmarkStart w:id="277" w:name="_Toc7860"/>
      <w:r>
        <w:rPr>
          <w:rFonts w:hint="eastAsia" w:ascii="宋体" w:hAnsi="宋体" w:cs="宋体"/>
          <w:b/>
          <w:color w:val="auto"/>
          <w:szCs w:val="21"/>
          <w:highlight w:val="none"/>
        </w:rPr>
        <w:t>2.8 质量保证</w:t>
      </w:r>
      <w:bookmarkEnd w:id="277"/>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2.8.1 乙方应建立和完善履行合同的内部质量保证体系，并提供相关内部规章制度给甲方，以便甲方进行监督检查；</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2.8.2 乙方应保证履行合同的人员数量和素质、软件和硬件设备的配置、场地、环境和设施等满足全面履行合同的要求，并应接受甲方的监督检查。</w:t>
      </w:r>
    </w:p>
    <w:p>
      <w:pPr>
        <w:shd w:val="clear" w:color="auto" w:fill="auto"/>
        <w:spacing w:line="480" w:lineRule="exact"/>
        <w:ind w:firstLine="420" w:firstLineChars="200"/>
        <w:rPr>
          <w:rFonts w:hint="eastAsia" w:ascii="宋体" w:hAnsi="宋体" w:cs="宋体"/>
          <w:color w:val="auto"/>
          <w:kern w:val="0"/>
          <w:szCs w:val="21"/>
          <w:highlight w:val="none"/>
        </w:rPr>
      </w:pPr>
      <w:r>
        <w:rPr>
          <w:rFonts w:hint="eastAsia" w:ascii="宋体" w:hAnsi="宋体" w:cs="宋体"/>
          <w:color w:val="auto"/>
          <w:szCs w:val="21"/>
          <w:highlight w:val="none"/>
        </w:rPr>
        <w:t>2.8.3乙方应确保项目技术人员的数量和水平与投标文件一致。未经甲方书面同意，乙方不得擅自更换投标文件中注明的项目经理和技术负责人。否则</w:t>
      </w:r>
      <w:r>
        <w:rPr>
          <w:rFonts w:hint="eastAsia" w:ascii="宋体" w:hAnsi="宋体" w:cs="宋体"/>
          <w:color w:val="auto"/>
          <w:kern w:val="0"/>
          <w:szCs w:val="21"/>
          <w:highlight w:val="none"/>
        </w:rPr>
        <w:t>甲方有权放弃或终止合同，并没收履约保证金</w:t>
      </w:r>
      <w:r>
        <w:rPr>
          <w:rFonts w:hint="eastAsia" w:ascii="宋体" w:hAnsi="宋体" w:cs="宋体"/>
          <w:color w:val="auto"/>
          <w:szCs w:val="21"/>
          <w:highlight w:val="none"/>
        </w:rPr>
        <w:t>（如有）</w:t>
      </w:r>
      <w:r>
        <w:rPr>
          <w:rFonts w:hint="eastAsia" w:ascii="宋体" w:hAnsi="宋体" w:cs="宋体"/>
          <w:color w:val="auto"/>
          <w:kern w:val="0"/>
          <w:szCs w:val="21"/>
          <w:highlight w:val="none"/>
        </w:rPr>
        <w:t>。</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2.8.4因乙方原因造成甲方其他系统不能正常运行，酿成重大事故（工作日系统中断一天以上）的，乙方应承担全部法律责任，并赔偿经济损失，赔偿金额为项目总价的</w:t>
      </w:r>
      <w:r>
        <w:rPr>
          <w:rFonts w:hint="eastAsia" w:ascii="宋体" w:hAnsi="宋体" w:cs="宋体"/>
          <w:color w:val="auto"/>
          <w:szCs w:val="21"/>
          <w:highlight w:val="none"/>
          <w:u w:val="single"/>
        </w:rPr>
        <w:t>30%</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78" w:name="_Toc17244"/>
      <w:bookmarkStart w:id="279" w:name="_Toc259093681"/>
      <w:bookmarkStart w:id="280" w:name="_Toc279701252"/>
      <w:bookmarkStart w:id="281" w:name="_Toc487900362"/>
      <w:r>
        <w:rPr>
          <w:rFonts w:hint="eastAsia" w:ascii="宋体" w:hAnsi="宋体" w:cs="宋体"/>
          <w:b/>
          <w:color w:val="auto"/>
          <w:szCs w:val="21"/>
          <w:highlight w:val="none"/>
        </w:rPr>
        <w:t>2.9 标的物的风险负担</w:t>
      </w:r>
      <w:bookmarkEnd w:id="278"/>
    </w:p>
    <w:p>
      <w:pPr>
        <w:shd w:val="clear" w:color="auto" w:fill="auto"/>
        <w:spacing w:line="48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标的物或者在途标的物或者交付给第一承运人后的标的物毁损、灭失的风险负担详见</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w:t>
      </w:r>
    </w:p>
    <w:p>
      <w:pPr>
        <w:shd w:val="clear" w:color="auto" w:fill="auto"/>
        <w:spacing w:line="480" w:lineRule="exact"/>
        <w:ind w:firstLine="422" w:firstLineChars="200"/>
        <w:rPr>
          <w:rFonts w:hint="eastAsia" w:ascii="宋体" w:hAnsi="宋体" w:cs="宋体"/>
          <w:b/>
          <w:color w:val="auto"/>
          <w:szCs w:val="21"/>
          <w:highlight w:val="none"/>
        </w:rPr>
      </w:pPr>
      <w:bookmarkStart w:id="282" w:name="_Toc14055"/>
      <w:r>
        <w:rPr>
          <w:rFonts w:hint="eastAsia" w:ascii="宋体" w:hAnsi="宋体" w:cs="宋体"/>
          <w:b/>
          <w:color w:val="auto"/>
          <w:szCs w:val="21"/>
          <w:highlight w:val="none"/>
        </w:rPr>
        <w:t>2.10 延迟</w:t>
      </w:r>
      <w:bookmarkEnd w:id="279"/>
      <w:bookmarkEnd w:id="280"/>
      <w:bookmarkEnd w:id="281"/>
      <w:bookmarkEnd w:id="282"/>
      <w:r>
        <w:rPr>
          <w:rFonts w:hint="eastAsia" w:ascii="宋体" w:hAnsi="宋体" w:cs="宋体"/>
          <w:b/>
          <w:color w:val="auto"/>
          <w:szCs w:val="21"/>
          <w:highlight w:val="none"/>
        </w:rPr>
        <w:t>交付</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在合同履行过程中，如果乙方遇到不能按时交付标的物的情况，应及时以书面形式将不能按时交付标的物的理由、逾期延误时间通知甲方；甲方收到乙方通知后，认为其理由正当的，可以书面形式酌情同意乙方可以延长交付的具体时间。</w:t>
      </w:r>
    </w:p>
    <w:p>
      <w:pPr>
        <w:shd w:val="clear" w:color="auto" w:fill="auto"/>
        <w:spacing w:line="480" w:lineRule="exact"/>
        <w:ind w:firstLine="422" w:firstLineChars="200"/>
        <w:rPr>
          <w:rFonts w:hint="eastAsia" w:ascii="宋体" w:hAnsi="宋体" w:cs="宋体"/>
          <w:b/>
          <w:color w:val="auto"/>
          <w:szCs w:val="21"/>
          <w:highlight w:val="none"/>
        </w:rPr>
      </w:pPr>
      <w:bookmarkStart w:id="283" w:name="_Toc7502"/>
      <w:bookmarkStart w:id="284" w:name="_Toc279701254"/>
      <w:bookmarkStart w:id="285" w:name="_Ref467378121"/>
      <w:bookmarkStart w:id="286" w:name="_Toc259093683"/>
      <w:bookmarkStart w:id="287" w:name="_Toc487900364"/>
      <w:r>
        <w:rPr>
          <w:rFonts w:hint="eastAsia" w:ascii="宋体" w:hAnsi="宋体" w:cs="宋体"/>
          <w:b/>
          <w:color w:val="auto"/>
          <w:szCs w:val="21"/>
          <w:highlight w:val="none"/>
        </w:rPr>
        <w:t>2.11 合同变更</w:t>
      </w:r>
      <w:bookmarkEnd w:id="283"/>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2.11.2 合同继续履行将损害国家利益和社会公共利益的，双方当事人应当以书面形式变更合同。有过错的一方应当承担赔偿责任，双方当事人都有过错的，各自承担相应的责任。</w:t>
      </w:r>
      <w:bookmarkStart w:id="288" w:name="_Toc279701259"/>
      <w:bookmarkStart w:id="289" w:name="_Toc259093688"/>
      <w:bookmarkStart w:id="290" w:name="_Toc487900369"/>
    </w:p>
    <w:p>
      <w:pPr>
        <w:shd w:val="clear" w:color="auto" w:fill="auto"/>
        <w:spacing w:line="480" w:lineRule="exact"/>
        <w:ind w:firstLine="422" w:firstLineChars="200"/>
        <w:rPr>
          <w:rFonts w:hint="eastAsia" w:ascii="宋体" w:hAnsi="宋体" w:cs="宋体"/>
          <w:b/>
          <w:color w:val="auto"/>
          <w:szCs w:val="21"/>
          <w:highlight w:val="none"/>
        </w:rPr>
      </w:pPr>
      <w:bookmarkStart w:id="291" w:name="_Toc15237"/>
      <w:bookmarkStart w:id="292" w:name="_Toc22955"/>
      <w:bookmarkStart w:id="293" w:name="_Toc10366"/>
      <w:r>
        <w:rPr>
          <w:rFonts w:hint="eastAsia" w:ascii="宋体" w:hAnsi="宋体" w:cs="宋体"/>
          <w:b/>
          <w:color w:val="auto"/>
          <w:szCs w:val="21"/>
          <w:highlight w:val="none"/>
        </w:rPr>
        <w:t>2.12 合同转让</w:t>
      </w:r>
      <w:bookmarkEnd w:id="288"/>
      <w:bookmarkEnd w:id="289"/>
      <w:bookmarkEnd w:id="290"/>
      <w:r>
        <w:rPr>
          <w:rFonts w:hint="eastAsia" w:ascii="宋体" w:hAnsi="宋体" w:cs="宋体"/>
          <w:b/>
          <w:color w:val="auto"/>
          <w:szCs w:val="21"/>
          <w:highlight w:val="none"/>
        </w:rPr>
        <w:t>和分包</w:t>
      </w:r>
      <w:bookmarkEnd w:id="291"/>
      <w:bookmarkEnd w:id="292"/>
      <w:bookmarkEnd w:id="293"/>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pPr>
        <w:shd w:val="clear" w:color="auto" w:fill="auto"/>
        <w:spacing w:line="480" w:lineRule="exact"/>
        <w:ind w:firstLine="422" w:firstLineChars="200"/>
        <w:rPr>
          <w:rFonts w:hint="eastAsia" w:ascii="宋体" w:hAnsi="宋体" w:cs="宋体"/>
          <w:b/>
          <w:color w:val="auto"/>
          <w:szCs w:val="21"/>
          <w:highlight w:val="none"/>
        </w:rPr>
      </w:pPr>
      <w:bookmarkStart w:id="294" w:name="_Toc13566"/>
      <w:bookmarkStart w:id="295" w:name="_Toc16508"/>
      <w:bookmarkStart w:id="296" w:name="_Toc14066"/>
      <w:r>
        <w:rPr>
          <w:rFonts w:hint="eastAsia" w:ascii="宋体" w:hAnsi="宋体" w:cs="宋体"/>
          <w:b/>
          <w:color w:val="auto"/>
          <w:szCs w:val="21"/>
          <w:highlight w:val="none"/>
        </w:rPr>
        <w:t>2.13 不可抗力</w:t>
      </w:r>
      <w:bookmarkEnd w:id="294"/>
      <w:bookmarkEnd w:id="295"/>
      <w:bookmarkEnd w:id="296"/>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2.13.1如果任何一方遭遇法律规定的不可抗力，致使合同履行受阻时，履行合同的期限应予延长，延长的期限应相当于不可抗力所影响的时间；</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2.13.2受不可抗力影响的一方在不可抗力发生后，应在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约定时间内以书面形式通知对方当事人，并在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约定时间内，将有关部门出具的证明文件送达对方当事人。</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2.13.3 因不可抗力致使不能实现合同目的的，当事人可以解除合同；</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2.13.4 因不可抗力致使合同有变更必要的，双方当事人应在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约定时间内以书面形式变更合同；</w:t>
      </w:r>
    </w:p>
    <w:p>
      <w:pPr>
        <w:shd w:val="clear" w:color="auto" w:fill="auto"/>
        <w:spacing w:line="480" w:lineRule="exact"/>
        <w:ind w:firstLine="422" w:firstLineChars="200"/>
        <w:rPr>
          <w:rFonts w:hint="eastAsia" w:ascii="宋体" w:hAnsi="宋体" w:cs="宋体"/>
          <w:b/>
          <w:color w:val="auto"/>
          <w:szCs w:val="21"/>
          <w:highlight w:val="none"/>
        </w:rPr>
      </w:pPr>
      <w:bookmarkStart w:id="297" w:name="_Toc259093684"/>
      <w:bookmarkStart w:id="298" w:name="_Toc6969"/>
      <w:bookmarkStart w:id="299" w:name="_Toc487900365"/>
      <w:bookmarkStart w:id="300" w:name="_Toc689"/>
      <w:bookmarkStart w:id="301" w:name="_Toc279701255"/>
      <w:bookmarkStart w:id="302" w:name="_Toc30676"/>
      <w:r>
        <w:rPr>
          <w:rFonts w:hint="eastAsia" w:ascii="宋体" w:hAnsi="宋体" w:cs="宋体"/>
          <w:b/>
          <w:color w:val="auto"/>
          <w:szCs w:val="21"/>
          <w:highlight w:val="none"/>
        </w:rPr>
        <w:t>2.14 税费</w:t>
      </w:r>
      <w:bookmarkEnd w:id="297"/>
      <w:bookmarkEnd w:id="298"/>
      <w:bookmarkEnd w:id="299"/>
      <w:bookmarkEnd w:id="300"/>
      <w:bookmarkEnd w:id="301"/>
      <w:bookmarkEnd w:id="302"/>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与合同有关的一切税费，均按照中华人民共和国法律的相关规定执行。</w:t>
      </w:r>
    </w:p>
    <w:p>
      <w:pPr>
        <w:shd w:val="clear" w:color="auto" w:fill="auto"/>
        <w:spacing w:line="480" w:lineRule="exact"/>
        <w:ind w:firstLine="422" w:firstLineChars="200"/>
        <w:rPr>
          <w:rFonts w:hint="eastAsia" w:ascii="宋体" w:hAnsi="宋体" w:cs="宋体"/>
          <w:b/>
          <w:color w:val="auto"/>
          <w:szCs w:val="21"/>
          <w:highlight w:val="none"/>
        </w:rPr>
      </w:pPr>
      <w:bookmarkStart w:id="303" w:name="_Toc279701258"/>
      <w:bookmarkStart w:id="304" w:name="_Toc16959"/>
      <w:bookmarkStart w:id="305" w:name="_Toc259093687"/>
      <w:bookmarkStart w:id="306" w:name="_Toc487900368"/>
      <w:bookmarkStart w:id="307" w:name="_Toc7102"/>
      <w:bookmarkStart w:id="308" w:name="_Toc8298"/>
      <w:r>
        <w:rPr>
          <w:rFonts w:hint="eastAsia" w:ascii="宋体" w:hAnsi="宋体" w:cs="宋体"/>
          <w:b/>
          <w:color w:val="auto"/>
          <w:szCs w:val="21"/>
          <w:highlight w:val="none"/>
        </w:rPr>
        <w:t>2.15 乙方破产</w:t>
      </w:r>
      <w:bookmarkEnd w:id="303"/>
      <w:bookmarkEnd w:id="304"/>
      <w:bookmarkEnd w:id="305"/>
      <w:bookmarkEnd w:id="306"/>
      <w:bookmarkEnd w:id="307"/>
      <w:bookmarkEnd w:id="308"/>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hd w:val="clear" w:color="auto" w:fill="auto"/>
        <w:spacing w:line="480" w:lineRule="exact"/>
        <w:ind w:firstLine="422" w:firstLineChars="200"/>
        <w:rPr>
          <w:rFonts w:hint="eastAsia" w:ascii="宋体" w:hAnsi="宋体" w:cs="宋体"/>
          <w:b/>
          <w:color w:val="auto"/>
          <w:szCs w:val="21"/>
          <w:highlight w:val="none"/>
        </w:rPr>
      </w:pPr>
      <w:bookmarkStart w:id="309" w:name="_Toc15387"/>
      <w:bookmarkStart w:id="310" w:name="_Toc29333"/>
      <w:bookmarkStart w:id="311" w:name="_Toc6134"/>
      <w:r>
        <w:rPr>
          <w:rFonts w:hint="eastAsia" w:ascii="宋体" w:hAnsi="宋体" w:cs="宋体"/>
          <w:b/>
          <w:color w:val="auto"/>
          <w:szCs w:val="21"/>
          <w:highlight w:val="none"/>
        </w:rPr>
        <w:t>2.16 合同中止、终止</w:t>
      </w:r>
      <w:bookmarkEnd w:id="309"/>
      <w:bookmarkEnd w:id="310"/>
      <w:bookmarkEnd w:id="311"/>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2.16.1 双方当事人不得擅自中止或者终止合同；</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2.16.2合同继续履行将损害国家利益和社会公共利益的，双方当事人应当中止或者终止合同。有过错的一方应当承担赔偿责任，双方当事人都有过错的，各自承担相应的责任。</w:t>
      </w:r>
    </w:p>
    <w:p>
      <w:pPr>
        <w:shd w:val="clear" w:color="auto" w:fill="auto"/>
        <w:spacing w:line="480" w:lineRule="exact"/>
        <w:ind w:firstLine="422" w:firstLineChars="200"/>
        <w:rPr>
          <w:rFonts w:hint="eastAsia" w:ascii="宋体" w:hAnsi="宋体" w:cs="宋体"/>
          <w:b/>
          <w:color w:val="auto"/>
          <w:szCs w:val="21"/>
          <w:highlight w:val="none"/>
        </w:rPr>
      </w:pPr>
      <w:bookmarkStart w:id="312" w:name="_Toc14563"/>
      <w:bookmarkStart w:id="313" w:name="_Toc1125"/>
      <w:bookmarkStart w:id="314" w:name="_Toc6596"/>
      <w:r>
        <w:rPr>
          <w:rFonts w:hint="eastAsia" w:ascii="宋体" w:hAnsi="宋体" w:cs="宋体"/>
          <w:b/>
          <w:color w:val="auto"/>
          <w:szCs w:val="21"/>
          <w:highlight w:val="none"/>
        </w:rPr>
        <w:t>2.17 检验和验收</w:t>
      </w:r>
      <w:bookmarkEnd w:id="312"/>
      <w:bookmarkEnd w:id="313"/>
      <w:bookmarkEnd w:id="314"/>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b/>
          <w:i/>
          <w:color w:val="auto"/>
          <w:szCs w:val="21"/>
          <w:highlight w:val="none"/>
          <w:u w:val="single"/>
        </w:rPr>
        <w:t>合同专用条款</w:t>
      </w:r>
      <w:r>
        <w:rPr>
          <w:rFonts w:hint="eastAsia" w:ascii="宋体" w:hAnsi="宋体" w:cs="宋体"/>
          <w:color w:val="auto"/>
          <w:szCs w:val="21"/>
          <w:highlight w:val="none"/>
        </w:rPr>
        <w:t>约定时间内发起验收，并可依法邀请相关方参加，验收应出具验收书。</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2.17.3 检验和验收标准、程序等具体内容以及前述验收书的效力详见</w:t>
      </w:r>
      <w:r>
        <w:rPr>
          <w:rFonts w:hint="eastAsia" w:ascii="宋体" w:hAnsi="宋体" w:cs="宋体"/>
          <w:b/>
          <w:i/>
          <w:color w:val="auto"/>
          <w:szCs w:val="21"/>
          <w:highlight w:val="none"/>
          <w:u w:val="single"/>
        </w:rPr>
        <w:t>合同专用条款</w:t>
      </w:r>
      <w:r>
        <w:rPr>
          <w:rFonts w:hint="eastAsia" w:ascii="宋体" w:hAnsi="宋体" w:cs="宋体"/>
          <w:i/>
          <w:color w:val="auto"/>
          <w:szCs w:val="21"/>
          <w:highlight w:val="none"/>
        </w:rPr>
        <w:t>。</w:t>
      </w:r>
    </w:p>
    <w:bookmarkEnd w:id="284"/>
    <w:bookmarkEnd w:id="285"/>
    <w:bookmarkEnd w:id="286"/>
    <w:bookmarkEnd w:id="287"/>
    <w:p>
      <w:pPr>
        <w:shd w:val="clear" w:color="auto" w:fill="auto"/>
        <w:spacing w:line="480" w:lineRule="exact"/>
        <w:ind w:firstLine="422" w:firstLineChars="200"/>
        <w:rPr>
          <w:rFonts w:hint="eastAsia" w:ascii="宋体" w:hAnsi="宋体" w:cs="宋体"/>
          <w:b/>
          <w:color w:val="auto"/>
          <w:szCs w:val="21"/>
          <w:highlight w:val="none"/>
        </w:rPr>
      </w:pPr>
      <w:bookmarkStart w:id="315" w:name="_Toc259093690"/>
      <w:bookmarkStart w:id="316" w:name="_Toc487900371"/>
      <w:bookmarkStart w:id="317" w:name="_Toc279701261"/>
      <w:bookmarkStart w:id="318" w:name="_Toc11284"/>
      <w:bookmarkStart w:id="319" w:name="_Toc19604"/>
      <w:bookmarkStart w:id="320" w:name="_Toc25182"/>
      <w:r>
        <w:rPr>
          <w:rFonts w:hint="eastAsia" w:ascii="宋体" w:hAnsi="宋体" w:cs="宋体"/>
          <w:b/>
          <w:color w:val="auto"/>
          <w:szCs w:val="21"/>
          <w:highlight w:val="none"/>
        </w:rPr>
        <w:t>2.18 通知</w:t>
      </w:r>
      <w:bookmarkEnd w:id="315"/>
      <w:bookmarkEnd w:id="316"/>
      <w:bookmarkEnd w:id="317"/>
      <w:r>
        <w:rPr>
          <w:rFonts w:hint="eastAsia" w:ascii="宋体" w:hAnsi="宋体" w:cs="宋体"/>
          <w:b/>
          <w:color w:val="auto"/>
          <w:szCs w:val="21"/>
          <w:highlight w:val="none"/>
        </w:rPr>
        <w:t>和送达</w:t>
      </w:r>
      <w:bookmarkEnd w:id="318"/>
      <w:bookmarkEnd w:id="319"/>
      <w:bookmarkEnd w:id="320"/>
    </w:p>
    <w:p>
      <w:pPr>
        <w:shd w:val="clear" w:color="auto" w:fill="auto"/>
        <w:spacing w:line="480" w:lineRule="exact"/>
        <w:ind w:firstLine="420" w:firstLineChars="200"/>
        <w:rPr>
          <w:rFonts w:hint="eastAsia" w:ascii="宋体" w:hAnsi="宋体" w:cs="宋体"/>
          <w:color w:val="auto"/>
          <w:szCs w:val="21"/>
          <w:highlight w:val="none"/>
        </w:rPr>
      </w:pPr>
      <w:bookmarkStart w:id="321" w:name="_Toc3135"/>
      <w:bookmarkStart w:id="322" w:name="_Toc6698"/>
      <w:bookmarkStart w:id="323" w:name="_Toc279701262"/>
      <w:bookmarkStart w:id="324" w:name="_Toc259093691"/>
      <w:bookmarkStart w:id="325" w:name="_Toc487900372"/>
      <w:r>
        <w:rPr>
          <w:rFonts w:hint="eastAsia" w:ascii="宋体" w:hAnsi="宋体" w:cs="宋体"/>
          <w:color w:val="auto"/>
          <w:szCs w:val="21"/>
          <w:highlight w:val="none"/>
        </w:rPr>
        <w:t>2.18.1 任何一方因履行合同而以合同第一部分尾部所列明的</w:t>
      </w:r>
      <w:r>
        <w:rPr>
          <w:rFonts w:hint="eastAsia" w:ascii="宋体" w:hAnsi="宋体" w:cs="宋体"/>
          <w:color w:val="auto"/>
          <w:szCs w:val="21"/>
          <w:highlight w:val="none"/>
          <w:u w:val="single"/>
        </w:rPr>
        <w:t>“约定送达地址”</w:t>
      </w:r>
      <w:r>
        <w:rPr>
          <w:rFonts w:hint="eastAsia" w:ascii="宋体" w:hAnsi="宋体" w:cs="宋体"/>
          <w:color w:val="auto"/>
          <w:szCs w:val="21"/>
          <w:highlight w:val="none"/>
        </w:rPr>
        <w:t>为收件地址的所有通知、文件、材料，均视为已向对方当事人送达；任何一方变更上述送达方式或者地址的，应于</w:t>
      </w:r>
      <w:r>
        <w:rPr>
          <w:rFonts w:hint="eastAsia" w:ascii="宋体" w:hAnsi="宋体" w:cs="宋体"/>
          <w:color w:val="auto"/>
          <w:szCs w:val="21"/>
          <w:highlight w:val="none"/>
          <w:u w:val="single"/>
        </w:rPr>
        <w:t>1</w:t>
      </w:r>
      <w:r>
        <w:rPr>
          <w:rFonts w:hint="eastAsia" w:ascii="宋体" w:hAnsi="宋体" w:cs="宋体"/>
          <w:color w:val="auto"/>
          <w:szCs w:val="21"/>
          <w:highlight w:val="none"/>
        </w:rPr>
        <w:t>个工作日内书面通知对方当事人，在对方当事人收到有关变更通知之前，变更前的约定送达方式或者地址仍视为有效。</w:t>
      </w:r>
      <w:bookmarkEnd w:id="321"/>
      <w:bookmarkEnd w:id="322"/>
    </w:p>
    <w:p>
      <w:pPr>
        <w:shd w:val="clear" w:color="auto" w:fill="auto"/>
        <w:spacing w:line="480" w:lineRule="exact"/>
        <w:ind w:firstLine="420" w:firstLineChars="200"/>
        <w:rPr>
          <w:rFonts w:hint="eastAsia" w:ascii="宋体" w:hAnsi="宋体" w:cs="宋体"/>
          <w:color w:val="auto"/>
          <w:szCs w:val="21"/>
          <w:highlight w:val="none"/>
        </w:rPr>
      </w:pPr>
      <w:bookmarkStart w:id="326" w:name="_Toc23294"/>
      <w:bookmarkStart w:id="327" w:name="_Toc23128"/>
      <w:r>
        <w:rPr>
          <w:rFonts w:hint="eastAsia" w:ascii="宋体" w:hAnsi="宋体" w:cs="宋体"/>
          <w:color w:val="auto"/>
          <w:szCs w:val="21"/>
          <w:highlight w:val="none"/>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326"/>
      <w:bookmarkEnd w:id="327"/>
    </w:p>
    <w:p>
      <w:pPr>
        <w:shd w:val="clear" w:color="auto" w:fill="auto"/>
        <w:spacing w:line="480" w:lineRule="exact"/>
        <w:ind w:firstLine="422" w:firstLineChars="200"/>
        <w:rPr>
          <w:rFonts w:hint="eastAsia" w:ascii="宋体" w:hAnsi="宋体" w:cs="宋体"/>
          <w:b/>
          <w:color w:val="auto"/>
          <w:szCs w:val="21"/>
          <w:highlight w:val="none"/>
        </w:rPr>
      </w:pPr>
      <w:bookmarkStart w:id="328" w:name="_Toc4355"/>
      <w:bookmarkStart w:id="329" w:name="_Toc30599"/>
      <w:bookmarkStart w:id="330" w:name="_Toc18540"/>
      <w:r>
        <w:rPr>
          <w:rFonts w:hint="eastAsia" w:ascii="宋体" w:hAnsi="宋体" w:cs="宋体"/>
          <w:b/>
          <w:color w:val="auto"/>
          <w:szCs w:val="21"/>
          <w:highlight w:val="none"/>
        </w:rPr>
        <w:t>2.19 计量单位</w:t>
      </w:r>
      <w:bookmarkEnd w:id="323"/>
      <w:bookmarkEnd w:id="324"/>
      <w:bookmarkEnd w:id="325"/>
      <w:bookmarkEnd w:id="328"/>
      <w:bookmarkEnd w:id="329"/>
      <w:bookmarkEnd w:id="330"/>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除技术规范中另有规定外,合同的计量单位均使用国家法定计量单位。</w:t>
      </w:r>
    </w:p>
    <w:p>
      <w:pPr>
        <w:shd w:val="clear" w:color="auto" w:fill="auto"/>
        <w:spacing w:line="480" w:lineRule="exact"/>
        <w:ind w:firstLine="422" w:firstLineChars="200"/>
        <w:rPr>
          <w:rFonts w:hint="eastAsia" w:ascii="宋体" w:hAnsi="宋体" w:cs="宋体"/>
          <w:b/>
          <w:color w:val="auto"/>
          <w:szCs w:val="21"/>
          <w:highlight w:val="none"/>
        </w:rPr>
      </w:pPr>
      <w:bookmarkStart w:id="331" w:name="_Toc279701263"/>
      <w:bookmarkStart w:id="332" w:name="_Toc18567"/>
      <w:bookmarkStart w:id="333" w:name="_Toc259093692"/>
      <w:bookmarkStart w:id="334" w:name="_Toc12773"/>
      <w:bookmarkStart w:id="335" w:name="_Toc10330"/>
      <w:bookmarkStart w:id="336" w:name="_Toc487900373"/>
      <w:r>
        <w:rPr>
          <w:rFonts w:hint="eastAsia" w:ascii="宋体" w:hAnsi="宋体" w:cs="宋体"/>
          <w:b/>
          <w:color w:val="auto"/>
          <w:szCs w:val="21"/>
          <w:highlight w:val="none"/>
        </w:rPr>
        <w:t>2.20 合同使用的文字和适用的法律</w:t>
      </w:r>
      <w:bookmarkEnd w:id="331"/>
      <w:bookmarkEnd w:id="332"/>
      <w:bookmarkEnd w:id="333"/>
      <w:bookmarkEnd w:id="334"/>
      <w:bookmarkEnd w:id="335"/>
      <w:bookmarkEnd w:id="336"/>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 合同使用汉语书写、变更和解释；</w:t>
      </w:r>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2.20.2 合同适用中华人民共和国法律。</w:t>
      </w:r>
    </w:p>
    <w:p>
      <w:pPr>
        <w:shd w:val="clear" w:color="auto" w:fill="auto"/>
        <w:spacing w:line="480" w:lineRule="exact"/>
        <w:ind w:firstLine="422" w:firstLineChars="200"/>
        <w:rPr>
          <w:rFonts w:hint="eastAsia" w:ascii="宋体" w:hAnsi="宋体" w:cs="宋体"/>
          <w:b/>
          <w:color w:val="auto"/>
          <w:szCs w:val="21"/>
          <w:highlight w:val="none"/>
        </w:rPr>
      </w:pPr>
      <w:bookmarkStart w:id="337" w:name="_Toc279701264"/>
      <w:bookmarkStart w:id="338" w:name="_Toc3148"/>
      <w:bookmarkStart w:id="339" w:name="_Toc16673"/>
      <w:bookmarkStart w:id="340" w:name="_Toc259093693"/>
      <w:bookmarkStart w:id="341" w:name="_Toc12004"/>
      <w:bookmarkStart w:id="342" w:name="_Toc487900374"/>
      <w:r>
        <w:rPr>
          <w:rFonts w:hint="eastAsia" w:ascii="宋体" w:hAnsi="宋体" w:cs="宋体"/>
          <w:b/>
          <w:color w:val="auto"/>
          <w:szCs w:val="21"/>
          <w:highlight w:val="none"/>
        </w:rPr>
        <w:t>2.21 履约保证金</w:t>
      </w:r>
      <w:bookmarkEnd w:id="337"/>
      <w:bookmarkEnd w:id="338"/>
      <w:bookmarkEnd w:id="339"/>
      <w:bookmarkEnd w:id="340"/>
      <w:bookmarkEnd w:id="341"/>
    </w:p>
    <w:p>
      <w:pPr>
        <w:shd w:val="clear" w:color="auto" w:fill="auto"/>
        <w:spacing w:line="480" w:lineRule="exact"/>
        <w:ind w:firstLine="420" w:firstLineChars="200"/>
        <w:rPr>
          <w:rFonts w:hint="eastAsia" w:ascii="宋体" w:hAnsi="宋体" w:cs="宋体"/>
          <w:snapToGrid w:val="0"/>
          <w:color w:val="auto"/>
          <w:kern w:val="0"/>
          <w:szCs w:val="21"/>
          <w:highlight w:val="none"/>
        </w:rPr>
      </w:pPr>
      <w:r>
        <w:rPr>
          <w:rFonts w:hint="eastAsia" w:ascii="宋体" w:hAnsi="宋体" w:cs="宋体"/>
          <w:color w:val="auto"/>
          <w:szCs w:val="21"/>
          <w:highlight w:val="none"/>
        </w:rPr>
        <w:t>本项目不收取履约保证金</w:t>
      </w:r>
    </w:p>
    <w:p>
      <w:pPr>
        <w:shd w:val="clear" w:color="auto" w:fill="auto"/>
        <w:spacing w:line="480" w:lineRule="exact"/>
        <w:ind w:firstLine="422" w:firstLineChars="200"/>
        <w:rPr>
          <w:rFonts w:hint="eastAsia" w:ascii="宋体" w:hAnsi="宋体" w:cs="宋体"/>
          <w:color w:val="auto"/>
          <w:kern w:val="0"/>
          <w:szCs w:val="21"/>
          <w:highlight w:val="none"/>
          <w:lang w:val="zh-CN"/>
        </w:rPr>
      </w:pPr>
      <w:r>
        <w:rPr>
          <w:rFonts w:hint="eastAsia" w:ascii="宋体" w:hAnsi="宋体" w:cs="宋体"/>
          <w:b/>
          <w:color w:val="auto"/>
          <w:szCs w:val="21"/>
          <w:highlight w:val="none"/>
        </w:rPr>
        <w:t>2.22 中小企业政策</w:t>
      </w:r>
    </w:p>
    <w:p>
      <w:pPr>
        <w:shd w:val="clear" w:color="auto" w:fill="auto"/>
        <w:spacing w:line="48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2.22.1本合同（</w:t>
      </w:r>
      <w:r>
        <w:rPr>
          <w:rFonts w:hint="eastAsia" w:ascii="宋体" w:hAnsi="宋体" w:cs="宋体"/>
          <w:color w:val="auto"/>
          <w:kern w:val="0"/>
          <w:szCs w:val="21"/>
          <w:highlight w:val="none"/>
          <w:lang w:val="zh-CN"/>
        </w:rPr>
        <w:sym w:font="Wingdings 2" w:char="0052"/>
      </w:r>
      <w:r>
        <w:rPr>
          <w:rFonts w:hint="eastAsia" w:ascii="宋体" w:hAnsi="宋体" w:cs="宋体"/>
          <w:color w:val="auto"/>
          <w:kern w:val="0"/>
          <w:szCs w:val="21"/>
          <w:highlight w:val="none"/>
          <w:lang w:val="zh-CN"/>
        </w:rPr>
        <w:t>是  □否）为可融资合同，关于中小企业信用融资事项见采购文件“投标人须知正文”。</w:t>
      </w:r>
    </w:p>
    <w:p>
      <w:pPr>
        <w:shd w:val="clear" w:color="auto" w:fill="auto"/>
        <w:spacing w:line="48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2.22.2本合同（□是  </w:t>
      </w:r>
      <w:r>
        <w:rPr>
          <w:rFonts w:hint="eastAsia" w:ascii="宋体" w:hAnsi="宋体" w:cs="宋体"/>
          <w:color w:val="auto"/>
          <w:kern w:val="0"/>
          <w:szCs w:val="21"/>
          <w:highlight w:val="none"/>
          <w:lang w:val="zh-CN"/>
        </w:rPr>
        <w:sym w:font="Wingdings 2" w:char="00A3"/>
      </w:r>
      <w:r>
        <w:rPr>
          <w:rFonts w:hint="eastAsia" w:ascii="宋体" w:hAnsi="宋体" w:cs="宋体"/>
          <w:color w:val="auto"/>
          <w:kern w:val="0"/>
          <w:szCs w:val="21"/>
          <w:highlight w:val="none"/>
          <w:lang w:val="zh-CN"/>
        </w:rPr>
        <w:t>否）为中小企业预留合同。</w:t>
      </w:r>
    </w:p>
    <w:bookmarkEnd w:id="342"/>
    <w:p>
      <w:pPr>
        <w:shd w:val="clear" w:color="auto" w:fill="auto"/>
        <w:spacing w:line="480" w:lineRule="exact"/>
        <w:ind w:firstLine="422" w:firstLineChars="200"/>
        <w:rPr>
          <w:rFonts w:hint="eastAsia" w:ascii="宋体" w:hAnsi="宋体" w:cs="宋体"/>
          <w:b/>
          <w:color w:val="auto"/>
          <w:szCs w:val="21"/>
          <w:highlight w:val="none"/>
        </w:rPr>
      </w:pPr>
      <w:bookmarkStart w:id="343" w:name="_Toc19890"/>
      <w:bookmarkStart w:id="344" w:name="_Toc6885"/>
      <w:bookmarkStart w:id="345" w:name="_Toc14001"/>
      <w:r>
        <w:rPr>
          <w:rFonts w:hint="eastAsia" w:ascii="宋体" w:hAnsi="宋体" w:cs="宋体"/>
          <w:b/>
          <w:color w:val="auto"/>
          <w:szCs w:val="21"/>
          <w:highlight w:val="none"/>
        </w:rPr>
        <w:t>2.23 合同份数</w:t>
      </w:r>
      <w:bookmarkEnd w:id="343"/>
      <w:bookmarkEnd w:id="344"/>
      <w:bookmarkEnd w:id="345"/>
    </w:p>
    <w:p>
      <w:pPr>
        <w:shd w:val="clear" w:color="auto" w:fill="auto"/>
        <w:spacing w:line="48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本合同壹式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份，甲方执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份，乙方执</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份。每份均具有同等法律效力。</w:t>
      </w:r>
    </w:p>
    <w:p>
      <w:pPr>
        <w:shd w:val="clear" w:color="auto" w:fill="auto"/>
        <w:spacing w:line="360" w:lineRule="auto"/>
        <w:jc w:val="center"/>
        <w:rPr>
          <w:rFonts w:hint="eastAsia" w:ascii="宋体" w:hAnsi="宋体" w:cs="宋体"/>
          <w:b/>
          <w:color w:val="auto"/>
          <w:sz w:val="28"/>
          <w:szCs w:val="28"/>
          <w:highlight w:val="none"/>
        </w:rPr>
      </w:pPr>
      <w:r>
        <w:rPr>
          <w:rFonts w:hint="eastAsia" w:ascii="宋体" w:hAnsi="宋体" w:cs="宋体"/>
          <w:color w:val="auto"/>
          <w:highlight w:val="none"/>
        </w:rPr>
        <w:br w:type="page"/>
      </w:r>
      <w:bookmarkStart w:id="346" w:name="_Toc331685784"/>
      <w:r>
        <w:rPr>
          <w:rFonts w:hint="eastAsia" w:ascii="宋体" w:hAnsi="宋体" w:cs="宋体"/>
          <w:b/>
          <w:color w:val="auto"/>
          <w:sz w:val="28"/>
          <w:szCs w:val="28"/>
          <w:highlight w:val="none"/>
        </w:rPr>
        <w:t>第三部分  合同专用条款</w:t>
      </w:r>
      <w:bookmarkEnd w:id="346"/>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2.3.2具有知识产权的标的物知识产权归属：</w:t>
      </w:r>
      <w:r>
        <w:rPr>
          <w:rFonts w:hint="eastAsia" w:ascii="宋体" w:hAnsi="宋体" w:cs="宋体"/>
          <w:color w:val="auto"/>
          <w:szCs w:val="21"/>
          <w:highlight w:val="none"/>
          <w:u w:val="single"/>
        </w:rPr>
        <w:t>甲方。</w:t>
      </w:r>
    </w:p>
    <w:p>
      <w:pPr>
        <w:shd w:val="clear" w:color="auto" w:fill="auto"/>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2.4.1包装和装运专用条款（如果有）：</w:t>
      </w:r>
      <w:r>
        <w:rPr>
          <w:rFonts w:hint="eastAsia" w:ascii="宋体" w:hAnsi="宋体" w:cs="宋体"/>
          <w:color w:val="auto"/>
          <w:szCs w:val="21"/>
          <w:highlight w:val="none"/>
          <w:u w:val="single"/>
        </w:rPr>
        <w:t>无另行约定，按合同一般条款。</w:t>
      </w:r>
    </w:p>
    <w:p>
      <w:pPr>
        <w:shd w:val="clear" w:color="auto" w:fill="auto"/>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2.4.2装运标的物的要求和通知：</w:t>
      </w:r>
      <w:r>
        <w:rPr>
          <w:rFonts w:hint="eastAsia" w:ascii="宋体" w:hAnsi="宋体" w:cs="宋体"/>
          <w:color w:val="auto"/>
          <w:szCs w:val="21"/>
          <w:highlight w:val="none"/>
          <w:u w:val="single"/>
        </w:rPr>
        <w:t>无另行约定，按合同一般条款。</w:t>
      </w:r>
    </w:p>
    <w:p>
      <w:pPr>
        <w:shd w:val="clear" w:color="auto" w:fill="auto"/>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2.6</w:t>
      </w:r>
      <w:r>
        <w:rPr>
          <w:rFonts w:hint="eastAsia" w:ascii="宋体" w:hAnsi="宋体" w:cs="宋体"/>
          <w:b/>
          <w:color w:val="auto"/>
          <w:szCs w:val="21"/>
          <w:highlight w:val="none"/>
        </w:rPr>
        <w:t>结算方式和付款条件</w:t>
      </w:r>
    </w:p>
    <w:p>
      <w:pPr>
        <w:shd w:val="clear" w:color="auto" w:fill="auto"/>
        <w:spacing w:line="42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本次项目合同总价为大写</w:t>
      </w:r>
      <w:r>
        <w:rPr>
          <w:rFonts w:hint="eastAsia" w:ascii="宋体" w:hAnsi="宋体" w:cs="宋体"/>
          <w:color w:val="auto"/>
          <w:szCs w:val="21"/>
          <w:highlight w:val="none"/>
        </w:rPr>
        <w:t>人民币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元整（小写：¥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元），含税</w:t>
      </w:r>
      <w:r>
        <w:rPr>
          <w:rFonts w:hint="eastAsia" w:ascii="宋体" w:hAnsi="宋体" w:cs="宋体"/>
          <w:color w:val="auto"/>
          <w:kern w:val="0"/>
          <w:szCs w:val="21"/>
          <w:highlight w:val="none"/>
          <w:lang w:val="zh-CN"/>
        </w:rPr>
        <w:t>。本项目采用以下勾选结算方式进行支付：</w:t>
      </w:r>
    </w:p>
    <w:p>
      <w:pPr>
        <w:shd w:val="clear" w:color="auto" w:fill="auto"/>
        <w:spacing w:line="42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□采用一次性支付方式，付款条件为：</w:t>
      </w:r>
      <w:r>
        <w:rPr>
          <w:rFonts w:hint="eastAsia" w:ascii="宋体" w:hAnsi="宋体" w:cs="宋体"/>
          <w:color w:val="auto"/>
          <w:kern w:val="0"/>
          <w:szCs w:val="21"/>
          <w:highlight w:val="none"/>
          <w:u w:val="single"/>
        </w:rPr>
        <w:t xml:space="preserve">           </w:t>
      </w:r>
    </w:p>
    <w:p>
      <w:pPr>
        <w:shd w:val="clear" w:color="auto" w:fill="auto"/>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□采用分期付款方式，付款条件为</w:t>
      </w:r>
      <w:r>
        <w:rPr>
          <w:rFonts w:hint="eastAsia" w:ascii="宋体" w:hAnsi="宋体" w:cs="宋体"/>
          <w:color w:val="auto"/>
          <w:kern w:val="0"/>
          <w:szCs w:val="21"/>
          <w:highlight w:val="none"/>
        </w:rPr>
        <w:t>：</w:t>
      </w:r>
    </w:p>
    <w:p>
      <w:pPr>
        <w:shd w:val="clear" w:color="auto" w:fill="auto"/>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第一期付款</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shd w:val="clear" w:color="auto" w:fill="auto"/>
        <w:spacing w:line="420" w:lineRule="exact"/>
        <w:ind w:firstLine="420" w:firstLineChars="200"/>
        <w:rPr>
          <w:rFonts w:hint="eastAsia" w:ascii="宋体" w:hAnsi="宋体" w:cs="宋体"/>
          <w:color w:val="auto"/>
          <w:kern w:val="0"/>
          <w:szCs w:val="21"/>
          <w:highlight w:val="none"/>
          <w:u w:val="single"/>
        </w:rPr>
      </w:pPr>
      <w:r>
        <w:rPr>
          <w:rFonts w:hint="eastAsia" w:ascii="宋体" w:hAnsi="宋体" w:cs="宋体"/>
          <w:color w:val="auto"/>
          <w:kern w:val="0"/>
          <w:szCs w:val="21"/>
          <w:highlight w:val="none"/>
          <w:lang w:val="zh-CN"/>
        </w:rPr>
        <w:t>第</w:t>
      </w:r>
      <w:r>
        <w:rPr>
          <w:rFonts w:hint="eastAsia" w:ascii="宋体" w:hAnsi="宋体" w:cs="宋体"/>
          <w:color w:val="auto"/>
          <w:kern w:val="0"/>
          <w:szCs w:val="21"/>
          <w:highlight w:val="none"/>
        </w:rPr>
        <w:t>二</w:t>
      </w:r>
      <w:r>
        <w:rPr>
          <w:rFonts w:hint="eastAsia" w:ascii="宋体" w:hAnsi="宋体" w:cs="宋体"/>
          <w:color w:val="auto"/>
          <w:kern w:val="0"/>
          <w:szCs w:val="21"/>
          <w:highlight w:val="none"/>
          <w:lang w:val="zh-CN"/>
        </w:rPr>
        <w:t>期付款</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shd w:val="clear" w:color="auto" w:fill="auto"/>
        <w:spacing w:line="420" w:lineRule="exact"/>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rPr>
        <w:t>……</w:t>
      </w:r>
    </w:p>
    <w:p>
      <w:pPr>
        <w:shd w:val="clear" w:color="auto" w:fill="auto"/>
        <w:spacing w:line="420" w:lineRule="exact"/>
        <w:ind w:firstLine="420" w:firstLineChars="200"/>
        <w:rPr>
          <w:rFonts w:hint="eastAsia" w:ascii="宋体" w:hAnsi="宋体" w:cs="宋体"/>
          <w:color w:val="auto"/>
          <w:kern w:val="0"/>
          <w:szCs w:val="21"/>
          <w:highlight w:val="none"/>
          <w:lang w:val="zh-CN"/>
        </w:rPr>
      </w:pPr>
      <w:r>
        <w:rPr>
          <w:rFonts w:hint="eastAsia" w:ascii="宋体" w:hAnsi="宋体" w:cs="宋体"/>
          <w:color w:val="auto"/>
          <w:szCs w:val="21"/>
          <w:highlight w:val="none"/>
        </w:rPr>
        <w:t>甲方无故逾期支付服务费用的，按照每逾期一日支付欠付服务费额度的</w:t>
      </w:r>
      <w:r>
        <w:rPr>
          <w:rFonts w:hint="eastAsia" w:ascii="宋体" w:hAnsi="宋体" w:cs="宋体"/>
          <w:color w:val="auto"/>
          <w:szCs w:val="21"/>
          <w:highlight w:val="none"/>
          <w:u w:val="single"/>
        </w:rPr>
        <w:t>万分之五</w:t>
      </w:r>
      <w:r>
        <w:rPr>
          <w:rFonts w:hint="eastAsia" w:ascii="宋体" w:hAnsi="宋体" w:cs="宋体"/>
          <w:color w:val="auto"/>
          <w:szCs w:val="21"/>
          <w:highlight w:val="none"/>
        </w:rPr>
        <w:t>承担违约责任，违约金上限按照《合同书》约定执行。</w:t>
      </w:r>
    </w:p>
    <w:p>
      <w:pPr>
        <w:shd w:val="clear" w:color="auto" w:fill="auto"/>
        <w:spacing w:line="420" w:lineRule="exact"/>
        <w:ind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2.9</w:t>
      </w:r>
      <w:r>
        <w:rPr>
          <w:rFonts w:hint="eastAsia" w:ascii="宋体" w:hAnsi="宋体" w:cs="宋体"/>
          <w:b/>
          <w:color w:val="auto"/>
          <w:szCs w:val="21"/>
          <w:highlight w:val="none"/>
        </w:rPr>
        <w:t>标的物的风险负担</w:t>
      </w:r>
    </w:p>
    <w:p>
      <w:pPr>
        <w:shd w:val="clear" w:color="auto" w:fill="auto"/>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标的物或者在途标的物或者交付给第一承运人后的标的物毁损、灭失的风险负担：</w:t>
      </w:r>
      <w:r>
        <w:rPr>
          <w:rFonts w:hint="eastAsia" w:ascii="宋体" w:hAnsi="宋体" w:cs="宋体"/>
          <w:color w:val="auto"/>
          <w:szCs w:val="21"/>
          <w:highlight w:val="none"/>
          <w:u w:val="single"/>
        </w:rPr>
        <w:t>乙方</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2.13.2受不可抗力影响的一方在不可抗力发生后，应在</w:t>
      </w:r>
      <w:r>
        <w:rPr>
          <w:rFonts w:hint="eastAsia" w:ascii="宋体" w:hAnsi="宋体" w:cs="宋体"/>
          <w:color w:val="auto"/>
          <w:szCs w:val="21"/>
          <w:highlight w:val="none"/>
          <w:u w:val="single"/>
        </w:rPr>
        <w:t>1</w:t>
      </w:r>
      <w:r>
        <w:rPr>
          <w:rFonts w:hint="eastAsia" w:ascii="宋体" w:hAnsi="宋体" w:cs="宋体"/>
          <w:color w:val="auto"/>
          <w:szCs w:val="21"/>
          <w:highlight w:val="none"/>
        </w:rPr>
        <w:t>日内以书面形式通知对方当事人，并在</w:t>
      </w:r>
      <w:r>
        <w:rPr>
          <w:rFonts w:hint="eastAsia" w:ascii="宋体" w:hAnsi="宋体" w:cs="宋体"/>
          <w:color w:val="auto"/>
          <w:szCs w:val="21"/>
          <w:highlight w:val="none"/>
          <w:u w:val="single"/>
        </w:rPr>
        <w:t>2</w:t>
      </w:r>
      <w:r>
        <w:rPr>
          <w:rFonts w:hint="eastAsia" w:ascii="宋体" w:hAnsi="宋体" w:cs="宋体"/>
          <w:color w:val="auto"/>
          <w:szCs w:val="21"/>
          <w:highlight w:val="none"/>
        </w:rPr>
        <w:t>日内，将有关部门出具的证明文件送达对方当事人。</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2.13.4因不可抗力致使合同有变更必要的，双方当事人应在</w:t>
      </w:r>
      <w:r>
        <w:rPr>
          <w:rFonts w:hint="eastAsia" w:ascii="宋体" w:hAnsi="宋体" w:cs="宋体"/>
          <w:color w:val="auto"/>
          <w:szCs w:val="21"/>
          <w:highlight w:val="none"/>
          <w:u w:val="single"/>
        </w:rPr>
        <w:t>2</w:t>
      </w:r>
      <w:r>
        <w:rPr>
          <w:rFonts w:hint="eastAsia" w:ascii="宋体" w:hAnsi="宋体" w:cs="宋体"/>
          <w:color w:val="auto"/>
          <w:szCs w:val="21"/>
          <w:highlight w:val="none"/>
        </w:rPr>
        <w:t>日内以书面形式变更合同；</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2.17.1标的物交付前，乙方应对标的物的质量、数量等方面进行详细、全面的检验，并向甲方出具证明标的物符合合同约定的文件；标的物交付时，乙方在</w:t>
      </w:r>
      <w:r>
        <w:rPr>
          <w:rFonts w:hint="eastAsia" w:ascii="宋体" w:hAnsi="宋体" w:cs="宋体"/>
          <w:color w:val="auto"/>
          <w:szCs w:val="21"/>
          <w:highlight w:val="none"/>
          <w:u w:val="single"/>
        </w:rPr>
        <w:t>5</w:t>
      </w:r>
      <w:r>
        <w:rPr>
          <w:rFonts w:hint="eastAsia" w:ascii="宋体" w:hAnsi="宋体" w:cs="宋体"/>
          <w:color w:val="auto"/>
          <w:szCs w:val="21"/>
          <w:highlight w:val="none"/>
        </w:rPr>
        <w:t>日内发起验收，并可依法邀请相关方参加，验收应出具验收书。</w:t>
      </w:r>
    </w:p>
    <w:p>
      <w:pPr>
        <w:shd w:val="clear" w:color="auto" w:fill="auto"/>
        <w:spacing w:line="42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2.17.3 检验和验收标准、程序等具体内容以及前述验收书的效力：</w:t>
      </w:r>
      <w:r>
        <w:rPr>
          <w:rFonts w:hint="eastAsia" w:ascii="宋体" w:hAnsi="宋体" w:cs="宋体"/>
          <w:color w:val="auto"/>
          <w:szCs w:val="21"/>
          <w:highlight w:val="none"/>
          <w:u w:val="single"/>
        </w:rPr>
        <w:t>本项目按照招标文件及国家、行业规定的技术标准及规范开展验收工作，验收结果以验收书为准。</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其他：无。</w:t>
      </w:r>
    </w:p>
    <w:p>
      <w:pPr>
        <w:shd w:val="clear" w:color="auto" w:fill="auto"/>
        <w:spacing w:line="420" w:lineRule="exact"/>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项目验收：</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4、验收产生的费用首次验收费用由甲方承担，如首次验收不合格，后续验收费用由乙方支付。</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5、验收内容及资料要求：</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根据采购文件确定的技术指标或者服务要求确定验收指标和标准。未进行相应约定的，应当符合国家强制性规定、政策要求、安全标准、行业或企业有关标准等。</w:t>
      </w:r>
    </w:p>
    <w:p>
      <w:pPr>
        <w:shd w:val="clear" w:color="auto" w:fill="auto"/>
        <w:tabs>
          <w:tab w:val="left" w:pos="904"/>
        </w:tabs>
        <w:snapToGrid w:val="0"/>
        <w:spacing w:line="42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5.1验收内容</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3351"/>
        <w:gridCol w:w="5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验收内容</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交付标的物数量</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交付标的物质量文件</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4</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 xml:space="preserve">交付标的物技术、性能指标 </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5</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售后服务承诺</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10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6</w:t>
            </w:r>
          </w:p>
        </w:tc>
        <w:tc>
          <w:tcPr>
            <w:tcW w:w="3351"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其他工作</w:t>
            </w:r>
          </w:p>
        </w:tc>
        <w:tc>
          <w:tcPr>
            <w:tcW w:w="5235" w:type="dxa"/>
            <w:noWrap w:val="0"/>
            <w:vAlign w:val="center"/>
          </w:tcPr>
          <w:p>
            <w:pPr>
              <w:shd w:val="clear" w:color="auto" w:fill="auto"/>
              <w:spacing w:line="420" w:lineRule="exact"/>
              <w:jc w:val="center"/>
              <w:rPr>
                <w:rFonts w:hint="eastAsia" w:ascii="宋体" w:hAnsi="宋体" w:cs="宋体"/>
                <w:color w:val="auto"/>
                <w:szCs w:val="21"/>
                <w:highlight w:val="none"/>
              </w:rPr>
            </w:pPr>
            <w:r>
              <w:rPr>
                <w:rFonts w:hint="eastAsia" w:ascii="宋体" w:hAnsi="宋体" w:cs="宋体"/>
                <w:color w:val="auto"/>
                <w:szCs w:val="21"/>
                <w:highlight w:val="none"/>
              </w:rPr>
              <w:t>按招标文件要求和投标文件承诺</w:t>
            </w:r>
          </w:p>
        </w:tc>
      </w:tr>
    </w:tbl>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5.2验收资料要求</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验收资料要求包括（不限于）以下内容：</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（1）采购文件；</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（2）投标文件；</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（3）采购合同；</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（4）验收书；</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（5）其他需提供的相关材料。</w:t>
      </w:r>
    </w:p>
    <w:p>
      <w:pPr>
        <w:widowControl/>
        <w:shd w:val="clear" w:color="auto" w:fill="auto"/>
        <w:spacing w:line="420" w:lineRule="exact"/>
        <w:ind w:firstLine="630" w:firstLineChars="300"/>
        <w:jc w:val="left"/>
        <w:rPr>
          <w:rFonts w:hint="eastAsia" w:ascii="宋体" w:hAnsi="宋体" w:cs="宋体"/>
          <w:bCs/>
          <w:color w:val="auto"/>
          <w:szCs w:val="21"/>
          <w:highlight w:val="none"/>
        </w:rPr>
      </w:pPr>
    </w:p>
    <w:p>
      <w:pPr>
        <w:shd w:val="clear" w:color="auto" w:fill="auto"/>
        <w:spacing w:line="4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争议条款</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1、本合同在履行过程中发生的任何争议，双方当事人均应通过友好协商的方式和解或者调解解决；不愿和解、调解或者和解、调解不成的，可以选择下列第（2）种方式解决：</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（1）将争议提交南宁市仲裁委员会依申请仲裁时其现行有效的仲裁规则裁决；</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（2）向甲方所在地有管辖权的人民法院起诉。</w:t>
      </w:r>
    </w:p>
    <w:p>
      <w:pPr>
        <w:shd w:val="clear" w:color="auto" w:fill="auto"/>
        <w:spacing w:line="4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本合同生效后，各方均应全面履行本合同约定的义务。任何一方不履行或不完全履行本合同约定义务的，应当承担相应的违约责任，并赔偿由此给守约方造成的损失，包括但不限于守约方为实现债权而支付的律师费、保全费、诉讼收费、公证费、鉴定费等。</w:t>
      </w:r>
    </w:p>
    <w:p>
      <w:pPr>
        <w:shd w:val="clear" w:color="auto" w:fill="auto"/>
        <w:spacing w:line="420" w:lineRule="exact"/>
        <w:ind w:firstLine="420" w:firstLineChars="200"/>
        <w:rPr>
          <w:rFonts w:hint="eastAsia" w:ascii="仿宋" w:hAnsi="仿宋" w:eastAsia="仿宋" w:cs="仿宋_GB2312"/>
          <w:b/>
          <w:color w:val="auto"/>
          <w:sz w:val="36"/>
          <w:szCs w:val="20"/>
          <w:highlight w:val="none"/>
        </w:rPr>
      </w:pPr>
      <w:r>
        <w:rPr>
          <w:rFonts w:hint="eastAsia" w:ascii="宋体" w:hAnsi="宋体" w:cs="宋体"/>
          <w:color w:val="auto"/>
          <w:szCs w:val="21"/>
          <w:highlight w:val="none"/>
        </w:rPr>
        <w:t>3、本合同及采购文件、投标文件、补充协议、附件等与本合同具有同等法律效力。各项文件之间约定不一致的，以签署时间在后者的为准。</w:t>
      </w:r>
    </w:p>
    <w:p>
      <w:pPr>
        <w:shd w:val="clear" w:color="auto" w:fill="auto"/>
        <w:tabs>
          <w:tab w:val="left" w:pos="7380"/>
        </w:tabs>
        <w:spacing w:line="360" w:lineRule="auto"/>
        <w:jc w:val="center"/>
        <w:rPr>
          <w:rFonts w:hAnsi="宋体"/>
          <w:color w:val="auto"/>
          <w:highlight w:val="none"/>
        </w:rPr>
        <w:sectPr>
          <w:pgSz w:w="11911" w:h="16838"/>
          <w:pgMar w:top="1134" w:right="1134" w:bottom="1134" w:left="1134" w:header="720" w:footer="720" w:gutter="0"/>
          <w:cols w:space="720" w:num="1"/>
          <w:titlePg/>
          <w:docGrid w:linePitch="331" w:charSpace="0"/>
        </w:sectPr>
      </w:pPr>
    </w:p>
    <w:p>
      <w:pPr>
        <w:shd w:val="clear" w:color="auto" w:fill="auto"/>
        <w:spacing w:line="360" w:lineRule="auto"/>
        <w:ind w:left="178" w:leftChars="85"/>
        <w:rPr>
          <w:rFonts w:hint="eastAsia" w:ascii="宋体" w:hAnsi="宋体"/>
          <w:color w:val="auto"/>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rPr>
          <w:rFonts w:hint="eastAsia"/>
          <w:b/>
          <w:color w:val="auto"/>
          <w:sz w:val="36"/>
          <w:szCs w:val="20"/>
          <w:highlight w:val="none"/>
        </w:rPr>
      </w:pPr>
    </w:p>
    <w:p>
      <w:pPr>
        <w:shd w:val="clear" w:color="auto" w:fill="auto"/>
        <w:tabs>
          <w:tab w:val="left" w:pos="2472"/>
        </w:tabs>
        <w:spacing w:line="460" w:lineRule="exact"/>
        <w:jc w:val="center"/>
        <w:outlineLvl w:val="0"/>
        <w:rPr>
          <w:b/>
          <w:color w:val="auto"/>
          <w:sz w:val="36"/>
          <w:szCs w:val="20"/>
          <w:highlight w:val="none"/>
        </w:rPr>
      </w:pPr>
      <w:bookmarkStart w:id="347" w:name="_Toc177489469"/>
      <w:r>
        <w:rPr>
          <w:rFonts w:hint="eastAsia"/>
          <w:b/>
          <w:color w:val="auto"/>
          <w:sz w:val="36"/>
          <w:szCs w:val="20"/>
          <w:highlight w:val="none"/>
        </w:rPr>
        <w:t>第六章 投标文件格式</w:t>
      </w:r>
      <w:bookmarkEnd w:id="347"/>
    </w:p>
    <w:p>
      <w:pPr>
        <w:shd w:val="clear" w:color="auto" w:fill="auto"/>
        <w:spacing w:line="360" w:lineRule="auto"/>
        <w:rPr>
          <w:rFonts w:hAnsi="宋体"/>
          <w:color w:val="auto"/>
          <w:highlight w:val="none"/>
        </w:rPr>
        <w:sectPr>
          <w:pgSz w:w="11911" w:h="16838"/>
          <w:pgMar w:top="1134" w:right="1134" w:bottom="1134" w:left="1134" w:header="720" w:footer="720" w:gutter="0"/>
          <w:cols w:space="720" w:num="1"/>
          <w:titlePg/>
          <w:docGrid w:linePitch="331" w:charSpace="0"/>
        </w:sectPr>
      </w:pPr>
    </w:p>
    <w:p>
      <w:pPr>
        <w:shd w:val="clear" w:color="auto" w:fill="auto"/>
        <w:ind w:firstLine="551" w:firstLineChars="196"/>
        <w:jc w:val="center"/>
        <w:outlineLvl w:val="1"/>
        <w:rPr>
          <w:rFonts w:hint="eastAsia" w:ascii="宋体" w:hAnsi="宋体"/>
          <w:b/>
          <w:bCs/>
          <w:color w:val="auto"/>
          <w:sz w:val="28"/>
          <w:szCs w:val="28"/>
          <w:highlight w:val="none"/>
        </w:rPr>
      </w:pPr>
      <w:bookmarkStart w:id="348" w:name="_Toc177489470"/>
      <w:r>
        <w:rPr>
          <w:rFonts w:hint="eastAsia" w:ascii="宋体" w:hAnsi="宋体"/>
          <w:b/>
          <w:bCs/>
          <w:color w:val="auto"/>
          <w:sz w:val="28"/>
          <w:szCs w:val="28"/>
          <w:highlight w:val="none"/>
        </w:rPr>
        <w:t>第一节 投标文件封面格式</w:t>
      </w:r>
      <w:bookmarkEnd w:id="348"/>
    </w:p>
    <w:p>
      <w:pPr>
        <w:shd w:val="clear" w:color="auto" w:fill="auto"/>
        <w:spacing w:before="120" w:beforeLines="50" w:after="120" w:afterLines="50"/>
        <w:jc w:val="center"/>
        <w:rPr>
          <w:rFonts w:hint="eastAsia" w:ascii="宋体" w:hAnsi="宋体" w:cs="宋体"/>
          <w:color w:val="auto"/>
          <w:spacing w:val="20"/>
          <w:sz w:val="44"/>
          <w:szCs w:val="44"/>
          <w:highlight w:val="none"/>
        </w:rPr>
      </w:pPr>
    </w:p>
    <w:p>
      <w:pPr>
        <w:shd w:val="clear" w:color="auto" w:fill="auto"/>
        <w:spacing w:before="120" w:beforeLines="50" w:after="120" w:afterLines="50"/>
        <w:jc w:val="center"/>
        <w:rPr>
          <w:rFonts w:hint="eastAsia" w:ascii="宋体" w:hAnsi="宋体" w:cs="宋体"/>
          <w:color w:val="auto"/>
          <w:spacing w:val="20"/>
          <w:sz w:val="44"/>
          <w:szCs w:val="44"/>
          <w:highlight w:val="none"/>
        </w:rPr>
      </w:pPr>
    </w:p>
    <w:p>
      <w:pPr>
        <w:shd w:val="clear" w:color="auto" w:fill="auto"/>
        <w:spacing w:before="120" w:beforeLines="50" w:after="120" w:afterLines="50"/>
        <w:jc w:val="center"/>
        <w:rPr>
          <w:rFonts w:hint="eastAsia" w:ascii="宋体" w:hAnsi="宋体" w:cs="宋体"/>
          <w:color w:val="auto"/>
          <w:spacing w:val="20"/>
          <w:sz w:val="44"/>
          <w:szCs w:val="44"/>
          <w:highlight w:val="none"/>
        </w:rPr>
      </w:pPr>
    </w:p>
    <w:p>
      <w:pPr>
        <w:shd w:val="clear" w:color="auto" w:fill="auto"/>
        <w:spacing w:before="120" w:beforeLines="50" w:after="120" w:afterLines="50"/>
        <w:jc w:val="center"/>
        <w:rPr>
          <w:rFonts w:hint="eastAsia" w:ascii="宋体" w:hAnsi="宋体" w:cs="宋体"/>
          <w:color w:val="auto"/>
          <w:spacing w:val="20"/>
          <w:sz w:val="44"/>
          <w:szCs w:val="44"/>
          <w:highlight w:val="none"/>
        </w:rPr>
      </w:pPr>
    </w:p>
    <w:p>
      <w:pPr>
        <w:shd w:val="clear" w:color="auto" w:fill="auto"/>
        <w:spacing w:before="120" w:beforeLines="50" w:after="120" w:afterLines="50"/>
        <w:jc w:val="center"/>
        <w:rPr>
          <w:rFonts w:ascii="宋体" w:hAnsi="宋体" w:cs="宋体"/>
          <w:color w:val="auto"/>
          <w:spacing w:val="20"/>
          <w:sz w:val="44"/>
          <w:szCs w:val="44"/>
          <w:highlight w:val="none"/>
        </w:rPr>
      </w:pPr>
      <w:r>
        <w:rPr>
          <w:rFonts w:hint="eastAsia" w:ascii="宋体" w:hAnsi="宋体" w:cs="宋体"/>
          <w:color w:val="auto"/>
          <w:spacing w:val="20"/>
          <w:sz w:val="44"/>
          <w:szCs w:val="44"/>
          <w:highlight w:val="none"/>
        </w:rPr>
        <w:t>XXXXX（项目名称）</w:t>
      </w:r>
    </w:p>
    <w:p>
      <w:pPr>
        <w:shd w:val="clear" w:color="auto" w:fill="auto"/>
        <w:spacing w:before="120" w:beforeLines="50" w:after="120" w:afterLines="50"/>
        <w:jc w:val="center"/>
        <w:rPr>
          <w:rFonts w:ascii="宋体" w:hAnsi="宋体" w:cs="宋体"/>
          <w:color w:val="auto"/>
          <w:spacing w:val="40"/>
          <w:w w:val="110"/>
          <w:sz w:val="44"/>
          <w:szCs w:val="44"/>
          <w:highlight w:val="none"/>
        </w:rPr>
      </w:pPr>
      <w:r>
        <w:rPr>
          <w:rFonts w:hint="eastAsia" w:ascii="宋体" w:hAnsi="宋体" w:cs="宋体"/>
          <w:color w:val="auto"/>
          <w:spacing w:val="40"/>
          <w:w w:val="110"/>
          <w:sz w:val="44"/>
          <w:szCs w:val="44"/>
          <w:highlight w:val="none"/>
        </w:rPr>
        <w:t>投标文件</w:t>
      </w:r>
    </w:p>
    <w:p>
      <w:pPr>
        <w:shd w:val="clear" w:color="auto" w:fill="auto"/>
        <w:jc w:val="center"/>
        <w:rPr>
          <w:rFonts w:ascii="宋体" w:hAnsi="宋体" w:cs="宋体"/>
          <w:color w:val="auto"/>
          <w:sz w:val="24"/>
          <w:highlight w:val="none"/>
        </w:rPr>
      </w:pPr>
      <w:r>
        <w:rPr>
          <w:rFonts w:hint="eastAsia" w:ascii="宋体" w:hAnsi="宋体" w:cs="宋体"/>
          <w:color w:val="auto"/>
          <w:sz w:val="24"/>
          <w:highlight w:val="none"/>
        </w:rPr>
        <w:t>（电子投标文件）</w:t>
      </w:r>
    </w:p>
    <w:tbl>
      <w:tblPr>
        <w:tblStyle w:val="35"/>
        <w:tblW w:w="0" w:type="auto"/>
        <w:jc w:val="center"/>
        <w:tblLayout w:type="fixed"/>
        <w:tblCellMar>
          <w:top w:w="0" w:type="dxa"/>
          <w:left w:w="108" w:type="dxa"/>
          <w:bottom w:w="0" w:type="dxa"/>
          <w:right w:w="108" w:type="dxa"/>
        </w:tblCellMar>
      </w:tblPr>
      <w:tblGrid>
        <w:gridCol w:w="1601"/>
        <w:gridCol w:w="6172"/>
      </w:tblGrid>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项目名称：</w:t>
            </w:r>
          </w:p>
        </w:tc>
        <w:tc>
          <w:tcPr>
            <w:tcW w:w="6172" w:type="dxa"/>
            <w:tcBorders>
              <w:bottom w:val="single" w:color="000000" w:sz="4" w:space="0"/>
            </w:tcBorders>
            <w:noWrap w:val="0"/>
            <w:vAlign w:val="bottom"/>
          </w:tcPr>
          <w:p>
            <w:pPr>
              <w:shd w:val="clear" w:color="auto" w:fill="auto"/>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采购方式：</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r>
              <w:rPr>
                <w:rFonts w:hint="eastAsia" w:ascii="宋体" w:hAnsi="宋体" w:cs="宋体"/>
                <w:color w:val="auto"/>
                <w:sz w:val="24"/>
                <w:highlight w:val="none"/>
              </w:rPr>
              <w:t>公开招标在线投标响应</w:t>
            </w: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项目编号：</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hint="eastAsia" w:ascii="宋体" w:hAnsi="宋体" w:cs="宋体"/>
                <w:color w:val="auto"/>
                <w:sz w:val="24"/>
                <w:highlight w:val="none"/>
              </w:rPr>
            </w:pPr>
            <w:r>
              <w:rPr>
                <w:rFonts w:hint="eastAsia" w:ascii="宋体" w:hAnsi="宋体" w:cs="宋体"/>
                <w:color w:val="auto"/>
                <w:sz w:val="24"/>
                <w:highlight w:val="none"/>
              </w:rPr>
              <w:t>所投分标：</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投标人名称：</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p>
        </w:tc>
      </w:tr>
      <w:tr>
        <w:tblPrEx>
          <w:tblCellMar>
            <w:top w:w="0" w:type="dxa"/>
            <w:left w:w="108" w:type="dxa"/>
            <w:bottom w:w="0" w:type="dxa"/>
            <w:right w:w="108" w:type="dxa"/>
          </w:tblCellMar>
        </w:tblPrEx>
        <w:trPr>
          <w:jc w:val="center"/>
        </w:trPr>
        <w:tc>
          <w:tcPr>
            <w:tcW w:w="1601" w:type="dxa"/>
            <w:noWrap w:val="0"/>
            <w:vAlign w:val="bottom"/>
          </w:tcPr>
          <w:p>
            <w:pPr>
              <w:shd w:val="clear" w:color="auto" w:fill="auto"/>
              <w:jc w:val="distribute"/>
              <w:rPr>
                <w:rFonts w:ascii="宋体" w:hAnsi="宋体" w:cs="宋体"/>
                <w:color w:val="auto"/>
                <w:sz w:val="24"/>
                <w:highlight w:val="none"/>
              </w:rPr>
            </w:pPr>
            <w:r>
              <w:rPr>
                <w:rFonts w:hint="eastAsia" w:ascii="宋体" w:hAnsi="宋体" w:cs="宋体"/>
                <w:color w:val="auto"/>
                <w:sz w:val="24"/>
                <w:highlight w:val="none"/>
              </w:rPr>
              <w:t>投标人地址：</w:t>
            </w:r>
          </w:p>
        </w:tc>
        <w:tc>
          <w:tcPr>
            <w:tcW w:w="6172" w:type="dxa"/>
            <w:tcBorders>
              <w:top w:val="single" w:color="000000" w:sz="4" w:space="0"/>
              <w:bottom w:val="single" w:color="000000" w:sz="4" w:space="0"/>
            </w:tcBorders>
            <w:noWrap w:val="0"/>
            <w:vAlign w:val="bottom"/>
          </w:tcPr>
          <w:p>
            <w:pPr>
              <w:shd w:val="clear" w:color="auto" w:fill="auto"/>
              <w:jc w:val="left"/>
              <w:rPr>
                <w:rFonts w:ascii="宋体" w:hAnsi="宋体" w:cs="宋体"/>
                <w:color w:val="auto"/>
                <w:sz w:val="24"/>
                <w:highlight w:val="none"/>
              </w:rPr>
            </w:pPr>
          </w:p>
        </w:tc>
      </w:tr>
    </w:tbl>
    <w:p>
      <w:pPr>
        <w:shd w:val="clear" w:color="auto" w:fill="auto"/>
        <w:ind w:firstLine="4200" w:firstLineChars="1750"/>
        <w:rPr>
          <w:rFonts w:hint="eastAsia" w:ascii="宋体" w:hAnsi="宋体" w:cs="宋体"/>
          <w:color w:val="auto"/>
          <w:sz w:val="24"/>
          <w:highlight w:val="none"/>
        </w:rPr>
      </w:pPr>
    </w:p>
    <w:p>
      <w:pPr>
        <w:shd w:val="clear" w:color="auto" w:fill="auto"/>
        <w:ind w:firstLine="4200" w:firstLineChars="1750"/>
        <w:rPr>
          <w:rFonts w:hint="eastAsia" w:ascii="宋体" w:hAnsi="宋体" w:cs="宋体"/>
          <w:color w:val="auto"/>
          <w:sz w:val="24"/>
          <w:highlight w:val="none"/>
        </w:rPr>
      </w:pPr>
    </w:p>
    <w:p>
      <w:pPr>
        <w:shd w:val="clear" w:color="auto" w:fill="auto"/>
        <w:ind w:firstLine="4200" w:firstLineChars="1750"/>
        <w:rPr>
          <w:rFonts w:hint="eastAsia" w:ascii="宋体" w:hAnsi="宋体" w:cs="宋体"/>
          <w:color w:val="auto"/>
          <w:sz w:val="24"/>
          <w:highlight w:val="none"/>
        </w:rPr>
      </w:pPr>
    </w:p>
    <w:p>
      <w:pPr>
        <w:shd w:val="clear" w:color="auto" w:fill="auto"/>
        <w:ind w:firstLine="5880" w:firstLineChars="2450"/>
        <w:rPr>
          <w:rFonts w:hint="eastAsia" w:ascii="宋体" w:hAnsi="宋体" w:cs="宋体"/>
          <w:color w:val="auto"/>
          <w:sz w:val="24"/>
          <w:highlight w:val="none"/>
        </w:rPr>
      </w:pPr>
      <w:r>
        <w:rPr>
          <w:rFonts w:hint="eastAsia" w:ascii="宋体" w:hAnsi="宋体" w:cs="宋体"/>
          <w:color w:val="auto"/>
          <w:sz w:val="24"/>
          <w:highlight w:val="none"/>
        </w:rPr>
        <w:t>投标截止时间前不得解密</w:t>
      </w:r>
    </w:p>
    <w:p>
      <w:pPr>
        <w:shd w:val="clear" w:color="auto" w:fill="auto"/>
        <w:ind w:firstLine="6480" w:firstLineChars="2700"/>
        <w:rPr>
          <w:rFonts w:ascii="宋体" w:hAnsi="宋体" w:cs="宋体"/>
          <w:color w:val="auto"/>
          <w:sz w:val="24"/>
          <w:highlight w:val="none"/>
        </w:rPr>
        <w:sectPr>
          <w:headerReference r:id="rId10" w:type="default"/>
          <w:footerReference r:id="rId11" w:type="default"/>
          <w:pgSz w:w="11911" w:h="16838"/>
          <w:pgMar w:top="1134" w:right="1134" w:bottom="1134" w:left="1134" w:header="720" w:footer="720" w:gutter="0"/>
          <w:cols w:space="720" w:num="1"/>
          <w:titlePg/>
          <w:docGrid w:linePitch="285" w:charSpace="0"/>
        </w:sectPr>
      </w:pPr>
      <w:r>
        <w:rPr>
          <w:rFonts w:hint="eastAsia" w:ascii="宋体" w:hAnsi="宋体" w:cs="宋体"/>
          <w:color w:val="auto"/>
          <w:sz w:val="24"/>
          <w:highlight w:val="none"/>
        </w:rPr>
        <w:t>年   月   日</w:t>
      </w:r>
    </w:p>
    <w:p>
      <w:pPr>
        <w:shd w:val="clear" w:color="auto" w:fill="auto"/>
        <w:jc w:val="center"/>
        <w:outlineLvl w:val="1"/>
        <w:rPr>
          <w:rFonts w:hint="eastAsia" w:ascii="宋体" w:hAnsi="宋体"/>
          <w:b/>
          <w:bCs/>
          <w:color w:val="auto"/>
          <w:sz w:val="28"/>
          <w:szCs w:val="28"/>
          <w:highlight w:val="none"/>
        </w:rPr>
      </w:pPr>
      <w:bookmarkStart w:id="349" w:name="_Toc177489471"/>
      <w:r>
        <w:rPr>
          <w:rFonts w:hint="eastAsia" w:ascii="宋体" w:hAnsi="宋体"/>
          <w:b/>
          <w:bCs/>
          <w:color w:val="auto"/>
          <w:sz w:val="28"/>
          <w:szCs w:val="28"/>
          <w:highlight w:val="none"/>
        </w:rPr>
        <w:t>第二节 资格证明文件格式</w:t>
      </w:r>
      <w:bookmarkEnd w:id="349"/>
    </w:p>
    <w:p>
      <w:pPr>
        <w:shd w:val="clear" w:color="auto" w:fill="auto"/>
        <w:spacing w:line="360" w:lineRule="auto"/>
        <w:ind w:firstLine="420"/>
        <w:rPr>
          <w:rFonts w:hint="eastAsia" w:ascii="宋体" w:hAnsi="宋体"/>
          <w:color w:val="auto"/>
          <w:sz w:val="30"/>
          <w:szCs w:val="20"/>
          <w:highlight w:val="none"/>
        </w:rPr>
      </w:pPr>
    </w:p>
    <w:p>
      <w:pPr>
        <w:shd w:val="clear" w:color="auto" w:fill="auto"/>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hd w:val="clear" w:color="auto" w:fill="auto"/>
        <w:snapToGrid w:val="0"/>
        <w:spacing w:before="120" w:beforeLines="50" w:after="50"/>
        <w:rPr>
          <w:rFonts w:hint="eastAsia" w:ascii="宋体" w:hAnsi="宋体"/>
          <w:color w:val="auto"/>
          <w:sz w:val="24"/>
          <w:szCs w:val="20"/>
          <w:highlight w:val="none"/>
        </w:rPr>
      </w:pPr>
    </w:p>
    <w:p>
      <w:pPr>
        <w:shd w:val="clear" w:color="auto" w:fill="auto"/>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资格证明文件（封面）</w:t>
      </w: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ascii="宋体" w:hAnsi="宋体"/>
          <w:bCs/>
          <w:color w:val="auto"/>
          <w:sz w:val="24"/>
          <w:szCs w:val="20"/>
          <w:highlight w:val="none"/>
        </w:rPr>
      </w:pPr>
    </w:p>
    <w:p>
      <w:pPr>
        <w:shd w:val="clear" w:color="auto" w:fill="auto"/>
        <w:snapToGrid w:val="0"/>
        <w:spacing w:before="120" w:beforeLines="50" w:after="50"/>
        <w:rPr>
          <w:rFonts w:hint="eastAsia" w:ascii="宋体" w:hAnsi="宋体"/>
          <w:bCs/>
          <w:color w:val="auto"/>
          <w:sz w:val="24"/>
          <w:szCs w:val="20"/>
          <w:highlight w:val="none"/>
        </w:rPr>
      </w:pP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shd w:val="clear" w:color="auto" w:fill="auto"/>
        <w:snapToGrid w:val="0"/>
        <w:spacing w:before="50" w:after="50"/>
        <w:ind w:firstLine="540" w:firstLineChars="225"/>
        <w:rPr>
          <w:rFonts w:hint="eastAsia" w:ascii="宋体" w:hAnsi="宋体"/>
          <w:bCs/>
          <w:color w:val="auto"/>
          <w:sz w:val="24"/>
          <w:highlight w:val="none"/>
        </w:rPr>
      </w:pPr>
    </w:p>
    <w:p>
      <w:pPr>
        <w:shd w:val="clear" w:color="auto" w:fill="auto"/>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投标人名称：</w:t>
      </w:r>
    </w:p>
    <w:p>
      <w:pPr>
        <w:shd w:val="clear" w:color="auto" w:fill="auto"/>
        <w:snapToGrid w:val="0"/>
        <w:spacing w:before="50" w:after="50"/>
        <w:ind w:firstLine="540" w:firstLineChars="225"/>
        <w:rPr>
          <w:rFonts w:hint="eastAsia" w:ascii="宋体" w:hAnsi="宋体"/>
          <w:bCs/>
          <w:color w:val="auto"/>
          <w:sz w:val="24"/>
          <w:highlight w:val="none"/>
        </w:rPr>
      </w:pPr>
    </w:p>
    <w:p>
      <w:pPr>
        <w:shd w:val="clear" w:color="auto" w:fill="auto"/>
        <w:snapToGrid w:val="0"/>
        <w:spacing w:before="50" w:after="50"/>
        <w:ind w:firstLine="960" w:firstLineChars="400"/>
        <w:rPr>
          <w:rFonts w:hint="eastAsia" w:ascii="宋体" w:hAnsi="宋体"/>
          <w:bCs/>
          <w:color w:val="auto"/>
          <w:sz w:val="24"/>
          <w:highlight w:val="none"/>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line="360" w:lineRule="auto"/>
        <w:ind w:firstLine="420"/>
        <w:rPr>
          <w:rFonts w:hAnsi="宋体"/>
          <w:color w:val="auto"/>
          <w:sz w:val="30"/>
          <w:highlight w:val="none"/>
        </w:rPr>
        <w:sectPr>
          <w:pgSz w:w="11911" w:h="16838"/>
          <w:pgMar w:top="1134" w:right="1134" w:bottom="1134" w:left="1134" w:header="720" w:footer="720" w:gutter="0"/>
          <w:cols w:space="720" w:num="1"/>
          <w:titlePg/>
          <w:docGrid w:linePitch="331" w:charSpace="0"/>
        </w:sectPr>
      </w:pPr>
    </w:p>
    <w:p>
      <w:pPr>
        <w:shd w:val="clear" w:color="auto" w:fill="auto"/>
        <w:jc w:val="center"/>
        <w:rPr>
          <w:rFonts w:hint="eastAsia" w:ascii="仿宋_GB2312" w:hAnsi="仿宋" w:eastAsia="仿宋_GB2312" w:cs="仿宋_GB2312"/>
          <w:b/>
          <w:color w:val="auto"/>
          <w:kern w:val="0"/>
          <w:sz w:val="36"/>
          <w:szCs w:val="36"/>
          <w:highlight w:val="none"/>
        </w:rPr>
      </w:pPr>
      <w:r>
        <w:rPr>
          <w:rFonts w:hint="eastAsia" w:ascii="仿宋_GB2312" w:hAnsi="仿宋" w:eastAsia="仿宋_GB2312" w:cs="仿宋_GB2312"/>
          <w:b/>
          <w:color w:val="auto"/>
          <w:kern w:val="0"/>
          <w:sz w:val="36"/>
          <w:szCs w:val="36"/>
          <w:highlight w:val="none"/>
        </w:rPr>
        <w:t>资格证明文件目录</w:t>
      </w:r>
    </w:p>
    <w:p>
      <w:pPr>
        <w:shd w:val="clear" w:color="auto" w:fill="auto"/>
        <w:snapToGrid w:val="0"/>
        <w:spacing w:line="360" w:lineRule="auto"/>
        <w:rPr>
          <w:rFonts w:hint="eastAsia" w:ascii="仿宋_GB2312" w:hAnsi="仿宋" w:eastAsia="仿宋_GB2312" w:cs="仿宋_GB2312"/>
          <w:color w:val="auto"/>
          <w:kern w:val="0"/>
          <w:sz w:val="24"/>
          <w:highlight w:val="none"/>
        </w:rPr>
      </w:pP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w:t>
      </w:r>
      <w:r>
        <w:rPr>
          <w:rFonts w:hint="eastAsia" w:ascii="仿宋_GB2312" w:hAnsi="仿宋" w:eastAsia="仿宋_GB2312"/>
          <w:color w:val="auto"/>
          <w:sz w:val="24"/>
          <w:highlight w:val="none"/>
        </w:rPr>
        <w:t>营业执照(或者事业单位法人证书或者执业许可证等)复印件（投标人为自然人的，须提供</w:t>
      </w:r>
      <w:r>
        <w:rPr>
          <w:rFonts w:hint="eastAsia" w:ascii="仿宋_GB2312" w:hAnsi="仿宋" w:eastAsia="仿宋_GB2312" w:cs="Helvetica"/>
          <w:color w:val="auto"/>
          <w:kern w:val="0"/>
          <w:sz w:val="24"/>
          <w:highlight w:val="none"/>
        </w:rPr>
        <w:t>自然人的身份证明</w:t>
      </w:r>
      <w:r>
        <w:rPr>
          <w:rFonts w:hint="eastAsia" w:ascii="仿宋_GB2312" w:hAnsi="仿宋" w:eastAsia="仿宋_GB2312"/>
          <w:color w:val="auto"/>
          <w:sz w:val="24"/>
          <w:highlight w:val="none"/>
        </w:rPr>
        <w:t>）</w:t>
      </w:r>
      <w:r>
        <w:rPr>
          <w:rFonts w:hint="eastAsia" w:ascii="仿宋_GB2312" w:hAnsi="仿宋" w:eastAsia="仿宋_GB2312" w:cs="仿宋_GB2312"/>
          <w:color w:val="auto"/>
          <w:kern w:val="0"/>
          <w:sz w:val="24"/>
          <w:highlight w:val="none"/>
        </w:rPr>
        <w:t>…………………………………………………………………（页码）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二、投标人依法缴纳税收的相关材料…………………………………………………（页码）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三、投标人依法缴纳社会保障资金的相关材料………………………………………（页码）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kern w:val="0"/>
          <w:sz w:val="24"/>
          <w:highlight w:val="none"/>
        </w:rPr>
        <w:t>、投标人财务状况报告………………………………………………………………（页码）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五、投标人直接控股股东信息表</w:t>
      </w:r>
      <w:r>
        <w:rPr>
          <w:rFonts w:hint="eastAsia" w:ascii="仿宋_GB2312" w:hAnsi="仿宋" w:eastAsia="仿宋_GB2312" w:cs="仿宋_GB2312"/>
          <w:color w:val="auto"/>
          <w:kern w:val="0"/>
          <w:sz w:val="24"/>
          <w:highlight w:val="none"/>
        </w:rPr>
        <w:t>………………………………………………………（页码）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六</w:t>
      </w:r>
      <w:r>
        <w:rPr>
          <w:rFonts w:hint="eastAsia" w:ascii="仿宋_GB2312" w:hAnsi="仿宋" w:eastAsia="仿宋_GB2312" w:cs="仿宋_GB2312"/>
          <w:color w:val="auto"/>
          <w:sz w:val="24"/>
          <w:highlight w:val="none"/>
        </w:rPr>
        <w:t>、投标人直接管理关系信息表</w:t>
      </w:r>
      <w:r>
        <w:rPr>
          <w:rFonts w:hint="eastAsia" w:ascii="仿宋_GB2312" w:hAnsi="仿宋" w:eastAsia="仿宋_GB2312" w:cs="仿宋_GB2312"/>
          <w:color w:val="auto"/>
          <w:kern w:val="0"/>
          <w:sz w:val="24"/>
          <w:highlight w:val="none"/>
        </w:rPr>
        <w:t>………………………………………………………（页码）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七、投标声明函…………………………………………………………………………（页码）</w:t>
      </w:r>
    </w:p>
    <w:p>
      <w:pPr>
        <w:shd w:val="clear" w:color="auto" w:fill="auto"/>
        <w:snapToGri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八、知识产权合规性声明………………………………………………………………（页码）</w:t>
      </w:r>
    </w:p>
    <w:p>
      <w:pPr>
        <w:pStyle w:val="24"/>
        <w:shd w:val="clear" w:color="auto" w:fill="auto"/>
        <w:rPr>
          <w:rFonts w:hint="eastAsia" w:eastAsia="仿宋_GB2312"/>
          <w:color w:val="auto"/>
          <w:highlight w:val="none"/>
        </w:rPr>
      </w:pPr>
      <w:r>
        <w:rPr>
          <w:rFonts w:hint="eastAsia" w:ascii="仿宋_GB2312" w:hAnsi="仿宋" w:eastAsia="仿宋_GB2312" w:cs="仿宋_GB2312"/>
          <w:color w:val="auto"/>
          <w:sz w:val="24"/>
          <w:highlight w:val="none"/>
        </w:rPr>
        <w:t>九、中小企业声明函或残疾人福利性单位声明函或监狱企业证明文件……………（页码）</w:t>
      </w:r>
    </w:p>
    <w:p>
      <w:pPr>
        <w:shd w:val="clear" w:color="auto" w:fill="auto"/>
        <w:snapToGrid w:val="0"/>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sz w:val="24"/>
          <w:highlight w:val="none"/>
        </w:rPr>
        <w:t>十、</w:t>
      </w:r>
      <w:r>
        <w:rPr>
          <w:rFonts w:hint="eastAsia" w:ascii="仿宋_GB2312" w:hAnsi="仿宋" w:eastAsia="仿宋_GB2312" w:cs="仿宋_GB2312"/>
          <w:color w:val="auto"/>
          <w:kern w:val="0"/>
          <w:sz w:val="24"/>
          <w:highlight w:val="none"/>
        </w:rPr>
        <w:t>投标人认为需要提供的其他证明材料……………………………………………（页码）</w:t>
      </w:r>
    </w:p>
    <w:p>
      <w:pPr>
        <w:shd w:val="clear" w:color="auto" w:fill="auto"/>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注：以上目录是基本格式要求，各投标人可根据招标文件的要求及自身情况进一步增加内容或细化。</w:t>
      </w:r>
    </w:p>
    <w:p>
      <w:pPr>
        <w:shd w:val="clear" w:color="auto" w:fill="auto"/>
        <w:spacing w:line="360" w:lineRule="auto"/>
        <w:ind w:firstLine="420"/>
        <w:rPr>
          <w:rFonts w:hAnsi="宋体"/>
          <w:color w:val="auto"/>
          <w:sz w:val="30"/>
          <w:highlight w:val="none"/>
        </w:rPr>
        <w:sectPr>
          <w:pgSz w:w="11911" w:h="16838"/>
          <w:pgMar w:top="1134" w:right="1134" w:bottom="1134" w:left="1134" w:header="720" w:footer="720" w:gutter="0"/>
          <w:cols w:space="720" w:num="1"/>
          <w:titlePg/>
          <w:docGrid w:linePitch="331" w:charSpace="0"/>
        </w:sectPr>
      </w:pPr>
    </w:p>
    <w:p>
      <w:pPr>
        <w:shd w:val="clear" w:color="auto" w:fill="auto"/>
        <w:snapToGrid w:val="0"/>
        <w:spacing w:line="360" w:lineRule="auto"/>
        <w:rPr>
          <w:rFonts w:hint="eastAsia" w:ascii="仿宋_GB2312" w:hAnsi="仿宋" w:eastAsia="仿宋_GB2312" w:cs="仿宋_GB2312"/>
          <w:b/>
          <w:color w:val="auto"/>
          <w:kern w:val="0"/>
          <w:sz w:val="32"/>
          <w:szCs w:val="32"/>
          <w:highlight w:val="none"/>
          <w:lang w:val="zh-CN"/>
        </w:rPr>
      </w:pPr>
    </w:p>
    <w:p>
      <w:pPr>
        <w:shd w:val="clear" w:color="auto" w:fill="auto"/>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b/>
          <w:color w:val="auto"/>
          <w:kern w:val="0"/>
          <w:sz w:val="32"/>
          <w:szCs w:val="32"/>
          <w:highlight w:val="none"/>
          <w:lang w:val="zh-CN"/>
        </w:rPr>
        <w:t>一、</w:t>
      </w:r>
      <w:r>
        <w:rPr>
          <w:rFonts w:hint="eastAsia" w:ascii="仿宋_GB2312" w:hAnsi="仿宋" w:eastAsia="仿宋_GB2312" w:cs="仿宋_GB2312"/>
          <w:b/>
          <w:color w:val="auto"/>
          <w:sz w:val="30"/>
          <w:szCs w:val="30"/>
          <w:highlight w:val="none"/>
        </w:rPr>
        <w:t>营业执照(或者事业单位法人证书或者执业许可证等)复印件（投标人为自然人的，须提供自然人的身份证明）</w:t>
      </w:r>
    </w:p>
    <w:p>
      <w:pPr>
        <w:shd w:val="clear" w:color="auto" w:fill="auto"/>
        <w:spacing w:line="360" w:lineRule="auto"/>
        <w:rPr>
          <w:rFonts w:hint="eastAsia" w:ascii="仿宋_GB2312" w:hAnsi="仿宋" w:eastAsia="仿宋_GB2312" w:cs="仿宋_GB2312"/>
          <w:b/>
          <w:color w:val="auto"/>
          <w:sz w:val="30"/>
          <w:szCs w:val="30"/>
          <w:highlight w:val="none"/>
        </w:rPr>
      </w:pPr>
    </w:p>
    <w:p>
      <w:pPr>
        <w:shd w:val="clear" w:color="auto" w:fill="auto"/>
        <w:snapToGrid w:val="0"/>
        <w:spacing w:line="360" w:lineRule="auto"/>
        <w:ind w:firstLine="576"/>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投标人名称(电子签章)：                              </w:t>
      </w:r>
    </w:p>
    <w:p>
      <w:pPr>
        <w:shd w:val="clear" w:color="auto" w:fill="auto"/>
        <w:spacing w:line="360" w:lineRule="auto"/>
        <w:jc w:val="center"/>
        <w:rPr>
          <w:rFonts w:hint="eastAsia" w:ascii="仿宋_GB2312" w:hAnsi="仿宋" w:eastAsia="仿宋_GB2312" w:cs="仿宋_GB2312"/>
          <w:b/>
          <w:color w:val="auto"/>
          <w:sz w:val="30"/>
          <w:szCs w:val="30"/>
          <w:highlight w:val="none"/>
        </w:rPr>
      </w:pPr>
      <w:r>
        <w:rPr>
          <w:rFonts w:hint="eastAsia" w:ascii="仿宋_GB2312" w:hAnsi="仿宋" w:eastAsia="仿宋_GB2312" w:cs="仿宋_GB2312"/>
          <w:color w:val="auto"/>
          <w:kern w:val="0"/>
          <w:sz w:val="24"/>
          <w:highlight w:val="none"/>
          <w:lang w:val="zh-CN"/>
        </w:rPr>
        <w:t xml:space="preserve">                   日期：  年  月</w:t>
      </w:r>
    </w:p>
    <w:p>
      <w:pPr>
        <w:shd w:val="clear" w:color="auto" w:fill="auto"/>
        <w:spacing w:line="360" w:lineRule="auto"/>
        <w:jc w:val="center"/>
        <w:rPr>
          <w:rFonts w:hint="eastAsia" w:ascii="仿宋_GB2312" w:hAnsi="仿宋" w:eastAsia="仿宋_GB2312" w:cs="仿宋_GB2312"/>
          <w:b/>
          <w:color w:val="auto"/>
          <w:sz w:val="30"/>
          <w:szCs w:val="30"/>
          <w:highlight w:val="none"/>
        </w:rPr>
      </w:pPr>
    </w:p>
    <w:p>
      <w:pPr>
        <w:shd w:val="clear" w:color="auto" w:fill="auto"/>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二、</w:t>
      </w:r>
      <w:r>
        <w:rPr>
          <w:rFonts w:hint="eastAsia" w:ascii="仿宋_GB2312" w:hAnsi="仿宋" w:eastAsia="仿宋_GB2312" w:cs="仿宋_GB2312"/>
          <w:b/>
          <w:color w:val="auto"/>
          <w:kern w:val="0"/>
          <w:sz w:val="32"/>
          <w:szCs w:val="32"/>
          <w:highlight w:val="none"/>
        </w:rPr>
        <w:t>投标人依法缴纳税收的相关材料</w:t>
      </w:r>
    </w:p>
    <w:p>
      <w:pPr>
        <w:shd w:val="clear" w:color="auto" w:fill="auto"/>
        <w:snapToGrid w:val="0"/>
        <w:spacing w:line="360" w:lineRule="auto"/>
        <w:ind w:firstLine="480" w:firstLineChars="200"/>
        <w:rPr>
          <w:rFonts w:hint="eastAsia" w:ascii="仿宋_GB2312" w:hAnsi="仿宋" w:eastAsia="仿宋_GB2312" w:cs="仿宋_GB2312"/>
          <w:color w:val="auto"/>
          <w:sz w:val="24"/>
          <w:highlight w:val="none"/>
        </w:rPr>
      </w:pPr>
    </w:p>
    <w:p>
      <w:pPr>
        <w:shd w:val="clear" w:color="auto" w:fill="auto"/>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after="120"/>
        <w:rPr>
          <w:rFonts w:hint="eastAsia"/>
          <w:color w:val="auto"/>
          <w:highlight w:val="none"/>
          <w:lang w:val="zh-CN"/>
        </w:rPr>
      </w:pPr>
    </w:p>
    <w:p>
      <w:pPr>
        <w:shd w:val="clear" w:color="auto" w:fill="auto"/>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三、</w:t>
      </w:r>
      <w:r>
        <w:rPr>
          <w:rFonts w:hint="eastAsia" w:ascii="仿宋_GB2312" w:hAnsi="仿宋" w:eastAsia="仿宋_GB2312" w:cs="仿宋_GB2312"/>
          <w:b/>
          <w:color w:val="auto"/>
          <w:kern w:val="0"/>
          <w:sz w:val="32"/>
          <w:szCs w:val="32"/>
          <w:highlight w:val="none"/>
        </w:rPr>
        <w:t>投标人依法缴纳社会保障资金的相关材料</w:t>
      </w:r>
    </w:p>
    <w:p>
      <w:pPr>
        <w:shd w:val="clear" w:color="auto" w:fill="auto"/>
        <w:snapToGrid w:val="0"/>
        <w:spacing w:line="360" w:lineRule="auto"/>
        <w:ind w:firstLine="480" w:firstLineChars="200"/>
        <w:rPr>
          <w:rFonts w:hint="eastAsia" w:ascii="仿宋_GB2312" w:hAnsi="仿宋" w:eastAsia="仿宋_GB2312" w:cs="仿宋_GB2312"/>
          <w:color w:val="auto"/>
          <w:sz w:val="24"/>
          <w:highlight w:val="none"/>
        </w:rPr>
      </w:pPr>
    </w:p>
    <w:p>
      <w:pPr>
        <w:shd w:val="clear" w:color="auto" w:fill="auto"/>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after="120"/>
        <w:rPr>
          <w:rFonts w:hint="eastAsia"/>
          <w:color w:val="auto"/>
          <w:highlight w:val="none"/>
          <w:lang w:val="zh-CN"/>
        </w:rPr>
      </w:pPr>
    </w:p>
    <w:p>
      <w:pPr>
        <w:shd w:val="clear" w:color="auto" w:fill="auto"/>
        <w:snapToGrid w:val="0"/>
        <w:spacing w:line="360" w:lineRule="auto"/>
        <w:ind w:right="480"/>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sz w:val="30"/>
          <w:szCs w:val="30"/>
          <w:highlight w:val="none"/>
        </w:rPr>
        <w:t>四、</w:t>
      </w:r>
      <w:r>
        <w:rPr>
          <w:rFonts w:hint="eastAsia" w:ascii="仿宋_GB2312" w:hAnsi="仿宋" w:eastAsia="仿宋_GB2312" w:cs="仿宋_GB2312"/>
          <w:b/>
          <w:color w:val="auto"/>
          <w:kern w:val="0"/>
          <w:sz w:val="32"/>
          <w:szCs w:val="32"/>
          <w:highlight w:val="none"/>
        </w:rPr>
        <w:t>投标人财务状况报告</w:t>
      </w:r>
    </w:p>
    <w:p>
      <w:pPr>
        <w:shd w:val="clear" w:color="auto" w:fill="auto"/>
        <w:snapToGrid w:val="0"/>
        <w:spacing w:line="360" w:lineRule="auto"/>
        <w:ind w:firstLine="480" w:firstLineChars="200"/>
        <w:rPr>
          <w:rFonts w:hint="eastAsia" w:ascii="仿宋_GB2312" w:hAnsi="仿宋" w:eastAsia="仿宋_GB2312" w:cs="仿宋_GB2312"/>
          <w:color w:val="auto"/>
          <w:sz w:val="24"/>
          <w:highlight w:val="none"/>
        </w:rPr>
      </w:pPr>
    </w:p>
    <w:p>
      <w:pPr>
        <w:shd w:val="clear" w:color="auto" w:fill="auto"/>
        <w:snapToGrid w:val="0"/>
        <w:spacing w:line="360" w:lineRule="auto"/>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                                          </w:t>
      </w: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 xml:space="preserve"> 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hd w:val="clear" w:color="auto" w:fill="auto"/>
        <w:snapToGrid w:val="0"/>
        <w:spacing w:line="360" w:lineRule="auto"/>
        <w:ind w:right="480"/>
        <w:jc w:val="center"/>
        <w:rPr>
          <w:rFonts w:hint="eastAsia" w:ascii="仿宋_GB2312" w:hAnsi="仿宋" w:eastAsia="仿宋_GB2312" w:cs="仿宋_GB2312"/>
          <w:b/>
          <w:color w:val="auto"/>
          <w:kern w:val="0"/>
          <w:sz w:val="32"/>
          <w:szCs w:val="32"/>
          <w:highlight w:val="none"/>
          <w:lang w:val="zh-CN"/>
        </w:rPr>
      </w:pPr>
    </w:p>
    <w:p>
      <w:pPr>
        <w:shd w:val="clear" w:color="auto" w:fill="auto"/>
        <w:snapToGrid w:val="0"/>
        <w:spacing w:line="360" w:lineRule="auto"/>
        <w:ind w:right="480"/>
        <w:jc w:val="center"/>
        <w:rPr>
          <w:rFonts w:hint="eastAsia" w:ascii="宋体" w:hAnsi="宋体"/>
          <w:b/>
          <w:color w:val="auto"/>
          <w:sz w:val="28"/>
          <w:szCs w:val="28"/>
          <w:highlight w:val="none"/>
        </w:rPr>
      </w:pPr>
      <w:r>
        <w:rPr>
          <w:rFonts w:hint="eastAsia" w:ascii="仿宋_GB2312" w:hAnsi="仿宋" w:eastAsia="仿宋_GB2312" w:cs="仿宋_GB2312"/>
          <w:b/>
          <w:color w:val="auto"/>
          <w:kern w:val="0"/>
          <w:sz w:val="32"/>
          <w:szCs w:val="32"/>
          <w:highlight w:val="none"/>
        </w:rPr>
        <w:br w:type="page"/>
      </w:r>
    </w:p>
    <w:p>
      <w:pPr>
        <w:shd w:val="clear" w:color="auto" w:fill="auto"/>
        <w:snapToGrid w:val="0"/>
        <w:spacing w:before="50" w:after="120" w:afterLines="50" w:line="360" w:lineRule="auto"/>
        <w:jc w:val="center"/>
        <w:rPr>
          <w:rFonts w:hint="eastAsia" w:ascii="仿宋_GB2312" w:hAnsi="仿宋" w:eastAsia="仿宋_GB2312" w:cs="仿宋_GB2312"/>
          <w:b/>
          <w:color w:val="auto"/>
          <w:kern w:val="0"/>
          <w:sz w:val="32"/>
          <w:szCs w:val="32"/>
          <w:highlight w:val="none"/>
        </w:rPr>
      </w:pPr>
      <w:r>
        <w:rPr>
          <w:rFonts w:hint="eastAsia" w:ascii="仿宋_GB2312" w:hAnsi="仿宋" w:eastAsia="仿宋_GB2312" w:cs="仿宋_GB2312"/>
          <w:b/>
          <w:color w:val="auto"/>
          <w:kern w:val="0"/>
          <w:sz w:val="32"/>
          <w:szCs w:val="32"/>
          <w:highlight w:val="none"/>
        </w:rPr>
        <w:t>五、投标人直接控股股东信息表</w:t>
      </w:r>
    </w:p>
    <w:tbl>
      <w:tblPr>
        <w:tblStyle w:val="35"/>
        <w:tblW w:w="0" w:type="auto"/>
        <w:tblInd w:w="125" w:type="dxa"/>
        <w:shd w:val="clear" w:color="auto" w:fill="FBFBFB"/>
        <w:tblLayout w:type="fixed"/>
        <w:tblCellMar>
          <w:top w:w="0" w:type="dxa"/>
          <w:left w:w="0" w:type="dxa"/>
          <w:bottom w:w="0" w:type="dxa"/>
          <w:right w:w="0" w:type="dxa"/>
        </w:tblCellMar>
      </w:tblPr>
      <w:tblGrid>
        <w:gridCol w:w="828"/>
        <w:gridCol w:w="2269"/>
        <w:gridCol w:w="1239"/>
        <w:gridCol w:w="3879"/>
        <w:gridCol w:w="1261"/>
      </w:tblGrid>
      <w:tr>
        <w:tblPrEx>
          <w:shd w:val="clear" w:color="auto" w:fill="FBFBFB"/>
          <w:tblCellMar>
            <w:top w:w="0" w:type="dxa"/>
            <w:left w:w="0" w:type="dxa"/>
            <w:bottom w:w="0" w:type="dxa"/>
            <w:right w:w="0" w:type="dxa"/>
          </w:tblCellMar>
        </w:tblPrEx>
        <w:trPr>
          <w:tblHeader/>
        </w:trPr>
        <w:tc>
          <w:tcPr>
            <w:tcW w:w="828"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26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直接控股股东名称</w:t>
            </w:r>
          </w:p>
        </w:tc>
        <w:tc>
          <w:tcPr>
            <w:tcW w:w="123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出资比例</w:t>
            </w:r>
          </w:p>
        </w:tc>
        <w:tc>
          <w:tcPr>
            <w:tcW w:w="387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身份证号码或者统一社会信用代码</w:t>
            </w:r>
          </w:p>
        </w:tc>
        <w:tc>
          <w:tcPr>
            <w:tcW w:w="1261"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828"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26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3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87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1261"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bl>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2.本表所指的控股关系仅限于直接控股关系，不包括间接的控股关系。公司实际控制人与公司之间的关系不属于本表所指的直接控股关系。</w:t>
      </w:r>
    </w:p>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3.供应商不存在直接控股股东的，则填“无”。</w:t>
      </w:r>
    </w:p>
    <w:p>
      <w:pPr>
        <w:shd w:val="clear" w:color="auto" w:fill="auto"/>
        <w:snapToGrid w:val="0"/>
        <w:spacing w:line="360" w:lineRule="auto"/>
        <w:jc w:val="left"/>
        <w:rPr>
          <w:rFonts w:hint="eastAsia" w:ascii="宋体" w:hAnsi="宋体"/>
          <w:color w:val="auto"/>
          <w:sz w:val="24"/>
          <w:highlight w:val="none"/>
        </w:rPr>
      </w:pPr>
    </w:p>
    <w:p>
      <w:pPr>
        <w:shd w:val="clear" w:color="auto" w:fill="auto"/>
        <w:snapToGrid w:val="0"/>
        <w:spacing w:line="360" w:lineRule="auto"/>
        <w:jc w:val="left"/>
        <w:rPr>
          <w:rFonts w:hint="eastAsia" w:ascii="宋体" w:hAnsi="宋体"/>
          <w:color w:val="auto"/>
          <w:sz w:val="24"/>
          <w:highlight w:val="none"/>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jc w:val="center"/>
        <w:rPr>
          <w:rFonts w:hint="eastAsia" w:ascii="宋体" w:hAnsi="宋体"/>
          <w:b/>
          <w:color w:val="auto"/>
          <w:sz w:val="28"/>
          <w:szCs w:val="28"/>
          <w:highlight w:val="none"/>
        </w:rPr>
      </w:pPr>
      <w:r>
        <w:rPr>
          <w:rFonts w:hint="eastAsia" w:ascii="宋体" w:hAnsi="宋体"/>
          <w:b/>
          <w:color w:val="auto"/>
          <w:sz w:val="28"/>
          <w:szCs w:val="28"/>
          <w:highlight w:val="none"/>
        </w:rPr>
        <w:br w:type="page"/>
      </w:r>
    </w:p>
    <w:p>
      <w:pPr>
        <w:shd w:val="clear" w:color="auto" w:fill="auto"/>
        <w:snapToGrid w:val="0"/>
        <w:spacing w:line="360" w:lineRule="auto"/>
        <w:jc w:val="center"/>
        <w:rPr>
          <w:rFonts w:hint="eastAsia" w:ascii="宋体" w:hAnsi="宋体"/>
          <w:color w:val="auto"/>
          <w:sz w:val="32"/>
          <w:szCs w:val="32"/>
          <w:highlight w:val="none"/>
        </w:rPr>
      </w:pPr>
      <w:r>
        <w:rPr>
          <w:rFonts w:hint="eastAsia" w:ascii="宋体" w:hAnsi="宋体"/>
          <w:b/>
          <w:color w:val="auto"/>
          <w:sz w:val="32"/>
          <w:szCs w:val="32"/>
          <w:highlight w:val="none"/>
        </w:rPr>
        <w:t>六、投标人直接管理关系信息表</w:t>
      </w:r>
    </w:p>
    <w:tbl>
      <w:tblPr>
        <w:tblStyle w:val="35"/>
        <w:tblW w:w="0" w:type="auto"/>
        <w:tblInd w:w="125" w:type="dxa"/>
        <w:shd w:val="clear" w:color="auto" w:fill="FBFBFB"/>
        <w:tblLayout w:type="fixed"/>
        <w:tblCellMar>
          <w:top w:w="0" w:type="dxa"/>
          <w:left w:w="0" w:type="dxa"/>
          <w:bottom w:w="0" w:type="dxa"/>
          <w:right w:w="0" w:type="dxa"/>
        </w:tblCellMar>
      </w:tblPr>
      <w:tblGrid>
        <w:gridCol w:w="1005"/>
        <w:gridCol w:w="2659"/>
        <w:gridCol w:w="3924"/>
        <w:gridCol w:w="2064"/>
      </w:tblGrid>
      <w:tr>
        <w:tblPrEx>
          <w:shd w:val="clear" w:color="auto" w:fill="FBFBFB"/>
          <w:tblCellMar>
            <w:top w:w="0" w:type="dxa"/>
            <w:left w:w="0" w:type="dxa"/>
            <w:bottom w:w="0" w:type="dxa"/>
            <w:right w:w="0" w:type="dxa"/>
          </w:tblCellMar>
        </w:tblPrEx>
        <w:trPr>
          <w:tblHeader/>
        </w:trPr>
        <w:tc>
          <w:tcPr>
            <w:tcW w:w="1005"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序号</w:t>
            </w:r>
          </w:p>
        </w:tc>
        <w:tc>
          <w:tcPr>
            <w:tcW w:w="2659"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直接管理关系单位名称</w:t>
            </w:r>
          </w:p>
        </w:tc>
        <w:tc>
          <w:tcPr>
            <w:tcW w:w="392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统一社会信用代码</w:t>
            </w:r>
          </w:p>
        </w:tc>
        <w:tc>
          <w:tcPr>
            <w:tcW w:w="2064" w:type="dxa"/>
            <w:tcBorders>
              <w:top w:val="single" w:color="auto" w:sz="4" w:space="0"/>
              <w:left w:val="single" w:color="auto" w:sz="4" w:space="0"/>
              <w:bottom w:val="single" w:color="auto" w:sz="4" w:space="0"/>
              <w:right w:val="single" w:color="auto" w:sz="4" w:space="0"/>
            </w:tcBorders>
            <w:shd w:val="clear" w:color="auto" w:fill="EAE3D8"/>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b/>
                <w:bCs/>
                <w:color w:val="auto"/>
                <w:kern w:val="0"/>
                <w:sz w:val="24"/>
                <w:highlight w:val="none"/>
              </w:rPr>
            </w:pPr>
            <w:r>
              <w:rPr>
                <w:rFonts w:hint="eastAsia" w:ascii="宋体" w:hAnsi="宋体" w:cs="宋体"/>
                <w:b/>
                <w:bCs/>
                <w:color w:val="auto"/>
                <w:kern w:val="0"/>
                <w:sz w:val="24"/>
                <w:highlight w:val="none"/>
              </w:rPr>
              <w:t>备注</w:t>
            </w: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1</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2</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3</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r>
        <w:tblPrEx>
          <w:tblCellMar>
            <w:top w:w="0" w:type="dxa"/>
            <w:left w:w="0" w:type="dxa"/>
            <w:bottom w:w="0" w:type="dxa"/>
            <w:right w:w="0" w:type="dxa"/>
          </w:tblCellMar>
        </w:tblPrEx>
        <w:tc>
          <w:tcPr>
            <w:tcW w:w="1005"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w:t>
            </w:r>
          </w:p>
        </w:tc>
        <w:tc>
          <w:tcPr>
            <w:tcW w:w="2659"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392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c>
          <w:tcPr>
            <w:tcW w:w="2064" w:type="dxa"/>
            <w:tcBorders>
              <w:top w:val="single" w:color="auto" w:sz="4" w:space="0"/>
              <w:left w:val="single" w:color="auto" w:sz="4" w:space="0"/>
              <w:bottom w:val="single" w:color="auto" w:sz="4" w:space="0"/>
              <w:right w:val="single" w:color="auto" w:sz="4" w:space="0"/>
            </w:tcBorders>
            <w:shd w:val="clear" w:color="auto" w:fill="F9F9F9"/>
            <w:noWrap w:val="0"/>
            <w:tcMar>
              <w:top w:w="120" w:type="dxa"/>
              <w:left w:w="120" w:type="dxa"/>
              <w:bottom w:w="120" w:type="dxa"/>
              <w:right w:w="120" w:type="dxa"/>
            </w:tcMar>
            <w:vAlign w:val="center"/>
          </w:tcPr>
          <w:p>
            <w:pPr>
              <w:shd w:val="clear" w:color="auto" w:fill="auto"/>
              <w:spacing w:line="360" w:lineRule="auto"/>
              <w:jc w:val="center"/>
              <w:rPr>
                <w:rFonts w:hint="eastAsia" w:ascii="宋体" w:hAnsi="宋体" w:cs="宋体"/>
                <w:color w:val="auto"/>
                <w:kern w:val="0"/>
                <w:sz w:val="24"/>
                <w:highlight w:val="none"/>
              </w:rPr>
            </w:pPr>
          </w:p>
        </w:tc>
      </w:tr>
    </w:tbl>
    <w:p>
      <w:pPr>
        <w:shd w:val="clear" w:color="auto" w:fill="auto"/>
        <w:snapToGrid w:val="0"/>
        <w:spacing w:line="360" w:lineRule="auto"/>
        <w:jc w:val="left"/>
        <w:rPr>
          <w:rFonts w:hint="eastAsia" w:ascii="宋体" w:hAnsi="宋体"/>
          <w:color w:val="auto"/>
          <w:sz w:val="24"/>
          <w:highlight w:val="none"/>
        </w:rPr>
      </w:pPr>
      <w:r>
        <w:rPr>
          <w:rFonts w:hint="eastAsia" w:ascii="宋体" w:hAnsi="宋体"/>
          <w:color w:val="auto"/>
          <w:sz w:val="24"/>
          <w:highlight w:val="none"/>
        </w:rPr>
        <w:t>注：</w:t>
      </w:r>
    </w:p>
    <w:p>
      <w:pPr>
        <w:shd w:val="clear" w:color="auto" w:fill="auto"/>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1.管理关系：是指不具有出资持股关系的其他单位之间存在的管理与被管理关系，如一些上下级关系的事业单位和团体组织。</w:t>
      </w:r>
    </w:p>
    <w:p>
      <w:pPr>
        <w:shd w:val="clear" w:color="auto" w:fill="auto"/>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pacing w:val="-6"/>
          <w:sz w:val="24"/>
          <w:highlight w:val="none"/>
        </w:rPr>
        <w:t>本表所指的管理关系仅限于直接管理关系，不包括间接的管理关系。</w:t>
      </w:r>
    </w:p>
    <w:p>
      <w:pPr>
        <w:shd w:val="clear" w:color="auto" w:fill="auto"/>
        <w:snapToGri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3.供应商不存在直接管理关系的，则填“无”。</w:t>
      </w:r>
    </w:p>
    <w:p>
      <w:pPr>
        <w:shd w:val="clear" w:color="auto" w:fill="auto"/>
        <w:snapToGrid w:val="0"/>
        <w:spacing w:line="360" w:lineRule="auto"/>
        <w:jc w:val="left"/>
        <w:rPr>
          <w:color w:val="auto"/>
          <w:sz w:val="24"/>
          <w:highlight w:val="none"/>
        </w:rPr>
      </w:pPr>
    </w:p>
    <w:p>
      <w:pPr>
        <w:shd w:val="clear" w:color="auto" w:fill="auto"/>
        <w:snapToGrid w:val="0"/>
        <w:spacing w:line="360" w:lineRule="auto"/>
        <w:jc w:val="left"/>
        <w:rPr>
          <w:rFonts w:ascii="宋体" w:hAnsi="宋体"/>
          <w:color w:val="auto"/>
          <w:sz w:val="24"/>
          <w:highlight w:val="none"/>
        </w:rPr>
      </w:pPr>
    </w:p>
    <w:p>
      <w:pPr>
        <w:shd w:val="clear" w:color="auto" w:fill="auto"/>
        <w:snapToGrid w:val="0"/>
        <w:spacing w:line="360" w:lineRule="auto"/>
        <w:jc w:val="left"/>
        <w:rPr>
          <w:rFonts w:hint="eastAsia" w:ascii="宋体" w:hAnsi="宋体"/>
          <w:color w:val="auto"/>
          <w:sz w:val="24"/>
          <w:highlight w:val="none"/>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jc w:val="left"/>
        <w:rPr>
          <w:rFonts w:hint="eastAsia" w:ascii="宋体" w:hAnsi="宋体"/>
          <w:color w:val="auto"/>
          <w:highlight w:val="none"/>
        </w:rPr>
      </w:pPr>
      <w:r>
        <w:rPr>
          <w:rFonts w:hint="eastAsia" w:ascii="宋体" w:hAnsi="宋体"/>
          <w:b/>
          <w:color w:val="auto"/>
          <w:sz w:val="24"/>
          <w:szCs w:val="20"/>
          <w:highlight w:val="none"/>
        </w:rPr>
        <w:br w:type="page"/>
      </w:r>
    </w:p>
    <w:p>
      <w:pPr>
        <w:shd w:val="clear" w:color="auto" w:fill="auto"/>
        <w:snapToGrid w:val="0"/>
        <w:spacing w:before="50" w:after="120" w:afterLines="50"/>
        <w:jc w:val="center"/>
        <w:rPr>
          <w:rFonts w:hint="eastAsia" w:ascii="宋体" w:hAnsi="宋体"/>
          <w:b/>
          <w:color w:val="auto"/>
          <w:sz w:val="32"/>
          <w:szCs w:val="32"/>
          <w:highlight w:val="none"/>
        </w:rPr>
      </w:pPr>
      <w:r>
        <w:rPr>
          <w:rFonts w:hint="eastAsia" w:ascii="宋体" w:hAnsi="宋体"/>
          <w:b/>
          <w:color w:val="auto"/>
          <w:sz w:val="32"/>
          <w:szCs w:val="32"/>
          <w:highlight w:val="none"/>
        </w:rPr>
        <w:t>七、投标声明函</w:t>
      </w:r>
    </w:p>
    <w:p>
      <w:pPr>
        <w:shd w:val="clear" w:color="auto" w:fill="auto"/>
        <w:tabs>
          <w:tab w:val="left" w:pos="7200"/>
        </w:tabs>
        <w:spacing w:line="360" w:lineRule="auto"/>
        <w:rPr>
          <w:rFonts w:hint="eastAsia" w:ascii="宋体" w:hAnsi="宋体"/>
          <w:color w:val="auto"/>
          <w:szCs w:val="21"/>
          <w:highlight w:val="none"/>
        </w:rPr>
      </w:pPr>
    </w:p>
    <w:p>
      <w:pPr>
        <w:shd w:val="clear" w:color="auto" w:fill="auto"/>
        <w:tabs>
          <w:tab w:val="left" w:pos="7200"/>
        </w:tabs>
        <w:spacing w:line="360" w:lineRule="auto"/>
        <w:rPr>
          <w:rFonts w:hint="eastAsia" w:ascii="宋体" w:hAnsi="宋体"/>
          <w:color w:val="auto"/>
          <w:szCs w:val="21"/>
          <w:highlight w:val="none"/>
        </w:rPr>
      </w:pPr>
      <w:r>
        <w:rPr>
          <w:rFonts w:hint="eastAsia" w:ascii="宋体" w:hAnsi="宋体"/>
          <w:color w:val="auto"/>
          <w:szCs w:val="21"/>
          <w:highlight w:val="none"/>
        </w:rPr>
        <w:t>致：</w:t>
      </w:r>
      <w:r>
        <w:rPr>
          <w:rFonts w:ascii="宋体" w:hAnsi="宋体"/>
          <w:color w:val="auto"/>
          <w:szCs w:val="21"/>
          <w:highlight w:val="none"/>
          <w:u w:val="single"/>
        </w:rPr>
        <w:t xml:space="preserve">                      </w:t>
      </w:r>
      <w:r>
        <w:rPr>
          <w:rFonts w:hint="eastAsia" w:ascii="宋体" w:hAnsi="宋体"/>
          <w:color w:val="auto"/>
          <w:szCs w:val="21"/>
          <w:highlight w:val="none"/>
        </w:rPr>
        <w:t>（采购代理机构名称）</w:t>
      </w:r>
    </w:p>
    <w:p>
      <w:pPr>
        <w:shd w:val="clear" w:color="auto" w:fill="auto"/>
        <w:snapToGrid w:val="0"/>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我方愿意参加贵方组织的</w:t>
      </w:r>
      <w:r>
        <w:rPr>
          <w:rFonts w:ascii="宋体" w:hAnsi="宋体"/>
          <w:color w:val="auto"/>
          <w:szCs w:val="21"/>
          <w:highlight w:val="none"/>
          <w:u w:val="single"/>
        </w:rPr>
        <w:t xml:space="preserve"> (</w:t>
      </w:r>
      <w:r>
        <w:rPr>
          <w:rFonts w:hint="eastAsia" w:ascii="宋体" w:hAnsi="宋体"/>
          <w:color w:val="auto"/>
          <w:szCs w:val="21"/>
          <w:highlight w:val="none"/>
          <w:u w:val="single"/>
        </w:rPr>
        <w:t>项目名称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（项目编号：</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）项目的投标，为便于贵方公正、择优地确定中标供应商，我方就本次投标有关事项郑重声明如下：</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 xml:space="preserve">. </w:t>
      </w:r>
      <w:r>
        <w:rPr>
          <w:rFonts w:hint="eastAsia" w:ascii="宋体" w:hAnsi="宋体"/>
          <w:color w:val="auto"/>
          <w:szCs w:val="21"/>
          <w:highlight w:val="none"/>
        </w:rPr>
        <w:t>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2.经查询，在“信用中国”和“中国政府采购网”网站我方未被列入失信被执行人、重大税收违法案件当事人名单（重大税收违法失信主体）、政府采购严重违法失信行为记录名单。</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 xml:space="preserve">3.以上事项如有虚假或隐瞒，我方愿意承担一切后果，并不再寻求任何旨在减轻或免除法律责任的辩解。 </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说明：</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1.投标人应当通过 “信用中国”（www.creditchina.gov.cn）和“中国政府采购网”网站（www.ccgp.gov.cn）查询投标人相关主体的信用记录。查询时间为本项目投标截止时间前10日至投标截止时间中任意一天。对列入失信被执行人、重大税收违法案件当事人名单（重大税收违法失信主体）、政府采购严重违法失信行为记录名单的投标人，</w:t>
      </w:r>
      <w:r>
        <w:rPr>
          <w:rFonts w:hint="eastAsia" w:ascii="宋体" w:hAnsi="宋体"/>
          <w:b/>
          <w:bCs/>
          <w:color w:val="auto"/>
          <w:szCs w:val="21"/>
          <w:highlight w:val="none"/>
        </w:rPr>
        <w:t>将被拒绝参与本项目政府采购活动</w:t>
      </w:r>
      <w:r>
        <w:rPr>
          <w:rFonts w:hint="eastAsia" w:ascii="宋体" w:hAnsi="宋体"/>
          <w:color w:val="auto"/>
          <w:szCs w:val="21"/>
          <w:highlight w:val="none"/>
        </w:rPr>
        <w:t>。</w:t>
      </w:r>
    </w:p>
    <w:p>
      <w:pPr>
        <w:shd w:val="clear" w:color="auto" w:fill="auto"/>
        <w:snapToGrid w:val="0"/>
        <w:spacing w:line="360" w:lineRule="auto"/>
        <w:ind w:firstLine="420" w:firstLineChars="200"/>
        <w:jc w:val="left"/>
        <w:rPr>
          <w:rFonts w:hint="eastAsia" w:ascii="宋体" w:hAnsi="宋体"/>
          <w:color w:val="auto"/>
          <w:szCs w:val="21"/>
          <w:highlight w:val="none"/>
        </w:rPr>
      </w:pPr>
      <w:r>
        <w:rPr>
          <w:rFonts w:hint="eastAsia" w:ascii="宋体" w:hAnsi="宋体"/>
          <w:color w:val="auto"/>
          <w:szCs w:val="21"/>
          <w:highlight w:val="none"/>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hd w:val="clear" w:color="auto" w:fill="auto"/>
        <w:snapToGrid w:val="0"/>
        <w:spacing w:line="360" w:lineRule="auto"/>
        <w:ind w:firstLine="420" w:firstLineChars="200"/>
        <w:jc w:val="left"/>
        <w:rPr>
          <w:rFonts w:hint="eastAsia" w:ascii="宋体" w:hAnsi="宋体"/>
          <w:b/>
          <w:bCs/>
          <w:color w:val="auto"/>
          <w:sz w:val="24"/>
          <w:highlight w:val="none"/>
        </w:rPr>
      </w:pPr>
      <w:r>
        <w:rPr>
          <w:rFonts w:hint="eastAsia" w:ascii="宋体" w:hAnsi="宋体"/>
          <w:color w:val="auto"/>
          <w:szCs w:val="21"/>
          <w:highlight w:val="none"/>
        </w:rPr>
        <w:t>3.如为联合体投标，盖章处须加盖联合体各方公章并由联合体各方法定代表人分别签署，</w:t>
      </w:r>
      <w:r>
        <w:rPr>
          <w:rFonts w:hint="eastAsia" w:ascii="宋体" w:hAnsi="宋体"/>
          <w:b/>
          <w:bCs/>
          <w:color w:val="auto"/>
          <w:szCs w:val="21"/>
          <w:highlight w:val="none"/>
        </w:rPr>
        <w:t>否则投标无效。</w:t>
      </w:r>
      <w:r>
        <w:rPr>
          <w:rFonts w:hint="eastAsia" w:ascii="宋体" w:hAnsi="宋体"/>
          <w:b/>
          <w:bCs/>
          <w:color w:val="auto"/>
          <w:sz w:val="24"/>
          <w:highlight w:val="none"/>
        </w:rPr>
        <w:t xml:space="preserve">                                     </w:t>
      </w:r>
    </w:p>
    <w:p>
      <w:pPr>
        <w:shd w:val="clear" w:color="auto" w:fill="auto"/>
        <w:snapToGrid w:val="0"/>
        <w:spacing w:line="360" w:lineRule="auto"/>
        <w:ind w:left="5626" w:leftChars="1736" w:hanging="1980" w:hangingChars="825"/>
        <w:rPr>
          <w:rFonts w:hint="eastAsia" w:ascii="仿宋_GB2312" w:hAnsi="仿宋" w:eastAsia="仿宋_GB2312" w:cs="仿宋_GB2312"/>
          <w:color w:val="auto"/>
          <w:kern w:val="0"/>
          <w:sz w:val="24"/>
          <w:highlight w:val="none"/>
        </w:rPr>
      </w:pPr>
      <w:r>
        <w:rPr>
          <w:rFonts w:hint="eastAsia" w:ascii="宋体" w:hAnsi="宋体"/>
          <w:color w:val="auto"/>
          <w:sz w:val="24"/>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50" w:after="240" w:afterLines="100" w:line="360" w:lineRule="auto"/>
        <w:ind w:left="7426" w:leftChars="2565" w:hanging="2040" w:hangingChars="850"/>
        <w:jc w:val="left"/>
        <w:rPr>
          <w:rFonts w:hint="eastAsia" w:ascii="仿宋_GB2312" w:hAnsi="仿宋" w:eastAsia="仿宋_GB2312" w:cs="仿宋_GB2312"/>
          <w:color w:val="auto"/>
          <w:kern w:val="0"/>
          <w:sz w:val="24"/>
          <w:highlight w:val="none"/>
          <w:lang w:val="zh-CN"/>
        </w:rPr>
      </w:pPr>
    </w:p>
    <w:p>
      <w:pPr>
        <w:shd w:val="clear" w:color="auto" w:fill="auto"/>
        <w:spacing w:line="600" w:lineRule="exact"/>
        <w:jc w:val="center"/>
        <w:rPr>
          <w:rFonts w:hint="eastAsia"/>
          <w:b/>
          <w:bCs/>
          <w:color w:val="auto"/>
          <w:sz w:val="30"/>
          <w:szCs w:val="30"/>
          <w:highlight w:val="none"/>
        </w:rPr>
      </w:pPr>
      <w:r>
        <w:rPr>
          <w:rFonts w:hint="eastAsia"/>
          <w:b/>
          <w:bCs/>
          <w:color w:val="auto"/>
          <w:sz w:val="30"/>
          <w:szCs w:val="30"/>
          <w:highlight w:val="none"/>
        </w:rPr>
        <w:br w:type="page"/>
      </w:r>
    </w:p>
    <w:p>
      <w:pPr>
        <w:shd w:val="clear" w:color="auto" w:fill="auto"/>
        <w:jc w:val="center"/>
        <w:rPr>
          <w:rFonts w:hint="eastAsia" w:ascii="宋体" w:hAnsi="宋体" w:cs="宋体"/>
          <w:b/>
          <w:bCs/>
          <w:color w:val="auto"/>
          <w:sz w:val="32"/>
          <w:szCs w:val="32"/>
          <w:highlight w:val="none"/>
          <w:lang w:val="en"/>
        </w:rPr>
      </w:pPr>
      <w:r>
        <w:rPr>
          <w:rFonts w:hint="eastAsia" w:ascii="宋体" w:hAnsi="宋体" w:cs="宋体"/>
          <w:b/>
          <w:bCs/>
          <w:color w:val="auto"/>
          <w:sz w:val="32"/>
          <w:szCs w:val="32"/>
          <w:highlight w:val="none"/>
        </w:rPr>
        <w:t>八</w:t>
      </w:r>
      <w:r>
        <w:rPr>
          <w:rFonts w:hint="eastAsia"/>
          <w:b/>
          <w:bCs/>
          <w:color w:val="auto"/>
          <w:sz w:val="30"/>
          <w:szCs w:val="30"/>
          <w:highlight w:val="none"/>
        </w:rPr>
        <w:t>、</w:t>
      </w:r>
      <w:r>
        <w:rPr>
          <w:rFonts w:hint="eastAsia" w:ascii="宋体" w:hAnsi="宋体" w:cs="宋体"/>
          <w:b/>
          <w:bCs/>
          <w:color w:val="auto"/>
          <w:sz w:val="32"/>
          <w:szCs w:val="32"/>
          <w:highlight w:val="none"/>
          <w:lang w:val="en"/>
        </w:rPr>
        <w:t>知识产权合规性声明</w:t>
      </w:r>
    </w:p>
    <w:p>
      <w:pPr>
        <w:shd w:val="clear" w:color="auto" w:fil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rPr>
        <w:t xml:space="preserve">    </w:t>
      </w:r>
    </w:p>
    <w:p>
      <w:pPr>
        <w:shd w:val="clear" w:color="auto" w:fill="auto"/>
        <w:spacing w:line="700" w:lineRule="exact"/>
        <w:rPr>
          <w:rFonts w:hint="eastAsia" w:ascii="仿宋_GB2312" w:hAnsi="仿宋_GB2312" w:eastAsia="仿宋_GB2312" w:cs="仿宋_GB2312"/>
          <w:color w:val="auto"/>
          <w:sz w:val="30"/>
          <w:szCs w:val="30"/>
          <w:highlight w:val="none"/>
          <w:lang w:val="en"/>
        </w:rPr>
      </w:pPr>
      <w:r>
        <w:rPr>
          <w:rFonts w:hint="eastAsia" w:ascii="仿宋_GB2312" w:hAnsi="仿宋_GB2312" w:eastAsia="仿宋_GB2312" w:cs="仿宋_GB2312"/>
          <w:color w:val="auto"/>
          <w:sz w:val="30"/>
          <w:szCs w:val="30"/>
          <w:highlight w:val="none"/>
        </w:rPr>
        <w:t xml:space="preserve">    本</w:t>
      </w:r>
      <w:r>
        <w:rPr>
          <w:rFonts w:hint="eastAsia" w:ascii="仿宋_GB2312" w:hAnsi="仿宋_GB2312" w:eastAsia="仿宋_GB2312" w:cs="仿宋_GB2312"/>
          <w:color w:val="auto"/>
          <w:sz w:val="30"/>
          <w:szCs w:val="30"/>
          <w:highlight w:val="none"/>
          <w:lang w:val="en"/>
        </w:rPr>
        <w:t>企业（单位）自愿参与政府投资政府采购的</w:t>
      </w:r>
      <w:r>
        <w:rPr>
          <w:rFonts w:hint="eastAsia" w:ascii="仿宋_GB2312" w:hAnsi="仿宋_GB2312" w:eastAsia="仿宋_GB2312" w:cs="仿宋_GB2312"/>
          <w:color w:val="auto"/>
          <w:sz w:val="30"/>
          <w:szCs w:val="30"/>
          <w:highlight w:val="none"/>
          <w:u w:val="single"/>
          <w:lang w:val="en"/>
        </w:rPr>
        <w:t>项目名称</w:t>
      </w:r>
      <w:r>
        <w:rPr>
          <w:rFonts w:hint="eastAsia" w:ascii="仿宋_GB2312" w:hAnsi="仿宋_GB2312" w:eastAsia="仿宋_GB2312" w:cs="仿宋_GB2312"/>
          <w:color w:val="auto"/>
          <w:sz w:val="30"/>
          <w:szCs w:val="30"/>
          <w:highlight w:val="none"/>
          <w:u w:val="single"/>
        </w:rPr>
        <w:t xml:space="preserve">       （项目编号：           ）</w:t>
      </w:r>
      <w:r>
        <w:rPr>
          <w:rFonts w:hint="eastAsia" w:ascii="仿宋_GB2312" w:hAnsi="仿宋_GB2312" w:eastAsia="仿宋_GB2312" w:cs="仿宋_GB2312"/>
          <w:color w:val="auto"/>
          <w:sz w:val="30"/>
          <w:szCs w:val="30"/>
          <w:highlight w:val="none"/>
          <w:lang w:val="en"/>
        </w:rPr>
        <w:t>，</w:t>
      </w:r>
      <w:r>
        <w:rPr>
          <w:rFonts w:hint="eastAsia" w:ascii="仿宋_GB2312" w:hAnsi="仿宋_GB2312" w:eastAsia="仿宋_GB2312" w:cs="仿宋_GB2312"/>
          <w:b/>
          <w:bCs/>
          <w:color w:val="auto"/>
          <w:sz w:val="30"/>
          <w:szCs w:val="30"/>
          <w:highlight w:val="none"/>
          <w:lang w:val="en"/>
        </w:rPr>
        <w:t>在此郑重承诺：</w:t>
      </w:r>
      <w:r>
        <w:rPr>
          <w:rFonts w:hint="eastAsia" w:ascii="仿宋_GB2312" w:hAnsi="仿宋_GB2312" w:eastAsia="仿宋_GB2312" w:cs="仿宋_GB2312"/>
          <w:color w:val="auto"/>
          <w:sz w:val="30"/>
          <w:szCs w:val="30"/>
          <w:highlight w:val="none"/>
          <w:lang w:val="en"/>
        </w:rPr>
        <w:t>遵守中国知识产权法律、法规、规章、规范性文件及在中国适用的与知识产权有关的国际公约，所参与项目的知识产权明晰无争议，归属或技术来源正当合法。近三年在知识产权领域不存在违反法律、法规、规章及其他规范性文件的失信行为。所参与的项目不对其他单位及个人的知识产权构成侵权。如经核查确有违反上述承诺应遵守的行为，本企业（单位）将承担由此产生的全部责任。</w:t>
      </w:r>
    </w:p>
    <w:p>
      <w:pPr>
        <w:shd w:val="clear" w:color="auto" w:fill="auto"/>
        <w:snapToGrid w:val="0"/>
        <w:spacing w:line="360" w:lineRule="auto"/>
        <w:ind w:left="5137" w:leftChars="1736" w:hanging="1491" w:hangingChars="825"/>
        <w:rPr>
          <w:rFonts w:hint="eastAsia"/>
          <w:b/>
          <w:color w:val="auto"/>
          <w:sz w:val="18"/>
          <w:szCs w:val="18"/>
          <w:highlight w:val="none"/>
        </w:rPr>
      </w:pPr>
      <w:r>
        <w:rPr>
          <w:rFonts w:hint="eastAsia"/>
          <w:b/>
          <w:color w:val="auto"/>
          <w:sz w:val="18"/>
          <w:szCs w:val="18"/>
          <w:highlight w:val="none"/>
        </w:rPr>
        <w:t xml:space="preserve">           </w:t>
      </w:r>
    </w:p>
    <w:p>
      <w:pPr>
        <w:shd w:val="clear" w:color="auto" w:fill="auto"/>
        <w:snapToGrid w:val="0"/>
        <w:spacing w:line="360" w:lineRule="auto"/>
        <w:ind w:left="5137" w:leftChars="1736" w:hanging="1491" w:hangingChars="825"/>
        <w:rPr>
          <w:rFonts w:hint="eastAsia"/>
          <w:b/>
          <w:color w:val="auto"/>
          <w:sz w:val="18"/>
          <w:szCs w:val="18"/>
          <w:highlight w:val="none"/>
        </w:rPr>
      </w:pPr>
    </w:p>
    <w:p>
      <w:pPr>
        <w:shd w:val="clear" w:color="auto" w:fill="auto"/>
        <w:snapToGrid w:val="0"/>
        <w:spacing w:line="360" w:lineRule="auto"/>
        <w:ind w:left="5137" w:leftChars="1736" w:hanging="1491" w:hangingChars="825"/>
        <w:rPr>
          <w:rFonts w:hint="eastAsia"/>
          <w:b/>
          <w:color w:val="auto"/>
          <w:sz w:val="18"/>
          <w:szCs w:val="18"/>
          <w:highlight w:val="none"/>
        </w:rPr>
      </w:pPr>
    </w:p>
    <w:p>
      <w:pPr>
        <w:shd w:val="clear" w:color="auto" w:fill="auto"/>
        <w:snapToGrid w:val="0"/>
        <w:spacing w:line="360" w:lineRule="auto"/>
        <w:ind w:left="5137" w:leftChars="1736" w:hanging="1491" w:hangingChars="825"/>
        <w:rPr>
          <w:rFonts w:hint="eastAsia"/>
          <w:b/>
          <w:color w:val="auto"/>
          <w:sz w:val="18"/>
          <w:szCs w:val="18"/>
          <w:highlight w:val="none"/>
        </w:rPr>
      </w:pPr>
    </w:p>
    <w:p>
      <w:pPr>
        <w:shd w:val="clear" w:color="auto" w:fill="auto"/>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line="600" w:lineRule="exact"/>
        <w:jc w:val="center"/>
        <w:rPr>
          <w:rFonts w:hint="eastAsia"/>
          <w:b/>
          <w:bCs/>
          <w:color w:val="auto"/>
          <w:sz w:val="30"/>
          <w:szCs w:val="30"/>
          <w:highlight w:val="none"/>
        </w:rPr>
      </w:pPr>
    </w:p>
    <w:p>
      <w:pPr>
        <w:shd w:val="clear" w:color="auto" w:fill="auto"/>
        <w:spacing w:line="600" w:lineRule="exact"/>
        <w:jc w:val="center"/>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br w:type="page"/>
      </w:r>
    </w:p>
    <w:p>
      <w:pPr>
        <w:shd w:val="clear" w:color="auto" w:fill="auto"/>
        <w:spacing w:line="360" w:lineRule="auto"/>
        <w:jc w:val="center"/>
        <w:rPr>
          <w:rFonts w:hint="eastAsia" w:ascii="宋体" w:hAnsi="Courier New"/>
          <w:b/>
          <w:color w:val="auto"/>
          <w:sz w:val="30"/>
          <w:szCs w:val="30"/>
          <w:highlight w:val="none"/>
        </w:rPr>
      </w:pPr>
      <w:r>
        <w:rPr>
          <w:rFonts w:hint="eastAsia"/>
          <w:b/>
          <w:bCs/>
          <w:color w:val="auto"/>
          <w:sz w:val="30"/>
          <w:szCs w:val="30"/>
          <w:highlight w:val="none"/>
        </w:rPr>
        <w:t>九、中小企业声明函或</w:t>
      </w:r>
      <w:r>
        <w:rPr>
          <w:rFonts w:hint="eastAsia" w:ascii="宋体" w:hAnsi="Courier New"/>
          <w:b/>
          <w:color w:val="auto"/>
          <w:sz w:val="30"/>
          <w:szCs w:val="30"/>
          <w:highlight w:val="none"/>
        </w:rPr>
        <w:t>残疾人福利性单位声明函或</w:t>
      </w:r>
      <w:r>
        <w:rPr>
          <w:rFonts w:hint="eastAsia" w:ascii="仿宋_GB2312" w:hAnsi="仿宋" w:eastAsia="仿宋_GB2312" w:cs="仿宋_GB2312"/>
          <w:b/>
          <w:bCs/>
          <w:color w:val="auto"/>
          <w:sz w:val="32"/>
          <w:szCs w:val="32"/>
          <w:highlight w:val="none"/>
        </w:rPr>
        <w:t>监狱企业证明文件</w:t>
      </w:r>
    </w:p>
    <w:p>
      <w:pPr>
        <w:shd w:val="clear" w:color="auto" w:fill="auto"/>
        <w:jc w:val="center"/>
        <w:rPr>
          <w:b/>
          <w:color w:val="auto"/>
          <w:sz w:val="30"/>
          <w:szCs w:val="30"/>
          <w:highlight w:val="none"/>
        </w:rPr>
      </w:pPr>
      <w:r>
        <w:rPr>
          <w:rFonts w:hint="eastAsia"/>
          <w:b/>
          <w:color w:val="auto"/>
          <w:sz w:val="30"/>
          <w:szCs w:val="30"/>
          <w:highlight w:val="none"/>
        </w:rPr>
        <w:t>中小企业声明函</w:t>
      </w:r>
    </w:p>
    <w:p>
      <w:pPr>
        <w:shd w:val="clear" w:color="auto" w:fill="auto"/>
        <w:rPr>
          <w:rFonts w:hint="eastAsia" w:hAnsi="宋体"/>
          <w:color w:val="auto"/>
          <w:spacing w:val="-4"/>
          <w:szCs w:val="21"/>
          <w:highlight w:val="none"/>
        </w:rPr>
      </w:pPr>
    </w:p>
    <w:p>
      <w:pPr>
        <w:shd w:val="clear" w:color="auto" w:fill="auto"/>
        <w:rPr>
          <w:rFonts w:hint="eastAsia" w:ascii="宋体" w:hAnsi="宋体" w:cs="宋体"/>
          <w:color w:val="auto"/>
          <w:spacing w:val="-4"/>
          <w:szCs w:val="21"/>
          <w:highlight w:val="none"/>
        </w:rPr>
      </w:pPr>
      <w:r>
        <w:rPr>
          <w:rFonts w:hint="eastAsia" w:ascii="宋体" w:hAnsi="宋体" w:cs="宋体"/>
          <w:color w:val="auto"/>
          <w:spacing w:val="-4"/>
          <w:szCs w:val="21"/>
          <w:highlight w:val="none"/>
        </w:rPr>
        <w:t>说明：</w:t>
      </w:r>
    </w:p>
    <w:p>
      <w:pPr>
        <w:shd w:val="clear" w:color="auto" w:fill="auto"/>
        <w:ind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1、本声明函供参加采购活动的中小微企业填写，本项目专门面向小微企业采购。</w:t>
      </w:r>
    </w:p>
    <w:p>
      <w:pPr>
        <w:shd w:val="clear" w:color="auto" w:fill="auto"/>
        <w:ind w:firstLine="404" w:firstLineChars="200"/>
        <w:rPr>
          <w:rFonts w:hint="eastAsia" w:ascii="宋体" w:hAnsi="宋体" w:cs="宋体"/>
          <w:color w:val="auto"/>
          <w:spacing w:val="-4"/>
          <w:szCs w:val="21"/>
          <w:highlight w:val="none"/>
        </w:rPr>
      </w:pPr>
      <w:r>
        <w:rPr>
          <w:rFonts w:hint="eastAsia" w:ascii="宋体" w:hAnsi="宋体" w:cs="宋体"/>
          <w:color w:val="auto"/>
          <w:spacing w:val="-4"/>
          <w:szCs w:val="21"/>
          <w:highlight w:val="none"/>
        </w:rPr>
        <w:t>2、中型、小型、微型企业提供大型企业提供的服务的，视同为大型企业。</w:t>
      </w:r>
    </w:p>
    <w:p>
      <w:pPr>
        <w:shd w:val="clear" w:color="auto" w:fill="auto"/>
        <w:ind w:firstLine="404" w:firstLineChars="200"/>
        <w:rPr>
          <w:rFonts w:hint="eastAsia" w:ascii="宋体" w:hAnsi="宋体" w:cs="宋体"/>
          <w:color w:val="auto"/>
          <w:spacing w:val="-4"/>
          <w:szCs w:val="21"/>
          <w:highlight w:val="none"/>
        </w:rPr>
      </w:pPr>
    </w:p>
    <w:p>
      <w:pPr>
        <w:shd w:val="clear" w:color="auto" w:fill="auto"/>
        <w:adjustRightInd w:val="0"/>
        <w:spacing w:after="120" w:line="500" w:lineRule="exact"/>
        <w:ind w:right="142"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本公司（联合体）郑重声明，根据《政府采购促进中小企业发展管理办法》（财库﹝2020﹞46号）的规定，本公司（联合体）参加</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单位名称</w:t>
      </w:r>
      <w:r>
        <w:rPr>
          <w:rFonts w:hint="eastAsia" w:ascii="宋体" w:hAnsi="宋体" w:cs="宋体"/>
          <w:color w:val="auto"/>
          <w:szCs w:val="21"/>
          <w:highlight w:val="none"/>
          <w:u w:val="single"/>
        </w:rPr>
        <w:t>）</w:t>
      </w:r>
      <w:r>
        <w:rPr>
          <w:rFonts w:hint="eastAsia" w:ascii="宋体" w:hAnsi="宋体" w:cs="宋体"/>
          <w:color w:val="auto"/>
          <w:szCs w:val="21"/>
          <w:highlight w:val="none"/>
        </w:rPr>
        <w:t>的</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项目名称</w:t>
      </w:r>
      <w:r>
        <w:rPr>
          <w:rFonts w:hint="eastAsia" w:ascii="宋体" w:hAnsi="宋体" w:cs="宋体"/>
          <w:color w:val="auto"/>
          <w:szCs w:val="21"/>
          <w:highlight w:val="none"/>
          <w:u w:val="single"/>
        </w:rPr>
        <w:t>）</w:t>
      </w:r>
      <w:r>
        <w:rPr>
          <w:rFonts w:hint="eastAsia" w:ascii="宋体" w:hAnsi="宋体" w:cs="宋体"/>
          <w:color w:val="auto"/>
          <w:szCs w:val="21"/>
          <w:highlight w:val="none"/>
        </w:rPr>
        <w:t>采购活动，服务全部由符合政策要求的中小企业承接。相关企业（含联合体中的中小企业、签订分包意向协议的中小企业）的具体情况如下：</w:t>
      </w:r>
    </w:p>
    <w:p>
      <w:pPr>
        <w:shd w:val="clear" w:color="auto" w:fill="auto"/>
        <w:tabs>
          <w:tab w:val="left" w:pos="1384"/>
          <w:tab w:val="left" w:pos="4562"/>
          <w:tab w:val="left" w:pos="6803"/>
        </w:tabs>
        <w:spacing w:before="13" w:line="500" w:lineRule="exact"/>
        <w:ind w:right="142" w:firstLine="600" w:firstLineChars="286"/>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标的名称</w:t>
      </w:r>
      <w:r>
        <w:rPr>
          <w:rFonts w:hint="eastAsia" w:ascii="宋体" w:hAnsi="宋体" w:cs="宋体"/>
          <w:color w:val="auto"/>
          <w:szCs w:val="21"/>
          <w:highlight w:val="none"/>
          <w:u w:val="single"/>
        </w:rPr>
        <w:t>）</w:t>
      </w:r>
      <w:r>
        <w:rPr>
          <w:rFonts w:hint="eastAsia" w:ascii="宋体" w:hAnsi="宋体" w:cs="宋体"/>
          <w:color w:val="auto"/>
          <w:szCs w:val="21"/>
          <w:highlight w:val="none"/>
        </w:rPr>
        <w:t>，属于</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采购文件中明确的所属行业</w:t>
      </w:r>
      <w:r>
        <w:rPr>
          <w:rFonts w:hint="eastAsia" w:ascii="宋体" w:hAnsi="宋体" w:cs="宋体"/>
          <w:color w:val="auto"/>
          <w:szCs w:val="21"/>
          <w:highlight w:val="none"/>
          <w:u w:val="single"/>
        </w:rPr>
        <w:t>）</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企业名称</w:t>
      </w:r>
      <w:r>
        <w:rPr>
          <w:rFonts w:hint="eastAsia" w:ascii="宋体" w:hAnsi="宋体" w:cs="宋体"/>
          <w:color w:val="auto"/>
          <w:szCs w:val="21"/>
          <w:highlight w:val="none"/>
          <w:u w:val="single"/>
        </w:rPr>
        <w:t>）</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中型企业、小型企业、微型企业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hd w:val="clear" w:color="auto" w:fill="auto"/>
        <w:tabs>
          <w:tab w:val="left" w:pos="1065"/>
          <w:tab w:val="left" w:pos="4262"/>
          <w:tab w:val="left" w:pos="6477"/>
        </w:tabs>
        <w:spacing w:before="20" w:line="500" w:lineRule="exact"/>
        <w:ind w:right="84" w:firstLine="600" w:firstLineChars="286"/>
        <w:rPr>
          <w:rFonts w:hint="eastAsia" w:ascii="宋体" w:hAnsi="宋体" w:cs="宋体"/>
          <w:color w:val="auto"/>
          <w:szCs w:val="21"/>
          <w:highlight w:val="none"/>
          <w:u w:val="single"/>
        </w:rPr>
      </w:pPr>
      <w:r>
        <w:rPr>
          <w:rFonts w:hint="eastAsia" w:ascii="宋体" w:hAnsi="宋体" w:cs="宋体"/>
          <w:color w:val="auto"/>
          <w:szCs w:val="21"/>
          <w:highlight w:val="none"/>
        </w:rPr>
        <w:t>2.</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标的名称</w:t>
      </w:r>
      <w:r>
        <w:rPr>
          <w:rFonts w:hint="eastAsia" w:ascii="宋体" w:hAnsi="宋体" w:cs="宋体"/>
          <w:color w:val="auto"/>
          <w:szCs w:val="21"/>
          <w:highlight w:val="none"/>
          <w:u w:val="single"/>
        </w:rPr>
        <w:t>）</w:t>
      </w:r>
      <w:r>
        <w:rPr>
          <w:rFonts w:hint="eastAsia" w:ascii="宋体" w:hAnsi="宋体" w:cs="宋体"/>
          <w:color w:val="auto"/>
          <w:szCs w:val="21"/>
          <w:highlight w:val="none"/>
        </w:rPr>
        <w:t>，属于</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采购文件中明确的所属行业</w:t>
      </w:r>
      <w:r>
        <w:rPr>
          <w:rFonts w:hint="eastAsia" w:ascii="宋体" w:hAnsi="宋体" w:cs="宋体"/>
          <w:color w:val="auto"/>
          <w:szCs w:val="21"/>
          <w:highlight w:val="none"/>
          <w:u w:val="single"/>
        </w:rPr>
        <w:t>）</w:t>
      </w:r>
      <w:r>
        <w:rPr>
          <w:rFonts w:hint="eastAsia" w:ascii="宋体" w:hAnsi="宋体" w:cs="宋体"/>
          <w:color w:val="auto"/>
          <w:szCs w:val="21"/>
          <w:highlight w:val="none"/>
        </w:rPr>
        <w:t>；承接企业为</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企业名称</w:t>
      </w:r>
      <w:r>
        <w:rPr>
          <w:rFonts w:hint="eastAsia" w:ascii="宋体" w:hAnsi="宋体" w:cs="宋体"/>
          <w:color w:val="auto"/>
          <w:szCs w:val="21"/>
          <w:highlight w:val="none"/>
          <w:u w:val="single"/>
        </w:rPr>
        <w:t>）</w:t>
      </w:r>
      <w:r>
        <w:rPr>
          <w:rFonts w:hint="eastAsia" w:ascii="宋体" w:hAnsi="宋体" w:cs="宋体"/>
          <w:color w:val="auto"/>
          <w:szCs w:val="21"/>
          <w:highlight w:val="none"/>
        </w:rPr>
        <w:t>，从业人员</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w:t>
      </w:r>
      <w:r>
        <w:rPr>
          <w:rFonts w:hint="eastAsia" w:ascii="宋体" w:hAnsi="宋体" w:cs="宋体"/>
          <w:i/>
          <w:iCs/>
          <w:color w:val="auto"/>
          <w:szCs w:val="21"/>
          <w:highlight w:val="none"/>
          <w:u w:val="single"/>
        </w:rPr>
        <w:t>中型企业、小型企业、微型企业</w:t>
      </w:r>
      <w:r>
        <w:rPr>
          <w:rFonts w:hint="eastAsia" w:ascii="宋体" w:hAnsi="宋体" w:cs="宋体"/>
          <w:color w:val="auto"/>
          <w:szCs w:val="21"/>
          <w:highlight w:val="none"/>
          <w:u w:val="single"/>
        </w:rPr>
        <w:t>）</w:t>
      </w:r>
      <w:r>
        <w:rPr>
          <w:rFonts w:hint="eastAsia" w:ascii="宋体" w:hAnsi="宋体" w:cs="宋体"/>
          <w:color w:val="auto"/>
          <w:szCs w:val="21"/>
          <w:highlight w:val="none"/>
        </w:rPr>
        <w:t>；</w:t>
      </w:r>
    </w:p>
    <w:p>
      <w:pPr>
        <w:shd w:val="clear" w:color="auto" w:fill="auto"/>
        <w:adjustRightInd w:val="0"/>
        <w:spacing w:before="34" w:after="120" w:line="500" w:lineRule="exact"/>
        <w:ind w:left="765" w:right="142" w:hanging="5"/>
        <w:textAlignment w:val="baseline"/>
        <w:rPr>
          <w:rFonts w:hint="eastAsia" w:ascii="宋体" w:hAnsi="宋体" w:cs="宋体"/>
          <w:color w:val="auto"/>
          <w:szCs w:val="21"/>
          <w:highlight w:val="none"/>
        </w:rPr>
      </w:pPr>
      <w:r>
        <w:rPr>
          <w:rFonts w:hint="eastAsia" w:ascii="宋体" w:hAnsi="宋体" w:cs="宋体"/>
          <w:color w:val="auto"/>
          <w:szCs w:val="21"/>
          <w:highlight w:val="none"/>
        </w:rPr>
        <w:t xml:space="preserve">…… </w:t>
      </w:r>
    </w:p>
    <w:p>
      <w:pPr>
        <w:shd w:val="clear" w:color="auto" w:fill="auto"/>
        <w:adjustRightInd w:val="0"/>
        <w:spacing w:before="34" w:after="120" w:line="500" w:lineRule="exact"/>
        <w:ind w:right="142"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以上企业，不属于大企业的分支机构，不存在控股股东为大企业的情形，也不存在与大企业的负责人为同一人的情形。</w:t>
      </w:r>
    </w:p>
    <w:p>
      <w:pPr>
        <w:shd w:val="clear" w:color="auto" w:fill="auto"/>
        <w:adjustRightInd w:val="0"/>
        <w:spacing w:before="34" w:after="120" w:line="500" w:lineRule="exact"/>
        <w:ind w:right="142" w:firstLine="420" w:firstLineChars="200"/>
        <w:textAlignment w:val="baseline"/>
        <w:rPr>
          <w:rFonts w:hint="eastAsia" w:ascii="宋体" w:hAnsi="宋体" w:cs="宋体"/>
          <w:color w:val="auto"/>
          <w:szCs w:val="21"/>
          <w:highlight w:val="none"/>
        </w:rPr>
      </w:pPr>
      <w:r>
        <w:rPr>
          <w:rFonts w:hint="eastAsia" w:ascii="宋体" w:hAnsi="宋体" w:cs="宋体"/>
          <w:color w:val="auto"/>
          <w:szCs w:val="21"/>
          <w:highlight w:val="none"/>
        </w:rPr>
        <w:t>本企业对上述声明内容的真实性负责。如有虚假，将依法承担相应责任。</w:t>
      </w:r>
    </w:p>
    <w:p>
      <w:pPr>
        <w:shd w:val="clear" w:color="auto" w:fill="auto"/>
        <w:spacing w:line="360" w:lineRule="auto"/>
        <w:ind w:firstLine="420" w:firstLineChars="200"/>
        <w:rPr>
          <w:rFonts w:hint="eastAsia" w:ascii="宋体" w:hAnsi="宋体" w:cs="宋体"/>
          <w:color w:val="auto"/>
          <w:szCs w:val="21"/>
          <w:highlight w:val="none"/>
        </w:rPr>
      </w:pPr>
    </w:p>
    <w:p>
      <w:pPr>
        <w:shd w:val="clear" w:color="auto" w:fill="auto"/>
        <w:spacing w:line="360" w:lineRule="auto"/>
        <w:ind w:firstLine="420" w:firstLineChars="200"/>
        <w:rPr>
          <w:rFonts w:hint="eastAsia" w:ascii="宋体" w:hAnsi="宋体" w:cs="宋体"/>
          <w:color w:val="auto"/>
          <w:szCs w:val="21"/>
          <w:highlight w:val="none"/>
        </w:rPr>
      </w:pPr>
    </w:p>
    <w:p>
      <w:pPr>
        <w:shd w:val="clear" w:color="auto" w:fill="auto"/>
        <w:snapToGrid w:val="0"/>
        <w:spacing w:line="360" w:lineRule="auto"/>
        <w:ind w:firstLine="4410" w:firstLineChars="2100"/>
        <w:rPr>
          <w:rFonts w:hint="eastAsia" w:ascii="宋体" w:hAnsi="宋体" w:cs="宋体"/>
          <w:color w:val="auto"/>
          <w:kern w:val="0"/>
          <w:szCs w:val="21"/>
          <w:highlight w:val="none"/>
        </w:rPr>
      </w:pPr>
      <w:r>
        <w:rPr>
          <w:rFonts w:hint="eastAsia" w:ascii="宋体" w:hAnsi="宋体" w:cs="宋体"/>
          <w:color w:val="auto"/>
          <w:kern w:val="0"/>
          <w:szCs w:val="21"/>
          <w:highlight w:val="none"/>
          <w:lang w:val="zh-CN"/>
        </w:rPr>
        <w:t>投标人名称：</w:t>
      </w:r>
    </w:p>
    <w:p>
      <w:pPr>
        <w:shd w:val="clear" w:color="auto" w:fill="auto"/>
        <w:snapToGrid w:val="0"/>
        <w:spacing w:line="360" w:lineRule="auto"/>
        <w:ind w:firstLine="4515" w:firstLineChars="2150"/>
        <w:rPr>
          <w:rFonts w:hint="eastAsia" w:ascii="宋体" w:hAnsi="宋体" w:cs="宋体"/>
          <w:color w:val="auto"/>
          <w:kern w:val="0"/>
          <w:szCs w:val="21"/>
          <w:highlight w:val="none"/>
          <w:lang w:val="zh-CN"/>
        </w:rPr>
      </w:pPr>
      <w:r>
        <w:rPr>
          <w:rFonts w:hint="eastAsia" w:ascii="宋体" w:hAnsi="宋体" w:cs="宋体"/>
          <w:color w:val="auto"/>
          <w:kern w:val="0"/>
          <w:szCs w:val="21"/>
          <w:highlight w:val="none"/>
          <w:lang w:val="zh-CN"/>
        </w:rPr>
        <w:t>日期</w:t>
      </w:r>
      <w:r>
        <w:rPr>
          <w:rFonts w:hint="eastAsia" w:ascii="宋体" w:hAnsi="宋体" w:cs="宋体"/>
          <w:color w:val="auto"/>
          <w:kern w:val="0"/>
          <w:szCs w:val="21"/>
          <w:highlight w:val="none"/>
        </w:rPr>
        <w:t xml:space="preserve">：  年  </w:t>
      </w:r>
      <w:r>
        <w:rPr>
          <w:rFonts w:hint="eastAsia" w:ascii="宋体" w:hAnsi="宋体" w:cs="宋体"/>
          <w:color w:val="auto"/>
          <w:kern w:val="0"/>
          <w:szCs w:val="21"/>
          <w:highlight w:val="none"/>
          <w:lang w:val="zh-CN"/>
        </w:rPr>
        <w:t>月</w:t>
      </w:r>
      <w:r>
        <w:rPr>
          <w:rFonts w:hint="eastAsia" w:ascii="宋体" w:hAnsi="宋体" w:cs="宋体"/>
          <w:color w:val="auto"/>
          <w:kern w:val="0"/>
          <w:szCs w:val="21"/>
          <w:highlight w:val="none"/>
        </w:rPr>
        <w:t xml:space="preserve">   </w:t>
      </w:r>
      <w:r>
        <w:rPr>
          <w:rFonts w:hint="eastAsia" w:ascii="宋体" w:hAnsi="宋体" w:cs="宋体"/>
          <w:color w:val="auto"/>
          <w:kern w:val="0"/>
          <w:szCs w:val="21"/>
          <w:highlight w:val="none"/>
          <w:lang w:val="zh-CN"/>
        </w:rPr>
        <w:t>日</w:t>
      </w:r>
    </w:p>
    <w:p>
      <w:pPr>
        <w:shd w:val="clear" w:color="auto" w:fill="auto"/>
        <w:spacing w:line="360" w:lineRule="auto"/>
        <w:ind w:firstLine="420" w:firstLineChars="200"/>
        <w:rPr>
          <w:rFonts w:hint="eastAsia" w:ascii="宋体" w:hAnsi="宋体" w:cs="宋体"/>
          <w:color w:val="auto"/>
          <w:szCs w:val="21"/>
          <w:highlight w:val="none"/>
        </w:rPr>
      </w:pPr>
    </w:p>
    <w:p>
      <w:pPr>
        <w:shd w:val="clear" w:color="auto" w:fill="auto"/>
        <w:snapToGrid w:val="0"/>
        <w:spacing w:before="50" w:after="120" w:afterLines="50"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注：</w:t>
      </w:r>
    </w:p>
    <w:p>
      <w:pPr>
        <w:shd w:val="clear" w:color="auto" w:fill="auto"/>
        <w:snapToGrid w:val="0"/>
        <w:spacing w:before="50" w:after="120" w:afterLines="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1、从业人员、营业收入、资产总额填报上一年度数据，无上一年度数据的新成立企业可不填报。</w:t>
      </w:r>
    </w:p>
    <w:p>
      <w:pPr>
        <w:shd w:val="clear" w:color="auto" w:fill="auto"/>
        <w:snapToGrid w:val="0"/>
        <w:spacing w:before="50" w:after="120" w:afterLines="50"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2、请根据自己的真实情况出具《中小企业声明函》。依法享受中小企业扶持政策的，采购人或者采购代理机构在公告中标结果时，同时公告其《中小企业声明函》，接受社会监督。</w:t>
      </w:r>
    </w:p>
    <w:p>
      <w:pPr>
        <w:shd w:val="clear" w:color="auto" w:fill="auto"/>
        <w:snapToGrid w:val="0"/>
        <w:spacing w:before="50" w:after="120" w:afterLines="50" w:line="360" w:lineRule="auto"/>
        <w:ind w:firstLine="422" w:firstLineChars="200"/>
        <w:jc w:val="left"/>
        <w:rPr>
          <w:rFonts w:hint="eastAsia" w:ascii="宋体" w:hAnsi="宋体" w:cs="宋体"/>
          <w:b/>
          <w:bCs/>
          <w:color w:val="auto"/>
          <w:szCs w:val="21"/>
          <w:highlight w:val="none"/>
        </w:rPr>
      </w:pPr>
      <w:r>
        <w:rPr>
          <w:rFonts w:hint="eastAsia" w:ascii="宋体" w:hAnsi="宋体" w:cs="宋体"/>
          <w:b/>
          <w:bCs/>
          <w:color w:val="auto"/>
          <w:szCs w:val="21"/>
          <w:highlight w:val="none"/>
        </w:rPr>
        <w:t>3、属于</w:t>
      </w:r>
      <w:r>
        <w:rPr>
          <w:rFonts w:hint="eastAsia" w:ascii="宋体" w:hAnsi="宋体" w:cs="宋体"/>
          <w:b/>
          <w:bCs/>
          <w:color w:val="auto"/>
          <w:szCs w:val="21"/>
          <w:highlight w:val="none"/>
          <w:lang w:val="zh-CN"/>
        </w:rPr>
        <w:t>残疾人福利性单位</w:t>
      </w:r>
      <w:r>
        <w:rPr>
          <w:rFonts w:hint="eastAsia" w:ascii="宋体" w:hAnsi="宋体" w:cs="宋体"/>
          <w:b/>
          <w:bCs/>
          <w:color w:val="auto"/>
          <w:szCs w:val="21"/>
          <w:highlight w:val="none"/>
        </w:rPr>
        <w:t>或监狱企业的，提供相关证明文件，等同于中小微企业。</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hd w:val="clear" w:color="auto" w:fill="auto"/>
        <w:spacing w:line="360" w:lineRule="auto"/>
        <w:jc w:val="center"/>
        <w:rPr>
          <w:rFonts w:hint="eastAsia" w:ascii="宋体" w:hAnsi="Courier New"/>
          <w:b/>
          <w:color w:val="auto"/>
          <w:sz w:val="30"/>
          <w:szCs w:val="30"/>
          <w:highlight w:val="none"/>
        </w:rPr>
      </w:pPr>
      <w:r>
        <w:rPr>
          <w:rFonts w:hint="eastAsia"/>
          <w:b/>
          <w:bCs/>
          <w:color w:val="auto"/>
          <w:sz w:val="30"/>
          <w:szCs w:val="30"/>
          <w:highlight w:val="none"/>
        </w:rPr>
        <w:br w:type="page"/>
      </w:r>
      <w:r>
        <w:rPr>
          <w:rFonts w:hint="eastAsia" w:ascii="宋体" w:hAnsi="Courier New"/>
          <w:b/>
          <w:color w:val="auto"/>
          <w:sz w:val="30"/>
          <w:szCs w:val="30"/>
          <w:highlight w:val="none"/>
        </w:rPr>
        <w:t>残疾人福利性单位声明函（格式）</w:t>
      </w:r>
    </w:p>
    <w:p>
      <w:pPr>
        <w:shd w:val="clear" w:color="auto" w:fill="auto"/>
        <w:spacing w:line="360" w:lineRule="auto"/>
        <w:jc w:val="center"/>
        <w:rPr>
          <w:rFonts w:ascii="宋体" w:hAnsi="Courier New"/>
          <w:b/>
          <w:color w:val="auto"/>
          <w:sz w:val="30"/>
          <w:szCs w:val="30"/>
          <w:highlight w:val="none"/>
        </w:rPr>
      </w:pPr>
    </w:p>
    <w:p>
      <w:pPr>
        <w:shd w:val="clear" w:color="auto" w:fill="auto"/>
        <w:spacing w:line="360" w:lineRule="auto"/>
        <w:ind w:firstLine="480" w:firstLineChars="200"/>
        <w:jc w:val="left"/>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仿宋_GB2312" w:hAnsi="Courier New" w:eastAsia="仿宋_GB2312"/>
          <w:color w:val="auto"/>
          <w:sz w:val="24"/>
          <w:highlight w:val="none"/>
          <w:u w:val="single"/>
        </w:rPr>
        <w:t xml:space="preserve">       （采购人）     </w:t>
      </w:r>
      <w:r>
        <w:rPr>
          <w:rFonts w:hint="eastAsia" w:ascii="仿宋_GB2312" w:hAnsi="Courier New" w:eastAsia="仿宋_GB2312"/>
          <w:color w:val="auto"/>
          <w:sz w:val="24"/>
          <w:highlight w:val="none"/>
        </w:rPr>
        <w:t>单位的</w:t>
      </w:r>
      <w:r>
        <w:rPr>
          <w:rFonts w:hint="eastAsia" w:ascii="仿宋_GB2312" w:hAnsi="Courier New" w:eastAsia="仿宋_GB2312"/>
          <w:color w:val="auto"/>
          <w:sz w:val="24"/>
          <w:highlight w:val="none"/>
          <w:u w:val="single"/>
        </w:rPr>
        <w:t xml:space="preserve">       (项目名称)             </w:t>
      </w:r>
      <w:r>
        <w:rPr>
          <w:rFonts w:hint="eastAsia" w:ascii="仿宋_GB2312" w:hAnsi="Courier New" w:eastAsia="仿宋_GB2312"/>
          <w:color w:val="auto"/>
          <w:sz w:val="24"/>
          <w:highlight w:val="none"/>
        </w:rPr>
        <w:t>项目采购活动提供本单位制造的货物（由本单位承担工程/提供服务），或者提供其他残疾人福利性单位制造的货物（不包括使用非残疾人福利性单位注册商标的货物）。</w:t>
      </w:r>
    </w:p>
    <w:p>
      <w:pPr>
        <w:shd w:val="clear" w:color="auto" w:fill="auto"/>
        <w:spacing w:line="360" w:lineRule="auto"/>
        <w:ind w:firstLine="480" w:firstLineChars="200"/>
        <w:jc w:val="left"/>
        <w:rPr>
          <w:rFonts w:hint="eastAsia" w:ascii="仿宋_GB2312" w:hAnsi="Courier New" w:eastAsia="仿宋_GB2312"/>
          <w:color w:val="auto"/>
          <w:sz w:val="24"/>
          <w:highlight w:val="none"/>
        </w:rPr>
      </w:pPr>
      <w:r>
        <w:rPr>
          <w:rFonts w:hint="eastAsia" w:ascii="仿宋_GB2312" w:hAnsi="Courier New" w:eastAsia="仿宋_GB2312"/>
          <w:color w:val="auto"/>
          <w:sz w:val="24"/>
          <w:highlight w:val="none"/>
        </w:rPr>
        <w:t xml:space="preserve">  本单位对上述声明的真实性负责。如有虚假，将依法承担相应责任。</w:t>
      </w:r>
    </w:p>
    <w:p>
      <w:pPr>
        <w:shd w:val="clear" w:color="auto" w:fill="auto"/>
        <w:spacing w:line="360" w:lineRule="auto"/>
        <w:jc w:val="left"/>
        <w:rPr>
          <w:rFonts w:ascii="宋体" w:hAnsi="Courier New"/>
          <w:b/>
          <w:color w:val="auto"/>
          <w:szCs w:val="21"/>
          <w:highlight w:val="none"/>
        </w:rPr>
      </w:pPr>
    </w:p>
    <w:p>
      <w:pPr>
        <w:shd w:val="clear" w:color="auto" w:fill="auto"/>
        <w:spacing w:line="360" w:lineRule="auto"/>
        <w:jc w:val="left"/>
        <w:rPr>
          <w:rFonts w:ascii="宋体" w:hAnsi="Courier New"/>
          <w:b/>
          <w:color w:val="auto"/>
          <w:szCs w:val="21"/>
          <w:highlight w:val="none"/>
        </w:rPr>
      </w:pPr>
    </w:p>
    <w:p>
      <w:pPr>
        <w:shd w:val="clear" w:color="auto" w:fill="auto"/>
        <w:snapToGrid w:val="0"/>
        <w:spacing w:line="360" w:lineRule="auto"/>
        <w:ind w:left="5137" w:leftChars="1736" w:hanging="1491" w:hangingChars="825"/>
        <w:rPr>
          <w:rFonts w:hint="eastAsia" w:ascii="仿宋_GB2312" w:hAnsi="仿宋" w:eastAsia="仿宋_GB2312" w:cs="仿宋_GB2312"/>
          <w:color w:val="auto"/>
          <w:kern w:val="0"/>
          <w:sz w:val="24"/>
          <w:highlight w:val="none"/>
        </w:rPr>
      </w:pPr>
      <w:r>
        <w:rPr>
          <w:rFonts w:hint="eastAsia"/>
          <w:b/>
          <w:color w:val="auto"/>
          <w:sz w:val="18"/>
          <w:szCs w:val="18"/>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line="360" w:lineRule="auto"/>
        <w:ind w:left="5132" w:leftChars="1979" w:hanging="976" w:hangingChars="488"/>
        <w:rPr>
          <w:rFonts w:hint="eastAsia" w:ascii="宋体" w:hAnsi="Courier New"/>
          <w:color w:val="auto"/>
          <w:sz w:val="20"/>
          <w:szCs w:val="20"/>
          <w:highlight w:val="none"/>
        </w:rPr>
      </w:pPr>
    </w:p>
    <w:p>
      <w:pPr>
        <w:shd w:val="clear" w:color="auto" w:fill="auto"/>
        <w:snapToGrid w:val="0"/>
        <w:spacing w:before="50" w:after="120" w:afterLines="50" w:line="360" w:lineRule="auto"/>
        <w:jc w:val="left"/>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w:t>
      </w:r>
    </w:p>
    <w:p>
      <w:pPr>
        <w:shd w:val="clear" w:color="auto" w:fill="auto"/>
        <w:spacing w:line="360" w:lineRule="auto"/>
        <w:ind w:right="420" w:firstLine="480" w:firstLineChars="200"/>
        <w:rPr>
          <w:rFonts w:hint="eastAsia" w:ascii="仿宋_GB2312" w:hAnsi="仿宋" w:eastAsia="仿宋_GB2312" w:cs="仿宋_GB2312"/>
          <w:b/>
          <w:bCs/>
          <w:color w:val="auto"/>
          <w:sz w:val="24"/>
          <w:highlight w:val="none"/>
        </w:rPr>
      </w:pPr>
      <w:r>
        <w:rPr>
          <w:rFonts w:hint="eastAsia" w:ascii="仿宋_GB2312" w:hAnsi="Courier New" w:eastAsia="仿宋_GB2312"/>
          <w:color w:val="auto"/>
          <w:sz w:val="24"/>
          <w:highlight w:val="none"/>
        </w:rPr>
        <w:t>根据《财政部 民政部 中国残疾人联合会关于促进残疾人就业政府采购政策的通知》（财库〔2017〕141号）的规定，</w:t>
      </w:r>
      <w:r>
        <w:rPr>
          <w:rFonts w:hint="eastAsia" w:ascii="仿宋_GB2312" w:hAnsi="仿宋" w:eastAsia="仿宋_GB2312" w:cs="仿宋_GB2312"/>
          <w:color w:val="auto"/>
          <w:sz w:val="24"/>
          <w:highlight w:val="none"/>
        </w:rPr>
        <w:t>残疾人福利性单位视同为小型和微型企业，依法享受中小企业扶持政策。请根据自己的真实情况出具《残疾人福利性单位声明函》，采购人或者采购代理机构在公告中标结果时，</w:t>
      </w:r>
      <w:r>
        <w:rPr>
          <w:rFonts w:hint="eastAsia" w:ascii="仿宋_GB2312" w:hAnsi="仿宋" w:eastAsia="仿宋_GB2312" w:cs="仿宋_GB2312"/>
          <w:b/>
          <w:bCs/>
          <w:color w:val="auto"/>
          <w:sz w:val="24"/>
          <w:highlight w:val="none"/>
        </w:rPr>
        <w:t>同时公告其《残疾人福利性单位声明函》，接受社会监督。</w:t>
      </w:r>
    </w:p>
    <w:p>
      <w:pPr>
        <w:shd w:val="clear" w:color="auto" w:fill="auto"/>
        <w:rPr>
          <w:rFonts w:hint="eastAsia" w:ascii="Calibri" w:hAnsi="Calibri"/>
          <w:color w:val="auto"/>
          <w:szCs w:val="20"/>
          <w:highlight w:val="none"/>
        </w:rPr>
      </w:pPr>
      <w:r>
        <w:rPr>
          <w:rFonts w:hint="eastAsia" w:ascii="仿宋_GB2312" w:hAnsi="仿宋" w:eastAsia="仿宋_GB2312" w:cs="仿宋_GB2312"/>
          <w:b/>
          <w:bCs/>
          <w:color w:val="auto"/>
          <w:sz w:val="24"/>
          <w:highlight w:val="none"/>
        </w:rPr>
        <w:br w:type="page"/>
      </w:r>
    </w:p>
    <w:p>
      <w:pPr>
        <w:shd w:val="clear" w:color="auto" w:fill="auto"/>
        <w:rPr>
          <w:rFonts w:ascii="Calibri" w:hAnsi="Calibri"/>
          <w:color w:val="auto"/>
          <w:szCs w:val="20"/>
          <w:highlight w:val="none"/>
        </w:rPr>
      </w:pPr>
    </w:p>
    <w:p>
      <w:pPr>
        <w:shd w:val="clear" w:color="auto" w:fill="auto"/>
        <w:spacing w:line="600" w:lineRule="exact"/>
        <w:jc w:val="center"/>
        <w:rPr>
          <w:rFonts w:ascii="Calibri" w:hAnsi="Calibri"/>
          <w:b/>
          <w:bCs/>
          <w:color w:val="auto"/>
          <w:sz w:val="32"/>
          <w:szCs w:val="32"/>
          <w:highlight w:val="none"/>
        </w:rPr>
      </w:pPr>
      <w:r>
        <w:rPr>
          <w:rFonts w:hint="eastAsia" w:ascii="仿宋_GB2312" w:hAnsi="仿宋" w:eastAsia="仿宋_GB2312" w:cs="仿宋_GB2312"/>
          <w:b/>
          <w:bCs/>
          <w:color w:val="auto"/>
          <w:sz w:val="32"/>
          <w:szCs w:val="32"/>
          <w:highlight w:val="none"/>
        </w:rPr>
        <w:t>属于监狱企业证明文件</w:t>
      </w:r>
    </w:p>
    <w:p>
      <w:pPr>
        <w:shd w:val="clear" w:color="auto" w:fill="auto"/>
        <w:spacing w:line="600" w:lineRule="exact"/>
        <w:jc w:val="left"/>
        <w:rPr>
          <w:rFonts w:hint="eastAsia" w:ascii="宋体" w:hAnsi="Courier New" w:cs="宋体"/>
          <w:color w:val="auto"/>
          <w:kern w:val="0"/>
          <w:szCs w:val="21"/>
          <w:highlight w:val="none"/>
          <w:lang w:val="zh-CN"/>
        </w:rPr>
      </w:pPr>
    </w:p>
    <w:p>
      <w:pPr>
        <w:shd w:val="clear" w:color="auto" w:fill="auto"/>
        <w:spacing w:line="360" w:lineRule="auto"/>
        <w:ind w:right="420" w:firstLine="480" w:firstLineChars="200"/>
        <w:rPr>
          <w:rFonts w:hint="eastAsia"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lang w:val="zh-CN"/>
        </w:rPr>
        <w:t>由省级以上监狱管理局、戒毒管理局（含新疆生产建设兵团）出具的属于监狱企业证明文件复印件</w:t>
      </w:r>
    </w:p>
    <w:p>
      <w:pPr>
        <w:shd w:val="clear" w:color="auto" w:fill="auto"/>
        <w:spacing w:line="360" w:lineRule="auto"/>
        <w:ind w:right="420" w:firstLine="480" w:firstLineChars="200"/>
        <w:rPr>
          <w:rFonts w:hint="eastAsia" w:ascii="仿宋_GB2312" w:hAnsi="仿宋" w:eastAsia="仿宋_GB2312" w:cs="仿宋_GB2312"/>
          <w:color w:val="auto"/>
          <w:sz w:val="24"/>
          <w:highlight w:val="none"/>
          <w:lang w:val="zh-CN"/>
        </w:rPr>
      </w:pPr>
    </w:p>
    <w:p>
      <w:pPr>
        <w:shd w:val="clear" w:color="auto" w:fill="auto"/>
        <w:spacing w:line="360" w:lineRule="auto"/>
        <w:ind w:right="420" w:firstLine="480" w:firstLineChars="200"/>
        <w:rPr>
          <w:rFonts w:hint="eastAsia" w:ascii="仿宋_GB2312" w:hAnsi="仿宋" w:eastAsia="仿宋_GB2312" w:cs="仿宋_GB2312"/>
          <w:color w:val="auto"/>
          <w:sz w:val="24"/>
          <w:highlight w:val="none"/>
          <w:lang w:val="zh-CN"/>
        </w:rPr>
      </w:pPr>
    </w:p>
    <w:p>
      <w:pPr>
        <w:shd w:val="clear" w:color="auto" w:fill="auto"/>
        <w:snapToGrid w:val="0"/>
        <w:spacing w:line="360" w:lineRule="auto"/>
        <w:ind w:left="5621" w:leftChars="2534" w:hanging="300" w:hangingChars="125"/>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640" w:firstLineChars="23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pacing w:line="600" w:lineRule="exact"/>
        <w:jc w:val="left"/>
        <w:rPr>
          <w:rFonts w:hint="eastAsia" w:ascii="宋体" w:hAnsi="Courier New" w:cs="宋体"/>
          <w:color w:val="auto"/>
          <w:kern w:val="0"/>
          <w:szCs w:val="21"/>
          <w:highlight w:val="none"/>
        </w:rPr>
      </w:pPr>
    </w:p>
    <w:p>
      <w:pPr>
        <w:shd w:val="clear" w:color="auto" w:fill="auto"/>
        <w:spacing w:line="600" w:lineRule="exact"/>
        <w:jc w:val="left"/>
        <w:rPr>
          <w:rFonts w:hint="eastAsia" w:ascii="宋体" w:hAnsi="Courier New" w:cs="宋体"/>
          <w:color w:val="auto"/>
          <w:kern w:val="0"/>
          <w:szCs w:val="21"/>
          <w:highlight w:val="none"/>
        </w:rPr>
      </w:pPr>
    </w:p>
    <w:p>
      <w:pPr>
        <w:shd w:val="clear" w:color="auto" w:fill="auto"/>
        <w:spacing w:line="360" w:lineRule="auto"/>
        <w:ind w:right="42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注明：</w:t>
      </w:r>
    </w:p>
    <w:p>
      <w:pPr>
        <w:shd w:val="clear" w:color="auto" w:fill="auto"/>
        <w:spacing w:line="360" w:lineRule="auto"/>
        <w:ind w:right="420" w:firstLine="480" w:firstLineChars="200"/>
        <w:rPr>
          <w:rFonts w:hint="eastAsia" w:ascii="仿宋_GB2312" w:hAnsi="仿宋" w:eastAsia="仿宋_GB2312" w:cs="仿宋_GB2312"/>
          <w:b/>
          <w:bCs/>
          <w:color w:val="auto"/>
          <w:sz w:val="24"/>
          <w:highlight w:val="none"/>
        </w:rPr>
      </w:pPr>
      <w:r>
        <w:rPr>
          <w:rFonts w:hint="eastAsia" w:ascii="仿宋_GB2312" w:hAnsi="仿宋" w:eastAsia="仿宋_GB2312" w:cs="仿宋_GB2312"/>
          <w:color w:val="auto"/>
          <w:sz w:val="24"/>
          <w:highlight w:val="none"/>
        </w:rPr>
        <w:t>根据《关于政府采购支持监狱企业发展有关问题的通知》（财库[2014]68号）的规定，由省级以上监狱管理局、戒毒管理局（含新疆生产建设兵团）出具的属于监狱企业证的，视同为小型和微型企业，依法享受中小企业扶持政策。请根据自己的真实情况提供由省级以上监狱管理局、戒毒管理局（含新疆生产建设兵团）出具的属于监狱企业证的，采购人或者采购代理机构在公告中标结果时，</w:t>
      </w:r>
      <w:r>
        <w:rPr>
          <w:rFonts w:hint="eastAsia" w:ascii="仿宋_GB2312" w:hAnsi="仿宋" w:eastAsia="仿宋_GB2312" w:cs="仿宋_GB2312"/>
          <w:b/>
          <w:bCs/>
          <w:color w:val="auto"/>
          <w:sz w:val="24"/>
          <w:highlight w:val="none"/>
        </w:rPr>
        <w:t>同时公告其监狱企业证明文件，接受社会监督。</w:t>
      </w:r>
    </w:p>
    <w:p>
      <w:pPr>
        <w:shd w:val="clear" w:color="auto" w:fill="auto"/>
        <w:spacing w:line="600" w:lineRule="exact"/>
        <w:jc w:val="center"/>
        <w:rPr>
          <w:rFonts w:hint="eastAsia" w:ascii="仿宋_GB2312" w:hAnsi="仿宋" w:eastAsia="仿宋_GB2312" w:cs="仿宋_GB2312"/>
          <w:color w:val="auto"/>
          <w:kern w:val="0"/>
          <w:sz w:val="24"/>
          <w:highlight w:val="none"/>
          <w:lang w:val="zh-CN"/>
        </w:rPr>
      </w:pPr>
    </w:p>
    <w:p>
      <w:pPr>
        <w:shd w:val="clear" w:color="auto" w:fill="auto"/>
        <w:spacing w:line="600" w:lineRule="exact"/>
        <w:jc w:val="center"/>
        <w:rPr>
          <w:rFonts w:hint="eastAsia" w:ascii="仿宋_GB2312" w:hAnsi="仿宋" w:eastAsia="仿宋_GB2312" w:cs="仿宋_GB2312"/>
          <w:color w:val="auto"/>
          <w:kern w:val="0"/>
          <w:sz w:val="24"/>
          <w:highlight w:val="none"/>
          <w:lang w:val="zh-CN"/>
        </w:rPr>
      </w:pPr>
    </w:p>
    <w:p>
      <w:pPr>
        <w:shd w:val="clear" w:color="auto" w:fill="auto"/>
        <w:spacing w:line="600" w:lineRule="exact"/>
        <w:jc w:val="center"/>
        <w:rPr>
          <w:rFonts w:hint="eastAsia"/>
          <w:b/>
          <w:bCs/>
          <w:color w:val="auto"/>
          <w:sz w:val="30"/>
          <w:szCs w:val="30"/>
          <w:highlight w:val="none"/>
        </w:rPr>
      </w:pPr>
      <w:r>
        <w:rPr>
          <w:rFonts w:hint="eastAsia"/>
          <w:b/>
          <w:bCs/>
          <w:color w:val="auto"/>
          <w:sz w:val="30"/>
          <w:szCs w:val="30"/>
          <w:highlight w:val="none"/>
        </w:rPr>
        <w:br w:type="page"/>
      </w:r>
      <w:r>
        <w:rPr>
          <w:rFonts w:hint="eastAsia"/>
          <w:b/>
          <w:bCs/>
          <w:color w:val="auto"/>
          <w:sz w:val="30"/>
          <w:szCs w:val="30"/>
          <w:highlight w:val="none"/>
        </w:rPr>
        <w:t>十、投标人认为需要提供的其他证明材料</w:t>
      </w:r>
    </w:p>
    <w:p>
      <w:pPr>
        <w:shd w:val="clear" w:color="auto" w:fill="auto"/>
        <w:spacing w:line="600" w:lineRule="exact"/>
        <w:jc w:val="center"/>
        <w:rPr>
          <w:rFonts w:hint="eastAsia"/>
          <w:b/>
          <w:bCs/>
          <w:color w:val="auto"/>
          <w:sz w:val="30"/>
          <w:szCs w:val="30"/>
          <w:highlight w:val="none"/>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color w:val="auto"/>
          <w:szCs w:val="20"/>
          <w:highlight w:val="none"/>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autoSpaceDE w:val="0"/>
        <w:autoSpaceDN w:val="0"/>
        <w:adjustRightInd w:val="0"/>
        <w:spacing w:line="360" w:lineRule="auto"/>
        <w:jc w:val="left"/>
        <w:rPr>
          <w:rFonts w:hAnsi="宋体"/>
          <w:color w:val="auto"/>
          <w:szCs w:val="21"/>
          <w:highlight w:val="none"/>
        </w:rPr>
        <w:sectPr>
          <w:pgSz w:w="11911" w:h="16838"/>
          <w:pgMar w:top="1134" w:right="1134" w:bottom="1134" w:left="1134" w:header="720" w:footer="720" w:gutter="0"/>
          <w:cols w:space="720" w:num="1"/>
          <w:titlePg/>
          <w:docGrid w:linePitch="331" w:charSpace="0"/>
        </w:sectPr>
      </w:pPr>
    </w:p>
    <w:p>
      <w:pPr>
        <w:shd w:val="clear" w:color="auto" w:fill="auto"/>
        <w:jc w:val="center"/>
        <w:outlineLvl w:val="1"/>
        <w:rPr>
          <w:rFonts w:ascii="宋体" w:hAnsi="宋体"/>
          <w:color w:val="auto"/>
          <w:szCs w:val="21"/>
          <w:highlight w:val="none"/>
        </w:rPr>
      </w:pPr>
    </w:p>
    <w:p>
      <w:pPr>
        <w:shd w:val="clear" w:color="auto" w:fill="auto"/>
        <w:jc w:val="center"/>
        <w:outlineLvl w:val="1"/>
        <w:rPr>
          <w:rFonts w:hint="eastAsia" w:ascii="宋体" w:hAnsi="宋体"/>
          <w:b/>
          <w:bCs/>
          <w:color w:val="auto"/>
          <w:sz w:val="28"/>
          <w:szCs w:val="28"/>
          <w:highlight w:val="none"/>
        </w:rPr>
      </w:pPr>
      <w:bookmarkStart w:id="350" w:name="_Toc177489472"/>
      <w:bookmarkStart w:id="351" w:name="_Toc19686838"/>
      <w:r>
        <w:rPr>
          <w:rFonts w:hint="eastAsia" w:ascii="宋体" w:hAnsi="宋体"/>
          <w:b/>
          <w:bCs/>
          <w:color w:val="auto"/>
          <w:sz w:val="28"/>
          <w:szCs w:val="28"/>
          <w:highlight w:val="none"/>
        </w:rPr>
        <w:t>第三节 商务文件格式</w:t>
      </w:r>
      <w:bookmarkEnd w:id="350"/>
      <w:bookmarkEnd w:id="351"/>
    </w:p>
    <w:p>
      <w:pPr>
        <w:shd w:val="clear" w:color="auto" w:fill="auto"/>
        <w:snapToGrid w:val="0"/>
        <w:spacing w:before="120" w:beforeLines="50" w:after="50"/>
        <w:rPr>
          <w:rFonts w:hint="eastAsia" w:ascii="宋体" w:hAnsi="宋体"/>
          <w:color w:val="auto"/>
          <w:sz w:val="30"/>
          <w:szCs w:val="20"/>
          <w:highlight w:val="none"/>
        </w:rPr>
      </w:pPr>
    </w:p>
    <w:p>
      <w:pPr>
        <w:shd w:val="clear" w:color="auto" w:fill="auto"/>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 xml:space="preserve">             电子投标文件</w:t>
      </w:r>
    </w:p>
    <w:p>
      <w:pPr>
        <w:shd w:val="clear" w:color="auto" w:fill="auto"/>
        <w:snapToGrid w:val="0"/>
        <w:spacing w:before="120" w:beforeLines="50" w:after="50"/>
        <w:rPr>
          <w:rFonts w:hint="eastAsia" w:ascii="宋体" w:hAnsi="宋体"/>
          <w:color w:val="auto"/>
          <w:sz w:val="24"/>
          <w:szCs w:val="20"/>
          <w:highlight w:val="none"/>
        </w:rPr>
      </w:pPr>
    </w:p>
    <w:p>
      <w:pPr>
        <w:shd w:val="clear" w:color="auto" w:fill="auto"/>
        <w:snapToGrid w:val="0"/>
        <w:spacing w:before="120" w:beforeLines="50" w:after="50"/>
        <w:jc w:val="center"/>
        <w:rPr>
          <w:rFonts w:hint="eastAsia" w:ascii="宋体" w:hAnsi="宋体"/>
          <w:b/>
          <w:color w:val="auto"/>
          <w:sz w:val="24"/>
          <w:szCs w:val="20"/>
          <w:highlight w:val="none"/>
        </w:rPr>
      </w:pPr>
      <w:r>
        <w:rPr>
          <w:rFonts w:hint="eastAsia" w:ascii="宋体" w:hAnsi="宋体"/>
          <w:b/>
          <w:color w:val="auto"/>
          <w:sz w:val="32"/>
          <w:szCs w:val="32"/>
          <w:highlight w:val="none"/>
        </w:rPr>
        <w:t>商务文件（封面）</w:t>
      </w:r>
    </w:p>
    <w:p>
      <w:pPr>
        <w:shd w:val="clear" w:color="auto" w:fill="auto"/>
        <w:snapToGrid w:val="0"/>
        <w:spacing w:before="120" w:beforeLines="50" w:after="50"/>
        <w:rPr>
          <w:rFonts w:hint="eastAsia" w:ascii="宋体" w:hAnsi="宋体"/>
          <w:bCs/>
          <w:color w:val="auto"/>
          <w:sz w:val="24"/>
          <w:szCs w:val="20"/>
          <w:highlight w:val="none"/>
        </w:rPr>
      </w:pP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项目名称：</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项目编号：</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r>
        <w:rPr>
          <w:rFonts w:hint="eastAsia" w:ascii="宋体" w:hAnsi="宋体"/>
          <w:bCs/>
          <w:color w:val="auto"/>
          <w:sz w:val="24"/>
          <w:highlight w:val="none"/>
        </w:rPr>
        <w:t xml:space="preserve"> </w:t>
      </w:r>
    </w:p>
    <w:p>
      <w:pPr>
        <w:shd w:val="clear" w:color="auto" w:fill="auto"/>
        <w:snapToGrid w:val="0"/>
        <w:spacing w:before="120" w:beforeLines="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所投分标：</w:t>
      </w:r>
    </w:p>
    <w:p>
      <w:pPr>
        <w:shd w:val="clear" w:color="auto" w:fill="auto"/>
        <w:snapToGrid w:val="0"/>
        <w:spacing w:before="120" w:beforeLines="50" w:after="50"/>
        <w:ind w:firstLine="540" w:firstLineChars="225"/>
        <w:rPr>
          <w:rFonts w:hint="eastAsia" w:ascii="宋体" w:hAnsi="宋体"/>
          <w:bCs/>
          <w:color w:val="auto"/>
          <w:sz w:val="24"/>
          <w:szCs w:val="20"/>
          <w:highlight w:val="none"/>
        </w:rPr>
      </w:pPr>
    </w:p>
    <w:p>
      <w:pPr>
        <w:shd w:val="clear" w:color="auto" w:fill="auto"/>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投标人名称：</w:t>
      </w:r>
    </w:p>
    <w:p>
      <w:pPr>
        <w:shd w:val="clear" w:color="auto" w:fill="auto"/>
        <w:snapToGrid w:val="0"/>
        <w:spacing w:before="50" w:after="50"/>
        <w:ind w:firstLine="540" w:firstLineChars="225"/>
        <w:rPr>
          <w:rFonts w:hint="eastAsia" w:ascii="宋体" w:hAnsi="宋体"/>
          <w:bCs/>
          <w:color w:val="auto"/>
          <w:sz w:val="24"/>
          <w:highlight w:val="none"/>
        </w:rPr>
      </w:pPr>
    </w:p>
    <w:p>
      <w:pPr>
        <w:shd w:val="clear" w:color="auto" w:fill="auto"/>
        <w:snapToGrid w:val="0"/>
        <w:spacing w:before="50" w:after="50"/>
        <w:ind w:firstLine="540" w:firstLineChars="225"/>
        <w:rPr>
          <w:rFonts w:hint="eastAsia" w:ascii="宋体" w:hAnsi="宋体"/>
          <w:bCs/>
          <w:color w:val="auto"/>
          <w:sz w:val="24"/>
          <w:highlight w:val="none"/>
        </w:rPr>
      </w:pPr>
      <w:r>
        <w:rPr>
          <w:rFonts w:hint="eastAsia" w:ascii="宋体" w:hAnsi="宋体"/>
          <w:bCs/>
          <w:color w:val="auto"/>
          <w:sz w:val="24"/>
          <w:highlight w:val="none"/>
        </w:rPr>
        <w:t>投标人地址：</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645"/>
        <w:rPr>
          <w:rFonts w:ascii="宋体" w:hAnsi="宋体"/>
          <w:color w:val="auto"/>
          <w:sz w:val="24"/>
          <w:highlight w:val="none"/>
        </w:rPr>
      </w:pPr>
    </w:p>
    <w:p>
      <w:pPr>
        <w:shd w:val="clear" w:color="auto" w:fill="auto"/>
        <w:spacing w:line="360" w:lineRule="auto"/>
        <w:ind w:right="420"/>
        <w:rPr>
          <w:rFonts w:hint="eastAsia" w:ascii="仿宋_GB2312" w:hAnsi="仿宋" w:eastAsia="仿宋_GB2312" w:cs="仿宋_GB2312"/>
          <w:b/>
          <w:color w:val="auto"/>
          <w:kern w:val="0"/>
          <w:sz w:val="36"/>
          <w:szCs w:val="36"/>
          <w:highlight w:val="none"/>
        </w:rPr>
      </w:pPr>
      <w:r>
        <w:rPr>
          <w:rFonts w:ascii="宋体" w:hAnsi="宋体"/>
          <w:color w:val="auto"/>
          <w:sz w:val="24"/>
          <w:szCs w:val="20"/>
          <w:highlight w:val="none"/>
        </w:rPr>
        <w:t xml:space="preserve"> </w:t>
      </w:r>
      <w:r>
        <w:rPr>
          <w:rFonts w:hint="eastAsia" w:ascii="仿宋_GB2312" w:hAnsi="仿宋" w:eastAsia="仿宋_GB2312" w:cs="仿宋_GB2312"/>
          <w:b/>
          <w:color w:val="auto"/>
          <w:kern w:val="0"/>
          <w:sz w:val="36"/>
          <w:szCs w:val="36"/>
          <w:highlight w:val="none"/>
        </w:rPr>
        <w:t xml:space="preserve"> </w:t>
      </w:r>
    </w:p>
    <w:p>
      <w:pPr>
        <w:shd w:val="clear" w:color="auto" w:fill="auto"/>
        <w:rPr>
          <w:rFonts w:hint="eastAsia" w:ascii="仿宋_GB2312" w:hAnsi="仿宋" w:eastAsia="仿宋_GB2312" w:cs="仿宋_GB2312"/>
          <w:b/>
          <w:color w:val="auto"/>
          <w:kern w:val="0"/>
          <w:sz w:val="24"/>
          <w:highlight w:val="none"/>
        </w:rPr>
      </w:pPr>
      <w:r>
        <w:rPr>
          <w:rFonts w:hint="eastAsia" w:ascii="仿宋_GB2312" w:hAnsi="仿宋" w:eastAsia="仿宋_GB2312" w:cs="仿宋_GB2312"/>
          <w:b/>
          <w:color w:val="auto"/>
          <w:kern w:val="0"/>
          <w:sz w:val="24"/>
          <w:highlight w:val="none"/>
        </w:rPr>
        <w:br w:type="page"/>
      </w:r>
    </w:p>
    <w:p>
      <w:pPr>
        <w:shd w:val="clear" w:color="auto" w:fill="auto"/>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商务文件目录</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一、无串通投标行为的承诺函………………………………………………………（页码）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二、法定代表人身份证明及法定代表人有效身份证正反面复印件………………（页码）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三、法定代表人授权委托书（如有委托时）………………………………………（页码）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四、</w:t>
      </w:r>
      <w:r>
        <w:rPr>
          <w:rFonts w:hint="eastAsia" w:ascii="仿宋_GB2312" w:hAnsi="仿宋" w:eastAsia="仿宋_GB2312" w:cs="仿宋_GB2312"/>
          <w:color w:val="auto"/>
          <w:sz w:val="24"/>
          <w:highlight w:val="none"/>
          <w:lang w:val="zh-CN"/>
        </w:rPr>
        <w:t>商务条款偏离表………………………………</w:t>
      </w:r>
      <w:r>
        <w:rPr>
          <w:rFonts w:hint="eastAsia" w:ascii="仿宋_GB2312" w:hAnsi="仿宋" w:eastAsia="仿宋_GB2312" w:cs="仿宋_GB2312"/>
          <w:color w:val="auto"/>
          <w:sz w:val="24"/>
          <w:highlight w:val="none"/>
        </w:rPr>
        <w:t>…………………………………（页码）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bookmarkStart w:id="352" w:name="OLE_LINK6"/>
      <w:bookmarkStart w:id="353" w:name="OLE_LINK7"/>
      <w:bookmarkStart w:id="354" w:name="OLE_LINK5"/>
      <w:r>
        <w:rPr>
          <w:rFonts w:hint="eastAsia" w:ascii="仿宋_GB2312" w:hAnsi="仿宋" w:eastAsia="仿宋_GB2312" w:cs="仿宋_GB2312"/>
          <w:color w:val="auto"/>
          <w:sz w:val="24"/>
          <w:highlight w:val="none"/>
        </w:rPr>
        <w:t>五、投标人情况介绍</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shd w:val="clear" w:color="auto" w:fill="auto"/>
        <w:adjustRightInd w:val="0"/>
        <w:spacing w:line="360" w:lineRule="auto"/>
        <w:ind w:left="2"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六、除招标文件规定必须提供以外，投标人认为需要提供的其他证明材料</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bookmarkEnd w:id="352"/>
      <w:bookmarkEnd w:id="353"/>
    </w:p>
    <w:bookmarkEnd w:id="354"/>
    <w:p>
      <w:pPr>
        <w:shd w:val="clear" w:color="auto" w:fill="auto"/>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注：以上目录是基本格式要求，各投标人可根据招标文件的要求及自身情况进一步增加内容或细化。</w:t>
      </w:r>
    </w:p>
    <w:p>
      <w:pPr>
        <w:shd w:val="clear" w:color="auto" w:fill="auto"/>
        <w:snapToGrid w:val="0"/>
        <w:spacing w:line="360" w:lineRule="auto"/>
        <w:ind w:firstLine="420" w:firstLineChars="200"/>
        <w:jc w:val="left"/>
        <w:rPr>
          <w:rFonts w:ascii="宋体" w:hAnsi="宋体"/>
          <w:color w:val="auto"/>
          <w:highlight w:val="none"/>
        </w:rPr>
        <w:sectPr>
          <w:pgSz w:w="11911" w:h="16838"/>
          <w:pgMar w:top="1134" w:right="1134" w:bottom="1134" w:left="1134" w:header="720" w:footer="720" w:gutter="0"/>
          <w:cols w:space="720" w:num="1"/>
          <w:titlePg/>
          <w:docGrid w:linePitch="331" w:charSpace="0"/>
        </w:sectPr>
      </w:pPr>
    </w:p>
    <w:p>
      <w:pPr>
        <w:shd w:val="clear" w:color="auto" w:fill="auto"/>
        <w:snapToGrid w:val="0"/>
        <w:spacing w:before="120" w:beforeLines="50" w:after="50"/>
        <w:ind w:left="420"/>
        <w:jc w:val="center"/>
        <w:rPr>
          <w:rFonts w:hint="eastAsia"/>
          <w:b/>
          <w:bCs/>
          <w:color w:val="auto"/>
          <w:sz w:val="30"/>
          <w:szCs w:val="30"/>
          <w:highlight w:val="none"/>
        </w:rPr>
      </w:pPr>
      <w:r>
        <w:rPr>
          <w:rFonts w:hint="eastAsia"/>
          <w:b/>
          <w:bCs/>
          <w:color w:val="auto"/>
          <w:sz w:val="30"/>
          <w:szCs w:val="30"/>
          <w:highlight w:val="none"/>
        </w:rPr>
        <w:t>一、无串通投标行为的承诺函</w:t>
      </w:r>
    </w:p>
    <w:p>
      <w:pPr>
        <w:shd w:val="clear" w:color="auto" w:fill="auto"/>
        <w:snapToGrid w:val="0"/>
        <w:spacing w:before="120" w:beforeLines="50" w:after="50"/>
        <w:ind w:left="420"/>
        <w:jc w:val="center"/>
        <w:rPr>
          <w:rFonts w:hint="eastAsia" w:ascii="宋体" w:hAnsi="宋体"/>
          <w:b/>
          <w:color w:val="auto"/>
          <w:sz w:val="32"/>
          <w:szCs w:val="32"/>
          <w:highlight w:val="none"/>
        </w:rPr>
      </w:pPr>
      <w:r>
        <w:rPr>
          <w:rFonts w:hint="eastAsia" w:ascii="宋体" w:hAnsi="宋体"/>
          <w:b/>
          <w:color w:val="auto"/>
          <w:sz w:val="32"/>
          <w:szCs w:val="32"/>
          <w:highlight w:val="none"/>
        </w:rPr>
        <w:t>投标人参加本项目无串通投标行为的承诺函</w:t>
      </w:r>
    </w:p>
    <w:p>
      <w:pPr>
        <w:shd w:val="clear" w:color="auto" w:fill="auto"/>
        <w:snapToGrid w:val="0"/>
        <w:spacing w:before="120" w:beforeLines="50" w:after="50"/>
        <w:rPr>
          <w:rFonts w:ascii="宋体" w:hAnsi="宋体"/>
          <w:b/>
          <w:color w:val="auto"/>
          <w:szCs w:val="21"/>
          <w:highlight w:val="none"/>
        </w:rPr>
      </w:pPr>
    </w:p>
    <w:p>
      <w:pPr>
        <w:shd w:val="clear" w:color="auto" w:fill="auto"/>
        <w:snapToGrid w:val="0"/>
        <w:spacing w:before="120" w:beforeLines="50" w:after="50" w:line="360" w:lineRule="auto"/>
        <w:jc w:val="left"/>
        <w:rPr>
          <w:rFonts w:hint="eastAsia" w:ascii="宋体" w:hAnsi="宋体"/>
          <w:b/>
          <w:color w:val="auto"/>
          <w:szCs w:val="21"/>
          <w:highlight w:val="none"/>
        </w:rPr>
      </w:pPr>
      <w:r>
        <w:rPr>
          <w:rFonts w:hint="eastAsia" w:ascii="宋体" w:hAnsi="宋体"/>
          <w:b/>
          <w:color w:val="auto"/>
          <w:szCs w:val="21"/>
          <w:highlight w:val="none"/>
        </w:rPr>
        <w:t>一、我方承诺无下列相互串通投标的情形：</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1.不同投标人的投标文件由同一单位或者个人编制；或者不同投标人报名的IP地址一致的；或者编制标书硬件设备CPU编号、硬盘编号、网卡地址一致的情况；</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2.不同投标人委托同一单位或者个人办理投标事宜；</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3.不同的投标人的投标文件载明的项目管理员为同一个人；</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5.不同投标人的投标文件相互混装；</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6.不同投标人的投标保证金从同一单位或者个人账户转出。</w:t>
      </w:r>
    </w:p>
    <w:p>
      <w:pPr>
        <w:shd w:val="clear" w:color="auto" w:fill="auto"/>
        <w:snapToGrid w:val="0"/>
        <w:spacing w:before="120" w:beforeLines="50" w:after="50" w:line="360" w:lineRule="auto"/>
        <w:jc w:val="left"/>
        <w:rPr>
          <w:rFonts w:hint="eastAsia" w:ascii="宋体" w:hAnsi="宋体"/>
          <w:color w:val="auto"/>
          <w:szCs w:val="21"/>
          <w:highlight w:val="none"/>
        </w:rPr>
      </w:pPr>
      <w:r>
        <w:rPr>
          <w:rFonts w:hint="eastAsia" w:ascii="宋体" w:hAnsi="宋体"/>
          <w:b/>
          <w:color w:val="auto"/>
          <w:szCs w:val="21"/>
          <w:highlight w:val="none"/>
        </w:rPr>
        <w:t>二、我方承诺无下列恶意串通的情形：</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1.投标人直接或者间接从采购人或者采购代理机构处获得其他投标人的相关信息并修改其投标文件或者响应文件；</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2.投标人按照采购人或者采购代理机构的授意撤换、修改投标文件或者响应文件；</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3.投标人之间协商报价、技术方案等投标文件或者响应文件的实质性内容；</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4.属于同一集团、协会、商会等组织成员的投标人按照该组织要求协同参加政府采购活动；</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5.投标人之间事先约定一致抬高或者压低投标报价，或者在招标项目中事先约定轮流以高价位或者低价位中标，或者事先约定由某一特定投标人中标，然后再参加投标；</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6.投标人之间商定部分投标人放弃参加政府采购活动或者放弃中标；</w:t>
      </w:r>
    </w:p>
    <w:p>
      <w:pPr>
        <w:shd w:val="clear" w:color="auto" w:fill="auto"/>
        <w:snapToGrid w:val="0"/>
        <w:spacing w:before="120" w:beforeLines="50" w:after="50" w:line="360" w:lineRule="auto"/>
        <w:ind w:firstLine="411" w:firstLineChars="196"/>
        <w:jc w:val="left"/>
        <w:rPr>
          <w:rFonts w:hint="eastAsia" w:ascii="宋体" w:hAnsi="宋体"/>
          <w:color w:val="auto"/>
          <w:szCs w:val="21"/>
          <w:highlight w:val="none"/>
        </w:rPr>
      </w:pPr>
      <w:r>
        <w:rPr>
          <w:rFonts w:hint="eastAsia" w:ascii="宋体" w:hAnsi="宋体"/>
          <w:color w:val="auto"/>
          <w:szCs w:val="21"/>
          <w:highlight w:val="none"/>
        </w:rPr>
        <w:t>7.投标人与采购人或者采购代理机构之间、投标人相互之间，为谋求特定投标人中标或者排斥其他投标人的其他串通行为。</w:t>
      </w:r>
    </w:p>
    <w:p>
      <w:pPr>
        <w:shd w:val="clear" w:color="auto" w:fill="auto"/>
        <w:snapToGrid w:val="0"/>
        <w:spacing w:before="120" w:beforeLines="50" w:after="50" w:line="360" w:lineRule="auto"/>
        <w:ind w:firstLine="413" w:firstLineChars="196"/>
        <w:jc w:val="left"/>
        <w:rPr>
          <w:rFonts w:hint="eastAsia" w:ascii="宋体" w:hAnsi="宋体"/>
          <w:b/>
          <w:color w:val="auto"/>
          <w:szCs w:val="21"/>
          <w:highlight w:val="none"/>
        </w:rPr>
      </w:pPr>
      <w:r>
        <w:rPr>
          <w:rFonts w:hint="eastAsia" w:ascii="宋体" w:hAnsi="宋体"/>
          <w:b/>
          <w:color w:val="auto"/>
          <w:szCs w:val="21"/>
          <w:highlight w:val="none"/>
        </w:rPr>
        <w:t>以上情形一经核查属实，接受政府采购监管部门对我方认定存在围标串标行为，我方愿意承担一切后果，并不再寻求任何旨在减轻或者免除法律责任的辩解。</w:t>
      </w:r>
    </w:p>
    <w:p>
      <w:pPr>
        <w:shd w:val="clear" w:color="auto" w:fill="auto"/>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pPr>
        <w:shd w:val="clear" w:color="auto" w:fill="auto"/>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295" w:after="295" w:line="360" w:lineRule="auto"/>
        <w:jc w:val="center"/>
        <w:rPr>
          <w:rFonts w:hint="eastAsia" w:ascii="宋体" w:hAnsi="宋体"/>
          <w:b/>
          <w:color w:val="auto"/>
          <w:sz w:val="24"/>
          <w:szCs w:val="20"/>
          <w:highlight w:val="none"/>
        </w:rPr>
      </w:pPr>
      <w:r>
        <w:rPr>
          <w:rFonts w:ascii="宋体" w:hAnsi="宋体"/>
          <w:b/>
          <w:color w:val="auto"/>
          <w:sz w:val="24"/>
          <w:szCs w:val="20"/>
          <w:highlight w:val="none"/>
        </w:rPr>
        <w:br w:type="page"/>
      </w:r>
      <w:r>
        <w:rPr>
          <w:rFonts w:hint="eastAsia" w:ascii="宋体" w:hAnsi="宋体"/>
          <w:b/>
          <w:color w:val="auto"/>
          <w:sz w:val="24"/>
          <w:szCs w:val="20"/>
          <w:highlight w:val="none"/>
        </w:rPr>
        <w:t>二、</w:t>
      </w:r>
      <w:r>
        <w:rPr>
          <w:rFonts w:hint="eastAsia"/>
          <w:b/>
          <w:bCs/>
          <w:color w:val="auto"/>
          <w:sz w:val="30"/>
          <w:szCs w:val="30"/>
          <w:highlight w:val="none"/>
        </w:rPr>
        <w:t>法定代表人身份证明</w:t>
      </w:r>
    </w:p>
    <w:p>
      <w:pPr>
        <w:shd w:val="clear" w:color="auto" w:fill="auto"/>
        <w:spacing w:before="240" w:beforeLines="100" w:after="120" w:afterLines="50"/>
        <w:ind w:left="540"/>
        <w:jc w:val="center"/>
        <w:rPr>
          <w:rFonts w:hint="eastAsia" w:ascii="黑体" w:hAnsi="宋体" w:eastAsia="黑体"/>
          <w:color w:val="auto"/>
          <w:sz w:val="32"/>
          <w:szCs w:val="32"/>
          <w:highlight w:val="none"/>
        </w:rPr>
      </w:pPr>
      <w:r>
        <w:rPr>
          <w:rFonts w:hint="eastAsia" w:ascii="宋体" w:hAnsi="Courier New"/>
          <w:b/>
          <w:color w:val="auto"/>
          <w:sz w:val="32"/>
          <w:szCs w:val="32"/>
          <w:highlight w:val="none"/>
        </w:rPr>
        <w:t>法定代表人身份证明</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投 标 人：</w:t>
      </w:r>
      <w:r>
        <w:rPr>
          <w:rFonts w:hint="eastAsia" w:ascii="宋体" w:hAnsi="宋体"/>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地    址：</w:t>
      </w:r>
      <w:r>
        <w:rPr>
          <w:rFonts w:hint="eastAsia" w:ascii="宋体" w:hAnsi="宋体"/>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姓    名：</w:t>
      </w:r>
      <w:r>
        <w:rPr>
          <w:rFonts w:hint="eastAsia" w:ascii="宋体" w:hAnsi="宋体"/>
          <w:color w:val="auto"/>
          <w:sz w:val="24"/>
          <w:highlight w:val="none"/>
          <w:u w:val="single"/>
        </w:rPr>
        <w:t xml:space="preserve">                          </w:t>
      </w:r>
      <w:r>
        <w:rPr>
          <w:rFonts w:hint="eastAsia" w:ascii="宋体" w:hAnsi="宋体"/>
          <w:color w:val="auto"/>
          <w:sz w:val="24"/>
          <w:highlight w:val="none"/>
        </w:rPr>
        <w:t>性      别：</w:t>
      </w:r>
      <w:r>
        <w:rPr>
          <w:rFonts w:hint="eastAsia" w:ascii="宋体" w:hAnsi="宋体"/>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u w:val="single"/>
        </w:rPr>
      </w:pPr>
      <w:r>
        <w:rPr>
          <w:rFonts w:hint="eastAsia" w:ascii="宋体" w:hAnsi="宋体"/>
          <w:color w:val="auto"/>
          <w:sz w:val="24"/>
          <w:highlight w:val="none"/>
        </w:rPr>
        <w:t>年    龄：</w:t>
      </w:r>
      <w:r>
        <w:rPr>
          <w:rFonts w:hint="eastAsia" w:ascii="宋体" w:hAnsi="宋体"/>
          <w:color w:val="auto"/>
          <w:sz w:val="24"/>
          <w:highlight w:val="none"/>
          <w:u w:val="single"/>
        </w:rPr>
        <w:t xml:space="preserve">                          </w:t>
      </w:r>
      <w:r>
        <w:rPr>
          <w:rFonts w:hint="eastAsia" w:ascii="宋体" w:hAnsi="宋体"/>
          <w:color w:val="auto"/>
          <w:sz w:val="24"/>
          <w:highlight w:val="none"/>
        </w:rPr>
        <w:t>职      务：</w:t>
      </w:r>
      <w:r>
        <w:rPr>
          <w:rFonts w:hint="eastAsia" w:ascii="宋体" w:hAnsi="宋体"/>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身份证</w:t>
      </w:r>
      <w:r>
        <w:rPr>
          <w:rFonts w:hint="eastAsia"/>
          <w:color w:val="auto"/>
          <w:sz w:val="24"/>
          <w:highlight w:val="none"/>
        </w:rPr>
        <w:t>号码：</w:t>
      </w:r>
      <w:r>
        <w:rPr>
          <w:rFonts w:hint="eastAsia"/>
          <w:color w:val="auto"/>
          <w:sz w:val="24"/>
          <w:highlight w:val="none"/>
          <w:u w:val="single"/>
        </w:rPr>
        <w:t xml:space="preserve">                                 </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（投标人名称）              </w:t>
      </w:r>
      <w:r>
        <w:rPr>
          <w:rFonts w:hint="eastAsia" w:ascii="宋体" w:hAnsi="宋体"/>
          <w:color w:val="auto"/>
          <w:sz w:val="24"/>
          <w:highlight w:val="none"/>
        </w:rPr>
        <w:t>的法定代表人。</w:t>
      </w: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特此证明。</w:t>
      </w:r>
    </w:p>
    <w:p>
      <w:pPr>
        <w:shd w:val="clear" w:color="auto" w:fill="auto"/>
        <w:spacing w:line="500" w:lineRule="exact"/>
        <w:ind w:left="540"/>
        <w:rPr>
          <w:rFonts w:hint="eastAsia" w:ascii="宋体" w:hAnsi="宋体"/>
          <w:color w:val="auto"/>
          <w:sz w:val="24"/>
          <w:highlight w:val="none"/>
        </w:rPr>
      </w:pPr>
    </w:p>
    <w:p>
      <w:pPr>
        <w:shd w:val="clear" w:color="auto" w:fill="auto"/>
        <w:spacing w:line="500" w:lineRule="exact"/>
        <w:ind w:left="540"/>
        <w:rPr>
          <w:rFonts w:hint="eastAsia" w:ascii="宋体" w:hAnsi="宋体"/>
          <w:color w:val="auto"/>
          <w:sz w:val="24"/>
          <w:highlight w:val="none"/>
        </w:rPr>
      </w:pPr>
      <w:r>
        <w:rPr>
          <w:rFonts w:hint="eastAsia" w:ascii="宋体" w:hAnsi="宋体"/>
          <w:color w:val="auto"/>
          <w:sz w:val="24"/>
          <w:highlight w:val="none"/>
        </w:rPr>
        <w:t>附件：</w:t>
      </w:r>
      <w:r>
        <w:rPr>
          <w:rFonts w:hint="eastAsia" w:ascii="宋体" w:hAnsi="宋体"/>
          <w:b/>
          <w:bCs/>
          <w:color w:val="auto"/>
          <w:sz w:val="24"/>
          <w:highlight w:val="none"/>
        </w:rPr>
        <w:t>法定代表人有效身份证正反面复印件</w:t>
      </w:r>
      <w:r>
        <w:rPr>
          <w:rFonts w:hint="eastAsia" w:ascii="宋体" w:hAnsi="Calibri"/>
          <w:b/>
          <w:color w:val="auto"/>
          <w:sz w:val="24"/>
          <w:highlight w:val="none"/>
        </w:rPr>
        <w:t>(电子签章)</w:t>
      </w:r>
    </w:p>
    <w:p>
      <w:pPr>
        <w:shd w:val="clear" w:color="auto" w:fill="auto"/>
        <w:snapToGrid w:val="0"/>
        <w:spacing w:line="360" w:lineRule="auto"/>
        <w:ind w:firstLine="4935" w:firstLineChars="2350"/>
        <w:rPr>
          <w:rFonts w:hAnsi="宋体"/>
          <w:color w:val="auto"/>
          <w:szCs w:val="21"/>
          <w:highlight w:val="none"/>
        </w:rPr>
      </w:pPr>
      <w:r>
        <w:rPr>
          <w:rFonts w:hAnsi="宋体"/>
          <w:color w:val="auto"/>
          <w:szCs w:val="21"/>
          <w:highlight w:val="none"/>
        </w:rPr>
        <w:t xml:space="preserve">  </w:t>
      </w:r>
    </w:p>
    <w:p>
      <w:pPr>
        <w:shd w:val="clear" w:color="auto" w:fill="auto"/>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600" w:firstLineChars="250"/>
        <w:jc w:val="left"/>
        <w:rPr>
          <w:rFonts w:hint="eastAsia" w:ascii="宋体" w:hAnsi="宋体"/>
          <w:color w:val="auto"/>
          <w:sz w:val="24"/>
          <w:highlight w:val="none"/>
        </w:rPr>
      </w:pPr>
      <w:r>
        <w:rPr>
          <w:rFonts w:hint="eastAsia" w:ascii="宋体" w:hAnsi="宋体"/>
          <w:color w:val="auto"/>
          <w:sz w:val="24"/>
          <w:highlight w:val="none"/>
        </w:rPr>
        <w:t>注：自然人投标的无需提供</w:t>
      </w:r>
    </w:p>
    <w:p>
      <w:pPr>
        <w:shd w:val="clear" w:color="auto" w:fill="auto"/>
        <w:snapToGrid w:val="0"/>
        <w:spacing w:before="295" w:after="295" w:line="360" w:lineRule="auto"/>
        <w:rPr>
          <w:rFonts w:hint="eastAsia" w:ascii="宋体" w:hAnsi="宋体"/>
          <w:b/>
          <w:color w:val="auto"/>
          <w:sz w:val="24"/>
          <w:szCs w:val="20"/>
          <w:highlight w:val="none"/>
        </w:rPr>
      </w:pPr>
    </w:p>
    <w:p>
      <w:pPr>
        <w:shd w:val="clear" w:color="auto" w:fill="auto"/>
        <w:snapToGrid w:val="0"/>
        <w:spacing w:before="295" w:after="295" w:line="360" w:lineRule="auto"/>
        <w:rPr>
          <w:rFonts w:hint="eastAsia" w:ascii="宋体" w:hAnsi="宋体"/>
          <w:b/>
          <w:color w:val="auto"/>
          <w:sz w:val="24"/>
          <w:szCs w:val="20"/>
          <w:highlight w:val="none"/>
        </w:rPr>
      </w:pPr>
    </w:p>
    <w:p>
      <w:pPr>
        <w:shd w:val="clear" w:color="auto" w:fill="auto"/>
        <w:snapToGrid w:val="0"/>
        <w:spacing w:before="295" w:after="295" w:line="360" w:lineRule="auto"/>
        <w:rPr>
          <w:rFonts w:hint="eastAsia" w:ascii="宋体" w:hAnsi="宋体"/>
          <w:b/>
          <w:color w:val="auto"/>
          <w:sz w:val="24"/>
          <w:szCs w:val="20"/>
          <w:highlight w:val="none"/>
        </w:rPr>
      </w:pPr>
      <w:r>
        <w:rPr>
          <w:rFonts w:hint="eastAsia" w:ascii="宋体" w:hAnsi="宋体"/>
          <w:b/>
          <w:color w:val="auto"/>
          <w:sz w:val="24"/>
          <w:szCs w:val="20"/>
          <w:highlight w:val="none"/>
        </w:rPr>
        <w:t>附件：法定代表人有效身份证正反面复印件(电子签章)</w:t>
      </w:r>
    </w:p>
    <w:p>
      <w:pPr>
        <w:shd w:val="clear" w:color="auto" w:fill="auto"/>
        <w:snapToGrid w:val="0"/>
        <w:spacing w:before="295" w:after="295" w:line="360" w:lineRule="auto"/>
        <w:rPr>
          <w:rFonts w:hint="eastAsia" w:ascii="宋体" w:hAnsi="宋体"/>
          <w:b/>
          <w:color w:val="auto"/>
          <w:sz w:val="24"/>
          <w:szCs w:val="20"/>
          <w:highlight w:val="none"/>
        </w:rPr>
      </w:pPr>
    </w:p>
    <w:p>
      <w:pPr>
        <w:shd w:val="clear" w:color="auto" w:fill="auto"/>
        <w:snapToGrid w:val="0"/>
        <w:spacing w:before="295" w:after="295" w:line="360" w:lineRule="auto"/>
        <w:jc w:val="center"/>
        <w:rPr>
          <w:rFonts w:hint="eastAsia" w:ascii="宋体" w:hAnsi="宋体"/>
          <w:b/>
          <w:color w:val="auto"/>
          <w:sz w:val="24"/>
          <w:szCs w:val="20"/>
          <w:highlight w:val="none"/>
        </w:rPr>
      </w:pPr>
      <w:r>
        <w:rPr>
          <w:rFonts w:ascii="宋体" w:hAnsi="宋体"/>
          <w:b/>
          <w:color w:val="auto"/>
          <w:sz w:val="24"/>
          <w:szCs w:val="20"/>
          <w:highlight w:val="none"/>
        </w:rPr>
        <w:br w:type="page"/>
      </w:r>
      <w:r>
        <w:rPr>
          <w:rFonts w:hint="eastAsia" w:ascii="宋体" w:hAnsi="宋体"/>
          <w:b/>
          <w:color w:val="auto"/>
          <w:sz w:val="24"/>
          <w:szCs w:val="20"/>
          <w:highlight w:val="none"/>
        </w:rPr>
        <w:t>三、</w:t>
      </w:r>
      <w:r>
        <w:rPr>
          <w:rFonts w:hint="eastAsia"/>
          <w:b/>
          <w:bCs/>
          <w:color w:val="auto"/>
          <w:sz w:val="30"/>
          <w:szCs w:val="30"/>
          <w:highlight w:val="none"/>
        </w:rPr>
        <w:t>法定代表人授权委托书（如有委托时）</w:t>
      </w:r>
    </w:p>
    <w:p>
      <w:pPr>
        <w:shd w:val="clear" w:color="auto" w:fill="auto"/>
        <w:snapToGrid w:val="0"/>
        <w:spacing w:before="120" w:beforeLines="50" w:after="50"/>
        <w:jc w:val="center"/>
        <w:rPr>
          <w:rFonts w:ascii="宋体" w:hAnsi="宋体"/>
          <w:b/>
          <w:color w:val="auto"/>
          <w:sz w:val="32"/>
          <w:szCs w:val="32"/>
          <w:highlight w:val="none"/>
        </w:rPr>
      </w:pPr>
      <w:r>
        <w:rPr>
          <w:rFonts w:hint="eastAsia" w:ascii="宋体" w:hAnsi="宋体"/>
          <w:b/>
          <w:color w:val="auto"/>
          <w:sz w:val="32"/>
          <w:szCs w:val="32"/>
          <w:highlight w:val="none"/>
        </w:rPr>
        <w:t>法定代表人授权委托书</w:t>
      </w:r>
    </w:p>
    <w:p>
      <w:pPr>
        <w:shd w:val="clear" w:color="auto" w:fill="auto"/>
        <w:snapToGrid w:val="0"/>
        <w:spacing w:before="120" w:beforeLines="50" w:after="50"/>
        <w:jc w:val="center"/>
        <w:rPr>
          <w:rFonts w:hint="eastAsia" w:ascii="宋体" w:hAnsi="宋体"/>
          <w:b/>
          <w:color w:val="auto"/>
          <w:sz w:val="24"/>
          <w:highlight w:val="none"/>
        </w:rPr>
      </w:pPr>
    </w:p>
    <w:p>
      <w:pPr>
        <w:shd w:val="clear" w:color="auto" w:fill="auto"/>
        <w:spacing w:line="440" w:lineRule="exact"/>
        <w:ind w:firstLine="420" w:firstLineChars="200"/>
        <w:rPr>
          <w:color w:val="auto"/>
          <w:szCs w:val="20"/>
          <w:highlight w:val="none"/>
        </w:rPr>
      </w:pPr>
      <w:r>
        <w:rPr>
          <w:rFonts w:hint="eastAsia"/>
          <w:color w:val="auto"/>
          <w:szCs w:val="20"/>
          <w:highlight w:val="none"/>
        </w:rPr>
        <w:t>致：</w:t>
      </w:r>
      <w:r>
        <w:rPr>
          <w:color w:val="auto"/>
          <w:szCs w:val="20"/>
          <w:highlight w:val="none"/>
          <w:u w:val="single"/>
        </w:rPr>
        <w:t xml:space="preserve">                      </w:t>
      </w:r>
      <w:r>
        <w:rPr>
          <w:rFonts w:hint="eastAsia"/>
          <w:color w:val="auto"/>
          <w:szCs w:val="20"/>
          <w:highlight w:val="none"/>
        </w:rPr>
        <w:t>（采购代理机构名称）</w:t>
      </w:r>
    </w:p>
    <w:p>
      <w:pPr>
        <w:shd w:val="clear" w:color="auto" w:fill="auto"/>
        <w:spacing w:line="440" w:lineRule="exact"/>
        <w:ind w:firstLine="420" w:firstLineChars="200"/>
        <w:rPr>
          <w:color w:val="auto"/>
          <w:szCs w:val="20"/>
          <w:highlight w:val="none"/>
        </w:rPr>
      </w:pPr>
      <w:r>
        <w:rPr>
          <w:rFonts w:hint="eastAsia"/>
          <w:color w:val="auto"/>
          <w:szCs w:val="20"/>
          <w:highlight w:val="none"/>
        </w:rPr>
        <w:t>本人</w:t>
      </w:r>
      <w:r>
        <w:rPr>
          <w:color w:val="auto"/>
          <w:szCs w:val="20"/>
          <w:highlight w:val="none"/>
          <w:u w:val="single"/>
        </w:rPr>
        <w:t xml:space="preserve">        </w:t>
      </w:r>
      <w:r>
        <w:rPr>
          <w:rFonts w:hint="eastAsia"/>
          <w:color w:val="auto"/>
          <w:szCs w:val="20"/>
          <w:highlight w:val="none"/>
        </w:rPr>
        <w:t>（姓名）系</w:t>
      </w:r>
      <w:r>
        <w:rPr>
          <w:color w:val="auto"/>
          <w:szCs w:val="20"/>
          <w:highlight w:val="none"/>
          <w:u w:val="single"/>
        </w:rPr>
        <w:t xml:space="preserve">                 </w:t>
      </w:r>
      <w:r>
        <w:rPr>
          <w:rFonts w:hint="eastAsia"/>
          <w:color w:val="auto"/>
          <w:szCs w:val="20"/>
          <w:highlight w:val="none"/>
          <w:u w:val="single"/>
        </w:rPr>
        <w:t>（投标人名称）</w:t>
      </w:r>
      <w:r>
        <w:rPr>
          <w:rFonts w:hint="eastAsia"/>
          <w:color w:val="auto"/>
          <w:szCs w:val="20"/>
          <w:highlight w:val="none"/>
        </w:rPr>
        <w:t>的法定代表人，现授权我单位在职正式员工</w:t>
      </w:r>
      <w:r>
        <w:rPr>
          <w:color w:val="auto"/>
          <w:szCs w:val="20"/>
          <w:highlight w:val="none"/>
          <w:u w:val="single"/>
        </w:rPr>
        <w:t xml:space="preserve">    </w:t>
      </w:r>
      <w:r>
        <w:rPr>
          <w:rFonts w:hint="eastAsia"/>
          <w:color w:val="auto"/>
          <w:szCs w:val="20"/>
          <w:highlight w:val="none"/>
          <w:u w:val="single"/>
        </w:rPr>
        <w:t xml:space="preserve">     </w:t>
      </w:r>
      <w:r>
        <w:rPr>
          <w:color w:val="auto"/>
          <w:szCs w:val="20"/>
          <w:highlight w:val="none"/>
          <w:u w:val="single"/>
        </w:rPr>
        <w:t xml:space="preserve">    </w:t>
      </w:r>
      <w:r>
        <w:rPr>
          <w:rFonts w:hint="eastAsia"/>
          <w:color w:val="auto"/>
          <w:szCs w:val="20"/>
          <w:highlight w:val="none"/>
          <w:u w:val="single"/>
        </w:rPr>
        <w:t>（姓名和职务）</w:t>
      </w:r>
      <w:r>
        <w:rPr>
          <w:rFonts w:hint="eastAsia"/>
          <w:color w:val="auto"/>
          <w:szCs w:val="20"/>
          <w:highlight w:val="none"/>
        </w:rPr>
        <w:t>为我方代理人。代理人根据授权，以我方名义签署、澄清、说明、补正、递交、撤回、修改贵方组织的</w:t>
      </w:r>
      <w:r>
        <w:rPr>
          <w:rFonts w:hint="eastAsia" w:ascii="宋体" w:hAnsi="Courier New"/>
          <w:color w:val="auto"/>
          <w:szCs w:val="20"/>
          <w:highlight w:val="none"/>
          <w:u w:val="single"/>
        </w:rPr>
        <w:t xml:space="preserve">                 </w:t>
      </w:r>
      <w:r>
        <w:rPr>
          <w:rFonts w:hint="eastAsia" w:ascii="宋体" w:hAnsi="Courier New"/>
          <w:color w:val="auto"/>
          <w:szCs w:val="20"/>
          <w:highlight w:val="none"/>
        </w:rPr>
        <w:t>项目（项目编号：</w:t>
      </w:r>
      <w:r>
        <w:rPr>
          <w:rFonts w:hint="eastAsia" w:ascii="宋体" w:hAnsi="宋体"/>
          <w:color w:val="auto"/>
          <w:szCs w:val="20"/>
          <w:highlight w:val="none"/>
          <w:u w:val="single"/>
        </w:rPr>
        <w:t xml:space="preserve">              </w:t>
      </w:r>
      <w:r>
        <w:rPr>
          <w:rFonts w:hint="eastAsia" w:ascii="宋体" w:hAnsi="Courier New"/>
          <w:color w:val="auto"/>
          <w:szCs w:val="20"/>
          <w:highlight w:val="none"/>
        </w:rPr>
        <w:t>）</w:t>
      </w:r>
      <w:r>
        <w:rPr>
          <w:rFonts w:hint="eastAsia"/>
          <w:color w:val="auto"/>
          <w:szCs w:val="20"/>
          <w:highlight w:val="none"/>
        </w:rPr>
        <w:t>的投标文件、签订合同和处理一切有关事宜，其法律后果由我方承担。</w:t>
      </w:r>
    </w:p>
    <w:p>
      <w:pPr>
        <w:shd w:val="clear" w:color="auto" w:fill="auto"/>
        <w:spacing w:line="440" w:lineRule="exact"/>
        <w:ind w:firstLine="420" w:firstLineChars="200"/>
        <w:rPr>
          <w:color w:val="auto"/>
          <w:szCs w:val="20"/>
          <w:highlight w:val="none"/>
        </w:rPr>
      </w:pPr>
      <w:r>
        <w:rPr>
          <w:rFonts w:hint="eastAsia"/>
          <w:color w:val="auto"/>
          <w:szCs w:val="20"/>
          <w:highlight w:val="none"/>
        </w:rPr>
        <w:t>本授权书于</w:t>
      </w:r>
      <w:r>
        <w:rPr>
          <w:rFonts w:hint="eastAsia" w:ascii="宋体" w:hAnsi="Courier New"/>
          <w:color w:val="auto"/>
          <w:spacing w:val="10"/>
          <w:sz w:val="24"/>
          <w:szCs w:val="20"/>
          <w:highlight w:val="none"/>
          <w:u w:val="single"/>
        </w:rPr>
        <w:t xml:space="preserve">    </w:t>
      </w:r>
      <w:r>
        <w:rPr>
          <w:rFonts w:hint="eastAsia"/>
          <w:color w:val="auto"/>
          <w:szCs w:val="20"/>
          <w:highlight w:val="none"/>
        </w:rPr>
        <w:t>年</w:t>
      </w:r>
      <w:r>
        <w:rPr>
          <w:rFonts w:hint="eastAsia" w:ascii="宋体" w:hAnsi="Courier New"/>
          <w:color w:val="auto"/>
          <w:spacing w:val="10"/>
          <w:sz w:val="24"/>
          <w:szCs w:val="20"/>
          <w:highlight w:val="none"/>
          <w:u w:val="single"/>
        </w:rPr>
        <w:t xml:space="preserve">    </w:t>
      </w:r>
      <w:r>
        <w:rPr>
          <w:rFonts w:hint="eastAsia"/>
          <w:color w:val="auto"/>
          <w:szCs w:val="20"/>
          <w:highlight w:val="none"/>
        </w:rPr>
        <w:t>月</w:t>
      </w:r>
      <w:r>
        <w:rPr>
          <w:rFonts w:hint="eastAsia" w:ascii="宋体" w:hAnsi="Courier New"/>
          <w:color w:val="auto"/>
          <w:spacing w:val="10"/>
          <w:sz w:val="24"/>
          <w:szCs w:val="20"/>
          <w:highlight w:val="none"/>
          <w:u w:val="single"/>
        </w:rPr>
        <w:t xml:space="preserve">    </w:t>
      </w:r>
      <w:r>
        <w:rPr>
          <w:rFonts w:hint="eastAsia"/>
          <w:color w:val="auto"/>
          <w:szCs w:val="20"/>
          <w:highlight w:val="none"/>
        </w:rPr>
        <w:t>日签字生效，委托期限：</w:t>
      </w:r>
      <w:r>
        <w:rPr>
          <w:rFonts w:hint="eastAsia" w:ascii="宋体" w:hAnsi="Courier New"/>
          <w:color w:val="auto"/>
          <w:spacing w:val="10"/>
          <w:sz w:val="24"/>
          <w:szCs w:val="20"/>
          <w:highlight w:val="none"/>
          <w:u w:val="single"/>
        </w:rPr>
        <w:t xml:space="preserve">               </w:t>
      </w:r>
      <w:r>
        <w:rPr>
          <w:rFonts w:hint="eastAsia"/>
          <w:color w:val="auto"/>
          <w:szCs w:val="20"/>
          <w:highlight w:val="none"/>
        </w:rPr>
        <w:t>。</w:t>
      </w:r>
    </w:p>
    <w:p>
      <w:pPr>
        <w:shd w:val="clear" w:color="auto" w:fill="auto"/>
        <w:spacing w:line="360" w:lineRule="auto"/>
        <w:ind w:firstLine="420"/>
        <w:rPr>
          <w:color w:val="auto"/>
          <w:szCs w:val="20"/>
          <w:highlight w:val="none"/>
        </w:rPr>
      </w:pPr>
      <w:r>
        <w:rPr>
          <w:rFonts w:hint="eastAsia"/>
          <w:color w:val="auto"/>
          <w:szCs w:val="20"/>
          <w:highlight w:val="none"/>
        </w:rPr>
        <w:t>代理人无转委托权。</w:t>
      </w:r>
    </w:p>
    <w:p>
      <w:pPr>
        <w:shd w:val="clear" w:color="auto" w:fill="auto"/>
        <w:spacing w:line="360" w:lineRule="auto"/>
        <w:ind w:firstLine="420"/>
        <w:rPr>
          <w:color w:val="auto"/>
          <w:szCs w:val="20"/>
          <w:highlight w:val="none"/>
        </w:rPr>
      </w:pPr>
    </w:p>
    <w:p>
      <w:pPr>
        <w:shd w:val="clear" w:color="auto" w:fill="auto"/>
        <w:spacing w:line="360" w:lineRule="auto"/>
        <w:ind w:firstLine="420"/>
        <w:rPr>
          <w:color w:val="auto"/>
          <w:szCs w:val="20"/>
          <w:highlight w:val="none"/>
          <w:u w:val="single"/>
        </w:rPr>
      </w:pPr>
      <w:r>
        <w:rPr>
          <w:rFonts w:hint="eastAsia"/>
          <w:color w:val="auto"/>
          <w:szCs w:val="20"/>
          <w:highlight w:val="none"/>
        </w:rPr>
        <w:t>投标人（或联合体投标</w:t>
      </w:r>
      <w:r>
        <w:rPr>
          <w:rFonts w:hint="eastAsia" w:ascii="宋体" w:hAnsi="Courier New" w:cs="宋体"/>
          <w:color w:val="auto"/>
          <w:kern w:val="0"/>
          <w:szCs w:val="21"/>
          <w:highlight w:val="none"/>
        </w:rPr>
        <w:t>牵头人名称</w:t>
      </w:r>
      <w:r>
        <w:rPr>
          <w:rFonts w:hint="eastAsia"/>
          <w:color w:val="auto"/>
          <w:szCs w:val="20"/>
          <w:highlight w:val="none"/>
        </w:rPr>
        <w:t>）（盖单位公章/电子签章）：</w:t>
      </w:r>
      <w:r>
        <w:rPr>
          <w:color w:val="auto"/>
          <w:szCs w:val="20"/>
          <w:highlight w:val="none"/>
          <w:u w:val="single"/>
        </w:rPr>
        <w:t xml:space="preserve">                        </w:t>
      </w:r>
    </w:p>
    <w:p>
      <w:pPr>
        <w:shd w:val="clear" w:color="auto" w:fill="auto"/>
        <w:spacing w:line="360" w:lineRule="auto"/>
        <w:ind w:firstLine="420"/>
        <w:rPr>
          <w:color w:val="auto"/>
          <w:szCs w:val="20"/>
          <w:highlight w:val="none"/>
          <w:u w:val="single"/>
        </w:rPr>
      </w:pPr>
      <w:r>
        <w:rPr>
          <w:rFonts w:hint="eastAsia"/>
          <w:color w:val="auto"/>
          <w:szCs w:val="20"/>
          <w:highlight w:val="none"/>
        </w:rPr>
        <w:t>法定代表人（签名/电子签名）：</w:t>
      </w:r>
      <w:r>
        <w:rPr>
          <w:color w:val="auto"/>
          <w:szCs w:val="20"/>
          <w:highlight w:val="none"/>
          <w:u w:val="single"/>
        </w:rPr>
        <w:t xml:space="preserve">                            </w:t>
      </w:r>
    </w:p>
    <w:p>
      <w:pPr>
        <w:shd w:val="clear" w:color="auto" w:fill="auto"/>
        <w:spacing w:line="360" w:lineRule="auto"/>
        <w:ind w:firstLine="420"/>
        <w:rPr>
          <w:color w:val="auto"/>
          <w:szCs w:val="20"/>
          <w:highlight w:val="none"/>
          <w:u w:val="single"/>
        </w:rPr>
      </w:pPr>
      <w:r>
        <w:rPr>
          <w:rFonts w:hint="eastAsia"/>
          <w:color w:val="auto"/>
          <w:szCs w:val="20"/>
          <w:highlight w:val="none"/>
        </w:rPr>
        <w:t>法定代表人身份证号码：</w:t>
      </w:r>
      <w:r>
        <w:rPr>
          <w:color w:val="auto"/>
          <w:szCs w:val="20"/>
          <w:highlight w:val="none"/>
          <w:u w:val="single"/>
        </w:rPr>
        <w:t xml:space="preserve">                                   </w:t>
      </w:r>
    </w:p>
    <w:p>
      <w:pPr>
        <w:shd w:val="clear" w:color="auto" w:fill="auto"/>
        <w:spacing w:line="360" w:lineRule="auto"/>
        <w:ind w:firstLine="420" w:firstLineChars="200"/>
        <w:rPr>
          <w:color w:val="auto"/>
          <w:szCs w:val="20"/>
          <w:highlight w:val="none"/>
        </w:rPr>
      </w:pPr>
      <w:r>
        <w:rPr>
          <w:rFonts w:hint="eastAsia"/>
          <w:color w:val="auto"/>
          <w:szCs w:val="20"/>
          <w:highlight w:val="none"/>
        </w:rPr>
        <w:t>委托代理人（签名/电子签名）：</w:t>
      </w:r>
      <w:r>
        <w:rPr>
          <w:color w:val="auto"/>
          <w:szCs w:val="20"/>
          <w:highlight w:val="none"/>
          <w:u w:val="single"/>
        </w:rPr>
        <w:t xml:space="preserve">                            </w:t>
      </w:r>
    </w:p>
    <w:p>
      <w:pPr>
        <w:shd w:val="clear" w:color="auto" w:fill="auto"/>
        <w:spacing w:line="360" w:lineRule="auto"/>
        <w:ind w:firstLine="420"/>
        <w:rPr>
          <w:color w:val="auto"/>
          <w:szCs w:val="20"/>
          <w:highlight w:val="none"/>
          <w:u w:val="single"/>
        </w:rPr>
      </w:pPr>
      <w:r>
        <w:rPr>
          <w:rFonts w:hint="eastAsia"/>
          <w:color w:val="auto"/>
          <w:szCs w:val="20"/>
          <w:highlight w:val="none"/>
        </w:rPr>
        <w:t>委托代理人身份证号码：</w:t>
      </w:r>
      <w:r>
        <w:rPr>
          <w:color w:val="auto"/>
          <w:szCs w:val="20"/>
          <w:highlight w:val="none"/>
          <w:u w:val="single"/>
        </w:rPr>
        <w:t xml:space="preserve">                                   </w:t>
      </w:r>
    </w:p>
    <w:p>
      <w:pPr>
        <w:shd w:val="clear" w:color="auto" w:fill="auto"/>
        <w:spacing w:line="360" w:lineRule="auto"/>
        <w:ind w:firstLine="420"/>
        <w:rPr>
          <w:rFonts w:hint="eastAsia" w:ascii="宋体" w:hAnsi="Courier New" w:cs="宋体"/>
          <w:color w:val="auto"/>
          <w:kern w:val="0"/>
          <w:szCs w:val="21"/>
          <w:highlight w:val="none"/>
        </w:rPr>
      </w:pP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1.法定代表人和委托代理人必须在授权委托书上亲笔签名或电子签名，不得使用印章、签名章或者其他电子制版签名代替（不包括广西政府采购云平台认可的CA认证的电子签章、电子签名），</w:t>
      </w:r>
      <w:r>
        <w:rPr>
          <w:rFonts w:hint="eastAsia" w:ascii="宋体" w:hAnsi="宋体" w:cs="宋体"/>
          <w:b/>
          <w:bCs/>
          <w:color w:val="auto"/>
          <w:szCs w:val="21"/>
          <w:highlight w:val="none"/>
        </w:rPr>
        <w:t>否则作无效投标处理</w:t>
      </w:r>
      <w:r>
        <w:rPr>
          <w:rFonts w:hint="eastAsia" w:ascii="宋体" w:hAnsi="宋体" w:cs="宋体"/>
          <w:color w:val="auto"/>
          <w:szCs w:val="21"/>
          <w:highlight w:val="none"/>
        </w:rPr>
        <w:t>；</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2.以联合体形式投标的，本授权委托书应由联合体牵头人的法定代表人按上述规定签署。</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3. 供应商为其他组织或者自然人时，本招标文件规定的法定代表人指负责人或者自然人。本招标文件所称负责人是指参加投标的其他组织营业执照上的负责人，本招标文件所称自然人指参与投标的自然人本人。</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4. 若为联合体投标须各方签字或盖章。</w:t>
      </w:r>
    </w:p>
    <w:p>
      <w:pPr>
        <w:shd w:val="clear" w:color="auto" w:fill="auto"/>
        <w:spacing w:line="360" w:lineRule="auto"/>
        <w:rPr>
          <w:rFonts w:hint="eastAsia" w:ascii="宋体" w:hAnsi="宋体" w:cs="宋体"/>
          <w:color w:val="auto"/>
          <w:szCs w:val="21"/>
          <w:highlight w:val="none"/>
        </w:rPr>
      </w:pPr>
    </w:p>
    <w:p>
      <w:pPr>
        <w:shd w:val="clear" w:color="auto" w:fill="auto"/>
        <w:spacing w:line="360" w:lineRule="auto"/>
        <w:rPr>
          <w:rFonts w:hint="eastAsia" w:ascii="宋体" w:hAnsi="宋体" w:cs="宋体"/>
          <w:color w:val="auto"/>
          <w:szCs w:val="21"/>
          <w:highlight w:val="none"/>
        </w:rPr>
      </w:pPr>
    </w:p>
    <w:p>
      <w:pPr>
        <w:shd w:val="clear" w:color="auto" w:fill="auto"/>
        <w:spacing w:line="360" w:lineRule="auto"/>
        <w:rPr>
          <w:rFonts w:hint="eastAsia" w:ascii="宋体" w:hAnsi="宋体" w:cs="宋体"/>
          <w:color w:val="auto"/>
          <w:szCs w:val="21"/>
          <w:highlight w:val="none"/>
        </w:rPr>
      </w:pPr>
      <w:r>
        <w:rPr>
          <w:rFonts w:hint="eastAsia" w:ascii="宋体" w:hAnsi="宋体"/>
          <w:b/>
          <w:color w:val="auto"/>
          <w:sz w:val="24"/>
          <w:szCs w:val="20"/>
          <w:highlight w:val="none"/>
        </w:rPr>
        <w:t>附件：委托代理人有效身份证正反面复印件(电子签章)</w:t>
      </w:r>
    </w:p>
    <w:p>
      <w:pPr>
        <w:shd w:val="clear" w:color="auto" w:fill="auto"/>
        <w:snapToGrid w:val="0"/>
        <w:spacing w:before="50" w:after="120" w:afterLines="50" w:line="360" w:lineRule="auto"/>
        <w:jc w:val="left"/>
        <w:rPr>
          <w:rFonts w:ascii="仿宋_GB2312" w:hAnsi="仿宋_GB2312" w:eastAsia="仿宋_GB2312" w:cs="仿宋_GB2312"/>
          <w:color w:val="auto"/>
          <w:szCs w:val="21"/>
          <w:highlight w:val="none"/>
        </w:rPr>
      </w:pPr>
    </w:p>
    <w:p>
      <w:pPr>
        <w:shd w:val="clear" w:color="auto" w:fill="auto"/>
        <w:snapToGrid w:val="0"/>
        <w:spacing w:before="120" w:beforeLines="50" w:after="50"/>
        <w:ind w:firstLine="566" w:firstLineChars="236"/>
        <w:jc w:val="center"/>
        <w:rPr>
          <w:rFonts w:ascii="宋体" w:hAnsi="宋体"/>
          <w:color w:val="auto"/>
          <w:highlight w:val="none"/>
        </w:rPr>
      </w:pPr>
      <w:r>
        <w:rPr>
          <w:rFonts w:ascii="宋体" w:hAnsi="宋体"/>
          <w:color w:val="auto"/>
          <w:sz w:val="24"/>
          <w:highlight w:val="none"/>
        </w:rPr>
        <w:t xml:space="preserve"> </w:t>
      </w:r>
      <w:r>
        <w:rPr>
          <w:rFonts w:ascii="宋体" w:hAnsi="宋体"/>
          <w:color w:val="auto"/>
          <w:sz w:val="24"/>
          <w:highlight w:val="none"/>
        </w:rPr>
        <w:br w:type="page"/>
      </w:r>
    </w:p>
    <w:p>
      <w:pPr>
        <w:shd w:val="clear" w:color="auto" w:fill="auto"/>
        <w:jc w:val="center"/>
        <w:rPr>
          <w:rFonts w:hint="eastAsia"/>
          <w:b/>
          <w:bCs/>
          <w:color w:val="auto"/>
          <w:sz w:val="30"/>
          <w:szCs w:val="30"/>
          <w:highlight w:val="none"/>
        </w:rPr>
      </w:pPr>
      <w:r>
        <w:rPr>
          <w:rFonts w:hint="eastAsia"/>
          <w:b/>
          <w:bCs/>
          <w:color w:val="auto"/>
          <w:sz w:val="30"/>
          <w:szCs w:val="30"/>
          <w:highlight w:val="none"/>
        </w:rPr>
        <w:t>四、商务条款偏离表</w:t>
      </w:r>
    </w:p>
    <w:p>
      <w:pPr>
        <w:shd w:val="clear" w:color="auto" w:fill="auto"/>
        <w:jc w:val="center"/>
        <w:rPr>
          <w:rFonts w:hint="eastAsia" w:ascii="宋体" w:hAnsi="宋体"/>
          <w:b/>
          <w:color w:val="auto"/>
          <w:sz w:val="24"/>
          <w:szCs w:val="20"/>
          <w:highlight w:val="none"/>
        </w:rPr>
      </w:pPr>
      <w:r>
        <w:rPr>
          <w:rFonts w:hint="eastAsia" w:ascii="宋体" w:hAnsi="宋体"/>
          <w:color w:val="auto"/>
          <w:sz w:val="30"/>
          <w:szCs w:val="20"/>
          <w:highlight w:val="none"/>
        </w:rPr>
        <w:t>(注：按项目需求表具体项目修改)</w:t>
      </w:r>
    </w:p>
    <w:p>
      <w:pPr>
        <w:shd w:val="clear" w:color="auto" w:fill="auto"/>
        <w:snapToGrid w:val="0"/>
        <w:spacing w:before="50"/>
        <w:jc w:val="left"/>
        <w:rPr>
          <w:rFonts w:hint="eastAsia" w:ascii="宋体" w:hAnsi="宋体"/>
          <w:color w:val="auto"/>
          <w:sz w:val="24"/>
          <w:highlight w:val="none"/>
        </w:rPr>
      </w:pPr>
    </w:p>
    <w:p>
      <w:pPr>
        <w:shd w:val="clear" w:color="auto" w:fill="auto"/>
        <w:spacing w:line="360" w:lineRule="auto"/>
        <w:ind w:left="-4" w:firstLine="426"/>
        <w:rPr>
          <w:rFonts w:hint="eastAsia" w:ascii="宋体" w:hAnsi="宋体"/>
          <w:color w:val="auto"/>
          <w:sz w:val="24"/>
          <w:highlight w:val="none"/>
        </w:rPr>
      </w:pPr>
      <w:r>
        <w:rPr>
          <w:rFonts w:hint="eastAsia"/>
          <w:color w:val="auto"/>
          <w:szCs w:val="20"/>
          <w:highlight w:val="none"/>
        </w:rPr>
        <w:t>请逐条对应本项目招标文件第二章“采购需求”中“商务条款”的要求，详细填写相应的具体内容。“偏离说明”一栏应当选择“正偏离”、“负偏离”或“无偏离”进行填写。</w:t>
      </w:r>
    </w:p>
    <w:tbl>
      <w:tblPr>
        <w:tblStyle w:val="35"/>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589"/>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jc w:val="center"/>
              <w:rPr>
                <w:rFonts w:ascii="宋体" w:hAnsi="宋体"/>
                <w:color w:val="auto"/>
                <w:szCs w:val="21"/>
                <w:highlight w:val="none"/>
              </w:rPr>
            </w:pPr>
            <w:r>
              <w:rPr>
                <w:rFonts w:hint="eastAsia" w:ascii="宋体" w:hAnsi="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jc w:val="center"/>
              <w:rPr>
                <w:rFonts w:hint="eastAsia" w:ascii="宋体" w:hAnsi="宋体"/>
                <w:color w:val="auto"/>
                <w:szCs w:val="21"/>
                <w:highlight w:val="none"/>
              </w:rPr>
            </w:pPr>
            <w:r>
              <w:rPr>
                <w:rFonts w:hint="eastAsia" w:ascii="宋体" w:hAnsi="宋体"/>
                <w:color w:val="auto"/>
                <w:szCs w:val="21"/>
                <w:highlight w:val="none"/>
              </w:rPr>
              <w:t>招标文件的商务条款</w:t>
            </w:r>
          </w:p>
        </w:tc>
        <w:tc>
          <w:tcPr>
            <w:tcW w:w="358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jc w:val="center"/>
              <w:rPr>
                <w:rFonts w:ascii="宋体" w:hAnsi="宋体"/>
                <w:color w:val="auto"/>
                <w:szCs w:val="21"/>
                <w:highlight w:val="none"/>
              </w:rPr>
            </w:pPr>
            <w:r>
              <w:rPr>
                <w:rFonts w:hint="eastAsia" w:ascii="宋体" w:hAnsi="宋体"/>
                <w:color w:val="auto"/>
                <w:szCs w:val="21"/>
                <w:highlight w:val="none"/>
              </w:rPr>
              <w:t>投标文件承诺的商务条款</w:t>
            </w:r>
          </w:p>
        </w:tc>
        <w:tc>
          <w:tcPr>
            <w:tcW w:w="127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jc w:val="center"/>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3589"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1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2  ……</w:t>
            </w:r>
          </w:p>
          <w:p>
            <w:pPr>
              <w:shd w:val="clear" w:color="auto" w:fill="auto"/>
              <w:spacing w:line="340" w:lineRule="exact"/>
              <w:rPr>
                <w:rFonts w:hint="eastAsia" w:ascii="宋体" w:hAnsi="宋体"/>
                <w:color w:val="auto"/>
                <w:szCs w:val="21"/>
                <w:highlight w:val="none"/>
              </w:rPr>
            </w:pPr>
            <w:r>
              <w:rPr>
                <w:rFonts w:hint="eastAsia" w:ascii="宋体" w:hAnsi="宋体"/>
                <w:color w:val="auto"/>
                <w:szCs w:val="21"/>
                <w:highlight w:val="none"/>
              </w:rPr>
              <w:t>3  ……</w:t>
            </w:r>
          </w:p>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rPr>
              <w:t>……</w:t>
            </w:r>
          </w:p>
        </w:tc>
        <w:tc>
          <w:tcPr>
            <w:tcW w:w="1274" w:type="dxa"/>
            <w:tcBorders>
              <w:top w:val="single" w:color="auto" w:sz="4" w:space="0"/>
              <w:left w:val="single" w:color="auto" w:sz="4" w:space="0"/>
              <w:bottom w:val="single" w:color="auto" w:sz="4" w:space="0"/>
              <w:right w:val="single" w:color="auto" w:sz="4" w:space="0"/>
            </w:tcBorders>
            <w:noWrap w:val="0"/>
            <w:vAlign w:val="top"/>
          </w:tcPr>
          <w:p>
            <w:pPr>
              <w:shd w:val="clear" w:color="auto" w:fill="auto"/>
              <w:spacing w:line="300" w:lineRule="exact"/>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480" w:type="dxa"/>
            <w:gridSpan w:val="4"/>
            <w:tcBorders>
              <w:top w:val="single" w:color="auto" w:sz="4" w:space="0"/>
              <w:left w:val="single" w:color="auto" w:sz="4" w:space="0"/>
              <w:bottom w:val="single" w:color="auto" w:sz="4" w:space="0"/>
              <w:right w:val="single" w:color="auto" w:sz="4" w:space="0"/>
            </w:tcBorders>
            <w:noWrap w:val="0"/>
            <w:vAlign w:val="center"/>
          </w:tcPr>
          <w:p>
            <w:pPr>
              <w:shd w:val="clear" w:color="auto" w:fill="auto"/>
              <w:spacing w:line="340" w:lineRule="exact"/>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pPr>
        <w:shd w:val="clear" w:color="auto" w:fill="auto"/>
        <w:spacing w:line="360" w:lineRule="auto"/>
        <w:ind w:left="-708" w:leftChars="-337"/>
        <w:rPr>
          <w:rFonts w:hint="eastAsia"/>
          <w:color w:val="auto"/>
          <w:szCs w:val="20"/>
          <w:highlight w:val="none"/>
        </w:rPr>
      </w:pPr>
    </w:p>
    <w:p>
      <w:pPr>
        <w:shd w:val="clear" w:color="auto" w:fill="auto"/>
        <w:spacing w:line="360" w:lineRule="auto"/>
        <w:rPr>
          <w:rFonts w:hint="eastAsia"/>
          <w:color w:val="auto"/>
          <w:szCs w:val="20"/>
          <w:highlight w:val="none"/>
        </w:rPr>
      </w:pPr>
      <w:r>
        <w:rPr>
          <w:rFonts w:hint="eastAsia"/>
          <w:color w:val="auto"/>
          <w:szCs w:val="20"/>
          <w:highlight w:val="none"/>
        </w:rPr>
        <w:t>注：</w:t>
      </w:r>
    </w:p>
    <w:p>
      <w:pPr>
        <w:shd w:val="clear" w:color="auto" w:fill="auto"/>
        <w:spacing w:line="360" w:lineRule="auto"/>
        <w:rPr>
          <w:rFonts w:hint="eastAsia"/>
          <w:color w:val="auto"/>
          <w:szCs w:val="20"/>
          <w:highlight w:val="none"/>
        </w:rPr>
      </w:pPr>
      <w:r>
        <w:rPr>
          <w:rFonts w:hint="eastAsia"/>
          <w:color w:val="auto"/>
          <w:szCs w:val="20"/>
          <w:highlight w:val="none"/>
        </w:rPr>
        <w:t>1.表格内容均需按要求填写并盖投标人公章，不得留“空”，</w:t>
      </w:r>
      <w:r>
        <w:rPr>
          <w:rFonts w:hint="eastAsia"/>
          <w:b/>
          <w:bCs/>
          <w:color w:val="auto"/>
          <w:szCs w:val="20"/>
          <w:highlight w:val="none"/>
        </w:rPr>
        <w:t>否则按投标无效处理。</w:t>
      </w:r>
    </w:p>
    <w:p>
      <w:pPr>
        <w:shd w:val="clear" w:color="auto" w:fill="auto"/>
        <w:spacing w:line="360" w:lineRule="auto"/>
        <w:rPr>
          <w:rFonts w:hint="eastAsia"/>
          <w:b/>
          <w:bCs/>
          <w:color w:val="auto"/>
          <w:szCs w:val="20"/>
          <w:highlight w:val="none"/>
        </w:rPr>
      </w:pPr>
      <w:r>
        <w:rPr>
          <w:rFonts w:hint="eastAsia"/>
          <w:color w:val="auto"/>
          <w:szCs w:val="20"/>
          <w:highlight w:val="none"/>
        </w:rPr>
        <w:t>2.如果招标文件需求为小于或大于某个数值标准时，投标文件承诺不得直接复制招标文件需求，投标文件承诺内容应当写明响应承诺的具体数值，</w:t>
      </w:r>
      <w:r>
        <w:rPr>
          <w:rFonts w:hint="eastAsia"/>
          <w:b/>
          <w:bCs/>
          <w:color w:val="auto"/>
          <w:szCs w:val="20"/>
          <w:highlight w:val="none"/>
        </w:rPr>
        <w:t>否则按投标无效处理</w:t>
      </w:r>
      <w:r>
        <w:rPr>
          <w:rFonts w:hint="eastAsia"/>
          <w:color w:val="auto"/>
          <w:szCs w:val="20"/>
          <w:highlight w:val="none"/>
        </w:rPr>
        <w:t>。如该采购需求属于不能明确具体数值的，采购人应在此采购需求标注◆号，对标注◆号的采购需求不适用上述“投标无效”条款。</w:t>
      </w:r>
    </w:p>
    <w:p>
      <w:pPr>
        <w:shd w:val="clear" w:color="auto" w:fill="auto"/>
        <w:spacing w:line="360" w:lineRule="auto"/>
        <w:rPr>
          <w:rFonts w:hint="eastAsia"/>
          <w:color w:val="auto"/>
          <w:szCs w:val="20"/>
          <w:highlight w:val="none"/>
        </w:rPr>
      </w:pPr>
      <w:r>
        <w:rPr>
          <w:rFonts w:hint="eastAsia"/>
          <w:color w:val="auto"/>
          <w:szCs w:val="20"/>
          <w:highlight w:val="none"/>
        </w:rPr>
        <w:t>3.当投标文件的承诺内容低于招标文件要求时，投标人应当如实写明“负偏离”，</w:t>
      </w:r>
      <w:r>
        <w:rPr>
          <w:rFonts w:hint="eastAsia"/>
          <w:b/>
          <w:bCs/>
          <w:color w:val="auto"/>
          <w:szCs w:val="20"/>
          <w:highlight w:val="none"/>
        </w:rPr>
        <w:t>否则视为虚假应标。</w:t>
      </w:r>
    </w:p>
    <w:p>
      <w:pPr>
        <w:shd w:val="clear" w:color="auto" w:fill="auto"/>
        <w:spacing w:line="360" w:lineRule="auto"/>
        <w:rPr>
          <w:rFonts w:hint="eastAsia"/>
          <w:color w:val="auto"/>
          <w:szCs w:val="20"/>
          <w:highlight w:val="none"/>
        </w:rPr>
      </w:pPr>
      <w:r>
        <w:rPr>
          <w:rFonts w:hint="eastAsia" w:ascii="宋体" w:hAnsi="宋体" w:cs="宋体"/>
          <w:color w:val="auto"/>
          <w:szCs w:val="21"/>
          <w:highlight w:val="none"/>
        </w:rPr>
        <w:t>4.采购需求中带“▲”及“★”的条款，也要分别在本表“</w:t>
      </w:r>
      <w:r>
        <w:rPr>
          <w:rFonts w:hint="eastAsia" w:ascii="宋体" w:hAnsi="宋体"/>
          <w:color w:val="auto"/>
          <w:szCs w:val="21"/>
          <w:highlight w:val="none"/>
        </w:rPr>
        <w:t>招标文件的商务需求</w:t>
      </w:r>
      <w:r>
        <w:rPr>
          <w:rFonts w:hint="eastAsia" w:ascii="宋体" w:hAnsi="宋体" w:cs="宋体"/>
          <w:color w:val="auto"/>
          <w:szCs w:val="21"/>
          <w:highlight w:val="none"/>
        </w:rPr>
        <w:t>”、“</w:t>
      </w:r>
      <w:r>
        <w:rPr>
          <w:rFonts w:hint="eastAsia" w:ascii="宋体" w:hAnsi="宋体"/>
          <w:color w:val="auto"/>
          <w:szCs w:val="21"/>
          <w:highlight w:val="none"/>
        </w:rPr>
        <w:t>投标文件承诺的商务条款</w:t>
      </w:r>
      <w:r>
        <w:rPr>
          <w:rFonts w:hint="eastAsia" w:ascii="宋体" w:hAnsi="宋体" w:cs="宋体"/>
          <w:color w:val="auto"/>
          <w:szCs w:val="21"/>
          <w:highlight w:val="none"/>
        </w:rPr>
        <w:t>”中标记。</w:t>
      </w:r>
    </w:p>
    <w:p>
      <w:pPr>
        <w:shd w:val="clear" w:color="auto" w:fill="auto"/>
        <w:snapToGrid w:val="0"/>
        <w:spacing w:before="50" w:after="50"/>
        <w:rPr>
          <w:rFonts w:ascii="宋体" w:hAnsi="宋体"/>
          <w:color w:val="auto"/>
          <w:sz w:val="24"/>
          <w:highlight w:val="none"/>
        </w:rPr>
      </w:pPr>
    </w:p>
    <w:p>
      <w:pPr>
        <w:shd w:val="clear" w:color="auto" w:fill="auto"/>
        <w:snapToGrid w:val="0"/>
        <w:spacing w:line="360" w:lineRule="auto"/>
        <w:ind w:firstLine="4935" w:firstLineChars="2350"/>
        <w:rPr>
          <w:rFonts w:hint="eastAsia"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3150" w:firstLineChars="1500"/>
        <w:jc w:val="left"/>
        <w:rPr>
          <w:rFonts w:ascii="宋体" w:hAnsi="宋体"/>
          <w:color w:val="auto"/>
          <w:szCs w:val="21"/>
          <w:highlight w:val="none"/>
        </w:rPr>
        <w:sectPr>
          <w:footerReference r:id="rId14" w:type="first"/>
          <w:footerReference r:id="rId12" w:type="default"/>
          <w:footerReference r:id="rId13" w:type="even"/>
          <w:pgSz w:w="11911" w:h="16838"/>
          <w:pgMar w:top="1134" w:right="1134" w:bottom="1134" w:left="1134" w:header="720" w:footer="720" w:gutter="0"/>
          <w:cols w:space="720" w:num="1"/>
          <w:titlePg/>
          <w:docGrid w:linePitch="312" w:charSpace="0"/>
        </w:sectPr>
      </w:pPr>
    </w:p>
    <w:p>
      <w:pPr>
        <w:shd w:val="clear" w:color="auto" w:fill="auto"/>
        <w:snapToGrid w:val="0"/>
        <w:spacing w:before="120" w:beforeLines="50" w:after="50"/>
        <w:ind w:firstLine="602" w:firstLineChars="200"/>
        <w:jc w:val="center"/>
        <w:rPr>
          <w:rFonts w:hint="eastAsia"/>
          <w:b/>
          <w:bCs/>
          <w:color w:val="auto"/>
          <w:sz w:val="30"/>
          <w:szCs w:val="30"/>
          <w:highlight w:val="none"/>
        </w:rPr>
      </w:pPr>
      <w:bookmarkStart w:id="355" w:name="_Toc19686839"/>
    </w:p>
    <w:p>
      <w:pPr>
        <w:shd w:val="clear" w:color="auto" w:fill="auto"/>
        <w:snapToGrid w:val="0"/>
        <w:spacing w:before="120"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五、投标人情况介绍</w:t>
      </w:r>
    </w:p>
    <w:p>
      <w:pPr>
        <w:shd w:val="clear" w:color="auto" w:fill="auto"/>
        <w:spacing w:line="360" w:lineRule="auto"/>
        <w:ind w:firstLine="4048" w:firstLineChars="1687"/>
        <w:rPr>
          <w:rFonts w:ascii="仿宋_GB2312" w:hAnsi="仿宋" w:eastAsia="仿宋_GB2312" w:cs="仿宋_GB2312"/>
          <w:color w:val="auto"/>
          <w:kern w:val="0"/>
          <w:sz w:val="24"/>
          <w:highlight w:val="none"/>
        </w:rPr>
      </w:pPr>
      <w:r>
        <w:rPr>
          <w:rFonts w:hint="eastAsia" w:ascii="宋体" w:hAnsi="宋体"/>
          <w:color w:val="auto"/>
          <w:sz w:val="24"/>
          <w:highlight w:val="none"/>
        </w:rPr>
        <w:t>（格式自拟）</w:t>
      </w:r>
    </w:p>
    <w:p>
      <w:pPr>
        <w:shd w:val="clear" w:color="auto" w:fill="auto"/>
        <w:snapToGrid w:val="0"/>
        <w:spacing w:line="360" w:lineRule="auto"/>
        <w:ind w:firstLine="4935" w:firstLineChars="2350"/>
        <w:rPr>
          <w:rFonts w:hint="eastAsia"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602" w:firstLineChars="200"/>
        <w:jc w:val="center"/>
        <w:rPr>
          <w:rFonts w:hint="eastAsia"/>
          <w:b/>
          <w:bCs/>
          <w:color w:val="auto"/>
          <w:sz w:val="30"/>
          <w:szCs w:val="30"/>
          <w:highlight w:val="none"/>
        </w:rPr>
      </w:pPr>
    </w:p>
    <w:p>
      <w:pPr>
        <w:shd w:val="clear" w:color="auto" w:fill="auto"/>
        <w:spacing w:after="120"/>
        <w:rPr>
          <w:rFonts w:hint="eastAsia"/>
          <w:b/>
          <w:bCs/>
          <w:color w:val="auto"/>
          <w:sz w:val="30"/>
          <w:szCs w:val="30"/>
          <w:highlight w:val="none"/>
        </w:rPr>
      </w:pPr>
    </w:p>
    <w:p>
      <w:pPr>
        <w:shd w:val="clear" w:color="auto" w:fill="auto"/>
        <w:rPr>
          <w:rFonts w:hint="eastAsia"/>
          <w:b/>
          <w:bCs/>
          <w:color w:val="auto"/>
          <w:sz w:val="30"/>
          <w:szCs w:val="30"/>
          <w:highlight w:val="none"/>
        </w:rPr>
      </w:pPr>
    </w:p>
    <w:p>
      <w:pPr>
        <w:shd w:val="clear" w:color="auto" w:fill="auto"/>
        <w:spacing w:after="120"/>
        <w:rPr>
          <w:rFonts w:hint="eastAsia"/>
          <w:color w:val="auto"/>
          <w:highlight w:val="none"/>
        </w:rPr>
      </w:pPr>
    </w:p>
    <w:p>
      <w:pPr>
        <w:shd w:val="clear" w:color="auto" w:fill="auto"/>
        <w:snapToGrid w:val="0"/>
        <w:spacing w:before="120" w:beforeLines="50" w:after="50"/>
        <w:ind w:firstLine="602" w:firstLineChars="200"/>
        <w:jc w:val="center"/>
        <w:rPr>
          <w:rFonts w:hint="eastAsia"/>
          <w:b/>
          <w:bCs/>
          <w:color w:val="auto"/>
          <w:sz w:val="30"/>
          <w:szCs w:val="30"/>
          <w:highlight w:val="none"/>
        </w:rPr>
      </w:pPr>
      <w:r>
        <w:rPr>
          <w:rFonts w:hint="eastAsia"/>
          <w:b/>
          <w:bCs/>
          <w:color w:val="auto"/>
          <w:sz w:val="30"/>
          <w:szCs w:val="30"/>
          <w:highlight w:val="none"/>
        </w:rPr>
        <w:t>六、除招标文件规定必须提供以外，投标人认为需要提供的其他证明材料</w:t>
      </w:r>
    </w:p>
    <w:p>
      <w:pPr>
        <w:shd w:val="clear" w:color="auto" w:fill="auto"/>
        <w:snapToGrid w:val="0"/>
        <w:spacing w:line="360" w:lineRule="auto"/>
        <w:ind w:firstLine="4935" w:firstLineChars="2350"/>
        <w:rPr>
          <w:rFonts w:hint="eastAsia"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hAnsi="宋体"/>
          <w:color w:val="auto"/>
          <w:szCs w:val="21"/>
          <w:highlight w:val="none"/>
        </w:rPr>
      </w:pPr>
    </w:p>
    <w:p>
      <w:pPr>
        <w:shd w:val="clear" w:color="auto" w:fill="auto"/>
        <w:snapToGrid w:val="0"/>
        <w:spacing w:line="360" w:lineRule="auto"/>
        <w:ind w:firstLine="4935" w:firstLineChars="2350"/>
        <w:rPr>
          <w:rFonts w:ascii="仿宋_GB2312" w:hAnsi="仿宋" w:eastAsia="仿宋_GB2312" w:cs="仿宋_GB2312"/>
          <w:color w:val="auto"/>
          <w:kern w:val="0"/>
          <w:sz w:val="24"/>
          <w:highlight w:val="none"/>
        </w:rPr>
      </w:pPr>
      <w:r>
        <w:rPr>
          <w:rFonts w:hAnsi="宋体"/>
          <w:color w:val="auto"/>
          <w:szCs w:val="21"/>
          <w:highlight w:val="none"/>
        </w:rPr>
        <w:t xml:space="preserve">  </w:t>
      </w: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rPr>
          <w:rFonts w:hint="eastAsia" w:ascii="宋体" w:hAnsi="宋体"/>
          <w:b/>
          <w:bCs/>
          <w:color w:val="auto"/>
          <w:sz w:val="28"/>
          <w:szCs w:val="28"/>
          <w:highlight w:val="none"/>
        </w:rPr>
      </w:pPr>
      <w:r>
        <w:rPr>
          <w:rFonts w:hint="eastAsia" w:ascii="宋体" w:hAnsi="宋体"/>
          <w:b/>
          <w:bCs/>
          <w:color w:val="auto"/>
          <w:sz w:val="28"/>
          <w:szCs w:val="28"/>
          <w:highlight w:val="none"/>
        </w:rPr>
        <w:br w:type="page"/>
      </w:r>
    </w:p>
    <w:p>
      <w:pPr>
        <w:shd w:val="clear" w:color="auto" w:fill="auto"/>
        <w:jc w:val="center"/>
        <w:outlineLvl w:val="1"/>
        <w:rPr>
          <w:rFonts w:hint="eastAsia" w:ascii="宋体" w:hAnsi="宋体"/>
          <w:b/>
          <w:bCs/>
          <w:color w:val="auto"/>
          <w:sz w:val="28"/>
          <w:szCs w:val="28"/>
          <w:highlight w:val="none"/>
        </w:rPr>
      </w:pPr>
    </w:p>
    <w:p>
      <w:pPr>
        <w:shd w:val="clear" w:color="auto" w:fill="auto"/>
        <w:jc w:val="center"/>
        <w:outlineLvl w:val="1"/>
        <w:rPr>
          <w:rFonts w:hint="eastAsia" w:ascii="宋体" w:hAnsi="宋体"/>
          <w:b/>
          <w:bCs/>
          <w:color w:val="auto"/>
          <w:sz w:val="28"/>
          <w:szCs w:val="28"/>
          <w:highlight w:val="none"/>
        </w:rPr>
      </w:pPr>
      <w:bookmarkStart w:id="356" w:name="_Toc177489473"/>
      <w:r>
        <w:rPr>
          <w:rFonts w:hint="eastAsia" w:ascii="宋体" w:hAnsi="宋体"/>
          <w:b/>
          <w:bCs/>
          <w:color w:val="auto"/>
          <w:sz w:val="28"/>
          <w:szCs w:val="28"/>
          <w:highlight w:val="none"/>
        </w:rPr>
        <w:t>第四节 技术文件格式</w:t>
      </w:r>
      <w:bookmarkEnd w:id="355"/>
      <w:bookmarkEnd w:id="356"/>
    </w:p>
    <w:p>
      <w:pPr>
        <w:shd w:val="clear" w:color="auto" w:fill="auto"/>
        <w:snapToGrid w:val="0"/>
        <w:spacing w:before="120" w:beforeLines="50" w:after="50"/>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hd w:val="clear" w:color="auto" w:fill="auto"/>
        <w:snapToGrid w:val="0"/>
        <w:spacing w:before="120" w:beforeLines="50" w:after="50"/>
        <w:rPr>
          <w:rFonts w:hint="eastAsia" w:ascii="宋体" w:hAnsi="宋体"/>
          <w:color w:val="auto"/>
          <w:sz w:val="24"/>
          <w:szCs w:val="20"/>
          <w:highlight w:val="none"/>
        </w:rPr>
      </w:pPr>
    </w:p>
    <w:p>
      <w:pPr>
        <w:shd w:val="clear" w:color="auto" w:fill="auto"/>
        <w:snapToGrid w:val="0"/>
        <w:spacing w:before="120" w:beforeLines="50" w:after="50"/>
        <w:jc w:val="center"/>
        <w:rPr>
          <w:rFonts w:hint="eastAsia" w:ascii="宋体" w:hAnsi="宋体"/>
          <w:b/>
          <w:bCs/>
          <w:color w:val="auto"/>
          <w:sz w:val="32"/>
          <w:szCs w:val="32"/>
          <w:highlight w:val="none"/>
        </w:rPr>
      </w:pPr>
    </w:p>
    <w:p>
      <w:pPr>
        <w:shd w:val="clear" w:color="auto" w:fill="auto"/>
        <w:snapToGrid w:val="0"/>
        <w:spacing w:before="120" w:beforeLines="50" w:after="50"/>
        <w:jc w:val="center"/>
        <w:rPr>
          <w:rFonts w:hint="eastAsia" w:ascii="宋体" w:hAnsi="宋体"/>
          <w:b/>
          <w:bCs/>
          <w:color w:val="auto"/>
          <w:sz w:val="32"/>
          <w:szCs w:val="32"/>
          <w:highlight w:val="none"/>
        </w:rPr>
      </w:pPr>
    </w:p>
    <w:p>
      <w:pPr>
        <w:shd w:val="clear" w:color="auto" w:fill="auto"/>
        <w:snapToGrid w:val="0"/>
        <w:spacing w:before="120" w:beforeLines="50" w:after="50"/>
        <w:jc w:val="center"/>
        <w:rPr>
          <w:rFonts w:hint="eastAsia" w:ascii="宋体" w:hAnsi="宋体"/>
          <w:b/>
          <w:bCs/>
          <w:color w:val="auto"/>
          <w:sz w:val="32"/>
          <w:szCs w:val="32"/>
          <w:highlight w:val="none"/>
        </w:rPr>
      </w:pPr>
    </w:p>
    <w:p>
      <w:pPr>
        <w:shd w:val="clear" w:color="auto" w:fill="auto"/>
        <w:snapToGrid w:val="0"/>
        <w:spacing w:before="120" w:beforeLines="50" w:after="50"/>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技术文件（封面）</w:t>
      </w:r>
    </w:p>
    <w:p>
      <w:pPr>
        <w:shd w:val="clear" w:color="auto" w:fill="auto"/>
        <w:snapToGrid w:val="0"/>
        <w:spacing w:before="120" w:beforeLines="50" w:after="50"/>
        <w:rPr>
          <w:rFonts w:hint="eastAsia" w:ascii="宋体" w:hAnsi="宋体"/>
          <w:bCs/>
          <w:color w:val="auto"/>
          <w:sz w:val="24"/>
          <w:szCs w:val="20"/>
          <w:highlight w:val="none"/>
        </w:rPr>
      </w:pPr>
    </w:p>
    <w:p>
      <w:pPr>
        <w:shd w:val="clear" w:color="auto" w:fill="auto"/>
        <w:snapToGrid w:val="0"/>
        <w:spacing w:before="120" w:beforeLines="50" w:after="50" w:line="400" w:lineRule="exact"/>
        <w:ind w:firstLine="360" w:firstLineChars="150"/>
        <w:rPr>
          <w:rFonts w:hint="eastAsia" w:ascii="宋体" w:hAnsi="宋体"/>
          <w:bCs/>
          <w:color w:val="auto"/>
          <w:sz w:val="24"/>
          <w:szCs w:val="20"/>
          <w:highlight w:val="none"/>
        </w:rPr>
      </w:pPr>
      <w:r>
        <w:rPr>
          <w:rFonts w:hint="eastAsia" w:ascii="宋体" w:hAnsi="宋体"/>
          <w:bCs/>
          <w:color w:val="auto"/>
          <w:sz w:val="24"/>
          <w:highlight w:val="none"/>
        </w:rPr>
        <w:t xml:space="preserve">项目名称： </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 xml:space="preserve">项目编号： </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所投分标：</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投标人名称：</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hd w:val="clear" w:color="auto" w:fill="auto"/>
        <w:snapToGrid w:val="0"/>
        <w:spacing w:line="360" w:lineRule="auto"/>
        <w:ind w:left="5626" w:leftChars="1736" w:hanging="1980" w:hangingChars="825"/>
        <w:rPr>
          <w:rFonts w:hint="eastAsia" w:ascii="仿宋_GB2312" w:hAnsi="仿宋" w:eastAsia="仿宋_GB2312" w:cs="仿宋_GB2312"/>
          <w:color w:val="auto"/>
          <w:kern w:val="0"/>
          <w:sz w:val="24"/>
          <w:highlight w:val="none"/>
        </w:rPr>
      </w:pPr>
      <w:r>
        <w:rPr>
          <w:rFonts w:hint="eastAsia" w:ascii="宋体" w:hAnsi="宋体"/>
          <w:color w:val="auto"/>
          <w:sz w:val="24"/>
          <w:highlight w:val="none"/>
        </w:rPr>
        <w:t xml:space="preserve">                </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firstLine="645"/>
        <w:jc w:val="center"/>
        <w:rPr>
          <w:rFonts w:hint="eastAsia" w:ascii="宋体" w:hAnsi="宋体"/>
          <w:color w:val="auto"/>
          <w:sz w:val="24"/>
          <w:highlight w:val="none"/>
        </w:rPr>
      </w:pPr>
    </w:p>
    <w:p>
      <w:pPr>
        <w:shd w:val="clear" w:color="auto" w:fill="auto"/>
        <w:snapToGrid w:val="0"/>
        <w:spacing w:before="120" w:beforeLines="50" w:after="50"/>
        <w:ind w:firstLine="645"/>
        <w:jc w:val="center"/>
        <w:rPr>
          <w:rFonts w:hint="eastAsia" w:ascii="宋体" w:hAnsi="宋体"/>
          <w:color w:val="auto"/>
          <w:sz w:val="24"/>
          <w:szCs w:val="20"/>
          <w:highlight w:val="none"/>
        </w:rPr>
      </w:pPr>
    </w:p>
    <w:p>
      <w:pPr>
        <w:shd w:val="clear" w:color="auto" w:fill="auto"/>
        <w:jc w:val="center"/>
        <w:rPr>
          <w:rFonts w:ascii="宋体" w:hAnsi="宋体"/>
          <w:b/>
          <w:bCs/>
          <w:color w:val="auto"/>
          <w:sz w:val="24"/>
          <w:highlight w:val="none"/>
        </w:rPr>
      </w:pPr>
      <w:r>
        <w:rPr>
          <w:rFonts w:ascii="宋体" w:hAnsi="宋体"/>
          <w:b/>
          <w:bCs/>
          <w:color w:val="auto"/>
          <w:sz w:val="24"/>
          <w:highlight w:val="none"/>
        </w:rPr>
        <w:br w:type="page"/>
      </w:r>
    </w:p>
    <w:p>
      <w:pPr>
        <w:shd w:val="clear" w:color="auto" w:fill="auto"/>
        <w:jc w:val="center"/>
        <w:rPr>
          <w:rFonts w:ascii="宋体" w:hAnsi="宋体"/>
          <w:b/>
          <w:bCs/>
          <w:color w:val="auto"/>
          <w:sz w:val="24"/>
          <w:highlight w:val="none"/>
        </w:rPr>
      </w:pPr>
    </w:p>
    <w:p>
      <w:pPr>
        <w:shd w:val="clear" w:color="auto" w:fill="auto"/>
        <w:jc w:val="center"/>
        <w:rPr>
          <w:rFonts w:hint="eastAsia" w:ascii="仿宋_GB2312" w:hAnsi="仿宋" w:eastAsia="仿宋_GB2312" w:cs="仿宋_GB2312"/>
          <w:b/>
          <w:color w:val="auto"/>
          <w:kern w:val="0"/>
          <w:sz w:val="28"/>
          <w:szCs w:val="28"/>
          <w:highlight w:val="none"/>
        </w:rPr>
      </w:pPr>
      <w:r>
        <w:rPr>
          <w:rFonts w:hint="eastAsia" w:ascii="仿宋_GB2312" w:hAnsi="仿宋" w:eastAsia="仿宋_GB2312" w:cs="仿宋_GB2312"/>
          <w:b/>
          <w:color w:val="auto"/>
          <w:kern w:val="0"/>
          <w:sz w:val="28"/>
          <w:szCs w:val="28"/>
          <w:highlight w:val="none"/>
        </w:rPr>
        <w:t>技术文件目录</w:t>
      </w:r>
    </w:p>
    <w:p>
      <w:pPr>
        <w:shd w:val="clear" w:color="auto" w:fill="auto"/>
        <w:adjustRightIn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一、服务参数偏离表………………………………………</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shd w:val="clear" w:color="auto" w:fill="auto"/>
        <w:adjustRightIn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二、项目实施和服务方案……………………………………</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shd w:val="clear" w:color="auto" w:fill="auto"/>
        <w:adjustRightInd w:val="0"/>
        <w:spacing w:line="360" w:lineRule="auto"/>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三、除招标文件规定必须提供以外，投标人需要说明的其他文件和说明</w:t>
      </w:r>
      <w:r>
        <w:rPr>
          <w:rFonts w:hint="eastAsia" w:ascii="仿宋_GB2312" w:hAnsi="仿宋" w:eastAsia="仿宋_GB2312" w:cs="仿宋_GB2312"/>
          <w:color w:val="auto"/>
          <w:sz w:val="24"/>
          <w:highlight w:val="none"/>
          <w:lang w:val="zh-CN"/>
        </w:rPr>
        <w:t>…………</w:t>
      </w:r>
      <w:r>
        <w:rPr>
          <w:rFonts w:hint="eastAsia" w:ascii="仿宋_GB2312" w:hAnsi="仿宋" w:eastAsia="仿宋_GB2312" w:cs="仿宋_GB2312"/>
          <w:color w:val="auto"/>
          <w:sz w:val="24"/>
          <w:highlight w:val="none"/>
        </w:rPr>
        <w:t>（页码）</w:t>
      </w:r>
    </w:p>
    <w:p>
      <w:pPr>
        <w:shd w:val="clear" w:color="auto" w:fill="auto"/>
        <w:spacing w:line="360" w:lineRule="auto"/>
        <w:rPr>
          <w:rFonts w:hint="eastAsia" w:ascii="仿宋_GB2312" w:hAnsi="仿宋" w:eastAsia="仿宋_GB2312" w:cs="仿宋_GB2312"/>
          <w:b/>
          <w:bCs/>
          <w:color w:val="auto"/>
          <w:sz w:val="24"/>
          <w:highlight w:val="none"/>
        </w:rPr>
      </w:pPr>
      <w:r>
        <w:rPr>
          <w:rFonts w:hint="eastAsia" w:ascii="仿宋_GB2312" w:hAnsi="仿宋" w:eastAsia="仿宋_GB2312" w:cs="仿宋_GB2312"/>
          <w:b/>
          <w:bCs/>
          <w:color w:val="auto"/>
          <w:sz w:val="24"/>
          <w:highlight w:val="none"/>
        </w:rPr>
        <w:t>注：以上目录是基本格式要求，各投标人可根据招标文件要求及自身情况进一步增加内容或细化。</w:t>
      </w:r>
    </w:p>
    <w:p>
      <w:pPr>
        <w:shd w:val="clear" w:color="auto" w:fill="auto"/>
        <w:snapToGrid w:val="0"/>
        <w:spacing w:before="120" w:beforeLines="50" w:after="50"/>
        <w:jc w:val="left"/>
        <w:rPr>
          <w:rFonts w:ascii="宋体" w:hAnsi="宋体"/>
          <w:b/>
          <w:color w:val="auto"/>
          <w:sz w:val="24"/>
          <w:highlight w:val="none"/>
        </w:rPr>
      </w:pPr>
    </w:p>
    <w:p>
      <w:pPr>
        <w:shd w:val="clear" w:color="auto" w:fill="auto"/>
        <w:snapToGrid w:val="0"/>
        <w:spacing w:before="120" w:beforeLines="50" w:after="50"/>
        <w:ind w:left="143" w:leftChars="68" w:firstLine="472" w:firstLineChars="196"/>
        <w:jc w:val="left"/>
        <w:rPr>
          <w:rFonts w:hint="eastAsia" w:ascii="宋体" w:hAnsi="宋体"/>
          <w:b/>
          <w:color w:val="auto"/>
          <w:sz w:val="24"/>
          <w:highlight w:val="none"/>
        </w:rPr>
      </w:pPr>
      <w:r>
        <w:rPr>
          <w:rFonts w:ascii="宋体" w:hAnsi="宋体"/>
          <w:b/>
          <w:color w:val="auto"/>
          <w:sz w:val="24"/>
          <w:highlight w:val="none"/>
        </w:rPr>
        <w:br w:type="page"/>
      </w:r>
      <w:r>
        <w:rPr>
          <w:rFonts w:hint="eastAsia" w:ascii="宋体" w:hAnsi="宋体"/>
          <w:b/>
          <w:color w:val="auto"/>
          <w:sz w:val="24"/>
          <w:highlight w:val="none"/>
        </w:rPr>
        <w:t xml:space="preserve"> </w:t>
      </w:r>
    </w:p>
    <w:p>
      <w:pPr>
        <w:shd w:val="clear" w:color="auto" w:fill="auto"/>
        <w:spacing w:line="500" w:lineRule="exact"/>
        <w:jc w:val="center"/>
        <w:rPr>
          <w:b/>
          <w:bCs/>
          <w:color w:val="auto"/>
          <w:sz w:val="30"/>
          <w:szCs w:val="30"/>
          <w:highlight w:val="none"/>
        </w:rPr>
      </w:pPr>
      <w:r>
        <w:rPr>
          <w:rFonts w:hint="eastAsia"/>
          <w:b/>
          <w:bCs/>
          <w:color w:val="auto"/>
          <w:sz w:val="30"/>
          <w:szCs w:val="30"/>
          <w:highlight w:val="none"/>
        </w:rPr>
        <w:t>一、服务参数偏离表</w:t>
      </w:r>
    </w:p>
    <w:p>
      <w:pPr>
        <w:shd w:val="clear" w:color="auto" w:fill="auto"/>
        <w:spacing w:line="440" w:lineRule="exact"/>
        <w:ind w:firstLine="420" w:firstLineChars="200"/>
        <w:rPr>
          <w:rFonts w:hint="eastAsia" w:ascii="宋体" w:hAnsi="Courier New"/>
          <w:color w:val="auto"/>
          <w:szCs w:val="20"/>
          <w:highlight w:val="none"/>
        </w:rPr>
      </w:pPr>
    </w:p>
    <w:p>
      <w:pPr>
        <w:shd w:val="clear" w:color="auto" w:fill="auto"/>
        <w:spacing w:line="600" w:lineRule="exact"/>
        <w:ind w:firstLine="480" w:firstLineChars="200"/>
        <w:rPr>
          <w:rFonts w:ascii="宋体" w:hAnsi="宋体"/>
          <w:color w:val="auto"/>
          <w:sz w:val="24"/>
          <w:highlight w:val="none"/>
        </w:rPr>
      </w:pPr>
      <w:r>
        <w:rPr>
          <w:rFonts w:hint="eastAsia" w:ascii="宋体" w:hAnsi="宋体"/>
          <w:color w:val="auto"/>
          <w:sz w:val="24"/>
          <w:highlight w:val="none"/>
        </w:rPr>
        <w:t>请根据所投服务的实际技术参数，</w:t>
      </w:r>
      <w:r>
        <w:rPr>
          <w:rFonts w:hint="eastAsia" w:ascii="宋体" w:hAnsi="宋体"/>
          <w:b/>
          <w:color w:val="auto"/>
          <w:sz w:val="28"/>
          <w:szCs w:val="28"/>
          <w:highlight w:val="none"/>
        </w:rPr>
        <w:t>逐条对应</w:t>
      </w:r>
      <w:r>
        <w:rPr>
          <w:rFonts w:hint="eastAsia" w:ascii="宋体" w:hAnsi="宋体"/>
          <w:color w:val="auto"/>
          <w:sz w:val="24"/>
          <w:highlight w:val="none"/>
        </w:rPr>
        <w:t>本项目招标文件第二章</w:t>
      </w:r>
      <w:r>
        <w:rPr>
          <w:rFonts w:ascii="宋体" w:hAnsi="宋体"/>
          <w:color w:val="auto"/>
          <w:sz w:val="24"/>
          <w:highlight w:val="none"/>
        </w:rPr>
        <w:t>“</w:t>
      </w:r>
      <w:r>
        <w:rPr>
          <w:rFonts w:hint="eastAsia" w:ascii="宋体" w:hAnsi="宋体"/>
          <w:color w:val="auto"/>
          <w:sz w:val="24"/>
          <w:highlight w:val="none"/>
        </w:rPr>
        <w:t>采购需求</w:t>
      </w:r>
      <w:r>
        <w:rPr>
          <w:rFonts w:ascii="宋体" w:hAnsi="宋体"/>
          <w:color w:val="auto"/>
          <w:sz w:val="24"/>
          <w:highlight w:val="none"/>
        </w:rPr>
        <w:t>”</w:t>
      </w:r>
      <w:r>
        <w:rPr>
          <w:rFonts w:hint="eastAsia" w:ascii="宋体" w:hAnsi="宋体"/>
          <w:color w:val="auto"/>
          <w:sz w:val="24"/>
          <w:highlight w:val="none"/>
        </w:rPr>
        <w:t>中的</w:t>
      </w:r>
      <w:r>
        <w:rPr>
          <w:rFonts w:hint="eastAsia" w:ascii="宋体" w:hAnsi="宋体"/>
          <w:b/>
          <w:color w:val="auto"/>
          <w:sz w:val="28"/>
          <w:szCs w:val="28"/>
          <w:highlight w:val="none"/>
        </w:rPr>
        <w:t>采购清单及服务参数</w:t>
      </w:r>
      <w:r>
        <w:rPr>
          <w:rFonts w:hint="eastAsia" w:ascii="宋体" w:hAnsi="宋体"/>
          <w:color w:val="auto"/>
          <w:sz w:val="24"/>
          <w:highlight w:val="none"/>
        </w:rPr>
        <w:t>详细填写相应的具体内容。</w:t>
      </w:r>
      <w:r>
        <w:rPr>
          <w:rFonts w:ascii="宋体" w:hAnsi="宋体"/>
          <w:color w:val="auto"/>
          <w:sz w:val="24"/>
          <w:highlight w:val="none"/>
        </w:rPr>
        <w:t>“</w:t>
      </w:r>
      <w:r>
        <w:rPr>
          <w:rFonts w:hint="eastAsia" w:ascii="宋体" w:hAnsi="宋体"/>
          <w:color w:val="auto"/>
          <w:sz w:val="24"/>
          <w:highlight w:val="none"/>
        </w:rPr>
        <w:t>偏离说明</w:t>
      </w:r>
      <w:r>
        <w:rPr>
          <w:rFonts w:ascii="宋体" w:hAnsi="宋体"/>
          <w:color w:val="auto"/>
          <w:sz w:val="24"/>
          <w:highlight w:val="none"/>
        </w:rPr>
        <w:t>”</w:t>
      </w:r>
      <w:r>
        <w:rPr>
          <w:rFonts w:hint="eastAsia" w:ascii="宋体" w:hAnsi="宋体"/>
          <w:color w:val="auto"/>
          <w:sz w:val="24"/>
          <w:highlight w:val="none"/>
        </w:rPr>
        <w:t>一栏应当选择</w:t>
      </w:r>
      <w:r>
        <w:rPr>
          <w:rFonts w:ascii="宋体" w:hAnsi="宋体"/>
          <w:color w:val="auto"/>
          <w:sz w:val="24"/>
          <w:highlight w:val="none"/>
        </w:rPr>
        <w:t>“</w:t>
      </w:r>
      <w:r>
        <w:rPr>
          <w:rFonts w:hint="eastAsia" w:ascii="宋体" w:hAnsi="宋体"/>
          <w:color w:val="auto"/>
          <w:sz w:val="24"/>
          <w:highlight w:val="none"/>
        </w:rPr>
        <w:t>正偏离</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w:t>
      </w:r>
      <w:r>
        <w:rPr>
          <w:rFonts w:hint="eastAsia" w:ascii="宋体" w:hAnsi="宋体"/>
          <w:color w:val="auto"/>
          <w:sz w:val="24"/>
          <w:highlight w:val="none"/>
        </w:rPr>
        <w:t>负偏离</w:t>
      </w:r>
      <w:r>
        <w:rPr>
          <w:rFonts w:ascii="宋体" w:hAnsi="宋体"/>
          <w:color w:val="auto"/>
          <w:sz w:val="24"/>
          <w:highlight w:val="none"/>
        </w:rPr>
        <w:t>”</w:t>
      </w:r>
      <w:r>
        <w:rPr>
          <w:rFonts w:hint="eastAsia" w:ascii="宋体" w:hAnsi="宋体"/>
          <w:color w:val="auto"/>
          <w:sz w:val="24"/>
          <w:highlight w:val="none"/>
        </w:rPr>
        <w:t>或</w:t>
      </w:r>
      <w:r>
        <w:rPr>
          <w:rFonts w:ascii="宋体" w:hAnsi="宋体"/>
          <w:color w:val="auto"/>
          <w:sz w:val="24"/>
          <w:highlight w:val="none"/>
        </w:rPr>
        <w:t>“</w:t>
      </w:r>
      <w:r>
        <w:rPr>
          <w:rFonts w:hint="eastAsia" w:ascii="宋体" w:hAnsi="宋体"/>
          <w:color w:val="auto"/>
          <w:sz w:val="24"/>
          <w:highlight w:val="none"/>
        </w:rPr>
        <w:t>无偏离</w:t>
      </w:r>
      <w:r>
        <w:rPr>
          <w:rFonts w:ascii="宋体" w:hAnsi="宋体"/>
          <w:color w:val="auto"/>
          <w:sz w:val="24"/>
          <w:highlight w:val="none"/>
        </w:rPr>
        <w:t>”</w:t>
      </w:r>
      <w:r>
        <w:rPr>
          <w:rFonts w:hint="eastAsia" w:ascii="宋体" w:hAnsi="宋体"/>
          <w:color w:val="auto"/>
          <w:sz w:val="24"/>
          <w:highlight w:val="none"/>
        </w:rPr>
        <w:t>进行填写。</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2670"/>
        <w:gridCol w:w="11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rPr>
              <w:t>项号</w:t>
            </w:r>
          </w:p>
        </w:tc>
        <w:tc>
          <w:tcPr>
            <w:tcW w:w="3570"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招标文件需求</w:t>
            </w:r>
          </w:p>
        </w:tc>
        <w:tc>
          <w:tcPr>
            <w:tcW w:w="4186" w:type="dxa"/>
            <w:gridSpan w:val="2"/>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投标文件承诺</w:t>
            </w:r>
          </w:p>
        </w:tc>
        <w:tc>
          <w:tcPr>
            <w:tcW w:w="1142" w:type="dxa"/>
            <w:vMerge w:val="restart"/>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ascii="宋体" w:hAnsi="宋体"/>
                <w:color w:val="auto"/>
                <w:szCs w:val="21"/>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标的名称</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服务参数</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标的名称</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ascii="宋体" w:hAnsi="宋体"/>
                <w:color w:val="auto"/>
                <w:szCs w:val="21"/>
                <w:highlight w:val="none"/>
              </w:rPr>
            </w:pPr>
            <w:r>
              <w:rPr>
                <w:rFonts w:hint="eastAsia" w:ascii="宋体" w:hAnsi="宋体"/>
                <w:color w:val="auto"/>
                <w:szCs w:val="21"/>
                <w:highlight w:val="none"/>
              </w:rPr>
              <w:t>所提供的服务参数</w:t>
            </w:r>
          </w:p>
        </w:tc>
        <w:tc>
          <w:tcPr>
            <w:tcW w:w="114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auto"/>
              <w:jc w:val="left"/>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  ……</w:t>
            </w:r>
          </w:p>
          <w:p>
            <w:pPr>
              <w:shd w:val="clear" w:color="auto" w:fill="auto"/>
              <w:rPr>
                <w:rFonts w:ascii="宋体" w:hAnsi="宋体"/>
                <w:color w:val="auto"/>
                <w:szCs w:val="21"/>
                <w:highlight w:val="none"/>
              </w:rPr>
            </w:pPr>
            <w:r>
              <w:rPr>
                <w:rFonts w:ascii="宋体" w:hAnsi="宋体"/>
                <w:color w:val="auto"/>
                <w:szCs w:val="21"/>
                <w:highlight w:val="none"/>
              </w:rPr>
              <w:t>2  ……</w:t>
            </w:r>
          </w:p>
          <w:p>
            <w:pPr>
              <w:shd w:val="clear" w:color="auto" w:fill="auto"/>
              <w:rPr>
                <w:rFonts w:ascii="宋体" w:hAnsi="宋体"/>
                <w:color w:val="auto"/>
                <w:szCs w:val="21"/>
                <w:highlight w:val="none"/>
              </w:rPr>
            </w:pPr>
            <w:r>
              <w:rPr>
                <w:rFonts w:ascii="宋体" w:hAnsi="宋体"/>
                <w:color w:val="auto"/>
                <w:szCs w:val="21"/>
                <w:highlight w:val="none"/>
              </w:rPr>
              <w:t>3  ……</w:t>
            </w:r>
          </w:p>
          <w:p>
            <w:pPr>
              <w:shd w:val="clear" w:color="auto" w:fill="auto"/>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  ……</w:t>
            </w:r>
          </w:p>
          <w:p>
            <w:pPr>
              <w:shd w:val="clear" w:color="auto" w:fill="auto"/>
              <w:rPr>
                <w:rFonts w:ascii="宋体" w:hAnsi="宋体"/>
                <w:color w:val="auto"/>
                <w:szCs w:val="21"/>
                <w:highlight w:val="none"/>
              </w:rPr>
            </w:pPr>
            <w:r>
              <w:rPr>
                <w:rFonts w:ascii="宋体" w:hAnsi="宋体"/>
                <w:color w:val="auto"/>
                <w:szCs w:val="21"/>
                <w:highlight w:val="none"/>
              </w:rPr>
              <w:t>2  ……</w:t>
            </w:r>
          </w:p>
          <w:p>
            <w:pPr>
              <w:shd w:val="clear" w:color="auto" w:fill="auto"/>
              <w:rPr>
                <w:rFonts w:ascii="宋体" w:hAnsi="宋体"/>
                <w:color w:val="auto"/>
                <w:szCs w:val="21"/>
                <w:highlight w:val="none"/>
              </w:rPr>
            </w:pPr>
            <w:r>
              <w:rPr>
                <w:rFonts w:ascii="宋体" w:hAnsi="宋体"/>
                <w:color w:val="auto"/>
                <w:szCs w:val="21"/>
                <w:highlight w:val="none"/>
              </w:rPr>
              <w:t>3  ……</w:t>
            </w:r>
          </w:p>
          <w:p>
            <w:pPr>
              <w:shd w:val="clear" w:color="auto" w:fill="auto"/>
              <w:rPr>
                <w:rFonts w:ascii="宋体" w:hAnsi="宋体"/>
                <w:color w:val="auto"/>
                <w:szCs w:val="21"/>
                <w:highlight w:val="none"/>
              </w:rPr>
            </w:pPr>
            <w:r>
              <w:rPr>
                <w:rFonts w:ascii="宋体" w:hAnsi="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2</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  ……</w:t>
            </w:r>
          </w:p>
          <w:p>
            <w:pPr>
              <w:shd w:val="clear" w:color="auto" w:fill="auto"/>
              <w:rPr>
                <w:rFonts w:ascii="宋体" w:hAnsi="宋体"/>
                <w:color w:val="auto"/>
                <w:szCs w:val="21"/>
                <w:highlight w:val="none"/>
              </w:rPr>
            </w:pPr>
            <w:r>
              <w:rPr>
                <w:rFonts w:ascii="宋体" w:hAnsi="宋体"/>
                <w:color w:val="auto"/>
                <w:szCs w:val="21"/>
                <w:highlight w:val="none"/>
              </w:rPr>
              <w:t>2  ……</w:t>
            </w:r>
          </w:p>
          <w:p>
            <w:pPr>
              <w:shd w:val="clear" w:color="auto" w:fill="auto"/>
              <w:rPr>
                <w:rFonts w:ascii="宋体" w:hAnsi="宋体"/>
                <w:color w:val="auto"/>
                <w:szCs w:val="21"/>
                <w:highlight w:val="none"/>
              </w:rPr>
            </w:pPr>
            <w:r>
              <w:rPr>
                <w:rFonts w:ascii="宋体" w:hAnsi="宋体"/>
                <w:color w:val="auto"/>
                <w:szCs w:val="21"/>
                <w:highlight w:val="none"/>
              </w:rPr>
              <w:t>3  ……</w:t>
            </w:r>
          </w:p>
          <w:p>
            <w:pPr>
              <w:shd w:val="clear" w:color="auto" w:fill="auto"/>
              <w:rPr>
                <w:rFonts w:ascii="宋体" w:hAnsi="宋体"/>
                <w:color w:val="auto"/>
                <w:szCs w:val="21"/>
                <w:highlight w:val="none"/>
              </w:rPr>
            </w:pPr>
            <w:r>
              <w:rPr>
                <w:rFonts w:ascii="宋体" w:hAnsi="宋体"/>
                <w:color w:val="auto"/>
                <w:szCs w:val="21"/>
                <w:highlight w:val="none"/>
              </w:rPr>
              <w:t>……</w:t>
            </w:r>
          </w:p>
        </w:tc>
        <w:tc>
          <w:tcPr>
            <w:tcW w:w="15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267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1  ……</w:t>
            </w:r>
          </w:p>
          <w:p>
            <w:pPr>
              <w:shd w:val="clear" w:color="auto" w:fill="auto"/>
              <w:rPr>
                <w:rFonts w:ascii="宋体" w:hAnsi="宋体"/>
                <w:color w:val="auto"/>
                <w:szCs w:val="21"/>
                <w:highlight w:val="none"/>
              </w:rPr>
            </w:pPr>
            <w:r>
              <w:rPr>
                <w:rFonts w:ascii="宋体" w:hAnsi="宋体"/>
                <w:color w:val="auto"/>
                <w:szCs w:val="21"/>
                <w:highlight w:val="none"/>
              </w:rPr>
              <w:t>2  ……</w:t>
            </w:r>
          </w:p>
          <w:p>
            <w:pPr>
              <w:shd w:val="clear" w:color="auto" w:fill="auto"/>
              <w:rPr>
                <w:rFonts w:ascii="宋体" w:hAnsi="宋体"/>
                <w:color w:val="auto"/>
                <w:szCs w:val="21"/>
                <w:highlight w:val="none"/>
              </w:rPr>
            </w:pPr>
            <w:r>
              <w:rPr>
                <w:rFonts w:ascii="宋体" w:hAnsi="宋体"/>
                <w:color w:val="auto"/>
                <w:szCs w:val="21"/>
                <w:highlight w:val="none"/>
              </w:rPr>
              <w:t>3  ……</w:t>
            </w:r>
          </w:p>
          <w:p>
            <w:pPr>
              <w:shd w:val="clear" w:color="auto" w:fill="auto"/>
              <w:rPr>
                <w:rFonts w:ascii="宋体" w:hAnsi="宋体"/>
                <w:color w:val="auto"/>
                <w:szCs w:val="21"/>
                <w:highlight w:val="none"/>
              </w:rPr>
            </w:pPr>
            <w:r>
              <w:rPr>
                <w:rFonts w:ascii="宋体" w:hAnsi="宋体"/>
                <w:color w:val="auto"/>
                <w:szCs w:val="21"/>
                <w:highlight w:val="none"/>
              </w:rPr>
              <w:t>……</w:t>
            </w:r>
          </w:p>
        </w:tc>
        <w:tc>
          <w:tcPr>
            <w:tcW w:w="114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634"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ascii="宋体" w:hAnsi="宋体"/>
                <w:color w:val="auto"/>
                <w:szCs w:val="21"/>
                <w:highlight w:val="none"/>
              </w:rPr>
              <w:t>...</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c>
          <w:tcPr>
            <w:tcW w:w="1516"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c>
          <w:tcPr>
            <w:tcW w:w="267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c>
          <w:tcPr>
            <w:tcW w:w="114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9532" w:type="dxa"/>
            <w:gridSpan w:val="6"/>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ascii="宋体" w:hAnsi="宋体"/>
                <w:color w:val="auto"/>
                <w:szCs w:val="21"/>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w:t>
            </w:r>
            <w:r>
              <w:rPr>
                <w:rFonts w:ascii="宋体" w:hAnsi="宋体"/>
                <w:color w:val="auto"/>
                <w:szCs w:val="21"/>
                <w:highlight w:val="none"/>
              </w:rPr>
              <w:t>“</w:t>
            </w:r>
            <w:r>
              <w:rPr>
                <w:rFonts w:hint="eastAsia" w:ascii="宋体" w:hAnsi="宋体"/>
                <w:color w:val="auto"/>
                <w:szCs w:val="21"/>
                <w:highlight w:val="none"/>
              </w:rPr>
              <w:t>无</w:t>
            </w:r>
            <w:r>
              <w:rPr>
                <w:rFonts w:ascii="宋体" w:hAnsi="宋体"/>
                <w:color w:val="auto"/>
                <w:szCs w:val="21"/>
                <w:highlight w:val="none"/>
              </w:rPr>
              <w:t>”</w:t>
            </w:r>
            <w:r>
              <w:rPr>
                <w:rFonts w:hint="eastAsia" w:ascii="宋体" w:hAnsi="宋体"/>
                <w:color w:val="auto"/>
                <w:szCs w:val="21"/>
                <w:highlight w:val="none"/>
              </w:rPr>
              <w:t>）</w:t>
            </w:r>
          </w:p>
        </w:tc>
      </w:tr>
    </w:tbl>
    <w:p>
      <w:pPr>
        <w:shd w:val="clear" w:color="auto" w:fill="auto"/>
        <w:spacing w:line="360" w:lineRule="auto"/>
        <w:rPr>
          <w:rFonts w:hint="eastAsia" w:ascii="宋体" w:hAnsi="宋体"/>
          <w:color w:val="auto"/>
          <w:szCs w:val="21"/>
          <w:highlight w:val="none"/>
        </w:rPr>
      </w:pPr>
      <w:r>
        <w:rPr>
          <w:rFonts w:hint="eastAsia" w:ascii="宋体" w:hAnsi="宋体"/>
          <w:color w:val="auto"/>
          <w:szCs w:val="21"/>
          <w:highlight w:val="none"/>
        </w:rPr>
        <w:t>注：</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1.表格内容均需按要求填写并盖章，不得留空，</w:t>
      </w:r>
      <w:r>
        <w:rPr>
          <w:rFonts w:hint="eastAsia" w:ascii="宋体" w:hAnsi="宋体" w:cs="宋体"/>
          <w:b/>
          <w:bCs/>
          <w:color w:val="auto"/>
          <w:szCs w:val="21"/>
          <w:highlight w:val="none"/>
        </w:rPr>
        <w:t>否则按投标无效处理</w:t>
      </w:r>
      <w:r>
        <w:rPr>
          <w:rFonts w:hint="eastAsia" w:ascii="宋体" w:hAnsi="宋体" w:cs="宋体"/>
          <w:color w:val="auto"/>
          <w:szCs w:val="21"/>
          <w:highlight w:val="none"/>
        </w:rPr>
        <w:t>。</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2.如果招标文件需求为小于或大于某个数值标准时，投标文件承诺不得直接复制招标文件需求，投标文件承诺内容应当写明响应承诺的具体数值，</w:t>
      </w:r>
      <w:r>
        <w:rPr>
          <w:rFonts w:hint="eastAsia" w:ascii="宋体" w:hAnsi="宋体" w:cs="宋体"/>
          <w:b/>
          <w:bCs/>
          <w:color w:val="auto"/>
          <w:szCs w:val="21"/>
          <w:highlight w:val="none"/>
        </w:rPr>
        <w:t>否则按投标无效处理</w:t>
      </w:r>
      <w:r>
        <w:rPr>
          <w:rFonts w:hint="eastAsia" w:ascii="宋体" w:hAnsi="宋体" w:cs="宋体"/>
          <w:color w:val="auto"/>
          <w:szCs w:val="21"/>
          <w:highlight w:val="none"/>
        </w:rPr>
        <w:t>。如该采购需求属于不能明确具体数值的，采购人应在此采购需求的数值后标注◆号，对标注◆号的采购需求不适用上述“投标无效”条款。</w:t>
      </w:r>
    </w:p>
    <w:p>
      <w:pPr>
        <w:shd w:val="clear" w:color="auto" w:fill="auto"/>
        <w:spacing w:line="360" w:lineRule="auto"/>
        <w:rPr>
          <w:rFonts w:hint="eastAsia" w:ascii="宋体" w:hAnsi="宋体" w:cs="宋体"/>
          <w:color w:val="auto"/>
          <w:szCs w:val="21"/>
          <w:highlight w:val="none"/>
        </w:rPr>
      </w:pPr>
      <w:r>
        <w:rPr>
          <w:rFonts w:hint="eastAsia" w:ascii="宋体" w:hAnsi="宋体" w:cs="宋体"/>
          <w:color w:val="auto"/>
          <w:szCs w:val="21"/>
          <w:highlight w:val="none"/>
        </w:rPr>
        <w:t>3.当投标文件的服务内容低于招标文件要求时，投标人应当如实写明“负偏离”，</w:t>
      </w:r>
      <w:r>
        <w:rPr>
          <w:rFonts w:hint="eastAsia" w:ascii="宋体" w:hAnsi="宋体" w:cs="宋体"/>
          <w:b/>
          <w:bCs/>
          <w:color w:val="auto"/>
          <w:szCs w:val="21"/>
          <w:highlight w:val="none"/>
        </w:rPr>
        <w:t>否则视为虚假应标</w:t>
      </w:r>
      <w:r>
        <w:rPr>
          <w:rFonts w:hint="eastAsia" w:ascii="宋体" w:hAnsi="宋体" w:cs="宋体"/>
          <w:color w:val="auto"/>
          <w:szCs w:val="21"/>
          <w:highlight w:val="none"/>
        </w:rPr>
        <w:t>。</w:t>
      </w:r>
    </w:p>
    <w:p>
      <w:pPr>
        <w:shd w:val="clear" w:color="auto" w:fill="auto"/>
        <w:spacing w:line="360" w:lineRule="auto"/>
        <w:rPr>
          <w:rFonts w:hint="eastAsia" w:ascii="宋体" w:hAnsi="Courier New"/>
          <w:color w:val="auto"/>
          <w:szCs w:val="20"/>
          <w:highlight w:val="none"/>
        </w:rPr>
      </w:pPr>
      <w:r>
        <w:rPr>
          <w:rFonts w:hint="eastAsia" w:ascii="宋体" w:hAnsi="宋体" w:cs="宋体"/>
          <w:color w:val="auto"/>
          <w:szCs w:val="21"/>
          <w:highlight w:val="none"/>
        </w:rPr>
        <w:t>4.采购需求中带“▲”及“★”的条款，也要分别在本表“服务参数”、“所提供服务的内容”中标记。</w:t>
      </w:r>
    </w:p>
    <w:p>
      <w:pPr>
        <w:shd w:val="clear" w:color="auto" w:fill="auto"/>
        <w:snapToGrid w:val="0"/>
        <w:spacing w:line="360" w:lineRule="auto"/>
        <w:ind w:firstLine="5640" w:firstLineChars="2350"/>
        <w:rPr>
          <w:rFonts w:hint="eastAsia" w:ascii="仿宋_GB2312" w:hAnsi="仿宋" w:eastAsia="仿宋_GB2312" w:cs="仿宋_GB2312"/>
          <w:color w:val="auto"/>
          <w:kern w:val="0"/>
          <w:sz w:val="24"/>
          <w:highlight w:val="none"/>
          <w:lang w:val="zh-CN"/>
        </w:rPr>
      </w:pPr>
    </w:p>
    <w:p>
      <w:pPr>
        <w:shd w:val="clear" w:color="auto" w:fill="auto"/>
        <w:snapToGrid w:val="0"/>
        <w:spacing w:line="360" w:lineRule="auto"/>
        <w:ind w:firstLine="5640" w:firstLineChars="23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6120" w:firstLineChars="25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ind w:left="143" w:leftChars="68" w:firstLine="600" w:firstLineChars="200"/>
        <w:jc w:val="left"/>
        <w:rPr>
          <w:rFonts w:ascii="宋体" w:hAnsi="宋体"/>
          <w:color w:val="auto"/>
          <w:sz w:val="30"/>
          <w:szCs w:val="20"/>
          <w:highlight w:val="none"/>
        </w:rPr>
        <w:sectPr>
          <w:footerReference r:id="rId18" w:type="first"/>
          <w:headerReference r:id="rId15" w:type="default"/>
          <w:footerReference r:id="rId16" w:type="default"/>
          <w:footerReference r:id="rId17" w:type="even"/>
          <w:pgSz w:w="11911" w:h="16838"/>
          <w:pgMar w:top="1134" w:right="1134" w:bottom="1134" w:left="1134" w:header="720" w:footer="720" w:gutter="0"/>
          <w:cols w:space="720" w:num="1"/>
          <w:titlePg/>
          <w:docGrid w:linePitch="331" w:charSpace="0"/>
        </w:sectPr>
      </w:pPr>
    </w:p>
    <w:p>
      <w:pPr>
        <w:shd w:val="clear" w:color="auto" w:fill="auto"/>
        <w:snapToGrid w:val="0"/>
        <w:spacing w:before="120" w:beforeLines="50" w:after="50"/>
        <w:jc w:val="center"/>
        <w:rPr>
          <w:rFonts w:hint="eastAsia"/>
          <w:b/>
          <w:bCs/>
          <w:color w:val="auto"/>
          <w:sz w:val="30"/>
          <w:szCs w:val="30"/>
          <w:highlight w:val="none"/>
        </w:rPr>
      </w:pPr>
      <w:r>
        <w:rPr>
          <w:rFonts w:hint="eastAsia"/>
          <w:b/>
          <w:bCs/>
          <w:color w:val="auto"/>
          <w:sz w:val="30"/>
          <w:szCs w:val="30"/>
          <w:highlight w:val="none"/>
        </w:rPr>
        <w:t>二、项目实施和服务方案</w:t>
      </w:r>
    </w:p>
    <w:p>
      <w:pPr>
        <w:shd w:val="clear" w:color="auto" w:fill="auto"/>
        <w:autoSpaceDE w:val="0"/>
        <w:autoSpaceDN w:val="0"/>
        <w:spacing w:line="360" w:lineRule="auto"/>
        <w:jc w:val="center"/>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hd w:val="clear" w:color="auto" w:fill="auto"/>
        <w:rPr>
          <w:rFonts w:hint="eastAsia" w:ascii="仿宋_GB2312" w:hAnsi="仿宋" w:eastAsia="仿宋_GB2312" w:cs="仿宋_GB2312"/>
          <w:b/>
          <w:bCs/>
          <w:color w:val="auto"/>
          <w:kern w:val="0"/>
          <w:sz w:val="24"/>
          <w:highlight w:val="none"/>
          <w:lang w:val="zh-CN"/>
        </w:rPr>
      </w:pPr>
    </w:p>
    <w:p>
      <w:pPr>
        <w:shd w:val="clear" w:color="auto" w:fill="auto"/>
        <w:snapToGrid w:val="0"/>
        <w:spacing w:before="120" w:beforeLines="50" w:line="360" w:lineRule="auto"/>
        <w:ind w:right="480"/>
        <w:rPr>
          <w:rFonts w:hint="eastAsia" w:ascii="宋体" w:hAnsi="宋体"/>
          <w:color w:val="auto"/>
          <w:sz w:val="24"/>
          <w:highlight w:val="none"/>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pStyle w:val="14"/>
        <w:shd w:val="clear" w:color="auto" w:fill="auto"/>
        <w:rPr>
          <w:rFonts w:hint="eastAsia" w:ascii="仿宋_GB2312" w:hAnsi="仿宋" w:eastAsia="仿宋_GB2312" w:cs="仿宋_GB2312"/>
          <w:b/>
          <w:bCs/>
          <w:color w:val="auto"/>
          <w:kern w:val="0"/>
          <w:sz w:val="24"/>
          <w:highlight w:val="none"/>
          <w:lang w:val="zh-CN"/>
        </w:rPr>
      </w:pPr>
    </w:p>
    <w:p>
      <w:pPr>
        <w:shd w:val="clear" w:color="auto" w:fill="auto"/>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三、除招标文件规定必须提供以外，投标人需要说明的其他文件和说明</w:t>
      </w:r>
    </w:p>
    <w:p>
      <w:pPr>
        <w:shd w:val="clear" w:color="auto" w:fill="auto"/>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hd w:val="clear" w:color="auto" w:fill="auto"/>
        <w:snapToGrid w:val="0"/>
        <w:spacing w:before="120" w:beforeLines="50" w:after="50"/>
        <w:ind w:left="142"/>
        <w:jc w:val="center"/>
        <w:rPr>
          <w:rFonts w:hint="eastAsia" w:ascii="宋体" w:hAnsi="宋体"/>
          <w:b/>
          <w:color w:val="auto"/>
          <w:sz w:val="32"/>
          <w:szCs w:val="32"/>
          <w:highlight w:val="none"/>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autoSpaceDE w:val="0"/>
        <w:autoSpaceDN w:val="0"/>
        <w:spacing w:line="360" w:lineRule="auto"/>
        <w:ind w:firstLine="120"/>
        <w:rPr>
          <w:rFonts w:hint="eastAsia" w:ascii="仿宋_GB2312" w:hAnsi="仿宋" w:eastAsia="仿宋_GB2312" w:cs="仿宋_GB2312"/>
          <w:color w:val="auto"/>
          <w:sz w:val="24"/>
          <w:highlight w:val="none"/>
        </w:rPr>
      </w:pPr>
    </w:p>
    <w:p>
      <w:pPr>
        <w:shd w:val="clear" w:color="auto" w:fill="auto"/>
        <w:snapToGrid w:val="0"/>
        <w:spacing w:before="120" w:beforeLines="50" w:after="50"/>
        <w:jc w:val="center"/>
        <w:outlineLvl w:val="1"/>
        <w:rPr>
          <w:rFonts w:ascii="宋体" w:hAnsi="宋体"/>
          <w:b/>
          <w:bCs/>
          <w:color w:val="auto"/>
          <w:sz w:val="24"/>
          <w:highlight w:val="none"/>
        </w:rPr>
        <w:sectPr>
          <w:pgSz w:w="11911" w:h="16838"/>
          <w:pgMar w:top="1134" w:right="1134" w:bottom="1134" w:left="1134" w:header="720" w:footer="720" w:gutter="0"/>
          <w:cols w:space="720" w:num="1"/>
          <w:titlePg/>
          <w:docGrid w:linePitch="331" w:charSpace="0"/>
        </w:sectPr>
      </w:pPr>
    </w:p>
    <w:p>
      <w:pPr>
        <w:shd w:val="clear" w:color="auto" w:fill="auto"/>
        <w:jc w:val="center"/>
        <w:outlineLvl w:val="1"/>
        <w:rPr>
          <w:rFonts w:hint="eastAsia" w:ascii="宋体" w:hAnsi="宋体"/>
          <w:b/>
          <w:bCs/>
          <w:color w:val="auto"/>
          <w:sz w:val="28"/>
          <w:szCs w:val="28"/>
          <w:highlight w:val="none"/>
        </w:rPr>
      </w:pPr>
      <w:bookmarkStart w:id="357" w:name="_Toc177489474"/>
      <w:r>
        <w:rPr>
          <w:rFonts w:hint="eastAsia" w:ascii="宋体" w:hAnsi="宋体"/>
          <w:b/>
          <w:bCs/>
          <w:color w:val="auto"/>
          <w:sz w:val="28"/>
          <w:szCs w:val="28"/>
          <w:highlight w:val="none"/>
        </w:rPr>
        <w:t>第五节 报价文件格式</w:t>
      </w:r>
      <w:bookmarkEnd w:id="357"/>
    </w:p>
    <w:p>
      <w:pPr>
        <w:shd w:val="clear" w:color="auto" w:fill="auto"/>
        <w:snapToGrid w:val="0"/>
        <w:spacing w:before="120" w:beforeLines="50" w:after="50" w:line="400" w:lineRule="exact"/>
        <w:rPr>
          <w:rFonts w:hint="eastAsia" w:ascii="宋体" w:hAnsi="宋体"/>
          <w:bCs/>
          <w:color w:val="auto"/>
          <w:sz w:val="32"/>
          <w:szCs w:val="20"/>
          <w:highlight w:val="none"/>
        </w:rPr>
      </w:pPr>
      <w:r>
        <w:rPr>
          <w:rFonts w:hint="eastAsia" w:ascii="宋体" w:hAnsi="宋体"/>
          <w:color w:val="auto"/>
          <w:sz w:val="24"/>
          <w:highlight w:val="none"/>
        </w:rPr>
        <w:t xml:space="preserve">                                                            </w:t>
      </w:r>
      <w:r>
        <w:rPr>
          <w:rFonts w:hint="eastAsia" w:ascii="宋体" w:hAnsi="宋体"/>
          <w:bCs/>
          <w:color w:val="auto"/>
          <w:highlight w:val="none"/>
        </w:rPr>
        <w:t>电子投标文件</w:t>
      </w:r>
    </w:p>
    <w:p>
      <w:pPr>
        <w:shd w:val="clear" w:color="auto" w:fill="auto"/>
        <w:snapToGrid w:val="0"/>
        <w:spacing w:before="120" w:beforeLines="50" w:after="50" w:line="400" w:lineRule="exact"/>
        <w:jc w:val="center"/>
        <w:rPr>
          <w:rFonts w:hint="eastAsia" w:ascii="宋体" w:hAnsi="宋体"/>
          <w:bCs/>
          <w:color w:val="auto"/>
          <w:sz w:val="24"/>
          <w:szCs w:val="20"/>
          <w:highlight w:val="none"/>
        </w:rPr>
      </w:pPr>
    </w:p>
    <w:p>
      <w:pPr>
        <w:shd w:val="clear" w:color="auto" w:fill="auto"/>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报价文件（封面）</w:t>
      </w:r>
    </w:p>
    <w:p>
      <w:pPr>
        <w:shd w:val="clear" w:color="auto" w:fill="auto"/>
        <w:snapToGrid w:val="0"/>
        <w:spacing w:before="120" w:beforeLines="50" w:after="50" w:line="400" w:lineRule="exact"/>
        <w:rPr>
          <w:rFonts w:hint="eastAsia" w:ascii="宋体" w:hAnsi="宋体"/>
          <w:bCs/>
          <w:color w:val="auto"/>
          <w:sz w:val="24"/>
          <w:szCs w:val="20"/>
          <w:highlight w:val="none"/>
        </w:rPr>
      </w:pPr>
    </w:p>
    <w:p>
      <w:pPr>
        <w:shd w:val="clear" w:color="auto" w:fill="auto"/>
        <w:snapToGrid w:val="0"/>
        <w:spacing w:before="120" w:beforeLines="50" w:after="50" w:line="400" w:lineRule="exact"/>
        <w:rPr>
          <w:rFonts w:hint="eastAsia" w:ascii="宋体" w:hAnsi="宋体"/>
          <w:bCs/>
          <w:color w:val="auto"/>
          <w:sz w:val="24"/>
          <w:szCs w:val="20"/>
          <w:highlight w:val="none"/>
        </w:rPr>
      </w:pPr>
    </w:p>
    <w:p>
      <w:pPr>
        <w:shd w:val="clear" w:color="auto" w:fill="auto"/>
        <w:snapToGrid w:val="0"/>
        <w:spacing w:before="120" w:beforeLines="50" w:after="50" w:line="400" w:lineRule="exact"/>
        <w:rPr>
          <w:rFonts w:hint="eastAsia" w:ascii="宋体" w:hAnsi="宋体"/>
          <w:bCs/>
          <w:color w:val="auto"/>
          <w:sz w:val="24"/>
          <w:szCs w:val="20"/>
          <w:highlight w:val="none"/>
        </w:rPr>
      </w:pPr>
    </w:p>
    <w:p>
      <w:pPr>
        <w:shd w:val="clear" w:color="auto" w:fill="auto"/>
        <w:snapToGrid w:val="0"/>
        <w:spacing w:before="120" w:beforeLines="50" w:after="50" w:line="400" w:lineRule="exact"/>
        <w:rPr>
          <w:rFonts w:hint="eastAsia" w:ascii="宋体" w:hAnsi="宋体"/>
          <w:bCs/>
          <w:color w:val="auto"/>
          <w:sz w:val="24"/>
          <w:szCs w:val="20"/>
          <w:highlight w:val="none"/>
        </w:rPr>
      </w:pPr>
    </w:p>
    <w:p>
      <w:pPr>
        <w:shd w:val="clear" w:color="auto" w:fill="auto"/>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项目名称： </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p>
    <w:p>
      <w:pPr>
        <w:shd w:val="clear" w:color="auto" w:fill="auto"/>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 xml:space="preserve">项目编号： </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p>
    <w:p>
      <w:pPr>
        <w:shd w:val="clear" w:color="auto" w:fill="auto"/>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所投分标：</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p>
    <w:p>
      <w:pPr>
        <w:shd w:val="clear" w:color="auto" w:fill="auto"/>
        <w:snapToGrid w:val="0"/>
        <w:spacing w:before="120" w:beforeLines="50" w:after="50" w:line="400" w:lineRule="exact"/>
        <w:ind w:firstLine="360" w:firstLineChars="150"/>
        <w:rPr>
          <w:rFonts w:ascii="宋体" w:hAnsi="宋体"/>
          <w:bCs/>
          <w:color w:val="auto"/>
          <w:sz w:val="24"/>
          <w:highlight w:val="none"/>
        </w:rPr>
      </w:pPr>
      <w:r>
        <w:rPr>
          <w:rFonts w:hint="eastAsia" w:ascii="宋体" w:hAnsi="宋体"/>
          <w:bCs/>
          <w:color w:val="auto"/>
          <w:sz w:val="24"/>
          <w:highlight w:val="none"/>
        </w:rPr>
        <w:t>投标人名称：</w:t>
      </w: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p>
    <w:p>
      <w:pPr>
        <w:shd w:val="clear" w:color="auto" w:fill="auto"/>
        <w:snapToGrid w:val="0"/>
        <w:spacing w:before="120" w:beforeLines="50" w:after="50" w:line="400" w:lineRule="exact"/>
        <w:ind w:firstLine="360" w:firstLineChars="150"/>
        <w:rPr>
          <w:rFonts w:hint="eastAsia" w:ascii="宋体" w:hAnsi="宋体"/>
          <w:bCs/>
          <w:color w:val="auto"/>
          <w:sz w:val="24"/>
          <w:highlight w:val="none"/>
        </w:rPr>
      </w:pPr>
      <w:r>
        <w:rPr>
          <w:rFonts w:hint="eastAsia" w:ascii="宋体" w:hAnsi="宋体"/>
          <w:bCs/>
          <w:color w:val="auto"/>
          <w:sz w:val="24"/>
          <w:highlight w:val="none"/>
        </w:rPr>
        <w:t>投标人地址：</w:t>
      </w:r>
    </w:p>
    <w:p>
      <w:pPr>
        <w:shd w:val="clear" w:color="auto" w:fill="auto"/>
        <w:snapToGrid w:val="0"/>
        <w:spacing w:before="50" w:after="50" w:line="400" w:lineRule="exact"/>
        <w:ind w:firstLine="960" w:firstLineChars="400"/>
        <w:rPr>
          <w:rFonts w:hint="eastAsia" w:ascii="宋体" w:hAnsi="宋体"/>
          <w:bCs/>
          <w:color w:val="auto"/>
          <w:sz w:val="24"/>
          <w:highlight w:val="none"/>
        </w:rPr>
      </w:pPr>
    </w:p>
    <w:p>
      <w:pPr>
        <w:shd w:val="clear" w:color="auto" w:fill="auto"/>
        <w:snapToGrid w:val="0"/>
        <w:spacing w:line="360" w:lineRule="auto"/>
        <w:ind w:left="5626" w:leftChars="1736" w:hanging="1980" w:hangingChars="825"/>
        <w:rPr>
          <w:rFonts w:hint="eastAsia" w:ascii="仿宋_GB2312" w:hAnsi="仿宋" w:eastAsia="仿宋_GB2312" w:cs="仿宋_GB2312"/>
          <w:color w:val="auto"/>
          <w:kern w:val="0"/>
          <w:sz w:val="24"/>
          <w:highlight w:val="none"/>
        </w:rPr>
      </w:pPr>
      <w:r>
        <w:rPr>
          <w:rFonts w:hint="eastAsia" w:ascii="宋体" w:hAnsi="宋体"/>
          <w:color w:val="auto"/>
          <w:sz w:val="24"/>
          <w:highlight w:val="none"/>
        </w:rPr>
        <w:t xml:space="preserve">                                                      </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before="120" w:beforeLines="50" w:after="50" w:line="400" w:lineRule="exact"/>
        <w:rPr>
          <w:rFonts w:ascii="宋体" w:hAnsi="宋体"/>
          <w:color w:val="auto"/>
          <w:sz w:val="24"/>
          <w:highlight w:val="none"/>
        </w:rPr>
        <w:sectPr>
          <w:pgSz w:w="11911" w:h="16838"/>
          <w:pgMar w:top="1134" w:right="1134" w:bottom="1134" w:left="1134" w:header="720" w:footer="720" w:gutter="0"/>
          <w:cols w:space="720" w:num="1"/>
          <w:titlePg/>
          <w:docGrid w:linePitch="331" w:charSpace="0"/>
        </w:sectPr>
      </w:pPr>
    </w:p>
    <w:p>
      <w:pPr>
        <w:shd w:val="clear" w:color="auto" w:fill="auto"/>
        <w:rPr>
          <w:rFonts w:hint="eastAsia" w:ascii="宋体" w:hAnsi="宋体" w:cs="宋体"/>
          <w:color w:val="auto"/>
          <w:highlight w:val="none"/>
        </w:rPr>
      </w:pPr>
    </w:p>
    <w:p>
      <w:pPr>
        <w:shd w:val="clear" w:color="auto" w:fill="auto"/>
        <w:snapToGrid w:val="0"/>
        <w:spacing w:before="120" w:beforeLines="50" w:after="50"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报价文件目录</w:t>
      </w:r>
    </w:p>
    <w:p>
      <w:pPr>
        <w:shd w:val="clear" w:color="auto" w:fill="auto"/>
        <w:rPr>
          <w:rFonts w:hint="eastAsia" w:ascii="宋体" w:hAnsi="宋体" w:cs="宋体"/>
          <w:color w:val="auto"/>
          <w:highlight w:val="none"/>
        </w:rPr>
      </w:pPr>
    </w:p>
    <w:p>
      <w:pPr>
        <w:shd w:val="clear" w:color="auto" w:fill="auto"/>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一、投标函……………………………………………………………………………（页码）</w:t>
      </w:r>
    </w:p>
    <w:p>
      <w:pPr>
        <w:shd w:val="clear" w:color="auto" w:fill="auto"/>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二、开标一览表………………………………………………………………………（页码）</w:t>
      </w:r>
    </w:p>
    <w:p>
      <w:pPr>
        <w:shd w:val="clear" w:color="auto" w:fill="auto"/>
        <w:spacing w:line="360" w:lineRule="auto"/>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rPr>
        <w:t>三、投标人认为需要提供的其他文件和说明………………………………………（页码）</w:t>
      </w:r>
    </w:p>
    <w:p>
      <w:pPr>
        <w:shd w:val="clear" w:color="auto" w:fill="auto"/>
        <w:snapToGrid w:val="0"/>
        <w:spacing w:before="120" w:beforeLines="50" w:after="50" w:line="400" w:lineRule="exact"/>
        <w:ind w:firstLine="300" w:firstLineChars="100"/>
        <w:rPr>
          <w:rFonts w:ascii="宋体" w:hAnsi="宋体"/>
          <w:color w:val="auto"/>
          <w:sz w:val="30"/>
          <w:szCs w:val="20"/>
          <w:highlight w:val="none"/>
        </w:rPr>
        <w:sectPr>
          <w:pgSz w:w="11911" w:h="16838"/>
          <w:pgMar w:top="1134" w:right="1134" w:bottom="1134" w:left="1134" w:header="720" w:footer="720" w:gutter="0"/>
          <w:cols w:space="720" w:num="1"/>
          <w:titlePg/>
          <w:docGrid w:linePitch="331" w:charSpace="0"/>
        </w:sectPr>
      </w:pPr>
    </w:p>
    <w:p>
      <w:pPr>
        <w:shd w:val="clear" w:color="auto" w:fill="auto"/>
        <w:spacing w:line="500" w:lineRule="exact"/>
        <w:jc w:val="center"/>
        <w:rPr>
          <w:b/>
          <w:bCs/>
          <w:color w:val="auto"/>
          <w:sz w:val="30"/>
          <w:szCs w:val="30"/>
          <w:highlight w:val="none"/>
        </w:rPr>
      </w:pPr>
      <w:r>
        <w:rPr>
          <w:rFonts w:hint="eastAsia"/>
          <w:b/>
          <w:bCs/>
          <w:color w:val="auto"/>
          <w:sz w:val="30"/>
          <w:szCs w:val="30"/>
          <w:highlight w:val="none"/>
        </w:rPr>
        <w:t>一、投标函</w:t>
      </w:r>
    </w:p>
    <w:p>
      <w:pPr>
        <w:shd w:val="clear" w:color="auto" w:fill="auto"/>
        <w:spacing w:line="440" w:lineRule="exact"/>
        <w:ind w:firstLine="420" w:firstLineChars="200"/>
        <w:rPr>
          <w:rFonts w:hint="eastAsia"/>
          <w:color w:val="auto"/>
          <w:szCs w:val="20"/>
          <w:highlight w:val="none"/>
        </w:rPr>
      </w:pPr>
    </w:p>
    <w:p>
      <w:pPr>
        <w:shd w:val="clear" w:color="auto" w:fill="auto"/>
        <w:spacing w:line="440" w:lineRule="exact"/>
        <w:ind w:firstLine="420" w:firstLineChars="200"/>
        <w:rPr>
          <w:rFonts w:hint="eastAsia" w:ascii="宋体" w:hAnsi="Courier New"/>
          <w:color w:val="auto"/>
          <w:szCs w:val="20"/>
          <w:highlight w:val="none"/>
        </w:rPr>
      </w:pPr>
      <w:r>
        <w:rPr>
          <w:rFonts w:hint="eastAsia"/>
          <w:color w:val="auto"/>
          <w:szCs w:val="20"/>
          <w:highlight w:val="none"/>
        </w:rPr>
        <w:t>致：</w:t>
      </w:r>
      <w:r>
        <w:rPr>
          <w:color w:val="auto"/>
          <w:szCs w:val="20"/>
          <w:highlight w:val="none"/>
          <w:u w:val="single"/>
        </w:rPr>
        <w:t xml:space="preserve">                      </w:t>
      </w:r>
      <w:r>
        <w:rPr>
          <w:rFonts w:hint="eastAsia"/>
          <w:color w:val="auto"/>
          <w:szCs w:val="20"/>
          <w:highlight w:val="none"/>
        </w:rPr>
        <w:t>（采购代理机构名称）</w:t>
      </w:r>
    </w:p>
    <w:p>
      <w:pPr>
        <w:shd w:val="clear" w:color="auto" w:fill="auto"/>
        <w:spacing w:line="440" w:lineRule="exact"/>
        <w:ind w:firstLine="420" w:firstLineChars="200"/>
        <w:rPr>
          <w:rFonts w:ascii="宋体" w:hAnsi="Courier New"/>
          <w:color w:val="auto"/>
          <w:szCs w:val="20"/>
          <w:highlight w:val="none"/>
        </w:rPr>
      </w:pPr>
      <w:r>
        <w:rPr>
          <w:rFonts w:hint="eastAsia" w:ascii="宋体" w:hAnsi="Courier New"/>
          <w:color w:val="auto"/>
          <w:szCs w:val="20"/>
          <w:highlight w:val="none"/>
        </w:rPr>
        <w:t>我方已仔细阅读了贵方组织的</w:t>
      </w:r>
      <w:r>
        <w:rPr>
          <w:color w:val="auto"/>
          <w:szCs w:val="20"/>
          <w:highlight w:val="none"/>
          <w:u w:val="single"/>
        </w:rPr>
        <w:t xml:space="preserve">                    </w:t>
      </w:r>
      <w:r>
        <w:rPr>
          <w:rFonts w:hint="eastAsia" w:ascii="宋体" w:hAnsi="Courier New"/>
          <w:color w:val="auto"/>
          <w:szCs w:val="20"/>
          <w:highlight w:val="none"/>
        </w:rPr>
        <w:t>项目（项目编号：</w:t>
      </w:r>
      <w:r>
        <w:rPr>
          <w:rFonts w:hint="eastAsia" w:ascii="宋体" w:hAnsi="Courier New"/>
          <w:color w:val="auto"/>
          <w:szCs w:val="20"/>
          <w:highlight w:val="none"/>
          <w:u w:val="single"/>
        </w:rPr>
        <w:t xml:space="preserve">             </w:t>
      </w:r>
      <w:r>
        <w:rPr>
          <w:rFonts w:hint="eastAsia" w:ascii="宋体" w:hAnsi="Courier New"/>
          <w:color w:val="auto"/>
          <w:szCs w:val="20"/>
          <w:highlight w:val="none"/>
        </w:rPr>
        <w:t>）的招标文件的全部内容，授权</w:t>
      </w:r>
      <w:r>
        <w:rPr>
          <w:color w:val="auto"/>
          <w:szCs w:val="20"/>
          <w:highlight w:val="none"/>
          <w:u w:val="single"/>
        </w:rPr>
        <w:t xml:space="preserve">                      </w:t>
      </w:r>
      <w:r>
        <w:rPr>
          <w:rFonts w:hint="eastAsia" w:ascii="宋体" w:hAnsi="Courier New"/>
          <w:color w:val="auto"/>
          <w:szCs w:val="20"/>
          <w:highlight w:val="none"/>
        </w:rPr>
        <w:t>(全权代表姓名)</w:t>
      </w:r>
      <w:r>
        <w:rPr>
          <w:color w:val="auto"/>
          <w:szCs w:val="20"/>
          <w:highlight w:val="none"/>
          <w:u w:val="single"/>
        </w:rPr>
        <w:t xml:space="preserve">          </w:t>
      </w:r>
      <w:r>
        <w:rPr>
          <w:rFonts w:hint="eastAsia" w:ascii="宋体" w:hAnsi="Courier New"/>
          <w:color w:val="auto"/>
          <w:szCs w:val="20"/>
          <w:highlight w:val="none"/>
        </w:rPr>
        <w:t xml:space="preserve"> (职务、职称)为全权代表，现正式递交下述文件参加贵方组织的本次政府采购活动： </w:t>
      </w:r>
    </w:p>
    <w:p>
      <w:pPr>
        <w:shd w:val="clear" w:color="auto" w:fill="auto"/>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一、报价文件电子版（包含按投标人须知前附表要求提交的全部文件）；</w:t>
      </w:r>
    </w:p>
    <w:p>
      <w:pPr>
        <w:shd w:val="clear" w:color="auto" w:fill="auto"/>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二、资格文件电子版（包含按投标人须知前附表要求提交的全部文件）；</w:t>
      </w:r>
    </w:p>
    <w:p>
      <w:pPr>
        <w:shd w:val="clear" w:color="auto" w:fill="auto"/>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三、</w:t>
      </w:r>
      <w:r>
        <w:rPr>
          <w:rFonts w:hint="eastAsia" w:ascii="宋体" w:hAnsi="宋体"/>
          <w:color w:val="auto"/>
          <w:szCs w:val="20"/>
          <w:highlight w:val="none"/>
        </w:rPr>
        <w:t>技术</w:t>
      </w:r>
      <w:r>
        <w:rPr>
          <w:rFonts w:hint="eastAsia" w:ascii="宋体" w:hAnsi="Courier New"/>
          <w:color w:val="auto"/>
          <w:szCs w:val="20"/>
          <w:highlight w:val="none"/>
        </w:rPr>
        <w:t>文件电子版（包含按投标人须知前附表要求提交的全部文件）；</w:t>
      </w:r>
    </w:p>
    <w:p>
      <w:pPr>
        <w:shd w:val="clear" w:color="auto" w:fill="auto"/>
        <w:spacing w:line="440" w:lineRule="exact"/>
        <w:ind w:firstLine="482"/>
        <w:rPr>
          <w:rFonts w:hint="eastAsia" w:ascii="宋体" w:hAnsi="Courier New"/>
          <w:color w:val="auto"/>
          <w:szCs w:val="20"/>
          <w:highlight w:val="none"/>
        </w:rPr>
      </w:pPr>
      <w:r>
        <w:rPr>
          <w:rFonts w:hint="eastAsia" w:ascii="宋体" w:hAnsi="宋体"/>
          <w:color w:val="auto"/>
          <w:szCs w:val="20"/>
          <w:highlight w:val="none"/>
        </w:rPr>
        <w:t>四、</w:t>
      </w:r>
      <w:r>
        <w:rPr>
          <w:rFonts w:hint="eastAsia" w:ascii="宋体" w:hAnsi="Courier New"/>
          <w:color w:val="auto"/>
          <w:szCs w:val="20"/>
          <w:highlight w:val="none"/>
        </w:rPr>
        <w:t>商务</w:t>
      </w:r>
      <w:r>
        <w:rPr>
          <w:rFonts w:hint="eastAsia" w:ascii="宋体" w:hAnsi="宋体"/>
          <w:color w:val="auto"/>
          <w:szCs w:val="20"/>
          <w:highlight w:val="none"/>
        </w:rPr>
        <w:t>文件</w:t>
      </w:r>
      <w:r>
        <w:rPr>
          <w:rFonts w:hint="eastAsia" w:ascii="宋体" w:hAnsi="Courier New"/>
          <w:color w:val="auto"/>
          <w:szCs w:val="20"/>
          <w:highlight w:val="none"/>
        </w:rPr>
        <w:t>电子版（包含按投标人须知前附表要求提交的全部文件）；</w:t>
      </w:r>
    </w:p>
    <w:p>
      <w:pPr>
        <w:shd w:val="clear" w:color="auto" w:fill="auto"/>
        <w:spacing w:line="440" w:lineRule="exact"/>
        <w:ind w:firstLine="482"/>
        <w:rPr>
          <w:color w:val="auto"/>
          <w:szCs w:val="20"/>
          <w:highlight w:val="none"/>
        </w:rPr>
      </w:pPr>
      <w:r>
        <w:rPr>
          <w:rFonts w:hint="eastAsia" w:ascii="宋体" w:hAnsi="Courier New"/>
          <w:color w:val="auto"/>
          <w:szCs w:val="20"/>
          <w:highlight w:val="none"/>
        </w:rPr>
        <w:t>据此函，我方兹宣布：</w:t>
      </w:r>
    </w:p>
    <w:p>
      <w:pPr>
        <w:shd w:val="clear" w:color="auto" w:fill="auto"/>
        <w:spacing w:line="440" w:lineRule="exact"/>
        <w:ind w:firstLine="420" w:firstLineChars="200"/>
        <w:rPr>
          <w:color w:val="auto"/>
          <w:szCs w:val="20"/>
          <w:highlight w:val="none"/>
        </w:rPr>
      </w:pPr>
      <w:r>
        <w:rPr>
          <w:rFonts w:hint="eastAsia" w:ascii="宋体" w:hAnsi="Courier New"/>
          <w:color w:val="auto"/>
          <w:szCs w:val="20"/>
          <w:highlight w:val="none"/>
        </w:rPr>
        <w:t>1、我方愿意以（大写）人民币</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 (¥</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元)的投标总报价，</w:t>
      </w:r>
      <w:r>
        <w:rPr>
          <w:rFonts w:hint="eastAsia" w:ascii="宋体" w:hAnsi="宋体" w:cs="宋体"/>
          <w:bCs/>
          <w:color w:val="auto"/>
          <w:kern w:val="0"/>
          <w:szCs w:val="21"/>
          <w:highlight w:val="none"/>
        </w:rPr>
        <w:t>服务时间</w:t>
      </w:r>
      <w:r>
        <w:rPr>
          <w:rFonts w:hint="eastAsia" w:ascii="宋体" w:hAnsi="Courier New"/>
          <w:color w:val="auto"/>
          <w:szCs w:val="20"/>
          <w:highlight w:val="none"/>
        </w:rPr>
        <w:t>（无分标时填写）</w:t>
      </w:r>
      <w:r>
        <w:rPr>
          <w:rFonts w:hint="eastAsia" w:ascii="宋体" w:hAnsi="Courier New"/>
          <w:color w:val="auto"/>
          <w:szCs w:val="20"/>
          <w:highlight w:val="none"/>
          <w:u w:val="single"/>
        </w:rPr>
        <w:t xml:space="preserve">              </w:t>
      </w:r>
      <w:r>
        <w:rPr>
          <w:rFonts w:hint="eastAsia" w:ascii="宋体" w:hAnsi="Courier New"/>
          <w:color w:val="auto"/>
          <w:szCs w:val="20"/>
          <w:highlight w:val="none"/>
        </w:rPr>
        <w:t>，提供本项目</w:t>
      </w:r>
      <w:r>
        <w:rPr>
          <w:rFonts w:hint="eastAsia" w:ascii="宋体"/>
          <w:color w:val="auto"/>
          <w:szCs w:val="20"/>
          <w:highlight w:val="none"/>
        </w:rPr>
        <w:t>招标文件第二章</w:t>
      </w:r>
      <w:r>
        <w:rPr>
          <w:rFonts w:hint="eastAsia" w:ascii="宋体" w:hAnsi="Courier New"/>
          <w:color w:val="auto"/>
          <w:szCs w:val="20"/>
          <w:highlight w:val="none"/>
        </w:rPr>
        <w:t>“采购需求”中的相应的采购内容。</w:t>
      </w:r>
    </w:p>
    <w:p>
      <w:pPr>
        <w:shd w:val="clear" w:color="auto" w:fill="auto"/>
        <w:spacing w:line="440" w:lineRule="exact"/>
        <w:ind w:firstLine="420" w:firstLineChars="200"/>
        <w:rPr>
          <w:color w:val="auto"/>
          <w:szCs w:val="20"/>
          <w:highlight w:val="none"/>
        </w:rPr>
      </w:pPr>
      <w:r>
        <w:rPr>
          <w:rFonts w:hint="eastAsia" w:ascii="宋体" w:hAnsi="Courier New"/>
          <w:color w:val="auto"/>
          <w:szCs w:val="20"/>
          <w:highlight w:val="none"/>
        </w:rPr>
        <w:t>其中（有分标时填写）：</w:t>
      </w:r>
    </w:p>
    <w:p>
      <w:pPr>
        <w:shd w:val="clear" w:color="auto" w:fill="auto"/>
        <w:spacing w:line="360" w:lineRule="exact"/>
        <w:ind w:firstLine="420" w:firstLineChars="200"/>
        <w:rPr>
          <w:rFonts w:ascii="宋体" w:hAnsi="Courier New"/>
          <w:color w:val="auto"/>
          <w:szCs w:val="20"/>
          <w:highlight w:val="none"/>
          <w:u w:val="single"/>
        </w:rPr>
      </w:pPr>
      <w:r>
        <w:rPr>
          <w:rFonts w:hint="eastAsia" w:ascii="宋体" w:hAnsi="Courier New"/>
          <w:color w:val="auto"/>
          <w:szCs w:val="20"/>
          <w:highlight w:val="none"/>
          <w:u w:val="single"/>
        </w:rPr>
        <w:t xml:space="preserve">  </w:t>
      </w:r>
      <w:r>
        <w:rPr>
          <w:rFonts w:hint="eastAsia" w:ascii="宋体" w:hAnsi="Courier New"/>
          <w:color w:val="auto"/>
          <w:szCs w:val="20"/>
          <w:highlight w:val="none"/>
        </w:rPr>
        <w:t>分标报价为（大写）人民币</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 (¥</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w:t>
      </w:r>
      <w:r>
        <w:rPr>
          <w:rFonts w:hint="eastAsia" w:ascii="宋体" w:hAnsi="宋体" w:cs="宋体"/>
          <w:bCs/>
          <w:color w:val="auto"/>
          <w:kern w:val="0"/>
          <w:szCs w:val="21"/>
          <w:highlight w:val="none"/>
        </w:rPr>
        <w:t>服务时间</w:t>
      </w:r>
      <w:r>
        <w:rPr>
          <w:rFonts w:hint="eastAsia" w:ascii="宋体" w:hAnsi="Courier New"/>
          <w:color w:val="auto"/>
          <w:szCs w:val="20"/>
          <w:highlight w:val="none"/>
        </w:rPr>
        <w:t>：</w:t>
      </w:r>
      <w:r>
        <w:rPr>
          <w:rFonts w:hint="eastAsia" w:ascii="宋体" w:hAnsi="Courier New"/>
          <w:color w:val="auto"/>
          <w:szCs w:val="20"/>
          <w:highlight w:val="none"/>
          <w:u w:val="single"/>
        </w:rPr>
        <w:t xml:space="preserve">          </w:t>
      </w:r>
      <w:r>
        <w:rPr>
          <w:rFonts w:hint="eastAsia" w:ascii="宋体" w:hAnsi="Courier New"/>
          <w:color w:val="auto"/>
          <w:szCs w:val="20"/>
          <w:highlight w:val="none"/>
        </w:rPr>
        <w:t>；</w:t>
      </w:r>
    </w:p>
    <w:p>
      <w:pPr>
        <w:shd w:val="clear" w:color="auto" w:fill="auto"/>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u w:val="single"/>
        </w:rPr>
        <w:t xml:space="preserve">  </w:t>
      </w:r>
      <w:r>
        <w:rPr>
          <w:rFonts w:hint="eastAsia" w:ascii="宋体" w:hAnsi="Courier New"/>
          <w:color w:val="auto"/>
          <w:szCs w:val="20"/>
          <w:highlight w:val="none"/>
        </w:rPr>
        <w:t>分标报价为（大写）人民币</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 (¥</w:t>
      </w:r>
      <w:r>
        <w:rPr>
          <w:rFonts w:hint="eastAsia" w:ascii="宋体" w:hAnsi="Courier New"/>
          <w:color w:val="auto"/>
          <w:szCs w:val="20"/>
          <w:highlight w:val="none"/>
          <w:u w:val="single"/>
        </w:rPr>
        <w:t xml:space="preserve">          </w:t>
      </w:r>
      <w:r>
        <w:rPr>
          <w:rFonts w:hint="eastAsia" w:ascii="宋体" w:hAnsi="Courier New"/>
          <w:color w:val="auto"/>
          <w:szCs w:val="20"/>
          <w:highlight w:val="none"/>
        </w:rPr>
        <w:t>元)，</w:t>
      </w:r>
      <w:r>
        <w:rPr>
          <w:rFonts w:hint="eastAsia" w:ascii="宋体" w:hAnsi="宋体" w:cs="宋体"/>
          <w:bCs/>
          <w:color w:val="auto"/>
          <w:kern w:val="0"/>
          <w:szCs w:val="21"/>
          <w:highlight w:val="none"/>
        </w:rPr>
        <w:t>服务时间</w:t>
      </w:r>
      <w:r>
        <w:rPr>
          <w:rFonts w:hint="eastAsia" w:ascii="宋体" w:hAnsi="Courier New"/>
          <w:color w:val="auto"/>
          <w:szCs w:val="20"/>
          <w:highlight w:val="none"/>
        </w:rPr>
        <w:t>：</w:t>
      </w:r>
      <w:r>
        <w:rPr>
          <w:rFonts w:hint="eastAsia" w:ascii="宋体" w:hAnsi="Courier New"/>
          <w:color w:val="auto"/>
          <w:szCs w:val="20"/>
          <w:highlight w:val="none"/>
          <w:u w:val="single"/>
        </w:rPr>
        <w:t xml:space="preserve">          </w:t>
      </w:r>
      <w:r>
        <w:rPr>
          <w:rFonts w:hint="eastAsia" w:ascii="宋体" w:hAnsi="Courier New"/>
          <w:color w:val="auto"/>
          <w:szCs w:val="20"/>
          <w:highlight w:val="none"/>
        </w:rPr>
        <w:t>；</w:t>
      </w:r>
    </w:p>
    <w:p>
      <w:pPr>
        <w:shd w:val="clear" w:color="auto" w:fill="auto"/>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w:t>
      </w:r>
    </w:p>
    <w:p>
      <w:pPr>
        <w:shd w:val="clear" w:color="auto" w:fill="auto"/>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2、我方同意自本项目招标文件“第三章 投标人须知”第一节 投标人须知前附表 第21.1项规定的投标截止时间（开标时间）起遵循</w:t>
      </w:r>
      <w:r>
        <w:rPr>
          <w:rFonts w:hint="eastAsia" w:ascii="宋体" w:hAnsi="宋体"/>
          <w:color w:val="auto"/>
          <w:szCs w:val="20"/>
          <w:highlight w:val="none"/>
        </w:rPr>
        <w:t>本投标函</w:t>
      </w:r>
      <w:r>
        <w:rPr>
          <w:rFonts w:hint="eastAsia" w:ascii="宋体" w:hAnsi="Courier New"/>
          <w:color w:val="auto"/>
          <w:szCs w:val="20"/>
          <w:highlight w:val="none"/>
        </w:rPr>
        <w:t>，并承诺在“投标人须知前附表”第17.2项规定的投标有效期内不修改、撤销投标文件。</w:t>
      </w:r>
    </w:p>
    <w:p>
      <w:pPr>
        <w:shd w:val="clear" w:color="auto" w:fill="auto"/>
        <w:spacing w:line="360" w:lineRule="exact"/>
        <w:ind w:firstLine="420" w:firstLineChars="200"/>
        <w:rPr>
          <w:rFonts w:hint="eastAsia" w:ascii="宋体" w:hAnsi="Courier New"/>
          <w:color w:val="auto"/>
          <w:szCs w:val="20"/>
          <w:highlight w:val="none"/>
          <w:u w:val="single"/>
        </w:rPr>
      </w:pPr>
      <w:r>
        <w:rPr>
          <w:rFonts w:hint="eastAsia" w:ascii="宋体" w:hAnsi="Courier New"/>
          <w:color w:val="auto"/>
          <w:szCs w:val="20"/>
          <w:highlight w:val="none"/>
        </w:rPr>
        <w:t>3、我方所递交的投标文件及有关资料都是内容完整、真实和准确的。</w:t>
      </w:r>
    </w:p>
    <w:p>
      <w:pPr>
        <w:shd w:val="clear" w:color="auto" w:fill="auto"/>
        <w:spacing w:line="440" w:lineRule="exact"/>
        <w:ind w:firstLine="482"/>
        <w:rPr>
          <w:rFonts w:hint="eastAsia" w:ascii="宋体" w:hAnsi="Courier New"/>
          <w:color w:val="auto"/>
          <w:szCs w:val="20"/>
          <w:highlight w:val="none"/>
        </w:rPr>
      </w:pPr>
      <w:r>
        <w:rPr>
          <w:rFonts w:hint="eastAsia" w:ascii="宋体" w:hAnsi="Courier New"/>
          <w:color w:val="auto"/>
          <w:szCs w:val="20"/>
          <w:highlight w:val="none"/>
        </w:rPr>
        <w:t>4、</w:t>
      </w:r>
      <w:r>
        <w:rPr>
          <w:rFonts w:hint="eastAsia" w:ascii="宋体" w:hAnsi="Courier New"/>
          <w:color w:val="auto"/>
          <w:szCs w:val="21"/>
          <w:highlight w:val="none"/>
        </w:rPr>
        <w:t>如本项目采购内容涉及须符合国家强制规定的，我方承诺我方本次投标（包括资格条件和所投产品）均符合国家有关强制规定。</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5、如我方中标，我方承诺在收到中标通知书后，在中标通知书规定的期限内，</w:t>
      </w:r>
      <w:r>
        <w:rPr>
          <w:rFonts w:hint="eastAsia" w:ascii="宋体" w:hAnsi="宋体"/>
          <w:color w:val="auto"/>
          <w:szCs w:val="20"/>
          <w:highlight w:val="none"/>
        </w:rPr>
        <w:t>根据招标文件、我方的投标文件及有关澄清承诺书的要求按第五章“拟签订的合同文本”与采购人订立书面合同，并按照合同约定</w:t>
      </w:r>
      <w:r>
        <w:rPr>
          <w:rFonts w:hint="eastAsia" w:ascii="宋体" w:hAnsi="Courier New"/>
          <w:color w:val="auto"/>
          <w:szCs w:val="20"/>
          <w:highlight w:val="none"/>
        </w:rPr>
        <w:t>承担完成合同的责任和义务。</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6、我方已详细审核招标文件，我方知道必须放弃提出含糊不清或误解问题的权利。</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7、我方同意应贵方要求提供与本投标有关的任何数据或资料。若贵方需要，我方愿意提供我方作出的一切承诺的证明材料。</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8、我方完全理解贵方不一定接受投标报价最低的投标人为中标供应商的行为。</w:t>
      </w:r>
    </w:p>
    <w:p>
      <w:pPr>
        <w:shd w:val="clear" w:color="auto" w:fill="auto"/>
        <w:spacing w:line="440" w:lineRule="exact"/>
        <w:ind w:firstLine="420" w:firstLineChars="200"/>
        <w:rPr>
          <w:rFonts w:hint="eastAsia" w:ascii="宋体" w:hAnsi="Courier New"/>
          <w:color w:val="auto"/>
          <w:szCs w:val="20"/>
          <w:highlight w:val="none"/>
        </w:rPr>
      </w:pPr>
      <w:r>
        <w:rPr>
          <w:rFonts w:hint="eastAsia" w:ascii="宋体" w:hAnsi="Courier New"/>
          <w:color w:val="auto"/>
          <w:szCs w:val="20"/>
          <w:highlight w:val="none"/>
        </w:rPr>
        <w:t>9、我方将严格遵守《中华人民共和国政府采购法》第七十七条的规定，即供应商有下列情形之一的，处以采购金额千分之五以上千分之十</w:t>
      </w:r>
      <w:r>
        <w:rPr>
          <w:rFonts w:hint="eastAsia" w:ascii="宋体" w:hAnsi="宋体"/>
          <w:color w:val="auto"/>
          <w:szCs w:val="20"/>
          <w:highlight w:val="none"/>
        </w:rPr>
        <w:t>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
        </w:numPr>
        <w:shd w:val="clear" w:color="auto" w:fill="auto"/>
        <w:spacing w:line="440" w:lineRule="exact"/>
        <w:rPr>
          <w:rFonts w:hint="eastAsia" w:ascii="宋体" w:hAnsi="宋体"/>
          <w:color w:val="auto"/>
          <w:szCs w:val="20"/>
          <w:highlight w:val="none"/>
        </w:rPr>
      </w:pPr>
      <w:r>
        <w:rPr>
          <w:rFonts w:hint="eastAsia" w:ascii="宋体" w:hAnsi="宋体"/>
          <w:color w:val="auto"/>
          <w:szCs w:val="20"/>
          <w:highlight w:val="none"/>
        </w:rPr>
        <w:t>提供虚假材料谋取中标、成交的；</w:t>
      </w:r>
    </w:p>
    <w:p>
      <w:pPr>
        <w:numPr>
          <w:ilvl w:val="0"/>
          <w:numId w:val="5"/>
        </w:numPr>
        <w:shd w:val="clear" w:color="auto" w:fill="auto"/>
        <w:spacing w:line="440" w:lineRule="exact"/>
        <w:rPr>
          <w:rFonts w:hint="eastAsia" w:ascii="宋体" w:hAnsi="宋体"/>
          <w:color w:val="auto"/>
          <w:szCs w:val="20"/>
          <w:highlight w:val="none"/>
        </w:rPr>
      </w:pPr>
      <w:r>
        <w:rPr>
          <w:rFonts w:hint="eastAsia" w:ascii="宋体" w:hAnsi="宋体"/>
          <w:color w:val="auto"/>
          <w:szCs w:val="20"/>
          <w:highlight w:val="none"/>
        </w:rPr>
        <w:t>采取不正当手段诋毁、排挤其他供应商的；</w:t>
      </w:r>
    </w:p>
    <w:p>
      <w:pPr>
        <w:numPr>
          <w:ilvl w:val="0"/>
          <w:numId w:val="5"/>
        </w:numPr>
        <w:shd w:val="clear" w:color="auto" w:fill="auto"/>
        <w:spacing w:line="440" w:lineRule="exact"/>
        <w:rPr>
          <w:rFonts w:hint="eastAsia" w:ascii="宋体" w:hAnsi="Courier New"/>
          <w:color w:val="auto"/>
          <w:szCs w:val="20"/>
          <w:highlight w:val="none"/>
        </w:rPr>
      </w:pPr>
      <w:r>
        <w:rPr>
          <w:rFonts w:hint="eastAsia" w:ascii="宋体" w:hAnsi="宋体"/>
          <w:color w:val="auto"/>
          <w:szCs w:val="20"/>
          <w:highlight w:val="none"/>
        </w:rPr>
        <w:t>与采购人、其他供应商或者采购代理机构恶意串通的；</w:t>
      </w:r>
    </w:p>
    <w:p>
      <w:pPr>
        <w:numPr>
          <w:ilvl w:val="0"/>
          <w:numId w:val="5"/>
        </w:numPr>
        <w:shd w:val="clear" w:color="auto" w:fill="auto"/>
        <w:spacing w:line="440" w:lineRule="exact"/>
        <w:rPr>
          <w:rFonts w:hint="eastAsia" w:ascii="宋体" w:hAnsi="Courier New"/>
          <w:color w:val="auto"/>
          <w:szCs w:val="20"/>
          <w:highlight w:val="none"/>
        </w:rPr>
      </w:pPr>
      <w:r>
        <w:rPr>
          <w:rFonts w:hint="eastAsia" w:ascii="宋体" w:hAnsi="宋体"/>
          <w:color w:val="auto"/>
          <w:szCs w:val="20"/>
          <w:highlight w:val="none"/>
        </w:rPr>
        <w:t>向采购人、采购代理机构行贿或者提供其他不正当利益的；</w:t>
      </w:r>
    </w:p>
    <w:p>
      <w:pPr>
        <w:numPr>
          <w:ilvl w:val="0"/>
          <w:numId w:val="5"/>
        </w:numPr>
        <w:shd w:val="clear" w:color="auto" w:fill="auto"/>
        <w:spacing w:line="440" w:lineRule="exact"/>
        <w:rPr>
          <w:rFonts w:hint="eastAsia" w:ascii="宋体" w:hAnsi="Courier New"/>
          <w:color w:val="auto"/>
          <w:szCs w:val="20"/>
          <w:highlight w:val="none"/>
        </w:rPr>
      </w:pPr>
      <w:r>
        <w:rPr>
          <w:rFonts w:hint="eastAsia" w:ascii="宋体" w:hAnsi="宋体"/>
          <w:color w:val="auto"/>
          <w:szCs w:val="20"/>
          <w:highlight w:val="none"/>
        </w:rPr>
        <w:t>在招标采购过程中与采购人进行协商谈判的；</w:t>
      </w:r>
    </w:p>
    <w:p>
      <w:pPr>
        <w:numPr>
          <w:ilvl w:val="0"/>
          <w:numId w:val="5"/>
        </w:numPr>
        <w:shd w:val="clear" w:color="auto" w:fill="auto"/>
        <w:spacing w:line="440" w:lineRule="exact"/>
        <w:rPr>
          <w:rFonts w:hint="eastAsia" w:ascii="宋体" w:hAnsi="Courier New"/>
          <w:color w:val="auto"/>
          <w:szCs w:val="20"/>
          <w:highlight w:val="none"/>
        </w:rPr>
      </w:pPr>
      <w:r>
        <w:rPr>
          <w:rFonts w:hint="eastAsia" w:ascii="宋体" w:hAnsi="宋体"/>
          <w:color w:val="auto"/>
          <w:szCs w:val="20"/>
          <w:highlight w:val="none"/>
        </w:rPr>
        <w:t>拒绝有关部门监督检查或提供虚假情况的。</w:t>
      </w:r>
    </w:p>
    <w:p>
      <w:pPr>
        <w:shd w:val="clear" w:color="auto" w:fill="auto"/>
        <w:spacing w:line="440" w:lineRule="exact"/>
        <w:ind w:left="420"/>
        <w:rPr>
          <w:rFonts w:hint="eastAsia" w:ascii="宋体" w:hAnsi="Courier New"/>
          <w:color w:val="auto"/>
          <w:szCs w:val="20"/>
          <w:highlight w:val="none"/>
        </w:rPr>
      </w:pPr>
      <w:r>
        <w:rPr>
          <w:rFonts w:hint="eastAsia" w:ascii="宋体" w:hAnsi="Courier New"/>
          <w:color w:val="auto"/>
          <w:szCs w:val="20"/>
          <w:highlight w:val="none"/>
        </w:rPr>
        <w:t>10、我方及由本人担任法定代表人的其他机构最近三年内被处罚的违法行为有：</w:t>
      </w:r>
      <w:r>
        <w:rPr>
          <w:rFonts w:hint="eastAsia" w:ascii="宋体" w:hAnsi="Courier New"/>
          <w:color w:val="auto"/>
          <w:szCs w:val="20"/>
          <w:highlight w:val="none"/>
          <w:u w:val="single"/>
        </w:rPr>
        <w:t xml:space="preserve">                  </w:t>
      </w:r>
    </w:p>
    <w:p>
      <w:pPr>
        <w:shd w:val="clear" w:color="auto" w:fill="auto"/>
        <w:spacing w:line="440" w:lineRule="exact"/>
        <w:ind w:left="420"/>
        <w:rPr>
          <w:rFonts w:hint="eastAsia" w:ascii="宋体" w:hAnsi="Courier New"/>
          <w:color w:val="auto"/>
          <w:szCs w:val="20"/>
          <w:highlight w:val="none"/>
        </w:rPr>
      </w:pP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11、以上事项如有虚假或隐瞒，我方愿意承担一切后果，并不再寻求任何旨在减轻或免除法律责任的辩解。</w:t>
      </w:r>
    </w:p>
    <w:p>
      <w:pPr>
        <w:shd w:val="clear" w:color="auto" w:fill="auto"/>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12、与本投标有关的一切正式往来信函请寄：</w:t>
      </w:r>
    </w:p>
    <w:p>
      <w:pPr>
        <w:shd w:val="clear" w:color="auto" w:fill="auto"/>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地址：</w:t>
      </w:r>
      <w:r>
        <w:rPr>
          <w:rFonts w:hint="eastAsia" w:ascii="宋体" w:hAnsi="Courier New"/>
          <w:color w:val="auto"/>
          <w:szCs w:val="20"/>
          <w:highlight w:val="none"/>
          <w:u w:val="single"/>
        </w:rPr>
        <w:t xml:space="preserve">                                                        </w:t>
      </w:r>
      <w:r>
        <w:rPr>
          <w:rFonts w:hint="eastAsia" w:ascii="宋体" w:hAnsi="Courier New"/>
          <w:color w:val="auto"/>
          <w:szCs w:val="20"/>
          <w:highlight w:val="none"/>
        </w:rPr>
        <w:t xml:space="preserve">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电话：</w:t>
      </w: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rPr>
      </w:pPr>
      <w:r>
        <w:rPr>
          <w:rFonts w:hint="eastAsia" w:ascii="宋体" w:hAnsi="Courier New"/>
          <w:color w:val="auto"/>
          <w:szCs w:val="20"/>
          <w:highlight w:val="none"/>
        </w:rPr>
        <w:t>传真：</w:t>
      </w:r>
      <w:r>
        <w:rPr>
          <w:rFonts w:hint="eastAsia" w:ascii="宋体" w:hAnsi="Courier New"/>
          <w:color w:val="auto"/>
          <w:szCs w:val="20"/>
          <w:highlight w:val="none"/>
          <w:u w:val="single"/>
        </w:rPr>
        <w:t>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邮政编码：</w:t>
      </w: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开户名称：</w:t>
      </w: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开户银行：</w:t>
      </w:r>
      <w:r>
        <w:rPr>
          <w:rFonts w:hint="eastAsia" w:ascii="宋体" w:hAnsi="Courier New"/>
          <w:color w:val="auto"/>
          <w:szCs w:val="20"/>
          <w:highlight w:val="none"/>
          <w:u w:val="single"/>
        </w:rPr>
        <w:t xml:space="preserve">                                                    </w:t>
      </w:r>
    </w:p>
    <w:p>
      <w:pPr>
        <w:shd w:val="clear" w:color="auto" w:fill="auto"/>
        <w:spacing w:line="360" w:lineRule="auto"/>
        <w:ind w:firstLine="420"/>
        <w:rPr>
          <w:rFonts w:hint="eastAsia" w:ascii="宋体" w:hAnsi="Courier New"/>
          <w:color w:val="auto"/>
          <w:szCs w:val="20"/>
          <w:highlight w:val="none"/>
          <w:u w:val="single"/>
        </w:rPr>
      </w:pPr>
      <w:r>
        <w:rPr>
          <w:rFonts w:hint="eastAsia" w:ascii="宋体" w:hAnsi="Courier New"/>
          <w:color w:val="auto"/>
          <w:szCs w:val="20"/>
          <w:highlight w:val="none"/>
        </w:rPr>
        <w:t>银行账号：</w:t>
      </w:r>
      <w:r>
        <w:rPr>
          <w:rFonts w:hint="eastAsia" w:ascii="宋体" w:hAnsi="Courier New"/>
          <w:color w:val="auto"/>
          <w:szCs w:val="20"/>
          <w:highlight w:val="none"/>
          <w:u w:val="single"/>
        </w:rPr>
        <w:t xml:space="preserve">                                                    </w:t>
      </w: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lang w:val="zh-CN"/>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snapToGrid w:val="0"/>
        <w:spacing w:line="360" w:lineRule="auto"/>
        <w:ind w:firstLine="5160" w:firstLineChars="2150"/>
        <w:rPr>
          <w:rFonts w:ascii="仿宋_GB2312" w:hAnsi="仿宋" w:eastAsia="仿宋_GB2312" w:cs="仿宋_GB2312"/>
          <w:color w:val="auto"/>
          <w:kern w:val="0"/>
          <w:sz w:val="24"/>
          <w:highlight w:val="none"/>
          <w:lang w:val="zh-CN"/>
        </w:rPr>
        <w:sectPr>
          <w:pgSz w:w="11911" w:h="16838"/>
          <w:pgMar w:top="1134" w:right="1134" w:bottom="1134" w:left="1134" w:header="720" w:footer="720" w:gutter="0"/>
          <w:cols w:space="720" w:num="1"/>
          <w:titlePg/>
          <w:docGrid w:linePitch="331" w:charSpace="0"/>
        </w:sectPr>
      </w:pPr>
    </w:p>
    <w:p>
      <w:pPr>
        <w:shd w:val="clear" w:color="auto" w:fill="auto"/>
        <w:spacing w:line="360" w:lineRule="auto"/>
        <w:jc w:val="center"/>
        <w:rPr>
          <w:rFonts w:hint="eastAsia" w:ascii="宋体" w:hAnsi="Courier New"/>
          <w:b/>
          <w:color w:val="auto"/>
          <w:sz w:val="30"/>
          <w:szCs w:val="30"/>
          <w:highlight w:val="none"/>
        </w:rPr>
      </w:pPr>
      <w:r>
        <w:rPr>
          <w:rFonts w:hint="eastAsia" w:ascii="宋体" w:hAnsi="宋体"/>
          <w:color w:val="auto"/>
          <w:sz w:val="30"/>
          <w:szCs w:val="20"/>
          <w:highlight w:val="none"/>
        </w:rPr>
        <w:t>二、</w:t>
      </w:r>
      <w:r>
        <w:rPr>
          <w:rFonts w:hint="eastAsia" w:ascii="宋体" w:hAnsi="Courier New"/>
          <w:b/>
          <w:color w:val="auto"/>
          <w:sz w:val="30"/>
          <w:szCs w:val="30"/>
          <w:highlight w:val="none"/>
        </w:rPr>
        <w:t>开标一览表</w:t>
      </w:r>
      <w:r>
        <w:rPr>
          <w:rFonts w:hint="eastAsia" w:ascii="仿宋_GB2312" w:hAnsi="仿宋" w:eastAsia="仿宋_GB2312" w:cs="仿宋_GB2312"/>
          <w:b/>
          <w:color w:val="auto"/>
          <w:kern w:val="0"/>
          <w:sz w:val="24"/>
          <w:szCs w:val="20"/>
          <w:highlight w:val="none"/>
          <w:lang w:val="zh-CN"/>
        </w:rPr>
        <w:t>(单位均为人民币元)</w:t>
      </w:r>
    </w:p>
    <w:p>
      <w:pPr>
        <w:shd w:val="clear" w:color="auto" w:fill="auto"/>
        <w:snapToGrid w:val="0"/>
        <w:spacing w:before="50" w:after="50" w:line="360" w:lineRule="auto"/>
        <w:rPr>
          <w:rFonts w:ascii="宋体" w:hAnsi="宋体"/>
          <w:color w:val="auto"/>
          <w:sz w:val="24"/>
          <w:highlight w:val="none"/>
        </w:rPr>
      </w:pPr>
      <w:r>
        <w:rPr>
          <w:rFonts w:hint="eastAsia" w:ascii="宋体" w:hAnsi="宋体"/>
          <w:color w:val="auto"/>
          <w:sz w:val="24"/>
          <w:highlight w:val="none"/>
        </w:rPr>
        <w:t>项目名称：</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p>
    <w:p>
      <w:pPr>
        <w:shd w:val="clear" w:color="auto" w:fill="auto"/>
        <w:snapToGrid w:val="0"/>
        <w:spacing w:before="50" w:after="50" w:line="360" w:lineRule="auto"/>
        <w:rPr>
          <w:rFonts w:hint="eastAsia" w:ascii="宋体" w:hAnsi="宋体"/>
          <w:color w:val="auto"/>
          <w:sz w:val="24"/>
          <w:highlight w:val="none"/>
          <w:u w:val="single"/>
        </w:rPr>
      </w:pPr>
      <w:r>
        <w:rPr>
          <w:rFonts w:hint="eastAsia" w:ascii="宋体" w:hAnsi="宋体"/>
          <w:color w:val="auto"/>
          <w:sz w:val="24"/>
          <w:highlight w:val="none"/>
        </w:rPr>
        <w:t>项目编号：</w:t>
      </w:r>
      <w:r>
        <w:rPr>
          <w:rFonts w:hint="eastAsia" w:ascii="宋体" w:hAnsi="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u w:val="single"/>
        </w:rPr>
        <w:t xml:space="preserve">   </w:t>
      </w:r>
    </w:p>
    <w:p>
      <w:pPr>
        <w:shd w:val="clear" w:color="auto" w:fill="auto"/>
        <w:spacing w:line="360" w:lineRule="auto"/>
        <w:rPr>
          <w:rFonts w:hint="eastAsia" w:ascii="宋体" w:hAnsi="Courier New"/>
          <w:b/>
          <w:color w:val="auto"/>
          <w:sz w:val="32"/>
          <w:szCs w:val="20"/>
          <w:highlight w:val="none"/>
        </w:rPr>
      </w:pPr>
      <w:r>
        <w:rPr>
          <w:rFonts w:hint="eastAsia" w:ascii="宋体" w:hAnsi="宋体"/>
          <w:color w:val="auto"/>
          <w:sz w:val="24"/>
          <w:szCs w:val="20"/>
          <w:highlight w:val="none"/>
        </w:rPr>
        <w:t>投标人名称：</w:t>
      </w:r>
      <w:r>
        <w:rPr>
          <w:rFonts w:hint="eastAsia" w:ascii="宋体" w:hAnsi="宋体"/>
          <w:color w:val="auto"/>
          <w:sz w:val="24"/>
          <w:szCs w:val="20"/>
          <w:highlight w:val="none"/>
          <w:u w:val="single"/>
        </w:rPr>
        <w:t xml:space="preserve">                </w:t>
      </w:r>
    </w:p>
    <w:tbl>
      <w:tblPr>
        <w:tblStyle w:val="35"/>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092"/>
        <w:gridCol w:w="2232"/>
        <w:gridCol w:w="1080"/>
        <w:gridCol w:w="1260"/>
        <w:gridCol w:w="2473"/>
        <w:gridCol w:w="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序号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标的名称</w:t>
            </w:r>
          </w:p>
        </w:tc>
        <w:tc>
          <w:tcPr>
            <w:tcW w:w="22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olor w:val="auto"/>
                <w:szCs w:val="22"/>
                <w:highlight w:val="none"/>
              </w:rPr>
            </w:pPr>
            <w:r>
              <w:rPr>
                <w:rFonts w:hint="eastAsia" w:ascii="宋体" w:hAnsi="宋体"/>
                <w:color w:val="auto"/>
                <w:szCs w:val="22"/>
                <w:highlight w:val="none"/>
              </w:rPr>
              <w:t>服务参数</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olor w:val="auto"/>
                <w:szCs w:val="22"/>
                <w:highlight w:val="none"/>
              </w:rPr>
            </w:pPr>
            <w:r>
              <w:rPr>
                <w:rFonts w:hint="eastAsia" w:ascii="宋体" w:hAnsi="宋体"/>
                <w:color w:val="auto"/>
                <w:szCs w:val="22"/>
                <w:highlight w:val="none"/>
              </w:rPr>
              <w:t>数量①</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olor w:val="auto"/>
                <w:szCs w:val="22"/>
                <w:highlight w:val="none"/>
              </w:rPr>
            </w:pPr>
            <w:r>
              <w:rPr>
                <w:rFonts w:hint="eastAsia" w:ascii="宋体" w:hAnsi="宋体"/>
                <w:color w:val="auto"/>
                <w:szCs w:val="22"/>
                <w:highlight w:val="none"/>
              </w:rPr>
              <w:t>单价(元)②</w:t>
            </w:r>
          </w:p>
        </w:tc>
        <w:tc>
          <w:tcPr>
            <w:tcW w:w="247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jc w:val="center"/>
              <w:rPr>
                <w:rFonts w:hint="eastAsia" w:ascii="宋体" w:hAnsi="宋体"/>
                <w:color w:val="auto"/>
                <w:szCs w:val="22"/>
                <w:highlight w:val="none"/>
              </w:rPr>
            </w:pPr>
            <w:r>
              <w:rPr>
                <w:rFonts w:hint="eastAsia" w:ascii="宋体" w:hAnsi="宋体"/>
                <w:color w:val="auto"/>
                <w:szCs w:val="22"/>
                <w:highlight w:val="none"/>
              </w:rPr>
              <w:t>单项合价（元）</w:t>
            </w:r>
          </w:p>
          <w:p>
            <w:pPr>
              <w:shd w:val="clear" w:color="auto" w:fill="auto"/>
              <w:spacing w:line="360" w:lineRule="auto"/>
              <w:jc w:val="center"/>
              <w:rPr>
                <w:rFonts w:hint="eastAsia" w:ascii="宋体" w:hAnsi="宋体"/>
                <w:color w:val="auto"/>
                <w:szCs w:val="22"/>
                <w:highlight w:val="none"/>
              </w:rPr>
            </w:pPr>
            <w:r>
              <w:rPr>
                <w:rFonts w:hint="eastAsia" w:ascii="宋体" w:hAnsi="宋体"/>
                <w:color w:val="auto"/>
                <w:szCs w:val="22"/>
                <w:highlight w:val="none"/>
              </w:rPr>
              <w:t>③＝①×②</w:t>
            </w: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1</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2</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r>
              <w:rPr>
                <w:rFonts w:hint="eastAsia" w:ascii="宋体" w:hAnsi="宋体"/>
                <w:color w:val="auto"/>
                <w:szCs w:val="22"/>
                <w:highlight w:val="none"/>
              </w:rPr>
              <w:t>...</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232"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2473"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c>
          <w:tcPr>
            <w:tcW w:w="957" w:type="dxa"/>
            <w:tcBorders>
              <w:top w:val="single" w:color="auto" w:sz="4" w:space="0"/>
              <w:left w:val="single" w:color="auto" w:sz="4" w:space="0"/>
              <w:bottom w:val="single" w:color="auto" w:sz="4" w:space="0"/>
              <w:right w:val="single" w:color="auto" w:sz="4" w:space="0"/>
            </w:tcBorders>
            <w:noWrap w:val="0"/>
            <w:vAlign w:val="center"/>
          </w:tcPr>
          <w:p>
            <w:pPr>
              <w:shd w:val="clear" w:color="auto" w:fill="auto"/>
              <w:rPr>
                <w:rFonts w:hint="eastAsia" w:ascii="宋体" w:hAnsi="宋体"/>
                <w:color w:val="auto"/>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shd w:val="clear" w:color="auto" w:fill="auto"/>
              <w:jc w:val="left"/>
              <w:rPr>
                <w:rFonts w:hint="eastAsia" w:ascii="宋体" w:hAnsi="宋体"/>
                <w:color w:val="auto"/>
                <w:szCs w:val="22"/>
                <w:highlight w:val="none"/>
              </w:rPr>
            </w:pPr>
            <w:r>
              <w:rPr>
                <w:rFonts w:hint="eastAsia" w:ascii="宋体" w:hAnsi="宋体"/>
                <w:color w:val="auto"/>
                <w:szCs w:val="21"/>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3" w:type="dxa"/>
            <w:gridSpan w:val="7"/>
            <w:tcBorders>
              <w:top w:val="single" w:color="auto" w:sz="4" w:space="0"/>
              <w:left w:val="single" w:color="auto" w:sz="4" w:space="0"/>
              <w:bottom w:val="single" w:color="auto" w:sz="4" w:space="0"/>
              <w:right w:val="single" w:color="auto" w:sz="4" w:space="0"/>
            </w:tcBorders>
            <w:noWrap w:val="0"/>
            <w:vAlign w:val="top"/>
          </w:tcPr>
          <w:p>
            <w:pPr>
              <w:shd w:val="clear" w:color="auto" w:fill="auto"/>
              <w:rPr>
                <w:rFonts w:hint="eastAsia" w:ascii="宋体" w:hAnsi="宋体"/>
                <w:color w:val="auto"/>
                <w:szCs w:val="22"/>
                <w:highlight w:val="none"/>
              </w:rPr>
            </w:pPr>
            <w:r>
              <w:rPr>
                <w:rFonts w:hint="eastAsia" w:ascii="宋体" w:hAnsi="宋体"/>
                <w:color w:val="auto"/>
                <w:szCs w:val="21"/>
                <w:highlight w:val="none"/>
                <w:u w:val="single"/>
              </w:rPr>
              <w:t>　　</w:t>
            </w:r>
            <w:r>
              <w:rPr>
                <w:rFonts w:hint="eastAsia" w:ascii="宋体" w:hAnsi="宋体"/>
                <w:color w:val="auto"/>
                <w:szCs w:val="21"/>
                <w:highlight w:val="none"/>
              </w:rPr>
              <w:t>分标（此处有分标时填写具体分标号，无分标时填写“无”）</w:t>
            </w:r>
          </w:p>
        </w:tc>
      </w:tr>
    </w:tbl>
    <w:p>
      <w:pPr>
        <w:shd w:val="clear" w:color="auto" w:fill="auto"/>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 xml:space="preserve">注： </w:t>
      </w:r>
    </w:p>
    <w:p>
      <w:pPr>
        <w:shd w:val="clear" w:color="auto" w:fill="auto"/>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1、 投标人需按本表格式填写，不得自行更改，也不得留空, 如有多分标，按分标分别提供开标一览表，必须加盖投标人有效电子公章，</w:t>
      </w:r>
      <w:r>
        <w:rPr>
          <w:rFonts w:hint="eastAsia" w:ascii="仿宋_GB2312" w:hAnsi="仿宋" w:eastAsia="仿宋_GB2312" w:cs="仿宋_GB2312"/>
          <w:b/>
          <w:color w:val="auto"/>
          <w:kern w:val="0"/>
          <w:sz w:val="24"/>
          <w:highlight w:val="none"/>
          <w:lang w:val="zh-CN"/>
        </w:rPr>
        <w:t>否则其投标作无效标处理。</w:t>
      </w:r>
    </w:p>
    <w:p>
      <w:pPr>
        <w:shd w:val="clear" w:color="auto" w:fill="auto"/>
        <w:snapToGrid w:val="0"/>
        <w:spacing w:before="50" w:after="50"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2、本表内容均不能涂改，</w:t>
      </w:r>
      <w:r>
        <w:rPr>
          <w:rFonts w:hint="eastAsia" w:ascii="仿宋_GB2312" w:hAnsi="仿宋" w:eastAsia="仿宋_GB2312" w:cs="仿宋_GB2312"/>
          <w:b/>
          <w:color w:val="auto"/>
          <w:kern w:val="0"/>
          <w:sz w:val="24"/>
          <w:highlight w:val="none"/>
          <w:lang w:val="zh-CN"/>
        </w:rPr>
        <w:t>否则其投标作无效标处理。</w:t>
      </w:r>
    </w:p>
    <w:p>
      <w:pPr>
        <w:shd w:val="clear" w:color="auto" w:fill="auto"/>
        <w:snapToGrid w:val="0"/>
        <w:spacing w:before="50" w:after="50" w:line="360" w:lineRule="auto"/>
        <w:ind w:firstLine="480" w:firstLineChars="200"/>
        <w:jc w:val="left"/>
        <w:rPr>
          <w:rFonts w:hint="eastAsia" w:ascii="仿宋_GB2312" w:hAnsi="仿宋" w:eastAsia="仿宋_GB2312" w:cs="仿宋_GB2312"/>
          <w:b/>
          <w:color w:val="auto"/>
          <w:kern w:val="0"/>
          <w:sz w:val="24"/>
          <w:highlight w:val="none"/>
          <w:lang w:val="zh-CN"/>
        </w:rPr>
      </w:pPr>
      <w:r>
        <w:rPr>
          <w:rFonts w:hint="eastAsia" w:ascii="仿宋_GB2312" w:hAnsi="仿宋" w:eastAsia="仿宋_GB2312" w:cs="仿宋_GB2312"/>
          <w:color w:val="auto"/>
          <w:kern w:val="0"/>
          <w:sz w:val="24"/>
          <w:highlight w:val="none"/>
          <w:lang w:val="zh-CN"/>
        </w:rPr>
        <w:t>3、如为联合体投标，“投标人名称”处必须列明联合体各方名称，并标注联合体牵头人名称，且盖章处须加盖联合体各方公章，</w:t>
      </w:r>
      <w:r>
        <w:rPr>
          <w:rFonts w:hint="eastAsia" w:ascii="仿宋_GB2312" w:hAnsi="仿宋" w:eastAsia="仿宋_GB2312" w:cs="仿宋_GB2312"/>
          <w:b/>
          <w:color w:val="auto"/>
          <w:kern w:val="0"/>
          <w:sz w:val="24"/>
          <w:highlight w:val="none"/>
          <w:lang w:val="zh-CN"/>
        </w:rPr>
        <w:t>否则其投标作无效标处理。</w:t>
      </w:r>
    </w:p>
    <w:p>
      <w:pPr>
        <w:shd w:val="clear" w:color="auto" w:fill="auto"/>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4、以上表格要求细分项目及报价，在“具体服务内容”一栏中，填写具体服务范围、服务时间、服务标准，</w:t>
      </w:r>
      <w:r>
        <w:rPr>
          <w:rFonts w:hint="eastAsia" w:ascii="仿宋_GB2312" w:hAnsi="仿宋" w:eastAsia="仿宋_GB2312" w:cs="仿宋_GB2312"/>
          <w:b/>
          <w:color w:val="auto"/>
          <w:kern w:val="0"/>
          <w:sz w:val="24"/>
          <w:highlight w:val="none"/>
          <w:lang w:val="zh-CN"/>
        </w:rPr>
        <w:t>否则其投标作无效标处理。</w:t>
      </w:r>
    </w:p>
    <w:p>
      <w:pPr>
        <w:shd w:val="clear" w:color="auto" w:fill="auto"/>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5、特别提示：采购机构将对项目名称和项目编号，中标供应商名称、地址和中标金额，主要中标标的的名称、服务范围、服务要求、服务时间、服务标准等予以公示。</w:t>
      </w:r>
    </w:p>
    <w:p>
      <w:pPr>
        <w:shd w:val="clear" w:color="auto" w:fill="auto"/>
        <w:snapToGrid w:val="0"/>
        <w:spacing w:line="360" w:lineRule="auto"/>
        <w:ind w:firstLine="480" w:firstLineChars="200"/>
        <w:jc w:val="left"/>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szCs w:val="22"/>
          <w:highlight w:val="none"/>
          <w:lang w:val="zh-CN"/>
        </w:rPr>
        <w:t>6、</w:t>
      </w:r>
      <w:r>
        <w:rPr>
          <w:rFonts w:hint="eastAsia" w:ascii="仿宋_GB2312" w:hAnsi="仿宋" w:eastAsia="仿宋_GB2312" w:cs="仿宋_GB2312"/>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hd w:val="clear" w:color="auto" w:fill="auto"/>
        <w:snapToGrid w:val="0"/>
        <w:spacing w:line="360" w:lineRule="auto"/>
        <w:ind w:firstLine="480" w:firstLineChars="200"/>
        <w:jc w:val="left"/>
        <w:rPr>
          <w:rFonts w:ascii="仿宋_GB2312" w:hAnsi="仿宋" w:eastAsia="仿宋_GB2312" w:cs="仿宋_GB2312"/>
          <w:color w:val="auto"/>
          <w:kern w:val="0"/>
          <w:sz w:val="24"/>
          <w:highlight w:val="none"/>
          <w:lang w:val="zh-CN"/>
        </w:rPr>
      </w:pPr>
    </w:p>
    <w:p>
      <w:pPr>
        <w:shd w:val="clear" w:color="auto" w:fill="auto"/>
        <w:ind w:firstLine="420"/>
        <w:rPr>
          <w:rFonts w:hint="eastAsia" w:ascii="Calibri" w:hAnsi="Calibri"/>
          <w:color w:val="auto"/>
          <w:szCs w:val="20"/>
          <w:highlight w:val="none"/>
          <w:lang w:val="zh-CN"/>
        </w:rPr>
      </w:pPr>
    </w:p>
    <w:p>
      <w:pPr>
        <w:shd w:val="clear" w:color="auto" w:fill="auto"/>
        <w:snapToGrid w:val="0"/>
        <w:spacing w:line="360" w:lineRule="auto"/>
        <w:ind w:firstLine="5040" w:firstLineChars="210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ind w:firstLine="420"/>
        <w:rPr>
          <w:rFonts w:hint="eastAsia" w:ascii="Calibri" w:hAnsi="Calibri"/>
          <w:color w:val="auto"/>
          <w:szCs w:val="20"/>
          <w:highlight w:val="none"/>
          <w:lang w:val="zh-CN"/>
        </w:rPr>
      </w:pPr>
      <w:r>
        <w:rPr>
          <w:rFonts w:hint="eastAsia" w:ascii="仿宋_GB2312" w:hAnsi="仿宋" w:eastAsia="仿宋_GB2312" w:cs="仿宋_GB2312"/>
          <w:color w:val="auto"/>
          <w:kern w:val="0"/>
          <w:sz w:val="24"/>
          <w:highlight w:val="none"/>
          <w:lang w:val="zh-CN"/>
        </w:rPr>
        <w:br w:type="page"/>
      </w:r>
    </w:p>
    <w:p>
      <w:pPr>
        <w:shd w:val="clear" w:color="auto" w:fill="auto"/>
        <w:snapToGrid w:val="0"/>
        <w:spacing w:before="120" w:beforeLines="50" w:after="50"/>
        <w:ind w:left="142"/>
        <w:jc w:val="center"/>
        <w:rPr>
          <w:rFonts w:hint="eastAsia" w:ascii="宋体" w:hAnsi="宋体"/>
          <w:b/>
          <w:color w:val="auto"/>
          <w:sz w:val="32"/>
          <w:szCs w:val="32"/>
          <w:highlight w:val="none"/>
        </w:rPr>
      </w:pPr>
      <w:r>
        <w:rPr>
          <w:rFonts w:hint="eastAsia" w:ascii="宋体" w:hAnsi="宋体"/>
          <w:b/>
          <w:color w:val="auto"/>
          <w:sz w:val="32"/>
          <w:szCs w:val="32"/>
          <w:highlight w:val="none"/>
        </w:rPr>
        <w:t>三、除招标文件规定必须提供以外，投标人需要说明的其他文件和说明</w:t>
      </w:r>
    </w:p>
    <w:p>
      <w:pPr>
        <w:shd w:val="clear" w:color="auto" w:fill="auto"/>
        <w:spacing w:line="360" w:lineRule="auto"/>
        <w:jc w:val="center"/>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（由投标人根据采购需求自行编制）</w:t>
      </w:r>
    </w:p>
    <w:p>
      <w:pPr>
        <w:shd w:val="clear" w:color="auto" w:fill="auto"/>
        <w:snapToGrid w:val="0"/>
        <w:spacing w:before="120" w:beforeLines="50" w:after="50"/>
        <w:ind w:left="142"/>
        <w:jc w:val="center"/>
        <w:rPr>
          <w:rFonts w:hint="eastAsia" w:ascii="宋体" w:hAnsi="宋体"/>
          <w:b/>
          <w:color w:val="auto"/>
          <w:sz w:val="32"/>
          <w:szCs w:val="32"/>
          <w:highlight w:val="none"/>
        </w:rPr>
      </w:pP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rPr>
      </w:pPr>
      <w:r>
        <w:rPr>
          <w:rFonts w:hint="eastAsia" w:ascii="仿宋_GB2312" w:hAnsi="仿宋" w:eastAsia="仿宋_GB2312" w:cs="仿宋_GB2312"/>
          <w:color w:val="auto"/>
          <w:kern w:val="0"/>
          <w:sz w:val="24"/>
          <w:highlight w:val="none"/>
          <w:lang w:val="zh-CN"/>
        </w:rPr>
        <w:t>投标人名称(电子签章)：</w:t>
      </w:r>
    </w:p>
    <w:p>
      <w:pPr>
        <w:shd w:val="clear" w:color="auto" w:fill="auto"/>
        <w:snapToGrid w:val="0"/>
        <w:spacing w:line="360" w:lineRule="auto"/>
        <w:ind w:firstLine="5160" w:firstLineChars="2150"/>
        <w:rPr>
          <w:rFonts w:hint="eastAsia" w:ascii="仿宋_GB2312" w:hAnsi="仿宋" w:eastAsia="仿宋_GB2312" w:cs="仿宋_GB2312"/>
          <w:color w:val="auto"/>
          <w:kern w:val="0"/>
          <w:sz w:val="24"/>
          <w:highlight w:val="none"/>
          <w:lang w:val="zh-CN"/>
        </w:rPr>
      </w:pPr>
      <w:r>
        <w:rPr>
          <w:rFonts w:hint="eastAsia" w:ascii="仿宋_GB2312" w:hAnsi="仿宋" w:eastAsia="仿宋_GB2312" w:cs="仿宋_GB2312"/>
          <w:color w:val="auto"/>
          <w:kern w:val="0"/>
          <w:sz w:val="24"/>
          <w:highlight w:val="none"/>
          <w:lang w:val="zh-CN"/>
        </w:rPr>
        <w:t>日期</w:t>
      </w:r>
      <w:r>
        <w:rPr>
          <w:rFonts w:hint="eastAsia" w:ascii="仿宋_GB2312" w:hAnsi="仿宋" w:eastAsia="仿宋_GB2312" w:cs="仿宋_GB2312"/>
          <w:color w:val="auto"/>
          <w:kern w:val="0"/>
          <w:sz w:val="24"/>
          <w:highlight w:val="none"/>
        </w:rPr>
        <w:t xml:space="preserve">：  年  </w:t>
      </w:r>
      <w:r>
        <w:rPr>
          <w:rFonts w:hint="eastAsia" w:ascii="仿宋_GB2312" w:hAnsi="仿宋" w:eastAsia="仿宋_GB2312" w:cs="仿宋_GB2312"/>
          <w:color w:val="auto"/>
          <w:kern w:val="0"/>
          <w:sz w:val="24"/>
          <w:highlight w:val="none"/>
          <w:lang w:val="zh-CN"/>
        </w:rPr>
        <w:t>月</w:t>
      </w:r>
      <w:r>
        <w:rPr>
          <w:rFonts w:hint="eastAsia"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val="zh-CN"/>
        </w:rPr>
        <w:t>日</w:t>
      </w:r>
    </w:p>
    <w:p>
      <w:pPr>
        <w:shd w:val="clear" w:color="auto" w:fill="auto"/>
        <w:ind w:firstLine="420"/>
        <w:rPr>
          <w:rFonts w:hint="eastAsia" w:ascii="Calibri" w:hAnsi="Calibri"/>
          <w:color w:val="auto"/>
          <w:szCs w:val="20"/>
          <w:highlight w:val="none"/>
          <w:lang w:val="zh-CN"/>
        </w:rPr>
      </w:pPr>
    </w:p>
    <w:p>
      <w:pPr>
        <w:shd w:val="clear" w:color="auto" w:fill="auto"/>
        <w:rPr>
          <w:rFonts w:hint="eastAsia"/>
          <w:color w:val="auto"/>
          <w:highlight w:val="none"/>
        </w:rPr>
      </w:pPr>
      <w:bookmarkStart w:id="358" w:name="_Toc19686840"/>
      <w:r>
        <w:rPr>
          <w:rFonts w:hint="eastAsia" w:ascii="宋体" w:hAnsi="宋体"/>
          <w:b/>
          <w:bCs/>
          <w:color w:val="auto"/>
          <w:szCs w:val="28"/>
          <w:highlight w:val="none"/>
        </w:rPr>
        <w:br w:type="page"/>
      </w:r>
      <w:bookmarkEnd w:id="358"/>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rPr>
          <w:rFonts w:hint="eastAsia"/>
          <w:color w:val="auto"/>
          <w:highlight w:val="none"/>
        </w:rPr>
      </w:pPr>
    </w:p>
    <w:p>
      <w:pPr>
        <w:shd w:val="clear" w:color="auto" w:fill="auto"/>
        <w:tabs>
          <w:tab w:val="left" w:pos="2472"/>
        </w:tabs>
        <w:spacing w:line="460" w:lineRule="exact"/>
        <w:jc w:val="center"/>
        <w:outlineLvl w:val="0"/>
        <w:rPr>
          <w:b/>
          <w:color w:val="auto"/>
          <w:sz w:val="36"/>
          <w:szCs w:val="20"/>
          <w:highlight w:val="none"/>
        </w:rPr>
      </w:pPr>
      <w:bookmarkStart w:id="359" w:name="_Toc177489475"/>
      <w:r>
        <w:rPr>
          <w:rFonts w:hint="eastAsia"/>
          <w:b/>
          <w:color w:val="auto"/>
          <w:sz w:val="36"/>
          <w:szCs w:val="20"/>
          <w:highlight w:val="none"/>
        </w:rPr>
        <w:t>第七章 质疑、投诉材料格式</w:t>
      </w:r>
      <w:bookmarkEnd w:id="359"/>
    </w:p>
    <w:p>
      <w:pPr>
        <w:shd w:val="clear" w:color="auto" w:fill="auto"/>
        <w:snapToGrid w:val="0"/>
        <w:spacing w:before="50" w:after="120" w:afterLines="50" w:line="360" w:lineRule="auto"/>
        <w:ind w:firstLine="300" w:firstLineChars="150"/>
        <w:jc w:val="left"/>
        <w:rPr>
          <w:color w:val="auto"/>
          <w:sz w:val="20"/>
          <w:highlight w:val="none"/>
        </w:rPr>
        <w:sectPr>
          <w:pgSz w:w="11911" w:h="16838"/>
          <w:pgMar w:top="1134" w:right="1134" w:bottom="1134" w:left="1134" w:header="720" w:footer="720" w:gutter="0"/>
          <w:cols w:space="720" w:num="1"/>
          <w:titlePg/>
          <w:docGrid w:linePitch="331" w:charSpace="0"/>
        </w:sectPr>
      </w:pPr>
    </w:p>
    <w:p>
      <w:pPr>
        <w:widowControl/>
        <w:shd w:val="clear" w:color="auto" w:fill="auto"/>
        <w:spacing w:line="260" w:lineRule="exact"/>
        <w:jc w:val="left"/>
        <w:rPr>
          <w:rFonts w:hint="eastAsia" w:ascii="宋体" w:hAnsi="宋体"/>
          <w:b/>
          <w:bCs/>
          <w:color w:val="auto"/>
          <w:sz w:val="28"/>
          <w:szCs w:val="28"/>
          <w:highlight w:val="none"/>
        </w:rPr>
      </w:pPr>
    </w:p>
    <w:p>
      <w:pPr>
        <w:keepNext/>
        <w:keepLines/>
        <w:shd w:val="clear" w:color="auto" w:fill="auto"/>
        <w:spacing w:before="260" w:after="260" w:line="413" w:lineRule="auto"/>
        <w:jc w:val="center"/>
        <w:outlineLvl w:val="1"/>
        <w:rPr>
          <w:rFonts w:hint="eastAsia" w:ascii="宋体" w:hAnsi="宋体" w:eastAsia="黑体"/>
          <w:color w:val="auto"/>
          <w:sz w:val="32"/>
          <w:szCs w:val="32"/>
          <w:highlight w:val="none"/>
        </w:rPr>
      </w:pPr>
      <w:bookmarkStart w:id="360" w:name="_Toc177489476"/>
      <w:r>
        <w:rPr>
          <w:rFonts w:hint="eastAsia" w:ascii="宋体" w:hAnsi="宋体" w:eastAsia="黑体"/>
          <w:color w:val="auto"/>
          <w:sz w:val="32"/>
          <w:szCs w:val="32"/>
          <w:highlight w:val="none"/>
        </w:rPr>
        <w:t>第一节 质疑函（格式）</w:t>
      </w:r>
      <w:bookmarkEnd w:id="360"/>
    </w:p>
    <w:p>
      <w:pPr>
        <w:shd w:val="clear" w:color="auto" w:fill="auto"/>
        <w:jc w:val="center"/>
        <w:rPr>
          <w:rFonts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质疑函</w:t>
      </w:r>
    </w:p>
    <w:p>
      <w:pPr>
        <w:shd w:val="clear" w:color="auto" w:fill="auto"/>
        <w:adjustRightInd w:val="0"/>
        <w:snapToGrid w:val="0"/>
        <w:spacing w:line="400" w:lineRule="exact"/>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一、质疑供应商基本信息</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质疑供应商：                                        </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                          邮编：</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联系人：                      联系电话：</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授权代表：</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联系电话：</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地址：</w:t>
      </w:r>
      <w:r>
        <w:rPr>
          <w:rFonts w:ascii="仿宋" w:hAnsi="仿宋" w:eastAsia="仿宋" w:cs="仿宋"/>
          <w:color w:val="auto"/>
          <w:sz w:val="32"/>
          <w:szCs w:val="32"/>
          <w:highlight w:val="none"/>
        </w:rPr>
        <w:t xml:space="preserve"> </w:t>
      </w:r>
      <w:r>
        <w:rPr>
          <w:rFonts w:hint="eastAsia" w:ascii="仿宋" w:hAnsi="仿宋" w:eastAsia="仿宋" w:cs="仿宋"/>
          <w:color w:val="auto"/>
          <w:sz w:val="32"/>
          <w:szCs w:val="32"/>
          <w:highlight w:val="none"/>
        </w:rPr>
        <w:t xml:space="preserve">                        邮编：</w:t>
      </w:r>
    </w:p>
    <w:p>
      <w:pPr>
        <w:shd w:val="clear" w:color="auto" w:fill="auto"/>
        <w:adjustRightInd w:val="0"/>
        <w:snapToGrid w:val="0"/>
        <w:spacing w:line="400" w:lineRule="exact"/>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二、质疑项目基本情况</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质疑项目的名称：</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质疑项目的编号：               包号：</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采购人名称： </w:t>
      </w:r>
    </w:p>
    <w:p>
      <w:pPr>
        <w:pStyle w:val="1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质疑事项：</w:t>
      </w:r>
    </w:p>
    <w:p>
      <w:pPr>
        <w:pStyle w:val="1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□采购文件   采购文件获取日期：                           </w:t>
      </w:r>
    </w:p>
    <w:p>
      <w:pPr>
        <w:pStyle w:val="1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□采购过程   </w:t>
      </w:r>
    </w:p>
    <w:p>
      <w:pPr>
        <w:pStyle w:val="12"/>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 xml:space="preserve">□中标结果  </w:t>
      </w:r>
    </w:p>
    <w:p>
      <w:pPr>
        <w:shd w:val="clear" w:color="auto" w:fill="auto"/>
        <w:adjustRightInd w:val="0"/>
        <w:snapToGrid w:val="0"/>
        <w:spacing w:line="400" w:lineRule="exact"/>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三、质疑事项具体内容</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质疑事项1： </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事实依据：</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法律依据：</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质疑事项2</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w:t>
      </w:r>
    </w:p>
    <w:p>
      <w:pPr>
        <w:shd w:val="clear" w:color="auto" w:fill="auto"/>
        <w:adjustRightInd w:val="0"/>
        <w:snapToGrid w:val="0"/>
        <w:spacing w:line="400" w:lineRule="exact"/>
        <w:rPr>
          <w:rFonts w:ascii="黑体" w:hAnsi="黑体" w:eastAsia="黑体" w:cs="仿宋"/>
          <w:bCs/>
          <w:color w:val="auto"/>
          <w:sz w:val="32"/>
          <w:szCs w:val="32"/>
          <w:highlight w:val="none"/>
        </w:rPr>
      </w:pPr>
      <w:r>
        <w:rPr>
          <w:rFonts w:hint="eastAsia" w:ascii="黑体" w:hAnsi="黑体" w:eastAsia="黑体" w:cs="仿宋"/>
          <w:bCs/>
          <w:color w:val="auto"/>
          <w:sz w:val="32"/>
          <w:szCs w:val="32"/>
          <w:highlight w:val="none"/>
        </w:rPr>
        <w:t>四、与质疑事项相关的质疑请求</w:t>
      </w:r>
    </w:p>
    <w:p>
      <w:pPr>
        <w:shd w:val="clear" w:color="auto" w:fill="auto"/>
        <w:adjustRightInd w:val="0"/>
        <w:snapToGrid w:val="0"/>
        <w:spacing w:line="400" w:lineRule="exact"/>
        <w:rPr>
          <w:rFonts w:ascii="仿宋" w:hAnsi="仿宋" w:eastAsia="仿宋" w:cs="仿宋"/>
          <w:color w:val="auto"/>
          <w:sz w:val="32"/>
          <w:szCs w:val="32"/>
          <w:highlight w:val="none"/>
        </w:rPr>
      </w:pPr>
      <w:r>
        <w:rPr>
          <w:rFonts w:hint="eastAsia" w:ascii="仿宋" w:hAnsi="仿宋" w:eastAsia="仿宋" w:cs="仿宋"/>
          <w:color w:val="auto"/>
          <w:sz w:val="32"/>
          <w:szCs w:val="32"/>
          <w:highlight w:val="none"/>
        </w:rPr>
        <w:t>请求：</w:t>
      </w:r>
    </w:p>
    <w:p>
      <w:pPr>
        <w:shd w:val="clear" w:color="auto" w:fill="auto"/>
        <w:spacing w:line="400" w:lineRule="exac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签字(签章)：                   公章： </w:t>
      </w:r>
    </w:p>
    <w:p>
      <w:pPr>
        <w:shd w:val="clear" w:color="auto" w:fill="auto"/>
        <w:spacing w:line="400" w:lineRule="exac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日期：    </w:t>
      </w:r>
    </w:p>
    <w:p>
      <w:pPr>
        <w:shd w:val="clear" w:color="auto" w:fill="auto"/>
        <w:rPr>
          <w:rFonts w:ascii="黑体" w:hAnsi="黑体" w:eastAsia="黑体"/>
          <w:b/>
          <w:color w:val="auto"/>
          <w:sz w:val="32"/>
          <w:szCs w:val="32"/>
          <w:highlight w:val="none"/>
        </w:rPr>
      </w:pPr>
      <w:r>
        <w:rPr>
          <w:rFonts w:hint="eastAsia" w:ascii="黑体" w:hAnsi="黑体" w:eastAsia="黑体"/>
          <w:b/>
          <w:color w:val="auto"/>
          <w:sz w:val="32"/>
          <w:szCs w:val="32"/>
          <w:highlight w:val="none"/>
        </w:rPr>
        <w:br w:type="page"/>
      </w:r>
      <w:r>
        <w:rPr>
          <w:rFonts w:hint="eastAsia" w:ascii="黑体" w:hAnsi="黑体" w:eastAsia="黑体"/>
          <w:b/>
          <w:color w:val="auto"/>
          <w:sz w:val="32"/>
          <w:szCs w:val="32"/>
          <w:highlight w:val="none"/>
        </w:rPr>
        <w:t>质疑函制作说明：</w:t>
      </w:r>
    </w:p>
    <w:p>
      <w:pPr>
        <w:widowControl/>
        <w:shd w:val="clear" w:color="auto" w:fill="auto"/>
        <w:ind w:firstLine="643" w:firstLineChars="200"/>
        <w:jc w:val="left"/>
        <w:rPr>
          <w:rFonts w:ascii="仿宋_GB2312" w:eastAsia="仿宋_GB2312"/>
          <w:b/>
          <w:bCs/>
          <w:color w:val="auto"/>
          <w:sz w:val="32"/>
          <w:szCs w:val="32"/>
          <w:highlight w:val="none"/>
        </w:rPr>
      </w:pPr>
      <w:r>
        <w:rPr>
          <w:rFonts w:hint="eastAsia" w:ascii="仿宋_GB2312" w:eastAsia="仿宋_GB2312"/>
          <w:b/>
          <w:bCs/>
          <w:color w:val="auto"/>
          <w:sz w:val="32"/>
          <w:szCs w:val="32"/>
          <w:highlight w:val="none"/>
        </w:rPr>
        <w:t>1.供应商提出质疑时，应提交质疑函和必要的证明材料。</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2.质疑供应商若委托代理人进行质疑的，质疑函应按要求列明“授权代表”的有关内容，并在附件中提交由质疑</w:t>
      </w:r>
      <w:r>
        <w:rPr>
          <w:rFonts w:hint="eastAsia" w:ascii="仿宋_GB2312" w:hAnsi="宋体" w:eastAsia="仿宋_GB2312" w:cs="宋体"/>
          <w:color w:val="auto"/>
          <w:kern w:val="0"/>
          <w:sz w:val="32"/>
          <w:szCs w:val="32"/>
          <w:highlight w:val="none"/>
        </w:rPr>
        <w:t>供应商签署的授权委托书。授权委托书应载明代理人的姓名或者名称、代理事项、具体权限、期限和相关事项。</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3.质疑供应商若对项目的某一分包进行质疑，质疑函中应列明具体分包号。</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4.质疑函的质疑事项应具体、明确，并有必要的事实依据和法律依据。</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5.质疑函的质疑请求应与质疑事项相关。</w:t>
      </w:r>
    </w:p>
    <w:p>
      <w:pPr>
        <w:widowControl/>
        <w:shd w:val="clear" w:color="auto" w:fill="auto"/>
        <w:ind w:firstLine="640" w:firstLineChars="200"/>
        <w:jc w:val="left"/>
        <w:rPr>
          <w:rFonts w:hint="eastAsia" w:ascii="仿宋_GB2312" w:hAnsi="Calibri" w:eastAsia="仿宋_GB2312"/>
          <w:color w:val="auto"/>
          <w:sz w:val="32"/>
          <w:szCs w:val="32"/>
          <w:highlight w:val="none"/>
        </w:rPr>
      </w:pPr>
      <w:r>
        <w:rPr>
          <w:rFonts w:hint="eastAsia" w:ascii="仿宋_GB2312" w:hAnsi="Calibri" w:eastAsia="仿宋_GB2312"/>
          <w:color w:val="auto"/>
          <w:sz w:val="32"/>
          <w:szCs w:val="32"/>
          <w:highlight w:val="none"/>
        </w:rPr>
        <w:t>6.质疑供应商为自然人的，质疑函应由本人签字；质疑供应商为法人或者其他组织的，质疑函应由法定代表人、主要负责人，或者其授权代表签字或者盖章，并加盖公章。</w:t>
      </w:r>
    </w:p>
    <w:p>
      <w:pPr>
        <w:widowControl/>
        <w:shd w:val="clear" w:color="auto" w:fill="auto"/>
        <w:ind w:firstLine="600" w:firstLineChars="200"/>
        <w:jc w:val="left"/>
        <w:rPr>
          <w:rFonts w:ascii="仿宋_GB2312" w:eastAsia="仿宋_GB2312"/>
          <w:color w:val="auto"/>
          <w:sz w:val="30"/>
          <w:szCs w:val="30"/>
          <w:highlight w:val="none"/>
        </w:rPr>
      </w:pPr>
    </w:p>
    <w:p>
      <w:pPr>
        <w:shd w:val="clear" w:color="auto" w:fill="auto"/>
        <w:snapToGrid w:val="0"/>
        <w:spacing w:before="50" w:after="120" w:afterLines="50" w:line="360" w:lineRule="auto"/>
        <w:ind w:firstLine="480" w:firstLineChars="200"/>
        <w:jc w:val="left"/>
        <w:rPr>
          <w:rFonts w:ascii="ˎ̥" w:hAnsi="ˎ̥" w:cs="宋体"/>
          <w:color w:val="auto"/>
          <w:kern w:val="0"/>
          <w:sz w:val="24"/>
          <w:highlight w:val="none"/>
        </w:rPr>
        <w:sectPr>
          <w:pgSz w:w="11911" w:h="16838"/>
          <w:pgMar w:top="1134" w:right="1134" w:bottom="1134" w:left="1134" w:header="720" w:footer="720" w:gutter="0"/>
          <w:cols w:space="720" w:num="1"/>
          <w:titlePg/>
          <w:docGrid w:linePitch="331" w:charSpace="0"/>
        </w:sectPr>
      </w:pPr>
    </w:p>
    <w:p>
      <w:pPr>
        <w:keepNext/>
        <w:keepLines/>
        <w:shd w:val="clear" w:color="auto" w:fill="auto"/>
        <w:spacing w:before="260" w:after="260" w:line="413" w:lineRule="auto"/>
        <w:jc w:val="center"/>
        <w:outlineLvl w:val="1"/>
        <w:rPr>
          <w:rFonts w:hint="eastAsia" w:ascii="宋体" w:hAnsi="宋体" w:eastAsia="黑体"/>
          <w:color w:val="auto"/>
          <w:sz w:val="32"/>
          <w:szCs w:val="32"/>
          <w:highlight w:val="none"/>
        </w:rPr>
      </w:pPr>
      <w:bookmarkStart w:id="361" w:name="_Toc177489477"/>
      <w:r>
        <w:rPr>
          <w:rFonts w:hint="eastAsia" w:ascii="宋体" w:hAnsi="宋体" w:eastAsia="黑体"/>
          <w:color w:val="auto"/>
          <w:sz w:val="32"/>
          <w:szCs w:val="32"/>
          <w:highlight w:val="none"/>
        </w:rPr>
        <w:t>第二节 投诉书（格式）</w:t>
      </w:r>
      <w:bookmarkEnd w:id="361"/>
    </w:p>
    <w:p>
      <w:pPr>
        <w:shd w:val="clear" w:color="auto" w:fill="auto"/>
        <w:jc w:val="center"/>
        <w:rPr>
          <w:rFonts w:hint="eastAsia" w:ascii="宋体" w:hAnsi="宋体"/>
          <w:b/>
          <w:color w:val="auto"/>
          <w:sz w:val="44"/>
          <w:szCs w:val="44"/>
          <w:highlight w:val="none"/>
        </w:rPr>
      </w:pPr>
      <w:r>
        <w:rPr>
          <w:rFonts w:hint="eastAsia" w:ascii="宋体" w:hAnsi="宋体"/>
          <w:b/>
          <w:color w:val="auto"/>
          <w:sz w:val="44"/>
          <w:szCs w:val="44"/>
          <w:highlight w:val="none"/>
        </w:rPr>
        <w:t>投诉书</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一、投诉相关主体基本情况</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投诉人：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地     址：                             邮编：            </w:t>
      </w:r>
    </w:p>
    <w:p>
      <w:pPr>
        <w:shd w:val="clear" w:color="auto" w:fill="auto"/>
        <w:tabs>
          <w:tab w:val="left" w:pos="6510"/>
        </w:tabs>
        <w:spacing w:line="400" w:lineRule="exact"/>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法定代表人/主要负责人：                                     </w:t>
      </w:r>
    </w:p>
    <w:p>
      <w:pPr>
        <w:shd w:val="clear" w:color="auto" w:fill="auto"/>
        <w:tabs>
          <w:tab w:val="left" w:pos="6510"/>
        </w:tabs>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联系电话：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授权代表：             联系电话：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地     址：                             邮编：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被投诉人1：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地     址：                             邮编：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联系人：               联系电话：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被投诉人2</w:t>
      </w:r>
    </w:p>
    <w:p>
      <w:pPr>
        <w:shd w:val="clear" w:color="auto" w:fill="auto"/>
        <w:spacing w:line="400" w:lineRule="exact"/>
        <w:rPr>
          <w:rFonts w:ascii="仿宋_GB2312" w:eastAsia="仿宋_GB2312"/>
          <w:color w:val="auto"/>
          <w:sz w:val="32"/>
          <w:szCs w:val="32"/>
          <w:highlight w:val="none"/>
        </w:rPr>
      </w:pPr>
      <w:r>
        <w:rPr>
          <w:rFonts w:hint="eastAsia" w:ascii="仿宋_GB2312" w:eastAsia="仿宋_GB2312"/>
          <w:color w:val="auto"/>
          <w:sz w:val="32"/>
          <w:szCs w:val="32"/>
          <w:highlight w:val="none"/>
        </w:rPr>
        <w:t>……</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相关供应商：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地     址：                             邮编：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联系人：               联系电话：                            </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二、投诉项目基本情况</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采购项目名称：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采购项目编号：                 包号：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采购人名称：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代理机构名称：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采购文件公告:是/否 公告期限：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采购结果公告:是/否 公告期限：                        </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三、质疑基本情况</w:t>
      </w:r>
    </w:p>
    <w:p>
      <w:pPr>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投诉人于   年   月  日,向                   提出质疑，质疑事项为：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shd w:val="clear" w:color="auto" w:fill="auto"/>
        <w:spacing w:line="400" w:lineRule="exact"/>
        <w:ind w:firstLine="480" w:firstLineChars="15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采购人/代理机构于   年   月   日,就质疑事项作出了答复/没有在法定期限内作出答复。</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四、投诉事项具体内容</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投诉事项 1：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事实依据：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法律依据：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投诉事项2</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w:t>
      </w:r>
    </w:p>
    <w:p>
      <w:pPr>
        <w:shd w:val="clear" w:color="auto" w:fill="auto"/>
        <w:spacing w:line="40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五、与投诉事项相关的投诉请求</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请求：                                               </w:t>
      </w:r>
    </w:p>
    <w:p>
      <w:pPr>
        <w:shd w:val="clear" w:color="auto" w:fill="auto"/>
        <w:spacing w:line="400" w:lineRule="exact"/>
        <w:rPr>
          <w:rFonts w:hint="eastAsia" w:ascii="仿宋_GB2312" w:eastAsia="仿宋_GB2312"/>
          <w:color w:val="auto"/>
          <w:sz w:val="32"/>
          <w:szCs w:val="32"/>
          <w:highlight w:val="none"/>
          <w:u w:val="single"/>
        </w:rPr>
      </w:pPr>
      <w:r>
        <w:rPr>
          <w:rFonts w:hint="eastAsia" w:ascii="仿宋_GB2312" w:eastAsia="仿宋_GB2312"/>
          <w:color w:val="auto"/>
          <w:sz w:val="32"/>
          <w:szCs w:val="32"/>
          <w:highlight w:val="none"/>
        </w:rPr>
        <w:t xml:space="preserve">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签字(签章)：                   公章：                      </w:t>
      </w:r>
    </w:p>
    <w:p>
      <w:pPr>
        <w:shd w:val="clear" w:color="auto" w:fill="auto"/>
        <w:spacing w:line="400" w:lineRule="exac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 xml:space="preserve">日期：    </w:t>
      </w:r>
    </w:p>
    <w:p>
      <w:pPr>
        <w:shd w:val="clear" w:color="auto" w:fill="auto"/>
        <w:rPr>
          <w:rFonts w:hint="eastAsia" w:ascii="黑体" w:hAnsi="黑体" w:eastAsia="黑体"/>
          <w:b/>
          <w:color w:val="auto"/>
          <w:sz w:val="32"/>
          <w:szCs w:val="32"/>
          <w:highlight w:val="none"/>
        </w:rPr>
      </w:pPr>
    </w:p>
    <w:p>
      <w:pPr>
        <w:shd w:val="clear" w:color="auto" w:fill="auto"/>
        <w:rPr>
          <w:rFonts w:hint="eastAsia" w:ascii="黑体" w:hAnsi="黑体" w:eastAsia="黑体"/>
          <w:b/>
          <w:color w:val="auto"/>
          <w:sz w:val="32"/>
          <w:szCs w:val="32"/>
          <w:highlight w:val="none"/>
        </w:rPr>
      </w:pPr>
      <w:r>
        <w:rPr>
          <w:rFonts w:hint="eastAsia" w:ascii="黑体" w:hAnsi="黑体" w:eastAsia="黑体"/>
          <w:b/>
          <w:color w:val="auto"/>
          <w:sz w:val="32"/>
          <w:szCs w:val="32"/>
          <w:highlight w:val="none"/>
        </w:rPr>
        <w:t>投诉书制作说明：</w:t>
      </w:r>
    </w:p>
    <w:p>
      <w:pPr>
        <w:widowControl/>
        <w:shd w:val="clear" w:color="auto" w:fill="auto"/>
        <w:spacing w:line="400" w:lineRule="exact"/>
        <w:ind w:firstLine="643" w:firstLineChars="200"/>
        <w:rPr>
          <w:rFonts w:hint="eastAsia" w:ascii="仿宋_GB2312" w:eastAsia="仿宋_GB2312"/>
          <w:b/>
          <w:bCs/>
          <w:color w:val="auto"/>
          <w:sz w:val="32"/>
          <w:szCs w:val="32"/>
          <w:highlight w:val="none"/>
        </w:rPr>
      </w:pPr>
      <w:r>
        <w:rPr>
          <w:rFonts w:hint="eastAsia" w:ascii="仿宋_GB2312" w:eastAsia="仿宋_GB2312"/>
          <w:b/>
          <w:bCs/>
          <w:color w:val="auto"/>
          <w:sz w:val="32"/>
          <w:szCs w:val="32"/>
          <w:highlight w:val="none"/>
        </w:rPr>
        <w:t>1.投诉人提起投诉时，应当提交投诉书和必要的证明材料，并按照被投诉人和与投诉事项有关的供应商数量提供投诉书副本。</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3.投诉人若对项目的某一分包进行投诉，投诉书应列明具体分包号。</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4.投诉书应简要列明质疑事项，质疑函、质疑答复等作为附件材料提供。</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5.投诉书的投诉事项应具体、明确，并有必要的事实依据和法律依据。</w:t>
      </w:r>
    </w:p>
    <w:p>
      <w:pPr>
        <w:widowControl/>
        <w:shd w:val="clear" w:color="auto" w:fill="auto"/>
        <w:spacing w:line="40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6.投诉书的投诉请求应与投诉事项相关。</w:t>
      </w:r>
    </w:p>
    <w:p>
      <w:pPr>
        <w:widowControl/>
        <w:shd w:val="clear" w:color="auto" w:fill="auto"/>
        <w:spacing w:line="400" w:lineRule="exact"/>
        <w:ind w:firstLine="640" w:firstLineChars="200"/>
        <w:rPr>
          <w:rFonts w:hint="eastAsia"/>
          <w:color w:val="auto"/>
          <w:highlight w:val="none"/>
        </w:rPr>
      </w:pPr>
      <w:r>
        <w:rPr>
          <w:rFonts w:hint="eastAsia" w:ascii="仿宋_GB2312" w:eastAsia="仿宋_GB2312"/>
          <w:color w:val="auto"/>
          <w:sz w:val="32"/>
          <w:szCs w:val="32"/>
          <w:highlight w:val="none"/>
        </w:rPr>
        <w:t>7.投诉人为自然人的，投诉书应当由本人签字；投诉人为法人或者其他组织的，投诉书应当由法定代表人、主要负责人，或者其授权代表签字或者盖章，并加盖公章。</w:t>
      </w:r>
    </w:p>
    <w:p>
      <w:pPr>
        <w:shd w:val="clear" w:color="auto" w:fill="auto"/>
        <w:rPr>
          <w:rFonts w:hint="eastAsia"/>
          <w:color w:val="auto"/>
          <w:highlight w:val="none"/>
        </w:rPr>
      </w:pPr>
    </w:p>
    <w:sectPr>
      <w:footerReference r:id="rId21" w:type="first"/>
      <w:footerReference r:id="rId19" w:type="default"/>
      <w:footerReference r:id="rId20" w:type="even"/>
      <w:pgSz w:w="11906" w:h="16838"/>
      <w:pgMar w:top="1134" w:right="1134" w:bottom="1134" w:left="1134" w:header="720" w:footer="720" w:gutter="0"/>
      <w:cols w:space="720" w:num="1"/>
      <w:docGrid w:type="lines"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MingLiU">
    <w:altName w:val="PMingLiU-ExtB"/>
    <w:panose1 w:val="02020509000000000000"/>
    <w:charset w:val="88"/>
    <w:family w:val="modern"/>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等线">
    <w:panose1 w:val="02010600030101010101"/>
    <w:charset w:val="86"/>
    <w:family w:val="auto"/>
    <w:pitch w:val="default"/>
    <w:sig w:usb0="A00002BF" w:usb1="38CF7CFA" w:usb2="00000016" w:usb3="00000000" w:csb0="0004000F" w:csb1="00000000"/>
  </w:font>
  <w:font w:name="Wingdings 2">
    <w:altName w:val="Wingdings"/>
    <w:panose1 w:val="05020102010507070707"/>
    <w:charset w:val="02"/>
    <w:family w:val="roman"/>
    <w:pitch w:val="default"/>
    <w:sig w:usb0="00000000" w:usb1="00000000" w:usb2="00000000" w:usb3="00000000" w:csb0="80000000" w:csb1="00000000"/>
  </w:font>
  <w:font w:name="新宋体">
    <w:panose1 w:val="02010609030101010101"/>
    <w:charset w:val="86"/>
    <w:family w:val="modern"/>
    <w:pitch w:val="default"/>
    <w:sig w:usb0="00000203" w:usb1="288F0000" w:usb2="00000006" w:usb3="00000000" w:csb0="00040001" w:csb1="00000000"/>
  </w:font>
  <w:font w:name="Helvetica">
    <w:altName w:val="Arial"/>
    <w:panose1 w:val="020B0604020202020204"/>
    <w:charset w:val="00"/>
    <w:family w:val="swiss"/>
    <w:pitch w:val="default"/>
    <w:sig w:usb0="00000000" w:usb1="00000000" w:usb2="00000009" w:usb3="00000000" w:csb0="000001FF" w:csb1="00000000"/>
  </w:font>
  <w:font w:name="ˎ̥">
    <w:altName w:val="Times New Roman"/>
    <w:panose1 w:val="00000000000000000000"/>
    <w:charset w:val="00"/>
    <w:family w:val="roman"/>
    <w:pitch w:val="default"/>
    <w:sig w:usb0="00000000" w:usb1="00000000" w:usb2="00000000" w:usb3="00000000" w:csb0="00040001"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2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77</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9"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SrKVatABAACr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77</w:t>
                    </w:r>
                    <w:r>
                      <w:rPr>
                        <w:rFonts w:hint="eastAsia"/>
                        <w:sz w:val="18"/>
                        <w:szCs w:val="18"/>
                      </w:rPr>
                      <w:fldChar w:fldCharType="end"/>
                    </w:r>
                  </w:p>
                </w:txbxContent>
              </v:textbox>
            </v:shape>
          </w:pict>
        </mc:Fallback>
      </mc:AlternateContent>
    </w:r>
  </w:p>
  <w:p>
    <w:pPr>
      <w:snapToGrid w:val="0"/>
      <w:jc w:val="left"/>
      <w:rPr>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38"/>
        <w:sz w:val="18"/>
        <w:szCs w:val="18"/>
      </w:rPr>
    </w:pPr>
    <w:r>
      <w:rPr>
        <w:sz w:val="18"/>
        <w:szCs w:val="18"/>
      </w:rPr>
      <w:fldChar w:fldCharType="begin"/>
    </w:r>
    <w:r>
      <w:rPr>
        <w:rStyle w:val="38"/>
        <w:sz w:val="18"/>
        <w:szCs w:val="18"/>
      </w:rPr>
      <w:instrText xml:space="preserve">PAGE  </w:instrText>
    </w:r>
    <w:r>
      <w:rPr>
        <w:sz w:val="18"/>
        <w:szCs w:val="18"/>
      </w:rPr>
      <w:fldChar w:fldCharType="end"/>
    </w:r>
  </w:p>
  <w:p>
    <w:pPr>
      <w:snapToGrid w:val="0"/>
      <w:jc w:val="left"/>
      <w:rPr>
        <w:sz w:val="18"/>
        <w:szCs w:val="18"/>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rPr>
        <w:rFonts w:hint="eastAsia"/>
        <w:sz w:val="18"/>
        <w:szCs w:val="18"/>
      </w:rPr>
    </w:pPr>
    <w:r>
      <w:rPr>
        <w:sz w:val="18"/>
        <w:szCs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20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78</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8"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c802bzwEAAKsDAAAOAAAAAAAAAAEAIAAAAB4BAABkcnMv&#10;ZTJvRG9jLnhtbFBLBQYAAAAABgAGAFkBAABfBQ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78</w:t>
                    </w:r>
                    <w:r>
                      <w:rPr>
                        <w:rFonts w:hint="eastAsia"/>
                        <w:sz w:val="18"/>
                        <w:szCs w:val="18"/>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jc w:val="center"/>
    </w:pPr>
    <w:r>
      <w:fldChar w:fldCharType="begin"/>
    </w:r>
    <w:r>
      <w:instrText xml:space="preserve"> PAGE   \* MERGEFORMAT </w:instrText>
    </w:r>
    <w:r>
      <w:fldChar w:fldCharType="separate"/>
    </w:r>
    <w:r>
      <w:rPr>
        <w:lang w:val="zh-CN"/>
      </w:rPr>
      <w:t>88</w:t>
    </w:r>
    <w:r>
      <w:fldChar w:fldCharType="end"/>
    </w:r>
  </w:p>
  <w:p>
    <w:pPr>
      <w:pStyle w:val="24"/>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center" w:y="1"/>
      <w:rPr>
        <w:rStyle w:val="38"/>
      </w:rPr>
    </w:pPr>
    <w:r>
      <w:fldChar w:fldCharType="begin"/>
    </w:r>
    <w:r>
      <w:rPr>
        <w:rStyle w:val="38"/>
      </w:rPr>
      <w:instrText xml:space="preserve">PAGE  </w:instrText>
    </w:r>
    <w:r>
      <w:fldChar w:fldCharType="end"/>
    </w:r>
  </w:p>
  <w:p>
    <w:pPr>
      <w:pStyle w:val="24"/>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framePr w:wrap="around" w:vAnchor="text" w:hAnchor="margin" w:xAlign="right" w:y="1"/>
      <w:rPr>
        <w:rStyle w:val="38"/>
      </w:rPr>
    </w:pPr>
    <w:r>
      <w:fldChar w:fldCharType="begin"/>
    </w:r>
    <w:r>
      <w:rPr>
        <w:rStyle w:val="38"/>
      </w:rPr>
      <w:instrText xml:space="preserve">PAGE  </w:instrText>
    </w:r>
    <w:r>
      <w:fldChar w:fldCharType="separate"/>
    </w:r>
    <w:r>
      <w:rPr>
        <w:rStyle w:val="38"/>
      </w:rPr>
      <w:t>122</w:t>
    </w:r>
    <w:r>
      <w:fldChar w:fldCharType="end"/>
    </w:r>
  </w:p>
  <w:p>
    <w:pPr>
      <w:pStyle w:val="24"/>
      <w:ind w:right="360"/>
      <w:jc w:val="both"/>
      <w:rPr>
        <w:rFonts w:hint="eastAsia"/>
      </w:rPr>
    </w:pPr>
    <w:r>
      <w:rPr>
        <w:rFonts w:hint="eastAsia"/>
      </w:rPr>
      <w:t>121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hint="eastAsia"/>
        <w:sz w:val="18"/>
        <w:szCs w:val="18"/>
      </w:rPr>
    </w:pPr>
    <w:r>
      <w:rPr>
        <w:sz w:val="18"/>
        <w:szCs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20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5</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0"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BYPzwEAAKsDAAAOAAAAAAAAAAEAIAAAAB4BAABkcnMv&#10;ZTJvRG9jLnhtbFBLBQYAAAAABgAGAFkBAABfBQ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5</w:t>
                    </w:r>
                    <w:r>
                      <w:rPr>
                        <w:rFonts w:hint="eastAsia"/>
                        <w:sz w:val="18"/>
                        <w:szCs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38Sj9tABAACr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w:t>
                    </w:r>
                    <w:r>
                      <w:rPr>
                        <w:rFonts w:hint="eastAsia"/>
                        <w:sz w:val="18"/>
                        <w:szCs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left"/>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0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10</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FVCxZ3OAQAAqgMAAA4AAAAAAAAAAQAgAAAAHgEAAGRycy9l&#10;Mm9Eb2MueG1sUEsFBgAAAAAGAAYAWQEAAF4FA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10</w:t>
                    </w:r>
                    <w:r>
                      <w:rPr>
                        <w:rFonts w:hint="eastAsia"/>
                        <w:sz w:val="18"/>
                        <w:szCs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0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RSQM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1KV&#10;b5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4FFJAzwEAAKoDAAAOAAAAAAAAAAEAIAAAAB4BAABkcnMv&#10;ZTJvRG9jLnhtbFBLBQYAAAAABgAGAFkBAABfBQ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w:t>
                    </w:r>
                    <w:r>
                      <w:rPr>
                        <w:rFonts w:hint="eastAsia"/>
                        <w:sz w:val="18"/>
                        <w:szCs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60</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jKiuftABAACq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60</w:t>
                    </w:r>
                    <w:r>
                      <w:rPr>
                        <w:rFonts w:hint="eastAsia"/>
                        <w:sz w:val="18"/>
                        <w:szCs w:val="18"/>
                      </w:rPr>
                      <w:fldChar w:fldCharType="end"/>
                    </w:r>
                  </w:p>
                </w:txbxContent>
              </v:textbox>
            </v:shape>
          </w:pict>
        </mc:Fallback>
      </mc:AlternateContent>
    </w:r>
  </w:p>
  <w:p>
    <w:pPr>
      <w:snapToGrid w:val="0"/>
      <w:jc w:val="left"/>
      <w:rPr>
        <w:sz w:val="18"/>
        <w:szCs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sz w:val="18"/>
        <w:szCs w:val="18"/>
      </w:rPr>
    </w:pPr>
    <w:r>
      <w:rPr>
        <w:sz w:val="18"/>
        <w:szCs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0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71</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atg4ANABAACq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71</w:t>
                    </w:r>
                    <w:r>
                      <w:rPr>
                        <w:rFonts w:hint="eastAsia"/>
                        <w:sz w:val="18"/>
                        <w:szCs w:val="18"/>
                      </w:rPr>
                      <w:fldChar w:fldCharType="end"/>
                    </w:r>
                  </w:p>
                </w:txbxContent>
              </v:textbox>
            </v:shape>
          </w:pict>
        </mc:Fallback>
      </mc:AlternateContent>
    </w:r>
  </w:p>
  <w:p>
    <w:pPr>
      <w:snapToGrid w:val="0"/>
      <w:jc w:val="left"/>
      <w:rPr>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snapToGrid w:val="0"/>
      <w:jc w:val="left"/>
      <w:rPr>
        <w:rStyle w:val="38"/>
        <w:sz w:val="18"/>
        <w:szCs w:val="18"/>
      </w:rPr>
    </w:pPr>
    <w:r>
      <w:rPr>
        <w:sz w:val="18"/>
        <w:szCs w:val="18"/>
      </w:rPr>
      <w:fldChar w:fldCharType="begin"/>
    </w:r>
    <w:r>
      <w:rPr>
        <w:rStyle w:val="38"/>
        <w:sz w:val="18"/>
        <w:szCs w:val="18"/>
      </w:rPr>
      <w:instrText xml:space="preserve">PAGE  </w:instrText>
    </w:r>
    <w:r>
      <w:rPr>
        <w:sz w:val="18"/>
        <w:szCs w:val="18"/>
      </w:rPr>
      <w:fldChar w:fldCharType="end"/>
    </w:r>
  </w:p>
  <w:p>
    <w:pPr>
      <w:snapToGrid w:val="0"/>
      <w:jc w:val="left"/>
      <w:rPr>
        <w:sz w:val="18"/>
        <w:szCs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rPr>
        <w:rFonts w:hint="eastAsia"/>
        <w:sz w:val="18"/>
        <w:szCs w:val="18"/>
      </w:rPr>
    </w:pPr>
    <w:r>
      <w:rPr>
        <w:sz w:val="18"/>
        <w:szCs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70</w:t>
                          </w:r>
                          <w:r>
                            <w:rPr>
                              <w:rFonts w:hint="eastAsia"/>
                              <w:sz w:val="18"/>
                              <w:szCs w:val="18"/>
                            </w:rPr>
                            <w:fldChar w:fldCharType="end"/>
                          </w:r>
                        </w:p>
                      </w:txbxContent>
                    </wps:txbx>
                    <wps:bodyPr wrap="none" lIns="0" tIns="0" rIns="0" bIns="0" upright="0">
                      <a:spAutoFit/>
                    </wps:bodyPr>
                  </wps:wsp>
                </a:graphicData>
              </a:graphic>
            </wp:anchor>
          </w:drawing>
        </mc:Choice>
        <mc:Fallback>
          <w:pict>
            <v:shape id="文本框 2054"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Tuia/dABAACqAwAADgAAAAAAAAABACAAAAAeAQAAZHJz&#10;L2Uyb0RvYy54bWxQSwUGAAAAAAYABgBZAQAAYAUAAAAA&#10;">
              <v:fill on="f" focussize="0,0"/>
              <v:stroke on="f"/>
              <v:imagedata o:title=""/>
              <o:lock v:ext="edit" aspectratio="f"/>
              <v:textbox inset="0mm,0mm,0mm,0mm" style="mso-fit-shape-to-text:t;">
                <w:txbxContent>
                  <w:p>
                    <w:pPr>
                      <w:snapToGrid w:val="0"/>
                      <w:jc w:val="left"/>
                      <w:rPr>
                        <w:rFonts w:hint="eastAsia"/>
                        <w:sz w:val="18"/>
                        <w:szCs w:val="18"/>
                      </w:rPr>
                    </w:pP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70</w:t>
                    </w:r>
                    <w:r>
                      <w:rPr>
                        <w:rFonts w:hint="eastAsia"/>
                        <w:sz w:val="18"/>
                        <w:szCs w:val="18"/>
                      </w:rPr>
                      <w:fldChar w:fldCharType="end"/>
                    </w:r>
                  </w:p>
                </w:txbxContent>
              </v:textbox>
            </v:shape>
          </w:pict>
        </mc:Fallback>
      </mc:AlternateContent>
    </w:r>
    <w:r>
      <w:rPr>
        <w:rFonts w:hint="eastAsia"/>
        <w:sz w:val="18"/>
        <w:szCs w:val="18"/>
      </w:rPr>
      <w:t>121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0"/>
      </w:tabs>
      <w:snapToGrid w:val="0"/>
      <w:jc w:val="center"/>
      <w:rPr>
        <w:sz w:val="18"/>
        <w:szCs w:val="18"/>
      </w:rPr>
    </w:pPr>
    <w:r>
      <w:rPr>
        <w:rFonts w:hint="eastAsia"/>
        <w:sz w:val="18"/>
        <w:szCs w:val="18"/>
      </w:rPr>
      <w:t>南宁市政府采购公开招标文件（项目编号：</w:t>
    </w:r>
    <w:r>
      <w:rPr>
        <w:rFonts w:hint="eastAsia"/>
        <w:sz w:val="18"/>
        <w:szCs w:val="18"/>
        <w:lang w:eastAsia="zh-CN"/>
      </w:rPr>
      <w:t>NNZC2025-G3-990111-GXKL</w:t>
    </w:r>
    <w:r>
      <w:rPr>
        <w:rFonts w:hint="eastAsia"/>
        <w:sz w:val="18"/>
        <w:szCs w:val="1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rFonts w:ascii="Calibri" w:hAnsi="Calibri"/>
        <w:sz w:val="18"/>
        <w:szCs w:val="18"/>
      </w:rPr>
    </w:pPr>
    <w:r>
      <w:rPr>
        <w:rFonts w:hint="eastAsia" w:ascii="Calibri" w:hAnsi="Calibri"/>
        <w:sz w:val="18"/>
        <w:szCs w:val="18"/>
      </w:rPr>
      <w:t>南宁市政府采购公开招标文件（项目编号：</w:t>
    </w:r>
    <w:r>
      <w:rPr>
        <w:rFonts w:hint="eastAsia" w:ascii="Calibri" w:hAnsi="Calibri"/>
        <w:sz w:val="18"/>
        <w:szCs w:val="18"/>
        <w:lang w:eastAsia="zh-CN"/>
      </w:rPr>
      <w:t>NNZC2025-G3-990111-GXKL</w:t>
    </w:r>
    <w:r>
      <w:rPr>
        <w:rFonts w:hint="eastAsia" w:ascii="Calibri" w:hAnsi="Calibri"/>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tabs>
        <w:tab w:val="center" w:pos="0"/>
      </w:tabs>
      <w:snapToGrid w:val="0"/>
      <w:jc w:val="center"/>
      <w:rPr>
        <w:rFonts w:hint="eastAsia"/>
        <w:sz w:val="18"/>
        <w:szCs w:val="18"/>
      </w:rPr>
    </w:pPr>
    <w:r>
      <w:rPr>
        <w:rFonts w:hint="eastAsia"/>
        <w:sz w:val="18"/>
        <w:szCs w:val="18"/>
      </w:rPr>
      <w:t>南宁市政府采购公开招标文件（项目编号：</w:t>
    </w:r>
    <w:r>
      <w:rPr>
        <w:rFonts w:hint="eastAsia"/>
        <w:sz w:val="18"/>
        <w:szCs w:val="18"/>
        <w:lang w:eastAsia="zh-CN"/>
      </w:rPr>
      <w:t>NNZC2025-G3-990111-GXKL</w:t>
    </w:r>
    <w:r>
      <w:rPr>
        <w:rFonts w:hint="eastAsia"/>
        <w:sz w:val="18"/>
        <w:szCs w:val="18"/>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snapToGrid w:val="0"/>
      <w:jc w:val="center"/>
      <w:rPr>
        <w:rFonts w:hint="eastAsia"/>
        <w:sz w:val="18"/>
        <w:szCs w:val="18"/>
      </w:rPr>
    </w:pPr>
    <w:r>
      <w:rPr>
        <w:rFonts w:hint="eastAsia"/>
        <w:sz w:val="18"/>
        <w:szCs w:val="18"/>
      </w:rPr>
      <w:t>南宁市政府采购公开招标文件（项目编号：</w:t>
    </w:r>
    <w:r>
      <w:rPr>
        <w:rFonts w:hint="eastAsia"/>
        <w:sz w:val="18"/>
        <w:szCs w:val="18"/>
        <w:lang w:eastAsia="zh-CN"/>
      </w:rPr>
      <w:t>NNZC2025-G3-990111-GXKL</w:t>
    </w:r>
    <w:r>
      <w:rPr>
        <w:rFonts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008B79"/>
    <w:multiLevelType w:val="singleLevel"/>
    <w:tmpl w:val="95008B79"/>
    <w:lvl w:ilvl="0" w:tentative="0">
      <w:start w:val="1"/>
      <w:numFmt w:val="decimal"/>
      <w:suff w:val="nothing"/>
      <w:lvlText w:val="（%1）"/>
      <w:lvlJc w:val="left"/>
    </w:lvl>
  </w:abstractNum>
  <w:abstractNum w:abstractNumId="1">
    <w:nsid w:val="D804E059"/>
    <w:multiLevelType w:val="singleLevel"/>
    <w:tmpl w:val="D804E059"/>
    <w:lvl w:ilvl="0" w:tentative="0">
      <w:start w:val="1"/>
      <w:numFmt w:val="decimal"/>
      <w:suff w:val="nothing"/>
      <w:lvlText w:val="（%1）"/>
      <w:lvlJc w:val="left"/>
      <w:pPr>
        <w:ind w:left="0" w:firstLine="0"/>
      </w:pPr>
    </w:lvl>
  </w:abstractNum>
  <w:abstractNum w:abstractNumId="2">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
    <w:nsid w:val="0C44B472"/>
    <w:multiLevelType w:val="singleLevel"/>
    <w:tmpl w:val="0C44B472"/>
    <w:lvl w:ilvl="0" w:tentative="0">
      <w:start w:val="1"/>
      <w:numFmt w:val="decimal"/>
      <w:lvlText w:val="%1."/>
      <w:lvlJc w:val="left"/>
      <w:pPr>
        <w:tabs>
          <w:tab w:val="left" w:pos="312"/>
        </w:tabs>
      </w:pPr>
    </w:lvl>
  </w:abstractNum>
  <w:abstractNum w:abstractNumId="4">
    <w:nsid w:val="414DC271"/>
    <w:multiLevelType w:val="singleLevel"/>
    <w:tmpl w:val="414DC271"/>
    <w:lvl w:ilvl="0" w:tentative="0">
      <w:start w:val="6"/>
      <w:numFmt w:val="decimal"/>
      <w:suff w:val="nothing"/>
      <w:lvlText w:val="（%1）"/>
      <w:lvlJc w:val="left"/>
    </w:lvl>
  </w:abstractNum>
  <w:num w:numId="1">
    <w:abstractNumId w:val="4"/>
  </w:num>
  <w:num w:numId="2">
    <w:abstractNumId w:val="0"/>
  </w:num>
  <w:num w:numId="3">
    <w:abstractNumId w:val="3"/>
  </w:num>
  <w:num w:numId="4">
    <w:abstractNumId w:val="1"/>
    <w:lvlOverride w:ilvl="0">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3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jZTg3ODRlNjRjNzAxODI4ZWQxODMxMzVlOWY3M2QifQ=="/>
  </w:docVars>
  <w:rsids>
    <w:rsidRoot w:val="00172A27"/>
    <w:rsid w:val="0000096C"/>
    <w:rsid w:val="00000CDB"/>
    <w:rsid w:val="00001CDA"/>
    <w:rsid w:val="00004344"/>
    <w:rsid w:val="00005909"/>
    <w:rsid w:val="000207D5"/>
    <w:rsid w:val="0002117A"/>
    <w:rsid w:val="0002176E"/>
    <w:rsid w:val="00022127"/>
    <w:rsid w:val="00024E82"/>
    <w:rsid w:val="00027659"/>
    <w:rsid w:val="00030800"/>
    <w:rsid w:val="00031652"/>
    <w:rsid w:val="00034A7D"/>
    <w:rsid w:val="00035197"/>
    <w:rsid w:val="00035F9C"/>
    <w:rsid w:val="000401CD"/>
    <w:rsid w:val="00044EDB"/>
    <w:rsid w:val="00054304"/>
    <w:rsid w:val="000553BC"/>
    <w:rsid w:val="00056551"/>
    <w:rsid w:val="0006218D"/>
    <w:rsid w:val="00063F24"/>
    <w:rsid w:val="00065AF0"/>
    <w:rsid w:val="00066EA9"/>
    <w:rsid w:val="00066FE1"/>
    <w:rsid w:val="00074D5F"/>
    <w:rsid w:val="00076A60"/>
    <w:rsid w:val="00077BF5"/>
    <w:rsid w:val="00081789"/>
    <w:rsid w:val="00085A0D"/>
    <w:rsid w:val="0008739B"/>
    <w:rsid w:val="00092A54"/>
    <w:rsid w:val="00092F65"/>
    <w:rsid w:val="0009317E"/>
    <w:rsid w:val="00093B18"/>
    <w:rsid w:val="00094E84"/>
    <w:rsid w:val="000A7A4B"/>
    <w:rsid w:val="000B5A03"/>
    <w:rsid w:val="000B6852"/>
    <w:rsid w:val="000C302E"/>
    <w:rsid w:val="000C5D44"/>
    <w:rsid w:val="000D5F48"/>
    <w:rsid w:val="000D7284"/>
    <w:rsid w:val="000E6783"/>
    <w:rsid w:val="000F1BBE"/>
    <w:rsid w:val="001031E7"/>
    <w:rsid w:val="00104245"/>
    <w:rsid w:val="001108AC"/>
    <w:rsid w:val="00110DD2"/>
    <w:rsid w:val="0011187C"/>
    <w:rsid w:val="00116FC9"/>
    <w:rsid w:val="00120C46"/>
    <w:rsid w:val="00125837"/>
    <w:rsid w:val="001306A8"/>
    <w:rsid w:val="00140B14"/>
    <w:rsid w:val="00140CE8"/>
    <w:rsid w:val="00143DA6"/>
    <w:rsid w:val="00151CEE"/>
    <w:rsid w:val="0015209C"/>
    <w:rsid w:val="001551E7"/>
    <w:rsid w:val="00170AA7"/>
    <w:rsid w:val="00173852"/>
    <w:rsid w:val="00174F9B"/>
    <w:rsid w:val="00177D95"/>
    <w:rsid w:val="00181460"/>
    <w:rsid w:val="00182C28"/>
    <w:rsid w:val="00190F4C"/>
    <w:rsid w:val="00193D49"/>
    <w:rsid w:val="0019577E"/>
    <w:rsid w:val="001B1366"/>
    <w:rsid w:val="001B2BDE"/>
    <w:rsid w:val="001B2FAE"/>
    <w:rsid w:val="001C2E44"/>
    <w:rsid w:val="001D047F"/>
    <w:rsid w:val="001E0216"/>
    <w:rsid w:val="001E0590"/>
    <w:rsid w:val="001E3E3A"/>
    <w:rsid w:val="001E4E53"/>
    <w:rsid w:val="001E6153"/>
    <w:rsid w:val="001E6C5D"/>
    <w:rsid w:val="001E7AB6"/>
    <w:rsid w:val="001F330A"/>
    <w:rsid w:val="001F4D3C"/>
    <w:rsid w:val="00201770"/>
    <w:rsid w:val="00204164"/>
    <w:rsid w:val="00204F25"/>
    <w:rsid w:val="00205999"/>
    <w:rsid w:val="00207350"/>
    <w:rsid w:val="00207DB7"/>
    <w:rsid w:val="00221909"/>
    <w:rsid w:val="002230A4"/>
    <w:rsid w:val="00231EAB"/>
    <w:rsid w:val="00232E04"/>
    <w:rsid w:val="00236055"/>
    <w:rsid w:val="00236B7D"/>
    <w:rsid w:val="00241686"/>
    <w:rsid w:val="00242C6C"/>
    <w:rsid w:val="00244627"/>
    <w:rsid w:val="002563B4"/>
    <w:rsid w:val="0025753A"/>
    <w:rsid w:val="00262C01"/>
    <w:rsid w:val="002738BD"/>
    <w:rsid w:val="002867CF"/>
    <w:rsid w:val="00293976"/>
    <w:rsid w:val="00297271"/>
    <w:rsid w:val="002B3400"/>
    <w:rsid w:val="002B4610"/>
    <w:rsid w:val="002C0483"/>
    <w:rsid w:val="002C1328"/>
    <w:rsid w:val="002C27F2"/>
    <w:rsid w:val="002C38A0"/>
    <w:rsid w:val="002C3A2B"/>
    <w:rsid w:val="002C7DD7"/>
    <w:rsid w:val="002D2EF2"/>
    <w:rsid w:val="002D4440"/>
    <w:rsid w:val="002E0A18"/>
    <w:rsid w:val="002E6BA4"/>
    <w:rsid w:val="002F55FD"/>
    <w:rsid w:val="002F667D"/>
    <w:rsid w:val="003014B1"/>
    <w:rsid w:val="003051FD"/>
    <w:rsid w:val="00305816"/>
    <w:rsid w:val="00314C4A"/>
    <w:rsid w:val="00315EB2"/>
    <w:rsid w:val="003162D6"/>
    <w:rsid w:val="00316994"/>
    <w:rsid w:val="00320B19"/>
    <w:rsid w:val="00322C10"/>
    <w:rsid w:val="00327461"/>
    <w:rsid w:val="00330EE9"/>
    <w:rsid w:val="003331F5"/>
    <w:rsid w:val="00337A9F"/>
    <w:rsid w:val="00344631"/>
    <w:rsid w:val="00346976"/>
    <w:rsid w:val="00347950"/>
    <w:rsid w:val="00353905"/>
    <w:rsid w:val="00355191"/>
    <w:rsid w:val="003667E9"/>
    <w:rsid w:val="00366E54"/>
    <w:rsid w:val="0037075A"/>
    <w:rsid w:val="00371C87"/>
    <w:rsid w:val="00380673"/>
    <w:rsid w:val="003809BA"/>
    <w:rsid w:val="00384EB6"/>
    <w:rsid w:val="003868E3"/>
    <w:rsid w:val="0039417D"/>
    <w:rsid w:val="003A3917"/>
    <w:rsid w:val="003A622A"/>
    <w:rsid w:val="003B031E"/>
    <w:rsid w:val="003B31F1"/>
    <w:rsid w:val="003B7C9A"/>
    <w:rsid w:val="003C027A"/>
    <w:rsid w:val="003C393F"/>
    <w:rsid w:val="003D3465"/>
    <w:rsid w:val="003D478D"/>
    <w:rsid w:val="003D7400"/>
    <w:rsid w:val="003E0AD4"/>
    <w:rsid w:val="003E1425"/>
    <w:rsid w:val="003E64C1"/>
    <w:rsid w:val="003F1067"/>
    <w:rsid w:val="003F1F9C"/>
    <w:rsid w:val="003F7B0D"/>
    <w:rsid w:val="004029ED"/>
    <w:rsid w:val="00403AA3"/>
    <w:rsid w:val="0040651A"/>
    <w:rsid w:val="004276D4"/>
    <w:rsid w:val="00431C3B"/>
    <w:rsid w:val="00435268"/>
    <w:rsid w:val="0044023A"/>
    <w:rsid w:val="004437ED"/>
    <w:rsid w:val="0044600A"/>
    <w:rsid w:val="00447BDE"/>
    <w:rsid w:val="00450ADB"/>
    <w:rsid w:val="00452102"/>
    <w:rsid w:val="004531C4"/>
    <w:rsid w:val="00454EBB"/>
    <w:rsid w:val="0046501E"/>
    <w:rsid w:val="0046694A"/>
    <w:rsid w:val="0046760D"/>
    <w:rsid w:val="00467833"/>
    <w:rsid w:val="00467B9E"/>
    <w:rsid w:val="00474447"/>
    <w:rsid w:val="004820E2"/>
    <w:rsid w:val="004853B6"/>
    <w:rsid w:val="004861BA"/>
    <w:rsid w:val="00486E44"/>
    <w:rsid w:val="0049027F"/>
    <w:rsid w:val="004925A4"/>
    <w:rsid w:val="004929AD"/>
    <w:rsid w:val="004A0443"/>
    <w:rsid w:val="004A5F2A"/>
    <w:rsid w:val="004A6736"/>
    <w:rsid w:val="004B49D2"/>
    <w:rsid w:val="004C5B3E"/>
    <w:rsid w:val="004E126C"/>
    <w:rsid w:val="004F5BCD"/>
    <w:rsid w:val="00500E35"/>
    <w:rsid w:val="005033B8"/>
    <w:rsid w:val="00503A40"/>
    <w:rsid w:val="00506840"/>
    <w:rsid w:val="00511A25"/>
    <w:rsid w:val="00517D40"/>
    <w:rsid w:val="00520861"/>
    <w:rsid w:val="00521880"/>
    <w:rsid w:val="005230F6"/>
    <w:rsid w:val="00525C35"/>
    <w:rsid w:val="005279FB"/>
    <w:rsid w:val="00532BF5"/>
    <w:rsid w:val="0053541C"/>
    <w:rsid w:val="005458AD"/>
    <w:rsid w:val="0054778A"/>
    <w:rsid w:val="00553211"/>
    <w:rsid w:val="0055409E"/>
    <w:rsid w:val="0055460A"/>
    <w:rsid w:val="00554A36"/>
    <w:rsid w:val="00562514"/>
    <w:rsid w:val="00564C6D"/>
    <w:rsid w:val="00576E04"/>
    <w:rsid w:val="0057733C"/>
    <w:rsid w:val="00581AC2"/>
    <w:rsid w:val="00583AC0"/>
    <w:rsid w:val="00584BFC"/>
    <w:rsid w:val="005873D0"/>
    <w:rsid w:val="005917A6"/>
    <w:rsid w:val="005932B6"/>
    <w:rsid w:val="00596F89"/>
    <w:rsid w:val="005B53A3"/>
    <w:rsid w:val="005C06FA"/>
    <w:rsid w:val="005D54D6"/>
    <w:rsid w:val="005D6CCE"/>
    <w:rsid w:val="005E49B5"/>
    <w:rsid w:val="005E671C"/>
    <w:rsid w:val="005F6F86"/>
    <w:rsid w:val="00600743"/>
    <w:rsid w:val="006048A4"/>
    <w:rsid w:val="00605362"/>
    <w:rsid w:val="006064F7"/>
    <w:rsid w:val="006068F0"/>
    <w:rsid w:val="00606C3B"/>
    <w:rsid w:val="00622C28"/>
    <w:rsid w:val="00626CA8"/>
    <w:rsid w:val="006271A0"/>
    <w:rsid w:val="006301C4"/>
    <w:rsid w:val="00631BAB"/>
    <w:rsid w:val="006406A8"/>
    <w:rsid w:val="00640B4E"/>
    <w:rsid w:val="00641D5B"/>
    <w:rsid w:val="00644AAD"/>
    <w:rsid w:val="00653CDE"/>
    <w:rsid w:val="00656442"/>
    <w:rsid w:val="00661DA0"/>
    <w:rsid w:val="006632E6"/>
    <w:rsid w:val="00670E85"/>
    <w:rsid w:val="0067703D"/>
    <w:rsid w:val="006831E3"/>
    <w:rsid w:val="00683A20"/>
    <w:rsid w:val="00691B1A"/>
    <w:rsid w:val="00695425"/>
    <w:rsid w:val="006A101B"/>
    <w:rsid w:val="006A6623"/>
    <w:rsid w:val="006A6DC8"/>
    <w:rsid w:val="006C015A"/>
    <w:rsid w:val="006C2360"/>
    <w:rsid w:val="006C55A9"/>
    <w:rsid w:val="006C5999"/>
    <w:rsid w:val="006D0A1B"/>
    <w:rsid w:val="006D6A62"/>
    <w:rsid w:val="006F0015"/>
    <w:rsid w:val="007005FC"/>
    <w:rsid w:val="00707FF2"/>
    <w:rsid w:val="00715456"/>
    <w:rsid w:val="00717D53"/>
    <w:rsid w:val="0072351B"/>
    <w:rsid w:val="00730FBB"/>
    <w:rsid w:val="0073261C"/>
    <w:rsid w:val="00736625"/>
    <w:rsid w:val="007400D4"/>
    <w:rsid w:val="00744B4B"/>
    <w:rsid w:val="00745BFF"/>
    <w:rsid w:val="0074683F"/>
    <w:rsid w:val="007549ED"/>
    <w:rsid w:val="0075643C"/>
    <w:rsid w:val="00756DD1"/>
    <w:rsid w:val="00757B36"/>
    <w:rsid w:val="00761289"/>
    <w:rsid w:val="00761EA6"/>
    <w:rsid w:val="00767154"/>
    <w:rsid w:val="00773B6C"/>
    <w:rsid w:val="00773FEE"/>
    <w:rsid w:val="00781DF2"/>
    <w:rsid w:val="00790B95"/>
    <w:rsid w:val="007937A3"/>
    <w:rsid w:val="007B4684"/>
    <w:rsid w:val="007C09EA"/>
    <w:rsid w:val="007C2309"/>
    <w:rsid w:val="007C3B9F"/>
    <w:rsid w:val="007D5273"/>
    <w:rsid w:val="007D6581"/>
    <w:rsid w:val="007D6EBC"/>
    <w:rsid w:val="007E4EE5"/>
    <w:rsid w:val="007F0A33"/>
    <w:rsid w:val="007F1D2B"/>
    <w:rsid w:val="007F4D7D"/>
    <w:rsid w:val="007F717F"/>
    <w:rsid w:val="008176CE"/>
    <w:rsid w:val="008232D5"/>
    <w:rsid w:val="00823F88"/>
    <w:rsid w:val="0082700E"/>
    <w:rsid w:val="008300D6"/>
    <w:rsid w:val="00843D45"/>
    <w:rsid w:val="00852105"/>
    <w:rsid w:val="0085544C"/>
    <w:rsid w:val="008604A4"/>
    <w:rsid w:val="008606F1"/>
    <w:rsid w:val="00860D9E"/>
    <w:rsid w:val="00862516"/>
    <w:rsid w:val="00862C98"/>
    <w:rsid w:val="0086784A"/>
    <w:rsid w:val="008811BB"/>
    <w:rsid w:val="00884C48"/>
    <w:rsid w:val="008962ED"/>
    <w:rsid w:val="0089747C"/>
    <w:rsid w:val="008974F2"/>
    <w:rsid w:val="008A2903"/>
    <w:rsid w:val="008C4798"/>
    <w:rsid w:val="008D3FFB"/>
    <w:rsid w:val="008D43F8"/>
    <w:rsid w:val="008E268A"/>
    <w:rsid w:val="008E3451"/>
    <w:rsid w:val="008E53FF"/>
    <w:rsid w:val="008F2F9D"/>
    <w:rsid w:val="00904A9B"/>
    <w:rsid w:val="00905884"/>
    <w:rsid w:val="00910876"/>
    <w:rsid w:val="00920D6C"/>
    <w:rsid w:val="009276D5"/>
    <w:rsid w:val="00940857"/>
    <w:rsid w:val="00942D58"/>
    <w:rsid w:val="00942FDE"/>
    <w:rsid w:val="00952863"/>
    <w:rsid w:val="009528FA"/>
    <w:rsid w:val="0096166D"/>
    <w:rsid w:val="00986C7E"/>
    <w:rsid w:val="009911B9"/>
    <w:rsid w:val="009924D4"/>
    <w:rsid w:val="009961B0"/>
    <w:rsid w:val="009963BC"/>
    <w:rsid w:val="009A6C00"/>
    <w:rsid w:val="009B644A"/>
    <w:rsid w:val="009B67C7"/>
    <w:rsid w:val="009C3D9F"/>
    <w:rsid w:val="009C60E6"/>
    <w:rsid w:val="009D5E30"/>
    <w:rsid w:val="009D64B0"/>
    <w:rsid w:val="009D78FE"/>
    <w:rsid w:val="009E0DF2"/>
    <w:rsid w:val="009E2765"/>
    <w:rsid w:val="009E2C4C"/>
    <w:rsid w:val="009E509B"/>
    <w:rsid w:val="009E5F55"/>
    <w:rsid w:val="009F48CE"/>
    <w:rsid w:val="009F5431"/>
    <w:rsid w:val="009F5C57"/>
    <w:rsid w:val="00A079C6"/>
    <w:rsid w:val="00A11791"/>
    <w:rsid w:val="00A12F34"/>
    <w:rsid w:val="00A15437"/>
    <w:rsid w:val="00A207B9"/>
    <w:rsid w:val="00A317A2"/>
    <w:rsid w:val="00A31C07"/>
    <w:rsid w:val="00A31E32"/>
    <w:rsid w:val="00A35D90"/>
    <w:rsid w:val="00A37ECC"/>
    <w:rsid w:val="00A41DC7"/>
    <w:rsid w:val="00A4364F"/>
    <w:rsid w:val="00A5424F"/>
    <w:rsid w:val="00A54EBE"/>
    <w:rsid w:val="00A56CB5"/>
    <w:rsid w:val="00A64717"/>
    <w:rsid w:val="00A748C9"/>
    <w:rsid w:val="00A77398"/>
    <w:rsid w:val="00A80C51"/>
    <w:rsid w:val="00A81EDF"/>
    <w:rsid w:val="00A83A62"/>
    <w:rsid w:val="00A87D29"/>
    <w:rsid w:val="00A926D7"/>
    <w:rsid w:val="00A929CC"/>
    <w:rsid w:val="00A9536F"/>
    <w:rsid w:val="00A95495"/>
    <w:rsid w:val="00A955F2"/>
    <w:rsid w:val="00AA0FBE"/>
    <w:rsid w:val="00AA30CD"/>
    <w:rsid w:val="00AA4479"/>
    <w:rsid w:val="00AA48D1"/>
    <w:rsid w:val="00AA5C03"/>
    <w:rsid w:val="00AB7E31"/>
    <w:rsid w:val="00AD2F5B"/>
    <w:rsid w:val="00AD464B"/>
    <w:rsid w:val="00AD7E81"/>
    <w:rsid w:val="00AE0FF5"/>
    <w:rsid w:val="00AE127D"/>
    <w:rsid w:val="00AF12E5"/>
    <w:rsid w:val="00AF7D70"/>
    <w:rsid w:val="00B017FE"/>
    <w:rsid w:val="00B05D04"/>
    <w:rsid w:val="00B17E63"/>
    <w:rsid w:val="00B17F7F"/>
    <w:rsid w:val="00B20869"/>
    <w:rsid w:val="00B211ED"/>
    <w:rsid w:val="00B319D0"/>
    <w:rsid w:val="00B33B3B"/>
    <w:rsid w:val="00B52B37"/>
    <w:rsid w:val="00B548FD"/>
    <w:rsid w:val="00B556FB"/>
    <w:rsid w:val="00B559E4"/>
    <w:rsid w:val="00B56361"/>
    <w:rsid w:val="00B61746"/>
    <w:rsid w:val="00B62005"/>
    <w:rsid w:val="00B67934"/>
    <w:rsid w:val="00B76FFB"/>
    <w:rsid w:val="00B7795B"/>
    <w:rsid w:val="00B77961"/>
    <w:rsid w:val="00B803FE"/>
    <w:rsid w:val="00B8358C"/>
    <w:rsid w:val="00B84C74"/>
    <w:rsid w:val="00B85886"/>
    <w:rsid w:val="00B85B7B"/>
    <w:rsid w:val="00B94CF1"/>
    <w:rsid w:val="00BA2379"/>
    <w:rsid w:val="00BA6F13"/>
    <w:rsid w:val="00BB3A8E"/>
    <w:rsid w:val="00BB5CD0"/>
    <w:rsid w:val="00BB7111"/>
    <w:rsid w:val="00BC0690"/>
    <w:rsid w:val="00BC4D83"/>
    <w:rsid w:val="00BC6D1F"/>
    <w:rsid w:val="00BD1CD3"/>
    <w:rsid w:val="00BD744F"/>
    <w:rsid w:val="00BE0F5B"/>
    <w:rsid w:val="00BE242C"/>
    <w:rsid w:val="00BF2DE4"/>
    <w:rsid w:val="00BF4E4B"/>
    <w:rsid w:val="00BF7045"/>
    <w:rsid w:val="00C02E9C"/>
    <w:rsid w:val="00C03881"/>
    <w:rsid w:val="00C03EC3"/>
    <w:rsid w:val="00C051BA"/>
    <w:rsid w:val="00C052AB"/>
    <w:rsid w:val="00C114D9"/>
    <w:rsid w:val="00C115C2"/>
    <w:rsid w:val="00C12A33"/>
    <w:rsid w:val="00C20A8B"/>
    <w:rsid w:val="00C234FA"/>
    <w:rsid w:val="00C31DD3"/>
    <w:rsid w:val="00C3405B"/>
    <w:rsid w:val="00C4107E"/>
    <w:rsid w:val="00C510B7"/>
    <w:rsid w:val="00C54574"/>
    <w:rsid w:val="00C67F26"/>
    <w:rsid w:val="00C72985"/>
    <w:rsid w:val="00C73607"/>
    <w:rsid w:val="00C7715B"/>
    <w:rsid w:val="00C7749B"/>
    <w:rsid w:val="00C82DE7"/>
    <w:rsid w:val="00C90F87"/>
    <w:rsid w:val="00C91EA9"/>
    <w:rsid w:val="00CB10A1"/>
    <w:rsid w:val="00CB1671"/>
    <w:rsid w:val="00CB3128"/>
    <w:rsid w:val="00CB582D"/>
    <w:rsid w:val="00CB63FC"/>
    <w:rsid w:val="00CB78F3"/>
    <w:rsid w:val="00CC1E96"/>
    <w:rsid w:val="00CC7527"/>
    <w:rsid w:val="00CD60E2"/>
    <w:rsid w:val="00CF37DE"/>
    <w:rsid w:val="00CF45D0"/>
    <w:rsid w:val="00CF4883"/>
    <w:rsid w:val="00CF6FCC"/>
    <w:rsid w:val="00D06972"/>
    <w:rsid w:val="00D07CDB"/>
    <w:rsid w:val="00D21461"/>
    <w:rsid w:val="00D22BE5"/>
    <w:rsid w:val="00D30B85"/>
    <w:rsid w:val="00D37A63"/>
    <w:rsid w:val="00D44310"/>
    <w:rsid w:val="00D44B33"/>
    <w:rsid w:val="00D556A1"/>
    <w:rsid w:val="00D563C2"/>
    <w:rsid w:val="00D57164"/>
    <w:rsid w:val="00D57281"/>
    <w:rsid w:val="00D65967"/>
    <w:rsid w:val="00D732AF"/>
    <w:rsid w:val="00D777F1"/>
    <w:rsid w:val="00D8185B"/>
    <w:rsid w:val="00D8194A"/>
    <w:rsid w:val="00D82F3E"/>
    <w:rsid w:val="00D969A3"/>
    <w:rsid w:val="00DA584A"/>
    <w:rsid w:val="00DB6895"/>
    <w:rsid w:val="00DC7AB8"/>
    <w:rsid w:val="00DD4A16"/>
    <w:rsid w:val="00DD525D"/>
    <w:rsid w:val="00DD5508"/>
    <w:rsid w:val="00DE0E0D"/>
    <w:rsid w:val="00DE5E63"/>
    <w:rsid w:val="00DE675A"/>
    <w:rsid w:val="00DE79A5"/>
    <w:rsid w:val="00E03AE2"/>
    <w:rsid w:val="00E1452E"/>
    <w:rsid w:val="00E375E1"/>
    <w:rsid w:val="00E40A3B"/>
    <w:rsid w:val="00E431DF"/>
    <w:rsid w:val="00E47237"/>
    <w:rsid w:val="00E54657"/>
    <w:rsid w:val="00E6697F"/>
    <w:rsid w:val="00E74681"/>
    <w:rsid w:val="00E769EF"/>
    <w:rsid w:val="00E77CF4"/>
    <w:rsid w:val="00E8042B"/>
    <w:rsid w:val="00E820A0"/>
    <w:rsid w:val="00E9217F"/>
    <w:rsid w:val="00E9496E"/>
    <w:rsid w:val="00E95E2C"/>
    <w:rsid w:val="00E96765"/>
    <w:rsid w:val="00E97D09"/>
    <w:rsid w:val="00EA009B"/>
    <w:rsid w:val="00EA04B7"/>
    <w:rsid w:val="00EA0937"/>
    <w:rsid w:val="00EA7723"/>
    <w:rsid w:val="00EB17F3"/>
    <w:rsid w:val="00EB28CA"/>
    <w:rsid w:val="00EB57D6"/>
    <w:rsid w:val="00EC5445"/>
    <w:rsid w:val="00EE1688"/>
    <w:rsid w:val="00EE23CC"/>
    <w:rsid w:val="00EF36D5"/>
    <w:rsid w:val="00EF3F63"/>
    <w:rsid w:val="00EF4C13"/>
    <w:rsid w:val="00EF6EEB"/>
    <w:rsid w:val="00F072C2"/>
    <w:rsid w:val="00F1014D"/>
    <w:rsid w:val="00F1066F"/>
    <w:rsid w:val="00F21207"/>
    <w:rsid w:val="00F231C8"/>
    <w:rsid w:val="00F5110A"/>
    <w:rsid w:val="00F52FF2"/>
    <w:rsid w:val="00F53FD4"/>
    <w:rsid w:val="00F56BEA"/>
    <w:rsid w:val="00F72D89"/>
    <w:rsid w:val="00F74F31"/>
    <w:rsid w:val="00F95FE2"/>
    <w:rsid w:val="00FA0D4F"/>
    <w:rsid w:val="00FA3C12"/>
    <w:rsid w:val="00FB02D1"/>
    <w:rsid w:val="00FB3A1E"/>
    <w:rsid w:val="00FB3C91"/>
    <w:rsid w:val="00FB4DCC"/>
    <w:rsid w:val="00FB6647"/>
    <w:rsid w:val="00FD3F1A"/>
    <w:rsid w:val="00FD4427"/>
    <w:rsid w:val="00FD442A"/>
    <w:rsid w:val="00FD6406"/>
    <w:rsid w:val="00FE5FE9"/>
    <w:rsid w:val="00FF0F02"/>
    <w:rsid w:val="01DC2F64"/>
    <w:rsid w:val="01E9081E"/>
    <w:rsid w:val="030E2EB4"/>
    <w:rsid w:val="04150F2F"/>
    <w:rsid w:val="045E01DB"/>
    <w:rsid w:val="047810A7"/>
    <w:rsid w:val="04C07235"/>
    <w:rsid w:val="04FC07BA"/>
    <w:rsid w:val="06115B87"/>
    <w:rsid w:val="068155F5"/>
    <w:rsid w:val="06DD649D"/>
    <w:rsid w:val="0721282E"/>
    <w:rsid w:val="07610F54"/>
    <w:rsid w:val="077C74E6"/>
    <w:rsid w:val="07CC09EB"/>
    <w:rsid w:val="08273988"/>
    <w:rsid w:val="08BB49AA"/>
    <w:rsid w:val="08C00181"/>
    <w:rsid w:val="08CC57A7"/>
    <w:rsid w:val="091D379F"/>
    <w:rsid w:val="09641372"/>
    <w:rsid w:val="09927A92"/>
    <w:rsid w:val="09CD219B"/>
    <w:rsid w:val="09D0226A"/>
    <w:rsid w:val="09ED576F"/>
    <w:rsid w:val="0A335922"/>
    <w:rsid w:val="0AD374BD"/>
    <w:rsid w:val="0B1E5A9B"/>
    <w:rsid w:val="0BE47F4F"/>
    <w:rsid w:val="0D012C58"/>
    <w:rsid w:val="0DD203DE"/>
    <w:rsid w:val="0E417312"/>
    <w:rsid w:val="0F0F7410"/>
    <w:rsid w:val="0FD549FC"/>
    <w:rsid w:val="0FFC5D23"/>
    <w:rsid w:val="100A0A21"/>
    <w:rsid w:val="11502A5D"/>
    <w:rsid w:val="11A85694"/>
    <w:rsid w:val="12105D15"/>
    <w:rsid w:val="127741E0"/>
    <w:rsid w:val="13AC5F03"/>
    <w:rsid w:val="13DF10C4"/>
    <w:rsid w:val="14BF5618"/>
    <w:rsid w:val="14FE71A9"/>
    <w:rsid w:val="15192A7B"/>
    <w:rsid w:val="15C016D6"/>
    <w:rsid w:val="168503A9"/>
    <w:rsid w:val="16E70F28"/>
    <w:rsid w:val="16FB6BF7"/>
    <w:rsid w:val="175265ED"/>
    <w:rsid w:val="181A5E4B"/>
    <w:rsid w:val="181E6DC2"/>
    <w:rsid w:val="186938B7"/>
    <w:rsid w:val="193208CA"/>
    <w:rsid w:val="193E101D"/>
    <w:rsid w:val="19BF1FF7"/>
    <w:rsid w:val="1A0264F4"/>
    <w:rsid w:val="1A227933"/>
    <w:rsid w:val="1A7016AA"/>
    <w:rsid w:val="1B34141D"/>
    <w:rsid w:val="1B987424"/>
    <w:rsid w:val="1BBB45BA"/>
    <w:rsid w:val="1BEC43F5"/>
    <w:rsid w:val="1C33473D"/>
    <w:rsid w:val="1C84143D"/>
    <w:rsid w:val="1D686669"/>
    <w:rsid w:val="1D884F5D"/>
    <w:rsid w:val="1DE97F49"/>
    <w:rsid w:val="1E16761F"/>
    <w:rsid w:val="1EB2209B"/>
    <w:rsid w:val="1EE53CE9"/>
    <w:rsid w:val="1FAD0B41"/>
    <w:rsid w:val="1FB159D8"/>
    <w:rsid w:val="1FD746B4"/>
    <w:rsid w:val="2011276B"/>
    <w:rsid w:val="20BD316F"/>
    <w:rsid w:val="20C75D9C"/>
    <w:rsid w:val="216750D4"/>
    <w:rsid w:val="21DD6EFA"/>
    <w:rsid w:val="22A238FE"/>
    <w:rsid w:val="22F614FB"/>
    <w:rsid w:val="23C14D25"/>
    <w:rsid w:val="245B3C6C"/>
    <w:rsid w:val="245E3872"/>
    <w:rsid w:val="24D855D4"/>
    <w:rsid w:val="25100723"/>
    <w:rsid w:val="253E5B1C"/>
    <w:rsid w:val="256040C9"/>
    <w:rsid w:val="25B97332"/>
    <w:rsid w:val="26773DC1"/>
    <w:rsid w:val="26E1123A"/>
    <w:rsid w:val="271D2FDF"/>
    <w:rsid w:val="274719E5"/>
    <w:rsid w:val="27827292"/>
    <w:rsid w:val="279745BA"/>
    <w:rsid w:val="2829733C"/>
    <w:rsid w:val="286E0AB8"/>
    <w:rsid w:val="287309D6"/>
    <w:rsid w:val="28862099"/>
    <w:rsid w:val="28B57A55"/>
    <w:rsid w:val="28BD423E"/>
    <w:rsid w:val="28DD1752"/>
    <w:rsid w:val="292F2731"/>
    <w:rsid w:val="29496EFE"/>
    <w:rsid w:val="29875C6D"/>
    <w:rsid w:val="29AD180A"/>
    <w:rsid w:val="2A110088"/>
    <w:rsid w:val="2AD4533E"/>
    <w:rsid w:val="2B794137"/>
    <w:rsid w:val="2C840FE5"/>
    <w:rsid w:val="2C85348C"/>
    <w:rsid w:val="2CF55A3F"/>
    <w:rsid w:val="2D60362C"/>
    <w:rsid w:val="2D744BB6"/>
    <w:rsid w:val="2DD14AFE"/>
    <w:rsid w:val="2E216586"/>
    <w:rsid w:val="2EDF0F86"/>
    <w:rsid w:val="2EF056CE"/>
    <w:rsid w:val="2EF10702"/>
    <w:rsid w:val="2F70381B"/>
    <w:rsid w:val="31DD0EC6"/>
    <w:rsid w:val="31FD7F77"/>
    <w:rsid w:val="320E67F7"/>
    <w:rsid w:val="321821B6"/>
    <w:rsid w:val="324C6101"/>
    <w:rsid w:val="327C5886"/>
    <w:rsid w:val="33456C06"/>
    <w:rsid w:val="35094CE1"/>
    <w:rsid w:val="35147EF1"/>
    <w:rsid w:val="35213875"/>
    <w:rsid w:val="355361AD"/>
    <w:rsid w:val="35D23587"/>
    <w:rsid w:val="36E6469C"/>
    <w:rsid w:val="374B5177"/>
    <w:rsid w:val="37AA0CCB"/>
    <w:rsid w:val="37CE4EB3"/>
    <w:rsid w:val="383A687E"/>
    <w:rsid w:val="393B2A2C"/>
    <w:rsid w:val="3A13370F"/>
    <w:rsid w:val="3A577D39"/>
    <w:rsid w:val="3B7010B2"/>
    <w:rsid w:val="3BD7697A"/>
    <w:rsid w:val="3C8060C7"/>
    <w:rsid w:val="3CFC1DE4"/>
    <w:rsid w:val="3D211F38"/>
    <w:rsid w:val="3DC300EC"/>
    <w:rsid w:val="3FFE28AA"/>
    <w:rsid w:val="40065030"/>
    <w:rsid w:val="4053669A"/>
    <w:rsid w:val="40C94DC1"/>
    <w:rsid w:val="41195D48"/>
    <w:rsid w:val="412D49ED"/>
    <w:rsid w:val="413B5CBF"/>
    <w:rsid w:val="41764F49"/>
    <w:rsid w:val="417810D3"/>
    <w:rsid w:val="418E7515"/>
    <w:rsid w:val="41E36684"/>
    <w:rsid w:val="425006B9"/>
    <w:rsid w:val="42F12D55"/>
    <w:rsid w:val="437E6337"/>
    <w:rsid w:val="4392593E"/>
    <w:rsid w:val="43FC49F9"/>
    <w:rsid w:val="44CA4BFA"/>
    <w:rsid w:val="44EC05B1"/>
    <w:rsid w:val="44F27D09"/>
    <w:rsid w:val="46173A25"/>
    <w:rsid w:val="4691035D"/>
    <w:rsid w:val="46E22739"/>
    <w:rsid w:val="46EB783F"/>
    <w:rsid w:val="46F304F7"/>
    <w:rsid w:val="472F1E22"/>
    <w:rsid w:val="4741527F"/>
    <w:rsid w:val="47503B46"/>
    <w:rsid w:val="477A662A"/>
    <w:rsid w:val="47BA1043"/>
    <w:rsid w:val="484B463A"/>
    <w:rsid w:val="49A645F7"/>
    <w:rsid w:val="49E62540"/>
    <w:rsid w:val="4A28714E"/>
    <w:rsid w:val="4AEA2D3B"/>
    <w:rsid w:val="4B333476"/>
    <w:rsid w:val="4B52380B"/>
    <w:rsid w:val="4B895879"/>
    <w:rsid w:val="4B8D6ED7"/>
    <w:rsid w:val="4BD92322"/>
    <w:rsid w:val="4C0B44E0"/>
    <w:rsid w:val="4D083EE4"/>
    <w:rsid w:val="4D301B72"/>
    <w:rsid w:val="4D5763B7"/>
    <w:rsid w:val="4DC31AD7"/>
    <w:rsid w:val="4DD51AE6"/>
    <w:rsid w:val="4DD90079"/>
    <w:rsid w:val="4DF21E8F"/>
    <w:rsid w:val="4DFA2659"/>
    <w:rsid w:val="4E9F5DB2"/>
    <w:rsid w:val="4EB41A99"/>
    <w:rsid w:val="4FA92DE3"/>
    <w:rsid w:val="50146059"/>
    <w:rsid w:val="50293AB2"/>
    <w:rsid w:val="504970E8"/>
    <w:rsid w:val="50660FDB"/>
    <w:rsid w:val="52525C43"/>
    <w:rsid w:val="528A2602"/>
    <w:rsid w:val="541303D5"/>
    <w:rsid w:val="54656F77"/>
    <w:rsid w:val="54B856EF"/>
    <w:rsid w:val="554357EC"/>
    <w:rsid w:val="55480662"/>
    <w:rsid w:val="559D4AB5"/>
    <w:rsid w:val="55C71BF8"/>
    <w:rsid w:val="55FE4001"/>
    <w:rsid w:val="56006927"/>
    <w:rsid w:val="569C6E48"/>
    <w:rsid w:val="56D818F4"/>
    <w:rsid w:val="5748072D"/>
    <w:rsid w:val="57803FD4"/>
    <w:rsid w:val="579D0C12"/>
    <w:rsid w:val="57CA2E46"/>
    <w:rsid w:val="58047C4F"/>
    <w:rsid w:val="58117322"/>
    <w:rsid w:val="581A4428"/>
    <w:rsid w:val="584D7CEC"/>
    <w:rsid w:val="58545124"/>
    <w:rsid w:val="5ABC4A13"/>
    <w:rsid w:val="5AD308BE"/>
    <w:rsid w:val="5B8334D9"/>
    <w:rsid w:val="5BC0076C"/>
    <w:rsid w:val="5CFE6399"/>
    <w:rsid w:val="5D0225C5"/>
    <w:rsid w:val="5D373670"/>
    <w:rsid w:val="5D815062"/>
    <w:rsid w:val="5D881E34"/>
    <w:rsid w:val="5DFB43B4"/>
    <w:rsid w:val="5E2A7E1A"/>
    <w:rsid w:val="5F3846C5"/>
    <w:rsid w:val="5F901E63"/>
    <w:rsid w:val="5FF05A6E"/>
    <w:rsid w:val="604F3C25"/>
    <w:rsid w:val="606B1E09"/>
    <w:rsid w:val="613100ED"/>
    <w:rsid w:val="614C4F26"/>
    <w:rsid w:val="61630BEE"/>
    <w:rsid w:val="61C97E28"/>
    <w:rsid w:val="62A02B74"/>
    <w:rsid w:val="6410048D"/>
    <w:rsid w:val="642770CF"/>
    <w:rsid w:val="64506C19"/>
    <w:rsid w:val="64526CF8"/>
    <w:rsid w:val="645E744B"/>
    <w:rsid w:val="64923298"/>
    <w:rsid w:val="64DC7E12"/>
    <w:rsid w:val="652B2CC8"/>
    <w:rsid w:val="65315D6B"/>
    <w:rsid w:val="654C3747"/>
    <w:rsid w:val="65D43819"/>
    <w:rsid w:val="66955EE5"/>
    <w:rsid w:val="66961DF9"/>
    <w:rsid w:val="672030DD"/>
    <w:rsid w:val="67283D40"/>
    <w:rsid w:val="683055A2"/>
    <w:rsid w:val="68AF07CB"/>
    <w:rsid w:val="6A2F0DDE"/>
    <w:rsid w:val="6A892D47"/>
    <w:rsid w:val="6AD6255B"/>
    <w:rsid w:val="6ADB467A"/>
    <w:rsid w:val="6B2D401B"/>
    <w:rsid w:val="6B830674"/>
    <w:rsid w:val="6B8C554A"/>
    <w:rsid w:val="6BB36C57"/>
    <w:rsid w:val="6BFF59B7"/>
    <w:rsid w:val="6C184383"/>
    <w:rsid w:val="6C6337A4"/>
    <w:rsid w:val="6C6E75B8"/>
    <w:rsid w:val="6CB25732"/>
    <w:rsid w:val="6D3B47CD"/>
    <w:rsid w:val="6D6F361C"/>
    <w:rsid w:val="6D9B7A83"/>
    <w:rsid w:val="6E12471B"/>
    <w:rsid w:val="6F7E3097"/>
    <w:rsid w:val="6FA86B63"/>
    <w:rsid w:val="6FCE27E8"/>
    <w:rsid w:val="707D4D76"/>
    <w:rsid w:val="70CE7706"/>
    <w:rsid w:val="70F66F81"/>
    <w:rsid w:val="71221C60"/>
    <w:rsid w:val="71940950"/>
    <w:rsid w:val="71D04129"/>
    <w:rsid w:val="720178B4"/>
    <w:rsid w:val="73452751"/>
    <w:rsid w:val="753D30AC"/>
    <w:rsid w:val="75457F23"/>
    <w:rsid w:val="755C3E40"/>
    <w:rsid w:val="758B3E18"/>
    <w:rsid w:val="75A657F4"/>
    <w:rsid w:val="760477CC"/>
    <w:rsid w:val="762D1373"/>
    <w:rsid w:val="77610E5D"/>
    <w:rsid w:val="78EA39B5"/>
    <w:rsid w:val="79DD21CA"/>
    <w:rsid w:val="7A796549"/>
    <w:rsid w:val="7BCE4A5E"/>
    <w:rsid w:val="7BDD1145"/>
    <w:rsid w:val="7BF75B32"/>
    <w:rsid w:val="7C35301B"/>
    <w:rsid w:val="7CFB19E9"/>
    <w:rsid w:val="7D2F777E"/>
    <w:rsid w:val="7D3D50B2"/>
    <w:rsid w:val="7D5F5C08"/>
    <w:rsid w:val="7D657644"/>
    <w:rsid w:val="7D887ABE"/>
    <w:rsid w:val="7E8104AE"/>
    <w:rsid w:val="7F0177F4"/>
    <w:rsid w:val="7F3D7670"/>
    <w:rsid w:val="7FBC2450"/>
    <w:rsid w:val="7FCB5E8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99"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3"/>
    <w:autoRedefine/>
    <w:qFormat/>
    <w:uiPriority w:val="0"/>
    <w:pPr>
      <w:keepNext/>
      <w:keepLines/>
      <w:spacing w:before="340" w:beforeLines="0" w:after="330" w:afterLines="0" w:line="576" w:lineRule="auto"/>
      <w:outlineLvl w:val="0"/>
    </w:pPr>
    <w:rPr>
      <w:b/>
      <w:bCs/>
      <w:kern w:val="44"/>
      <w:sz w:val="44"/>
      <w:szCs w:val="44"/>
    </w:rPr>
  </w:style>
  <w:style w:type="paragraph" w:styleId="3">
    <w:name w:val="heading 2"/>
    <w:basedOn w:val="1"/>
    <w:next w:val="1"/>
    <w:link w:val="44"/>
    <w:autoRedefine/>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4">
    <w:name w:val="heading 3"/>
    <w:basedOn w:val="1"/>
    <w:next w:val="1"/>
    <w:link w:val="45"/>
    <w:autoRedefine/>
    <w:qFormat/>
    <w:uiPriority w:val="0"/>
    <w:pPr>
      <w:keepNext/>
      <w:keepLines/>
      <w:spacing w:line="600" w:lineRule="exact"/>
      <w:ind w:firstLine="643" w:firstLineChars="200"/>
      <w:outlineLvl w:val="2"/>
    </w:pPr>
    <w:rPr>
      <w:b/>
      <w:bCs/>
      <w:sz w:val="32"/>
      <w:szCs w:val="32"/>
    </w:rPr>
  </w:style>
  <w:style w:type="paragraph" w:styleId="5">
    <w:name w:val="heading 4"/>
    <w:basedOn w:val="1"/>
    <w:next w:val="1"/>
    <w:link w:val="46"/>
    <w:autoRedefine/>
    <w:qFormat/>
    <w:uiPriority w:val="0"/>
    <w:pPr>
      <w:tabs>
        <w:tab w:val="left" w:pos="2155"/>
      </w:tabs>
      <w:adjustRightInd w:val="0"/>
      <w:spacing w:before="120" w:beforeLines="0" w:line="360" w:lineRule="auto"/>
      <w:ind w:left="2155" w:hanging="1078"/>
      <w:textAlignment w:val="baseline"/>
      <w:outlineLvl w:val="3"/>
    </w:pPr>
    <w:rPr>
      <w:rFonts w:ascii="Arial" w:eastAsia="黑体"/>
      <w:kern w:val="0"/>
      <w:sz w:val="28"/>
      <w:szCs w:val="20"/>
    </w:rPr>
  </w:style>
  <w:style w:type="paragraph" w:styleId="6">
    <w:name w:val="heading 5"/>
    <w:basedOn w:val="1"/>
    <w:next w:val="1"/>
    <w:link w:val="47"/>
    <w:autoRedefine/>
    <w:qFormat/>
    <w:uiPriority w:val="0"/>
    <w:pPr>
      <w:keepNext/>
      <w:keepLines/>
      <w:spacing w:before="280" w:after="290" w:line="376" w:lineRule="auto"/>
      <w:outlineLvl w:val="4"/>
    </w:pPr>
    <w:rPr>
      <w:b/>
      <w:bCs/>
      <w:sz w:val="28"/>
      <w:szCs w:val="28"/>
    </w:rPr>
  </w:style>
  <w:style w:type="character" w:default="1" w:styleId="37">
    <w:name w:val="Default Paragraph Font"/>
    <w:autoRedefine/>
    <w:semiHidden/>
    <w:qFormat/>
    <w:uiPriority w:val="0"/>
  </w:style>
  <w:style w:type="table" w:default="1" w:styleId="35">
    <w:name w:val="Normal Table"/>
    <w:autoRedefine/>
    <w:semiHidden/>
    <w:qFormat/>
    <w:uiPriority w:val="0"/>
    <w:tblPr>
      <w:tblCellMar>
        <w:top w:w="0" w:type="dxa"/>
        <w:left w:w="108" w:type="dxa"/>
        <w:bottom w:w="0" w:type="dxa"/>
        <w:right w:w="108" w:type="dxa"/>
      </w:tblCellMar>
    </w:tblPr>
  </w:style>
  <w:style w:type="paragraph" w:styleId="7">
    <w:name w:val="toc 7"/>
    <w:basedOn w:val="1"/>
    <w:next w:val="1"/>
    <w:autoRedefine/>
    <w:qFormat/>
    <w:uiPriority w:val="0"/>
    <w:pPr>
      <w:jc w:val="left"/>
    </w:pPr>
    <w:rPr>
      <w:rFonts w:ascii="Calibri" w:hAnsi="Calibri"/>
      <w:sz w:val="22"/>
      <w:szCs w:val="22"/>
    </w:rPr>
  </w:style>
  <w:style w:type="paragraph" w:styleId="8">
    <w:name w:val="index 8"/>
    <w:basedOn w:val="1"/>
    <w:next w:val="1"/>
    <w:autoRedefine/>
    <w:qFormat/>
    <w:uiPriority w:val="99"/>
    <w:pPr>
      <w:ind w:left="1400" w:leftChars="1400"/>
    </w:pPr>
  </w:style>
  <w:style w:type="paragraph" w:styleId="9">
    <w:name w:val="Normal Indent"/>
    <w:basedOn w:val="1"/>
    <w:autoRedefine/>
    <w:qFormat/>
    <w:uiPriority w:val="0"/>
    <w:pPr>
      <w:ind w:firstLine="420"/>
    </w:pPr>
    <w:rPr>
      <w:szCs w:val="20"/>
    </w:rPr>
  </w:style>
  <w:style w:type="paragraph" w:styleId="10">
    <w:name w:val="caption"/>
    <w:basedOn w:val="1"/>
    <w:next w:val="1"/>
    <w:autoRedefine/>
    <w:qFormat/>
    <w:uiPriority w:val="0"/>
    <w:pPr>
      <w:spacing w:before="152" w:after="160"/>
    </w:pPr>
    <w:rPr>
      <w:rFonts w:ascii="Arial" w:hAnsi="Arial" w:eastAsia="黑体" w:cs="Arial"/>
      <w:sz w:val="20"/>
      <w:szCs w:val="20"/>
    </w:rPr>
  </w:style>
  <w:style w:type="paragraph" w:styleId="11">
    <w:name w:val="Document Map"/>
    <w:basedOn w:val="1"/>
    <w:link w:val="48"/>
    <w:autoRedefine/>
    <w:qFormat/>
    <w:uiPriority w:val="0"/>
    <w:rPr>
      <w:rFonts w:ascii="宋体"/>
      <w:sz w:val="18"/>
      <w:szCs w:val="18"/>
    </w:rPr>
  </w:style>
  <w:style w:type="paragraph" w:styleId="12">
    <w:name w:val="annotation text"/>
    <w:basedOn w:val="1"/>
    <w:link w:val="49"/>
    <w:autoRedefine/>
    <w:qFormat/>
    <w:uiPriority w:val="0"/>
    <w:pPr>
      <w:jc w:val="left"/>
    </w:pPr>
  </w:style>
  <w:style w:type="paragraph" w:styleId="13">
    <w:name w:val="Body Text 3"/>
    <w:basedOn w:val="1"/>
    <w:link w:val="50"/>
    <w:autoRedefine/>
    <w:qFormat/>
    <w:uiPriority w:val="0"/>
    <w:pPr>
      <w:spacing w:after="120"/>
    </w:pPr>
    <w:rPr>
      <w:sz w:val="16"/>
      <w:szCs w:val="16"/>
    </w:rPr>
  </w:style>
  <w:style w:type="paragraph" w:styleId="14">
    <w:name w:val="Body Text"/>
    <w:basedOn w:val="1"/>
    <w:next w:val="1"/>
    <w:link w:val="51"/>
    <w:autoRedefine/>
    <w:qFormat/>
    <w:uiPriority w:val="0"/>
    <w:pPr>
      <w:spacing w:after="120"/>
    </w:pPr>
  </w:style>
  <w:style w:type="paragraph" w:styleId="15">
    <w:name w:val="Body Text Indent"/>
    <w:basedOn w:val="1"/>
    <w:next w:val="16"/>
    <w:link w:val="52"/>
    <w:autoRedefine/>
    <w:qFormat/>
    <w:uiPriority w:val="99"/>
    <w:pPr>
      <w:spacing w:line="200" w:lineRule="exact"/>
      <w:ind w:firstLine="301"/>
    </w:pPr>
    <w:rPr>
      <w:rFonts w:ascii="宋体" w:hAnsi="Courier New"/>
      <w:spacing w:val="-4"/>
      <w:sz w:val="18"/>
      <w:szCs w:val="20"/>
    </w:rPr>
  </w:style>
  <w:style w:type="paragraph" w:customStyle="1" w:styleId="16">
    <w:name w:val="正文 A"/>
    <w:autoRedefine/>
    <w:qFormat/>
    <w:uiPriority w:val="99"/>
    <w:pPr>
      <w:widowControl w:val="0"/>
      <w:jc w:val="both"/>
    </w:pPr>
    <w:rPr>
      <w:rFonts w:hint="eastAsia" w:ascii="Arial Unicode MS" w:hAnsi="Arial Unicode MS" w:eastAsia="Arial Unicode MS" w:cs="Arial Unicode MS"/>
      <w:color w:val="000000"/>
      <w:kern w:val="2"/>
      <w:sz w:val="21"/>
      <w:szCs w:val="21"/>
      <w:lang w:val="en-US" w:eastAsia="zh-CN" w:bidi="ar-SA"/>
    </w:rPr>
  </w:style>
  <w:style w:type="paragraph" w:styleId="17">
    <w:name w:val="toc 5"/>
    <w:basedOn w:val="1"/>
    <w:next w:val="1"/>
    <w:autoRedefine/>
    <w:qFormat/>
    <w:uiPriority w:val="0"/>
    <w:pPr>
      <w:jc w:val="left"/>
    </w:pPr>
    <w:rPr>
      <w:rFonts w:ascii="Calibri" w:hAnsi="Calibri"/>
      <w:sz w:val="22"/>
      <w:szCs w:val="22"/>
    </w:rPr>
  </w:style>
  <w:style w:type="paragraph" w:styleId="18">
    <w:name w:val="toc 3"/>
    <w:basedOn w:val="1"/>
    <w:next w:val="1"/>
    <w:autoRedefine/>
    <w:qFormat/>
    <w:uiPriority w:val="39"/>
    <w:pPr>
      <w:jc w:val="left"/>
    </w:pPr>
    <w:rPr>
      <w:rFonts w:ascii="Calibri" w:hAnsi="Calibri"/>
      <w:smallCaps/>
      <w:sz w:val="22"/>
      <w:szCs w:val="22"/>
    </w:rPr>
  </w:style>
  <w:style w:type="paragraph" w:styleId="19">
    <w:name w:val="Plain Text"/>
    <w:basedOn w:val="1"/>
    <w:next w:val="8"/>
    <w:link w:val="53"/>
    <w:autoRedefine/>
    <w:qFormat/>
    <w:uiPriority w:val="0"/>
    <w:rPr>
      <w:rFonts w:ascii="宋体" w:hAnsi="Courier New"/>
      <w:szCs w:val="20"/>
    </w:rPr>
  </w:style>
  <w:style w:type="paragraph" w:styleId="20">
    <w:name w:val="toc 8"/>
    <w:basedOn w:val="1"/>
    <w:next w:val="1"/>
    <w:autoRedefine/>
    <w:qFormat/>
    <w:uiPriority w:val="0"/>
    <w:pPr>
      <w:jc w:val="left"/>
    </w:pPr>
    <w:rPr>
      <w:rFonts w:ascii="Calibri" w:hAnsi="Calibri"/>
      <w:sz w:val="22"/>
      <w:szCs w:val="22"/>
    </w:rPr>
  </w:style>
  <w:style w:type="paragraph" w:styleId="21">
    <w:name w:val="Date"/>
    <w:basedOn w:val="1"/>
    <w:next w:val="1"/>
    <w:link w:val="54"/>
    <w:autoRedefine/>
    <w:qFormat/>
    <w:uiPriority w:val="0"/>
    <w:pPr>
      <w:ind w:left="100" w:leftChars="2500"/>
    </w:pPr>
  </w:style>
  <w:style w:type="paragraph" w:styleId="22">
    <w:name w:val="Body Text Indent 2"/>
    <w:basedOn w:val="1"/>
    <w:link w:val="55"/>
    <w:autoRedefine/>
    <w:qFormat/>
    <w:uiPriority w:val="0"/>
    <w:pPr>
      <w:spacing w:after="120" w:afterLines="0" w:line="480" w:lineRule="auto"/>
      <w:ind w:left="420" w:leftChars="200"/>
    </w:pPr>
  </w:style>
  <w:style w:type="paragraph" w:styleId="23">
    <w:name w:val="Balloon Text"/>
    <w:basedOn w:val="1"/>
    <w:link w:val="56"/>
    <w:autoRedefine/>
    <w:qFormat/>
    <w:uiPriority w:val="0"/>
    <w:rPr>
      <w:sz w:val="18"/>
      <w:szCs w:val="18"/>
    </w:rPr>
  </w:style>
  <w:style w:type="paragraph" w:styleId="24">
    <w:name w:val="footer"/>
    <w:basedOn w:val="1"/>
    <w:next w:val="1"/>
    <w:link w:val="57"/>
    <w:autoRedefine/>
    <w:qFormat/>
    <w:uiPriority w:val="99"/>
    <w:pPr>
      <w:tabs>
        <w:tab w:val="center" w:pos="4153"/>
        <w:tab w:val="right" w:pos="8306"/>
      </w:tabs>
      <w:snapToGrid w:val="0"/>
      <w:jc w:val="left"/>
    </w:pPr>
    <w:rPr>
      <w:sz w:val="18"/>
      <w:szCs w:val="18"/>
    </w:rPr>
  </w:style>
  <w:style w:type="paragraph" w:styleId="25">
    <w:name w:val="header"/>
    <w:basedOn w:val="1"/>
    <w:link w:val="58"/>
    <w:autoRedefine/>
    <w:qFormat/>
    <w:uiPriority w:val="0"/>
    <w:pPr>
      <w:pBdr>
        <w:bottom w:val="single" w:color="auto" w:sz="6" w:space="1"/>
      </w:pBdr>
      <w:tabs>
        <w:tab w:val="center" w:pos="4153"/>
        <w:tab w:val="right" w:pos="8306"/>
      </w:tabs>
      <w:snapToGrid w:val="0"/>
      <w:jc w:val="center"/>
    </w:pPr>
    <w:rPr>
      <w:sz w:val="18"/>
      <w:szCs w:val="18"/>
    </w:rPr>
  </w:style>
  <w:style w:type="paragraph" w:styleId="26">
    <w:name w:val="toc 1"/>
    <w:basedOn w:val="1"/>
    <w:next w:val="1"/>
    <w:autoRedefine/>
    <w:qFormat/>
    <w:uiPriority w:val="39"/>
    <w:pPr>
      <w:spacing w:before="360" w:after="360"/>
      <w:jc w:val="left"/>
    </w:pPr>
    <w:rPr>
      <w:rFonts w:ascii="Calibri" w:hAnsi="Calibri"/>
      <w:b/>
      <w:bCs/>
      <w:caps/>
      <w:sz w:val="22"/>
      <w:szCs w:val="22"/>
      <w:u w:val="single"/>
    </w:rPr>
  </w:style>
  <w:style w:type="paragraph" w:styleId="27">
    <w:name w:val="toc 4"/>
    <w:basedOn w:val="1"/>
    <w:next w:val="1"/>
    <w:autoRedefine/>
    <w:qFormat/>
    <w:uiPriority w:val="0"/>
    <w:pPr>
      <w:jc w:val="left"/>
    </w:pPr>
    <w:rPr>
      <w:rFonts w:ascii="Calibri" w:hAnsi="Calibri"/>
      <w:sz w:val="22"/>
      <w:szCs w:val="22"/>
    </w:rPr>
  </w:style>
  <w:style w:type="paragraph" w:styleId="28">
    <w:name w:val="List"/>
    <w:basedOn w:val="1"/>
    <w:autoRedefine/>
    <w:qFormat/>
    <w:uiPriority w:val="0"/>
    <w:pPr>
      <w:ind w:left="200" w:hanging="200" w:hangingChars="200"/>
    </w:pPr>
    <w:rPr>
      <w:sz w:val="28"/>
    </w:rPr>
  </w:style>
  <w:style w:type="paragraph" w:styleId="29">
    <w:name w:val="toc 6"/>
    <w:basedOn w:val="1"/>
    <w:next w:val="1"/>
    <w:autoRedefine/>
    <w:qFormat/>
    <w:uiPriority w:val="0"/>
    <w:pPr>
      <w:jc w:val="left"/>
    </w:pPr>
    <w:rPr>
      <w:rFonts w:ascii="Calibri" w:hAnsi="Calibri"/>
      <w:sz w:val="22"/>
      <w:szCs w:val="22"/>
    </w:rPr>
  </w:style>
  <w:style w:type="paragraph" w:styleId="30">
    <w:name w:val="toc 2"/>
    <w:basedOn w:val="1"/>
    <w:next w:val="1"/>
    <w:autoRedefine/>
    <w:qFormat/>
    <w:uiPriority w:val="39"/>
    <w:pPr>
      <w:jc w:val="left"/>
    </w:pPr>
    <w:rPr>
      <w:rFonts w:ascii="Calibri" w:hAnsi="Calibri"/>
      <w:b/>
      <w:bCs/>
      <w:smallCaps/>
      <w:sz w:val="22"/>
      <w:szCs w:val="22"/>
    </w:rPr>
  </w:style>
  <w:style w:type="paragraph" w:styleId="31">
    <w:name w:val="toc 9"/>
    <w:basedOn w:val="1"/>
    <w:next w:val="1"/>
    <w:autoRedefine/>
    <w:qFormat/>
    <w:uiPriority w:val="0"/>
    <w:pPr>
      <w:jc w:val="left"/>
    </w:pPr>
    <w:rPr>
      <w:rFonts w:ascii="Calibri" w:hAnsi="Calibri"/>
      <w:sz w:val="22"/>
      <w:szCs w:val="22"/>
    </w:rPr>
  </w:style>
  <w:style w:type="paragraph" w:styleId="32">
    <w:name w:val="Normal (Web)"/>
    <w:basedOn w:val="1"/>
    <w:autoRedefine/>
    <w:qFormat/>
    <w:uiPriority w:val="0"/>
    <w:pPr>
      <w:spacing w:before="100" w:beforeAutospacing="1" w:after="100" w:afterAutospacing="1"/>
      <w:ind w:left="0" w:right="0"/>
      <w:jc w:val="left"/>
    </w:pPr>
    <w:rPr>
      <w:rFonts w:ascii="Calibri" w:hAnsi="Calibri" w:eastAsia="宋体" w:cs="Times New Roman"/>
      <w:kern w:val="0"/>
      <w:sz w:val="24"/>
      <w:lang w:val="en-US" w:eastAsia="zh-CN" w:bidi="ar"/>
    </w:rPr>
  </w:style>
  <w:style w:type="paragraph" w:styleId="33">
    <w:name w:val="annotation subject"/>
    <w:basedOn w:val="12"/>
    <w:next w:val="12"/>
    <w:link w:val="59"/>
    <w:autoRedefine/>
    <w:qFormat/>
    <w:uiPriority w:val="0"/>
    <w:rPr>
      <w:b/>
      <w:bCs/>
    </w:rPr>
  </w:style>
  <w:style w:type="paragraph" w:styleId="34">
    <w:name w:val="Body Text First Indent"/>
    <w:basedOn w:val="14"/>
    <w:autoRedefine/>
    <w:qFormat/>
    <w:uiPriority w:val="0"/>
    <w:pPr>
      <w:ind w:firstLine="420" w:firstLineChars="100"/>
    </w:pPr>
    <w:rPr>
      <w:rFonts w:eastAsia="宋体"/>
    </w:rPr>
  </w:style>
  <w:style w:type="table" w:styleId="36">
    <w:name w:val="Table Grid"/>
    <w:basedOn w:val="3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page number"/>
    <w:autoRedefine/>
    <w:qFormat/>
    <w:uiPriority w:val="0"/>
  </w:style>
  <w:style w:type="character" w:styleId="39">
    <w:name w:val="FollowedHyperlink"/>
    <w:autoRedefine/>
    <w:qFormat/>
    <w:uiPriority w:val="0"/>
    <w:rPr>
      <w:color w:val="800080"/>
      <w:u w:val="single"/>
    </w:rPr>
  </w:style>
  <w:style w:type="character" w:styleId="40">
    <w:name w:val="Emphasis"/>
    <w:basedOn w:val="37"/>
    <w:autoRedefine/>
    <w:qFormat/>
    <w:uiPriority w:val="0"/>
    <w:rPr>
      <w:i/>
    </w:rPr>
  </w:style>
  <w:style w:type="character" w:styleId="41">
    <w:name w:val="Hyperlink"/>
    <w:autoRedefine/>
    <w:qFormat/>
    <w:uiPriority w:val="99"/>
    <w:rPr>
      <w:color w:val="0000FF"/>
      <w:u w:val="single"/>
    </w:rPr>
  </w:style>
  <w:style w:type="character" w:styleId="42">
    <w:name w:val="annotation reference"/>
    <w:autoRedefine/>
    <w:qFormat/>
    <w:uiPriority w:val="0"/>
    <w:rPr>
      <w:sz w:val="21"/>
      <w:szCs w:val="21"/>
    </w:rPr>
  </w:style>
  <w:style w:type="character" w:customStyle="1" w:styleId="43">
    <w:name w:val="标题 1 Char"/>
    <w:link w:val="2"/>
    <w:autoRedefine/>
    <w:qFormat/>
    <w:uiPriority w:val="0"/>
    <w:rPr>
      <w:b/>
      <w:bCs/>
      <w:kern w:val="44"/>
      <w:sz w:val="44"/>
      <w:szCs w:val="44"/>
    </w:rPr>
  </w:style>
  <w:style w:type="character" w:customStyle="1" w:styleId="44">
    <w:name w:val="标题 2 Char"/>
    <w:link w:val="3"/>
    <w:autoRedefine/>
    <w:qFormat/>
    <w:uiPriority w:val="0"/>
    <w:rPr>
      <w:rFonts w:ascii="Arial" w:hAnsi="Arial" w:eastAsia="黑体"/>
      <w:b/>
      <w:bCs/>
      <w:kern w:val="2"/>
      <w:sz w:val="32"/>
      <w:szCs w:val="32"/>
    </w:rPr>
  </w:style>
  <w:style w:type="character" w:customStyle="1" w:styleId="45">
    <w:name w:val="标题 3 Char"/>
    <w:link w:val="4"/>
    <w:autoRedefine/>
    <w:qFormat/>
    <w:uiPriority w:val="0"/>
    <w:rPr>
      <w:b/>
      <w:bCs/>
      <w:kern w:val="2"/>
      <w:sz w:val="32"/>
      <w:szCs w:val="32"/>
    </w:rPr>
  </w:style>
  <w:style w:type="character" w:customStyle="1" w:styleId="46">
    <w:name w:val="标题 4 Char"/>
    <w:link w:val="5"/>
    <w:autoRedefine/>
    <w:qFormat/>
    <w:uiPriority w:val="0"/>
    <w:rPr>
      <w:rFonts w:ascii="Arial" w:eastAsia="黑体"/>
      <w:sz w:val="28"/>
    </w:rPr>
  </w:style>
  <w:style w:type="character" w:customStyle="1" w:styleId="47">
    <w:name w:val="标题 5 Char"/>
    <w:link w:val="6"/>
    <w:autoRedefine/>
    <w:qFormat/>
    <w:uiPriority w:val="9"/>
    <w:rPr>
      <w:b/>
      <w:bCs/>
      <w:kern w:val="2"/>
      <w:sz w:val="28"/>
      <w:szCs w:val="28"/>
    </w:rPr>
  </w:style>
  <w:style w:type="character" w:customStyle="1" w:styleId="48">
    <w:name w:val="文档结构图 Char"/>
    <w:link w:val="11"/>
    <w:autoRedefine/>
    <w:qFormat/>
    <w:uiPriority w:val="0"/>
    <w:rPr>
      <w:rFonts w:ascii="宋体"/>
      <w:kern w:val="2"/>
      <w:sz w:val="18"/>
      <w:szCs w:val="18"/>
    </w:rPr>
  </w:style>
  <w:style w:type="character" w:customStyle="1" w:styleId="49">
    <w:name w:val="批注文字 Char"/>
    <w:link w:val="12"/>
    <w:autoRedefine/>
    <w:qFormat/>
    <w:uiPriority w:val="0"/>
    <w:rPr>
      <w:kern w:val="2"/>
      <w:sz w:val="21"/>
      <w:szCs w:val="24"/>
    </w:rPr>
  </w:style>
  <w:style w:type="character" w:customStyle="1" w:styleId="50">
    <w:name w:val="正文文本 3 Char"/>
    <w:link w:val="13"/>
    <w:autoRedefine/>
    <w:qFormat/>
    <w:uiPriority w:val="99"/>
    <w:rPr>
      <w:kern w:val="2"/>
      <w:sz w:val="16"/>
      <w:szCs w:val="16"/>
    </w:rPr>
  </w:style>
  <w:style w:type="character" w:customStyle="1" w:styleId="51">
    <w:name w:val="正文文本 Char1"/>
    <w:link w:val="14"/>
    <w:autoRedefine/>
    <w:qFormat/>
    <w:uiPriority w:val="0"/>
    <w:rPr>
      <w:kern w:val="2"/>
      <w:sz w:val="21"/>
      <w:szCs w:val="24"/>
    </w:rPr>
  </w:style>
  <w:style w:type="character" w:customStyle="1" w:styleId="52">
    <w:name w:val="正文文本缩进 Char"/>
    <w:link w:val="15"/>
    <w:autoRedefine/>
    <w:qFormat/>
    <w:uiPriority w:val="0"/>
    <w:rPr>
      <w:rFonts w:ascii="宋体" w:hAnsi="Courier New" w:eastAsia="宋体"/>
      <w:spacing w:val="-4"/>
      <w:kern w:val="2"/>
      <w:sz w:val="18"/>
      <w:lang w:val="en-US" w:eastAsia="zh-CN" w:bidi="ar-SA"/>
    </w:rPr>
  </w:style>
  <w:style w:type="character" w:customStyle="1" w:styleId="53">
    <w:name w:val="纯文本 Char"/>
    <w:link w:val="19"/>
    <w:autoRedefine/>
    <w:qFormat/>
    <w:uiPriority w:val="0"/>
    <w:rPr>
      <w:rFonts w:ascii="宋体" w:hAnsi="Courier New" w:eastAsia="宋体"/>
      <w:kern w:val="2"/>
      <w:sz w:val="21"/>
      <w:lang w:val="en-US" w:eastAsia="zh-CN" w:bidi="ar-SA"/>
    </w:rPr>
  </w:style>
  <w:style w:type="character" w:customStyle="1" w:styleId="54">
    <w:name w:val="日期 Char"/>
    <w:link w:val="21"/>
    <w:autoRedefine/>
    <w:qFormat/>
    <w:uiPriority w:val="0"/>
    <w:rPr>
      <w:kern w:val="2"/>
      <w:sz w:val="21"/>
      <w:szCs w:val="24"/>
    </w:rPr>
  </w:style>
  <w:style w:type="character" w:customStyle="1" w:styleId="55">
    <w:name w:val="正文文本缩进 2 Char"/>
    <w:link w:val="22"/>
    <w:autoRedefine/>
    <w:qFormat/>
    <w:uiPriority w:val="0"/>
    <w:rPr>
      <w:kern w:val="2"/>
      <w:sz w:val="21"/>
      <w:szCs w:val="24"/>
    </w:rPr>
  </w:style>
  <w:style w:type="character" w:customStyle="1" w:styleId="56">
    <w:name w:val="批注框文本 Char"/>
    <w:link w:val="23"/>
    <w:autoRedefine/>
    <w:qFormat/>
    <w:uiPriority w:val="0"/>
    <w:rPr>
      <w:kern w:val="2"/>
      <w:sz w:val="18"/>
      <w:szCs w:val="18"/>
    </w:rPr>
  </w:style>
  <w:style w:type="character" w:customStyle="1" w:styleId="57">
    <w:name w:val="页脚 Char"/>
    <w:link w:val="24"/>
    <w:autoRedefine/>
    <w:qFormat/>
    <w:uiPriority w:val="99"/>
    <w:rPr>
      <w:kern w:val="2"/>
      <w:sz w:val="18"/>
      <w:szCs w:val="18"/>
    </w:rPr>
  </w:style>
  <w:style w:type="character" w:customStyle="1" w:styleId="58">
    <w:name w:val="页眉 Char"/>
    <w:link w:val="25"/>
    <w:autoRedefine/>
    <w:qFormat/>
    <w:uiPriority w:val="99"/>
    <w:rPr>
      <w:kern w:val="2"/>
      <w:sz w:val="18"/>
      <w:szCs w:val="18"/>
    </w:rPr>
  </w:style>
  <w:style w:type="character" w:customStyle="1" w:styleId="59">
    <w:name w:val="批注主题 Char"/>
    <w:link w:val="33"/>
    <w:autoRedefine/>
    <w:qFormat/>
    <w:uiPriority w:val="99"/>
    <w:rPr>
      <w:b/>
      <w:bCs/>
      <w:kern w:val="2"/>
      <w:sz w:val="21"/>
      <w:szCs w:val="24"/>
    </w:rPr>
  </w:style>
  <w:style w:type="character" w:customStyle="1" w:styleId="60">
    <w:name w:val="页眉 字符"/>
    <w:autoRedefine/>
    <w:qFormat/>
    <w:uiPriority w:val="99"/>
    <w:rPr>
      <w:rFonts w:ascii="Times New Roman" w:hAnsi="Times New Roman"/>
      <w:kern w:val="2"/>
      <w:sz w:val="18"/>
      <w:szCs w:val="18"/>
    </w:rPr>
  </w:style>
  <w:style w:type="character" w:customStyle="1" w:styleId="61">
    <w:name w:val="Char Char1"/>
    <w:autoRedefine/>
    <w:qFormat/>
    <w:uiPriority w:val="0"/>
    <w:rPr>
      <w:rFonts w:ascii="宋体" w:hAnsi="Courier New" w:eastAsia="宋体"/>
      <w:kern w:val="2"/>
      <w:sz w:val="21"/>
      <w:lang w:val="en-US" w:eastAsia="zh-CN" w:bidi="ar-SA"/>
    </w:rPr>
  </w:style>
  <w:style w:type="character" w:customStyle="1" w:styleId="62">
    <w:name w:val="纯文本 字符2"/>
    <w:autoRedefine/>
    <w:qFormat/>
    <w:uiPriority w:val="0"/>
    <w:rPr>
      <w:rFonts w:ascii="宋体" w:hAnsi="Courier New" w:eastAsia="宋体" w:cs="Courier New"/>
      <w:szCs w:val="21"/>
    </w:rPr>
  </w:style>
  <w:style w:type="character" w:customStyle="1" w:styleId="63">
    <w:name w:val="正文文本_"/>
    <w:link w:val="64"/>
    <w:autoRedefine/>
    <w:qFormat/>
    <w:uiPriority w:val="0"/>
    <w:rPr>
      <w:rFonts w:ascii="MingLiU" w:hAnsi="MingLiU" w:eastAsia="MingLiU" w:cs="MingLiU"/>
      <w:spacing w:val="9"/>
      <w:sz w:val="19"/>
      <w:szCs w:val="19"/>
      <w:shd w:val="clear" w:color="auto" w:fill="FFFFFF"/>
    </w:rPr>
  </w:style>
  <w:style w:type="paragraph" w:customStyle="1" w:styleId="64">
    <w:name w:val="正文文本1"/>
    <w:basedOn w:val="1"/>
    <w:link w:val="63"/>
    <w:autoRedefine/>
    <w:qFormat/>
    <w:uiPriority w:val="0"/>
    <w:pPr>
      <w:shd w:val="clear" w:color="auto" w:fill="FFFFFF"/>
      <w:spacing w:line="302" w:lineRule="exact"/>
      <w:ind w:firstLine="460"/>
      <w:jc w:val="left"/>
    </w:pPr>
    <w:rPr>
      <w:rFonts w:ascii="MingLiU" w:hAnsi="MingLiU" w:eastAsia="MingLiU"/>
      <w:spacing w:val="9"/>
      <w:kern w:val="0"/>
      <w:sz w:val="19"/>
      <w:szCs w:val="19"/>
    </w:rPr>
  </w:style>
  <w:style w:type="character" w:customStyle="1" w:styleId="65">
    <w:name w:val="纯文本 Char1"/>
    <w:link w:val="66"/>
    <w:autoRedefine/>
    <w:qFormat/>
    <w:uiPriority w:val="0"/>
    <w:rPr>
      <w:rFonts w:ascii="宋体" w:hAnsi="Courier New" w:eastAsia="宋体"/>
      <w:kern w:val="2"/>
      <w:sz w:val="21"/>
      <w:lang w:val="en-US" w:eastAsia="zh-CN" w:bidi="ar-SA"/>
    </w:rPr>
  </w:style>
  <w:style w:type="paragraph" w:customStyle="1" w:styleId="66">
    <w:name w:val="纯文本1"/>
    <w:basedOn w:val="1"/>
    <w:link w:val="65"/>
    <w:autoRedefine/>
    <w:qFormat/>
    <w:uiPriority w:val="0"/>
    <w:rPr>
      <w:rFonts w:ascii="宋体" w:hAnsi="Courier New"/>
      <w:szCs w:val="20"/>
    </w:rPr>
  </w:style>
  <w:style w:type="character" w:customStyle="1" w:styleId="67">
    <w:name w:val="正文文本 + 10 pt"/>
    <w:autoRedefine/>
    <w:qFormat/>
    <w:uiPriority w:val="0"/>
    <w:rPr>
      <w:rFonts w:ascii="MingLiU" w:hAnsi="MingLiU" w:eastAsia="MingLiU" w:cs="MingLiU"/>
      <w:color w:val="000000"/>
      <w:spacing w:val="8"/>
      <w:w w:val="100"/>
      <w:position w:val="0"/>
      <w:sz w:val="20"/>
      <w:szCs w:val="20"/>
      <w:shd w:val="clear" w:color="auto" w:fill="FFFFFF"/>
      <w:lang w:val="zh-TW"/>
    </w:rPr>
  </w:style>
  <w:style w:type="character" w:customStyle="1" w:styleId="68">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character" w:customStyle="1" w:styleId="69">
    <w:name w:val="页脚 字符"/>
    <w:autoRedefine/>
    <w:qFormat/>
    <w:uiPriority w:val="99"/>
    <w:rPr>
      <w:sz w:val="18"/>
      <w:szCs w:val="18"/>
    </w:rPr>
  </w:style>
  <w:style w:type="character" w:customStyle="1" w:styleId="70">
    <w:name w:val="批注文字 字符1"/>
    <w:autoRedefine/>
    <w:qFormat/>
    <w:uiPriority w:val="0"/>
    <w:rPr>
      <w:rFonts w:ascii="Times New Roman" w:hAnsi="Times New Roman"/>
      <w:kern w:val="2"/>
      <w:sz w:val="21"/>
      <w:szCs w:val="24"/>
    </w:rPr>
  </w:style>
  <w:style w:type="character" w:customStyle="1" w:styleId="71">
    <w:name w:val="正文2 Char Char"/>
    <w:link w:val="72"/>
    <w:autoRedefine/>
    <w:qFormat/>
    <w:uiPriority w:val="0"/>
    <w:rPr>
      <w:kern w:val="2"/>
      <w:sz w:val="24"/>
    </w:rPr>
  </w:style>
  <w:style w:type="paragraph" w:customStyle="1" w:styleId="72">
    <w:name w:val="正文2"/>
    <w:basedOn w:val="1"/>
    <w:link w:val="71"/>
    <w:autoRedefine/>
    <w:qFormat/>
    <w:uiPriority w:val="0"/>
    <w:pPr>
      <w:adjustRightInd w:val="0"/>
      <w:spacing w:before="156" w:line="360" w:lineRule="auto"/>
      <w:ind w:firstLine="510" w:firstLineChars="200"/>
    </w:pPr>
    <w:rPr>
      <w:sz w:val="24"/>
      <w:szCs w:val="20"/>
    </w:rPr>
  </w:style>
  <w:style w:type="character" w:customStyle="1" w:styleId="73">
    <w:name w:val="纯文本 Char_0"/>
    <w:link w:val="74"/>
    <w:autoRedefine/>
    <w:qFormat/>
    <w:uiPriority w:val="0"/>
    <w:rPr>
      <w:rFonts w:ascii="宋体" w:hAnsi="Courier New"/>
      <w:kern w:val="2"/>
      <w:sz w:val="21"/>
      <w:szCs w:val="21"/>
    </w:rPr>
  </w:style>
  <w:style w:type="paragraph" w:customStyle="1" w:styleId="74">
    <w:name w:val="纯文本_0_0"/>
    <w:basedOn w:val="1"/>
    <w:link w:val="73"/>
    <w:autoRedefine/>
    <w:qFormat/>
    <w:uiPriority w:val="0"/>
    <w:rPr>
      <w:rFonts w:ascii="宋体" w:hAnsi="Courier New"/>
      <w:szCs w:val="21"/>
    </w:rPr>
  </w:style>
  <w:style w:type="character" w:customStyle="1" w:styleId="75">
    <w:name w:val="批注文字 Char1"/>
    <w:autoRedefine/>
    <w:qFormat/>
    <w:uiPriority w:val="0"/>
    <w:rPr>
      <w:rFonts w:ascii="Times New Roman" w:hAnsi="Times New Roman"/>
      <w:kern w:val="2"/>
      <w:sz w:val="21"/>
      <w:szCs w:val="24"/>
    </w:rPr>
  </w:style>
  <w:style w:type="paragraph" w:styleId="76">
    <w:name w:val="List Paragraph"/>
    <w:basedOn w:val="1"/>
    <w:autoRedefine/>
    <w:qFormat/>
    <w:uiPriority w:val="34"/>
    <w:pPr>
      <w:ind w:firstLine="420" w:firstLineChars="200"/>
    </w:pPr>
  </w:style>
  <w:style w:type="paragraph" w:customStyle="1" w:styleId="77">
    <w:name w:val="Char Char Char1 Char Char Char Char Char Char Char"/>
    <w:basedOn w:val="1"/>
    <w:autoRedefine/>
    <w:qFormat/>
    <w:uiPriority w:val="0"/>
  </w:style>
  <w:style w:type="paragraph" w:customStyle="1" w:styleId="78">
    <w:name w:val="Char Char Char"/>
    <w:basedOn w:val="1"/>
    <w:autoRedefine/>
    <w:qFormat/>
    <w:uiPriority w:val="0"/>
    <w:rPr>
      <w:szCs w:val="20"/>
    </w:rPr>
  </w:style>
  <w:style w:type="paragraph" w:customStyle="1" w:styleId="79">
    <w:name w:val=" Char Char Char Char Char Char Char Char Char Char Char Char"/>
    <w:basedOn w:val="1"/>
    <w:autoRedefine/>
    <w:qFormat/>
    <w:uiPriority w:val="0"/>
    <w:pPr>
      <w:widowControl/>
      <w:spacing w:after="160" w:afterLines="0" w:line="240" w:lineRule="exact"/>
      <w:jc w:val="left"/>
    </w:pPr>
  </w:style>
  <w:style w:type="paragraph" w:customStyle="1" w:styleId="80">
    <w:name w:val="列出段落1"/>
    <w:basedOn w:val="1"/>
    <w:autoRedefine/>
    <w:qFormat/>
    <w:uiPriority w:val="34"/>
    <w:pPr>
      <w:spacing w:before="100" w:beforeAutospacing="1" w:after="100" w:afterAutospacing="1" w:line="360" w:lineRule="auto"/>
      <w:ind w:firstLine="420" w:firstLineChars="200"/>
    </w:pPr>
  </w:style>
  <w:style w:type="paragraph" w:customStyle="1" w:styleId="81">
    <w:name w:val="_Style 80"/>
    <w:basedOn w:val="2"/>
    <w:next w:val="1"/>
    <w:autoRedefine/>
    <w:qFormat/>
    <w:uiPriority w:val="39"/>
    <w:pPr>
      <w:widowControl/>
      <w:spacing w:before="480" w:after="0" w:line="276" w:lineRule="auto"/>
      <w:jc w:val="left"/>
      <w:outlineLvl w:val="9"/>
    </w:pPr>
    <w:rPr>
      <w:rFonts w:ascii="Cambria" w:hAnsi="Cambria" w:eastAsia="宋体" w:cs="Times New Roman"/>
      <w:color w:val="365F91"/>
      <w:kern w:val="0"/>
      <w:sz w:val="28"/>
      <w:szCs w:val="28"/>
      <w:lang w:val="en-US" w:eastAsia="zh-CN"/>
    </w:rPr>
  </w:style>
  <w:style w:type="paragraph" w:customStyle="1" w:styleId="82">
    <w:name w:val="样式 标题 2 + 非加粗 首行缩进:  2 字符"/>
    <w:basedOn w:val="3"/>
    <w:autoRedefine/>
    <w:qFormat/>
    <w:uiPriority w:val="0"/>
    <w:pPr>
      <w:spacing w:before="0" w:beforeLines="0" w:after="0" w:afterLines="0" w:line="600" w:lineRule="exact"/>
      <w:ind w:firstLine="640" w:firstLineChars="200"/>
      <w:jc w:val="left"/>
    </w:pPr>
    <w:rPr>
      <w:rFonts w:cs="宋体"/>
      <w:b w:val="0"/>
      <w:bCs w:val="0"/>
      <w:szCs w:val="20"/>
    </w:rPr>
  </w:style>
  <w:style w:type="paragraph" w:customStyle="1" w:styleId="83">
    <w:name w:val="Table Paragraph"/>
    <w:basedOn w:val="1"/>
    <w:autoRedefine/>
    <w:qFormat/>
    <w:uiPriority w:val="1"/>
    <w:pPr>
      <w:jc w:val="left"/>
    </w:pPr>
    <w:rPr>
      <w:rFonts w:ascii="Calibri" w:hAnsi="Calibri"/>
      <w:kern w:val="0"/>
      <w:sz w:val="22"/>
      <w:szCs w:val="22"/>
      <w:lang w:eastAsia="en-US"/>
    </w:rPr>
  </w:style>
  <w:style w:type="paragraph" w:customStyle="1" w:styleId="84">
    <w:name w:val=" Char"/>
    <w:basedOn w:val="1"/>
    <w:autoRedefine/>
    <w:qFormat/>
    <w:uiPriority w:val="0"/>
    <w:rPr>
      <w:szCs w:val="21"/>
    </w:rPr>
  </w:style>
  <w:style w:type="paragraph" w:customStyle="1" w:styleId="85">
    <w:name w:val="Char Char Char Char Char Char Char"/>
    <w:basedOn w:val="1"/>
    <w:autoRedefine/>
    <w:qFormat/>
    <w:uiPriority w:val="0"/>
  </w:style>
  <w:style w:type="paragraph" w:customStyle="1" w:styleId="86">
    <w:name w:val=" Char Char Char Char Char Char Char"/>
    <w:basedOn w:val="1"/>
    <w:autoRedefine/>
    <w:qFormat/>
    <w:uiPriority w:val="0"/>
  </w:style>
  <w:style w:type="paragraph" w:customStyle="1" w:styleId="87">
    <w:name w:val="样式5"/>
    <w:basedOn w:val="1"/>
    <w:autoRedefine/>
    <w:qFormat/>
    <w:uiPriority w:val="0"/>
    <w:pPr>
      <w:adjustRightInd w:val="0"/>
      <w:spacing w:line="440" w:lineRule="exact"/>
      <w:ind w:left="2" w:firstLine="480" w:firstLineChars="200"/>
    </w:pPr>
    <w:rPr>
      <w:rFonts w:ascii="仿宋_GB2312" w:hAnsi="仿宋" w:eastAsia="仿宋_GB2312"/>
      <w:sz w:val="24"/>
    </w:rPr>
  </w:style>
  <w:style w:type="paragraph" w:customStyle="1" w:styleId="88">
    <w:name w:val="Char Char Char Char Char Char Char Char Char Char Char Char"/>
    <w:basedOn w:val="1"/>
    <w:autoRedefine/>
    <w:qFormat/>
    <w:uiPriority w:val="0"/>
    <w:pPr>
      <w:widowControl/>
      <w:spacing w:after="160" w:afterLines="0" w:line="240" w:lineRule="exact"/>
      <w:jc w:val="left"/>
    </w:pPr>
  </w:style>
  <w:style w:type="paragraph" w:customStyle="1" w:styleId="89">
    <w:name w:val="表格文字"/>
    <w:basedOn w:val="1"/>
    <w:next w:val="14"/>
    <w:autoRedefine/>
    <w:qFormat/>
    <w:uiPriority w:val="0"/>
    <w:pPr>
      <w:adjustRightInd w:val="0"/>
      <w:spacing w:line="420" w:lineRule="atLeast"/>
      <w:jc w:val="left"/>
      <w:textAlignment w:val="baseline"/>
    </w:pPr>
    <w:rPr>
      <w:kern w:val="0"/>
    </w:rPr>
  </w:style>
  <w:style w:type="paragraph" w:customStyle="1" w:styleId="90">
    <w:name w:val="_Style 89"/>
    <w:autoRedefine/>
    <w:qFormat/>
    <w:uiPriority w:val="0"/>
    <w:rPr>
      <w:rFonts w:ascii="Times New Roman" w:hAnsi="Times New Roman" w:eastAsia="宋体" w:cs="Times New Roman"/>
      <w:kern w:val="2"/>
      <w:sz w:val="21"/>
      <w:szCs w:val="24"/>
      <w:lang w:val="en-US" w:eastAsia="zh-CN" w:bidi="ar-SA"/>
    </w:rPr>
  </w:style>
  <w:style w:type="paragraph" w:customStyle="1" w:styleId="91">
    <w:name w:val="正文段"/>
    <w:basedOn w:val="1"/>
    <w:autoRedefine/>
    <w:qFormat/>
    <w:uiPriority w:val="0"/>
    <w:pPr>
      <w:widowControl/>
      <w:snapToGrid w:val="0"/>
      <w:spacing w:after="156" w:afterLines="50"/>
      <w:ind w:firstLine="200" w:firstLineChars="200"/>
    </w:pPr>
    <w:rPr>
      <w:kern w:val="0"/>
      <w:sz w:val="24"/>
      <w:szCs w:val="20"/>
    </w:rPr>
  </w:style>
  <w:style w:type="paragraph" w:customStyle="1" w:styleId="92">
    <w:name w:val="Char Char Char Char"/>
    <w:basedOn w:val="1"/>
    <w:autoRedefine/>
    <w:qFormat/>
    <w:uiPriority w:val="0"/>
    <w:pPr>
      <w:widowControl/>
      <w:spacing w:after="160" w:afterLines="0" w:line="240" w:lineRule="exact"/>
      <w:jc w:val="left"/>
    </w:pPr>
  </w:style>
  <w:style w:type="paragraph" w:customStyle="1" w:styleId="93">
    <w:name w:val="Char"/>
    <w:basedOn w:val="1"/>
    <w:autoRedefine/>
    <w:qFormat/>
    <w:uiPriority w:val="0"/>
  </w:style>
  <w:style w:type="paragraph" w:customStyle="1" w:styleId="94">
    <w:name w:val=" Char Char Char Char"/>
    <w:basedOn w:val="1"/>
    <w:autoRedefine/>
    <w:qFormat/>
    <w:uiPriority w:val="0"/>
    <w:pPr>
      <w:widowControl/>
      <w:spacing w:after="160" w:afterLines="0" w:line="240" w:lineRule="exact"/>
      <w:jc w:val="left"/>
    </w:pPr>
  </w:style>
  <w:style w:type="paragraph" w:customStyle="1" w:styleId="95">
    <w:name w:val="样式 标题 1 + 居中 段前: 0 磅 段后: 0 磅 行距: 固定值 30 磅"/>
    <w:basedOn w:val="2"/>
    <w:autoRedefine/>
    <w:qFormat/>
    <w:uiPriority w:val="0"/>
    <w:pPr>
      <w:spacing w:before="0" w:beforeLines="0" w:after="0" w:afterLines="0" w:line="600" w:lineRule="exact"/>
      <w:jc w:val="center"/>
    </w:pPr>
    <w:rPr>
      <w:rFonts w:cs="宋体"/>
      <w:szCs w:val="20"/>
    </w:rPr>
  </w:style>
  <w:style w:type="paragraph" w:customStyle="1" w:styleId="96">
    <w:name w:val="正文缩进1"/>
    <w:basedOn w:val="1"/>
    <w:next w:val="15"/>
    <w:autoRedefine/>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97">
    <w:name w:val="p0"/>
    <w:basedOn w:val="1"/>
    <w:autoRedefine/>
    <w:qFormat/>
    <w:uiPriority w:val="0"/>
    <w:pPr>
      <w:widowControl/>
    </w:pPr>
    <w:rPr>
      <w:kern w:val="0"/>
      <w:szCs w:val="21"/>
    </w:rPr>
  </w:style>
  <w:style w:type="paragraph" w:customStyle="1" w:styleId="98">
    <w:name w:val="默认段落字体 Para Char Char Char Char Char Char Char Char Char1 Char Char Char Char"/>
    <w:basedOn w:val="1"/>
    <w:autoRedefine/>
    <w:qFormat/>
    <w:uiPriority w:val="0"/>
    <w:rPr>
      <w:rFonts w:ascii="Tahoma" w:hAnsi="Tahoma"/>
      <w:sz w:val="24"/>
      <w:szCs w:val="20"/>
    </w:rPr>
  </w:style>
  <w:style w:type="character" w:customStyle="1" w:styleId="99">
    <w:name w:val="正文文本 字符"/>
    <w:autoRedefine/>
    <w:qFormat/>
    <w:uiPriority w:val="99"/>
    <w:rPr>
      <w:kern w:val="2"/>
      <w:sz w:val="21"/>
      <w:szCs w:val="24"/>
    </w:rPr>
  </w:style>
  <w:style w:type="character" w:customStyle="1" w:styleId="100">
    <w:name w:val="纯文本 字符"/>
    <w:autoRedefine/>
    <w:qFormat/>
    <w:uiPriority w:val="0"/>
    <w:rPr>
      <w:rFonts w:ascii="宋体" w:hAnsi="Courier New"/>
      <w:kern w:val="2"/>
      <w:sz w:val="21"/>
    </w:rPr>
  </w:style>
  <w:style w:type="character" w:customStyle="1" w:styleId="101">
    <w:name w:val="标题 1 字符"/>
    <w:autoRedefine/>
    <w:qFormat/>
    <w:uiPriority w:val="0"/>
    <w:rPr>
      <w:b/>
      <w:bCs/>
      <w:kern w:val="44"/>
      <w:sz w:val="44"/>
      <w:szCs w:val="44"/>
    </w:rPr>
  </w:style>
  <w:style w:type="character" w:customStyle="1" w:styleId="102">
    <w:name w:val="标题 2 字符"/>
    <w:autoRedefine/>
    <w:qFormat/>
    <w:uiPriority w:val="0"/>
    <w:rPr>
      <w:rFonts w:ascii="Arial" w:hAnsi="Arial" w:eastAsia="黑体"/>
      <w:b/>
      <w:bCs/>
      <w:kern w:val="2"/>
      <w:sz w:val="32"/>
      <w:szCs w:val="32"/>
    </w:rPr>
  </w:style>
  <w:style w:type="character" w:customStyle="1" w:styleId="103">
    <w:name w:val="标题 3 字符"/>
    <w:autoRedefine/>
    <w:qFormat/>
    <w:uiPriority w:val="0"/>
    <w:rPr>
      <w:b/>
      <w:bCs/>
      <w:kern w:val="2"/>
      <w:sz w:val="32"/>
      <w:szCs w:val="32"/>
    </w:rPr>
  </w:style>
  <w:style w:type="character" w:customStyle="1" w:styleId="104">
    <w:name w:val="标题 4 字符"/>
    <w:autoRedefine/>
    <w:qFormat/>
    <w:uiPriority w:val="0"/>
    <w:rPr>
      <w:rFonts w:ascii="Arial" w:eastAsia="黑体"/>
      <w:sz w:val="28"/>
    </w:rPr>
  </w:style>
  <w:style w:type="character" w:customStyle="1" w:styleId="105">
    <w:name w:val="标题 5 字符"/>
    <w:autoRedefine/>
    <w:qFormat/>
    <w:uiPriority w:val="9"/>
    <w:rPr>
      <w:b/>
      <w:bCs/>
      <w:kern w:val="2"/>
      <w:sz w:val="28"/>
      <w:szCs w:val="28"/>
    </w:rPr>
  </w:style>
  <w:style w:type="character" w:customStyle="1" w:styleId="106">
    <w:name w:val="文档结构图 字符"/>
    <w:autoRedefine/>
    <w:qFormat/>
    <w:uiPriority w:val="0"/>
    <w:rPr>
      <w:rFonts w:ascii="宋体"/>
      <w:kern w:val="2"/>
      <w:sz w:val="18"/>
      <w:szCs w:val="18"/>
    </w:rPr>
  </w:style>
  <w:style w:type="character" w:customStyle="1" w:styleId="107">
    <w:name w:val="批注文字 字符"/>
    <w:autoRedefine/>
    <w:qFormat/>
    <w:uiPriority w:val="0"/>
    <w:rPr>
      <w:kern w:val="2"/>
      <w:sz w:val="21"/>
      <w:szCs w:val="24"/>
    </w:rPr>
  </w:style>
  <w:style w:type="character" w:customStyle="1" w:styleId="108">
    <w:name w:val="正文文本 3 字符"/>
    <w:autoRedefine/>
    <w:qFormat/>
    <w:uiPriority w:val="99"/>
    <w:rPr>
      <w:kern w:val="2"/>
      <w:sz w:val="16"/>
      <w:szCs w:val="16"/>
    </w:rPr>
  </w:style>
  <w:style w:type="character" w:customStyle="1" w:styleId="109">
    <w:name w:val="正文文本缩进 字符"/>
    <w:autoRedefine/>
    <w:qFormat/>
    <w:uiPriority w:val="0"/>
    <w:rPr>
      <w:rFonts w:ascii="宋体" w:hAnsi="Courier New"/>
      <w:spacing w:val="-4"/>
      <w:kern w:val="2"/>
      <w:sz w:val="18"/>
    </w:rPr>
  </w:style>
  <w:style w:type="character" w:customStyle="1" w:styleId="110">
    <w:name w:val="日期 字符"/>
    <w:autoRedefine/>
    <w:qFormat/>
    <w:uiPriority w:val="0"/>
    <w:rPr>
      <w:kern w:val="2"/>
      <w:sz w:val="21"/>
      <w:szCs w:val="24"/>
    </w:rPr>
  </w:style>
  <w:style w:type="character" w:customStyle="1" w:styleId="111">
    <w:name w:val="正文文本缩进 2 字符"/>
    <w:autoRedefine/>
    <w:qFormat/>
    <w:uiPriority w:val="0"/>
    <w:rPr>
      <w:kern w:val="2"/>
      <w:sz w:val="21"/>
      <w:szCs w:val="24"/>
    </w:rPr>
  </w:style>
  <w:style w:type="character" w:customStyle="1" w:styleId="112">
    <w:name w:val="批注框文本 字符"/>
    <w:autoRedefine/>
    <w:qFormat/>
    <w:uiPriority w:val="0"/>
    <w:rPr>
      <w:kern w:val="2"/>
      <w:sz w:val="18"/>
      <w:szCs w:val="18"/>
    </w:rPr>
  </w:style>
  <w:style w:type="character" w:customStyle="1" w:styleId="113">
    <w:name w:val="页脚 字符1"/>
    <w:autoRedefine/>
    <w:qFormat/>
    <w:uiPriority w:val="99"/>
    <w:rPr>
      <w:kern w:val="2"/>
      <w:sz w:val="18"/>
      <w:szCs w:val="18"/>
    </w:rPr>
  </w:style>
  <w:style w:type="character" w:customStyle="1" w:styleId="114">
    <w:name w:val="页眉 字符1"/>
    <w:autoRedefine/>
    <w:qFormat/>
    <w:uiPriority w:val="99"/>
    <w:rPr>
      <w:kern w:val="2"/>
      <w:sz w:val="18"/>
      <w:szCs w:val="18"/>
    </w:rPr>
  </w:style>
  <w:style w:type="character" w:customStyle="1" w:styleId="115">
    <w:name w:val="批注主题 字符"/>
    <w:autoRedefine/>
    <w:qFormat/>
    <w:uiPriority w:val="99"/>
    <w:rPr>
      <w:b/>
      <w:bCs/>
      <w:kern w:val="2"/>
      <w:sz w:val="21"/>
      <w:szCs w:val="24"/>
    </w:rPr>
  </w:style>
  <w:style w:type="paragraph" w:customStyle="1" w:styleId="116">
    <w:name w:val="_Style 117"/>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7">
    <w:name w:val="纯文本 字符1"/>
    <w:autoRedefine/>
    <w:semiHidden/>
    <w:qFormat/>
    <w:locked/>
    <w:uiPriority w:val="0"/>
    <w:rPr>
      <w:rFonts w:ascii="宋体" w:hAnsi="Courier New"/>
      <w:kern w:val="2"/>
      <w:sz w:val="21"/>
    </w:rPr>
  </w:style>
  <w:style w:type="paragraph" w:customStyle="1" w:styleId="118">
    <w:name w:val="msonormal"/>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19">
    <w:name w:val="无间隔1"/>
    <w:basedOn w:val="1"/>
    <w:autoRedefine/>
    <w:qFormat/>
    <w:uiPriority w:val="99"/>
    <w:pPr>
      <w:spacing w:line="400" w:lineRule="exact"/>
    </w:pPr>
    <w:rPr>
      <w:rFonts w:ascii="Calibri" w:hAnsi="Calibri" w:eastAsia="宋体" w:cs="Times New Roman"/>
      <w:sz w:val="24"/>
    </w:rPr>
  </w:style>
  <w:style w:type="paragraph" w:styleId="120">
    <w:name w:val="No Spacing"/>
    <w:autoRedefine/>
    <w:qFormat/>
    <w:uiPriority w:val="1"/>
    <w:pPr>
      <w:widowControl w:val="0"/>
      <w:jc w:val="both"/>
    </w:pPr>
    <w:rPr>
      <w:rFonts w:ascii="Times New Roman" w:hAnsi="Times New Roman" w:eastAsia="宋体" w:cs="Times New Roman"/>
      <w:kern w:val="2"/>
      <w:sz w:val="21"/>
      <w:szCs w:val="21"/>
      <w:lang w:val="en-US" w:eastAsia="zh-CN" w:bidi="ar-SA"/>
    </w:rPr>
  </w:style>
  <w:style w:type="paragraph" w:customStyle="1" w:styleId="121">
    <w:name w:val="Default"/>
    <w:autoRedefine/>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2">
    <w:name w:val="_Style 801"/>
    <w:basedOn w:val="1"/>
    <w:next w:val="1"/>
    <w:autoRedefine/>
    <w:unhideWhenUsed/>
    <w:qFormat/>
    <w:uiPriority w:val="39"/>
    <w:pPr>
      <w:jc w:val="left"/>
    </w:pPr>
    <w:rPr>
      <w:rFonts w:ascii="Calibri" w:hAnsi="Calibri"/>
      <w:smallCaps/>
      <w:sz w:val="22"/>
      <w:szCs w:val="22"/>
    </w:rPr>
  </w:style>
  <w:style w:type="character" w:customStyle="1" w:styleId="123">
    <w:name w:val="正文文本 Char"/>
    <w:autoRedefine/>
    <w:qFormat/>
    <w:uiPriority w:val="0"/>
    <w:rPr>
      <w:rFonts w:ascii="Times New Roman" w:hAnsi="Times New Roman" w:eastAsia="宋体" w:cs="Times New Roman"/>
      <w:sz w:val="30"/>
      <w:szCs w:val="30"/>
    </w:rPr>
  </w:style>
  <w:style w:type="paragraph" w:customStyle="1" w:styleId="124">
    <w:name w:val="_Style 8"/>
    <w:basedOn w:val="1"/>
    <w:next w:val="76"/>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admin</Company>
  <Pages>89</Pages>
  <Words>10929</Words>
  <Characters>12114</Characters>
  <Lines>458</Lines>
  <Paragraphs>129</Paragraphs>
  <TotalTime>6</TotalTime>
  <ScaleCrop>false</ScaleCrop>
  <LinksUpToDate>false</LinksUpToDate>
  <CharactersWithSpaces>12236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2024-09-18T13:01:00Z</dcterms:created>
  <dc:creator>wy</dc:creator>
  <cp:lastModifiedBy>Administrator</cp:lastModifiedBy>
  <cp:lastPrinted>2021-08-17T03:26:00Z</cp:lastPrinted>
  <dcterms:modified xsi:type="dcterms:W3CDTF">2025-04-03T01:28:25Z</dcterms:modified>
  <dc:title>南财采管〔2012〕3号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2038A3DAB2114C4C8F251FA161FB410F_13</vt:lpwstr>
  </property>
  <property fmtid="{D5CDD505-2E9C-101B-9397-08002B2CF9AE}" pid="4" name="KSOTemplateDocerSaveRecord">
    <vt:lpwstr>eyJoZGlkIjoiYzZhNzUxMWQxZmRmNWZlODI0ZDgyMGY1MjY3Y2UzMzMiLCJ1c2VySWQiOiI1ODE0NzgwNzcifQ==</vt:lpwstr>
  </property>
</Properties>
</file>