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jc w:val="center"/>
        <w:rPr>
          <w:rFonts w:ascii="宋体" w:hAnsi="宋体" w:eastAsia="宋体" w:cs="Times New Roman"/>
          <w:color w:val="auto"/>
          <w:sz w:val="52"/>
          <w:szCs w:val="52"/>
          <w:highlight w:val="none"/>
        </w:rPr>
      </w:pPr>
    </w:p>
    <w:p>
      <w:pPr>
        <w:shd w:val="clear" w:color="auto" w:fill="auto"/>
        <w:spacing w:line="360" w:lineRule="auto"/>
        <w:jc w:val="center"/>
        <w:rPr>
          <w:rFonts w:ascii="宋体" w:hAnsi="宋体" w:eastAsia="宋体"/>
          <w:b/>
          <w:color w:val="auto"/>
          <w:sz w:val="48"/>
          <w:szCs w:val="48"/>
          <w:highlight w:val="none"/>
        </w:rPr>
      </w:pPr>
      <w:r>
        <w:rPr>
          <w:rFonts w:hint="eastAsia" w:ascii="宋体" w:hAnsi="宋体" w:eastAsia="宋体" w:cs="宋体"/>
          <w:b/>
          <w:bCs/>
          <w:color w:val="auto"/>
          <w:sz w:val="72"/>
          <w:szCs w:val="72"/>
          <w:highlight w:val="none"/>
          <w:lang w:eastAsia="zh-CN"/>
        </w:rPr>
        <w:t>广西</w:t>
      </w:r>
      <w:r>
        <w:rPr>
          <w:rFonts w:hint="eastAsia" w:ascii="宋体" w:hAnsi="宋体" w:eastAsia="宋体" w:cs="宋体"/>
          <w:b/>
          <w:bCs/>
          <w:color w:val="auto"/>
          <w:sz w:val="72"/>
          <w:szCs w:val="72"/>
          <w:highlight w:val="none"/>
          <w:lang w:val="en-US" w:eastAsia="zh-CN"/>
        </w:rPr>
        <w:t>科联</w:t>
      </w:r>
      <w:r>
        <w:rPr>
          <w:rFonts w:hint="eastAsia" w:ascii="宋体" w:hAnsi="宋体" w:eastAsia="宋体" w:cs="宋体"/>
          <w:b/>
          <w:bCs/>
          <w:color w:val="auto"/>
          <w:sz w:val="72"/>
          <w:szCs w:val="72"/>
          <w:highlight w:val="none"/>
        </w:rPr>
        <w:t>招标中心有限公司</w:t>
      </w:r>
    </w:p>
    <w:p>
      <w:pPr>
        <w:shd w:val="clear" w:color="auto" w:fill="auto"/>
        <w:snapToGrid w:val="0"/>
        <w:spacing w:before="120" w:beforeLines="50" w:line="360" w:lineRule="auto"/>
        <w:jc w:val="center"/>
        <w:rPr>
          <w:rFonts w:ascii="宋体" w:hAnsi="宋体" w:eastAsia="宋体" w:cs="宋体"/>
          <w:color w:val="auto"/>
          <w:sz w:val="72"/>
          <w:szCs w:val="72"/>
          <w:highlight w:val="none"/>
        </w:rPr>
      </w:pPr>
      <w:r>
        <w:rPr>
          <w:rFonts w:hint="eastAsia" w:ascii="宋体" w:hAnsi="宋体" w:eastAsia="宋体" w:cs="宋体"/>
          <w:b/>
          <w:color w:val="auto"/>
          <w:sz w:val="110"/>
          <w:szCs w:val="110"/>
          <w:highlight w:val="none"/>
        </w:rPr>
        <w:t>招</w:t>
      </w:r>
      <w:r>
        <w:rPr>
          <w:rFonts w:hint="eastAsia" w:ascii="宋体" w:hAnsi="宋体" w:eastAsia="宋体"/>
          <w:b/>
          <w:color w:val="auto"/>
          <w:sz w:val="110"/>
          <w:szCs w:val="110"/>
          <w:highlight w:val="none"/>
        </w:rPr>
        <w:t xml:space="preserve"> </w:t>
      </w:r>
      <w:r>
        <w:rPr>
          <w:rFonts w:hint="eastAsia" w:ascii="宋体" w:hAnsi="宋体" w:eastAsia="宋体" w:cs="宋体"/>
          <w:b/>
          <w:color w:val="auto"/>
          <w:sz w:val="110"/>
          <w:szCs w:val="110"/>
          <w:highlight w:val="none"/>
        </w:rPr>
        <w:t>标</w:t>
      </w:r>
      <w:r>
        <w:rPr>
          <w:rFonts w:hint="eastAsia" w:ascii="宋体" w:hAnsi="宋体" w:eastAsia="宋体"/>
          <w:b/>
          <w:color w:val="auto"/>
          <w:sz w:val="110"/>
          <w:szCs w:val="110"/>
          <w:highlight w:val="none"/>
        </w:rPr>
        <w:t xml:space="preserve"> </w:t>
      </w:r>
      <w:r>
        <w:rPr>
          <w:rFonts w:hint="eastAsia" w:ascii="宋体" w:hAnsi="宋体" w:eastAsia="宋体" w:cs="宋体"/>
          <w:b/>
          <w:color w:val="auto"/>
          <w:sz w:val="110"/>
          <w:szCs w:val="110"/>
          <w:highlight w:val="none"/>
        </w:rPr>
        <w:t>文</w:t>
      </w:r>
      <w:r>
        <w:rPr>
          <w:rFonts w:hint="eastAsia" w:ascii="宋体" w:hAnsi="宋体" w:eastAsia="宋体"/>
          <w:b/>
          <w:color w:val="auto"/>
          <w:sz w:val="110"/>
          <w:szCs w:val="110"/>
          <w:highlight w:val="none"/>
        </w:rPr>
        <w:t xml:space="preserve"> </w:t>
      </w:r>
      <w:r>
        <w:rPr>
          <w:rFonts w:hint="eastAsia" w:ascii="宋体" w:hAnsi="宋体" w:eastAsia="宋体" w:cs="宋体"/>
          <w:b/>
          <w:color w:val="auto"/>
          <w:sz w:val="110"/>
          <w:szCs w:val="110"/>
          <w:highlight w:val="none"/>
        </w:rPr>
        <w:t>件</w:t>
      </w:r>
    </w:p>
    <w:p>
      <w:pPr>
        <w:snapToGrid w:val="0"/>
        <w:spacing w:before="165" w:beforeLines="50" w:line="360" w:lineRule="auto"/>
        <w:rPr>
          <w:rFonts w:hint="eastAsia" w:ascii="宋体" w:hAnsi="宋体" w:eastAsia="宋体" w:cs="宋体"/>
          <w:color w:val="auto"/>
          <w:sz w:val="30"/>
          <w:szCs w:val="72"/>
          <w:highlight w:val="none"/>
        </w:rPr>
      </w:pPr>
    </w:p>
    <w:p>
      <w:pPr>
        <w:widowControl w:val="0"/>
        <w:snapToGrid w:val="0"/>
        <w:jc w:val="left"/>
        <w:rPr>
          <w:rFonts w:hint="eastAsia" w:ascii="宋体" w:hAnsi="宋体" w:eastAsia="宋体" w:cs="宋体"/>
          <w:color w:val="auto"/>
          <w:kern w:val="2"/>
          <w:sz w:val="30"/>
          <w:szCs w:val="72"/>
          <w:highlight w:val="none"/>
          <w:lang w:val="en-US" w:eastAsia="zh-CN" w:bidi="ar-SA"/>
        </w:rPr>
      </w:pPr>
    </w:p>
    <w:p>
      <w:pPr>
        <w:rPr>
          <w:rFonts w:hint="eastAsia" w:eastAsia="宋体"/>
          <w:color w:val="auto"/>
          <w:highlight w:val="none"/>
        </w:rPr>
      </w:pPr>
    </w:p>
    <w:p>
      <w:pPr>
        <w:widowControl w:val="0"/>
        <w:snapToGrid w:val="0"/>
        <w:spacing w:before="50" w:after="120" w:line="360" w:lineRule="auto"/>
        <w:ind w:firstLine="1795" w:firstLineChars="596"/>
        <w:jc w:val="both"/>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项目</w:t>
      </w:r>
      <w:r>
        <w:rPr>
          <w:rFonts w:hint="eastAsia" w:ascii="宋体" w:hAnsi="宋体" w:eastAsia="宋体" w:cs="宋体"/>
          <w:b/>
          <w:bCs/>
          <w:color w:val="auto"/>
          <w:w w:val="95"/>
          <w:kern w:val="2"/>
          <w:sz w:val="30"/>
          <w:szCs w:val="30"/>
          <w:highlight w:val="none"/>
          <w:lang w:val="en-US" w:eastAsia="zh-CN" w:bidi="ar-SA"/>
        </w:rPr>
        <w:t>名称</w:t>
      </w:r>
      <w:r>
        <w:rPr>
          <w:rFonts w:hint="eastAsia" w:ascii="宋体" w:hAnsi="宋体" w:eastAsia="宋体" w:cs="宋体"/>
          <w:b/>
          <w:bCs/>
          <w:color w:val="auto"/>
          <w:kern w:val="2"/>
          <w:sz w:val="30"/>
          <w:szCs w:val="30"/>
          <w:highlight w:val="none"/>
          <w:lang w:val="en-US" w:eastAsia="zh-CN" w:bidi="ar-SA"/>
        </w:rPr>
        <w:t>：</w:t>
      </w:r>
      <w:bookmarkStart w:id="0" w:name="OLE_LINK1"/>
      <w:r>
        <w:rPr>
          <w:rFonts w:hint="eastAsia" w:ascii="宋体" w:hAnsi="宋体" w:cs="宋体"/>
          <w:b/>
          <w:bCs/>
          <w:color w:val="auto"/>
          <w:kern w:val="2"/>
          <w:sz w:val="30"/>
          <w:szCs w:val="30"/>
          <w:highlight w:val="none"/>
          <w:lang w:val="en-US" w:eastAsia="zh-CN" w:bidi="ar-SA"/>
        </w:rPr>
        <w:t>2台DSA、64排CT维保</w:t>
      </w:r>
      <w:bookmarkEnd w:id="0"/>
    </w:p>
    <w:p>
      <w:pPr>
        <w:snapToGrid w:val="0"/>
        <w:spacing w:before="165" w:beforeLines="50" w:line="360" w:lineRule="auto"/>
        <w:ind w:firstLine="1717" w:firstLineChars="600"/>
        <w:rPr>
          <w:rFonts w:hint="eastAsia" w:ascii="宋体" w:hAnsi="宋体" w:eastAsia="宋体" w:cs="宋体"/>
          <w:b/>
          <w:color w:val="auto"/>
          <w:sz w:val="30"/>
          <w:szCs w:val="48"/>
          <w:highlight w:val="non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cs="宋体"/>
          <w:b/>
          <w:bCs/>
          <w:color w:val="auto"/>
          <w:w w:val="95"/>
          <w:sz w:val="30"/>
          <w:szCs w:val="30"/>
          <w:highlight w:val="none"/>
          <w:lang w:eastAsia="zh-CN"/>
        </w:rPr>
        <w:t>LBZC2025-G3-990063-GXKL</w:t>
      </w:r>
    </w:p>
    <w:p>
      <w:pPr>
        <w:widowControl w:val="0"/>
        <w:snapToGrid w:val="0"/>
        <w:spacing w:before="50" w:after="120" w:line="360" w:lineRule="auto"/>
        <w:ind w:firstLine="1125" w:firstLineChars="393"/>
        <w:jc w:val="both"/>
        <w:rPr>
          <w:rFonts w:hint="eastAsia" w:ascii="宋体" w:hAnsi="宋体" w:eastAsia="宋体" w:cs="宋体"/>
          <w:b/>
          <w:bCs/>
          <w:color w:val="auto"/>
          <w:w w:val="95"/>
          <w:kern w:val="2"/>
          <w:sz w:val="30"/>
          <w:szCs w:val="30"/>
          <w:highlight w:val="none"/>
          <w:lang w:val="en-US" w:eastAsia="zh-CN" w:bidi="ar-SA"/>
        </w:rPr>
      </w:pPr>
    </w:p>
    <w:p>
      <w:pPr>
        <w:widowControl w:val="0"/>
        <w:snapToGrid w:val="0"/>
        <w:spacing w:before="50" w:after="120" w:line="360" w:lineRule="auto"/>
        <w:ind w:firstLine="1125" w:firstLineChars="393"/>
        <w:jc w:val="both"/>
        <w:rPr>
          <w:rFonts w:hint="eastAsia" w:ascii="宋体" w:hAnsi="宋体" w:eastAsia="宋体" w:cs="宋体"/>
          <w:b/>
          <w:bCs/>
          <w:color w:val="auto"/>
          <w:w w:val="95"/>
          <w:kern w:val="2"/>
          <w:sz w:val="30"/>
          <w:szCs w:val="30"/>
          <w:highlight w:val="none"/>
          <w:lang w:val="en-US" w:eastAsia="zh-CN" w:bidi="ar-SA"/>
        </w:rPr>
      </w:pPr>
    </w:p>
    <w:p>
      <w:pPr>
        <w:shd w:val="clear" w:color="auto" w:fill="auto"/>
        <w:snapToGrid w:val="0"/>
        <w:spacing w:before="120" w:beforeLines="50" w:line="360" w:lineRule="auto"/>
        <w:jc w:val="center"/>
        <w:rPr>
          <w:rFonts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（全流程电子化评标）</w:t>
      </w:r>
    </w:p>
    <w:p>
      <w:pPr>
        <w:widowControl w:val="0"/>
        <w:snapToGrid w:val="0"/>
        <w:spacing w:before="50" w:after="120" w:line="360" w:lineRule="auto"/>
        <w:ind w:firstLine="1125" w:firstLineChars="393"/>
        <w:jc w:val="both"/>
        <w:rPr>
          <w:rFonts w:hint="eastAsia" w:ascii="宋体" w:hAnsi="宋体" w:eastAsia="宋体" w:cs="宋体"/>
          <w:b/>
          <w:bCs/>
          <w:color w:val="auto"/>
          <w:w w:val="95"/>
          <w:kern w:val="2"/>
          <w:sz w:val="30"/>
          <w:szCs w:val="30"/>
          <w:highlight w:val="none"/>
          <w:lang w:val="en-US" w:eastAsia="zh-CN" w:bidi="ar-SA"/>
        </w:rPr>
      </w:pPr>
    </w:p>
    <w:p>
      <w:pPr>
        <w:widowControl w:val="0"/>
        <w:snapToGrid w:val="0"/>
        <w:spacing w:before="50" w:after="120" w:line="360" w:lineRule="auto"/>
        <w:ind w:firstLine="1694" w:firstLineChars="592"/>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 购 人：</w:t>
      </w:r>
      <w:r>
        <w:rPr>
          <w:rFonts w:hint="eastAsia" w:ascii="宋体" w:hAnsi="宋体" w:cs="宋体"/>
          <w:b/>
          <w:bCs/>
          <w:color w:val="auto"/>
          <w:w w:val="95"/>
          <w:kern w:val="2"/>
          <w:sz w:val="30"/>
          <w:szCs w:val="30"/>
          <w:highlight w:val="none"/>
          <w:lang w:val="en-US" w:eastAsia="zh-CN" w:bidi="ar-SA"/>
        </w:rPr>
        <w:t>来宾市人民医院</w:t>
      </w:r>
    </w:p>
    <w:p>
      <w:pPr>
        <w:widowControl w:val="0"/>
        <w:snapToGrid w:val="0"/>
        <w:spacing w:before="50" w:after="120" w:line="360" w:lineRule="auto"/>
        <w:ind w:firstLine="1694" w:firstLineChars="592"/>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bookmarkStart w:id="1" w:name="PO_3000001867_PM031"/>
      <w:r>
        <w:rPr>
          <w:rFonts w:hint="eastAsia" w:ascii="宋体" w:hAnsi="宋体" w:eastAsia="宋体" w:cs="宋体"/>
          <w:b/>
          <w:bCs/>
          <w:color w:val="auto"/>
          <w:w w:val="95"/>
          <w:kern w:val="2"/>
          <w:sz w:val="30"/>
          <w:szCs w:val="30"/>
          <w:highlight w:val="none"/>
          <w:lang w:val="en-US" w:eastAsia="zh-CN" w:bidi="ar-SA"/>
        </w:rPr>
        <w:t>广西科联招标中心有限公司</w:t>
      </w:r>
      <w:bookmarkEnd w:id="1"/>
    </w:p>
    <w:p>
      <w:pPr>
        <w:widowControl w:val="0"/>
        <w:snapToGrid w:val="0"/>
        <w:spacing w:before="50" w:after="120" w:line="360" w:lineRule="auto"/>
        <w:ind w:firstLine="841" w:firstLineChars="294"/>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 xml:space="preserve">                     </w:t>
      </w:r>
    </w:p>
    <w:p>
      <w:pPr>
        <w:widowControl w:val="0"/>
        <w:snapToGrid w:val="0"/>
        <w:spacing w:before="50" w:after="120" w:line="360" w:lineRule="auto"/>
        <w:jc w:val="center"/>
        <w:rPr>
          <w:rFonts w:hint="eastAsia" w:ascii="宋体" w:hAnsi="宋体" w:eastAsia="宋体" w:cs="宋体"/>
          <w:b/>
          <w:bCs/>
          <w:color w:val="auto"/>
          <w:w w:val="95"/>
          <w:kern w:val="2"/>
          <w:sz w:val="30"/>
          <w:szCs w:val="30"/>
          <w:highlight w:val="none"/>
          <w:lang w:val="en-US" w:eastAsia="zh-CN" w:bidi="ar-SA"/>
        </w:rPr>
      </w:pPr>
    </w:p>
    <w:p>
      <w:pPr>
        <w:widowControl/>
        <w:spacing w:line="360" w:lineRule="auto"/>
        <w:jc w:val="center"/>
        <w:rPr>
          <w:rFonts w:hint="eastAsia" w:ascii="宋体" w:hAnsi="宋体" w:eastAsia="宋体" w:cs="宋体"/>
          <w:b/>
          <w:bCs/>
          <w:color w:val="auto"/>
          <w:w w:val="95"/>
          <w:sz w:val="30"/>
          <w:szCs w:val="30"/>
          <w:highlight w:val="none"/>
        </w:rPr>
        <w:sectPr>
          <w:headerReference r:id="rId3" w:type="default"/>
          <w:pgSz w:w="11905" w:h="16838"/>
          <w:pgMar w:top="1134" w:right="1134" w:bottom="1134" w:left="1134" w:header="850" w:footer="850" w:gutter="0"/>
          <w:pgNumType w:fmt="decimal" w:start="1"/>
          <w:cols w:space="0" w:num="1"/>
          <w:titlePg/>
          <w:rtlGutter w:val="0"/>
          <w:docGrid w:linePitch="331" w:charSpace="0"/>
        </w:sectPr>
      </w:pPr>
      <w:r>
        <w:rPr>
          <w:rFonts w:hint="eastAsia" w:ascii="宋体" w:hAnsi="宋体" w:eastAsia="宋体" w:cs="宋体"/>
          <w:b/>
          <w:bCs/>
          <w:color w:val="auto"/>
          <w:w w:val="95"/>
          <w:kern w:val="2"/>
          <w:sz w:val="30"/>
          <w:szCs w:val="30"/>
          <w:highlight w:val="none"/>
          <w:lang w:val="en-US" w:eastAsia="zh-CN" w:bidi="ar-SA"/>
        </w:rPr>
        <w:t>2025年</w:t>
      </w:r>
      <w:r>
        <w:rPr>
          <w:rFonts w:hint="eastAsia" w:ascii="宋体" w:hAnsi="宋体" w:cs="宋体"/>
          <w:b/>
          <w:bCs/>
          <w:color w:val="auto"/>
          <w:w w:val="95"/>
          <w:kern w:val="2"/>
          <w:sz w:val="30"/>
          <w:szCs w:val="30"/>
          <w:highlight w:val="none"/>
          <w:lang w:val="en-US" w:eastAsia="zh-CN" w:bidi="ar-SA"/>
        </w:rPr>
        <w:t>5</w:t>
      </w:r>
      <w:r>
        <w:rPr>
          <w:rFonts w:hint="eastAsia" w:ascii="宋体" w:hAnsi="宋体" w:eastAsia="宋体" w:cs="宋体"/>
          <w:b/>
          <w:bCs/>
          <w:color w:val="auto"/>
          <w:w w:val="95"/>
          <w:kern w:val="2"/>
          <w:sz w:val="30"/>
          <w:szCs w:val="30"/>
          <w:highlight w:val="none"/>
          <w:lang w:val="en-US" w:eastAsia="zh-CN" w:bidi="ar-SA"/>
        </w:rPr>
        <w:t>月</w:t>
      </w:r>
    </w:p>
    <w:p>
      <w:pPr>
        <w:pStyle w:val="17"/>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pPr>
        <w:pStyle w:val="20"/>
        <w:tabs>
          <w:tab w:val="right" w:leader="dot" w:pos="9637"/>
        </w:tabs>
        <w:rPr>
          <w:color w:val="auto"/>
          <w:highlight w:val="none"/>
        </w:rPr>
      </w:pPr>
    </w:p>
    <w:p>
      <w:pPr>
        <w:pStyle w:val="20"/>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0"/>
        <w:tabs>
          <w:tab w:val="right" w:leader="dot" w:pos="9637"/>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jc w:val="center"/>
        <w:rPr>
          <w:rFonts w:hint="eastAsia" w:eastAsia="宋体" w:cs="Times New Roman"/>
          <w:color w:val="auto"/>
          <w:highlight w:val="none"/>
        </w:rPr>
      </w:pPr>
      <w:r>
        <w:rPr>
          <w:color w:val="auto"/>
          <w:highlight w:val="none"/>
        </w:rPr>
        <w:fldChar w:fldCharType="end"/>
      </w:r>
      <w:r>
        <w:rPr>
          <w:rFonts w:hint="eastAsia" w:eastAsia="宋体" w:cs="Times New Roman"/>
          <w:color w:val="auto"/>
          <w:highlight w:val="none"/>
        </w:rPr>
        <w:tab/>
      </w:r>
      <w:bookmarkStart w:id="2" w:name="_Toc532545041"/>
    </w:p>
    <w:p>
      <w:pPr>
        <w:rPr>
          <w:rFonts w:hint="eastAsia" w:eastAsia="宋体" w:cs="Times New Roman"/>
          <w:color w:val="auto"/>
          <w:highlight w:val="none"/>
        </w:rPr>
      </w:pPr>
      <w:r>
        <w:rPr>
          <w:rFonts w:hint="eastAsia" w:eastAsia="宋体" w:cs="Times New Roman"/>
          <w:color w:val="auto"/>
          <w:highlight w:val="none"/>
        </w:rPr>
        <w:br w:type="page"/>
      </w:r>
    </w:p>
    <w:p>
      <w:pPr>
        <w:pStyle w:val="17"/>
        <w:jc w:val="center"/>
        <w:outlineLvl w:val="0"/>
        <w:rPr>
          <w:rFonts w:hint="eastAsia" w:ascii="Times New Roman" w:hAnsi="Times New Roman" w:eastAsia="宋体" w:cs="Times New Roman"/>
          <w:b/>
          <w:color w:val="auto"/>
          <w:sz w:val="36"/>
          <w:szCs w:val="20"/>
          <w:highlight w:val="none"/>
        </w:rPr>
      </w:pPr>
      <w:bookmarkStart w:id="3" w:name="_Toc18707"/>
      <w:bookmarkStart w:id="4" w:name="_Toc11500"/>
      <w:bookmarkStart w:id="5" w:name="_Toc16222"/>
      <w:bookmarkStart w:id="6" w:name="_Toc20258"/>
      <w:bookmarkStart w:id="7" w:name="_Toc16576"/>
      <w:bookmarkStart w:id="8" w:name="_Toc184"/>
      <w:bookmarkStart w:id="9" w:name="_Toc8345"/>
      <w:bookmarkStart w:id="10" w:name="_Toc18459"/>
      <w:bookmarkStart w:id="11" w:name="_Toc9949"/>
      <w:bookmarkStart w:id="12" w:name="_Toc12228"/>
      <w:bookmarkStart w:id="13" w:name="_Toc19537"/>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2"/>
      <w:bookmarkEnd w:id="3"/>
      <w:bookmarkEnd w:id="4"/>
      <w:bookmarkEnd w:id="5"/>
      <w:bookmarkEnd w:id="6"/>
      <w:bookmarkEnd w:id="7"/>
      <w:bookmarkEnd w:id="8"/>
      <w:bookmarkEnd w:id="9"/>
      <w:bookmarkEnd w:id="10"/>
      <w:bookmarkEnd w:id="11"/>
      <w:bookmarkEnd w:id="12"/>
      <w:bookmarkEnd w:id="13"/>
    </w:p>
    <w:p>
      <w:pPr>
        <w:pStyle w:val="17"/>
        <w:jc w:val="center"/>
        <w:rPr>
          <w:rFonts w:hint="eastAsia" w:ascii="Times New Roman" w:hAnsi="Times New Roman" w:eastAsia="宋体" w:cs="Times New Roman"/>
          <w:b/>
          <w:color w:val="auto"/>
          <w:sz w:val="30"/>
          <w:szCs w:val="30"/>
          <w:highlight w:val="none"/>
        </w:rPr>
      </w:pPr>
    </w:p>
    <w:p>
      <w:pPr>
        <w:pStyle w:val="17"/>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eastAsia="宋体" w:cs="宋体"/>
          <w:color w:val="auto"/>
          <w:szCs w:val="21"/>
          <w:highlight w:val="none"/>
          <w:u w:val="single"/>
        </w:rPr>
      </w:pPr>
      <w:r>
        <w:rPr>
          <w:rFonts w:hint="eastAsia" w:ascii="宋体" w:hAnsi="宋体" w:cs="宋体"/>
          <w:color w:val="auto"/>
          <w:szCs w:val="21"/>
          <w:highlight w:val="none"/>
          <w:u w:val="single"/>
          <w:lang w:val="en-US" w:eastAsia="zh-CN"/>
        </w:rPr>
        <w:t>2台DSA、64排CT维保</w:t>
      </w:r>
      <w:r>
        <w:rPr>
          <w:rFonts w:hint="eastAsia" w:ascii="宋体" w:hAnsi="宋体" w:eastAsia="宋体" w:cs="宋体"/>
          <w:color w:val="auto"/>
          <w:szCs w:val="21"/>
          <w:highlight w:val="none"/>
        </w:rPr>
        <w:t>招标项目的潜在投标人应在广西政府采购云平台（https://www.gcy.zfcg.gxzf.gov.cn/）获取招标文件，并于</w:t>
      </w:r>
      <w:bookmarkStart w:id="14" w:name="PO_3000001867_PM015"/>
      <w:bookmarkStart w:id="15" w:name="PO_3000001866_PM015"/>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rPr>
        <w:t>日</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0</w:t>
      </w:r>
      <w:bookmarkEnd w:id="14"/>
      <w:bookmarkEnd w:id="15"/>
      <w:r>
        <w:rPr>
          <w:rFonts w:hint="eastAsia" w:ascii="宋体" w:hAnsi="宋体" w:eastAsia="宋体" w:cs="宋体"/>
          <w:bCs/>
          <w:color w:val="auto"/>
          <w:szCs w:val="21"/>
          <w:highlight w:val="none"/>
        </w:rPr>
        <w:t>（北京时间）前</w:t>
      </w:r>
      <w:r>
        <w:rPr>
          <w:rFonts w:hint="eastAsia" w:ascii="宋体" w:hAnsi="宋体" w:eastAsia="宋体" w:cs="宋体"/>
          <w:color w:val="auto"/>
          <w:szCs w:val="21"/>
          <w:highlight w:val="none"/>
        </w:rPr>
        <w:t>递交投标文件。</w:t>
      </w:r>
    </w:p>
    <w:p>
      <w:pPr>
        <w:spacing w:line="360" w:lineRule="auto"/>
        <w:rPr>
          <w:rFonts w:ascii="黑体" w:hAnsi="黑体" w:eastAsia="黑体" w:cs="Times New Roman"/>
          <w:b/>
          <w:bCs/>
          <w:color w:val="auto"/>
          <w:sz w:val="24"/>
          <w:highlight w:val="none"/>
        </w:rPr>
      </w:pPr>
      <w:bookmarkStart w:id="16" w:name="_Toc35393790"/>
      <w:bookmarkStart w:id="17" w:name="_Toc35393621"/>
      <w:bookmarkStart w:id="18" w:name="_Toc28359079"/>
      <w:bookmarkStart w:id="19" w:name="_Toc28359002"/>
      <w:bookmarkStart w:id="20" w:name="_Hlk24379207"/>
      <w:r>
        <w:rPr>
          <w:rFonts w:hint="eastAsia" w:ascii="黑体" w:hAnsi="黑体" w:eastAsia="黑体" w:cs="Times New Roman"/>
          <w:b/>
          <w:bCs/>
          <w:color w:val="auto"/>
          <w:sz w:val="24"/>
          <w:highlight w:val="none"/>
        </w:rPr>
        <w:t>一、项目基本情况</w:t>
      </w:r>
      <w:bookmarkEnd w:id="16"/>
      <w:bookmarkEnd w:id="17"/>
      <w:bookmarkEnd w:id="18"/>
      <w:bookmarkEnd w:id="19"/>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eastAsia="zh-CN"/>
        </w:rPr>
        <w:t>LBZC2025-G3-990063-GXKL</w:t>
      </w:r>
      <w:r>
        <w:rPr>
          <w:rFonts w:hint="eastAsia" w:ascii="宋体" w:hAnsi="宋体" w:eastAsia="宋体" w:cs="Times New Roman"/>
          <w:color w:val="auto"/>
          <w:szCs w:val="21"/>
          <w:highlight w:val="none"/>
        </w:rPr>
        <w:t xml:space="preserve"> </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w:t>
      </w:r>
      <w:bookmarkEnd w:id="20"/>
      <w:r>
        <w:rPr>
          <w:rFonts w:hint="eastAsia" w:ascii="宋体" w:hAnsi="宋体" w:cs="宋体"/>
          <w:color w:val="auto"/>
          <w:szCs w:val="21"/>
          <w:highlight w:val="none"/>
          <w:u w:val="single"/>
          <w:lang w:val="en-US" w:eastAsia="zh-CN"/>
        </w:rPr>
        <w:t>2台DSA、64排CT维保</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预算总金额（元）：</w:t>
      </w:r>
      <w:bookmarkStart w:id="21" w:name="PO_3000001867_PM001392"/>
      <w:r>
        <w:rPr>
          <w:rFonts w:hint="eastAsia" w:ascii="宋体" w:hAnsi="宋体" w:cs="Times New Roman"/>
          <w:color w:val="auto"/>
          <w:szCs w:val="21"/>
          <w:highlight w:val="none"/>
          <w:lang w:val="en-US" w:eastAsia="zh-CN"/>
        </w:rPr>
        <w:t>4200000</w:t>
      </w:r>
      <w:r>
        <w:rPr>
          <w:rFonts w:hint="eastAsia" w:ascii="宋体" w:hAnsi="宋体" w:eastAsia="宋体" w:cs="Times New Roman"/>
          <w:color w:val="auto"/>
          <w:szCs w:val="21"/>
          <w:highlight w:val="none"/>
        </w:rPr>
        <w:t>.00</w:t>
      </w:r>
      <w:bookmarkEnd w:id="21"/>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采购需求：</w:t>
      </w:r>
      <w:r>
        <w:rPr>
          <w:rFonts w:hint="eastAsia" w:ascii="宋体" w:hAnsi="宋体" w:eastAsia="宋体" w:cs="宋体"/>
          <w:color w:val="auto"/>
          <w:szCs w:val="21"/>
          <w:highlight w:val="none"/>
        </w:rPr>
        <w:t xml:space="preserve"> </w:t>
      </w:r>
      <w:bookmarkStart w:id="22" w:name="PO_3000001867_PM004"/>
      <w:r>
        <w:rPr>
          <w:rFonts w:hint="eastAsia" w:ascii="宋体" w:hAnsi="宋体" w:eastAsia="宋体" w:cs="宋体"/>
          <w:color w:val="auto"/>
          <w:szCs w:val="21"/>
          <w:highlight w:val="none"/>
        </w:rPr>
        <w:t xml:space="preserve"> </w:t>
      </w:r>
      <w:bookmarkEnd w:id="22"/>
    </w:p>
    <w:p>
      <w:pPr>
        <w:spacing w:line="336" w:lineRule="auto"/>
        <w:ind w:left="420" w:leftChars="200" w:firstLine="0" w:firstLineChars="0"/>
        <w:rPr>
          <w:rFonts w:hint="eastAsia" w:ascii="宋体" w:hAnsi="宋体" w:eastAsia="宋体" w:cs="Times New Roman"/>
          <w:color w:val="auto"/>
          <w:szCs w:val="21"/>
          <w:highlight w:val="none"/>
          <w:lang w:eastAsia="zh-CN"/>
        </w:rPr>
      </w:pPr>
      <w:bookmarkStart w:id="23" w:name="_Toc35393622"/>
      <w:bookmarkStart w:id="24" w:name="_Toc28359080"/>
      <w:bookmarkStart w:id="25" w:name="_Toc28359003"/>
      <w:bookmarkStart w:id="26" w:name="_Toc35393791"/>
      <w:r>
        <w:rPr>
          <w:rFonts w:hint="eastAsia" w:ascii="宋体" w:hAnsi="宋体" w:eastAsia="宋体" w:cs="Times New Roman"/>
          <w:color w:val="auto"/>
          <w:szCs w:val="21"/>
          <w:highlight w:val="none"/>
        </w:rPr>
        <w:t>标项名称:</w:t>
      </w:r>
      <w:r>
        <w:rPr>
          <w:rFonts w:hint="eastAsia" w:ascii="宋体" w:hAnsi="宋体" w:cs="宋体"/>
          <w:color w:val="auto"/>
          <w:szCs w:val="21"/>
          <w:highlight w:val="none"/>
          <w:u w:val="single"/>
          <w:lang w:val="en-US" w:eastAsia="zh-CN"/>
        </w:rPr>
        <w:t>2台DSA、64排CT维保</w:t>
      </w:r>
    </w:p>
    <w:p>
      <w:pPr>
        <w:spacing w:line="336" w:lineRule="auto"/>
        <w:ind w:left="420" w:leftChars="200" w:firstLine="0" w:firstLineChars="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数量:不限</w:t>
      </w:r>
    </w:p>
    <w:p>
      <w:pPr>
        <w:spacing w:line="336" w:lineRule="auto"/>
        <w:ind w:left="420" w:leftChars="200" w:firstLine="0" w:firstLineChars="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预算金额（元）:</w:t>
      </w:r>
      <w:r>
        <w:rPr>
          <w:rFonts w:hint="eastAsia" w:ascii="宋体" w:hAnsi="宋体" w:cs="Times New Roman"/>
          <w:color w:val="auto"/>
          <w:szCs w:val="21"/>
          <w:highlight w:val="none"/>
          <w:lang w:val="en-US" w:eastAsia="zh-CN"/>
        </w:rPr>
        <w:t>420</w:t>
      </w:r>
      <w:r>
        <w:rPr>
          <w:rFonts w:hint="eastAsia" w:ascii="宋体" w:hAnsi="宋体" w:eastAsia="宋体" w:cs="Times New Roman"/>
          <w:color w:val="auto"/>
          <w:szCs w:val="21"/>
          <w:highlight w:val="none"/>
          <w:lang w:val="en-US" w:eastAsia="zh-CN"/>
        </w:rPr>
        <w:t>0000.00</w:t>
      </w:r>
    </w:p>
    <w:p>
      <w:pPr>
        <w:spacing w:line="336" w:lineRule="auto"/>
        <w:ind w:left="0" w:leftChars="0"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简要规格描述或项目基本概况介绍、用途：</w:t>
      </w:r>
      <w:bookmarkStart w:id="27" w:name="OLE_LINK16"/>
      <w:r>
        <w:rPr>
          <w:rFonts w:hint="eastAsia"/>
          <w:color w:val="auto"/>
          <w:highlight w:val="none"/>
          <w:lang w:eastAsia="zh-CN"/>
        </w:rPr>
        <w:t>对</w:t>
      </w:r>
      <w:r>
        <w:rPr>
          <w:rFonts w:hint="eastAsia"/>
          <w:color w:val="auto"/>
          <w:highlight w:val="none"/>
          <w:lang w:val="en-US" w:eastAsia="zh-CN"/>
        </w:rPr>
        <w:t>西门子64排CT机、西门子DSA进行维保，</w:t>
      </w:r>
      <w:r>
        <w:rPr>
          <w:rFonts w:hint="eastAsia" w:ascii="宋体" w:hAnsi="宋体" w:eastAsia="宋体" w:cs="Times New Roman"/>
          <w:color w:val="auto"/>
          <w:szCs w:val="21"/>
          <w:highlight w:val="none"/>
        </w:rPr>
        <w:t>详见招标公告附件《采购需求》</w:t>
      </w:r>
      <w:bookmarkEnd w:id="27"/>
      <w:r>
        <w:rPr>
          <w:rFonts w:hint="eastAsia" w:ascii="宋体" w:hAnsi="宋体" w:cs="Times New Roman"/>
          <w:color w:val="auto"/>
          <w:szCs w:val="21"/>
          <w:highlight w:val="none"/>
          <w:lang w:eastAsia="zh-CN"/>
        </w:rPr>
        <w:t>。</w:t>
      </w:r>
    </w:p>
    <w:p>
      <w:pPr>
        <w:spacing w:line="336" w:lineRule="auto"/>
        <w:ind w:left="420" w:leftChars="200" w:firstLine="0" w:firstLineChars="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w:t>
      </w:r>
    </w:p>
    <w:p>
      <w:pPr>
        <w:spacing w:line="336" w:lineRule="auto"/>
        <w:ind w:left="420" w:leftChars="200" w:firstLine="0" w:firstLineChars="0"/>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rPr>
        <w:t>合同履约期限：</w:t>
      </w:r>
      <w:r>
        <w:rPr>
          <w:rFonts w:hint="eastAsia" w:ascii="宋体" w:hAnsi="宋体" w:cs="Times New Roman"/>
          <w:color w:val="auto"/>
          <w:szCs w:val="21"/>
          <w:highlight w:val="none"/>
          <w:lang w:val="en-US" w:eastAsia="zh-CN"/>
        </w:rPr>
        <w:t>自签订合同之日起3年</w:t>
      </w:r>
    </w:p>
    <w:p>
      <w:pPr>
        <w:spacing w:line="360" w:lineRule="auto"/>
        <w:ind w:left="420" w:leftChars="200" w:firstLine="0" w:firstLineChars="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本标项（</w:t>
      </w:r>
      <w:r>
        <w:rPr>
          <w:rFonts w:hint="eastAsia" w:ascii="宋体" w:hAnsi="宋体" w:eastAsia="宋体" w:cs="Times New Roman"/>
          <w:color w:val="auto"/>
          <w:szCs w:val="21"/>
          <w:highlight w:val="none"/>
          <w:lang w:val="en-US" w:eastAsia="zh-CN"/>
        </w:rPr>
        <w:t>否</w:t>
      </w:r>
      <w:r>
        <w:rPr>
          <w:rFonts w:hint="eastAsia" w:ascii="宋体" w:hAnsi="宋体" w:eastAsia="宋体" w:cs="Times New Roman"/>
          <w:color w:val="auto"/>
          <w:szCs w:val="21"/>
          <w:highlight w:val="none"/>
        </w:rPr>
        <w:t>）接受联合体投标</w:t>
      </w:r>
    </w:p>
    <w:p>
      <w:pPr>
        <w:spacing w:line="360" w:lineRule="auto"/>
        <w:ind w:left="420" w:leftChars="200" w:firstLine="0" w:firstLineChars="0"/>
        <w:rPr>
          <w:rFonts w:ascii="黑体" w:hAnsi="黑体" w:eastAsia="黑体" w:cs="Times New Roman"/>
          <w:b/>
          <w:bCs/>
          <w:color w:val="auto"/>
          <w:sz w:val="24"/>
          <w:highlight w:val="none"/>
        </w:rPr>
      </w:pPr>
      <w:r>
        <w:rPr>
          <w:rFonts w:hint="eastAsia" w:ascii="宋体" w:hAnsi="宋体" w:eastAsia="宋体" w:cs="Times New Roman"/>
          <w:color w:val="auto"/>
          <w:szCs w:val="21"/>
          <w:highlight w:val="none"/>
        </w:rPr>
        <w:t>备注：</w:t>
      </w:r>
    </w:p>
    <w:p>
      <w:pPr>
        <w:spacing w:line="360" w:lineRule="auto"/>
        <w:rPr>
          <w:rFonts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二、申请人的资格要求：</w:t>
      </w:r>
      <w:bookmarkEnd w:id="23"/>
      <w:bookmarkEnd w:id="24"/>
      <w:bookmarkEnd w:id="25"/>
      <w:bookmarkEnd w:id="26"/>
    </w:p>
    <w:p>
      <w:pPr>
        <w:spacing w:line="360" w:lineRule="auto"/>
        <w:ind w:firstLine="420" w:firstLineChars="200"/>
        <w:rPr>
          <w:rFonts w:ascii="宋体" w:hAnsi="宋体" w:eastAsia="宋体" w:cs="Times New Roman"/>
          <w:color w:val="auto"/>
          <w:szCs w:val="21"/>
          <w:highlight w:val="none"/>
        </w:rPr>
      </w:pPr>
      <w:bookmarkStart w:id="28" w:name="_Toc28359081"/>
      <w:bookmarkStart w:id="29" w:name="_Toc28359004"/>
      <w:r>
        <w:rPr>
          <w:rFonts w:hint="eastAsia" w:ascii="宋体" w:hAnsi="宋体" w:eastAsia="宋体" w:cs="Times New Roman"/>
          <w:color w:val="auto"/>
          <w:szCs w:val="21"/>
          <w:highlight w:val="none"/>
        </w:rPr>
        <w:t>1.满足《中华人民共和国政府采购法》第二十二条规定；</w:t>
      </w:r>
    </w:p>
    <w:p>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eastAsia="宋体" w:cs="宋体"/>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3.本项目的特定资格要求：</w:t>
      </w:r>
      <w:r>
        <w:rPr>
          <w:rFonts w:hint="eastAsia" w:ascii="宋体" w:hAnsi="宋体" w:cs="Times New Roman"/>
          <w:color w:val="auto"/>
          <w:szCs w:val="21"/>
          <w:highlight w:val="none"/>
          <w:lang w:val="en-US" w:eastAsia="zh-CN"/>
        </w:rPr>
        <w:t>无。</w:t>
      </w:r>
    </w:p>
    <w:p>
      <w:pPr>
        <w:spacing w:line="360" w:lineRule="auto"/>
        <w:rPr>
          <w:rFonts w:ascii="黑体" w:hAnsi="黑体" w:eastAsia="黑体" w:cs="Times New Roman"/>
          <w:b/>
          <w:bCs/>
          <w:color w:val="auto"/>
          <w:sz w:val="24"/>
          <w:highlight w:val="none"/>
        </w:rPr>
      </w:pPr>
      <w:bookmarkStart w:id="30" w:name="_Toc35393623"/>
      <w:bookmarkStart w:id="31" w:name="_Toc35393792"/>
      <w:r>
        <w:rPr>
          <w:rFonts w:hint="eastAsia" w:ascii="黑体" w:hAnsi="黑体" w:eastAsia="黑体" w:cs="Times New Roman"/>
          <w:b/>
          <w:bCs/>
          <w:color w:val="auto"/>
          <w:sz w:val="24"/>
          <w:highlight w:val="none"/>
        </w:rPr>
        <w:t>三、获取招标文件</w:t>
      </w:r>
      <w:bookmarkEnd w:id="28"/>
      <w:bookmarkEnd w:id="29"/>
      <w:bookmarkEnd w:id="30"/>
      <w:bookmarkEnd w:id="31"/>
    </w:p>
    <w:p>
      <w:pPr>
        <w:snapToGrid w:val="0"/>
        <w:spacing w:line="360" w:lineRule="auto"/>
        <w:ind w:firstLine="472" w:firstLineChars="225"/>
        <w:rPr>
          <w:rFonts w:ascii="宋体" w:hAnsi="宋体" w:eastAsia="宋体" w:cs="Times New Roman"/>
          <w:color w:val="auto"/>
          <w:szCs w:val="21"/>
          <w:highlight w:val="none"/>
        </w:rPr>
      </w:pPr>
      <w:bookmarkStart w:id="32" w:name="_Toc28359082"/>
      <w:bookmarkStart w:id="33" w:name="_Toc28359005"/>
      <w:bookmarkStart w:id="34" w:name="_Toc35393793"/>
      <w:bookmarkStart w:id="35" w:name="_Toc35393624"/>
      <w:r>
        <w:rPr>
          <w:rFonts w:hint="eastAsia" w:ascii="宋体" w:hAnsi="宋体" w:eastAsia="宋体" w:cs="Times New Roman"/>
          <w:color w:val="auto"/>
          <w:szCs w:val="21"/>
          <w:highlight w:val="none"/>
        </w:rPr>
        <w:t>时间：</w:t>
      </w:r>
      <w:r>
        <w:rPr>
          <w:rFonts w:hint="eastAsia" w:ascii="宋体" w:hAnsi="宋体" w:eastAsia="宋体" w:cs="宋体"/>
          <w:bCs/>
          <w:color w:val="auto"/>
          <w:kern w:val="0"/>
          <w:szCs w:val="21"/>
          <w:highlight w:val="none"/>
          <w:u w:val="single"/>
        </w:rPr>
        <w:t>202</w:t>
      </w:r>
      <w:r>
        <w:rPr>
          <w:rFonts w:hint="eastAsia" w:ascii="宋体" w:hAnsi="宋体" w:eastAsia="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9</w:t>
      </w:r>
      <w:r>
        <w:rPr>
          <w:rFonts w:hint="eastAsia" w:ascii="宋体" w:hAnsi="宋体" w:eastAsia="宋体" w:cs="宋体"/>
          <w:bCs/>
          <w:color w:val="auto"/>
          <w:kern w:val="0"/>
          <w:szCs w:val="21"/>
          <w:highlight w:val="none"/>
          <w:u w:val="single"/>
        </w:rPr>
        <w:t>日</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u w:val="single"/>
        </w:rPr>
        <w:t>202</w:t>
      </w:r>
      <w:r>
        <w:rPr>
          <w:rFonts w:hint="eastAsia" w:ascii="宋体" w:hAnsi="宋体" w:eastAsia="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16</w:t>
      </w:r>
      <w:r>
        <w:rPr>
          <w:rFonts w:hint="eastAsia" w:ascii="宋体" w:hAnsi="宋体" w:eastAsia="宋体" w:cs="宋体"/>
          <w:bCs/>
          <w:color w:val="auto"/>
          <w:kern w:val="0"/>
          <w:szCs w:val="21"/>
          <w:highlight w:val="none"/>
          <w:u w:val="single"/>
        </w:rPr>
        <w:t>日</w:t>
      </w:r>
      <w:r>
        <w:rPr>
          <w:rFonts w:hint="eastAsia" w:ascii="宋体" w:hAnsi="宋体" w:eastAsia="宋体" w:cs="宋体"/>
          <w:bCs/>
          <w:color w:val="auto"/>
          <w:kern w:val="0"/>
          <w:szCs w:val="21"/>
          <w:highlight w:val="none"/>
        </w:rPr>
        <w:t>，</w:t>
      </w:r>
      <w:r>
        <w:rPr>
          <w:rFonts w:hint="eastAsia" w:ascii="宋体" w:hAnsi="宋体" w:eastAsia="宋体" w:cs="Times New Roman"/>
          <w:color w:val="auto"/>
          <w:szCs w:val="21"/>
          <w:highlight w:val="none"/>
        </w:rPr>
        <w:t>每天上午00:00至11:59，下午12:00至23:59（北京时间，法定节假日除外）。</w:t>
      </w:r>
    </w:p>
    <w:p>
      <w:pPr>
        <w:snapToGrid w:val="0"/>
        <w:spacing w:line="360" w:lineRule="auto"/>
        <w:ind w:firstLine="472" w:firstLineChars="22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地点：</w:t>
      </w:r>
      <w:bookmarkStart w:id="36" w:name="OLE_LINK19"/>
      <w:r>
        <w:rPr>
          <w:rFonts w:hint="eastAsia" w:ascii="宋体" w:hAnsi="宋体" w:eastAsia="宋体" w:cs="宋体"/>
          <w:color w:val="auto"/>
          <w:szCs w:val="21"/>
          <w:highlight w:val="none"/>
        </w:rPr>
        <w:t>广西政府采购云平台（</w:t>
      </w:r>
      <w:r>
        <w:rPr>
          <w:rFonts w:hint="eastAsia" w:ascii="宋体" w:hAnsi="宋体" w:eastAsia="宋体" w:cs="宋体"/>
          <w:b w:val="0"/>
          <w:bCs/>
          <w:color w:val="auto"/>
          <w:szCs w:val="21"/>
          <w:highlight w:val="none"/>
        </w:rPr>
        <w:t>https://www.gcy.zfcg.gxzf.gov.cn/</w:t>
      </w:r>
      <w:r>
        <w:rPr>
          <w:rFonts w:hint="eastAsia" w:ascii="宋体" w:hAnsi="宋体" w:eastAsia="宋体" w:cs="宋体"/>
          <w:color w:val="auto"/>
          <w:szCs w:val="21"/>
          <w:highlight w:val="none"/>
        </w:rPr>
        <w:t>）</w:t>
      </w:r>
      <w:bookmarkEnd w:id="36"/>
    </w:p>
    <w:p>
      <w:pPr>
        <w:snapToGrid w:val="0"/>
        <w:spacing w:line="360" w:lineRule="auto"/>
        <w:ind w:firstLine="472" w:firstLineChars="22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方式:</w:t>
      </w:r>
      <w:bookmarkStart w:id="37" w:name="OLE_LINK20"/>
      <w:bookmarkStart w:id="38" w:name="OLE_LINK2"/>
      <w:r>
        <w:rPr>
          <w:rFonts w:hint="eastAsia" w:ascii="宋体" w:hAnsi="宋体" w:eastAsia="宋体" w:cs="Times New Roman"/>
          <w:color w:val="auto"/>
          <w:szCs w:val="21"/>
          <w:highlight w:val="none"/>
        </w:rPr>
        <w:t>网上下载。本项目不发放纸质文件，</w:t>
      </w:r>
      <w:r>
        <w:rPr>
          <w:rFonts w:hint="eastAsia" w:ascii="宋体" w:hAnsi="宋体" w:eastAsia="宋体" w:cs="宋体"/>
          <w:color w:val="auto"/>
          <w:szCs w:val="21"/>
          <w:highlight w:val="none"/>
        </w:rPr>
        <w:t>潜在投标人</w:t>
      </w:r>
      <w:r>
        <w:rPr>
          <w:rFonts w:hint="eastAsia" w:ascii="宋体" w:hAnsi="宋体" w:eastAsia="宋体" w:cs="Times New Roman"/>
          <w:color w:val="auto"/>
          <w:szCs w:val="21"/>
          <w:highlight w:val="none"/>
        </w:rPr>
        <w:t>可自行在</w:t>
      </w:r>
      <w:r>
        <w:rPr>
          <w:rFonts w:hint="eastAsia" w:ascii="宋体" w:hAnsi="宋体" w:eastAsia="宋体" w:cs="宋体"/>
          <w:color w:val="auto"/>
          <w:szCs w:val="21"/>
          <w:highlight w:val="none"/>
        </w:rPr>
        <w:t>广西政府采购云平台（</w:t>
      </w:r>
      <w:r>
        <w:rPr>
          <w:rFonts w:hint="eastAsia" w:ascii="宋体" w:hAnsi="宋体" w:eastAsia="宋体" w:cs="宋体"/>
          <w:b w:val="0"/>
          <w:bCs/>
          <w:color w:val="auto"/>
          <w:szCs w:val="21"/>
          <w:highlight w:val="none"/>
        </w:rPr>
        <w:t>https://www.gcy.zfcg.gxzf.gov.cn/</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eastAsia="宋体" w:cs="宋体"/>
          <w:color w:val="auto"/>
          <w:szCs w:val="21"/>
          <w:highlight w:val="none"/>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eastAsia="宋体" w:cs="宋体"/>
          <w:color w:val="auto"/>
          <w:szCs w:val="21"/>
          <w:highlight w:val="none"/>
        </w:rPr>
        <w:t>广西政府采购云平台</w:t>
      </w:r>
      <w:r>
        <w:rPr>
          <w:rFonts w:hint="eastAsia" w:ascii="宋体" w:hAnsi="宋体" w:eastAsia="宋体" w:cs="Times New Roman"/>
          <w:color w:val="auto"/>
          <w:szCs w:val="21"/>
          <w:highlight w:val="none"/>
        </w:rPr>
        <w:t>获取的招标文件编制</w:t>
      </w:r>
      <w:bookmarkEnd w:id="37"/>
      <w:r>
        <w:rPr>
          <w:rFonts w:hint="eastAsia" w:ascii="宋体" w:hAnsi="宋体" w:eastAsia="宋体" w:cs="Times New Roman"/>
          <w:color w:val="auto"/>
          <w:szCs w:val="21"/>
          <w:highlight w:val="none"/>
        </w:rPr>
        <w:t>。</w:t>
      </w:r>
      <w:bookmarkEnd w:id="38"/>
    </w:p>
    <w:p>
      <w:pPr>
        <w:snapToGrid w:val="0"/>
        <w:spacing w:line="360" w:lineRule="auto"/>
        <w:ind w:firstLine="472" w:firstLineChars="22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eastAsia="宋体" w:cs="宋体"/>
          <w:color w:val="auto"/>
          <w:szCs w:val="21"/>
          <w:highlight w:val="none"/>
        </w:rPr>
        <w:t>人民币0元</w:t>
      </w:r>
    </w:p>
    <w:p>
      <w:pPr>
        <w:spacing w:line="360" w:lineRule="auto"/>
        <w:rPr>
          <w:rFonts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32"/>
      <w:bookmarkEnd w:id="33"/>
      <w:r>
        <w:rPr>
          <w:rFonts w:hint="eastAsia" w:ascii="黑体" w:hAnsi="黑体" w:eastAsia="黑体" w:cs="Times New Roman"/>
          <w:b/>
          <w:bCs/>
          <w:color w:val="auto"/>
          <w:sz w:val="24"/>
          <w:highlight w:val="none"/>
        </w:rPr>
        <w:t>截止时间、开标时间和地点</w:t>
      </w:r>
      <w:bookmarkEnd w:id="34"/>
      <w:bookmarkEnd w:id="35"/>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提交投标文件截止时间：202</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年</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月</w:t>
      </w:r>
      <w:r>
        <w:rPr>
          <w:rFonts w:hint="eastAsia" w:ascii="宋体" w:hAnsi="宋体" w:cs="宋体"/>
          <w:bCs/>
          <w:color w:val="auto"/>
          <w:szCs w:val="21"/>
          <w:highlight w:val="none"/>
          <w:lang w:val="en-US" w:eastAsia="zh-CN"/>
        </w:rPr>
        <w:t>30</w:t>
      </w:r>
      <w:r>
        <w:rPr>
          <w:rFonts w:hint="eastAsia" w:ascii="宋体" w:hAnsi="宋体" w:eastAsia="宋体" w:cs="宋体"/>
          <w:bCs/>
          <w:color w:val="auto"/>
          <w:szCs w:val="21"/>
          <w:highlight w:val="none"/>
        </w:rPr>
        <w:t xml:space="preserve">日 </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0</w:t>
      </w:r>
      <w:r>
        <w:rPr>
          <w:rFonts w:hint="eastAsia" w:ascii="宋体" w:hAnsi="宋体" w:eastAsia="宋体" w:cs="宋体"/>
          <w:bCs/>
          <w:color w:val="auto"/>
          <w:szCs w:val="21"/>
          <w:highlight w:val="none"/>
        </w:rPr>
        <w:t>0（北京时间）。</w:t>
      </w: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投标地点（网址）：</w:t>
      </w:r>
      <w:bookmarkStart w:id="39" w:name="OLE_LINK3"/>
      <w:r>
        <w:rPr>
          <w:rFonts w:hint="eastAsia" w:ascii="宋体" w:hAnsi="宋体" w:eastAsia="宋体" w:cs="宋体"/>
          <w:bCs/>
          <w:color w:val="auto"/>
          <w:szCs w:val="21"/>
          <w:highlight w:val="none"/>
        </w:rPr>
        <w:t>请登录广西政府采购云平台投标客户端投标</w:t>
      </w:r>
      <w:bookmarkEnd w:id="39"/>
      <w:r>
        <w:rPr>
          <w:rFonts w:hint="eastAsia" w:ascii="宋体" w:hAnsi="宋体" w:eastAsia="宋体" w:cs="宋体"/>
          <w:bCs/>
          <w:color w:val="auto"/>
          <w:szCs w:val="21"/>
          <w:highlight w:val="none"/>
        </w:rPr>
        <w:t>。</w:t>
      </w: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开标时间：202</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年</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月</w:t>
      </w:r>
      <w:r>
        <w:rPr>
          <w:rFonts w:hint="eastAsia" w:ascii="宋体" w:hAnsi="宋体" w:cs="宋体"/>
          <w:bCs/>
          <w:color w:val="auto"/>
          <w:szCs w:val="21"/>
          <w:highlight w:val="none"/>
          <w:lang w:val="en-US" w:eastAsia="zh-CN"/>
        </w:rPr>
        <w:t>30</w:t>
      </w:r>
      <w:r>
        <w:rPr>
          <w:rFonts w:hint="eastAsia" w:ascii="宋体" w:hAnsi="宋体" w:eastAsia="宋体" w:cs="宋体"/>
          <w:bCs/>
          <w:color w:val="auto"/>
          <w:szCs w:val="21"/>
          <w:highlight w:val="none"/>
        </w:rPr>
        <w:t xml:space="preserve">日 </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0</w:t>
      </w:r>
      <w:r>
        <w:rPr>
          <w:rFonts w:hint="eastAsia" w:ascii="宋体" w:hAnsi="宋体" w:eastAsia="宋体" w:cs="宋体"/>
          <w:bCs/>
          <w:color w:val="auto"/>
          <w:szCs w:val="21"/>
          <w:highlight w:val="none"/>
        </w:rPr>
        <w:t>0。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bCs/>
          <w:color w:val="auto"/>
          <w:szCs w:val="21"/>
          <w:highlight w:val="none"/>
        </w:rPr>
        <w:t>开标地点：广西壮族自治区来宾市兴宾区来宾市红水河大道331号</w:t>
      </w:r>
      <w:r>
        <w:rPr>
          <w:rFonts w:hint="eastAsia" w:ascii="宋体" w:hAnsi="宋体" w:eastAsia="宋体" w:cs="宋体"/>
          <w:bCs/>
          <w:color w:val="auto"/>
          <w:szCs w:val="21"/>
          <w:highlight w:val="none"/>
          <w:lang w:eastAsia="zh-CN"/>
        </w:rPr>
        <w:t>来宾市公共资源交易中心</w:t>
      </w:r>
      <w:r>
        <w:rPr>
          <w:rFonts w:hint="eastAsia" w:ascii="宋体" w:hAnsi="宋体" w:eastAsia="宋体" w:cs="宋体"/>
          <w:bCs/>
          <w:color w:val="auto"/>
          <w:szCs w:val="21"/>
          <w:highlight w:val="none"/>
        </w:rPr>
        <w:t>开标室</w:t>
      </w:r>
      <w:r>
        <w:rPr>
          <w:rFonts w:hint="eastAsia" w:ascii="宋体" w:hAnsi="宋体" w:cs="宋体"/>
          <w:bCs/>
          <w:color w:val="auto"/>
          <w:szCs w:val="21"/>
          <w:highlight w:val="none"/>
          <w:lang w:val="en-US" w:eastAsia="zh-CN"/>
        </w:rPr>
        <w:t>三</w:t>
      </w:r>
      <w:r>
        <w:rPr>
          <w:rFonts w:hint="eastAsia" w:ascii="宋体" w:hAnsi="宋体" w:eastAsia="宋体" w:cs="宋体"/>
          <w:bCs/>
          <w:color w:val="auto"/>
          <w:szCs w:val="21"/>
          <w:highlight w:val="none"/>
        </w:rPr>
        <w:t>（开标位</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rPr>
        <w:t>）。</w:t>
      </w:r>
    </w:p>
    <w:p>
      <w:pPr>
        <w:spacing w:line="360" w:lineRule="auto"/>
        <w:rPr>
          <w:rFonts w:ascii="黑体" w:hAnsi="黑体" w:eastAsia="黑体" w:cs="Times New Roman"/>
          <w:b/>
          <w:bCs/>
          <w:color w:val="auto"/>
          <w:sz w:val="24"/>
          <w:highlight w:val="none"/>
        </w:rPr>
      </w:pPr>
      <w:bookmarkStart w:id="40" w:name="_Toc28359007"/>
      <w:bookmarkStart w:id="41" w:name="_Toc35393794"/>
      <w:bookmarkStart w:id="42" w:name="_Toc28359084"/>
      <w:bookmarkStart w:id="43" w:name="_Toc35393625"/>
      <w:r>
        <w:rPr>
          <w:rFonts w:hint="eastAsia" w:ascii="黑体" w:hAnsi="黑体" w:eastAsia="黑体" w:cs="Times New Roman"/>
          <w:b/>
          <w:bCs/>
          <w:color w:val="auto"/>
          <w:sz w:val="24"/>
          <w:highlight w:val="none"/>
        </w:rPr>
        <w:t>五、公告期限</w:t>
      </w:r>
      <w:bookmarkEnd w:id="40"/>
      <w:bookmarkEnd w:id="41"/>
      <w:bookmarkEnd w:id="42"/>
      <w:bookmarkEnd w:id="43"/>
    </w:p>
    <w:p>
      <w:pPr>
        <w:spacing w:line="360" w:lineRule="auto"/>
        <w:ind w:firstLine="420" w:firstLineChars="200"/>
        <w:rPr>
          <w:rFonts w:eastAsia="宋体"/>
          <w:color w:val="auto"/>
          <w:highlight w:val="none"/>
        </w:rPr>
      </w:pPr>
      <w:r>
        <w:rPr>
          <w:rFonts w:hint="eastAsia" w:ascii="宋体" w:hAnsi="宋体" w:eastAsia="宋体" w:cs="宋体"/>
          <w:color w:val="auto"/>
          <w:kern w:val="0"/>
          <w:szCs w:val="21"/>
          <w:highlight w:val="none"/>
        </w:rPr>
        <w:t>自本公告发布之日起5个工作日。</w:t>
      </w:r>
    </w:p>
    <w:p>
      <w:pPr>
        <w:spacing w:line="360" w:lineRule="auto"/>
        <w:rPr>
          <w:rFonts w:ascii="黑体" w:hAnsi="黑体" w:eastAsia="黑体" w:cs="Times New Roman"/>
          <w:b/>
          <w:bCs/>
          <w:color w:val="auto"/>
          <w:sz w:val="24"/>
          <w:highlight w:val="none"/>
        </w:rPr>
      </w:pPr>
      <w:bookmarkStart w:id="44" w:name="_Toc35393795"/>
      <w:bookmarkStart w:id="45" w:name="_Toc35393626"/>
      <w:r>
        <w:rPr>
          <w:rFonts w:hint="eastAsia" w:ascii="黑体" w:hAnsi="黑体" w:eastAsia="黑体" w:cs="Times New Roman"/>
          <w:b/>
          <w:bCs/>
          <w:color w:val="auto"/>
          <w:sz w:val="24"/>
          <w:highlight w:val="none"/>
        </w:rPr>
        <w:t>六、其他补充事宜</w:t>
      </w:r>
      <w:bookmarkEnd w:id="44"/>
      <w:bookmarkEnd w:id="45"/>
    </w:p>
    <w:p>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1.投标保证金：</w:t>
      </w:r>
      <w:r>
        <w:rPr>
          <w:rFonts w:hint="eastAsia" w:ascii="宋体" w:hAnsi="宋体" w:eastAsia="宋体" w:cs="宋体"/>
          <w:b/>
          <w:bCs/>
          <w:color w:val="auto"/>
          <w:kern w:val="0"/>
          <w:szCs w:val="21"/>
          <w:highlight w:val="none"/>
        </w:rPr>
        <w:t>本项目不需要缴纳投标保证金。</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2.网上查询地址</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szCs w:val="21"/>
          <w:highlight w:val="none"/>
        </w:rPr>
        <w:t>http://www.ccgp.gov.cn (中国政府采购网)，http://zfcg.gxzf.gov.cn (广西政府采购网)，（http://ggzy.jgswj.gxzf.gov.cn/lbggzy/）全国公共资源交易平台网（广西•来宾）</w:t>
      </w:r>
      <w:r>
        <w:rPr>
          <w:rFonts w:hint="eastAsia" w:ascii="宋体" w:hAnsi="宋体" w:eastAsia="宋体" w:cs="宋体"/>
          <w:color w:val="auto"/>
          <w:kern w:val="0"/>
          <w:szCs w:val="21"/>
          <w:highlight w:val="none"/>
        </w:rPr>
        <w:t>。</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 本项目需要落实的政府采购政策：</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5.对在“信用中国”网站(www.creditchina.gov.cn) 、中国政府采购网(www.ccgp.gov.cn)被列入失信被执行人、</w:t>
      </w:r>
      <w:r>
        <w:rPr>
          <w:rFonts w:hint="eastAsia" w:ascii="宋体" w:hAnsi="宋体" w:eastAsia="宋体" w:cs="宋体"/>
          <w:color w:val="auto"/>
          <w:szCs w:val="21"/>
          <w:highlight w:val="none"/>
        </w:rPr>
        <w:t>重大税收违法失信主体</w:t>
      </w:r>
      <w:r>
        <w:rPr>
          <w:rFonts w:hint="eastAsia" w:ascii="宋体" w:hAnsi="宋体" w:eastAsia="宋体" w:cs="宋体"/>
          <w:color w:val="auto"/>
          <w:kern w:val="0"/>
          <w:szCs w:val="21"/>
          <w:highlight w:val="none"/>
        </w:rPr>
        <w:t>、政府采购严重违法失信行为记录名单及其他不符合《中华人民共和国政府采购法》第二十二条规定条件的供应商，不得参与政府采购活动。</w:t>
      </w:r>
    </w:p>
    <w:p>
      <w:pPr>
        <w:spacing w:line="360" w:lineRule="auto"/>
        <w:ind w:firstLine="316" w:firstLineChars="150"/>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w:t>
      </w:r>
      <w:r>
        <w:rPr>
          <w:rFonts w:hint="eastAsia" w:ascii="宋体" w:hAnsi="宋体" w:eastAsia="宋体" w:cs="宋体"/>
          <w:b/>
          <w:bCs/>
          <w:color w:val="auto"/>
          <w:szCs w:val="21"/>
          <w:highlight w:val="none"/>
        </w:rPr>
        <w:t>在线投标的有关说明</w:t>
      </w:r>
      <w:r>
        <w:rPr>
          <w:rFonts w:hint="eastAsia" w:ascii="宋体" w:hAnsi="宋体" w:eastAsia="宋体" w:cs="宋体"/>
          <w:b/>
          <w:bCs/>
          <w:color w:val="auto"/>
          <w:kern w:val="0"/>
          <w:szCs w:val="21"/>
          <w:highlight w:val="none"/>
        </w:rPr>
        <w:t>：</w:t>
      </w:r>
    </w:p>
    <w:p>
      <w:pPr>
        <w:widowControl/>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eastAsia="宋体" w:cs="宋体"/>
          <w:color w:val="auto"/>
          <w:szCs w:val="21"/>
          <w:highlight w:val="none"/>
        </w:rPr>
        <w:t>广西政府采购云平台（https://www.gcy.zfcg.gxzf.gov.cn/）</w:t>
      </w:r>
      <w:r>
        <w:rPr>
          <w:rFonts w:hint="eastAsia" w:ascii="宋体" w:hAnsi="宋体" w:eastAsia="宋体" w:cs="Times New Roman"/>
          <w:color w:val="auto"/>
          <w:szCs w:val="21"/>
          <w:highlight w:val="none"/>
        </w:rPr>
        <w:t>实行在线电子投标，供应商应先安装</w:t>
      </w:r>
      <w:r>
        <w:rPr>
          <w:rFonts w:hint="eastAsia" w:ascii="宋体" w:hAnsi="宋体" w:eastAsia="宋体" w:cs="宋体"/>
          <w:color w:val="auto"/>
          <w:szCs w:val="21"/>
          <w:highlight w:val="none"/>
        </w:rPr>
        <w:t>广西政府采购云平台新版客户端（新版客户端下载路径：广西政府采购网（访问地址http://zfcg.gxzf.gov.cn/）—办事服务—下载专区）</w:t>
      </w:r>
      <w:r>
        <w:rPr>
          <w:rFonts w:hint="eastAsia" w:ascii="宋体" w:hAnsi="宋体" w:eastAsia="宋体" w:cs="Times New Roman"/>
          <w:color w:val="auto"/>
          <w:szCs w:val="21"/>
          <w:highlight w:val="none"/>
        </w:rPr>
        <w:t>，并按照本项目招标文件和</w:t>
      </w:r>
      <w:r>
        <w:rPr>
          <w:rFonts w:hint="eastAsia" w:ascii="宋体" w:hAnsi="宋体" w:eastAsia="宋体" w:cs="宋体"/>
          <w:color w:val="auto"/>
          <w:szCs w:val="21"/>
          <w:highlight w:val="none"/>
        </w:rPr>
        <w:t>广西政府采购云平台</w:t>
      </w:r>
      <w:r>
        <w:rPr>
          <w:rFonts w:hint="eastAsia" w:ascii="宋体" w:hAnsi="宋体" w:eastAsia="宋体" w:cs="Times New Roman"/>
          <w:color w:val="auto"/>
          <w:szCs w:val="21"/>
          <w:highlight w:val="none"/>
        </w:rPr>
        <w:t>的要求编制、加密后在投标截止时间前通过网络上传至</w:t>
      </w:r>
      <w:r>
        <w:rPr>
          <w:rFonts w:hint="eastAsia" w:ascii="宋体" w:hAnsi="宋体" w:eastAsia="宋体" w:cs="宋体"/>
          <w:color w:val="auto"/>
          <w:szCs w:val="21"/>
          <w:highlight w:val="none"/>
        </w:rPr>
        <w:t>广西政府采购云平台</w:t>
      </w:r>
      <w:r>
        <w:rPr>
          <w:rFonts w:hint="eastAsia" w:ascii="宋体" w:hAnsi="宋体" w:eastAsia="宋体" w:cs="Times New Roman"/>
          <w:color w:val="auto"/>
          <w:szCs w:val="21"/>
          <w:highlight w:val="none"/>
        </w:rPr>
        <w:t>，</w:t>
      </w:r>
      <w:r>
        <w:rPr>
          <w:rFonts w:hint="eastAsia" w:ascii="宋体" w:hAnsi="宋体" w:eastAsia="宋体" w:cs="Times New Roman"/>
          <w:b/>
          <w:bCs/>
          <w:color w:val="auto"/>
          <w:szCs w:val="21"/>
          <w:highlight w:val="none"/>
        </w:rPr>
        <w:t>投标人在</w:t>
      </w:r>
      <w:r>
        <w:rPr>
          <w:rFonts w:hint="eastAsia" w:ascii="宋体" w:hAnsi="宋体" w:eastAsia="宋体" w:cs="宋体"/>
          <w:color w:val="auto"/>
          <w:szCs w:val="21"/>
          <w:highlight w:val="none"/>
        </w:rPr>
        <w:t>广西政府采购云平台</w:t>
      </w:r>
      <w:r>
        <w:rPr>
          <w:rFonts w:hint="eastAsia" w:ascii="宋体" w:hAnsi="宋体" w:eastAsia="宋体" w:cs="Times New Roman"/>
          <w:b/>
          <w:bCs/>
          <w:color w:val="auto"/>
          <w:szCs w:val="21"/>
          <w:highlight w:val="none"/>
        </w:rPr>
        <w:t>提交电子版投标文件时，请填写参加远程开标活动经办人联系方式</w:t>
      </w:r>
      <w:r>
        <w:rPr>
          <w:rFonts w:hint="eastAsia" w:ascii="宋体" w:hAnsi="宋体" w:eastAsia="宋体" w:cs="Times New Roman"/>
          <w:color w:val="auto"/>
          <w:szCs w:val="21"/>
          <w:highlight w:val="none"/>
        </w:rPr>
        <w:t>。</w:t>
      </w:r>
    </w:p>
    <w:p>
      <w:pPr>
        <w:widowControl/>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（2）未进行网上注册并办理数字证书（CA认证）的供应商将无法参与本项目政府采购活动，潜在投标人应当在投标截止时间前，完成电子交易平台上的CA数字证书办理及投标文件的提交。</w:t>
      </w:r>
    </w:p>
    <w:p>
      <w:pPr>
        <w:widowControl/>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（4）CA证书在线解密：投标人投标时，需携带制作投标文件时用来加密的有效数字证书（CA认证）登录</w:t>
      </w:r>
      <w:r>
        <w:rPr>
          <w:rFonts w:hint="eastAsia" w:ascii="宋体" w:hAnsi="宋体" w:eastAsia="宋体" w:cs="宋体"/>
          <w:color w:val="auto"/>
          <w:szCs w:val="21"/>
          <w:highlight w:val="none"/>
        </w:rPr>
        <w:t>广西政府采购云平台</w:t>
      </w:r>
      <w:r>
        <w:rPr>
          <w:rFonts w:hint="eastAsia" w:ascii="宋体" w:hAnsi="宋体" w:eastAsia="宋体" w:cs="宋体"/>
          <w:color w:val="auto"/>
          <w:kern w:val="0"/>
          <w:szCs w:val="21"/>
          <w:highlight w:val="none"/>
        </w:rPr>
        <w:t>电子开标大厅现场按规定时间对加密的投标文件进行解密。</w:t>
      </w:r>
    </w:p>
    <w:p>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（5）若对项目采购电子交易系统操作有疑问，可登录</w:t>
      </w:r>
      <w:r>
        <w:rPr>
          <w:rFonts w:hint="eastAsia" w:ascii="宋体" w:hAnsi="宋体" w:eastAsia="宋体" w:cs="宋体"/>
          <w:color w:val="auto"/>
          <w:szCs w:val="21"/>
          <w:highlight w:val="none"/>
        </w:rPr>
        <w:t>广西政府采购云平台（https://www.gcy.zfcg.gxzf.gov.cn/）</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eastAsia="宋体" w:cs="宋体"/>
          <w:color w:val="auto"/>
          <w:szCs w:val="21"/>
          <w:highlight w:val="none"/>
        </w:rPr>
        <w:t>广西政府采购云平台</w:t>
      </w:r>
      <w:r>
        <w:rPr>
          <w:rFonts w:hint="eastAsia" w:ascii="宋体" w:hAnsi="宋体" w:eastAsia="宋体" w:cs="宋体"/>
          <w:color w:val="auto"/>
          <w:kern w:val="0"/>
          <w:szCs w:val="21"/>
          <w:highlight w:val="none"/>
        </w:rPr>
        <w:t>服务热线95763获取热线服务帮助。</w:t>
      </w:r>
    </w:p>
    <w:p>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7.本项目（是）采用远程异地评审</w:t>
      </w:r>
      <w:r>
        <w:rPr>
          <w:rFonts w:hint="eastAsia" w:ascii="宋体" w:hAnsi="宋体" w:cs="宋体"/>
          <w:color w:val="auto"/>
          <w:kern w:val="0"/>
          <w:szCs w:val="21"/>
          <w:highlight w:val="none"/>
          <w:lang w:eastAsia="zh-CN"/>
        </w:rPr>
        <w:t>。</w:t>
      </w:r>
    </w:p>
    <w:p>
      <w:pPr>
        <w:spacing w:line="360" w:lineRule="auto"/>
        <w:rPr>
          <w:rFonts w:ascii="黑体" w:hAnsi="黑体" w:eastAsia="黑体" w:cs="Times New Roman"/>
          <w:b/>
          <w:bCs/>
          <w:color w:val="auto"/>
          <w:sz w:val="24"/>
          <w:highlight w:val="none"/>
        </w:rPr>
      </w:pPr>
      <w:bookmarkStart w:id="46" w:name="_Toc28359008"/>
      <w:bookmarkStart w:id="47" w:name="_Toc35393627"/>
      <w:bookmarkStart w:id="48" w:name="_Toc28359085"/>
      <w:bookmarkStart w:id="49" w:name="_Toc35393796"/>
      <w:r>
        <w:rPr>
          <w:rFonts w:hint="eastAsia" w:ascii="黑体" w:hAnsi="黑体" w:eastAsia="黑体" w:cs="Times New Roman"/>
          <w:b/>
          <w:bCs/>
          <w:color w:val="auto"/>
          <w:sz w:val="24"/>
          <w:highlight w:val="none"/>
        </w:rPr>
        <w:t>七、对本次招标提出询问，请按以下方式联系。</w:t>
      </w:r>
      <w:bookmarkEnd w:id="46"/>
      <w:bookmarkEnd w:id="47"/>
      <w:bookmarkEnd w:id="48"/>
      <w:bookmarkEnd w:id="49"/>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 称：</w:t>
      </w:r>
      <w:bookmarkStart w:id="50" w:name="OLE_LINK4"/>
      <w:r>
        <w:rPr>
          <w:rFonts w:hint="eastAsia" w:ascii="宋体" w:hAnsi="宋体" w:cs="宋体"/>
          <w:color w:val="auto"/>
          <w:kern w:val="0"/>
          <w:szCs w:val="21"/>
          <w:highlight w:val="none"/>
          <w:lang w:eastAsia="zh-CN"/>
        </w:rPr>
        <w:t>来宾市人民医院</w:t>
      </w:r>
      <w:bookmarkEnd w:id="50"/>
    </w:p>
    <w:p>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地址：来宾市盘古大道东159号</w:t>
      </w:r>
    </w:p>
    <w:p>
      <w:pPr>
        <w:spacing w:line="360" w:lineRule="auto"/>
        <w:ind w:firstLine="420" w:firstLineChars="200"/>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项目</w:t>
      </w:r>
      <w:r>
        <w:rPr>
          <w:rFonts w:hint="eastAsia" w:ascii="宋体" w:hAnsi="宋体" w:eastAsia="宋体" w:cs="宋体"/>
          <w:color w:val="auto"/>
          <w:kern w:val="0"/>
          <w:szCs w:val="21"/>
          <w:highlight w:val="none"/>
          <w:lang w:eastAsia="zh-CN"/>
        </w:rPr>
        <w:t>联系</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lang w:eastAsia="zh-CN"/>
        </w:rPr>
        <w:t>：</w:t>
      </w:r>
      <w:bookmarkStart w:id="51" w:name="OLE_LINK5"/>
      <w:r>
        <w:rPr>
          <w:rFonts w:hint="eastAsia" w:ascii="宋体" w:hAnsi="宋体" w:cs="宋体"/>
          <w:color w:val="auto"/>
          <w:kern w:val="0"/>
          <w:szCs w:val="21"/>
          <w:highlight w:val="none"/>
          <w:lang w:val="en-US" w:eastAsia="zh-CN"/>
        </w:rPr>
        <w:t>韦贤成</w:t>
      </w:r>
      <w:bookmarkEnd w:id="51"/>
      <w:bookmarkStart w:id="477" w:name="_GoBack"/>
      <w:bookmarkEnd w:id="477"/>
    </w:p>
    <w:p>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项目</w:t>
      </w:r>
      <w:r>
        <w:rPr>
          <w:rFonts w:hint="eastAsia" w:ascii="宋体" w:hAnsi="宋体" w:eastAsia="宋体" w:cs="宋体"/>
          <w:color w:val="auto"/>
          <w:kern w:val="0"/>
          <w:szCs w:val="21"/>
          <w:highlight w:val="none"/>
        </w:rPr>
        <w:t>联系</w:t>
      </w:r>
      <w:r>
        <w:rPr>
          <w:rFonts w:hint="eastAsia" w:ascii="宋体" w:hAnsi="宋体" w:eastAsia="宋体" w:cs="宋体"/>
          <w:color w:val="auto"/>
          <w:kern w:val="0"/>
          <w:szCs w:val="21"/>
          <w:highlight w:val="none"/>
          <w:lang w:val="en-US" w:eastAsia="zh-CN"/>
        </w:rPr>
        <w:t>方式</w:t>
      </w:r>
      <w:r>
        <w:rPr>
          <w:rFonts w:hint="eastAsia" w:ascii="宋体" w:hAnsi="宋体" w:eastAsia="宋体" w:cs="宋体"/>
          <w:color w:val="auto"/>
          <w:kern w:val="0"/>
          <w:szCs w:val="21"/>
          <w:highlight w:val="none"/>
        </w:rPr>
        <w:t>：</w:t>
      </w:r>
      <w:bookmarkStart w:id="52" w:name="OLE_LINK6"/>
      <w:r>
        <w:rPr>
          <w:rFonts w:hint="eastAsia" w:ascii="宋体" w:hAnsi="宋体" w:eastAsia="宋体" w:cs="宋体"/>
          <w:color w:val="auto"/>
          <w:kern w:val="0"/>
          <w:szCs w:val="21"/>
          <w:highlight w:val="none"/>
        </w:rPr>
        <w:t>0772-4279679</w:t>
      </w:r>
      <w:bookmarkEnd w:id="52"/>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2.采购代理机构信息            </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r>
        <w:rPr>
          <w:rFonts w:hint="eastAsia" w:ascii="宋体" w:hAnsi="宋体" w:eastAsia="宋体" w:cs="宋体"/>
          <w:color w:val="auto"/>
          <w:kern w:val="0"/>
          <w:szCs w:val="21"/>
          <w:highlight w:val="none"/>
          <w:lang w:eastAsia="zh-CN"/>
        </w:rPr>
        <w:t>广西</w:t>
      </w:r>
      <w:r>
        <w:rPr>
          <w:rFonts w:hint="eastAsia" w:ascii="宋体" w:hAnsi="宋体" w:eastAsia="宋体" w:cs="宋体"/>
          <w:color w:val="auto"/>
          <w:kern w:val="0"/>
          <w:szCs w:val="21"/>
          <w:highlight w:val="none"/>
          <w:lang w:val="en-US" w:eastAsia="zh-CN"/>
        </w:rPr>
        <w:t>科联</w:t>
      </w:r>
      <w:r>
        <w:rPr>
          <w:rFonts w:hint="eastAsia" w:ascii="宋体" w:hAnsi="宋体" w:eastAsia="宋体" w:cs="宋体"/>
          <w:color w:val="auto"/>
          <w:kern w:val="0"/>
          <w:szCs w:val="21"/>
          <w:highlight w:val="none"/>
        </w:rPr>
        <w:t>招标中心有限公司             </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bookmarkStart w:id="53" w:name="PO_3000001866_PM035_1"/>
      <w:r>
        <w:rPr>
          <w:rFonts w:hint="eastAsia" w:ascii="宋体" w:hAnsi="宋体" w:eastAsia="宋体" w:cs="宋体"/>
          <w:color w:val="auto"/>
          <w:kern w:val="0"/>
          <w:szCs w:val="21"/>
          <w:highlight w:val="none"/>
        </w:rPr>
        <w:t>来宾市人民路西135号瑞中花园3号楼人民路西121号</w:t>
      </w:r>
      <w:bookmarkEnd w:id="53"/>
      <w:r>
        <w:rPr>
          <w:rFonts w:hint="eastAsia" w:ascii="宋体" w:hAnsi="宋体" w:eastAsia="宋体" w:cs="宋体"/>
          <w:color w:val="auto"/>
          <w:kern w:val="0"/>
          <w:szCs w:val="21"/>
          <w:highlight w:val="none"/>
        </w:rPr>
        <w:t>              </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w:t>
      </w:r>
      <w:r>
        <w:rPr>
          <w:rFonts w:hint="eastAsia" w:ascii="宋体" w:hAnsi="宋体" w:cs="宋体"/>
          <w:color w:val="auto"/>
          <w:kern w:val="0"/>
          <w:szCs w:val="21"/>
          <w:highlight w:val="none"/>
          <w:lang w:val="en-US" w:eastAsia="zh-CN"/>
        </w:rPr>
        <w:t>梁尉</w:t>
      </w:r>
      <w:r>
        <w:rPr>
          <w:rFonts w:hint="eastAsia" w:ascii="宋体" w:hAnsi="宋体" w:eastAsia="宋体" w:cs="宋体"/>
          <w:color w:val="auto"/>
          <w:kern w:val="0"/>
          <w:szCs w:val="21"/>
          <w:highlight w:val="none"/>
        </w:rPr>
        <w:t>              </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rPr>
        <w:t>项目联系方式：0771-3487289</w:t>
      </w:r>
    </w:p>
    <w:p>
      <w:pPr>
        <w:spacing w:line="360" w:lineRule="auto"/>
        <w:ind w:firstLine="420" w:firstLineChars="200"/>
        <w:rPr>
          <w:rFonts w:hint="eastAsia" w:ascii="宋体" w:hAnsi="宋体" w:eastAsia="宋体" w:cs="Times New Roman"/>
          <w:color w:val="auto"/>
          <w:szCs w:val="21"/>
          <w:highlight w:val="none"/>
        </w:rPr>
      </w:pPr>
    </w:p>
    <w:p>
      <w:pPr>
        <w:widowControl/>
        <w:spacing w:line="360" w:lineRule="auto"/>
        <w:jc w:val="left"/>
        <w:rPr>
          <w:rFonts w:ascii="宋体" w:hAnsi="宋体" w:cs="宋体"/>
          <w:color w:val="auto"/>
          <w:sz w:val="24"/>
          <w:highlight w:val="none"/>
          <w:lang w:val="zh-CN"/>
        </w:rPr>
        <w:sectPr>
          <w:footerReference r:id="rId5" w:type="first"/>
          <w:footerReference r:id="rId4" w:type="default"/>
          <w:pgSz w:w="11905" w:h="16838"/>
          <w:pgMar w:top="1134" w:right="1134" w:bottom="1134" w:left="1134" w:header="850" w:footer="850" w:gutter="0"/>
          <w:pgNumType w:fmt="decimal" w:start="1"/>
          <w:cols w:space="0" w:num="1"/>
          <w:titlePg/>
          <w:rtlGutter w:val="0"/>
          <w:docGrid w:linePitch="331" w:charSpace="0"/>
        </w:sectPr>
      </w:pPr>
    </w:p>
    <w:p>
      <w:pPr>
        <w:pStyle w:val="17"/>
        <w:jc w:val="center"/>
        <w:outlineLvl w:val="0"/>
        <w:rPr>
          <w:rFonts w:hint="eastAsia" w:ascii="Times New Roman" w:hAnsi="Times New Roman" w:eastAsia="宋体" w:cs="Times New Roman"/>
          <w:b/>
          <w:color w:val="auto"/>
          <w:sz w:val="36"/>
          <w:highlight w:val="none"/>
        </w:rPr>
      </w:pPr>
      <w:bookmarkStart w:id="54" w:name="_Toc532545042"/>
      <w:bookmarkStart w:id="55" w:name="_Toc22408"/>
      <w:bookmarkStart w:id="56" w:name="_Toc21081"/>
      <w:bookmarkStart w:id="57" w:name="_Toc24210"/>
      <w:bookmarkStart w:id="58" w:name="_Toc28689"/>
      <w:bookmarkStart w:id="59" w:name="_Toc8382"/>
      <w:bookmarkStart w:id="60" w:name="_Toc32573"/>
      <w:bookmarkStart w:id="61" w:name="_Toc13449"/>
      <w:bookmarkStart w:id="62" w:name="_Toc7337"/>
      <w:bookmarkStart w:id="63" w:name="_Toc7686"/>
      <w:bookmarkStart w:id="64" w:name="_Toc937"/>
      <w:bookmarkStart w:id="65" w:name="_Toc4483"/>
      <w:bookmarkStart w:id="66" w:name="_Toc17621"/>
      <w:bookmarkStart w:id="67" w:name="_Toc2299"/>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54"/>
      <w:r>
        <w:rPr>
          <w:rFonts w:hint="eastAsia" w:ascii="Times New Roman" w:hAnsi="Times New Roman" w:eastAsia="宋体" w:cs="Times New Roman"/>
          <w:b/>
          <w:color w:val="auto"/>
          <w:sz w:val="36"/>
          <w:highlight w:val="none"/>
        </w:rPr>
        <w:t>采购需求</w:t>
      </w:r>
      <w:bookmarkEnd w:id="55"/>
      <w:bookmarkEnd w:id="56"/>
      <w:bookmarkEnd w:id="57"/>
      <w:bookmarkEnd w:id="58"/>
      <w:bookmarkEnd w:id="59"/>
      <w:bookmarkEnd w:id="60"/>
      <w:bookmarkEnd w:id="61"/>
      <w:bookmarkEnd w:id="62"/>
      <w:bookmarkEnd w:id="63"/>
      <w:bookmarkEnd w:id="64"/>
      <w:bookmarkEnd w:id="65"/>
      <w:bookmarkEnd w:id="66"/>
      <w:bookmarkEnd w:id="67"/>
    </w:p>
    <w:p>
      <w:pPr>
        <w:adjustRightInd w:val="0"/>
        <w:spacing w:line="340" w:lineRule="exact"/>
        <w:rPr>
          <w:rFonts w:ascii="Times New Roman" w:hAnsi="宋体" w:eastAsia="宋体" w:cs="Times New Roman"/>
          <w:b/>
          <w:color w:val="auto"/>
          <w:szCs w:val="21"/>
          <w:highlight w:val="none"/>
        </w:rPr>
      </w:pPr>
    </w:p>
    <w:p>
      <w:pPr>
        <w:adjustRightInd w:val="0"/>
        <w:spacing w:line="340" w:lineRule="exact"/>
        <w:jc w:val="center"/>
        <w:rPr>
          <w:rFonts w:hint="eastAsia" w:ascii="Times New Roman" w:hAnsi="宋体" w:eastAsia="宋体" w:cs="Times New Roman"/>
          <w:b/>
          <w:color w:val="auto"/>
          <w:sz w:val="32"/>
          <w:szCs w:val="32"/>
          <w:highlight w:val="none"/>
        </w:rPr>
      </w:pPr>
    </w:p>
    <w:p>
      <w:pPr>
        <w:adjustRightInd w:val="0"/>
        <w:spacing w:line="340" w:lineRule="exact"/>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pPr>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 为落实政府采购政策需满足的要求</w:t>
      </w:r>
      <w:r>
        <w:rPr>
          <w:rFonts w:hint="eastAsia" w:ascii="宋体" w:hAnsi="宋体" w:cs="宋体"/>
          <w:color w:val="auto"/>
          <w:highlight w:val="none"/>
          <w:lang w:eastAsia="zh-CN"/>
        </w:rPr>
        <w:t>：</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投标人的投标货物必须使用政府强制采购的节能产品，投标人必须在投标文件中提供所投标产品</w:t>
      </w:r>
      <w:r>
        <w:rPr>
          <w:rFonts w:hint="eastAsia" w:ascii="宋体" w:hAnsi="宋体" w:cs="宋体"/>
          <w:b/>
          <w:bCs/>
          <w:color w:val="auto"/>
          <w:szCs w:val="21"/>
          <w:highlight w:val="none"/>
        </w:rPr>
        <w:t>有效期内</w:t>
      </w:r>
      <w:r>
        <w:rPr>
          <w:rFonts w:hint="eastAsia" w:ascii="宋体" w:hAnsi="宋体" w:eastAsia="宋体" w:cs="宋体"/>
          <w:b/>
          <w:bCs/>
          <w:color w:val="auto"/>
          <w:szCs w:val="21"/>
          <w:highlight w:val="none"/>
        </w:rPr>
        <w:t>的节能产品认证证书复印件（加盖</w:t>
      </w:r>
      <w:r>
        <w:rPr>
          <w:rFonts w:hint="eastAsia" w:ascii="宋体" w:hAnsi="宋体" w:cs="宋体"/>
          <w:b/>
          <w:bCs/>
          <w:color w:val="auto"/>
          <w:szCs w:val="21"/>
          <w:highlight w:val="none"/>
          <w:lang w:eastAsia="zh-CN"/>
        </w:rPr>
        <w:t>投标人公章</w:t>
      </w:r>
      <w:r>
        <w:rPr>
          <w:rFonts w:hint="eastAsia" w:ascii="宋体" w:hAnsi="宋体" w:eastAsia="宋体" w:cs="宋体"/>
          <w:b/>
          <w:bCs/>
          <w:color w:val="auto"/>
          <w:szCs w:val="21"/>
          <w:highlight w:val="none"/>
        </w:rPr>
        <w:t>），否则投标文件作无效处理</w:t>
      </w:r>
      <w:r>
        <w:rPr>
          <w:rFonts w:hint="eastAsia" w:ascii="宋体" w:hAnsi="宋体" w:eastAsia="宋体" w:cs="宋体"/>
          <w:color w:val="auto"/>
          <w:szCs w:val="21"/>
          <w:highlight w:val="none"/>
        </w:rPr>
        <w:t>。如本项目包含的货物属于品目清单内非标注“★”的产品时，应优先采购，具体详见“第四章 评标方法和评标标准”。</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“实质性要求”是指招标文件中已经指明不满足则投标无效的条款，或者不能负偏离的条款，或者采购需求中带“▲”的条款。</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本</w:t>
      </w:r>
      <w:r>
        <w:rPr>
          <w:rFonts w:hint="eastAsia" w:ascii="宋体" w:hAnsi="宋体" w:eastAsia="宋体" w:cs="宋体"/>
          <w:color w:val="auto"/>
          <w:szCs w:val="21"/>
          <w:highlight w:val="none"/>
        </w:rPr>
        <w:t>服务项目中伴随货物的，</w:t>
      </w:r>
      <w:r>
        <w:rPr>
          <w:rFonts w:hint="eastAsia" w:ascii="宋体" w:hAnsi="宋体" w:cs="宋体"/>
          <w:color w:val="auto"/>
          <w:szCs w:val="21"/>
          <w:highlight w:val="none"/>
        </w:rPr>
        <w:t>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参数</w:t>
      </w:r>
      <w:r>
        <w:rPr>
          <w:rFonts w:hint="eastAsia" w:ascii="宋体" w:hAnsi="宋体" w:cs="宋体"/>
          <w:color w:val="auto"/>
          <w:szCs w:val="21"/>
          <w:highlight w:val="none"/>
          <w:lang w:eastAsia="zh-CN"/>
        </w:rPr>
        <w:t>及配置</w:t>
      </w:r>
      <w:r>
        <w:rPr>
          <w:rFonts w:hint="eastAsia" w:ascii="宋体" w:hAnsi="宋体" w:cs="宋体"/>
          <w:color w:val="auto"/>
          <w:szCs w:val="21"/>
          <w:highlight w:val="none"/>
        </w:rPr>
        <w:t>必须满足</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要求。</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赔偿。</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.投标人应对投标内容所涉及的专利承担法律责任，并负责保护</w:t>
      </w:r>
      <w:r>
        <w:rPr>
          <w:rFonts w:hint="eastAsia" w:ascii="宋体" w:hAnsi="宋体" w:cs="宋体"/>
          <w:color w:val="auto"/>
          <w:highlight w:val="none"/>
          <w:lang w:eastAsia="zh-CN"/>
        </w:rPr>
        <w:t>采购人</w:t>
      </w:r>
      <w:r>
        <w:rPr>
          <w:rFonts w:hint="eastAsia" w:ascii="宋体" w:hAnsi="宋体" w:cs="宋体"/>
          <w:color w:val="auto"/>
          <w:highlight w:val="none"/>
        </w:rPr>
        <w:t>的利益不受任何损害。一切由于文字、商标、技术和软件专利授权引起的法律裁决、诉讼和赔偿费用均由中标人负责。</w:t>
      </w:r>
    </w:p>
    <w:p>
      <w:pPr>
        <w:tabs>
          <w:tab w:val="left" w:pos="180"/>
          <w:tab w:val="left" w:pos="1620"/>
        </w:tabs>
        <w:spacing w:line="420" w:lineRule="exact"/>
        <w:ind w:firstLine="420" w:firstLineChars="200"/>
        <w:jc w:val="left"/>
        <w:rPr>
          <w:rFonts w:hint="eastAsia" w:ascii="宋体" w:hAnsi="宋体" w:cs="宋体"/>
          <w:b/>
          <w:bCs/>
          <w:color w:val="auto"/>
          <w:highlight w:val="none"/>
          <w:lang w:val="en-US" w:eastAsia="zh-CN"/>
        </w:rPr>
      </w:pPr>
      <w:r>
        <w:rPr>
          <w:rFonts w:hint="eastAsia" w:ascii="宋体" w:hAnsi="宋体" w:cs="宋体"/>
          <w:b w:val="0"/>
          <w:bCs w:val="0"/>
          <w:color w:val="auto"/>
          <w:highlight w:val="none"/>
          <w:lang w:val="en-US" w:eastAsia="zh-CN"/>
        </w:rPr>
        <w:t>6</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本项目为服务采购项目，</w:t>
      </w:r>
      <w:r>
        <w:rPr>
          <w:rFonts w:hint="eastAsia" w:ascii="宋体" w:hAnsi="宋体" w:eastAsia="宋体" w:cs="宋体"/>
          <w:b w:val="0"/>
          <w:bCs w:val="0"/>
          <w:color w:val="auto"/>
          <w:highlight w:val="none"/>
          <w:lang w:val="en-US" w:eastAsia="zh-CN"/>
        </w:rPr>
        <w:t>采购标的对应的中小企业划分标准所属行业</w:t>
      </w:r>
      <w:r>
        <w:rPr>
          <w:rFonts w:hint="eastAsia" w:ascii="宋体" w:hAnsi="宋体" w:cs="宋体"/>
          <w:b w:val="0"/>
          <w:bCs w:val="0"/>
          <w:color w:val="auto"/>
          <w:highlight w:val="none"/>
          <w:lang w:val="en-US" w:eastAsia="zh-CN"/>
        </w:rPr>
        <w:t>名称：</w:t>
      </w:r>
      <w:r>
        <w:rPr>
          <w:rFonts w:hint="eastAsia" w:ascii="宋体" w:hAnsi="宋体" w:cs="宋体"/>
          <w:b/>
          <w:bCs/>
          <w:color w:val="auto"/>
          <w:highlight w:val="none"/>
          <w:u w:val="single"/>
          <w:lang w:val="en-US" w:eastAsia="zh-CN"/>
        </w:rPr>
        <w:t>其他未列明行业。</w:t>
      </w:r>
    </w:p>
    <w:p>
      <w:pPr>
        <w:rPr>
          <w:rFonts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color w:val="auto"/>
          <w:kern w:val="44"/>
          <w:sz w:val="32"/>
          <w:szCs w:val="32"/>
          <w:highlight w:val="none"/>
          <w:lang w:val="en-US" w:eastAsia="zh-CN" w:bidi="ar-SA"/>
        </w:rPr>
      </w:pPr>
      <w:r>
        <w:rPr>
          <w:rFonts w:hint="eastAsia" w:ascii="宋体" w:hAnsi="宋体" w:eastAsia="宋体" w:cs="宋体"/>
          <w:b/>
          <w:bCs/>
          <w:color w:val="auto"/>
          <w:kern w:val="44"/>
          <w:sz w:val="32"/>
          <w:szCs w:val="32"/>
          <w:highlight w:val="none"/>
          <w:lang w:val="en-US" w:eastAsia="zh-CN" w:bidi="ar-SA"/>
        </w:rPr>
        <w:t>第一部分  采购需求清单</w:t>
      </w:r>
    </w:p>
    <w:tbl>
      <w:tblPr>
        <w:tblStyle w:val="24"/>
        <w:tblW w:w="949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
        <w:gridCol w:w="741"/>
        <w:gridCol w:w="7320"/>
        <w:gridCol w:w="525"/>
        <w:gridCol w:w="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标的名称</w:t>
            </w:r>
          </w:p>
        </w:tc>
        <w:tc>
          <w:tcPr>
            <w:tcW w:w="7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技术（服务）参数</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数量</w:t>
            </w:r>
          </w:p>
        </w:tc>
        <w:tc>
          <w:tcPr>
            <w:tcW w:w="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2台DSA、64排CT维保</w:t>
            </w:r>
          </w:p>
        </w:tc>
        <w:tc>
          <w:tcPr>
            <w:tcW w:w="73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0" w:firstLineChars="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一、维保设备明细：</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1992"/>
              <w:gridCol w:w="2006"/>
              <w:gridCol w:w="807"/>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1" w:type="pct"/>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right="2" w:rightChars="1"/>
                    <w:jc w:val="center"/>
                    <w:textAlignment w:val="auto"/>
                    <w:rPr>
                      <w:rFonts w:hint="eastAsia" w:ascii="宋体" w:hAnsi="宋体" w:eastAsia="宋体"/>
                      <w:b w:val="0"/>
                      <w:bCs/>
                      <w:color w:val="auto"/>
                      <w:sz w:val="21"/>
                      <w:szCs w:val="21"/>
                      <w:highlight w:val="none"/>
                      <w:vertAlign w:val="baseline"/>
                      <w:lang w:eastAsia="zh-CN"/>
                    </w:rPr>
                  </w:pPr>
                  <w:r>
                    <w:rPr>
                      <w:rFonts w:hint="eastAsia" w:ascii="宋体" w:hAnsi="宋体"/>
                      <w:b w:val="0"/>
                      <w:bCs/>
                      <w:color w:val="auto"/>
                      <w:sz w:val="21"/>
                      <w:szCs w:val="21"/>
                      <w:highlight w:val="none"/>
                      <w:vertAlign w:val="baseline"/>
                      <w:lang w:eastAsia="zh-CN"/>
                    </w:rPr>
                    <w:t>序号</w:t>
                  </w:r>
                </w:p>
              </w:tc>
              <w:tc>
                <w:tcPr>
                  <w:tcW w:w="1404" w:type="pct"/>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right="2" w:rightChars="1"/>
                    <w:jc w:val="center"/>
                    <w:textAlignment w:val="auto"/>
                    <w:rPr>
                      <w:rFonts w:hint="eastAsia" w:ascii="宋体" w:hAnsi="宋体" w:eastAsia="宋体"/>
                      <w:b w:val="0"/>
                      <w:bCs/>
                      <w:color w:val="auto"/>
                      <w:sz w:val="21"/>
                      <w:szCs w:val="21"/>
                      <w:highlight w:val="none"/>
                      <w:vertAlign w:val="baseline"/>
                      <w:lang w:eastAsia="zh-CN"/>
                    </w:rPr>
                  </w:pPr>
                  <w:r>
                    <w:rPr>
                      <w:rFonts w:hint="eastAsia" w:ascii="宋体" w:hAnsi="宋体"/>
                      <w:b w:val="0"/>
                      <w:bCs/>
                      <w:color w:val="auto"/>
                      <w:sz w:val="21"/>
                      <w:szCs w:val="21"/>
                      <w:highlight w:val="none"/>
                      <w:vertAlign w:val="baseline"/>
                      <w:lang w:eastAsia="zh-CN"/>
                    </w:rPr>
                    <w:t>设备名称</w:t>
                  </w:r>
                </w:p>
              </w:tc>
              <w:tc>
                <w:tcPr>
                  <w:tcW w:w="1414" w:type="pct"/>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right="2" w:rightChars="1"/>
                    <w:jc w:val="center"/>
                    <w:textAlignment w:val="auto"/>
                    <w:rPr>
                      <w:rFonts w:hint="eastAsia" w:ascii="宋体" w:hAnsi="宋体" w:eastAsia="宋体"/>
                      <w:b w:val="0"/>
                      <w:bCs/>
                      <w:color w:val="auto"/>
                      <w:sz w:val="21"/>
                      <w:szCs w:val="21"/>
                      <w:highlight w:val="none"/>
                      <w:vertAlign w:val="baseline"/>
                      <w:lang w:eastAsia="zh-CN"/>
                    </w:rPr>
                  </w:pPr>
                  <w:r>
                    <w:rPr>
                      <w:rFonts w:hint="eastAsia" w:ascii="宋体" w:hAnsi="宋体"/>
                      <w:b w:val="0"/>
                      <w:bCs/>
                      <w:color w:val="auto"/>
                      <w:sz w:val="21"/>
                      <w:szCs w:val="21"/>
                      <w:highlight w:val="none"/>
                      <w:vertAlign w:val="baseline"/>
                      <w:lang w:eastAsia="zh-CN"/>
                    </w:rPr>
                    <w:t>设备型号</w:t>
                  </w:r>
                </w:p>
              </w:tc>
              <w:tc>
                <w:tcPr>
                  <w:tcW w:w="569" w:type="pct"/>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right="2" w:rightChars="1"/>
                    <w:jc w:val="center"/>
                    <w:textAlignment w:val="auto"/>
                    <w:rPr>
                      <w:rFonts w:hint="eastAsia" w:ascii="宋体" w:hAnsi="宋体" w:eastAsia="宋体"/>
                      <w:b w:val="0"/>
                      <w:bCs/>
                      <w:color w:val="auto"/>
                      <w:sz w:val="21"/>
                      <w:szCs w:val="21"/>
                      <w:highlight w:val="none"/>
                      <w:vertAlign w:val="baseline"/>
                      <w:lang w:eastAsia="zh-CN"/>
                    </w:rPr>
                  </w:pPr>
                  <w:r>
                    <w:rPr>
                      <w:rFonts w:hint="eastAsia" w:ascii="宋体" w:hAnsi="宋体"/>
                      <w:b w:val="0"/>
                      <w:bCs/>
                      <w:color w:val="auto"/>
                      <w:sz w:val="21"/>
                      <w:szCs w:val="21"/>
                      <w:highlight w:val="none"/>
                      <w:vertAlign w:val="baseline"/>
                      <w:lang w:eastAsia="zh-CN"/>
                    </w:rPr>
                    <w:t>数量</w:t>
                  </w:r>
                </w:p>
              </w:tc>
              <w:tc>
                <w:tcPr>
                  <w:tcW w:w="1309" w:type="pct"/>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right="2" w:rightChars="1"/>
                    <w:jc w:val="center"/>
                    <w:textAlignment w:val="auto"/>
                    <w:rPr>
                      <w:rFonts w:hint="default" w:ascii="宋体" w:hAnsi="宋体"/>
                      <w:b w:val="0"/>
                      <w:bCs/>
                      <w:color w:val="auto"/>
                      <w:sz w:val="21"/>
                      <w:szCs w:val="21"/>
                      <w:highlight w:val="none"/>
                      <w:vertAlign w:val="baseline"/>
                      <w:lang w:val="en-US" w:eastAsia="zh-CN"/>
                    </w:rPr>
                  </w:pPr>
                  <w:r>
                    <w:rPr>
                      <w:rFonts w:hint="eastAsia" w:ascii="宋体" w:hAnsi="宋体"/>
                      <w:b w:val="0"/>
                      <w:bCs/>
                      <w:color w:val="auto"/>
                      <w:sz w:val="21"/>
                      <w:szCs w:val="21"/>
                      <w:highlight w:val="none"/>
                      <w:vertAlign w:val="baseline"/>
                      <w:lang w:val="en-US" w:eastAsia="zh-CN"/>
                    </w:rPr>
                    <w:t>保修类型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01" w:type="pct"/>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right="2" w:rightChars="1"/>
                    <w:jc w:val="center"/>
                    <w:textAlignment w:val="auto"/>
                    <w:rPr>
                      <w:rFonts w:hint="eastAsia" w:ascii="宋体" w:hAnsi="宋体" w:eastAsia="宋体"/>
                      <w:b w:val="0"/>
                      <w:bCs/>
                      <w:color w:val="auto"/>
                      <w:sz w:val="21"/>
                      <w:szCs w:val="21"/>
                      <w:highlight w:val="none"/>
                      <w:vertAlign w:val="baseline"/>
                      <w:lang w:val="en-US" w:eastAsia="zh-CN"/>
                    </w:rPr>
                  </w:pPr>
                  <w:r>
                    <w:rPr>
                      <w:rFonts w:hint="eastAsia" w:ascii="宋体" w:hAnsi="宋体"/>
                      <w:b w:val="0"/>
                      <w:bCs/>
                      <w:color w:val="auto"/>
                      <w:sz w:val="21"/>
                      <w:szCs w:val="21"/>
                      <w:highlight w:val="none"/>
                      <w:vertAlign w:val="baseline"/>
                      <w:lang w:val="en-US" w:eastAsia="zh-CN"/>
                    </w:rPr>
                    <w:t>1</w:t>
                  </w:r>
                </w:p>
              </w:tc>
              <w:tc>
                <w:tcPr>
                  <w:tcW w:w="1404" w:type="pct"/>
                  <w:vAlign w:val="center"/>
                </w:tcPr>
                <w:p>
                  <w:pPr>
                    <w:jc w:val="both"/>
                    <w:rPr>
                      <w:rFonts w:ascii="宋体" w:hAnsi="宋体"/>
                      <w:b w:val="0"/>
                      <w:bCs/>
                      <w:color w:val="auto"/>
                      <w:sz w:val="21"/>
                      <w:szCs w:val="21"/>
                      <w:highlight w:val="none"/>
                      <w:vertAlign w:val="baseline"/>
                    </w:rPr>
                  </w:pPr>
                  <w:r>
                    <w:rPr>
                      <w:rFonts w:hint="eastAsia" w:ascii="宋体" w:hAnsi="宋体" w:eastAsia="宋体" w:cs="宋体"/>
                      <w:color w:val="auto"/>
                      <w:sz w:val="21"/>
                      <w:szCs w:val="21"/>
                      <w:highlight w:val="none"/>
                      <w:lang w:val="en-US" w:eastAsia="zh-CN"/>
                    </w:rPr>
                    <w:t>西门子64排CT机</w:t>
                  </w:r>
                </w:p>
              </w:tc>
              <w:tc>
                <w:tcPr>
                  <w:tcW w:w="1414" w:type="pct"/>
                  <w:vAlign w:val="center"/>
                </w:tcPr>
                <w:p>
                  <w:pPr>
                    <w:jc w:val="center"/>
                    <w:rPr>
                      <w:rFonts w:ascii="宋体" w:hAnsi="宋体"/>
                      <w:b w:val="0"/>
                      <w:bCs/>
                      <w:color w:val="auto"/>
                      <w:sz w:val="21"/>
                      <w:szCs w:val="21"/>
                      <w:highlight w:val="none"/>
                      <w:vertAlign w:val="baseline"/>
                    </w:rPr>
                  </w:pPr>
                  <w:r>
                    <w:rPr>
                      <w:rFonts w:hint="eastAsia" w:ascii="宋体" w:hAnsi="宋体" w:eastAsia="宋体" w:cs="宋体"/>
                      <w:color w:val="auto"/>
                      <w:sz w:val="21"/>
                      <w:szCs w:val="21"/>
                      <w:highlight w:val="none"/>
                    </w:rPr>
                    <w:t>SOMATOM Definition AS+</w:t>
                  </w:r>
                </w:p>
              </w:tc>
              <w:tc>
                <w:tcPr>
                  <w:tcW w:w="569" w:type="pct"/>
                  <w:vAlign w:val="center"/>
                </w:tcPr>
                <w:p>
                  <w:pPr>
                    <w:jc w:val="center"/>
                    <w:rPr>
                      <w:rFonts w:ascii="宋体" w:hAnsi="宋体"/>
                      <w:b w:val="0"/>
                      <w:bCs/>
                      <w:color w:val="auto"/>
                      <w:sz w:val="21"/>
                      <w:szCs w:val="21"/>
                      <w:highlight w:val="none"/>
                      <w:vertAlign w:val="baseline"/>
                    </w:rPr>
                  </w:pPr>
                  <w:r>
                    <w:rPr>
                      <w:rFonts w:hint="eastAsia" w:ascii="宋体" w:hAnsi="宋体" w:eastAsia="宋体" w:cs="宋体"/>
                      <w:color w:val="auto"/>
                      <w:sz w:val="21"/>
                      <w:szCs w:val="21"/>
                      <w:highlight w:val="none"/>
                      <w:lang w:val="en-US" w:eastAsia="zh-CN"/>
                    </w:rPr>
                    <w:t>1台</w:t>
                  </w:r>
                </w:p>
              </w:tc>
              <w:tc>
                <w:tcPr>
                  <w:tcW w:w="1309" w:type="pct"/>
                  <w:vAlign w:val="center"/>
                </w:tcPr>
                <w:p>
                  <w:pPr>
                    <w:jc w:val="center"/>
                    <w:rPr>
                      <w:rFonts w:hint="default" w:ascii="宋体" w:hAnsi="宋体" w:eastAsia="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白金保（含球管）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01" w:type="pct"/>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right="2" w:rightChars="1"/>
                    <w:jc w:val="center"/>
                    <w:textAlignment w:val="auto"/>
                    <w:rPr>
                      <w:rFonts w:hint="eastAsia" w:ascii="宋体" w:hAnsi="宋体" w:eastAsia="宋体"/>
                      <w:b w:val="0"/>
                      <w:bCs/>
                      <w:color w:val="auto"/>
                      <w:sz w:val="21"/>
                      <w:szCs w:val="21"/>
                      <w:highlight w:val="none"/>
                      <w:vertAlign w:val="baseline"/>
                      <w:lang w:val="en-US" w:eastAsia="zh-CN"/>
                    </w:rPr>
                  </w:pPr>
                  <w:r>
                    <w:rPr>
                      <w:rFonts w:hint="eastAsia" w:ascii="宋体" w:hAnsi="宋体"/>
                      <w:b w:val="0"/>
                      <w:bCs/>
                      <w:color w:val="auto"/>
                      <w:sz w:val="21"/>
                      <w:szCs w:val="21"/>
                      <w:highlight w:val="none"/>
                      <w:vertAlign w:val="baseline"/>
                      <w:lang w:val="en-US" w:eastAsia="zh-CN"/>
                    </w:rPr>
                    <w:t>2</w:t>
                  </w:r>
                </w:p>
              </w:tc>
              <w:tc>
                <w:tcPr>
                  <w:tcW w:w="1404" w:type="pct"/>
                  <w:vAlign w:val="center"/>
                </w:tcPr>
                <w:p>
                  <w:pPr>
                    <w:jc w:val="center"/>
                    <w:rPr>
                      <w:rFonts w:ascii="宋体" w:hAnsi="宋体"/>
                      <w:b w:val="0"/>
                      <w:bCs/>
                      <w:color w:val="auto"/>
                      <w:sz w:val="21"/>
                      <w:szCs w:val="21"/>
                      <w:highlight w:val="none"/>
                      <w:vertAlign w:val="baseline"/>
                    </w:rPr>
                  </w:pPr>
                  <w:r>
                    <w:rPr>
                      <w:rFonts w:hint="eastAsia" w:ascii="宋体" w:hAnsi="宋体" w:eastAsia="宋体" w:cs="宋体"/>
                      <w:color w:val="auto"/>
                      <w:sz w:val="21"/>
                      <w:szCs w:val="21"/>
                      <w:highlight w:val="none"/>
                      <w:lang w:val="en-US" w:eastAsia="zh-CN"/>
                    </w:rPr>
                    <w:t>西门子DSA（新机）</w:t>
                  </w:r>
                </w:p>
              </w:tc>
              <w:tc>
                <w:tcPr>
                  <w:tcW w:w="1414" w:type="pct"/>
                  <w:vAlign w:val="center"/>
                </w:tcPr>
                <w:p>
                  <w:pPr>
                    <w:jc w:val="center"/>
                    <w:rPr>
                      <w:rFonts w:ascii="宋体" w:hAnsi="宋体"/>
                      <w:b w:val="0"/>
                      <w:bCs/>
                      <w:color w:val="auto"/>
                      <w:sz w:val="21"/>
                      <w:szCs w:val="21"/>
                      <w:highlight w:val="none"/>
                      <w:vertAlign w:val="baseline"/>
                    </w:rPr>
                  </w:pPr>
                  <w:r>
                    <w:rPr>
                      <w:rFonts w:hint="eastAsia" w:ascii="宋体" w:hAnsi="宋体" w:eastAsia="宋体" w:cs="宋体"/>
                      <w:color w:val="auto"/>
                      <w:sz w:val="21"/>
                      <w:szCs w:val="21"/>
                      <w:highlight w:val="none"/>
                    </w:rPr>
                    <w:t>Artis Zee III Ceiling</w:t>
                  </w:r>
                </w:p>
              </w:tc>
              <w:tc>
                <w:tcPr>
                  <w:tcW w:w="569" w:type="pct"/>
                  <w:vAlign w:val="center"/>
                </w:tcPr>
                <w:p>
                  <w:pPr>
                    <w:jc w:val="center"/>
                    <w:rPr>
                      <w:rFonts w:ascii="宋体" w:hAnsi="宋体"/>
                      <w:b w:val="0"/>
                      <w:bCs/>
                      <w:color w:val="auto"/>
                      <w:sz w:val="21"/>
                      <w:szCs w:val="21"/>
                      <w:highlight w:val="none"/>
                      <w:vertAlign w:val="baseline"/>
                    </w:rPr>
                  </w:pPr>
                  <w:r>
                    <w:rPr>
                      <w:rFonts w:hint="eastAsia" w:ascii="宋体" w:hAnsi="宋体" w:eastAsia="宋体" w:cs="宋体"/>
                      <w:color w:val="auto"/>
                      <w:sz w:val="21"/>
                      <w:szCs w:val="21"/>
                      <w:highlight w:val="none"/>
                      <w:lang w:val="en-US" w:eastAsia="zh-CN"/>
                    </w:rPr>
                    <w:t>1台</w:t>
                  </w:r>
                </w:p>
              </w:tc>
              <w:tc>
                <w:tcPr>
                  <w:tcW w:w="1309" w:type="pct"/>
                  <w:vAlign w:val="center"/>
                </w:tcPr>
                <w:p>
                  <w:pPr>
                    <w:jc w:val="center"/>
                    <w:rPr>
                      <w:rFonts w:hint="default" w:ascii="宋体" w:hAnsi="宋体" w:eastAsia="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白金保（含球管）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01" w:type="pct"/>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right="2" w:rightChars="1"/>
                    <w:jc w:val="center"/>
                    <w:textAlignment w:val="auto"/>
                    <w:rPr>
                      <w:rFonts w:hint="default" w:ascii="宋体" w:hAnsi="宋体"/>
                      <w:b w:val="0"/>
                      <w:bCs/>
                      <w:color w:val="auto"/>
                      <w:sz w:val="21"/>
                      <w:szCs w:val="21"/>
                      <w:highlight w:val="none"/>
                      <w:vertAlign w:val="baseline"/>
                      <w:lang w:val="en-US" w:eastAsia="zh-CN"/>
                    </w:rPr>
                  </w:pPr>
                  <w:r>
                    <w:rPr>
                      <w:rFonts w:hint="eastAsia" w:ascii="宋体" w:hAnsi="宋体"/>
                      <w:b w:val="0"/>
                      <w:bCs/>
                      <w:color w:val="auto"/>
                      <w:sz w:val="21"/>
                      <w:szCs w:val="21"/>
                      <w:highlight w:val="none"/>
                      <w:vertAlign w:val="baseline"/>
                      <w:lang w:val="en-US" w:eastAsia="zh-CN"/>
                    </w:rPr>
                    <w:t>3</w:t>
                  </w:r>
                </w:p>
              </w:tc>
              <w:tc>
                <w:tcPr>
                  <w:tcW w:w="1404"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西门子DSA（旧机）</w:t>
                  </w:r>
                </w:p>
              </w:tc>
              <w:tc>
                <w:tcPr>
                  <w:tcW w:w="1414" w:type="pct"/>
                  <w:vAlign w:val="center"/>
                </w:tcPr>
                <w:p>
                  <w:pPr>
                    <w:jc w:val="center"/>
                    <w:rPr>
                      <w:rFonts w:hint="eastAsia" w:ascii="宋体" w:hAnsi="宋体"/>
                      <w:color w:val="auto"/>
                      <w:sz w:val="21"/>
                      <w:szCs w:val="21"/>
                      <w:highlight w:val="none"/>
                      <w:vertAlign w:val="baseline"/>
                      <w:lang w:val="en-US" w:eastAsia="zh-CN"/>
                    </w:rPr>
                  </w:pPr>
                  <w:r>
                    <w:rPr>
                      <w:rFonts w:hint="eastAsia" w:ascii="宋体" w:hAnsi="宋体" w:eastAsia="宋体" w:cs="宋体"/>
                      <w:color w:val="auto"/>
                      <w:sz w:val="21"/>
                      <w:szCs w:val="21"/>
                      <w:highlight w:val="none"/>
                    </w:rPr>
                    <w:t>Artis FA</w:t>
                  </w:r>
                </w:p>
              </w:tc>
              <w:tc>
                <w:tcPr>
                  <w:tcW w:w="569" w:type="pct"/>
                  <w:vAlign w:val="center"/>
                </w:tcPr>
                <w:p>
                  <w:pPr>
                    <w:jc w:val="center"/>
                    <w:rPr>
                      <w:rFonts w:hint="eastAsia" w:ascii="宋体" w:hAnsi="宋体"/>
                      <w:bCs/>
                      <w:color w:val="auto"/>
                      <w:sz w:val="21"/>
                      <w:szCs w:val="21"/>
                      <w:highlight w:val="none"/>
                    </w:rPr>
                  </w:pPr>
                  <w:r>
                    <w:rPr>
                      <w:rFonts w:hint="eastAsia" w:ascii="宋体" w:hAnsi="宋体" w:eastAsia="宋体" w:cs="宋体"/>
                      <w:color w:val="auto"/>
                      <w:sz w:val="21"/>
                      <w:szCs w:val="21"/>
                      <w:highlight w:val="none"/>
                      <w:lang w:val="en-US" w:eastAsia="zh-CN"/>
                    </w:rPr>
                    <w:t>1台</w:t>
                  </w:r>
                </w:p>
              </w:tc>
              <w:tc>
                <w:tcPr>
                  <w:tcW w:w="1309" w:type="pct"/>
                  <w:vAlign w:val="center"/>
                </w:tcPr>
                <w:p>
                  <w:pPr>
                    <w:jc w:val="center"/>
                    <w:rPr>
                      <w:rFonts w:hint="eastAsia" w:ascii="宋体" w:hAnsi="宋体"/>
                      <w:bCs/>
                      <w:color w:val="auto"/>
                      <w:sz w:val="21"/>
                      <w:szCs w:val="21"/>
                      <w:highlight w:val="none"/>
                    </w:rPr>
                  </w:pPr>
                  <w:r>
                    <w:rPr>
                      <w:rFonts w:hint="eastAsia" w:ascii="宋体" w:hAnsi="宋体" w:eastAsia="宋体" w:cs="宋体"/>
                      <w:color w:val="auto"/>
                      <w:sz w:val="21"/>
                      <w:szCs w:val="21"/>
                      <w:highlight w:val="none"/>
                      <w:lang w:val="en-US" w:eastAsia="zh-CN"/>
                    </w:rPr>
                    <w:t>白金保（含球管）</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top"/>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维保服务范围：</w:t>
            </w:r>
          </w:p>
          <w:p>
            <w:pPr>
              <w:widowControl w:val="0"/>
              <w:numPr>
                <w:ilvl w:val="0"/>
                <w:numId w:val="0"/>
              </w:numPr>
              <w:spacing w:line="360" w:lineRule="auto"/>
              <w:ind w:firstLine="422"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1.西门子64排CT：</w:t>
            </w:r>
            <w:r>
              <w:rPr>
                <w:rFonts w:hint="eastAsia" w:ascii="宋体" w:hAnsi="宋体" w:eastAsia="宋体" w:cs="宋体"/>
                <w:color w:val="auto"/>
                <w:kern w:val="2"/>
                <w:sz w:val="21"/>
                <w:szCs w:val="21"/>
                <w:highlight w:val="none"/>
                <w:lang w:val="en-US" w:eastAsia="zh-CN" w:bidi="ar-SA"/>
              </w:rPr>
              <w:t>保修期内，免费更换出现故障的所有配件（含</w:t>
            </w:r>
            <w:r>
              <w:rPr>
                <w:rFonts w:hint="eastAsia" w:ascii="宋体" w:hAnsi="宋体" w:eastAsia="宋体" w:cs="宋体"/>
                <w:color w:val="auto"/>
                <w:kern w:val="2"/>
                <w:sz w:val="21"/>
                <w:szCs w:val="21"/>
                <w:highlight w:val="none"/>
                <w:vertAlign w:val="baseline"/>
                <w:lang w:val="en-US" w:eastAsia="zh-CN" w:bidi="ar-SA"/>
              </w:rPr>
              <w:t>球管、高压发生器及探测器</w:t>
            </w:r>
            <w:r>
              <w:rPr>
                <w:rFonts w:hint="eastAsia" w:ascii="宋体" w:hAnsi="宋体" w:eastAsia="宋体" w:cs="宋体"/>
                <w:color w:val="auto"/>
                <w:kern w:val="2"/>
                <w:sz w:val="21"/>
                <w:szCs w:val="21"/>
                <w:highlight w:val="none"/>
                <w:lang w:val="en-US" w:eastAsia="zh-CN" w:bidi="ar-SA"/>
              </w:rPr>
              <w:t>）；</w:t>
            </w:r>
          </w:p>
          <w:p>
            <w:pPr>
              <w:widowControl w:val="0"/>
              <w:numPr>
                <w:ilvl w:val="0"/>
                <w:numId w:val="0"/>
              </w:numPr>
              <w:spacing w:line="360" w:lineRule="auto"/>
              <w:ind w:firstLine="422" w:firstLineChars="200"/>
              <w:jc w:val="both"/>
              <w:rPr>
                <w:rFonts w:hint="eastAsia" w:ascii="宋体" w:hAnsi="宋体" w:eastAsia="宋体" w:cs="Times New Roman"/>
                <w:b/>
                <w:bCs/>
                <w:color w:val="auto"/>
                <w:kern w:val="2"/>
                <w:sz w:val="21"/>
                <w:szCs w:val="21"/>
                <w:highlight w:val="none"/>
                <w:lang w:val="en-US" w:eastAsia="zh-CN" w:bidi="ar-SA"/>
              </w:rPr>
            </w:pPr>
            <w:r>
              <w:rPr>
                <w:rFonts w:hint="eastAsia" w:ascii="宋体" w:hAnsi="Times New Roman" w:eastAsia="宋体" w:cs="Times New Roman"/>
                <w:b/>
                <w:bCs/>
                <w:color w:val="auto"/>
                <w:kern w:val="2"/>
                <w:sz w:val="21"/>
                <w:szCs w:val="21"/>
                <w:highlight w:val="none"/>
                <w:lang w:val="en-US" w:eastAsia="zh-CN" w:bidi="ar-SA"/>
              </w:rPr>
              <w:t>2.</w:t>
            </w:r>
            <w:r>
              <w:rPr>
                <w:rFonts w:hint="eastAsia" w:ascii="宋体" w:hAnsi="宋体" w:eastAsia="宋体" w:cs="宋体"/>
                <w:b/>
                <w:bCs/>
                <w:color w:val="auto"/>
                <w:kern w:val="2"/>
                <w:sz w:val="21"/>
                <w:szCs w:val="21"/>
                <w:highlight w:val="none"/>
                <w:lang w:val="en-US" w:eastAsia="zh-CN" w:bidi="ar-SA"/>
              </w:rPr>
              <w:t>西门子DSA：</w:t>
            </w:r>
            <w:r>
              <w:rPr>
                <w:rFonts w:hint="eastAsia" w:ascii="宋体" w:hAnsi="宋体" w:eastAsia="宋体" w:cs="宋体"/>
                <w:color w:val="auto"/>
                <w:kern w:val="2"/>
                <w:sz w:val="21"/>
                <w:szCs w:val="21"/>
                <w:highlight w:val="none"/>
                <w:lang w:val="en-US" w:eastAsia="zh-CN" w:bidi="ar-SA"/>
              </w:rPr>
              <w:t>保修期内，免费更换出现故障的所有配件（含</w:t>
            </w:r>
            <w:r>
              <w:rPr>
                <w:rFonts w:hint="eastAsia" w:ascii="宋体" w:hAnsi="宋体" w:eastAsia="宋体" w:cs="宋体"/>
                <w:color w:val="auto"/>
                <w:kern w:val="2"/>
                <w:sz w:val="21"/>
                <w:szCs w:val="21"/>
                <w:highlight w:val="none"/>
                <w:vertAlign w:val="baseline"/>
                <w:lang w:val="en-US" w:eastAsia="zh-CN" w:bidi="ar-SA"/>
              </w:rPr>
              <w:t>球管、平板探测器</w:t>
            </w:r>
            <w:r>
              <w:rPr>
                <w:rFonts w:hint="eastAsia" w:ascii="宋体" w:hAnsi="宋体" w:eastAsia="宋体" w:cs="宋体"/>
                <w:color w:val="auto"/>
                <w:kern w:val="2"/>
                <w:sz w:val="21"/>
                <w:szCs w:val="21"/>
                <w:highlight w:val="none"/>
                <w:lang w:val="en-US" w:eastAsia="zh-CN" w:bidi="ar-SA"/>
              </w:rPr>
              <w:t>）；</w:t>
            </w:r>
          </w:p>
          <w:p>
            <w:pPr>
              <w:widowControl w:val="0"/>
              <w:numPr>
                <w:ilvl w:val="0"/>
                <w:numId w:val="0"/>
              </w:numPr>
              <w:spacing w:line="360" w:lineRule="auto"/>
              <w:ind w:firstLine="420" w:firstLineChars="200"/>
              <w:jc w:val="both"/>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Times New Roman"/>
                <w:color w:val="auto"/>
                <w:kern w:val="2"/>
                <w:sz w:val="21"/>
                <w:szCs w:val="21"/>
                <w:highlight w:val="none"/>
                <w:lang w:val="en-US" w:eastAsia="zh-CN" w:bidi="ar-SA"/>
              </w:rPr>
              <w:t>3.以上保修设备其他外周第三方外围附属设备系统不在保修范围内，如打片机、阅片工作站、高压注射器、稳压电源</w:t>
            </w:r>
            <w:r>
              <w:rPr>
                <w:rFonts w:hint="eastAsia" w:ascii="宋体" w:hAnsi="宋体" w:eastAsia="宋体" w:cs="宋体"/>
                <w:color w:val="auto"/>
                <w:kern w:val="2"/>
                <w:sz w:val="21"/>
                <w:szCs w:val="21"/>
                <w:highlight w:val="none"/>
                <w:lang w:val="en-US" w:eastAsia="zh-CN" w:bidi="ar-SA"/>
              </w:rPr>
              <w:t>、叫号系统等。人为原因、自然灾害、操作不当及不可抗力事件导致设备故障或损毁所涉及的服务不包含在内。</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三、服务内容及要求：</w:t>
            </w:r>
          </w:p>
          <w:p>
            <w:pPr>
              <w:keepNext w:val="0"/>
              <w:keepLines w:val="0"/>
              <w:pageBreakBefore w:val="0"/>
              <w:widowControl w:val="0"/>
              <w:kinsoku/>
              <w:wordWrap/>
              <w:overflowPunct/>
              <w:topLinePunct w:val="0"/>
              <w:autoSpaceDE/>
              <w:autoSpaceDN/>
              <w:bidi w:val="0"/>
              <w:adjustRightInd/>
              <w:spacing w:line="360" w:lineRule="auto"/>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定期</w:t>
            </w:r>
            <w:r>
              <w:rPr>
                <w:rFonts w:hint="eastAsia" w:ascii="宋体" w:hAnsi="宋体" w:eastAsia="宋体" w:cs="宋体"/>
                <w:b/>
                <w:bCs/>
                <w:color w:val="auto"/>
                <w:sz w:val="21"/>
                <w:szCs w:val="21"/>
                <w:highlight w:val="none"/>
              </w:rPr>
              <w:t>保养</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检查</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保修期内，</w:t>
            </w:r>
            <w:r>
              <w:rPr>
                <w:rFonts w:hint="eastAsia" w:ascii="宋体" w:hAnsi="宋体" w:eastAsia="宋体" w:cs="宋体"/>
                <w:color w:val="auto"/>
                <w:szCs w:val="21"/>
                <w:highlight w:val="none"/>
              </w:rPr>
              <w:t>每年定期</w:t>
            </w:r>
            <w:r>
              <w:rPr>
                <w:rFonts w:hint="eastAsia" w:ascii="宋体" w:hAnsi="宋体" w:eastAsia="宋体" w:cs="宋体"/>
                <w:color w:val="auto"/>
                <w:szCs w:val="21"/>
                <w:highlight w:val="none"/>
                <w:lang w:val="en-US" w:eastAsia="zh-CN"/>
              </w:rPr>
              <w:t>对以上设备</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val="en-US" w:eastAsia="zh-CN"/>
              </w:rPr>
              <w:t>4次</w:t>
            </w:r>
            <w:r>
              <w:rPr>
                <w:rFonts w:hint="eastAsia" w:ascii="宋体" w:hAnsi="宋体" w:eastAsia="宋体" w:cs="宋体"/>
                <w:color w:val="auto"/>
                <w:szCs w:val="21"/>
                <w:highlight w:val="none"/>
              </w:rPr>
              <w:t>专业保养检测，以保证设备处于最佳运行状态。</w:t>
            </w:r>
            <w:r>
              <w:rPr>
                <w:rFonts w:hint="eastAsia" w:ascii="Times New Roman" w:hAnsi="Times New Roman" w:eastAsia="宋体" w:cs="Times New Roman"/>
                <w:color w:val="auto"/>
                <w:highlight w:val="none"/>
              </w:rPr>
              <w:t>在预期保养时间之前一周内通知医院工作人员保养时间</w:t>
            </w:r>
            <w:r>
              <w:rPr>
                <w:rFonts w:hint="eastAsia" w:ascii="宋体" w:hAnsi="宋体" w:eastAsia="宋体" w:cs="宋体"/>
                <w:color w:val="auto"/>
                <w:sz w:val="21"/>
                <w:szCs w:val="21"/>
                <w:highlight w:val="none"/>
              </w:rPr>
              <w:t>，具体内容：</w:t>
            </w:r>
          </w:p>
          <w:p>
            <w:pPr>
              <w:keepNext w:val="0"/>
              <w:keepLines w:val="0"/>
              <w:pageBreakBefore w:val="0"/>
              <w:widowControl w:val="0"/>
              <w:numPr>
                <w:ilvl w:val="0"/>
                <w:numId w:val="2"/>
              </w:numPr>
              <w:kinsoku/>
              <w:wordWrap/>
              <w:overflowPunct/>
              <w:topLinePunct w:val="0"/>
              <w:autoSpaceDE/>
              <w:autoSpaceDN/>
              <w:bidi w:val="0"/>
              <w:adjustRightInd/>
              <w:spacing w:line="36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制定保养计划，按照厂家标准</w:t>
            </w:r>
            <w:r>
              <w:rPr>
                <w:rFonts w:hint="eastAsia" w:ascii="宋体" w:hAnsi="宋体" w:eastAsia="宋体" w:cs="宋体"/>
                <w:color w:val="auto"/>
                <w:sz w:val="21"/>
                <w:szCs w:val="21"/>
                <w:highlight w:val="none"/>
                <w:lang w:val="en-US" w:eastAsia="zh-CN"/>
              </w:rPr>
              <w:t>结设备</w:t>
            </w:r>
            <w:r>
              <w:rPr>
                <w:rFonts w:hint="eastAsia" w:ascii="宋体" w:hAnsi="宋体" w:eastAsia="宋体" w:cs="宋体"/>
                <w:color w:val="auto"/>
                <w:sz w:val="21"/>
                <w:szCs w:val="21"/>
                <w:highlight w:val="none"/>
              </w:rPr>
              <w:t>进行调校、检测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确认各项技术指标及性能</w:t>
            </w:r>
            <w:r>
              <w:rPr>
                <w:rFonts w:hint="eastAsia" w:ascii="宋体" w:hAnsi="宋体" w:eastAsia="宋体" w:cs="宋体"/>
                <w:color w:val="auto"/>
                <w:sz w:val="21"/>
                <w:szCs w:val="21"/>
                <w:highlight w:val="none"/>
              </w:rPr>
              <w:t>；</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保养内容包括但不限于设备内外部精细除尘清洁、机械及电气检查，系统情况检查，图像质量检查，硬盘空间统计及检查，球管使用情况检查，图像处理系统检查，通讯检查，并定期对设备的数据进行备份。</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Times New Roman" w:hAnsi="Times New Roman" w:eastAsia="宋体" w:cs="Times New Roman"/>
                <w:color w:val="auto"/>
                <w:highlight w:val="none"/>
                <w:lang w:val="en-US" w:eastAsia="zh-CN"/>
              </w:rPr>
              <w:t>更换易损耗件</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firstLine="210" w:firstLineChars="100"/>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（4）</w:t>
            </w:r>
            <w:r>
              <w:rPr>
                <w:rFonts w:hint="eastAsia" w:ascii="宋体" w:hAnsi="宋体" w:eastAsia="宋体" w:cs="宋体"/>
                <w:color w:val="auto"/>
                <w:sz w:val="21"/>
                <w:szCs w:val="21"/>
                <w:highlight w:val="none"/>
              </w:rPr>
              <w:t>发现问题，及时整改，</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提供整改报告</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firstLine="210" w:firstLineChars="100"/>
              <w:textAlignment w:val="auto"/>
              <w:rPr>
                <w:rFonts w:hint="default" w:ascii="宋体" w:hAnsi="宋体" w:eastAsia="宋体" w:cs="宋体"/>
                <w:color w:val="auto"/>
                <w:sz w:val="21"/>
                <w:szCs w:val="21"/>
                <w:highlight w:val="none"/>
                <w:lang w:val="en-US"/>
              </w:rPr>
            </w:pP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如实</w:t>
            </w:r>
            <w:r>
              <w:rPr>
                <w:rFonts w:hint="eastAsia" w:ascii="Times New Roman" w:hAnsi="Times New Roman" w:eastAsia="宋体" w:cs="Times New Roman"/>
                <w:color w:val="auto"/>
                <w:highlight w:val="none"/>
              </w:rPr>
              <w:t>记录设</w:t>
            </w:r>
            <w:r>
              <w:rPr>
                <w:rFonts w:hint="eastAsia" w:ascii="宋体" w:hAnsi="宋体" w:eastAsia="宋体" w:cs="宋体"/>
                <w:color w:val="auto"/>
                <w:sz w:val="21"/>
                <w:szCs w:val="21"/>
                <w:highlight w:val="none"/>
              </w:rPr>
              <w:t>备状况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并提供</w:t>
            </w:r>
            <w:r>
              <w:rPr>
                <w:rFonts w:hint="eastAsia" w:ascii="宋体" w:hAnsi="宋体" w:eastAsia="宋体" w:cs="宋体"/>
                <w:color w:val="auto"/>
                <w:sz w:val="21"/>
                <w:szCs w:val="21"/>
                <w:highlight w:val="none"/>
              </w:rPr>
              <w:t>保养内容清单</w:t>
            </w:r>
            <w:r>
              <w:rPr>
                <w:rFonts w:hint="eastAsia" w:ascii="宋体" w:hAnsi="宋体" w:eastAsia="宋体" w:cs="宋体"/>
                <w:color w:val="auto"/>
                <w:kern w:val="0"/>
                <w:sz w:val="20"/>
                <w:szCs w:val="20"/>
                <w:highlight w:val="none"/>
                <w:lang w:val="en-US" w:eastAsia="zh-CN" w:bidi="ar"/>
              </w:rPr>
              <w:t>；</w:t>
            </w:r>
          </w:p>
          <w:p>
            <w:pPr>
              <w:keepNext w:val="0"/>
              <w:keepLines w:val="0"/>
              <w:pageBreakBefore w:val="0"/>
              <w:widowControl w:val="0"/>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）每次进行维保工作均应出具正规</w:t>
            </w:r>
            <w:r>
              <w:rPr>
                <w:rFonts w:hint="eastAsia" w:ascii="宋体" w:hAnsi="宋体" w:eastAsia="宋体" w:cs="宋体"/>
                <w:color w:val="auto"/>
                <w:sz w:val="21"/>
                <w:szCs w:val="21"/>
                <w:highlight w:val="none"/>
                <w:lang w:val="en-US" w:eastAsia="zh-CN"/>
              </w:rPr>
              <w:t>保养</w:t>
            </w:r>
            <w:r>
              <w:rPr>
                <w:rFonts w:hint="eastAsia" w:ascii="宋体" w:hAnsi="宋体" w:eastAsia="宋体" w:cs="宋体"/>
                <w:color w:val="auto"/>
                <w:sz w:val="21"/>
                <w:szCs w:val="21"/>
                <w:highlight w:val="none"/>
              </w:rPr>
              <w:t>报告并由双方相关人员进行签字确认。</w:t>
            </w:r>
          </w:p>
          <w:p>
            <w:pPr>
              <w:spacing w:line="360" w:lineRule="auto"/>
              <w:ind w:firstLine="211" w:firstLineChars="100"/>
              <w:rPr>
                <w:rFonts w:hint="eastAsia" w:ascii="宋体" w:hAnsi="宋体" w:eastAsia="宋体" w:cs="宋体"/>
                <w:b/>
                <w:bCs/>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工时：</w:t>
            </w:r>
          </w:p>
          <w:p>
            <w:pPr>
              <w:spacing w:line="360" w:lineRule="auto"/>
              <w:ind w:firstLine="210" w:firstLineChars="100"/>
              <w:rPr>
                <w:rFonts w:hint="eastAsia" w:ascii="Times New Roman" w:hAnsi="Times New Roman" w:eastAsia="宋体" w:cs="Times New Roman"/>
                <w:color w:val="auto"/>
                <w:highlight w:val="none"/>
                <w:lang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lang w:eastAsia="zh-CN"/>
              </w:rPr>
              <w:t>）</w:t>
            </w:r>
            <w:r>
              <w:rPr>
                <w:rFonts w:hint="eastAsia" w:ascii="Times New Roman" w:hAnsi="Times New Roman" w:eastAsia="宋体" w:cs="Times New Roman"/>
                <w:color w:val="auto"/>
                <w:highlight w:val="none"/>
                <w:lang w:eastAsia="zh-CN"/>
              </w:rPr>
              <w:t>在保修期内，中标供应商免收因维修机器产生的工时费和节假日加班费。</w:t>
            </w:r>
          </w:p>
          <w:p>
            <w:pPr>
              <w:spacing w:line="360" w:lineRule="auto"/>
              <w:ind w:firstLine="210" w:firstLineChars="100"/>
              <w:rPr>
                <w:rFonts w:hint="eastAsia" w:ascii="宋体" w:hAnsi="宋体" w:eastAsia="宋体" w:cs="宋体"/>
                <w:color w:val="auto"/>
                <w:highlight w:val="none"/>
              </w:rPr>
            </w:pPr>
            <w:r>
              <w:rPr>
                <w:rFonts w:hint="eastAsia" w:ascii="Times New Roman" w:hAnsi="Times New Roman" w:eastAsia="宋体" w:cs="Times New Roman"/>
                <w:b w:val="0"/>
                <w:bCs w:val="0"/>
                <w:color w:val="auto"/>
                <w:highlight w:val="none"/>
                <w:lang w:eastAsia="zh-CN"/>
              </w:rPr>
              <w:t>（</w:t>
            </w:r>
            <w:r>
              <w:rPr>
                <w:rFonts w:hint="eastAsia" w:ascii="Times New Roman" w:hAnsi="Times New Roman" w:eastAsia="宋体" w:cs="Times New Roman"/>
                <w:b w:val="0"/>
                <w:bCs w:val="0"/>
                <w:color w:val="auto"/>
                <w:highlight w:val="none"/>
                <w:lang w:val="en-US" w:eastAsia="zh-CN"/>
              </w:rPr>
              <w:t>2</w:t>
            </w:r>
            <w:r>
              <w:rPr>
                <w:rFonts w:hint="eastAsia" w:ascii="Times New Roman" w:hAnsi="Times New Roman" w:eastAsia="宋体" w:cs="Times New Roman"/>
                <w:b w:val="0"/>
                <w:bCs w:val="0"/>
                <w:color w:val="auto"/>
                <w:highlight w:val="none"/>
                <w:lang w:eastAsia="zh-CN"/>
              </w:rPr>
              <w:t>）</w:t>
            </w:r>
            <w:r>
              <w:rPr>
                <w:rFonts w:hint="eastAsia" w:ascii="Times New Roman" w:hAnsi="Times New Roman" w:eastAsia="宋体" w:cs="Times New Roman"/>
                <w:color w:val="auto"/>
                <w:highlight w:val="none"/>
                <w:lang w:eastAsia="zh-CN"/>
              </w:rPr>
              <w:t>中标供应商应提供优先派工的服务，</w:t>
            </w:r>
            <w:r>
              <w:rPr>
                <w:rFonts w:hint="eastAsia" w:ascii="Times New Roman" w:hAnsi="Times New Roman" w:eastAsia="宋体" w:cs="Times New Roman"/>
                <w:color w:val="auto"/>
                <w:highlight w:val="none"/>
                <w:lang w:val="en-US" w:eastAsia="zh-CN"/>
              </w:rPr>
              <w:t>且</w:t>
            </w:r>
            <w:r>
              <w:rPr>
                <w:rFonts w:hint="eastAsia" w:ascii="宋体" w:hAnsi="宋体" w:eastAsia="宋体" w:cs="宋体"/>
                <w:color w:val="auto"/>
                <w:highlight w:val="none"/>
              </w:rPr>
              <w:t>派工次数不限。</w:t>
            </w:r>
          </w:p>
          <w:p>
            <w:pPr>
              <w:keepNext w:val="0"/>
              <w:keepLines w:val="0"/>
              <w:pageBreakBefore w:val="0"/>
              <w:widowControl w:val="0"/>
              <w:kinsoku/>
              <w:wordWrap/>
              <w:overflowPunct/>
              <w:topLinePunct w:val="0"/>
              <w:autoSpaceDE/>
              <w:autoSpaceDN/>
              <w:bidi w:val="0"/>
              <w:adjustRightInd/>
              <w:spacing w:line="400" w:lineRule="exact"/>
              <w:ind w:firstLine="211"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技术支持：</w:t>
            </w:r>
          </w:p>
          <w:p>
            <w:pPr>
              <w:spacing w:line="360" w:lineRule="auto"/>
              <w:ind w:firstLine="210" w:firstLineChars="100"/>
              <w:rPr>
                <w:rFonts w:hint="eastAsia" w:ascii="Times New Roman" w:hAnsi="Times New Roman" w:eastAsia="宋体" w:cs="Times New Roman"/>
                <w:color w:val="auto"/>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1）工程师24小时×</w:t>
            </w:r>
            <w:r>
              <w:rPr>
                <w:rFonts w:hint="eastAsia" w:ascii="Times New Roman" w:hAnsi="Times New Roman" w:eastAsia="宋体" w:cs="Times New Roman"/>
                <w:color w:val="auto"/>
                <w:highlight w:val="none"/>
                <w:lang w:eastAsia="zh-CN"/>
              </w:rPr>
              <w:t>365在线提供快速诊断和技术支持服务；</w:t>
            </w:r>
          </w:p>
          <w:p>
            <w:pPr>
              <w:spacing w:line="360" w:lineRule="auto"/>
              <w:ind w:firstLine="210" w:firstLineChars="100"/>
              <w:rPr>
                <w:rFonts w:hint="eastAsia" w:ascii="宋体" w:hAnsi="宋体" w:eastAsia="宋体" w:cs="宋体"/>
                <w:color w:val="auto"/>
                <w:sz w:val="21"/>
                <w:szCs w:val="21"/>
                <w:highlight w:val="none"/>
              </w:rPr>
            </w:pPr>
            <w:r>
              <w:rPr>
                <w:rFonts w:hint="eastAsia" w:ascii="Times New Roman" w:hAnsi="Times New Roman" w:eastAsia="宋体" w:cs="Times New Roman"/>
                <w:color w:val="auto"/>
                <w:highlight w:val="none"/>
                <w:lang w:eastAsia="zh-CN"/>
              </w:rPr>
              <w:t>（2）节假日不休，提供微信、传</w:t>
            </w:r>
            <w:r>
              <w:rPr>
                <w:rFonts w:hint="eastAsia" w:ascii="宋体" w:hAnsi="宋体" w:eastAsia="宋体" w:cs="宋体"/>
                <w:color w:val="auto"/>
                <w:sz w:val="21"/>
                <w:szCs w:val="21"/>
                <w:highlight w:val="none"/>
              </w:rPr>
              <w:t>真、电子邮件等联络方式，全力配合采购人开展工作。</w:t>
            </w:r>
          </w:p>
          <w:p>
            <w:pPr>
              <w:spacing w:line="360" w:lineRule="auto"/>
              <w:ind w:firstLine="211" w:firstLineChars="100"/>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服务响应时间：</w:t>
            </w:r>
          </w:p>
          <w:p>
            <w:pPr>
              <w:keepNext w:val="0"/>
              <w:keepLines w:val="0"/>
              <w:pageBreakBefore w:val="0"/>
              <w:widowControl w:val="0"/>
              <w:kinsoku/>
              <w:wordWrap/>
              <w:overflowPunct/>
              <w:topLinePunct w:val="0"/>
              <w:autoSpaceDE/>
              <w:autoSpaceDN/>
              <w:bidi w:val="0"/>
              <w:adjustRightInd/>
              <w:spacing w:line="40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（1）电话响应：接到采购人电话，2小时内响应，回应采购人的咨询、答疑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highlight w:val="none"/>
              </w:rPr>
              <w:t>提供电话技术支持</w:t>
            </w:r>
            <w:r>
              <w:rPr>
                <w:rFonts w:hint="eastAsia" w:ascii="宋体" w:hAnsi="宋体" w:eastAsia="宋体" w:cs="宋体"/>
                <w:color w:val="auto"/>
                <w:sz w:val="21"/>
                <w:szCs w:val="21"/>
                <w:highlight w:val="none"/>
              </w:rPr>
              <w:t>等；</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（2）现场故障响应：接到</w:t>
            </w:r>
            <w:r>
              <w:rPr>
                <w:rFonts w:hint="eastAsia" w:ascii="宋体" w:hAnsi="宋体" w:eastAsia="宋体" w:cs="宋体"/>
                <w:color w:val="auto"/>
                <w:sz w:val="21"/>
                <w:szCs w:val="21"/>
                <w:highlight w:val="none"/>
                <w:lang w:val="en-US" w:eastAsia="zh-CN"/>
              </w:rPr>
              <w:t>采购方</w:t>
            </w:r>
            <w:r>
              <w:rPr>
                <w:rFonts w:hint="eastAsia" w:ascii="宋体" w:hAnsi="宋体" w:eastAsia="宋体" w:cs="宋体"/>
                <w:color w:val="auto"/>
                <w:sz w:val="21"/>
                <w:szCs w:val="21"/>
                <w:highlight w:val="none"/>
              </w:rPr>
              <w:t>故障报修电话，即时制定维修方案，工程师24小时内到达现场进行检修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highlight w:val="none"/>
              </w:rPr>
              <w:t>排除故障。</w:t>
            </w:r>
          </w:p>
          <w:p>
            <w:pPr>
              <w:spacing w:line="360" w:lineRule="auto"/>
              <w:ind w:firstLine="241" w:firstLineChars="100"/>
              <w:rPr>
                <w:rFonts w:hint="eastAsia" w:ascii="宋体" w:hAnsi="宋体" w:eastAsia="宋体" w:cs="宋体"/>
                <w:b/>
                <w:bCs/>
                <w:color w:val="auto"/>
                <w:highlight w:val="none"/>
              </w:rPr>
            </w:pPr>
            <w:r>
              <w:rPr>
                <w:rFonts w:hint="eastAsia" w:ascii="Times New Roman" w:hAnsi="Times New Roman" w:eastAsia="宋体" w:cs="Times New Roman"/>
                <w:b/>
                <w:color w:val="auto"/>
                <w:kern w:val="2"/>
                <w:sz w:val="24"/>
                <w:szCs w:val="24"/>
                <w:highlight w:val="none"/>
                <w:lang w:val="en-US" w:eastAsia="zh-CN" w:bidi="ar-SA"/>
              </w:rPr>
              <w:t>▲</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开机率：</w:t>
            </w:r>
          </w:p>
          <w:p>
            <w:pPr>
              <w:spacing w:line="360" w:lineRule="auto"/>
              <w:ind w:firstLine="21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服务期内，开机率保证≥95%（按一年365天计算，即每年因故障维修累计停机时间不超过18.5天），因采购方原因造成的停机时间不计算入内。如果此开机率由于供应商的原因未能达到，停机时间每超过一天，合同期限将相应延长7天。如果此开机率由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的原因未能达到，停机时间累计超过7天，采购方有权中止合同，供应商按上年度设备日均收入按天数进行赔偿</w:t>
            </w:r>
            <w:r>
              <w:rPr>
                <w:rFonts w:hint="eastAsia" w:ascii="宋体" w:hAnsi="宋体" w:eastAsia="宋体" w:cs="宋体"/>
                <w:color w:val="auto"/>
                <w:highlight w:val="none"/>
                <w:lang w:val="en-US" w:eastAsia="zh-CN"/>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非保修范围内的设备系统</w:t>
            </w:r>
            <w:r>
              <w:rPr>
                <w:rFonts w:hint="eastAsia" w:ascii="宋体" w:hAnsi="宋体" w:eastAsia="宋体" w:cs="宋体"/>
                <w:color w:val="auto"/>
                <w:highlight w:val="none"/>
                <w:lang w:eastAsia="zh-CN"/>
              </w:rPr>
              <w:t>故障</w:t>
            </w:r>
            <w:r>
              <w:rPr>
                <w:rFonts w:hint="eastAsia" w:ascii="宋体" w:hAnsi="宋体" w:eastAsia="宋体" w:cs="宋体"/>
                <w:color w:val="auto"/>
                <w:highlight w:val="none"/>
              </w:rPr>
              <w:t>造成停</w:t>
            </w:r>
            <w:r>
              <w:rPr>
                <w:rFonts w:hint="eastAsia" w:ascii="宋体" w:hAnsi="宋体" w:eastAsia="宋体" w:cs="宋体"/>
                <w:color w:val="auto"/>
                <w:highlight w:val="none"/>
                <w:lang w:eastAsia="zh-CN"/>
              </w:rPr>
              <w:t>机，或由于操作人员人为失误、破坏、战争、自然灾害等造成机器停机的</w:t>
            </w:r>
            <w:r>
              <w:rPr>
                <w:rFonts w:hint="eastAsia" w:ascii="宋体" w:hAnsi="宋体" w:eastAsia="宋体" w:cs="宋体"/>
                <w:color w:val="auto"/>
                <w:highlight w:val="none"/>
              </w:rPr>
              <w:t>不计算入内。</w:t>
            </w:r>
          </w:p>
          <w:p>
            <w:pPr>
              <w:spacing w:line="360" w:lineRule="auto"/>
              <w:ind w:firstLine="211" w:firstLineChars="100"/>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6、探测器：在维保周期内探测器达3次故障且未能维修好，直接更换整个探测器，探测器为原装正品，并提供合法来源证明</w:t>
            </w:r>
            <w:r>
              <w:rPr>
                <w:rFonts w:hint="eastAsia" w:ascii="宋体" w:hAnsi="宋体" w:cs="宋体"/>
                <w:b/>
                <w:bCs/>
                <w:color w:val="auto"/>
                <w:highlight w:val="none"/>
                <w:lang w:val="en-US" w:eastAsia="zh-CN"/>
              </w:rPr>
              <w:t>。</w:t>
            </w:r>
          </w:p>
          <w:p>
            <w:pPr>
              <w:spacing w:line="360" w:lineRule="auto"/>
              <w:ind w:firstLine="211" w:firstLineChars="100"/>
              <w:rPr>
                <w:rFonts w:hint="eastAsia" w:ascii="Times New Roman" w:hAnsi="Times New Roman" w:eastAsia="宋体" w:cs="Times New Roman"/>
                <w:color w:val="auto"/>
                <w:highlight w:val="none"/>
              </w:rPr>
            </w:pPr>
            <w:r>
              <w:rPr>
                <w:rFonts w:hint="eastAsia" w:ascii="宋体" w:hAnsi="宋体" w:cs="宋体"/>
                <w:b/>
                <w:bCs/>
                <w:color w:val="auto"/>
                <w:highlight w:val="none"/>
                <w:lang w:val="en-US" w:eastAsia="zh-CN"/>
              </w:rPr>
              <w:t>7、</w:t>
            </w:r>
            <w:r>
              <w:rPr>
                <w:rFonts w:hint="eastAsia" w:ascii="Times New Roman" w:hAnsi="Times New Roman" w:eastAsia="宋体" w:cs="Times New Roman"/>
                <w:b/>
                <w:bCs/>
                <w:color w:val="auto"/>
                <w:highlight w:val="none"/>
              </w:rPr>
              <w:t>质量保证</w:t>
            </w:r>
            <w:r>
              <w:rPr>
                <w:rFonts w:hint="eastAsia" w:ascii="Times New Roman" w:hAnsi="Times New Roman" w:eastAsia="宋体" w:cs="Times New Roman"/>
                <w:color w:val="auto"/>
                <w:highlight w:val="none"/>
              </w:rPr>
              <w:t>：保修期内，</w:t>
            </w:r>
            <w:r>
              <w:rPr>
                <w:rFonts w:hint="eastAsia" w:ascii="Times New Roman" w:hAnsi="Times New Roman" w:eastAsia="宋体" w:cs="Times New Roman"/>
                <w:color w:val="auto"/>
                <w:highlight w:val="none"/>
                <w:lang w:val="en-US" w:eastAsia="zh-CN"/>
              </w:rPr>
              <w:t>中标</w:t>
            </w:r>
            <w:r>
              <w:rPr>
                <w:rFonts w:hint="eastAsia" w:ascii="Times New Roman" w:hAnsi="Times New Roman" w:eastAsia="宋体" w:cs="Times New Roman"/>
                <w:color w:val="auto"/>
                <w:highlight w:val="none"/>
              </w:rPr>
              <w:t>供应商须保证机器的运行质量及图像质量达到厂家标准，按照厂家标准定期进行调校</w:t>
            </w:r>
            <w:r>
              <w:rPr>
                <w:rFonts w:hint="eastAsia"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rPr>
              <w:t>校正。保修范围外的系统部件导致的质量不达标除外。</w:t>
            </w:r>
          </w:p>
          <w:p>
            <w:pPr>
              <w:spacing w:line="360" w:lineRule="auto"/>
              <w:ind w:firstLine="241" w:firstLineChars="100"/>
              <w:rPr>
                <w:rFonts w:hint="eastAsia" w:ascii="宋体" w:hAnsi="宋体" w:eastAsia="宋体" w:cs="宋体"/>
                <w:b/>
                <w:bCs/>
                <w:color w:val="auto"/>
                <w:highlight w:val="none"/>
              </w:rPr>
            </w:pPr>
            <w:r>
              <w:rPr>
                <w:rFonts w:hint="eastAsia" w:ascii="Times New Roman" w:hAnsi="Times New Roman" w:eastAsia="宋体" w:cs="Times New Roman"/>
                <w:b/>
                <w:color w:val="auto"/>
                <w:kern w:val="2"/>
                <w:sz w:val="24"/>
                <w:szCs w:val="24"/>
                <w:highlight w:val="none"/>
                <w:lang w:val="en-US" w:eastAsia="zh-CN" w:bidi="ar-SA"/>
              </w:rPr>
              <w:t>▲</w:t>
            </w: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备件：</w:t>
            </w:r>
          </w:p>
          <w:p>
            <w:pPr>
              <w:widowControl w:val="0"/>
              <w:numPr>
                <w:ilvl w:val="0"/>
                <w:numId w:val="0"/>
              </w:numPr>
              <w:spacing w:line="360" w:lineRule="auto"/>
              <w:ind w:firstLine="210" w:firstLineChars="10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（1）西门子64排CT：保修期内，免费更换出现故障的所有配件（含</w:t>
            </w:r>
            <w:r>
              <w:rPr>
                <w:rFonts w:hint="eastAsia" w:ascii="宋体" w:hAnsi="宋体" w:eastAsia="宋体" w:cs="宋体"/>
                <w:b w:val="0"/>
                <w:bCs w:val="0"/>
                <w:color w:val="auto"/>
                <w:kern w:val="2"/>
                <w:sz w:val="21"/>
                <w:szCs w:val="21"/>
                <w:highlight w:val="none"/>
                <w:vertAlign w:val="baseline"/>
                <w:lang w:val="en-US" w:eastAsia="zh-CN" w:bidi="ar-SA"/>
              </w:rPr>
              <w:t>球管、高压发生器及探测器</w:t>
            </w:r>
            <w:r>
              <w:rPr>
                <w:rFonts w:hint="eastAsia" w:ascii="宋体" w:hAnsi="宋体" w:eastAsia="宋体" w:cs="宋体"/>
                <w:b w:val="0"/>
                <w:bCs w:val="0"/>
                <w:color w:val="auto"/>
                <w:kern w:val="2"/>
                <w:sz w:val="21"/>
                <w:szCs w:val="21"/>
                <w:highlight w:val="none"/>
                <w:lang w:val="en-US" w:eastAsia="zh-CN" w:bidi="ar-SA"/>
              </w:rPr>
              <w:t>）；</w:t>
            </w:r>
          </w:p>
          <w:p>
            <w:pPr>
              <w:widowControl w:val="0"/>
              <w:numPr>
                <w:ilvl w:val="0"/>
                <w:numId w:val="0"/>
              </w:numPr>
              <w:spacing w:line="360" w:lineRule="auto"/>
              <w:ind w:firstLine="210" w:firstLineChars="100"/>
              <w:jc w:val="both"/>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（2）西门子DSA：保</w:t>
            </w:r>
            <w:r>
              <w:rPr>
                <w:rFonts w:hint="eastAsia" w:ascii="宋体" w:hAnsi="宋体" w:eastAsia="宋体" w:cs="宋体"/>
                <w:color w:val="auto"/>
                <w:kern w:val="2"/>
                <w:sz w:val="21"/>
                <w:szCs w:val="21"/>
                <w:highlight w:val="none"/>
                <w:lang w:val="en-US" w:eastAsia="zh-CN" w:bidi="ar-SA"/>
              </w:rPr>
              <w:t>修期内，免费更换出现故障的所有配件（含</w:t>
            </w:r>
            <w:r>
              <w:rPr>
                <w:rFonts w:hint="eastAsia" w:ascii="宋体" w:hAnsi="宋体" w:eastAsia="宋体" w:cs="宋体"/>
                <w:color w:val="auto"/>
                <w:kern w:val="2"/>
                <w:sz w:val="21"/>
                <w:szCs w:val="21"/>
                <w:highlight w:val="none"/>
                <w:vertAlign w:val="baseline"/>
                <w:lang w:val="en-US" w:eastAsia="zh-CN" w:bidi="ar-SA"/>
              </w:rPr>
              <w:t>球管、平板探测器</w:t>
            </w:r>
            <w:r>
              <w:rPr>
                <w:rFonts w:hint="eastAsia" w:ascii="宋体" w:hAnsi="宋体" w:eastAsia="宋体" w:cs="宋体"/>
                <w:color w:val="auto"/>
                <w:kern w:val="2"/>
                <w:sz w:val="21"/>
                <w:szCs w:val="21"/>
                <w:highlight w:val="none"/>
                <w:lang w:val="en-US" w:eastAsia="zh-CN" w:bidi="ar-SA"/>
              </w:rPr>
              <w:t>）；</w:t>
            </w:r>
          </w:p>
          <w:p>
            <w:pPr>
              <w:widowControl w:val="0"/>
              <w:spacing w:line="360" w:lineRule="auto"/>
              <w:ind w:firstLine="210" w:firstLineChars="1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（3）保证更换的零部件为原厂备件，采购渠道必须符合国家相关法律法规；</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sz w:val="21"/>
                <w:szCs w:val="21"/>
                <w:highlight w:val="none"/>
              </w:rPr>
              <w:t>保证更换后机器的参数与故障前一致，达到</w:t>
            </w:r>
            <w:r>
              <w:rPr>
                <w:rFonts w:hint="eastAsia" w:ascii="宋体" w:hAnsi="宋体" w:eastAsia="宋体" w:cs="宋体"/>
                <w:color w:val="auto"/>
                <w:sz w:val="21"/>
                <w:szCs w:val="21"/>
                <w:highlight w:val="none"/>
                <w:lang w:val="en-US" w:eastAsia="zh-CN"/>
              </w:rPr>
              <w:t>厂家</w:t>
            </w:r>
            <w:r>
              <w:rPr>
                <w:rFonts w:hint="eastAsia" w:ascii="宋体" w:hAnsi="宋体" w:eastAsia="宋体" w:cs="宋体"/>
                <w:color w:val="auto"/>
                <w:sz w:val="21"/>
                <w:szCs w:val="21"/>
                <w:highlight w:val="none"/>
              </w:rPr>
              <w:t>运行标准及相应的国家质量标准要求；</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保证优先运送备件，报废备件由</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供应商负责回收处理。</w:t>
            </w:r>
          </w:p>
          <w:p>
            <w:pPr>
              <w:spacing w:line="360" w:lineRule="auto"/>
              <w:ind w:firstLine="210"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Cs w:val="21"/>
                <w:highlight w:val="none"/>
              </w:rPr>
              <w:t>供应商设有专门备件仓库，供货渠道通畅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配件储备充足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品种齐全，能完全满足需求。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核心配件必须为原厂全新备件且提供制造商认证资料，如球管、平板探测器更换时须提供原厂采购备件的采购协议、注册证（在国内已经单独注册的，必须提供单独注册证），进口备件须提供相应的《报关单》，球管原厂证书，采购人验收合格后方可更换；缺任何一样，采购人将拒绝收货，并要求换货。中标供应商必须保证来源可追溯，承担相应的人工费、运输费、交通费、安装调试费用等，若由于中标供应商更换的球管出现法律性问题，由中标供应商承担全部责任，并赔偿采购人相应损失</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r>
    </w:tbl>
    <w:p>
      <w:pPr>
        <w:widowControl w:val="0"/>
        <w:snapToGrid w:val="0"/>
        <w:jc w:val="center"/>
        <w:rPr>
          <w:rFonts w:hint="eastAsia" w:ascii="宋体" w:hAnsi="宋体" w:eastAsia="宋体" w:cs="宋体"/>
          <w:b/>
          <w:bCs/>
          <w:color w:val="auto"/>
          <w:kern w:val="44"/>
          <w:sz w:val="32"/>
          <w:szCs w:val="32"/>
          <w:highlight w:val="none"/>
          <w:lang w:val="en-US" w:eastAsia="zh-CN" w:bidi="ar-SA"/>
        </w:rPr>
      </w:pPr>
    </w:p>
    <w:p>
      <w:pPr>
        <w:widowControl w:val="0"/>
        <w:snapToGrid w:val="0"/>
        <w:jc w:val="center"/>
        <w:rPr>
          <w:rFonts w:hint="eastAsia" w:ascii="宋体" w:hAnsi="宋体" w:eastAsia="宋体" w:cs="宋体"/>
          <w:b/>
          <w:bCs/>
          <w:color w:val="auto"/>
          <w:kern w:val="44"/>
          <w:sz w:val="32"/>
          <w:szCs w:val="32"/>
          <w:highlight w:val="none"/>
          <w:lang w:val="en-US" w:eastAsia="zh-CN" w:bidi="ar-SA"/>
        </w:rPr>
      </w:pPr>
      <w:r>
        <w:rPr>
          <w:rFonts w:hint="eastAsia" w:ascii="宋体" w:hAnsi="宋体" w:eastAsia="宋体" w:cs="宋体"/>
          <w:b/>
          <w:bCs/>
          <w:color w:val="auto"/>
          <w:kern w:val="44"/>
          <w:sz w:val="32"/>
          <w:szCs w:val="32"/>
          <w:highlight w:val="none"/>
          <w:lang w:val="en-US" w:eastAsia="zh-CN" w:bidi="ar-SA"/>
        </w:rPr>
        <w:t>▲第</w:t>
      </w:r>
      <w:r>
        <w:rPr>
          <w:rFonts w:hint="eastAsia" w:ascii="宋体" w:hAnsi="宋体" w:cs="宋体"/>
          <w:b/>
          <w:bCs/>
          <w:color w:val="auto"/>
          <w:kern w:val="44"/>
          <w:sz w:val="32"/>
          <w:szCs w:val="32"/>
          <w:highlight w:val="none"/>
          <w:lang w:val="en-US" w:eastAsia="zh-CN" w:bidi="ar-SA"/>
        </w:rPr>
        <w:t>二</w:t>
      </w:r>
      <w:r>
        <w:rPr>
          <w:rFonts w:hint="eastAsia" w:ascii="宋体" w:hAnsi="宋体" w:eastAsia="宋体" w:cs="宋体"/>
          <w:b/>
          <w:bCs/>
          <w:color w:val="auto"/>
          <w:kern w:val="44"/>
          <w:sz w:val="32"/>
          <w:szCs w:val="32"/>
          <w:highlight w:val="none"/>
          <w:lang w:val="en-US" w:eastAsia="zh-CN" w:bidi="ar-SA"/>
        </w:rPr>
        <w:t>部分商务条款</w:t>
      </w: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1"/>
        <w:gridCol w:w="81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641" w:type="dxa"/>
            <w:tcBorders>
              <w:tl2br w:val="nil"/>
              <w:tr2bl w:val="nil"/>
            </w:tcBorders>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服务</w:t>
            </w:r>
            <w:r>
              <w:rPr>
                <w:rFonts w:hint="eastAsia" w:asciiTheme="minorEastAsia" w:hAnsiTheme="minorEastAsia" w:eastAsiaTheme="minorEastAsia" w:cstheme="minorEastAsia"/>
                <w:b/>
                <w:bCs/>
                <w:color w:val="auto"/>
                <w:kern w:val="0"/>
                <w:sz w:val="21"/>
                <w:szCs w:val="21"/>
                <w:highlight w:val="none"/>
              </w:rPr>
              <w:t>期</w:t>
            </w:r>
          </w:p>
        </w:tc>
        <w:tc>
          <w:tcPr>
            <w:tcW w:w="8107" w:type="dxa"/>
            <w:tcBorders>
              <w:tl2br w:val="nil"/>
              <w:tr2bl w:val="nil"/>
            </w:tcBorders>
            <w:noWrap w:val="0"/>
            <w:vAlign w:val="center"/>
          </w:tcPr>
          <w:p>
            <w:pPr>
              <w:widowControl/>
              <w:numPr>
                <w:ilvl w:val="0"/>
                <w:numId w:val="0"/>
              </w:num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自签订合同之日起3年。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641" w:type="dxa"/>
            <w:tcBorders>
              <w:tl2br w:val="nil"/>
              <w:tr2bl w:val="nil"/>
            </w:tcBorders>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服务地点</w:t>
            </w:r>
          </w:p>
        </w:tc>
        <w:tc>
          <w:tcPr>
            <w:tcW w:w="8107" w:type="dxa"/>
            <w:tcBorders>
              <w:tl2br w:val="nil"/>
              <w:tr2bl w:val="nil"/>
            </w:tcBorders>
            <w:noWrap w:val="0"/>
            <w:vAlign w:val="center"/>
          </w:tcPr>
          <w:p>
            <w:pPr>
              <w:widowControl/>
              <w:spacing w:line="360" w:lineRule="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广西壮族自治区内来宾市采购人指定地点</w:t>
            </w:r>
            <w:r>
              <w:rPr>
                <w:rFonts w:hint="eastAsia" w:asciiTheme="minorEastAsia" w:hAnsiTheme="minorEastAsia" w:eastAsiaTheme="minorEastAsia" w:cstheme="minorEastAsia"/>
                <w:color w:val="auto"/>
                <w:kern w:val="0"/>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641" w:type="dxa"/>
            <w:tcBorders>
              <w:tl2br w:val="nil"/>
              <w:tr2bl w:val="nil"/>
            </w:tcBorders>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付款条件</w:t>
            </w:r>
          </w:p>
        </w:tc>
        <w:tc>
          <w:tcPr>
            <w:tcW w:w="8107" w:type="dxa"/>
            <w:tcBorders>
              <w:tl2br w:val="nil"/>
              <w:tr2bl w:val="nil"/>
            </w:tcBorders>
            <w:noWrap w:val="0"/>
            <w:vAlign w:val="center"/>
          </w:tcPr>
          <w:p>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本项目分六次付款，每年分两次支付（共3年）。维保期开始后第七个月内甲方向乙方支付当年维保费50%，第十三个月内结清上年的维保费，以此类推。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641" w:type="dxa"/>
            <w:tcBorders>
              <w:tl2br w:val="nil"/>
              <w:tr2bl w:val="nil"/>
            </w:tcBorders>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采购要求</w:t>
            </w:r>
          </w:p>
        </w:tc>
        <w:tc>
          <w:tcPr>
            <w:tcW w:w="8107" w:type="dxa"/>
            <w:tcBorders>
              <w:tl2br w:val="nil"/>
              <w:tr2bl w:val="nil"/>
            </w:tcBorders>
            <w:noWrap w:val="0"/>
            <w:vAlign w:val="center"/>
          </w:tcPr>
          <w:p>
            <w:pPr>
              <w:widowControl/>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1.服务响应保障：</w:t>
            </w:r>
          </w:p>
          <w:p>
            <w:pPr>
              <w:widowControl/>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（1）投标供应商须设立有维修站及备件仓库，以保证服务响应、备件供应的快速、及时；投标时提供维修站及备件仓库租赁合同或房产证明等证明材料，否则投标无效；</w:t>
            </w:r>
          </w:p>
          <w:p>
            <w:pPr>
              <w:widowControl/>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（2）提供保修服务期内 24 小时支持电话热线和电话指导服务能力；（24*365 天）；</w:t>
            </w:r>
          </w:p>
          <w:p>
            <w:pPr>
              <w:widowControl/>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2.技术保障：</w:t>
            </w:r>
            <w:r>
              <w:rPr>
                <w:rFonts w:hint="eastAsia" w:asciiTheme="minorEastAsia" w:hAnsiTheme="minorEastAsia" w:eastAsiaTheme="minorEastAsia" w:cstheme="minorEastAsia"/>
                <w:color w:val="auto"/>
                <w:sz w:val="21"/>
                <w:szCs w:val="21"/>
                <w:highlight w:val="none"/>
                <w:lang w:val="en-US" w:eastAsia="zh-CN"/>
              </w:rPr>
              <w:t>投标供应商在广西区内具备专业服务团队，为本项目配备专业的工程师不少于3名。</w:t>
            </w:r>
          </w:p>
          <w:p>
            <w:pPr>
              <w:widowControl/>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3.备件保障：</w:t>
            </w:r>
          </w:p>
          <w:p>
            <w:pPr>
              <w:widowControl/>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投标人具备提供3年维修所有配件和终身提供售后服务的能力，并保证有在72小时内提供备品备件的能力，服务期内设备发生的维修备件一般情况下48小时到达医院，正常情况下最长不超过七个工作日。</w:t>
            </w:r>
          </w:p>
          <w:p>
            <w:pPr>
              <w:widowControl/>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（2）更换的备件为原厂配件，参数与设备兼容；达到厂家运行标准及相应的国家质量标准要求；</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保证供应与原设备能完全匹配的全新备件，更换安装后，不会给设备整体运行带来危害，设备的整机兼容性及参数不低于原设备故障前水平（更换后，供应商提供合法的来源证明或与原厂的购买合同）。保修期内，球管、平板探测器、高压油箱及其它所需要更换的备件全免费，备件保证更换为原厂全新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641" w:type="dxa"/>
            <w:tcBorders>
              <w:tl2br w:val="nil"/>
              <w:tr2bl w:val="nil"/>
            </w:tcBorders>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服务要求</w:t>
            </w:r>
          </w:p>
        </w:tc>
        <w:tc>
          <w:tcPr>
            <w:tcW w:w="8107" w:type="dxa"/>
            <w:tcBorders>
              <w:tl2br w:val="nil"/>
              <w:tr2bl w:val="nil"/>
            </w:tcBorders>
            <w:noWrap w:val="0"/>
            <w:vAlign w:val="center"/>
          </w:tcPr>
          <w:p>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中标供应商必须依据国家现行的有关规范、标准、规程和设备现行标准、规程，对委托内容进行如实检查和维护，对存在问题提出解决方案，完善设备设施，处理解决存在的故障、问题、安全隐患，保障设备的安全正常运行</w:t>
            </w:r>
            <w:r>
              <w:rPr>
                <w:rFonts w:hint="eastAsia" w:asciiTheme="minorEastAsia" w:hAnsiTheme="minorEastAsia" w:eastAsiaTheme="minorEastAsia" w:cstheme="minorEastAsia"/>
                <w:color w:val="auto"/>
                <w:kern w:val="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641" w:type="dxa"/>
            <w:tcBorders>
              <w:tl2br w:val="nil"/>
              <w:tr2bl w:val="nil"/>
            </w:tcBorders>
            <w:noWrap w:val="0"/>
            <w:vAlign w:val="center"/>
          </w:tcPr>
          <w:p>
            <w:pPr>
              <w:widowControl/>
              <w:spacing w:line="360" w:lineRule="auto"/>
              <w:jc w:val="center"/>
              <w:rPr>
                <w:rFonts w:hint="default"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报价要求</w:t>
            </w:r>
          </w:p>
        </w:tc>
        <w:tc>
          <w:tcPr>
            <w:tcW w:w="8107" w:type="dxa"/>
            <w:tcBorders>
              <w:tl2br w:val="nil"/>
              <w:tr2bl w:val="nil"/>
            </w:tcBorders>
            <w:noWrap w:val="0"/>
            <w:vAlign w:val="center"/>
          </w:tcPr>
          <w:p>
            <w:pPr>
              <w:widowControl/>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投标报价为采购人指定地点的现场服务价，包括：</w:t>
            </w:r>
          </w:p>
          <w:p>
            <w:pPr>
              <w:widowControl/>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（1）服务的价格；</w:t>
            </w:r>
          </w:p>
          <w:p>
            <w:pPr>
              <w:widowControl/>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（2）调试、培训、技术支持、售后服务等费用；</w:t>
            </w:r>
          </w:p>
          <w:p>
            <w:pPr>
              <w:widowControl/>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（3）必要的保险费用和各项税费；</w:t>
            </w:r>
          </w:p>
          <w:p>
            <w:pPr>
              <w:widowControl/>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（4）耗材费、运输费（含装卸费、搬运费）、安装调试费；</w:t>
            </w:r>
          </w:p>
          <w:p>
            <w:pPr>
              <w:widowControl/>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（5）到现场验收的费用。</w:t>
            </w:r>
          </w:p>
        </w:tc>
      </w:tr>
    </w:tbl>
    <w:p>
      <w:pPr>
        <w:spacing w:line="320" w:lineRule="exact"/>
        <w:rPr>
          <w:rFonts w:hint="eastAsia" w:ascii="宋体" w:hAnsi="宋体" w:eastAsia="宋体" w:cs="Times New Roman"/>
          <w:color w:val="auto"/>
          <w:highlight w:val="none"/>
        </w:rPr>
      </w:pPr>
    </w:p>
    <w:p>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p>
    <w:p>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p>
    <w:p>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p>
    <w:p>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p>
    <w:p>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p>
    <w:p>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p>
    <w:p>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pPr>
        <w:spacing w:before="7"/>
        <w:rPr>
          <w:rFonts w:hint="eastAsia" w:ascii="宋体" w:hAnsi="宋体" w:eastAsia="宋体" w:cs="宋体"/>
          <w:color w:val="auto"/>
          <w:sz w:val="17"/>
          <w:szCs w:val="17"/>
          <w:highlight w:val="none"/>
        </w:rPr>
      </w:pPr>
    </w:p>
    <w:p>
      <w:pPr>
        <w:pStyle w:val="17"/>
        <w:jc w:val="left"/>
        <w:rPr>
          <w:rFonts w:hint="eastAsia" w:ascii="宋体" w:hAnsi="宋体" w:eastAsia="宋体" w:cs="宋体"/>
          <w:color w:val="auto"/>
          <w:sz w:val="32"/>
          <w:szCs w:val="32"/>
          <w:highlight w:val="none"/>
        </w:rPr>
      </w:pPr>
    </w:p>
    <w:p>
      <w:pPr>
        <w:widowControl/>
        <w:spacing w:before="156" w:beforeLines="50" w:after="156" w:afterLines="50" w:line="280" w:lineRule="exact"/>
        <w:jc w:val="center"/>
        <w:rPr>
          <w:rFonts w:ascii="宋体" w:hAnsi="宋体" w:cs="宋体"/>
          <w:b/>
          <w:bCs/>
          <w:color w:val="auto"/>
          <w:kern w:val="0"/>
          <w:sz w:val="30"/>
          <w:szCs w:val="30"/>
          <w:highlight w:val="none"/>
        </w:rPr>
      </w:pPr>
      <w:bookmarkStart w:id="68" w:name="_Toc28361_WPSOffice_Level2"/>
      <w:r>
        <w:rPr>
          <w:rFonts w:hint="eastAsia" w:ascii="宋体" w:hAnsi="宋体" w:cs="宋体"/>
          <w:b/>
          <w:bCs/>
          <w:color w:val="auto"/>
          <w:kern w:val="0"/>
          <w:sz w:val="30"/>
          <w:szCs w:val="30"/>
          <w:highlight w:val="none"/>
        </w:rPr>
        <w:t>统计上大中小微型企业划分标准</w:t>
      </w:r>
      <w:bookmarkEnd w:id="68"/>
    </w:p>
    <w:tbl>
      <w:tblPr>
        <w:tblStyle w:val="2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280" w:lineRule="exact"/>
        <w:rPr>
          <w:rFonts w:ascii="宋体" w:hAnsi="宋体" w:cs="宋体"/>
          <w:color w:val="auto"/>
          <w:spacing w:val="8"/>
          <w:kern w:val="0"/>
          <w:sz w:val="24"/>
          <w:highlight w:val="none"/>
        </w:rPr>
      </w:pPr>
    </w:p>
    <w:p>
      <w:pPr>
        <w:widowControl/>
        <w:spacing w:line="360" w:lineRule="auto"/>
        <w:rPr>
          <w:rFonts w:hint="eastAsia" w:ascii="宋体" w:hAnsi="宋体" w:cs="宋体"/>
          <w:color w:val="auto"/>
          <w:spacing w:val="8"/>
          <w:kern w:val="0"/>
          <w:szCs w:val="21"/>
          <w:highlight w:val="none"/>
        </w:rPr>
      </w:pPr>
    </w:p>
    <w:p>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pPr>
        <w:pStyle w:val="17"/>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pPr>
        <w:pStyle w:val="17"/>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w:t>
      </w:r>
      <w:r>
        <w:rPr>
          <w:rFonts w:hint="eastAsia" w:hAnsi="宋体" w:cs="宋体"/>
          <w:color w:val="auto"/>
          <w:spacing w:val="8"/>
          <w:kern w:val="0"/>
          <w:szCs w:val="21"/>
          <w:highlight w:val="none"/>
          <w:lang w:val="en-US" w:eastAsia="zh-CN"/>
        </w:rPr>
        <w:t xml:space="preserve"> </w:t>
      </w:r>
      <w:r>
        <w:rPr>
          <w:rFonts w:hint="eastAsia" w:hAnsi="宋体" w:cs="宋体"/>
          <w:color w:val="auto"/>
          <w:spacing w:val="8"/>
          <w:kern w:val="0"/>
          <w:szCs w:val="21"/>
          <w:highlight w:val="none"/>
        </w:rPr>
        <w: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7"/>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rFonts w:hint="eastAsia" w:ascii="Times New Roman" w:hAnsi="Times New Roman" w:eastAsia="宋体" w:cs="Times New Roman"/>
          <w:b/>
          <w:color w:val="auto"/>
          <w:sz w:val="36"/>
          <w:highlight w:val="none"/>
        </w:rPr>
      </w:pPr>
      <w:bookmarkStart w:id="69" w:name="_Toc6362"/>
      <w:bookmarkStart w:id="70" w:name="_Toc24489"/>
      <w:bookmarkStart w:id="71" w:name="_Toc29172"/>
      <w:bookmarkStart w:id="72" w:name="_Toc3325"/>
      <w:bookmarkStart w:id="73" w:name="_Toc9063"/>
      <w:bookmarkStart w:id="74" w:name="_Toc8975"/>
      <w:bookmarkStart w:id="75" w:name="_Toc28587"/>
      <w:bookmarkStart w:id="76" w:name="_Toc496"/>
      <w:bookmarkStart w:id="77" w:name="_Toc532545044"/>
      <w:bookmarkStart w:id="78" w:name="_Toc26039"/>
      <w:r>
        <w:rPr>
          <w:rFonts w:hint="eastAsia" w:ascii="Times New Roman" w:hAnsi="Times New Roman" w:eastAsia="宋体" w:cs="Times New Roman"/>
          <w:b/>
          <w:color w:val="auto"/>
          <w:sz w:val="36"/>
          <w:highlight w:val="none"/>
        </w:rPr>
        <w:br w:type="page"/>
      </w:r>
    </w:p>
    <w:p>
      <w:pPr>
        <w:pStyle w:val="17"/>
        <w:jc w:val="center"/>
        <w:outlineLvl w:val="0"/>
        <w:rPr>
          <w:rFonts w:hint="eastAsia" w:hAnsi="宋体" w:eastAsia="宋体" w:cs="Times New Roman"/>
          <w:b/>
          <w:color w:val="auto"/>
          <w:sz w:val="36"/>
          <w:szCs w:val="36"/>
          <w:highlight w:val="none"/>
        </w:rPr>
      </w:pPr>
      <w:bookmarkStart w:id="79" w:name="_Toc20953"/>
      <w:bookmarkStart w:id="80" w:name="_Toc15364"/>
      <w:bookmarkStart w:id="81" w:name="_Toc20085"/>
      <w:bookmarkStart w:id="82" w:name="_Toc26044"/>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69"/>
      <w:bookmarkEnd w:id="70"/>
      <w:bookmarkEnd w:id="71"/>
      <w:bookmarkEnd w:id="72"/>
      <w:bookmarkEnd w:id="73"/>
      <w:bookmarkEnd w:id="74"/>
      <w:bookmarkEnd w:id="75"/>
      <w:bookmarkEnd w:id="76"/>
      <w:bookmarkEnd w:id="77"/>
      <w:bookmarkEnd w:id="78"/>
      <w:bookmarkEnd w:id="79"/>
      <w:bookmarkEnd w:id="80"/>
      <w:bookmarkEnd w:id="81"/>
      <w:bookmarkEnd w:id="82"/>
    </w:p>
    <w:p>
      <w:pPr>
        <w:pStyle w:val="17"/>
        <w:spacing w:line="720" w:lineRule="auto"/>
        <w:jc w:val="center"/>
        <w:outlineLvl w:val="1"/>
        <w:rPr>
          <w:rFonts w:hint="eastAsia" w:ascii="Times New Roman" w:hAnsi="Times New Roman" w:eastAsia="宋体" w:cs="Times New Roman"/>
          <w:b/>
          <w:color w:val="auto"/>
          <w:sz w:val="30"/>
          <w:szCs w:val="30"/>
          <w:highlight w:val="none"/>
        </w:rPr>
      </w:pPr>
      <w:bookmarkStart w:id="83" w:name="_Toc4562"/>
      <w:bookmarkStart w:id="84" w:name="_Toc16388"/>
      <w:bookmarkStart w:id="85" w:name="_Toc24714"/>
      <w:bookmarkStart w:id="86" w:name="_Toc11515"/>
      <w:bookmarkStart w:id="87" w:name="_Toc8769"/>
      <w:bookmarkStart w:id="88" w:name="_Toc1597"/>
      <w:bookmarkStart w:id="89" w:name="_Toc10039"/>
      <w:bookmarkStart w:id="90" w:name="_Toc32208"/>
      <w:bookmarkStart w:id="91" w:name="_Toc29813"/>
      <w:bookmarkStart w:id="92" w:name="_Toc29809"/>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83"/>
      <w:bookmarkEnd w:id="84"/>
      <w:bookmarkEnd w:id="85"/>
      <w:bookmarkEnd w:id="86"/>
      <w:bookmarkEnd w:id="87"/>
      <w:bookmarkEnd w:id="88"/>
      <w:bookmarkEnd w:id="89"/>
      <w:bookmarkEnd w:id="90"/>
      <w:bookmarkEnd w:id="91"/>
      <w:bookmarkEnd w:id="92"/>
    </w:p>
    <w:tbl>
      <w:tblPr>
        <w:tblStyle w:val="24"/>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3"/>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93" w:name="_9.2"/>
            <w:bookmarkEnd w:id="93"/>
            <w:bookmarkStart w:id="94" w:name="_8.1"/>
            <w:bookmarkEnd w:id="94"/>
            <w:bookmarkStart w:id="95" w:name="_5"/>
            <w:bookmarkEnd w:id="95"/>
            <w:r>
              <w:rPr>
                <w:rFonts w:hint="eastAsia" w:ascii="宋体" w:hAnsi="宋体" w:eastAsia="宋体" w:cs="宋体"/>
                <w:color w:val="auto"/>
                <w:sz w:val="21"/>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3"/>
              <w:spacing w:line="380" w:lineRule="exact"/>
              <w:rPr>
                <w:rFonts w:hint="eastAsia" w:ascii="宋体" w:hAnsi="宋体" w:eastAsia="宋体" w:cs="宋体"/>
                <w:color w:val="auto"/>
                <w:sz w:val="21"/>
                <w:szCs w:val="21"/>
                <w:highlight w:val="none"/>
              </w:rPr>
            </w:pPr>
            <w:bookmarkStart w:id="96" w:name="PO_3000001866_PM007"/>
            <w:r>
              <w:rPr>
                <w:rFonts w:hint="eastAsia" w:ascii="宋体" w:hAnsi="宋体" w:cs="宋体"/>
                <w:color w:val="auto"/>
                <w:szCs w:val="21"/>
                <w:highlight w:val="none"/>
              </w:rPr>
              <w:t>详见招标公告。</w:t>
            </w:r>
            <w:bookmarkEnd w:id="9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3"/>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无</w:t>
            </w:r>
            <w:r>
              <w:rPr>
                <w:rFonts w:hint="eastAsia" w:ascii="宋体" w:hAnsi="宋体" w:eastAsia="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3"/>
              <w:spacing w:line="380" w:lineRule="exact"/>
              <w:rPr>
                <w:rFonts w:hint="eastAsia" w:ascii="宋体" w:hAnsi="宋体" w:eastAsia="宋体" w:cs="宋体"/>
                <w:color w:val="auto"/>
                <w:sz w:val="21"/>
                <w:szCs w:val="21"/>
                <w:highlight w:val="none"/>
                <w:lang w:eastAsia="zh-CN"/>
              </w:rPr>
            </w:pPr>
            <w:bookmarkStart w:id="97"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97"/>
          </w:p>
          <w:p>
            <w:pPr>
              <w:pStyle w:val="13"/>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pPr>
              <w:pStyle w:val="13"/>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bookmarkStart w:id="98" w:name="_13.2"/>
            <w:bookmarkEnd w:id="98"/>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Cs w:val="21"/>
                <w:highlight w:val="none"/>
              </w:rPr>
            </w:pPr>
            <w:bookmarkStart w:id="99" w:name="OLE_LINK7"/>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bookmarkStart w:id="100" w:name="OLE_LINK24"/>
            <w:r>
              <w:rPr>
                <w:rFonts w:hint="eastAsia" w:ascii="宋体" w:hAnsi="宋体" w:eastAsia="宋体" w:cs="宋体"/>
                <w:color w:val="auto"/>
                <w:szCs w:val="21"/>
                <w:highlight w:val="none"/>
              </w:rPr>
              <w:t>投标人为法人或者其他组织的，提供营业执照等证明文件</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（如营业执照或者事业单位法人证书或者</w:t>
            </w:r>
            <w:r>
              <w:rPr>
                <w:rFonts w:hint="eastAsia" w:ascii="宋体" w:hAnsi="宋体" w:eastAsia="宋体" w:cs="宋体"/>
                <w:color w:val="auto"/>
                <w:szCs w:val="21"/>
                <w:highlight w:val="none"/>
                <w:lang w:val="zh-CN"/>
              </w:rPr>
              <w:t>执业许可证</w:t>
            </w:r>
            <w:r>
              <w:rPr>
                <w:rFonts w:hint="eastAsia" w:ascii="宋体" w:hAnsi="宋体" w:eastAsia="宋体" w:cs="宋体"/>
                <w:color w:val="auto"/>
                <w:szCs w:val="21"/>
                <w:highlight w:val="none"/>
              </w:rPr>
              <w:t>等），投标人为自然人的，提供</w:t>
            </w:r>
            <w:r>
              <w:rPr>
                <w:rFonts w:hint="eastAsia" w:ascii="宋体" w:hAnsi="宋体" w:eastAsia="宋体" w:cs="宋体"/>
                <w:color w:val="auto"/>
                <w:szCs w:val="21"/>
                <w:highlight w:val="none"/>
                <w:lang w:eastAsia="zh-CN"/>
              </w:rPr>
              <w:t>有效</w:t>
            </w:r>
            <w:r>
              <w:rPr>
                <w:rFonts w:hint="eastAsia" w:ascii="宋体" w:hAnsi="宋体" w:eastAsia="宋体" w:cs="宋体"/>
                <w:color w:val="auto"/>
                <w:szCs w:val="21"/>
                <w:highlight w:val="none"/>
              </w:rPr>
              <w:t>身份证</w:t>
            </w:r>
            <w:r>
              <w:rPr>
                <w:rFonts w:hint="eastAsia" w:ascii="宋体" w:hAnsi="宋体" w:eastAsia="宋体" w:cs="宋体"/>
                <w:color w:val="auto"/>
                <w:szCs w:val="21"/>
                <w:highlight w:val="none"/>
                <w:lang w:eastAsia="zh-CN"/>
              </w:rPr>
              <w:t>正反面</w:t>
            </w:r>
            <w:r>
              <w:rPr>
                <w:rFonts w:hint="eastAsia" w:ascii="宋体" w:hAnsi="宋体" w:eastAsia="宋体" w:cs="宋体"/>
                <w:color w:val="auto"/>
                <w:szCs w:val="21"/>
                <w:highlight w:val="none"/>
              </w:rPr>
              <w:t>复印件</w:t>
            </w:r>
            <w:bookmarkEnd w:id="100"/>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bookmarkEnd w:id="99"/>
          </w:p>
          <w:p>
            <w:pPr>
              <w:snapToGrid w:val="0"/>
              <w:spacing w:line="380" w:lineRule="exact"/>
              <w:jc w:val="left"/>
              <w:rPr>
                <w:rFonts w:hint="eastAsia" w:ascii="宋体" w:hAnsi="宋体" w:eastAsia="宋体" w:cs="宋体"/>
                <w:color w:val="auto"/>
                <w:szCs w:val="21"/>
                <w:highlight w:val="none"/>
              </w:rPr>
            </w:pPr>
            <w:bookmarkStart w:id="101" w:name="OLE_LINK8"/>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bookmarkStart w:id="102" w:name="OLE_LINK25"/>
            <w:r>
              <w:rPr>
                <w:rFonts w:hint="eastAsia" w:ascii="宋体" w:hAnsi="宋体" w:eastAsia="宋体" w:cs="宋体"/>
                <w:color w:val="auto"/>
                <w:szCs w:val="21"/>
                <w:highlight w:val="none"/>
              </w:rPr>
              <w:t>投标人依法缴纳税收的相关材料（</w:t>
            </w:r>
            <w:r>
              <w:rPr>
                <w:rFonts w:hint="eastAsia" w:ascii="宋体" w:hAnsi="宋体" w:eastAsia="宋体" w:cs="宋体"/>
                <w:color w:val="auto"/>
                <w:szCs w:val="21"/>
                <w:highlight w:val="none"/>
                <w:u w:val="single"/>
                <w:lang w:val="en-US" w:eastAsia="zh-CN"/>
              </w:rPr>
              <w:t>提供税款所属时期为2024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月至</w:t>
            </w:r>
            <w:r>
              <w:rPr>
                <w:rFonts w:hint="eastAsia" w:ascii="宋体" w:hAnsi="宋体" w:eastAsia="宋体" w:cs="宋体"/>
                <w:color w:val="auto"/>
                <w:sz w:val="21"/>
                <w:szCs w:val="21"/>
                <w:highlight w:val="none"/>
                <w:u w:val="single"/>
              </w:rPr>
              <w:t>投标文件提交截止时间止</w:t>
            </w:r>
            <w:r>
              <w:rPr>
                <w:rFonts w:hint="eastAsia" w:ascii="宋体" w:hAnsi="宋体" w:eastAsia="宋体" w:cs="宋体"/>
                <w:color w:val="auto"/>
                <w:sz w:val="21"/>
                <w:szCs w:val="21"/>
                <w:highlight w:val="none"/>
                <w:u w:val="single"/>
                <w:lang w:val="en-US" w:eastAsia="zh-CN"/>
              </w:rPr>
              <w:t>的</w:t>
            </w:r>
            <w:r>
              <w:rPr>
                <w:rFonts w:hint="eastAsia" w:ascii="宋体" w:hAnsi="宋体" w:eastAsia="宋体" w:cs="宋体"/>
                <w:color w:val="auto"/>
                <w:szCs w:val="21"/>
                <w:highlight w:val="none"/>
                <w:u w:val="single"/>
                <w:lang w:eastAsia="zh-CN"/>
              </w:rPr>
              <w:t>任意</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个月</w:t>
            </w:r>
            <w:r>
              <w:rPr>
                <w:rFonts w:hint="eastAsia" w:ascii="宋体" w:hAnsi="宋体" w:eastAsia="宋体" w:cs="宋体"/>
                <w:color w:val="auto"/>
                <w:szCs w:val="21"/>
                <w:highlight w:val="none"/>
              </w:rPr>
              <w:t>的依法缴纳税收的凭据复印件；依法免税的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，必须提供相应文件证明其依法免税。从取得营业执照时间起到投标文件提交截止时间为止不足要求月数的，只需提供从取得营业执照起的依法缴纳税收相应证明文件）</w:t>
            </w:r>
            <w:bookmarkEnd w:id="102"/>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bookmarkEnd w:id="101"/>
          </w:p>
          <w:p>
            <w:pPr>
              <w:snapToGrid w:val="0"/>
              <w:spacing w:line="380" w:lineRule="exact"/>
              <w:jc w:val="left"/>
              <w:rPr>
                <w:rFonts w:hint="eastAsia" w:ascii="宋体" w:hAnsi="宋体" w:eastAsia="宋体" w:cs="宋体"/>
                <w:color w:val="auto"/>
                <w:szCs w:val="21"/>
                <w:highlight w:val="none"/>
              </w:rPr>
            </w:pPr>
            <w:bookmarkStart w:id="103" w:name="OLE_LINK9"/>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bookmarkStart w:id="104" w:name="OLE_LINK26"/>
            <w:r>
              <w:rPr>
                <w:rFonts w:hint="eastAsia" w:ascii="宋体" w:hAnsi="宋体" w:eastAsia="宋体" w:cs="宋体"/>
                <w:color w:val="auto"/>
                <w:szCs w:val="21"/>
                <w:highlight w:val="none"/>
              </w:rPr>
              <w:t>投标人依法缴纳社会保障资金的相关材料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提供税款所属时期或缴费起始时间为2024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月至</w:t>
            </w:r>
            <w:r>
              <w:rPr>
                <w:rFonts w:hint="eastAsia" w:ascii="宋体" w:hAnsi="宋体" w:eastAsia="宋体" w:cs="宋体"/>
                <w:color w:val="auto"/>
                <w:sz w:val="21"/>
                <w:szCs w:val="21"/>
                <w:highlight w:val="none"/>
                <w:u w:val="single"/>
              </w:rPr>
              <w:t>投标文件提交截止时间止</w:t>
            </w:r>
            <w:r>
              <w:rPr>
                <w:rFonts w:hint="eastAsia" w:ascii="宋体" w:hAnsi="宋体" w:eastAsia="宋体" w:cs="宋体"/>
                <w:color w:val="auto"/>
                <w:sz w:val="21"/>
                <w:szCs w:val="21"/>
                <w:highlight w:val="none"/>
                <w:u w:val="single"/>
                <w:lang w:val="en-US" w:eastAsia="zh-CN"/>
              </w:rPr>
              <w:t>的</w:t>
            </w:r>
            <w:r>
              <w:rPr>
                <w:rFonts w:hint="eastAsia" w:ascii="宋体" w:hAnsi="宋体" w:eastAsia="宋体" w:cs="宋体"/>
                <w:color w:val="auto"/>
                <w:szCs w:val="21"/>
                <w:highlight w:val="none"/>
                <w:u w:val="single"/>
                <w:lang w:eastAsia="zh-CN"/>
              </w:rPr>
              <w:t>任意</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个月</w:t>
            </w:r>
            <w:r>
              <w:rPr>
                <w:rFonts w:hint="eastAsia" w:ascii="宋体" w:hAnsi="宋体" w:eastAsia="宋体" w:cs="宋体"/>
                <w:color w:val="auto"/>
                <w:szCs w:val="21"/>
                <w:highlight w:val="none"/>
              </w:rPr>
              <w:t>的依法缴纳社会保障资金的缴费凭证复印件；依法不需要缴纳社会保障资金的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color w:val="auto"/>
                <w:szCs w:val="21"/>
                <w:highlight w:val="none"/>
                <w:lang w:eastAsia="zh-CN"/>
              </w:rPr>
              <w:t>）</w:t>
            </w:r>
            <w:bookmarkEnd w:id="104"/>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bookmarkEnd w:id="103"/>
          </w:p>
          <w:p>
            <w:pPr>
              <w:snapToGrid w:val="0"/>
              <w:spacing w:line="380" w:lineRule="exact"/>
              <w:jc w:val="left"/>
              <w:rPr>
                <w:rFonts w:hint="eastAsia" w:ascii="宋体" w:hAnsi="宋体" w:eastAsia="宋体" w:cs="宋体"/>
                <w:color w:val="auto"/>
                <w:szCs w:val="21"/>
                <w:highlight w:val="none"/>
              </w:rPr>
            </w:pPr>
            <w:bookmarkStart w:id="105" w:name="OLE_LINK10"/>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bookmarkStart w:id="106" w:name="OLE_LINK27"/>
            <w:r>
              <w:rPr>
                <w:rFonts w:hint="eastAsia" w:ascii="宋体" w:hAnsi="宋体" w:eastAsia="宋体" w:cs="宋体"/>
                <w:color w:val="auto"/>
                <w:szCs w:val="21"/>
                <w:highlight w:val="none"/>
              </w:rPr>
              <w:t>投标人财务状况报告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u w:val="single"/>
                <w:lang w:val="en-US" w:eastAsia="zh-CN"/>
              </w:rPr>
              <w:t>2023</w:t>
            </w:r>
            <w:r>
              <w:rPr>
                <w:rFonts w:hint="eastAsia" w:ascii="宋体" w:hAnsi="宋体" w:cs="宋体"/>
                <w:color w:val="auto"/>
                <w:szCs w:val="21"/>
                <w:highlight w:val="none"/>
                <w:u w:val="single"/>
                <w:lang w:val="en-US" w:eastAsia="zh-CN"/>
              </w:rPr>
              <w:t>或2024</w:t>
            </w:r>
            <w:r>
              <w:rPr>
                <w:rFonts w:hint="eastAsia" w:ascii="宋体" w:hAnsi="宋体" w:eastAsia="宋体" w:cs="宋体"/>
                <w:color w:val="auto"/>
                <w:szCs w:val="21"/>
                <w:highlight w:val="none"/>
              </w:rPr>
              <w:t>年度经审计的财务报告</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截标时间前半年内至少一个月能反映财务状况的报表或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投标人自拟的截标时间前半年内至少一个月的财务情况说明</w:t>
            </w:r>
            <w:r>
              <w:rPr>
                <w:rFonts w:hint="eastAsia" w:ascii="宋体" w:hAnsi="宋体" w:eastAsia="宋体" w:cs="宋体"/>
                <w:color w:val="auto"/>
                <w:szCs w:val="21"/>
                <w:highlight w:val="none"/>
                <w:lang w:eastAsia="zh-CN"/>
              </w:rPr>
              <w:t>）</w:t>
            </w:r>
            <w:bookmarkEnd w:id="106"/>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bookmarkEnd w:id="105"/>
          </w:p>
          <w:p>
            <w:pPr>
              <w:numPr>
                <w:ilvl w:val="0"/>
                <w:numId w:val="0"/>
              </w:numPr>
              <w:snapToGrid w:val="0"/>
              <w:spacing w:line="380" w:lineRule="exact"/>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无</w:t>
            </w:r>
            <w:r>
              <w:rPr>
                <w:rFonts w:hint="eastAsia" w:ascii="宋体" w:hAnsi="宋体" w:eastAsia="宋体" w:cs="宋体"/>
                <w:color w:val="auto"/>
                <w:szCs w:val="21"/>
                <w:highlight w:val="none"/>
                <w:lang w:eastAsia="zh-CN"/>
              </w:rPr>
              <w:t>。</w:t>
            </w:r>
          </w:p>
          <w:p>
            <w:pPr>
              <w:numPr>
                <w:ilvl w:val="0"/>
                <w:numId w:val="0"/>
              </w:numPr>
              <w:snapToGrid w:val="0"/>
              <w:spacing w:line="380" w:lineRule="exact"/>
              <w:ind w:leftChars="0"/>
              <w:jc w:val="left"/>
              <w:rPr>
                <w:rFonts w:hint="eastAsia" w:ascii="宋体" w:hAnsi="宋体" w:eastAsia="宋体" w:cs="宋体"/>
                <w:color w:val="auto"/>
                <w:sz w:val="21"/>
                <w:szCs w:val="21"/>
                <w:highlight w:val="none"/>
              </w:rPr>
            </w:pPr>
            <w:bookmarkStart w:id="107" w:name="OLE_LINK11"/>
            <w:r>
              <w:rPr>
                <w:rFonts w:hint="eastAsia" w:ascii="宋体" w:hAnsi="宋体" w:cs="宋体"/>
                <w:color w:val="auto"/>
                <w:sz w:val="21"/>
                <w:szCs w:val="21"/>
                <w:highlight w:val="none"/>
                <w:lang w:val="en-US" w:eastAsia="zh-CN"/>
              </w:rPr>
              <w:t>6.</w:t>
            </w:r>
            <w:bookmarkStart w:id="108" w:name="OLE_LINK28"/>
            <w:r>
              <w:rPr>
                <w:rFonts w:hint="eastAsia" w:ascii="宋体" w:hAnsi="宋体" w:eastAsia="宋体" w:cs="宋体"/>
                <w:color w:val="auto"/>
                <w:sz w:val="21"/>
                <w:szCs w:val="21"/>
                <w:highlight w:val="none"/>
              </w:rPr>
              <w:t>声明函（格式后附）</w:t>
            </w:r>
            <w:bookmarkEnd w:id="108"/>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bookmarkEnd w:id="107"/>
          </w:p>
          <w:p>
            <w:pPr>
              <w:snapToGrid w:val="0"/>
              <w:spacing w:line="380" w:lineRule="exact"/>
              <w:jc w:val="left"/>
              <w:rPr>
                <w:rFonts w:hint="default" w:ascii="宋体" w:hAnsi="宋体" w:cs="Times New Roman"/>
                <w:b/>
                <w:bCs/>
                <w:color w:val="auto"/>
                <w:szCs w:val="21"/>
                <w:highlight w:val="none"/>
                <w:lang w:val="en-US" w:eastAsia="zh-CN"/>
              </w:rPr>
            </w:pPr>
            <w:bookmarkStart w:id="109" w:name="OLE_LINK12"/>
            <w:r>
              <w:rPr>
                <w:rFonts w:hint="eastAsia" w:ascii="宋体" w:hAnsi="宋体" w:cs="Times New Roman"/>
                <w:color w:val="auto"/>
                <w:szCs w:val="21"/>
                <w:highlight w:val="none"/>
                <w:lang w:val="en-US" w:eastAsia="zh-CN"/>
              </w:rPr>
              <w:t>7.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Times New Roman"/>
                <w:b/>
                <w:bCs/>
                <w:color w:val="auto"/>
                <w:szCs w:val="21"/>
                <w:highlight w:val="none"/>
                <w:lang w:val="en-US" w:eastAsia="zh-CN"/>
              </w:rPr>
              <w:t>（必须提供，否则作无效投标处理）</w:t>
            </w:r>
          </w:p>
          <w:bookmarkEnd w:id="109"/>
          <w:p>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联合体投标协议书（格式后附）。</w:t>
            </w:r>
            <w:r>
              <w:rPr>
                <w:rFonts w:hint="eastAsia" w:ascii="宋体" w:hAnsi="宋体" w:eastAsia="宋体" w:cs="Times New Roman"/>
                <w:b/>
                <w:bCs/>
                <w:color w:val="auto"/>
                <w:szCs w:val="21"/>
                <w:highlight w:val="none"/>
              </w:rPr>
              <w:t>（联合体投标时必须提供，否则作无效投标处理）</w:t>
            </w:r>
          </w:p>
          <w:p>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除招标文件规定必须提供以外，投标人认为需要提供的其他证明材料（格式自拟）。</w:t>
            </w:r>
          </w:p>
          <w:p>
            <w:pPr>
              <w:snapToGrid w:val="0"/>
              <w:spacing w:line="38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p>
            <w:pPr>
              <w:snapToGrid w:val="0"/>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.联合体投标时，第1-5项资格证明文件联合体各方均必须分别提供，联合体各方分别盖章，否则投标文件</w:t>
            </w:r>
            <w:r>
              <w:rPr>
                <w:rFonts w:hint="eastAsia" w:ascii="宋体" w:hAnsi="宋体" w:cs="宋体"/>
                <w:b/>
                <w:bCs/>
                <w:color w:val="auto"/>
                <w:szCs w:val="21"/>
                <w:highlight w:val="none"/>
                <w:lang w:eastAsia="zh-CN"/>
              </w:rPr>
              <w:t>作无效投标</w:t>
            </w:r>
            <w:r>
              <w:rPr>
                <w:rFonts w:hint="eastAsia" w:ascii="宋体" w:hAnsi="宋体" w:cs="宋体"/>
                <w:b/>
                <w:bCs/>
                <w:color w:val="auto"/>
                <w:szCs w:val="21"/>
                <w:highlight w:val="none"/>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bookmarkStart w:id="110" w:name="_13.3"/>
            <w:bookmarkEnd w:id="110"/>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bookmarkStart w:id="111" w:name="OLE_LINK30"/>
            <w:bookmarkStart w:id="112" w:name="OLE_LINK13"/>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bookmarkStart w:id="113" w:name="OLE_LINK29"/>
            <w:r>
              <w:rPr>
                <w:rFonts w:hint="eastAsia" w:ascii="宋体" w:hAnsi="宋体" w:eastAsia="宋体" w:cs="宋体"/>
                <w:color w:val="auto"/>
                <w:sz w:val="21"/>
                <w:szCs w:val="21"/>
                <w:highlight w:val="none"/>
              </w:rPr>
              <w:t>无串通投标行为的承诺函（格式后附）</w:t>
            </w:r>
            <w:bookmarkEnd w:id="111"/>
            <w:bookmarkEnd w:id="113"/>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bookmarkEnd w:id="112"/>
          </w:p>
          <w:p>
            <w:pPr>
              <w:snapToGrid w:val="0"/>
              <w:spacing w:line="380" w:lineRule="exact"/>
              <w:jc w:val="left"/>
              <w:rPr>
                <w:rFonts w:hint="eastAsia" w:ascii="宋体" w:hAnsi="宋体" w:eastAsia="宋体" w:cs="宋体"/>
                <w:color w:val="auto"/>
                <w:sz w:val="21"/>
                <w:szCs w:val="21"/>
                <w:highlight w:val="none"/>
              </w:rPr>
            </w:pPr>
            <w:bookmarkStart w:id="114" w:name="OLE_LINK31"/>
            <w:bookmarkStart w:id="115" w:name="OLE_LINK14"/>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法定代表人身份证明及法定代表人有效身份证正反面复印件</w:t>
            </w:r>
            <w:bookmarkEnd w:id="114"/>
            <w:r>
              <w:rPr>
                <w:rFonts w:hint="eastAsia" w:ascii="宋体" w:hAnsi="宋体" w:eastAsia="宋体" w:cs="宋体"/>
                <w:color w:val="auto"/>
                <w:sz w:val="21"/>
                <w:szCs w:val="21"/>
                <w:highlight w:val="none"/>
              </w:rPr>
              <w:t>（格式后附）；（</w:t>
            </w:r>
            <w:bookmarkStart w:id="116" w:name="OLE_LINK32"/>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bookmarkEnd w:id="116"/>
            <w:r>
              <w:rPr>
                <w:rFonts w:hint="eastAsia" w:ascii="宋体" w:hAnsi="宋体" w:eastAsia="宋体" w:cs="宋体"/>
                <w:color w:val="auto"/>
                <w:sz w:val="21"/>
                <w:szCs w:val="21"/>
                <w:highlight w:val="none"/>
              </w:rPr>
              <w:t>）</w:t>
            </w:r>
          </w:p>
          <w:bookmarkEnd w:id="115"/>
          <w:p>
            <w:pPr>
              <w:snapToGrid w:val="0"/>
              <w:spacing w:line="380" w:lineRule="exact"/>
              <w:jc w:val="left"/>
              <w:rPr>
                <w:rFonts w:hint="eastAsia" w:ascii="宋体" w:hAnsi="宋体" w:eastAsia="宋体" w:cs="宋体"/>
                <w:color w:val="auto"/>
                <w:sz w:val="21"/>
                <w:szCs w:val="21"/>
                <w:highlight w:val="none"/>
              </w:rPr>
            </w:pPr>
            <w:bookmarkStart w:id="117" w:name="OLE_LINK33"/>
            <w:bookmarkStart w:id="118" w:name="OLE_LINK15"/>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法定代表人授权委托书及委托代理人有效身份证正反面复印件</w:t>
            </w:r>
            <w:bookmarkEnd w:id="117"/>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bookmarkEnd w:id="118"/>
          </w:p>
          <w:p>
            <w:pPr>
              <w:pStyle w:val="2"/>
              <w:rPr>
                <w:rFonts w:hint="eastAsia" w:ascii="宋体" w:hAnsi="宋体" w:cs="宋体"/>
                <w:color w:val="auto"/>
                <w:sz w:val="21"/>
                <w:szCs w:val="21"/>
                <w:highlight w:val="none"/>
              </w:rPr>
            </w:pPr>
            <w:bookmarkStart w:id="119" w:name="OLE_LINK34"/>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投标保证金提交凭证</w:t>
            </w:r>
            <w:bookmarkEnd w:id="119"/>
            <w:r>
              <w:rPr>
                <w:rFonts w:hint="eastAsia" w:ascii="宋体" w:hAnsi="宋体" w:eastAsia="宋体" w:cs="宋体"/>
                <w:color w:val="auto"/>
                <w:sz w:val="21"/>
                <w:szCs w:val="21"/>
                <w:highlight w:val="none"/>
                <w:lang w:eastAsia="zh-CN"/>
              </w:rPr>
              <w:t>；</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如有要求，则</w:t>
            </w:r>
            <w:r>
              <w:rPr>
                <w:rFonts w:hint="eastAsia" w:ascii="宋体" w:hAnsi="宋体" w:cs="宋体"/>
                <w:b/>
                <w:bCs/>
                <w:color w:val="auto"/>
                <w:sz w:val="21"/>
                <w:szCs w:val="21"/>
                <w:highlight w:val="none"/>
              </w:rPr>
              <w:t>必须提供，否则作无效投标处理）</w:t>
            </w:r>
          </w:p>
          <w:p>
            <w:pPr>
              <w:snapToGrid w:val="0"/>
              <w:spacing w:line="380" w:lineRule="exact"/>
              <w:jc w:val="left"/>
              <w:rPr>
                <w:rFonts w:hint="eastAsia" w:ascii="宋体" w:hAnsi="宋体" w:eastAsia="宋体" w:cs="宋体"/>
                <w:color w:val="auto"/>
                <w:sz w:val="21"/>
                <w:szCs w:val="21"/>
                <w:highlight w:val="none"/>
              </w:rPr>
            </w:pPr>
            <w:bookmarkStart w:id="120" w:name="OLE_LINK35"/>
            <w:bookmarkStart w:id="121" w:name="OLE_LINK17"/>
            <w:bookmarkStart w:id="122" w:name="OLE_LINK23"/>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商务条款偏离表</w:t>
            </w:r>
            <w:bookmarkEnd w:id="120"/>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bookmarkEnd w:id="121"/>
          </w:p>
          <w:bookmarkEnd w:id="122"/>
          <w:p>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投标人情况介绍（格式自拟）；</w:t>
            </w:r>
          </w:p>
          <w:p>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除招标文件规定必须提供以外，投标人认为需要提供的其他证明材料（格式自拟）。（投标人根据“第二章 采购需求”及“第四章 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评标标准”提供有关证明材料）。</w:t>
            </w:r>
          </w:p>
          <w:p>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1.法定代表人授权委托书必须由法定代表人及委托代理人签字，并加盖投标人公章，否则作无效投标处理。</w:t>
            </w:r>
          </w:p>
          <w:p>
            <w:pPr>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bookmarkStart w:id="123" w:name="_13.4"/>
            <w:bookmarkEnd w:id="123"/>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bookmarkStart w:id="124" w:name="OLE_LINK36"/>
            <w:bookmarkStart w:id="125" w:name="OLE_LINK18"/>
            <w:bookmarkStart w:id="126" w:name="OLE_LINK40"/>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技术要求偏离表</w:t>
            </w:r>
            <w:bookmarkEnd w:id="124"/>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bookmarkEnd w:id="125"/>
          </w:p>
          <w:bookmarkEnd w:id="126"/>
          <w:p>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售后服务方案（格式自拟）；</w:t>
            </w:r>
          </w:p>
          <w:p>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项目实施人员一览表（格式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p>
          <w:p>
            <w:pPr>
              <w:snapToGrid w:val="0"/>
              <w:spacing w:line="38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tabs>
                <w:tab w:val="left" w:pos="459"/>
              </w:tabs>
              <w:snapToGrid w:val="0"/>
              <w:spacing w:line="360" w:lineRule="auto"/>
              <w:jc w:val="left"/>
              <w:rPr>
                <w:rFonts w:hint="eastAsia" w:ascii="宋体" w:hAnsi="宋体" w:eastAsia="宋体" w:cs="宋体"/>
                <w:color w:val="auto"/>
                <w:sz w:val="21"/>
                <w:szCs w:val="21"/>
                <w:highlight w:val="none"/>
              </w:rPr>
            </w:pPr>
            <w:bookmarkStart w:id="127" w:name="OLE_LINK37"/>
            <w:bookmarkStart w:id="128" w:name="OLE_LINK21"/>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投标函</w:t>
            </w:r>
            <w:bookmarkEnd w:id="127"/>
            <w:r>
              <w:rPr>
                <w:rFonts w:hint="eastAsia" w:ascii="宋体" w:hAnsi="宋体" w:eastAsia="宋体" w:cs="宋体"/>
                <w:color w:val="auto"/>
                <w:sz w:val="21"/>
                <w:szCs w:val="21"/>
                <w:highlight w:val="none"/>
              </w:rPr>
              <w:t>（格式后附）；</w:t>
            </w:r>
            <w:r>
              <w:rPr>
                <w:rFonts w:hint="eastAsia" w:ascii="宋体" w:hAnsi="宋体" w:eastAsia="宋体" w:cs="宋体"/>
                <w:b w:val="0"/>
                <w:bCs/>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b w:val="0"/>
                <w:bCs/>
                <w:color w:val="auto"/>
                <w:sz w:val="21"/>
                <w:szCs w:val="21"/>
                <w:highlight w:val="none"/>
              </w:rPr>
              <w:t>）</w:t>
            </w:r>
            <w:bookmarkEnd w:id="128"/>
          </w:p>
          <w:p>
            <w:pPr>
              <w:tabs>
                <w:tab w:val="left" w:pos="459"/>
              </w:tabs>
              <w:snapToGrid w:val="0"/>
              <w:spacing w:line="360" w:lineRule="auto"/>
              <w:jc w:val="left"/>
              <w:rPr>
                <w:rFonts w:hint="eastAsia" w:ascii="宋体" w:hAnsi="宋体" w:eastAsia="宋体" w:cs="宋体"/>
                <w:color w:val="auto"/>
                <w:sz w:val="21"/>
                <w:szCs w:val="21"/>
                <w:highlight w:val="none"/>
              </w:rPr>
            </w:pPr>
            <w:bookmarkStart w:id="129" w:name="OLE_LINK38"/>
            <w:bookmarkStart w:id="130" w:name="OLE_LINK22"/>
            <w:bookmarkStart w:id="131" w:name="OLE_LINK41"/>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开标一览表</w:t>
            </w:r>
            <w:bookmarkEnd w:id="129"/>
            <w:r>
              <w:rPr>
                <w:rFonts w:hint="eastAsia"/>
                <w:color w:val="auto"/>
                <w:szCs w:val="21"/>
                <w:highlight w:val="none"/>
              </w:rPr>
              <w:t>（格式后附）</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bookmarkEnd w:id="130"/>
          </w:p>
          <w:bookmarkEnd w:id="131"/>
          <w:p>
            <w:pPr>
              <w:tabs>
                <w:tab w:val="left" w:pos="459"/>
              </w:tabs>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32" w:name="_16.2"/>
            <w:bookmarkEnd w:id="132"/>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color w:val="auto"/>
                <w:highlight w:val="none"/>
              </w:rPr>
            </w:pPr>
            <w:r>
              <w:rPr>
                <w:rFonts w:hint="eastAsia"/>
                <w:color w:val="auto"/>
                <w:highlight w:val="none"/>
                <w:lang w:val="en-US" w:eastAsia="zh-CN"/>
              </w:rPr>
              <w:t>投标报价为采购人指定地点的现场服务价，包括：（1）服务的价格；（2）调试、培训、技术支持、售后服务等费用；（3）必要的保险费用和各项税费；（4）耗材费、运输费（含装卸费、搬运费）、安装调试费；（5）到现场验收的费用</w:t>
            </w:r>
            <w:r>
              <w:rPr>
                <w:rFonts w:hint="eastAsia"/>
                <w:color w:val="auto"/>
                <w:highlight w:val="none"/>
              </w:rPr>
              <w:t>。</w:t>
            </w:r>
          </w:p>
          <w:p>
            <w:pPr>
              <w:snapToGrid w:val="0"/>
              <w:spacing w:line="360" w:lineRule="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投标报价包含验收费用</w:t>
            </w:r>
          </w:p>
          <w:p>
            <w:pPr>
              <w:pStyle w:val="2"/>
              <w:rPr>
                <w:rFonts w:hint="eastAsia"/>
                <w:color w:val="auto"/>
                <w:highlight w:val="none"/>
              </w:rPr>
            </w:pPr>
            <w:r>
              <w:rPr>
                <w:rFonts w:hint="eastAsia" w:ascii="宋体" w:hAnsi="宋体" w:eastAsia="宋体" w:cs="宋体"/>
                <w:b/>
                <w:color w:val="auto"/>
                <w:sz w:val="21"/>
                <w:szCs w:val="21"/>
                <w:highlight w:val="none"/>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33" w:name="_17.1"/>
            <w:bookmarkEnd w:id="133"/>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90</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34" w:name="_18"/>
            <w:bookmarkEnd w:id="134"/>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35" w:name="_21.1"/>
            <w:bookmarkEnd w:id="135"/>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36" w:name="_23"/>
            <w:bookmarkEnd w:id="136"/>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37" w:name="_25.3"/>
            <w:bookmarkEnd w:id="137"/>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38" w:name="_26"/>
            <w:bookmarkEnd w:id="138"/>
            <w:bookmarkStart w:id="139" w:name="_28.3"/>
            <w:bookmarkEnd w:id="139"/>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2268" w:type="dxa"/>
            <w:tcBorders>
              <w:top w:val="single" w:color="auto" w:sz="4" w:space="0"/>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40" w:name="_29.2.2（2）"/>
            <w:bookmarkEnd w:id="140"/>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项。</w:t>
            </w:r>
          </w:p>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pPr>
              <w:autoSpaceDE w:val="0"/>
              <w:autoSpaceDN w:val="0"/>
              <w:snapToGrid w:val="0"/>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p>
            <w:pPr>
              <w:pStyle w:val="13"/>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41" w:name="_39.1"/>
            <w:bookmarkEnd w:id="141"/>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0" w:firstLineChars="0"/>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42" w:name="_40.1"/>
            <w:bookmarkEnd w:id="142"/>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（1）名称：</w:t>
            </w:r>
            <w:r>
              <w:rPr>
                <w:rFonts w:hint="eastAsia" w:ascii="宋体" w:hAnsi="宋体" w:cs="宋体"/>
                <w:color w:val="auto"/>
                <w:szCs w:val="21"/>
                <w:highlight w:val="none"/>
                <w:lang w:eastAsia="zh-CN"/>
              </w:rPr>
              <w:t>来宾市人民医院</w:t>
            </w:r>
          </w:p>
          <w:p>
            <w:pPr>
              <w:snapToGrid w:val="0"/>
              <w:spacing w:line="38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联系电话：</w:t>
            </w:r>
            <w:r>
              <w:rPr>
                <w:rFonts w:hint="eastAsia" w:ascii="宋体" w:hAnsi="宋体" w:cs="宋体"/>
                <w:color w:val="auto"/>
                <w:szCs w:val="21"/>
                <w:highlight w:val="none"/>
                <w:lang w:val="en-US" w:eastAsia="zh-CN"/>
              </w:rPr>
              <w:t>0772-4279679</w:t>
            </w:r>
          </w:p>
          <w:p>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通讯地址：</w:t>
            </w:r>
            <w:r>
              <w:rPr>
                <w:rFonts w:hint="eastAsia" w:ascii="宋体" w:hAnsi="宋体" w:eastAsia="宋体" w:cs="宋体"/>
                <w:color w:val="auto"/>
                <w:kern w:val="0"/>
                <w:szCs w:val="21"/>
                <w:highlight w:val="none"/>
              </w:rPr>
              <w:t>来宾市盘古大道东159号</w:t>
            </w:r>
          </w:p>
          <w:p>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（2）名称：广西</w:t>
            </w:r>
            <w:r>
              <w:rPr>
                <w:rFonts w:hint="eastAsia" w:ascii="宋体" w:hAnsi="宋体" w:eastAsia="宋体" w:cs="宋体"/>
                <w:color w:val="auto"/>
                <w:szCs w:val="21"/>
                <w:highlight w:val="none"/>
                <w:lang w:val="en-US" w:eastAsia="zh-CN"/>
              </w:rPr>
              <w:t>科联</w:t>
            </w:r>
            <w:r>
              <w:rPr>
                <w:rFonts w:hint="eastAsia" w:ascii="宋体" w:hAnsi="宋体" w:eastAsia="宋体" w:cs="宋体"/>
                <w:color w:val="auto"/>
                <w:szCs w:val="21"/>
                <w:highlight w:val="none"/>
                <w:lang w:eastAsia="zh-CN"/>
              </w:rPr>
              <w:t>招标中心有限公司</w:t>
            </w:r>
          </w:p>
          <w:p>
            <w:pPr>
              <w:snapToGrid w:val="0"/>
              <w:spacing w:line="38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联系电话：</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潘能荣，</w:t>
            </w:r>
            <w:r>
              <w:rPr>
                <w:rFonts w:hint="eastAsia" w:ascii="宋体" w:hAnsi="宋体" w:eastAsia="宋体" w:cs="宋体"/>
                <w:color w:val="auto"/>
                <w:szCs w:val="21"/>
                <w:highlight w:val="none"/>
                <w:lang w:val="en-US" w:eastAsia="zh-CN"/>
              </w:rPr>
              <w:t>0771-3486</w:t>
            </w:r>
            <w:r>
              <w:rPr>
                <w:rFonts w:hint="eastAsia" w:ascii="宋体" w:hAnsi="宋体" w:cs="宋体"/>
                <w:color w:val="auto"/>
                <w:szCs w:val="21"/>
                <w:highlight w:val="none"/>
                <w:lang w:val="en-US" w:eastAsia="zh-CN"/>
              </w:rPr>
              <w:t>281</w:t>
            </w:r>
          </w:p>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eastAsia="zh-CN"/>
              </w:rPr>
              <w:t>通讯地址：</w:t>
            </w:r>
            <w:r>
              <w:rPr>
                <w:rFonts w:hint="eastAsia" w:ascii="宋体" w:hAnsi="宋体" w:eastAsia="宋体" w:cs="宋体"/>
                <w:color w:val="auto"/>
                <w:szCs w:val="21"/>
                <w:highlight w:val="none"/>
                <w:lang w:val="en-US" w:eastAsia="zh-CN"/>
              </w:rPr>
              <w:t>来宾市人民路西135号瑞中花园3号楼人民路西121号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highlight w:val="none"/>
              </w:rPr>
            </w:pPr>
            <w:bookmarkStart w:id="143" w:name="PO_3000001867_PM03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受理方式：纸质方式受理，投诉书正、副本（经过质疑的事项才可投诉）。</w:t>
            </w:r>
          </w:p>
          <w:p>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通讯方式</w:t>
            </w:r>
          </w:p>
          <w:p>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名称：来宾市财政局政府采购监督管理科</w:t>
            </w:r>
          </w:p>
          <w:p>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地址：来宾市兴宾区盘古大道69号</w:t>
            </w:r>
          </w:p>
          <w:p>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rPr>
              <w:t xml:space="preserve">联系电话：0772-4235317 </w:t>
            </w:r>
            <w:r>
              <w:rPr>
                <w:rFonts w:hint="eastAsia" w:ascii="宋体" w:hAnsi="宋体" w:eastAsia="宋体" w:cs="宋体"/>
                <w:color w:val="auto"/>
                <w:highlight w:val="none"/>
                <w:lang w:eastAsia="zh-CN"/>
              </w:rPr>
              <w:t xml:space="preserve"> </w:t>
            </w:r>
            <w:bookmarkEnd w:id="1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44" w:name="_41"/>
            <w:bookmarkEnd w:id="144"/>
            <w:bookmarkStart w:id="145" w:name="_42"/>
            <w:bookmarkEnd w:id="145"/>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spacing w:line="38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pPr>
              <w:pStyle w:val="17"/>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□采购人支付</w:t>
            </w:r>
            <w:r>
              <w:rPr>
                <w:rFonts w:hint="eastAsia" w:hAnsi="宋体" w:cs="宋体"/>
                <w:color w:val="auto"/>
                <w:highlight w:val="none"/>
                <w:lang w:eastAsia="zh-CN"/>
              </w:rPr>
              <w:t>：</w:t>
            </w:r>
            <w:r>
              <w:rPr>
                <w:rFonts w:hint="eastAsia" w:hAnsi="宋体" w:eastAsia="宋体" w:cs="宋体"/>
                <w:i/>
                <w:iCs/>
                <w:color w:val="auto"/>
                <w:sz w:val="21"/>
                <w:highlight w:val="none"/>
                <w:u w:val="single"/>
                <w:lang w:val="en-US" w:eastAsia="zh-CN"/>
              </w:rPr>
              <w:t>（支付方式）</w:t>
            </w:r>
            <w:r>
              <w:rPr>
                <w:rFonts w:hint="eastAsia" w:hAnsi="宋体" w:cs="宋体"/>
                <w:i w:val="0"/>
                <w:iCs w:val="0"/>
                <w:color w:val="auto"/>
                <w:sz w:val="21"/>
                <w:highlight w:val="none"/>
                <w:u w:val="single"/>
                <w:lang w:val="en-US" w:eastAsia="zh-CN"/>
              </w:rPr>
              <w:t>。</w:t>
            </w:r>
          </w:p>
          <w:p>
            <w:pPr>
              <w:pStyle w:val="17"/>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以</w:t>
            </w:r>
            <w:r>
              <w:rPr>
                <w:rFonts w:hint="eastAsia" w:hAnsi="宋体" w:cs="宋体"/>
                <w:color w:val="auto"/>
                <w:kern w:val="0"/>
                <w:szCs w:val="21"/>
                <w:highlight w:val="none"/>
                <w:lang w:eastAsia="zh-CN"/>
              </w:rPr>
              <w:t>项目</w:t>
            </w:r>
            <w:r>
              <w:rPr>
                <w:rFonts w:hint="eastAsia" w:ascii="宋体" w:hAnsi="宋体" w:eastAsia="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中标金额/□采购预算/□暂定中标金额/□其他</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）为计费额，按本须知正文第40.2条规定的收费计算标准（</w:t>
            </w:r>
            <w:r>
              <w:rPr>
                <w:rFonts w:hint="eastAsia" w:ascii="宋体" w:hAnsi="宋体" w:cs="宋体"/>
                <w:color w:val="auto"/>
                <w:szCs w:val="20"/>
                <w:highlight w:val="none"/>
                <w:lang w:eastAsia="zh-CN"/>
              </w:rPr>
              <w:t>服务</w:t>
            </w:r>
            <w:r>
              <w:rPr>
                <w:rFonts w:hint="eastAsia" w:ascii="宋体" w:hAnsi="宋体" w:eastAsia="宋体" w:cs="宋体"/>
                <w:color w:val="auto"/>
                <w:szCs w:val="20"/>
                <w:highlight w:val="none"/>
              </w:rPr>
              <w:t>类）采用差额定率累进法计算出收费基准价格，采购代理收费以（</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收费基准价格/□收费基准价格下浮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ascii="宋体" w:hAnsi="宋体" w:eastAsia="宋体" w:cs="宋体"/>
                <w:color w:val="auto"/>
                <w:szCs w:val="20"/>
                <w:highlight w:val="none"/>
              </w:rPr>
              <w:t>/</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eastAsia" w:ascii="宋体" w:hAnsi="宋体" w:eastAsia="宋体" w:cs="宋体"/>
                <w:color w:val="auto"/>
                <w:szCs w:val="20"/>
                <w:highlight w:val="none"/>
              </w:rPr>
              <w:t>）收取。</w:t>
            </w:r>
          </w:p>
          <w:p>
            <w:pPr>
              <w:pStyle w:val="17"/>
              <w:snapToGrid w:val="0"/>
              <w:spacing w:line="380" w:lineRule="exact"/>
              <w:rPr>
                <w:rFonts w:hint="default" w:ascii="宋体" w:hAnsi="宋体" w:eastAsia="宋体" w:cs="宋体"/>
                <w:color w:val="auto"/>
                <w:sz w:val="21"/>
                <w:szCs w:val="21"/>
                <w:highlight w:val="none"/>
                <w:u w:val="single"/>
                <w:lang w:val="en-US" w:eastAsia="zh-CN"/>
              </w:rPr>
            </w:pPr>
            <w:r>
              <w:rPr>
                <w:rFonts w:hint="eastAsia" w:hAnsi="宋体" w:cs="宋体"/>
                <w:color w:val="auto"/>
                <w:szCs w:val="20"/>
                <w:highlight w:val="none"/>
                <w:lang w:eastAsia="zh-CN"/>
              </w:rPr>
              <w:t>□</w:t>
            </w:r>
            <w:r>
              <w:rPr>
                <w:rFonts w:hint="eastAsia" w:ascii="宋体" w:hAnsi="宋体" w:eastAsia="宋体" w:cs="宋体"/>
                <w:color w:val="auto"/>
                <w:szCs w:val="20"/>
                <w:highlight w:val="none"/>
              </w:rPr>
              <w:t>固定采购代理收费：</w:t>
            </w:r>
            <w:r>
              <w:rPr>
                <w:rFonts w:hint="eastAsia" w:hAnsi="宋体" w:cs="宋体"/>
                <w:color w:val="auto"/>
                <w:szCs w:val="20"/>
                <w:highlight w:val="none"/>
                <w:u w:val="single"/>
                <w:lang w:eastAsia="zh-CN"/>
              </w:rPr>
              <w:t xml:space="preserve"> </w:t>
            </w:r>
            <w:r>
              <w:rPr>
                <w:rFonts w:hint="eastAsia" w:hAnsi="宋体" w:cs="宋体"/>
                <w:color w:val="auto"/>
                <w:szCs w:val="20"/>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380" w:lineRule="exact"/>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开户名称：广西科联招标中心有限公司来宾分公司</w:t>
            </w:r>
          </w:p>
          <w:p>
            <w:pPr>
              <w:widowControl w:val="0"/>
              <w:snapToGrid w:val="0"/>
              <w:spacing w:line="380" w:lineRule="exact"/>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开户银行：中国建设银行股份有限公司来宾祥和路支行</w:t>
            </w:r>
          </w:p>
          <w:p>
            <w:pPr>
              <w:widowControl w:val="0"/>
              <w:snapToGrid w:val="0"/>
              <w:spacing w:line="380" w:lineRule="exact"/>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0"/>
                <w:highlight w:val="none"/>
                <w:lang w:val="en-US" w:eastAsia="zh-CN" w:bidi="ar-SA"/>
              </w:rPr>
              <w:t>银行账号：45050162795900001034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pStyle w:val="13"/>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2.本招标文件中描述投标人的“签字”是指投标人通过指定电子化政府采购平台办理数字证书（CA认证）获得的以投标人法定代表人或者委托代理人姓名制作的电子印章或手写签字。</w:t>
            </w:r>
          </w:p>
          <w:p>
            <w:pPr>
              <w:pStyle w:val="13"/>
              <w:tabs>
                <w:tab w:val="center" w:pos="4153"/>
                <w:tab w:val="right" w:pos="8306"/>
              </w:tabs>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pPr>
              <w:pStyle w:val="13"/>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3"/>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5.自然人投标的，招标文件规定盖公章处由自然人摁手指指印。</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 xml:space="preserve">    6.本招标文件所称的“以上”“以下”“以内”“届满”，包括本数；所称的“不满”“超过”“以外”，不包括本数。</w:t>
            </w:r>
          </w:p>
        </w:tc>
      </w:tr>
    </w:tbl>
    <w:p>
      <w:pPr>
        <w:widowControl/>
        <w:spacing w:line="412" w:lineRule="auto"/>
        <w:jc w:val="left"/>
        <w:rPr>
          <w:rFonts w:ascii="Arial" w:hAnsi="Arial" w:eastAsia="黑体"/>
          <w:b/>
          <w:bCs/>
          <w:color w:val="auto"/>
          <w:sz w:val="32"/>
          <w:szCs w:val="32"/>
          <w:highlight w:val="none"/>
        </w:rPr>
        <w:sectPr>
          <w:footerReference r:id="rId6" w:type="default"/>
          <w:pgSz w:w="11905" w:h="16838"/>
          <w:pgMar w:top="1134" w:right="1134" w:bottom="1134" w:left="1134" w:header="850" w:footer="850" w:gutter="0"/>
          <w:pgNumType w:fmt="decimal"/>
          <w:cols w:space="0" w:num="1"/>
          <w:titlePg/>
          <w:rtlGutter w:val="0"/>
          <w:docGrid w:linePitch="331" w:charSpace="0"/>
        </w:sectPr>
      </w:pPr>
    </w:p>
    <w:p>
      <w:pPr>
        <w:rPr>
          <w:rFonts w:hint="eastAsia" w:ascii="Times New Roman" w:hAnsi="Times New Roman" w:eastAsia="宋体" w:cs="Times New Roman"/>
          <w:color w:val="auto"/>
          <w:highlight w:val="none"/>
        </w:rPr>
      </w:pPr>
    </w:p>
    <w:p>
      <w:pPr>
        <w:pStyle w:val="4"/>
        <w:jc w:val="center"/>
        <w:rPr>
          <w:rFonts w:cs="Times New Roman"/>
          <w:color w:val="auto"/>
          <w:highlight w:val="none"/>
        </w:rPr>
      </w:pPr>
      <w:bookmarkStart w:id="146" w:name="_Toc1030"/>
      <w:bookmarkStart w:id="147" w:name="_Toc453"/>
      <w:bookmarkStart w:id="148" w:name="_Toc29311"/>
      <w:bookmarkStart w:id="149" w:name="_Toc11336"/>
      <w:bookmarkStart w:id="150" w:name="_Toc25117"/>
      <w:bookmarkStart w:id="151" w:name="_Toc7784"/>
      <w:bookmarkStart w:id="152" w:name="_Toc24313"/>
      <w:bookmarkStart w:id="153" w:name="_Toc8807"/>
      <w:bookmarkStart w:id="154" w:name="_Toc13813"/>
      <w:bookmarkStart w:id="155" w:name="_Toc30841"/>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46"/>
      <w:bookmarkEnd w:id="147"/>
      <w:bookmarkEnd w:id="148"/>
      <w:bookmarkEnd w:id="149"/>
      <w:bookmarkEnd w:id="150"/>
      <w:bookmarkEnd w:id="151"/>
      <w:bookmarkEnd w:id="152"/>
      <w:bookmarkEnd w:id="153"/>
      <w:bookmarkEnd w:id="154"/>
      <w:bookmarkEnd w:id="155"/>
    </w:p>
    <w:p>
      <w:pPr>
        <w:pStyle w:val="5"/>
        <w:keepNext w:val="0"/>
        <w:keepLines w:val="0"/>
        <w:spacing w:line="400" w:lineRule="exact"/>
        <w:jc w:val="center"/>
        <w:rPr>
          <w:rFonts w:ascii="Times New Roman" w:hAnsi="Times New Roman" w:eastAsia="宋体" w:cs="Times New Roman"/>
          <w:color w:val="auto"/>
          <w:highlight w:val="none"/>
        </w:rPr>
      </w:pPr>
      <w:bookmarkStart w:id="156" w:name="_Toc15523"/>
      <w:bookmarkStart w:id="157" w:name="_Toc30794"/>
      <w:bookmarkStart w:id="158" w:name="_Toc6594"/>
      <w:bookmarkStart w:id="159" w:name="_Toc28360"/>
      <w:bookmarkStart w:id="160" w:name="_Toc22266"/>
      <w:bookmarkStart w:id="161" w:name="_Toc3522"/>
      <w:bookmarkStart w:id="162" w:name="_Toc19454"/>
      <w:bookmarkStart w:id="163" w:name="_Toc18594"/>
      <w:bookmarkStart w:id="164" w:name="_Toc3607"/>
      <w:bookmarkStart w:id="165" w:name="_Toc21176"/>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56"/>
      <w:bookmarkEnd w:id="157"/>
      <w:bookmarkEnd w:id="158"/>
      <w:bookmarkEnd w:id="159"/>
      <w:bookmarkEnd w:id="160"/>
      <w:bookmarkEnd w:id="161"/>
      <w:bookmarkEnd w:id="162"/>
      <w:bookmarkEnd w:id="163"/>
      <w:bookmarkEnd w:id="164"/>
      <w:bookmarkEnd w:id="165"/>
    </w:p>
    <w:p>
      <w:pPr>
        <w:spacing w:line="360" w:lineRule="auto"/>
        <w:ind w:firstLine="480" w:firstLineChars="200"/>
        <w:rPr>
          <w:rFonts w:ascii="黑体" w:hAnsi="黑体" w:eastAsia="黑体" w:cs="Times New Roman"/>
          <w:color w:val="auto"/>
          <w:sz w:val="24"/>
          <w:highlight w:val="none"/>
        </w:rPr>
      </w:pPr>
      <w:bookmarkStart w:id="166" w:name="_Toc254970527"/>
      <w:bookmarkStart w:id="167" w:name="_Toc254970668"/>
      <w:r>
        <w:rPr>
          <w:rFonts w:hint="eastAsia" w:ascii="黑体" w:hAnsi="黑体" w:eastAsia="黑体" w:cs="Times New Roman"/>
          <w:color w:val="auto"/>
          <w:sz w:val="24"/>
          <w:highlight w:val="none"/>
        </w:rPr>
        <w:t>1.适用范围</w:t>
      </w:r>
      <w:bookmarkEnd w:id="166"/>
      <w:bookmarkEnd w:id="167"/>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pPr>
        <w:spacing w:line="360" w:lineRule="auto"/>
        <w:ind w:firstLine="480" w:firstLineChars="200"/>
        <w:rPr>
          <w:rFonts w:hint="eastAsia" w:ascii="黑体" w:hAnsi="黑体" w:eastAsia="黑体" w:cs="Times New Roman"/>
          <w:color w:val="auto"/>
          <w:sz w:val="24"/>
          <w:highlight w:val="none"/>
        </w:rPr>
      </w:pPr>
      <w:bookmarkStart w:id="168" w:name="_Toc254970669"/>
      <w:bookmarkStart w:id="169" w:name="_Toc254970528"/>
      <w:r>
        <w:rPr>
          <w:rFonts w:hint="eastAsia" w:ascii="黑体" w:hAnsi="黑体" w:eastAsia="黑体" w:cs="Times New Roman"/>
          <w:color w:val="auto"/>
          <w:sz w:val="24"/>
          <w:highlight w:val="none"/>
        </w:rPr>
        <w:t>2.定义</w:t>
      </w:r>
      <w:bookmarkEnd w:id="168"/>
      <w:bookmarkEnd w:id="169"/>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70" w:name="_Toc254970529"/>
      <w:bookmarkStart w:id="171" w:name="_Toc254970670"/>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70"/>
      <w:bookmarkEnd w:id="171"/>
      <w:r>
        <w:rPr>
          <w:rFonts w:hint="eastAsia" w:ascii="黑体" w:hAnsi="黑体" w:eastAsia="黑体" w:cs="Times New Roman"/>
          <w:color w:val="auto"/>
          <w:sz w:val="24"/>
          <w:highlight w:val="none"/>
        </w:rPr>
        <w:t>投标人的资格要求</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pPr>
        <w:spacing w:line="360" w:lineRule="auto"/>
        <w:ind w:firstLine="480" w:firstLineChars="200"/>
        <w:rPr>
          <w:rFonts w:hint="eastAsia" w:ascii="黑体" w:hAnsi="黑体" w:eastAsia="黑体" w:cs="Times New Roman"/>
          <w:color w:val="auto"/>
          <w:sz w:val="24"/>
          <w:highlight w:val="none"/>
        </w:rPr>
      </w:pPr>
      <w:bookmarkStart w:id="172" w:name="_Toc254970530"/>
      <w:bookmarkStart w:id="173" w:name="_Toc254970671"/>
      <w:r>
        <w:rPr>
          <w:rFonts w:hint="eastAsia" w:ascii="黑体" w:hAnsi="黑体" w:eastAsia="黑体" w:cs="Times New Roman"/>
          <w:color w:val="auto"/>
          <w:sz w:val="24"/>
          <w:highlight w:val="none"/>
        </w:rPr>
        <w:t>4.投标委托</w:t>
      </w:r>
      <w:bookmarkEnd w:id="172"/>
      <w:bookmarkEnd w:id="173"/>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pPr>
        <w:spacing w:line="360" w:lineRule="auto"/>
        <w:ind w:firstLine="480" w:firstLineChars="200"/>
        <w:rPr>
          <w:rFonts w:hint="eastAsia" w:ascii="黑体" w:hAnsi="黑体" w:eastAsia="黑体" w:cs="Times New Roman"/>
          <w:color w:val="auto"/>
          <w:sz w:val="24"/>
          <w:highlight w:val="none"/>
        </w:rPr>
      </w:pPr>
      <w:bookmarkStart w:id="174" w:name="_5.投标费用"/>
      <w:bookmarkEnd w:id="174"/>
      <w:bookmarkStart w:id="175" w:name="_Toc254970531"/>
      <w:bookmarkStart w:id="176" w:name="_Toc254970672"/>
      <w:r>
        <w:rPr>
          <w:rFonts w:hint="eastAsia" w:ascii="黑体" w:hAnsi="黑体" w:eastAsia="黑体" w:cs="Times New Roman"/>
          <w:color w:val="auto"/>
          <w:sz w:val="24"/>
          <w:highlight w:val="none"/>
        </w:rPr>
        <w:t>5.投标费用</w:t>
      </w:r>
      <w:bookmarkEnd w:id="175"/>
      <w:bookmarkEnd w:id="176"/>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6.1本项目是否接受联合体投标，详见“投标人须知前附表”。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6.2如接受联合体投标，联合体投标要求详见“投标人须知前附表”。</w:t>
      </w:r>
    </w:p>
    <w:p>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 xml:space="preserve">7.转包与分包             </w:t>
      </w:r>
    </w:p>
    <w:p>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pPr>
        <w:spacing w:line="360" w:lineRule="auto"/>
        <w:ind w:firstLine="480" w:firstLineChars="200"/>
        <w:rPr>
          <w:rFonts w:hint="eastAsia" w:ascii="黑体" w:hAnsi="黑体" w:eastAsia="黑体" w:cs="Times New Roman"/>
          <w:color w:val="auto"/>
          <w:sz w:val="24"/>
          <w:highlight w:val="none"/>
        </w:rPr>
      </w:pPr>
      <w:bookmarkStart w:id="177" w:name="_Toc254970532"/>
      <w:bookmarkStart w:id="178" w:name="_Toc254970673"/>
      <w:r>
        <w:rPr>
          <w:rFonts w:hint="eastAsia" w:ascii="黑体" w:hAnsi="黑体" w:eastAsia="黑体" w:cs="Times New Roman"/>
          <w:color w:val="auto"/>
          <w:sz w:val="24"/>
          <w:highlight w:val="none"/>
        </w:rPr>
        <w:t>8.特别说明：</w:t>
      </w:r>
      <w:bookmarkEnd w:id="177"/>
      <w:bookmarkEnd w:id="178"/>
      <w:bookmarkStart w:id="179" w:name="_8.1提供相同品牌产品且通过资格审查、符合性审查的不同投标人参加同一合"/>
      <w:bookmarkEnd w:id="179"/>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9.2有下列情形之一的视为投标人相互串通投标，投标文件将被视为无效：</w:t>
      </w:r>
    </w:p>
    <w:p>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9.3供应商有下列情形之一的，属于恶意串通行为，将报同级监督管理部门：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pPr>
        <w:pStyle w:val="17"/>
        <w:snapToGrid w:val="0"/>
        <w:spacing w:line="360" w:lineRule="auto"/>
        <w:ind w:left="2" w:leftChars="1" w:firstLine="422" w:firstLineChars="200"/>
        <w:rPr>
          <w:rFonts w:hAnsi="宋体" w:eastAsia="宋体" w:cs="Times New Roman"/>
          <w:b/>
          <w:color w:val="auto"/>
          <w:highlight w:val="none"/>
        </w:rPr>
      </w:pPr>
    </w:p>
    <w:p>
      <w:pPr>
        <w:pStyle w:val="5"/>
        <w:keepNext w:val="0"/>
        <w:keepLines w:val="0"/>
        <w:spacing w:line="400" w:lineRule="exact"/>
        <w:jc w:val="center"/>
        <w:rPr>
          <w:rFonts w:hint="eastAsia" w:ascii="Times New Roman" w:hAnsi="Times New Roman" w:eastAsia="宋体" w:cs="Times New Roman"/>
          <w:color w:val="auto"/>
          <w:highlight w:val="none"/>
        </w:rPr>
      </w:pPr>
      <w:bookmarkStart w:id="180" w:name="_Toc25104"/>
      <w:bookmarkStart w:id="181" w:name="_Toc22911"/>
      <w:bookmarkStart w:id="182" w:name="_Toc18580"/>
      <w:bookmarkStart w:id="183" w:name="_Toc10320"/>
      <w:bookmarkStart w:id="184" w:name="_Toc19016"/>
      <w:bookmarkStart w:id="185" w:name="_Toc254970675"/>
      <w:bookmarkStart w:id="186" w:name="_Toc128"/>
      <w:bookmarkStart w:id="187" w:name="_Toc17855"/>
      <w:bookmarkStart w:id="188" w:name="_Toc9988"/>
      <w:bookmarkStart w:id="189" w:name="_Toc6920"/>
      <w:bookmarkStart w:id="190" w:name="_Toc254970534"/>
      <w:bookmarkStart w:id="191" w:name="_Toc11054"/>
      <w:r>
        <w:rPr>
          <w:rFonts w:hint="eastAsia" w:ascii="Times New Roman" w:hAnsi="Times New Roman" w:eastAsia="宋体" w:cs="Times New Roman"/>
          <w:color w:val="auto"/>
          <w:highlight w:val="none"/>
        </w:rPr>
        <w:t>二、招标文件</w:t>
      </w:r>
      <w:bookmarkEnd w:id="180"/>
      <w:bookmarkEnd w:id="181"/>
      <w:bookmarkEnd w:id="182"/>
      <w:bookmarkEnd w:id="183"/>
      <w:bookmarkEnd w:id="184"/>
      <w:bookmarkEnd w:id="185"/>
      <w:bookmarkEnd w:id="186"/>
      <w:bookmarkEnd w:id="187"/>
      <w:bookmarkEnd w:id="188"/>
      <w:bookmarkEnd w:id="189"/>
      <w:bookmarkEnd w:id="190"/>
      <w:bookmarkEnd w:id="191"/>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 11.1采购人或者采购代理机构可以对已发出的招标文件进行必要的澄清或者修改，但不得改变采购标的和资格条件。澄清或者修改应当在原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92"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92"/>
    <w:p>
      <w:pPr>
        <w:pStyle w:val="5"/>
        <w:keepNext w:val="0"/>
        <w:keepLines w:val="0"/>
        <w:spacing w:line="400" w:lineRule="exact"/>
        <w:jc w:val="center"/>
        <w:rPr>
          <w:rFonts w:ascii="Times New Roman" w:hAnsi="Times New Roman" w:eastAsia="宋体" w:cs="Times New Roman"/>
          <w:color w:val="auto"/>
          <w:highlight w:val="none"/>
        </w:rPr>
      </w:pPr>
      <w:bookmarkStart w:id="193" w:name="_Toc2635"/>
      <w:bookmarkStart w:id="194" w:name="_Toc32499"/>
      <w:bookmarkStart w:id="195" w:name="_Toc254970535"/>
      <w:bookmarkStart w:id="196" w:name="_Toc16623"/>
      <w:bookmarkStart w:id="197" w:name="_Toc254970676"/>
      <w:bookmarkStart w:id="198" w:name="_Toc12080"/>
      <w:bookmarkStart w:id="199" w:name="_Toc24872"/>
      <w:bookmarkStart w:id="200" w:name="_Toc32154"/>
      <w:bookmarkStart w:id="201" w:name="_Toc27367"/>
      <w:bookmarkStart w:id="202" w:name="_Toc20"/>
      <w:bookmarkStart w:id="203" w:name="_Toc28419"/>
      <w:bookmarkStart w:id="204" w:name="_Toc7841"/>
      <w:r>
        <w:rPr>
          <w:rFonts w:hint="eastAsia" w:ascii="Times New Roman" w:hAnsi="Times New Roman" w:eastAsia="宋体" w:cs="Times New Roman"/>
          <w:color w:val="auto"/>
          <w:highlight w:val="none"/>
        </w:rPr>
        <w:t>三、投标文件的编制</w:t>
      </w:r>
      <w:bookmarkEnd w:id="193"/>
      <w:bookmarkEnd w:id="194"/>
      <w:bookmarkEnd w:id="195"/>
      <w:bookmarkEnd w:id="196"/>
      <w:bookmarkEnd w:id="197"/>
      <w:bookmarkEnd w:id="198"/>
      <w:bookmarkEnd w:id="199"/>
      <w:bookmarkEnd w:id="200"/>
      <w:bookmarkEnd w:id="201"/>
      <w:bookmarkEnd w:id="202"/>
      <w:bookmarkEnd w:id="203"/>
      <w:bookmarkEnd w:id="204"/>
    </w:p>
    <w:p>
      <w:pPr>
        <w:spacing w:line="360" w:lineRule="auto"/>
        <w:ind w:firstLine="480" w:firstLineChars="200"/>
        <w:rPr>
          <w:rFonts w:ascii="黑体" w:hAnsi="黑体" w:eastAsia="黑体" w:cs="Times New Roman"/>
          <w:color w:val="auto"/>
          <w:sz w:val="24"/>
          <w:highlight w:val="none"/>
        </w:rPr>
      </w:pPr>
      <w:bookmarkStart w:id="205" w:name="_Toc254970677"/>
      <w:bookmarkStart w:id="206" w:name="_Toc254970536"/>
      <w:r>
        <w:rPr>
          <w:rFonts w:hint="eastAsia" w:ascii="黑体" w:hAnsi="黑体" w:eastAsia="黑体" w:cs="Times New Roman"/>
          <w:color w:val="auto"/>
          <w:sz w:val="24"/>
          <w:highlight w:val="none"/>
        </w:rPr>
        <w:t>12.投标文件的编制原则</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205"/>
      <w:bookmarkEnd w:id="206"/>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pPr>
        <w:spacing w:line="360" w:lineRule="auto"/>
        <w:ind w:firstLine="420" w:firstLineChars="200"/>
        <w:rPr>
          <w:rFonts w:hint="eastAsia" w:ascii="宋体" w:hAnsi="宋体" w:eastAsia="宋体" w:cs="Times New Roman"/>
          <w:bCs/>
          <w:color w:val="auto"/>
          <w:szCs w:val="21"/>
          <w:highlight w:val="none"/>
        </w:rPr>
      </w:pPr>
      <w:bookmarkStart w:id="207" w:name="_13.1报价文件:_具体材料见“投标人须知前附表”。"/>
      <w:bookmarkEnd w:id="207"/>
      <w:bookmarkStart w:id="208" w:name="_13.2资格证明文件：具体材料见“投标人须知前附表”。"/>
      <w:bookmarkEnd w:id="208"/>
      <w:r>
        <w:rPr>
          <w:rFonts w:hint="eastAsia" w:ascii="宋体" w:hAnsi="宋体" w:eastAsia="宋体" w:cs="Times New Roman"/>
          <w:bCs/>
          <w:color w:val="auto"/>
          <w:szCs w:val="21"/>
          <w:highlight w:val="none"/>
        </w:rPr>
        <w:t>（1）资格证明文件：具体材料见“投标人须知前附表”。</w:t>
      </w:r>
    </w:p>
    <w:p>
      <w:pPr>
        <w:spacing w:line="360" w:lineRule="auto"/>
        <w:ind w:firstLine="420" w:firstLineChars="200"/>
        <w:rPr>
          <w:rFonts w:hint="eastAsia" w:ascii="宋体" w:hAnsi="宋体" w:eastAsia="宋体" w:cs="Times New Roman"/>
          <w:bCs/>
          <w:color w:val="auto"/>
          <w:szCs w:val="21"/>
          <w:highlight w:val="none"/>
        </w:rPr>
      </w:pPr>
      <w:bookmarkStart w:id="209" w:name="_13.3商务文件:_具体材料见“投标人须知前附表”。"/>
      <w:bookmarkEnd w:id="209"/>
      <w:r>
        <w:rPr>
          <w:rFonts w:hint="eastAsia" w:ascii="宋体" w:hAnsi="宋体" w:eastAsia="宋体" w:cs="Times New Roman"/>
          <w:bCs/>
          <w:color w:val="auto"/>
          <w:szCs w:val="21"/>
          <w:highlight w:val="none"/>
        </w:rPr>
        <w:t>（2）商务文件：具体材料见“投标人须知前附表”。</w:t>
      </w:r>
    </w:p>
    <w:p>
      <w:pPr>
        <w:spacing w:line="360" w:lineRule="auto"/>
        <w:ind w:firstLine="420" w:firstLineChars="200"/>
        <w:rPr>
          <w:rFonts w:hint="eastAsia" w:ascii="宋体" w:hAnsi="宋体" w:eastAsia="宋体" w:cs="Times New Roman"/>
          <w:bCs/>
          <w:color w:val="auto"/>
          <w:szCs w:val="21"/>
          <w:highlight w:val="none"/>
        </w:rPr>
      </w:pPr>
      <w:bookmarkStart w:id="210" w:name="_13.4技术文件：具体材料见“投标人须知前附表”。"/>
      <w:bookmarkEnd w:id="210"/>
      <w:r>
        <w:rPr>
          <w:rFonts w:hint="eastAsia" w:ascii="宋体" w:hAnsi="宋体" w:eastAsia="宋体" w:cs="Times New Roman"/>
          <w:bCs/>
          <w:color w:val="auto"/>
          <w:szCs w:val="21"/>
          <w:highlight w:val="none"/>
        </w:rPr>
        <w:t xml:space="preserve">（3）技术文件：具体材料见“投标人须知前附表”。 </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pPr>
        <w:spacing w:line="360" w:lineRule="auto"/>
        <w:ind w:firstLine="420" w:firstLineChars="200"/>
        <w:rPr>
          <w:rFonts w:hint="eastAsia" w:ascii="宋体" w:hAnsi="宋体" w:eastAsia="宋体" w:cs="Times New Roman"/>
          <w:bCs/>
          <w:color w:val="auto"/>
          <w:szCs w:val="21"/>
          <w:highlight w:val="none"/>
        </w:rPr>
      </w:pPr>
      <w:bookmarkStart w:id="211" w:name="_13.5投标文件电子版：具体材料见“投标人须知前附表”。"/>
      <w:bookmarkEnd w:id="211"/>
      <w:r>
        <w:rPr>
          <w:rFonts w:hint="eastAsia" w:ascii="宋体" w:hAnsi="宋体" w:eastAsia="宋体" w:cs="Times New Roman"/>
          <w:bCs/>
          <w:color w:val="auto"/>
          <w:szCs w:val="21"/>
          <w:highlight w:val="none"/>
        </w:rPr>
        <w:t>13.2投标文件电子版：具体要求见本节19.投标文件编制。</w:t>
      </w:r>
    </w:p>
    <w:p>
      <w:pPr>
        <w:spacing w:line="360" w:lineRule="auto"/>
        <w:ind w:firstLine="480" w:firstLineChars="200"/>
        <w:rPr>
          <w:rFonts w:hint="eastAsia" w:ascii="黑体" w:hAnsi="黑体" w:eastAsia="黑体" w:cs="Times New Roman"/>
          <w:color w:val="auto"/>
          <w:sz w:val="24"/>
          <w:highlight w:val="none"/>
        </w:rPr>
      </w:pPr>
      <w:bookmarkStart w:id="212" w:name="_Toc254970678"/>
      <w:bookmarkStart w:id="213" w:name="_Toc254970537"/>
      <w:r>
        <w:rPr>
          <w:rFonts w:hint="eastAsia" w:ascii="黑体" w:hAnsi="黑体" w:eastAsia="黑体" w:cs="Times New Roman"/>
          <w:color w:val="auto"/>
          <w:sz w:val="24"/>
          <w:highlight w:val="none"/>
        </w:rPr>
        <w:t>14.投标文件的语言及计量</w:t>
      </w:r>
      <w:bookmarkEnd w:id="212"/>
      <w:bookmarkEnd w:id="213"/>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pPr>
        <w:spacing w:line="360" w:lineRule="auto"/>
        <w:ind w:firstLine="480" w:firstLineChars="200"/>
        <w:rPr>
          <w:rFonts w:ascii="黑体" w:hAnsi="黑体" w:eastAsia="黑体" w:cs="Times New Roman"/>
          <w:color w:val="auto"/>
          <w:sz w:val="24"/>
          <w:highlight w:val="none"/>
        </w:rPr>
      </w:pPr>
      <w:bookmarkStart w:id="214" w:name="_Toc254970679"/>
      <w:bookmarkStart w:id="215" w:name="_Toc254970538"/>
      <w:r>
        <w:rPr>
          <w:rFonts w:hint="eastAsia" w:ascii="黑体" w:hAnsi="黑体" w:eastAsia="黑体" w:cs="Times New Roman"/>
          <w:color w:val="auto"/>
          <w:sz w:val="24"/>
          <w:highlight w:val="none"/>
        </w:rPr>
        <w:t>16.投标报价</w:t>
      </w:r>
      <w:bookmarkEnd w:id="214"/>
      <w:bookmarkEnd w:id="215"/>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　投标文件格式”中“开标一览表”格式填写。</w:t>
      </w:r>
    </w:p>
    <w:p>
      <w:pPr>
        <w:spacing w:line="360" w:lineRule="auto"/>
        <w:ind w:firstLine="420" w:firstLineChars="200"/>
        <w:rPr>
          <w:rFonts w:hint="eastAsia" w:ascii="宋体" w:hAnsi="宋体" w:eastAsia="宋体" w:cs="Times New Roman"/>
          <w:bCs/>
          <w:color w:val="auto"/>
          <w:szCs w:val="21"/>
          <w:highlight w:val="none"/>
        </w:rPr>
      </w:pPr>
      <w:bookmarkStart w:id="216" w:name="_16.2投标报价具体定义见投标人须知前附表。"/>
      <w:bookmarkEnd w:id="216"/>
      <w:r>
        <w:rPr>
          <w:rFonts w:hint="eastAsia" w:ascii="宋体" w:hAnsi="宋体" w:eastAsia="宋体" w:cs="Times New Roman"/>
          <w:bCs/>
          <w:color w:val="auto"/>
          <w:szCs w:val="21"/>
          <w:highlight w:val="none"/>
        </w:rPr>
        <w:t>16.2投标报价具体包括内容详见“投标人须知前附表”。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16.3投标人必须就所投项目/每个分标的全部内容分别作完整唯一总价报价，不得存在漏项报价；投标人必须就所投项目/分标的单项内容作唯一报价。</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pPr>
        <w:spacing w:line="360" w:lineRule="auto"/>
        <w:ind w:firstLine="420" w:firstLineChars="200"/>
        <w:rPr>
          <w:rFonts w:hint="eastAsia" w:ascii="宋体" w:hAnsi="宋体" w:eastAsia="宋体" w:cs="Times New Roman"/>
          <w:bCs/>
          <w:color w:val="auto"/>
          <w:szCs w:val="21"/>
          <w:highlight w:val="none"/>
        </w:rPr>
      </w:pPr>
      <w:bookmarkStart w:id="217" w:name="_17.1投标有效期应按“投标人须知中的前附表”规定的期限。"/>
      <w:bookmarkEnd w:id="217"/>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218" w:name="_Toc254970540"/>
      <w:bookmarkStart w:id="219" w:name="_Toc254970681"/>
      <w:r>
        <w:rPr>
          <w:rFonts w:hint="eastAsia" w:ascii="宋体" w:hAnsi="宋体" w:eastAsia="宋体" w:cs="Times New Roman"/>
          <w:bCs/>
          <w:color w:val="auto"/>
          <w:szCs w:val="21"/>
          <w:highlight w:val="none"/>
        </w:rPr>
        <w:t xml:space="preserve"> 投标有效期应按规定的期限作出承诺，具体详见“投标人须知前附表”。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218"/>
      <w:bookmarkEnd w:id="219"/>
    </w:p>
    <w:p>
      <w:pPr>
        <w:spacing w:line="360" w:lineRule="auto"/>
        <w:ind w:firstLine="480" w:firstLineChars="200"/>
        <w:rPr>
          <w:rFonts w:hint="eastAsia" w:ascii="黑体" w:hAnsi="黑体" w:eastAsia="黑体" w:cs="Times New Roman"/>
          <w:color w:val="auto"/>
          <w:sz w:val="24"/>
          <w:highlight w:val="none"/>
        </w:rPr>
      </w:pPr>
      <w:bookmarkStart w:id="220" w:name="_18.投标保证金"/>
      <w:bookmarkEnd w:id="220"/>
      <w:bookmarkStart w:id="221" w:name="_Toc254970541"/>
      <w:bookmarkStart w:id="222" w:name="_Toc254970682"/>
      <w:r>
        <w:rPr>
          <w:rFonts w:hint="eastAsia" w:ascii="黑体" w:hAnsi="黑体" w:eastAsia="黑体" w:cs="Times New Roman"/>
          <w:color w:val="auto"/>
          <w:sz w:val="24"/>
          <w:highlight w:val="none"/>
        </w:rPr>
        <w:t>18.投标保证金</w:t>
      </w:r>
      <w:bookmarkEnd w:id="221"/>
      <w:bookmarkEnd w:id="222"/>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223" w:name="_Toc254970542"/>
      <w:bookmarkStart w:id="224" w:name="_Toc254970683"/>
      <w:r>
        <w:rPr>
          <w:rFonts w:hint="eastAsia" w:ascii="宋体" w:hAnsi="宋体" w:eastAsia="宋体" w:cs="宋体"/>
          <w:b w:val="0"/>
          <w:color w:val="auto"/>
          <w:sz w:val="21"/>
          <w:szCs w:val="21"/>
          <w:highlight w:val="none"/>
        </w:rPr>
        <w:t>18.1投标人须按“投标人须知前附表” 的规定提交投标保证金。</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18.2投标保证金的退还</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18.2.1未中标人的投标保证金自中标通知书发出之日起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个工作日内退还，退还方式如下：</w:t>
      </w:r>
    </w:p>
    <w:p>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pPr>
        <w:pStyle w:val="10"/>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 xml:space="preserve">原件退还手续。 </w:t>
      </w:r>
    </w:p>
    <w:p>
      <w:pPr>
        <w:pStyle w:val="7"/>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 xml:space="preserve">或者转为中标人的履约保证金。 </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18.3除逾期退还投标保证金和终止招标的情形以外，投标保证金不计息。</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223"/>
      <w:bookmarkEnd w:id="224"/>
      <w:r>
        <w:rPr>
          <w:rFonts w:hint="eastAsia" w:ascii="黑体" w:hAnsi="黑体" w:eastAsia="黑体" w:cs="Times New Roman"/>
          <w:color w:val="auto"/>
          <w:sz w:val="24"/>
          <w:highlight w:val="none"/>
        </w:rPr>
        <w:t>编制</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225" w:name="_19.2投标文件应按报价文件、资格证明文件、商务文件、技术文件分别编制"/>
      <w:bookmarkEnd w:id="225"/>
      <w:r>
        <w:rPr>
          <w:rFonts w:hint="eastAsia" w:ascii="宋体" w:hAnsi="宋体" w:eastAsia="宋体" w:cs="宋体"/>
          <w:color w:val="auto"/>
          <w:szCs w:val="21"/>
          <w:highlight w:val="none"/>
        </w:rPr>
        <w:t xml:space="preserve"> </w:t>
      </w:r>
    </w:p>
    <w:p>
      <w:pPr>
        <w:pStyle w:val="34"/>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pPr>
        <w:pStyle w:val="34"/>
        <w:snapToGrid w:val="0"/>
        <w:spacing w:before="0"/>
        <w:ind w:firstLine="420"/>
        <w:rPr>
          <w:rFonts w:hint="eastAsia" w:ascii="宋体" w:hAnsi="宋体" w:eastAsia="宋体" w:cs="宋体"/>
          <w:color w:val="auto"/>
          <w:sz w:val="21"/>
          <w:szCs w:val="21"/>
          <w:highlight w:val="none"/>
        </w:rPr>
      </w:pPr>
    </w:p>
    <w:p>
      <w:pPr>
        <w:pStyle w:val="34"/>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19.5投标文件应避免涂改、行间插字或者删除</w:t>
      </w:r>
      <w:r>
        <w:rPr>
          <w:rFonts w:hint="eastAsia" w:ascii="宋体" w:hAnsi="宋体" w:eastAsia="宋体" w:cs="宋体"/>
          <w:color w:val="auto"/>
          <w:szCs w:val="21"/>
          <w:highlight w:val="none"/>
          <w:lang w:eastAsia="zh-CN"/>
        </w:rPr>
        <w:t>。</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详见“投标人须知前附表”。</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pPr>
        <w:spacing w:line="360" w:lineRule="auto"/>
        <w:ind w:firstLine="420" w:firstLineChars="200"/>
        <w:rPr>
          <w:rFonts w:hint="eastAsia" w:ascii="Times New Roman" w:hAnsi="宋体" w:eastAsia="宋体" w:cs="Times New Roman"/>
          <w:b/>
          <w:color w:val="auto"/>
          <w:highlight w:val="none"/>
        </w:rPr>
      </w:pPr>
      <w:bookmarkStart w:id="226" w:name="_21.1投标人必须在“投标人须知中的前附表”规定的投标文件接收时间和投"/>
      <w:bookmarkEnd w:id="226"/>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r>
        <w:rPr>
          <w:rFonts w:ascii="Times New Roman" w:hAnsi="宋体" w:eastAsia="宋体" w:cs="Times New Roman"/>
          <w:bCs/>
          <w:color w:val="auto"/>
          <w:szCs w:val="21"/>
          <w:highlight w:val="none"/>
        </w:rPr>
        <w:t xml:space="preserve"> </w:t>
      </w:r>
      <w:r>
        <w:rPr>
          <w:rFonts w:ascii="Times New Roman" w:hAnsi="宋体" w:eastAsia="宋体" w:cs="Times New Roman"/>
          <w:b/>
          <w:color w:val="auto"/>
          <w:highlight w:val="none"/>
        </w:rPr>
        <w:t xml:space="preserve"> </w:t>
      </w:r>
    </w:p>
    <w:p>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 投标文件的补充、修改、撤回</w:t>
      </w:r>
      <w:bookmarkStart w:id="227" w:name="_Toc254970684"/>
      <w:bookmarkStart w:id="228" w:name="_Toc254970543"/>
    </w:p>
    <w:p>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pPr>
        <w:pStyle w:val="34"/>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227"/>
    <w:bookmarkEnd w:id="228"/>
    <w:p>
      <w:pPr>
        <w:pStyle w:val="15"/>
        <w:snapToGrid w:val="0"/>
        <w:spacing w:line="400" w:lineRule="exact"/>
        <w:ind w:firstLine="739"/>
        <w:rPr>
          <w:rFonts w:hint="eastAsia" w:hAnsi="宋体" w:eastAsia="宋体" w:cs="Times New Roman"/>
          <w:snapToGrid w:val="0"/>
          <w:color w:val="auto"/>
          <w:sz w:val="21"/>
          <w:szCs w:val="21"/>
          <w:highlight w:val="none"/>
        </w:rPr>
      </w:pPr>
    </w:p>
    <w:p>
      <w:pPr>
        <w:pStyle w:val="5"/>
        <w:keepNext w:val="0"/>
        <w:keepLines w:val="0"/>
        <w:spacing w:line="400" w:lineRule="exact"/>
        <w:jc w:val="center"/>
        <w:rPr>
          <w:rFonts w:hint="eastAsia" w:ascii="Times New Roman" w:hAnsi="Times New Roman" w:eastAsia="宋体" w:cs="Times New Roman"/>
          <w:color w:val="auto"/>
          <w:highlight w:val="none"/>
        </w:rPr>
      </w:pPr>
      <w:bookmarkStart w:id="229" w:name="_Toc254970544"/>
      <w:bookmarkStart w:id="230" w:name="_Toc27037"/>
      <w:bookmarkStart w:id="231" w:name="_Toc14091"/>
      <w:bookmarkStart w:id="232" w:name="_Toc2573"/>
      <w:bookmarkStart w:id="233" w:name="_Toc13250"/>
      <w:bookmarkStart w:id="234" w:name="_Toc254970685"/>
      <w:bookmarkStart w:id="235" w:name="_Toc1586"/>
      <w:bookmarkStart w:id="236" w:name="_Toc12790"/>
      <w:bookmarkStart w:id="237" w:name="_Toc22661"/>
      <w:bookmarkStart w:id="238" w:name="_Toc32494"/>
      <w:bookmarkStart w:id="239" w:name="_Toc810"/>
      <w:bookmarkStart w:id="240" w:name="_Toc1356"/>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29"/>
      <w:bookmarkEnd w:id="230"/>
      <w:bookmarkEnd w:id="231"/>
      <w:bookmarkEnd w:id="232"/>
      <w:bookmarkEnd w:id="233"/>
      <w:bookmarkEnd w:id="234"/>
      <w:bookmarkEnd w:id="235"/>
      <w:bookmarkEnd w:id="236"/>
      <w:bookmarkEnd w:id="237"/>
      <w:bookmarkEnd w:id="238"/>
      <w:bookmarkEnd w:id="239"/>
      <w:bookmarkEnd w:id="240"/>
    </w:p>
    <w:p>
      <w:pPr>
        <w:spacing w:line="360" w:lineRule="auto"/>
        <w:ind w:firstLine="480" w:firstLineChars="200"/>
        <w:rPr>
          <w:rFonts w:ascii="黑体" w:hAnsi="黑体" w:eastAsia="黑体" w:cs="Times New Roman"/>
          <w:color w:val="auto"/>
          <w:sz w:val="24"/>
          <w:highlight w:val="none"/>
        </w:rPr>
      </w:pPr>
      <w:bookmarkStart w:id="241" w:name="_23.开标时间和地点"/>
      <w:bookmarkEnd w:id="241"/>
      <w:r>
        <w:rPr>
          <w:rFonts w:hint="eastAsia" w:ascii="黑体" w:hAnsi="黑体" w:eastAsia="黑体" w:cs="Times New Roman"/>
          <w:color w:val="auto"/>
          <w:sz w:val="24"/>
          <w:highlight w:val="none"/>
        </w:rPr>
        <w:t>23.开标时间和地点</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pPr>
        <w:pStyle w:val="17"/>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pPr>
        <w:pStyle w:val="17"/>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pPr>
        <w:pStyle w:val="17"/>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pPr>
        <w:pStyle w:val="17"/>
        <w:snapToGrid w:val="0"/>
        <w:spacing w:line="400" w:lineRule="exact"/>
        <w:ind w:left="689" w:leftChars="228" w:hanging="210" w:hangingChars="100"/>
        <w:rPr>
          <w:rFonts w:hint="eastAsia" w:hAnsi="宋体" w:eastAsia="宋体" w:cs="Times New Roman"/>
          <w:color w:val="auto"/>
          <w:highlight w:val="none"/>
        </w:rPr>
      </w:pPr>
    </w:p>
    <w:p>
      <w:pPr>
        <w:pStyle w:val="5"/>
        <w:keepNext w:val="0"/>
        <w:keepLines w:val="0"/>
        <w:spacing w:line="400" w:lineRule="exact"/>
        <w:jc w:val="center"/>
        <w:rPr>
          <w:rFonts w:hint="eastAsia" w:ascii="Times New Roman" w:hAnsi="Times New Roman" w:eastAsia="宋体" w:cs="Times New Roman"/>
          <w:color w:val="auto"/>
          <w:highlight w:val="none"/>
        </w:rPr>
      </w:pPr>
      <w:bookmarkStart w:id="242" w:name="_Toc1489"/>
      <w:bookmarkStart w:id="243" w:name="_Toc22509"/>
      <w:bookmarkStart w:id="244" w:name="_Toc25053"/>
      <w:bookmarkStart w:id="245" w:name="_Toc31994"/>
      <w:bookmarkStart w:id="246" w:name="_Toc2575"/>
      <w:bookmarkStart w:id="247" w:name="_Toc6866"/>
      <w:bookmarkStart w:id="248" w:name="_Toc19053"/>
      <w:bookmarkStart w:id="249" w:name="_Toc29189"/>
      <w:bookmarkStart w:id="250" w:name="_Toc23512"/>
      <w:bookmarkStart w:id="251" w:name="_Toc8919"/>
      <w:r>
        <w:rPr>
          <w:rFonts w:hint="eastAsia" w:ascii="Times New Roman" w:hAnsi="Times New Roman" w:eastAsia="宋体" w:cs="Times New Roman"/>
          <w:color w:val="auto"/>
          <w:highlight w:val="none"/>
        </w:rPr>
        <w:t>五、资格审查</w:t>
      </w:r>
      <w:bookmarkEnd w:id="242"/>
      <w:bookmarkEnd w:id="243"/>
      <w:bookmarkEnd w:id="244"/>
      <w:bookmarkEnd w:id="245"/>
      <w:bookmarkEnd w:id="246"/>
      <w:bookmarkEnd w:id="247"/>
      <w:bookmarkEnd w:id="248"/>
      <w:bookmarkEnd w:id="249"/>
      <w:bookmarkEnd w:id="250"/>
      <w:bookmarkEnd w:id="251"/>
    </w:p>
    <w:p>
      <w:pPr>
        <w:pStyle w:val="7"/>
        <w:keepNext w:val="0"/>
        <w:keepLines w:val="0"/>
        <w:spacing w:before="0" w:after="0" w:line="360" w:lineRule="auto"/>
        <w:ind w:firstLine="482"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pPr>
        <w:spacing w:line="360" w:lineRule="auto"/>
        <w:ind w:firstLine="422" w:firstLineChars="200"/>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hint="eastAsia" w:ascii="宋体" w:hAnsi="宋体" w:eastAsia="宋体" w:cs="Times New Roman"/>
          <w:b/>
          <w:bCs/>
          <w:color w:val="auto"/>
          <w:szCs w:val="20"/>
          <w:highlight w:val="none"/>
        </w:rPr>
      </w:pPr>
      <w:bookmarkStart w:id="252" w:name="_25.3_投标人有下列情形之一的，资格审查不通过而导致其投标无效："/>
      <w:bookmarkEnd w:id="252"/>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pPr>
        <w:pStyle w:val="2"/>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（4）同一合同项下的不同供应商，单位负责人为同一人或者存在直接控股、管理关系的；为本项目提供过整体设计、规范编制或者项目管理、监理、检测等服务的。</w:t>
      </w:r>
    </w:p>
    <w:p>
      <w:pPr>
        <w:pStyle w:val="7"/>
        <w:keepNext w:val="0"/>
        <w:keepLines w:val="0"/>
        <w:spacing w:before="0" w:after="0" w:line="360" w:lineRule="auto"/>
        <w:ind w:firstLine="420" w:firstLineChars="200"/>
        <w:rPr>
          <w:rFonts w:ascii="宋体" w:hAnsi="宋体" w:eastAsia="宋体" w:cs="Times New Roman"/>
          <w:b w:val="0"/>
          <w:bCs w:val="0"/>
          <w:color w:val="auto"/>
          <w:sz w:val="21"/>
          <w:szCs w:val="20"/>
          <w:highlight w:val="none"/>
        </w:rPr>
      </w:pPr>
      <w:r>
        <w:rPr>
          <w:rFonts w:hint="eastAsia" w:ascii="宋体" w:hAnsi="宋体" w:eastAsia="宋体" w:cs="Times New Roman"/>
          <w:b w:val="0"/>
          <w:bCs w:val="0"/>
          <w:color w:val="auto"/>
          <w:sz w:val="21"/>
          <w:szCs w:val="20"/>
          <w:highlight w:val="none"/>
        </w:rPr>
        <w:t>25.</w:t>
      </w:r>
      <w:r>
        <w:rPr>
          <w:rFonts w:hint="eastAsia" w:ascii="宋体" w:hAnsi="宋体" w:cs="Times New Roman"/>
          <w:b w:val="0"/>
          <w:bCs w:val="0"/>
          <w:color w:val="auto"/>
          <w:sz w:val="21"/>
          <w:szCs w:val="20"/>
          <w:highlight w:val="none"/>
          <w:lang w:val="en-US" w:eastAsia="zh-CN"/>
        </w:rPr>
        <w:t>4</w:t>
      </w:r>
      <w:r>
        <w:rPr>
          <w:rFonts w:hint="eastAsia" w:ascii="宋体" w:hAnsi="宋体" w:eastAsia="宋体" w:cs="Times New Roman"/>
          <w:b w:val="0"/>
          <w:bCs w:val="0"/>
          <w:color w:val="auto"/>
          <w:sz w:val="21"/>
          <w:szCs w:val="20"/>
          <w:highlight w:val="none"/>
        </w:rPr>
        <w:t>资格审查的合格投标人不足3家的，不得评标。</w:t>
      </w:r>
    </w:p>
    <w:p>
      <w:pPr>
        <w:pStyle w:val="5"/>
        <w:keepNext w:val="0"/>
        <w:keepLines w:val="0"/>
        <w:spacing w:line="360" w:lineRule="auto"/>
        <w:jc w:val="center"/>
        <w:rPr>
          <w:rFonts w:hint="eastAsia" w:ascii="Times New Roman" w:hAnsi="Times New Roman" w:eastAsia="宋体" w:cs="Times New Roman"/>
          <w:color w:val="auto"/>
          <w:highlight w:val="none"/>
        </w:rPr>
      </w:pPr>
      <w:bookmarkStart w:id="253" w:name="_Toc11169"/>
      <w:bookmarkStart w:id="254" w:name="_Toc21152"/>
      <w:bookmarkStart w:id="255" w:name="_Toc1454"/>
      <w:bookmarkStart w:id="256" w:name="_Toc29412"/>
      <w:bookmarkStart w:id="257" w:name="_Toc15749"/>
      <w:bookmarkStart w:id="258" w:name="_Toc20446"/>
      <w:bookmarkStart w:id="259" w:name="_Toc19035"/>
      <w:bookmarkStart w:id="260" w:name="_Toc2770"/>
      <w:bookmarkStart w:id="261" w:name="_Toc20983"/>
      <w:bookmarkStart w:id="262" w:name="_Toc3548"/>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53"/>
      <w:bookmarkEnd w:id="254"/>
      <w:bookmarkEnd w:id="255"/>
      <w:bookmarkEnd w:id="256"/>
      <w:bookmarkEnd w:id="257"/>
      <w:bookmarkEnd w:id="258"/>
      <w:bookmarkEnd w:id="259"/>
      <w:bookmarkEnd w:id="260"/>
      <w:bookmarkEnd w:id="261"/>
      <w:bookmarkEnd w:id="262"/>
    </w:p>
    <w:p>
      <w:pPr>
        <w:spacing w:line="360" w:lineRule="auto"/>
        <w:ind w:firstLine="480" w:firstLineChars="200"/>
        <w:rPr>
          <w:rFonts w:ascii="黑体" w:hAnsi="黑体" w:eastAsia="黑体" w:cs="Times New Roman"/>
          <w:color w:val="auto"/>
          <w:sz w:val="24"/>
          <w:highlight w:val="none"/>
        </w:rPr>
      </w:pPr>
      <w:bookmarkStart w:id="263" w:name="_26.组建评标委员会"/>
      <w:bookmarkEnd w:id="263"/>
      <w:r>
        <w:rPr>
          <w:rFonts w:hint="eastAsia" w:ascii="黑体" w:hAnsi="黑体" w:eastAsia="黑体" w:cs="Times New Roman"/>
          <w:color w:val="auto"/>
          <w:sz w:val="24"/>
          <w:highlight w:val="none"/>
        </w:rPr>
        <w:t>26.组建评标委员会</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ascii="Times New Roman" w:hAnsi="宋体" w:eastAsia="宋体" w:cs="Times New Roman"/>
          <w:color w:val="auto"/>
          <w:highlight w:val="none"/>
        </w:rPr>
        <w:t>5</w:t>
      </w:r>
      <w:r>
        <w:rPr>
          <w:rFonts w:hint="eastAsia" w:ascii="Times New Roman" w:hAnsi="宋体" w:eastAsia="宋体" w:cs="Times New Roman"/>
          <w:color w:val="auto"/>
          <w:highlight w:val="none"/>
        </w:rPr>
        <w:t>人以上单数，其中评审专家不得少于成员总数的三分之二。</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2</w:t>
      </w:r>
      <w:r>
        <w:rPr>
          <w:rFonts w:hint="eastAsia" w:ascii="宋体" w:hAnsi="宋体" w:eastAsia="宋体" w:cs="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3</w:t>
      </w:r>
      <w:r>
        <w:rPr>
          <w:rFonts w:hint="eastAsia" w:ascii="宋体" w:hAnsi="宋体" w:eastAsia="宋体" w:cs="宋体"/>
          <w:color w:val="auto"/>
          <w:highlight w:val="none"/>
        </w:rPr>
        <w:t>评标过程的监控。本项目电子评标过程实行网上留痕、全程录音、录像监控，投标人在评标过程中所进行的试图影响评标结果的不公正活动，可能导致其投标</w:t>
      </w:r>
      <w:r>
        <w:rPr>
          <w:rFonts w:hint="eastAsia" w:ascii="宋体" w:hAnsi="宋体" w:eastAsia="宋体" w:cs="宋体"/>
          <w:color w:val="auto"/>
          <w:highlight w:val="none"/>
          <w:lang w:eastAsia="zh-CN"/>
        </w:rPr>
        <w:t>作</w:t>
      </w:r>
      <w:r>
        <w:rPr>
          <w:rFonts w:hint="eastAsia" w:ascii="宋体" w:hAnsi="宋体" w:eastAsia="宋体" w:cs="宋体"/>
          <w:color w:val="auto"/>
          <w:highlight w:val="none"/>
        </w:rPr>
        <w:t>无效处理。</w:t>
      </w:r>
    </w:p>
    <w:p>
      <w:pPr>
        <w:widowControl/>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4</w:t>
      </w:r>
      <w:r>
        <w:rPr>
          <w:rFonts w:hint="eastAsia" w:ascii="宋体" w:hAnsi="宋体" w:eastAsia="宋体" w:cs="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7"/>
        <w:snapToGrid w:val="0"/>
        <w:spacing w:line="400" w:lineRule="exact"/>
        <w:ind w:firstLine="420" w:firstLineChars="200"/>
        <w:rPr>
          <w:rFonts w:hAnsi="宋体" w:eastAsia="宋体" w:cs="Times New Roman"/>
          <w:color w:val="auto"/>
          <w:highlight w:val="none"/>
        </w:rPr>
      </w:pPr>
    </w:p>
    <w:p>
      <w:pPr>
        <w:pStyle w:val="5"/>
        <w:keepNext w:val="0"/>
        <w:keepLines w:val="0"/>
        <w:spacing w:line="400" w:lineRule="exact"/>
        <w:jc w:val="center"/>
        <w:rPr>
          <w:rFonts w:hint="eastAsia" w:ascii="Times New Roman" w:hAnsi="Times New Roman" w:eastAsia="宋体" w:cs="Times New Roman"/>
          <w:color w:val="auto"/>
          <w:highlight w:val="none"/>
        </w:rPr>
      </w:pPr>
      <w:bookmarkStart w:id="264" w:name="_Toc254970687"/>
      <w:bookmarkStart w:id="265" w:name="_Toc254970546"/>
      <w:bookmarkStart w:id="266" w:name="_Toc10518"/>
      <w:bookmarkStart w:id="267" w:name="_Toc14661"/>
      <w:bookmarkStart w:id="268" w:name="_Toc31226"/>
      <w:bookmarkStart w:id="269" w:name="_Toc24771"/>
      <w:bookmarkStart w:id="270" w:name="_Toc31698"/>
      <w:bookmarkStart w:id="271" w:name="_Toc10427"/>
      <w:bookmarkStart w:id="272" w:name="_Toc2302"/>
      <w:bookmarkStart w:id="273" w:name="_Toc15452"/>
      <w:bookmarkStart w:id="274" w:name="_Toc4688"/>
      <w:bookmarkStart w:id="275" w:name="_Toc32339"/>
      <w:r>
        <w:rPr>
          <w:rFonts w:hint="eastAsia" w:ascii="Times New Roman" w:hAnsi="Times New Roman" w:eastAsia="宋体" w:cs="Times New Roman"/>
          <w:color w:val="auto"/>
          <w:highlight w:val="none"/>
        </w:rPr>
        <w:t>七、</w:t>
      </w:r>
      <w:bookmarkEnd w:id="264"/>
      <w:bookmarkEnd w:id="265"/>
      <w:r>
        <w:rPr>
          <w:rFonts w:hint="eastAsia" w:ascii="Times New Roman" w:hAnsi="Times New Roman" w:eastAsia="宋体" w:cs="Times New Roman"/>
          <w:color w:val="auto"/>
          <w:highlight w:val="none"/>
        </w:rPr>
        <w:t>中标和合同</w:t>
      </w:r>
      <w:bookmarkEnd w:id="266"/>
      <w:bookmarkEnd w:id="267"/>
      <w:bookmarkEnd w:id="268"/>
      <w:bookmarkEnd w:id="269"/>
      <w:bookmarkEnd w:id="270"/>
      <w:bookmarkEnd w:id="271"/>
      <w:bookmarkEnd w:id="272"/>
      <w:bookmarkEnd w:id="273"/>
      <w:bookmarkEnd w:id="274"/>
      <w:bookmarkEnd w:id="275"/>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评标报告之日起5个工作日内在评标报告推荐的中标候选人名单中按顺序确定中标人。采购人也可以事先授权评标委员会直接确定中标人。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r>
        <w:rPr>
          <w:rFonts w:hint="eastAsia" w:ascii="宋体" w:hAnsi="宋体" w:cs="宋体"/>
          <w:b/>
          <w:bCs/>
          <w:color w:val="auto"/>
          <w:szCs w:val="21"/>
          <w:highlight w:val="none"/>
          <w:lang w:val="en-US" w:eastAsia="zh-CN"/>
        </w:rPr>
        <w:t xml:space="preserve">   </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 结果公告</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bookmarkStart w:id="276" w:name="_39.1中标人须于签订合同前按本须知前附表规定的金额转账或电汇到指定账"/>
      <w:bookmarkEnd w:id="276"/>
      <w:r>
        <w:rPr>
          <w:rFonts w:hint="eastAsia" w:ascii="宋体" w:hAnsi="宋体" w:eastAsia="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宋体"/>
          <w:b w:val="0"/>
          <w:color w:val="auto"/>
          <w:sz w:val="21"/>
          <w:szCs w:val="21"/>
          <w:highlight w:val="none"/>
          <w:lang w:eastAsia="zh-CN"/>
        </w:rPr>
        <w:t>依法</w:t>
      </w:r>
      <w:r>
        <w:rPr>
          <w:rFonts w:hint="eastAsia" w:ascii="宋体" w:hAnsi="宋体" w:eastAsia="宋体" w:cs="宋体"/>
          <w:b w:val="0"/>
          <w:color w:val="auto"/>
          <w:sz w:val="21"/>
          <w:szCs w:val="21"/>
          <w:highlight w:val="none"/>
        </w:rPr>
        <w:t>确定下一候选人为中标人，也可以重新开展政府采购活动。</w:t>
      </w:r>
    </w:p>
    <w:p>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pPr>
        <w:pStyle w:val="7"/>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35.3在履约保证金退还日期前，若中标人的开户名称、开户银行、</w:t>
      </w:r>
      <w:r>
        <w:rPr>
          <w:rFonts w:hint="eastAsia" w:ascii="宋体" w:hAnsi="宋体" w:eastAsia="宋体" w:cs="宋体"/>
          <w:b w:val="0"/>
          <w:color w:val="auto"/>
          <w:sz w:val="21"/>
          <w:szCs w:val="21"/>
          <w:highlight w:val="none"/>
          <w:lang w:eastAsia="zh-CN"/>
        </w:rPr>
        <w:t>账</w:t>
      </w:r>
      <w:r>
        <w:rPr>
          <w:rFonts w:hint="eastAsia" w:ascii="宋体" w:hAnsi="宋体" w:eastAsia="宋体" w:cs="宋体"/>
          <w:b w:val="0"/>
          <w:color w:val="auto"/>
          <w:sz w:val="21"/>
          <w:szCs w:val="21"/>
          <w:highlight w:val="none"/>
        </w:rPr>
        <w:t>号有变动的，请以书面形式通知履约保证金收取单位，否则由此产生的后果由中标人自行承担。</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pPr>
        <w:spacing w:line="360" w:lineRule="auto"/>
        <w:ind w:firstLine="420" w:firstLineChars="200"/>
        <w:rPr>
          <w:rFonts w:hint="eastAsia"/>
          <w:b/>
          <w:bCs/>
          <w:i/>
          <w:iCs/>
          <w:color w:val="auto"/>
          <w:szCs w:val="21"/>
          <w:highlight w:val="none"/>
          <w:lang w:eastAsia="zh-CN"/>
        </w:rPr>
      </w:pPr>
      <w:bookmarkStart w:id="277" w:name="_40.1投标人接到中标通知书后，按须知前附表规定向采购人出示相关资格证"/>
      <w:bookmarkEnd w:id="277"/>
      <w:r>
        <w:rPr>
          <w:rFonts w:hint="eastAsia" w:ascii="宋体" w:hAnsi="宋体" w:cs="宋体"/>
          <w:b w:val="0"/>
          <w:color w:val="auto"/>
          <w:sz w:val="21"/>
          <w:szCs w:val="21"/>
          <w:highlight w:val="none"/>
          <w:lang w:eastAsia="zh-CN"/>
        </w:rPr>
        <w:t xml:space="preserve"> </w:t>
      </w:r>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pPr>
        <w:adjustRightInd/>
        <w:spacing w:line="360" w:lineRule="auto"/>
        <w:ind w:firstLine="420" w:firstLineChars="200"/>
        <w:rPr>
          <w:rFonts w:hint="eastAsia" w:ascii="宋体" w:hAnsi="宋体" w:cs="宋体"/>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pPr>
        <w:pStyle w:val="34"/>
        <w:snapToGrid w:val="0"/>
        <w:spacing w:before="0"/>
        <w:ind w:firstLine="420"/>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pPr>
        <w:spacing w:line="360" w:lineRule="auto"/>
        <w:ind w:firstLine="480" w:firstLineChars="200"/>
        <w:rPr>
          <w:rFonts w:hint="eastAsia" w:ascii="黑体" w:hAnsi="黑体" w:eastAsia="黑体" w:cs="Times New Roman"/>
          <w:color w:val="auto"/>
          <w:sz w:val="24"/>
          <w:highlight w:val="none"/>
        </w:rPr>
      </w:pPr>
      <w:bookmarkStart w:id="278" w:name="_41.政府采购合同公告"/>
      <w:bookmarkEnd w:id="278"/>
      <w:r>
        <w:rPr>
          <w:rFonts w:hint="eastAsia" w:ascii="黑体" w:hAnsi="黑体" w:eastAsia="黑体" w:cs="Times New Roman"/>
          <w:color w:val="auto"/>
          <w:sz w:val="24"/>
          <w:highlight w:val="none"/>
        </w:rPr>
        <w:t>37.政府采购合同公告</w:t>
      </w:r>
    </w:p>
    <w:p>
      <w:pPr>
        <w:spacing w:line="360" w:lineRule="auto"/>
        <w:ind w:firstLine="420" w:firstLineChars="200"/>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 询问、质疑和投诉</w:t>
      </w:r>
    </w:p>
    <w:p>
      <w:pPr>
        <w:spacing w:line="360" w:lineRule="auto"/>
        <w:ind w:firstLine="422" w:firstLineChars="200"/>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（3）供应商认为中标或者成交结果使自己的权益受到损害的，应当在中标或者成交结果公告期限届满之日起7个工作日内提出质疑，由采购人受理并负责答复。</w:t>
      </w:r>
    </w:p>
    <w:p>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pPr>
        <w:spacing w:line="360" w:lineRule="auto"/>
        <w:ind w:firstLine="422" w:firstLineChars="200"/>
        <w:rPr>
          <w:rFonts w:ascii="宋体" w:hAnsi="宋体" w:eastAsia="宋体" w:cs="Times New Roman"/>
          <w:b/>
          <w:bCs/>
          <w:color w:val="auto"/>
          <w:szCs w:val="21"/>
          <w:highlight w:val="none"/>
        </w:rPr>
      </w:pPr>
      <w:bookmarkStart w:id="279" w:name="_9.2质疑、投诉应当采用书面形式，质疑函、投诉书均应明确阐述招标文件、"/>
      <w:bookmarkEnd w:id="279"/>
      <w:r>
        <w:rPr>
          <w:rFonts w:hint="eastAsia" w:ascii="宋体" w:hAnsi="宋体" w:eastAsia="宋体" w:cs="Times New Roman"/>
          <w:b/>
          <w:bCs/>
          <w:color w:val="auto"/>
          <w:szCs w:val="21"/>
          <w:highlight w:val="none"/>
        </w:rPr>
        <w:t xml:space="preserve"> 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（1）投诉人和被投诉人的名称、地址、邮编、联系人及联系电话等；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80" w:name="_Toc23239"/>
      <w:bookmarkStart w:id="281" w:name="_Toc1756"/>
      <w:bookmarkStart w:id="282" w:name="_Toc7828"/>
      <w:bookmarkStart w:id="283" w:name="_Toc25946"/>
      <w:bookmarkStart w:id="284" w:name="_Toc14937"/>
      <w:bookmarkStart w:id="285" w:name="_Toc13659"/>
      <w:bookmarkStart w:id="286" w:name="_Toc27653"/>
      <w:bookmarkStart w:id="287" w:name="_Toc8731"/>
      <w:bookmarkStart w:id="288" w:name="_Toc29288"/>
      <w:bookmarkStart w:id="289" w:name="_Toc26583"/>
      <w:r>
        <w:rPr>
          <w:rFonts w:hint="eastAsia" w:ascii="Times New Roman" w:hAnsi="Times New Roman" w:eastAsia="宋体" w:cs="Times New Roman"/>
          <w:b/>
          <w:bCs/>
          <w:color w:val="auto"/>
          <w:sz w:val="32"/>
          <w:szCs w:val="32"/>
          <w:highlight w:val="none"/>
        </w:rPr>
        <w:t>八、验收</w:t>
      </w:r>
      <w:bookmarkEnd w:id="280"/>
      <w:bookmarkEnd w:id="281"/>
      <w:bookmarkEnd w:id="282"/>
      <w:bookmarkEnd w:id="283"/>
      <w:bookmarkEnd w:id="284"/>
      <w:bookmarkEnd w:id="285"/>
      <w:bookmarkEnd w:id="286"/>
      <w:bookmarkEnd w:id="287"/>
      <w:bookmarkEnd w:id="288"/>
      <w:bookmarkEnd w:id="289"/>
    </w:p>
    <w:p>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pPr>
        <w:pStyle w:val="17"/>
        <w:snapToGrid w:val="0"/>
        <w:spacing w:line="400" w:lineRule="exact"/>
        <w:rPr>
          <w:rFonts w:hAnsi="宋体" w:eastAsia="宋体" w:cs="Times New Roman"/>
          <w:color w:val="auto"/>
          <w:highlight w:val="none"/>
        </w:rPr>
      </w:pPr>
    </w:p>
    <w:p>
      <w:pPr>
        <w:pStyle w:val="5"/>
        <w:keepNext w:val="0"/>
        <w:keepLines w:val="0"/>
        <w:spacing w:line="360" w:lineRule="auto"/>
        <w:jc w:val="center"/>
        <w:rPr>
          <w:rFonts w:hint="eastAsia" w:ascii="Times New Roman" w:hAnsi="Times New Roman" w:eastAsia="宋体" w:cs="Times New Roman"/>
          <w:color w:val="auto"/>
          <w:highlight w:val="none"/>
        </w:rPr>
      </w:pPr>
      <w:bookmarkStart w:id="290" w:name="_八、其他事项"/>
      <w:bookmarkEnd w:id="290"/>
      <w:bookmarkStart w:id="291" w:name="_Toc5795"/>
      <w:bookmarkStart w:id="292" w:name="_Toc24348"/>
      <w:bookmarkStart w:id="293" w:name="_Toc31560"/>
      <w:bookmarkStart w:id="294" w:name="_Toc32163"/>
      <w:bookmarkStart w:id="295" w:name="_Toc13217"/>
      <w:bookmarkStart w:id="296" w:name="_Toc14814"/>
      <w:bookmarkStart w:id="297" w:name="_Toc16509"/>
      <w:bookmarkStart w:id="298" w:name="_Toc28972"/>
      <w:bookmarkStart w:id="299" w:name="_Toc13612"/>
      <w:bookmarkStart w:id="300" w:name="_Toc27249"/>
      <w:r>
        <w:rPr>
          <w:rFonts w:hint="eastAsia" w:ascii="Times New Roman" w:hAnsi="Times New Roman" w:eastAsia="宋体" w:cs="Times New Roman"/>
          <w:color w:val="auto"/>
          <w:highlight w:val="none"/>
        </w:rPr>
        <w:t>九、其他事项</w:t>
      </w:r>
      <w:bookmarkEnd w:id="291"/>
      <w:bookmarkEnd w:id="292"/>
      <w:bookmarkEnd w:id="293"/>
      <w:bookmarkEnd w:id="294"/>
      <w:bookmarkEnd w:id="295"/>
      <w:bookmarkEnd w:id="296"/>
      <w:bookmarkEnd w:id="297"/>
      <w:bookmarkEnd w:id="298"/>
      <w:bookmarkEnd w:id="299"/>
      <w:bookmarkEnd w:id="300"/>
    </w:p>
    <w:p>
      <w:pPr>
        <w:spacing w:line="360" w:lineRule="auto"/>
        <w:ind w:firstLine="480" w:firstLineChars="200"/>
        <w:rPr>
          <w:rFonts w:ascii="黑体" w:hAnsi="黑体" w:eastAsia="黑体" w:cs="Times New Roman"/>
          <w:color w:val="auto"/>
          <w:sz w:val="24"/>
          <w:highlight w:val="none"/>
        </w:rPr>
      </w:pPr>
      <w:bookmarkStart w:id="301" w:name="_42.代理服务费"/>
      <w:bookmarkEnd w:id="301"/>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40.2</w:t>
      </w:r>
      <w:r>
        <w:rPr>
          <w:rFonts w:hint="eastAsia" w:ascii="宋体" w:hAnsi="宋体" w:eastAsia="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代理服务</w:t>
      </w:r>
      <w:r>
        <w:rPr>
          <w:rFonts w:hint="eastAsia" w:ascii="宋体" w:hAnsi="宋体" w:eastAsia="宋体" w:cs="宋体"/>
          <w:b w:val="0"/>
          <w:color w:val="auto"/>
          <w:sz w:val="21"/>
          <w:szCs w:val="21"/>
          <w:highlight w:val="none"/>
          <w:lang w:eastAsia="zh-CN"/>
        </w:rPr>
        <w:t>费</w:t>
      </w:r>
      <w:r>
        <w:rPr>
          <w:rFonts w:hint="eastAsia" w:ascii="宋体" w:hAnsi="宋体" w:eastAsia="宋体" w:cs="宋体"/>
          <w:b w:val="0"/>
          <w:color w:val="auto"/>
          <w:sz w:val="21"/>
          <w:szCs w:val="21"/>
          <w:highlight w:val="none"/>
        </w:rPr>
        <w:t>收费标准：</w:t>
      </w:r>
    </w:p>
    <w:tbl>
      <w:tblPr>
        <w:tblStyle w:val="24"/>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w:t>
            </w:r>
            <w:r>
              <w:rPr>
                <w:rFonts w:hint="eastAsia" w:ascii="宋体" w:hAnsi="宋体" w:cs="宋体"/>
                <w:color w:val="auto"/>
                <w:szCs w:val="21"/>
                <w:highlight w:val="none"/>
                <w:lang w:val="en-US" w:eastAsia="zh-CN"/>
              </w:rPr>
              <w:t>元</w:t>
            </w:r>
            <w:r>
              <w:rPr>
                <w:rFonts w:hint="eastAsia" w:ascii="宋体" w:hAnsi="宋体" w:eastAsia="宋体" w:cs="宋体"/>
                <w:color w:val="auto"/>
                <w:szCs w:val="21"/>
                <w:highlight w:val="none"/>
              </w:rPr>
              <w:t>以上</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×0.8％＝0.8万元</w:t>
      </w:r>
    </w:p>
    <w:p>
      <w:pPr>
        <w:pStyle w:val="17"/>
        <w:snapToGrid w:val="0"/>
        <w:spacing w:before="120" w:after="120"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合计收费＝ 1.5+0.8＝ 2.3（万元）</w:t>
      </w:r>
    </w:p>
    <w:p>
      <w:pPr>
        <w:pStyle w:val="2"/>
        <w:rPr>
          <w:rFonts w:hint="eastAsia"/>
          <w:color w:val="auto"/>
          <w:highlight w:val="none"/>
        </w:rPr>
      </w:pP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pPr>
        <w:spacing w:line="580" w:lineRule="exact"/>
        <w:jc w:val="center"/>
        <w:rPr>
          <w:rFonts w:hint="eastAsia" w:ascii="宋体" w:hAnsi="宋体" w:eastAsia="宋体" w:cs="宋体"/>
          <w:color w:val="auto"/>
          <w:sz w:val="44"/>
          <w:szCs w:val="44"/>
          <w:highlight w:val="none"/>
        </w:rPr>
      </w:pPr>
    </w:p>
    <w:p>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pPr>
        <w:spacing w:line="580" w:lineRule="exact"/>
        <w:ind w:firstLine="420" w:firstLineChars="200"/>
        <w:rPr>
          <w:rFonts w:hint="eastAsia" w:ascii="宋体" w:hAnsi="宋体" w:cs="宋体"/>
          <w:color w:val="auto"/>
          <w:szCs w:val="32"/>
          <w:highlight w:val="none"/>
        </w:rPr>
      </w:pPr>
    </w:p>
    <w:p>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29"/>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pPr>
        <w:numPr>
          <w:ilvl w:val="0"/>
          <w:numId w:val="3"/>
        </w:numPr>
        <w:spacing w:line="360" w:lineRule="auto"/>
        <w:ind w:firstLine="420" w:firstLineChars="200"/>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302" w:name="_Toc532545043"/>
    </w:p>
    <w:p>
      <w:pPr>
        <w:pStyle w:val="17"/>
        <w:jc w:val="center"/>
        <w:outlineLvl w:val="0"/>
        <w:rPr>
          <w:rFonts w:hint="eastAsia" w:ascii="Times New Roman" w:hAnsi="Times New Roman" w:eastAsia="宋体" w:cs="Times New Roman"/>
          <w:b/>
          <w:color w:val="auto"/>
          <w:sz w:val="36"/>
          <w:highlight w:val="none"/>
          <w:lang w:eastAsia="zh-CN"/>
        </w:rPr>
      </w:pPr>
      <w:bookmarkStart w:id="303" w:name="_Toc24569"/>
      <w:bookmarkStart w:id="304" w:name="_Toc26567"/>
      <w:bookmarkStart w:id="305" w:name="_Toc12751"/>
      <w:bookmarkStart w:id="306" w:name="_Toc2789"/>
      <w:bookmarkStart w:id="307" w:name="_Toc18631"/>
      <w:bookmarkStart w:id="308" w:name="_Toc31952"/>
      <w:bookmarkStart w:id="309" w:name="_Toc14666"/>
      <w:bookmarkStart w:id="310" w:name="_Toc11694"/>
      <w:bookmarkStart w:id="311" w:name="_Toc3584"/>
      <w:bookmarkStart w:id="312" w:name="_Toc28468"/>
      <w:bookmarkStart w:id="313" w:name="_Toc10118"/>
      <w:bookmarkStart w:id="314" w:name="_Toc10034"/>
      <w:bookmarkStart w:id="315" w:name="_Toc19117"/>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302"/>
      <w:bookmarkEnd w:id="303"/>
      <w:bookmarkEnd w:id="304"/>
      <w:bookmarkEnd w:id="305"/>
      <w:bookmarkEnd w:id="306"/>
      <w:bookmarkEnd w:id="307"/>
      <w:bookmarkEnd w:id="308"/>
      <w:bookmarkEnd w:id="309"/>
      <w:bookmarkEnd w:id="310"/>
      <w:r>
        <w:rPr>
          <w:rFonts w:hint="eastAsia" w:ascii="Times New Roman" w:hAnsi="Times New Roman" w:cs="Times New Roman"/>
          <w:b/>
          <w:color w:val="auto"/>
          <w:sz w:val="36"/>
          <w:highlight w:val="none"/>
          <w:lang w:eastAsia="zh-CN"/>
        </w:rPr>
        <w:t>评标方法和评标标准</w:t>
      </w:r>
      <w:bookmarkEnd w:id="311"/>
      <w:bookmarkEnd w:id="312"/>
      <w:bookmarkEnd w:id="313"/>
      <w:bookmarkEnd w:id="314"/>
      <w:bookmarkEnd w:id="315"/>
    </w:p>
    <w:p>
      <w:pPr>
        <w:pStyle w:val="17"/>
        <w:jc w:val="center"/>
        <w:outlineLvl w:val="1"/>
        <w:rPr>
          <w:rFonts w:ascii="Times New Roman" w:hAnsi="Times New Roman" w:eastAsia="宋体" w:cs="Times New Roman"/>
          <w:b/>
          <w:bCs/>
          <w:color w:val="auto"/>
          <w:sz w:val="32"/>
          <w:szCs w:val="32"/>
          <w:highlight w:val="none"/>
        </w:rPr>
      </w:pPr>
      <w:bookmarkStart w:id="316" w:name="_Toc20519"/>
      <w:bookmarkStart w:id="317" w:name="_Toc14342"/>
      <w:bookmarkStart w:id="318" w:name="_Toc29945"/>
      <w:bookmarkStart w:id="319" w:name="_Toc12345"/>
      <w:bookmarkStart w:id="320" w:name="_Toc28945"/>
      <w:bookmarkStart w:id="321" w:name="_Toc28074"/>
      <w:bookmarkStart w:id="322" w:name="_Toc9604"/>
      <w:bookmarkStart w:id="323" w:name="_Toc5889"/>
      <w:bookmarkStart w:id="324" w:name="_Toc3574"/>
      <w:bookmarkStart w:id="325" w:name="_Toc6104"/>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316"/>
      <w:bookmarkEnd w:id="317"/>
      <w:bookmarkEnd w:id="318"/>
      <w:bookmarkEnd w:id="319"/>
      <w:bookmarkEnd w:id="320"/>
      <w:bookmarkEnd w:id="321"/>
      <w:bookmarkEnd w:id="322"/>
      <w:bookmarkEnd w:id="323"/>
      <w:bookmarkEnd w:id="324"/>
      <w:bookmarkEnd w:id="325"/>
    </w:p>
    <w:p>
      <w:pPr>
        <w:pStyle w:val="17"/>
        <w:tabs>
          <w:tab w:val="left" w:pos="2472"/>
        </w:tabs>
        <w:spacing w:line="460" w:lineRule="exact"/>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eastAsia="宋体" w:cs="宋体"/>
          <w:color w:val="auto"/>
          <w:szCs w:val="21"/>
          <w:highlight w:val="none"/>
        </w:rPr>
        <w:t>进行评审。</w:t>
      </w:r>
    </w:p>
    <w:p>
      <w:pPr>
        <w:pStyle w:val="17"/>
        <w:spacing w:line="36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pPr>
        <w:autoSpaceDE w:val="0"/>
        <w:autoSpaceDN w:val="0"/>
        <w:adjustRightInd w:val="0"/>
        <w:spacing w:line="440" w:lineRule="exact"/>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pPr>
        <w:pStyle w:val="17"/>
        <w:spacing w:line="360" w:lineRule="auto"/>
        <w:ind w:firstLine="420"/>
        <w:rPr>
          <w:rFonts w:hint="eastAsia" w:hAnsi="宋体" w:eastAsia="宋体" w:cs="Times New Roman"/>
          <w:color w:val="auto"/>
          <w:highlight w:val="none"/>
        </w:rPr>
      </w:pPr>
    </w:p>
    <w:p>
      <w:pPr>
        <w:pStyle w:val="17"/>
        <w:tabs>
          <w:tab w:val="left" w:pos="2472"/>
        </w:tabs>
        <w:spacing w:line="460" w:lineRule="exact"/>
        <w:jc w:val="center"/>
        <w:outlineLvl w:val="1"/>
        <w:rPr>
          <w:rFonts w:hint="eastAsia" w:ascii="Times New Roman" w:hAnsi="Times New Roman" w:eastAsia="宋体" w:cs="Times New Roman"/>
          <w:b/>
          <w:bCs/>
          <w:color w:val="auto"/>
          <w:sz w:val="32"/>
          <w:szCs w:val="32"/>
          <w:highlight w:val="none"/>
        </w:rPr>
      </w:pPr>
      <w:bookmarkStart w:id="326" w:name="_Toc588"/>
      <w:bookmarkStart w:id="327" w:name="_Toc9259"/>
      <w:bookmarkStart w:id="328" w:name="_Toc24507"/>
      <w:bookmarkStart w:id="329" w:name="_Toc1643"/>
      <w:bookmarkStart w:id="330" w:name="_Toc9023"/>
      <w:bookmarkStart w:id="331" w:name="_Toc23151"/>
      <w:bookmarkStart w:id="332" w:name="_Toc4190"/>
      <w:bookmarkStart w:id="333" w:name="_Toc10545"/>
      <w:bookmarkStart w:id="334" w:name="_Toc18477"/>
      <w:bookmarkStart w:id="335" w:name="_Toc30114"/>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326"/>
      <w:bookmarkEnd w:id="327"/>
      <w:bookmarkEnd w:id="328"/>
      <w:bookmarkEnd w:id="329"/>
      <w:bookmarkEnd w:id="330"/>
      <w:bookmarkEnd w:id="331"/>
      <w:bookmarkEnd w:id="332"/>
      <w:bookmarkEnd w:id="333"/>
      <w:bookmarkEnd w:id="334"/>
      <w:bookmarkEnd w:id="335"/>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pPr>
        <w:widowControl/>
        <w:numPr>
          <w:ilvl w:val="0"/>
          <w:numId w:val="4"/>
        </w:numPr>
        <w:spacing w:after="150" w:line="48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pPr>
        <w:widowControl/>
        <w:numPr>
          <w:ilvl w:val="0"/>
          <w:numId w:val="4"/>
        </w:numPr>
        <w:spacing w:after="150" w:line="48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pPr>
        <w:widowControl/>
        <w:spacing w:line="560" w:lineRule="exact"/>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4"/>
        <w:jc w:val="center"/>
        <w:rPr>
          <w:rFonts w:cs="Times New Roman"/>
          <w:b w:val="0"/>
          <w:color w:val="auto"/>
          <w:sz w:val="30"/>
          <w:szCs w:val="30"/>
          <w:highlight w:val="none"/>
        </w:rPr>
      </w:pPr>
      <w:bookmarkStart w:id="336" w:name="_Toc22963"/>
      <w:bookmarkStart w:id="337" w:name="_Toc5755"/>
      <w:bookmarkStart w:id="338" w:name="_Toc28193"/>
      <w:bookmarkStart w:id="339" w:name="_Toc25728"/>
      <w:bookmarkStart w:id="340" w:name="_Toc17834"/>
      <w:bookmarkStart w:id="341" w:name="_Toc19942"/>
      <w:bookmarkStart w:id="342" w:name="_Toc27331"/>
      <w:bookmarkStart w:id="343" w:name="_Toc28829"/>
      <w:bookmarkStart w:id="344" w:name="_Toc4866"/>
      <w:bookmarkStart w:id="345" w:name="_Toc13548"/>
      <w:r>
        <w:rPr>
          <w:rFonts w:hint="eastAsia" w:cs="Times New Roman"/>
          <w:b w:val="0"/>
          <w:color w:val="auto"/>
          <w:sz w:val="30"/>
          <w:szCs w:val="30"/>
          <w:highlight w:val="none"/>
        </w:rPr>
        <w:t>第三节</w:t>
      </w:r>
      <w:r>
        <w:rPr>
          <w:rFonts w:cs="Times New Roman"/>
          <w:b w:val="0"/>
          <w:color w:val="auto"/>
          <w:sz w:val="30"/>
          <w:szCs w:val="30"/>
          <w:highlight w:val="none"/>
        </w:rPr>
        <w:t xml:space="preserve"> </w:t>
      </w:r>
      <w:r>
        <w:rPr>
          <w:rFonts w:hint="eastAsia" w:cs="Times New Roman"/>
          <w:b w:val="0"/>
          <w:color w:val="auto"/>
          <w:sz w:val="30"/>
          <w:szCs w:val="30"/>
          <w:highlight w:val="none"/>
        </w:rPr>
        <w:t>评分标准</w:t>
      </w:r>
      <w:bookmarkEnd w:id="336"/>
      <w:bookmarkEnd w:id="337"/>
      <w:bookmarkEnd w:id="338"/>
      <w:bookmarkEnd w:id="339"/>
      <w:bookmarkEnd w:id="340"/>
      <w:bookmarkEnd w:id="341"/>
      <w:bookmarkEnd w:id="342"/>
      <w:bookmarkEnd w:id="343"/>
      <w:bookmarkEnd w:id="344"/>
      <w:bookmarkEnd w:id="345"/>
    </w:p>
    <w:p>
      <w:pPr>
        <w:pStyle w:val="17"/>
        <w:ind w:firstLine="602" w:firstLineChars="200"/>
        <w:jc w:val="center"/>
        <w:rPr>
          <w:rFonts w:hint="eastAsia" w:ascii="Times New Roman" w:hAnsi="Times New Roman" w:eastAsia="宋体" w:cs="Times New Roman"/>
          <w:b/>
          <w:color w:val="auto"/>
          <w:sz w:val="30"/>
          <w:szCs w:val="30"/>
          <w:highlight w:val="none"/>
        </w:rPr>
      </w:pPr>
    </w:p>
    <w:p>
      <w:pPr>
        <w:pStyle w:val="17"/>
        <w:ind w:firstLine="602" w:firstLineChars="200"/>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综合评分法</w:t>
      </w:r>
    </w:p>
    <w:p>
      <w:pPr>
        <w:spacing w:line="360" w:lineRule="auto"/>
        <w:ind w:firstLine="420"/>
        <w:rPr>
          <w:rFonts w:hint="eastAsia" w:ascii="宋体" w:hAnsi="宋体" w:eastAsia="宋体" w:cs="Times New Roman"/>
          <w:bCs/>
          <w:color w:val="auto"/>
          <w:szCs w:val="20"/>
          <w:highlight w:val="none"/>
        </w:rPr>
      </w:pPr>
    </w:p>
    <w:p>
      <w:pPr>
        <w:spacing w:line="360" w:lineRule="auto"/>
        <w:ind w:firstLine="420"/>
        <w:rPr>
          <w:rFonts w:hint="eastAsia" w:ascii="宋体" w:hAnsi="宋体" w:eastAsia="宋体" w:cs="Times New Roman"/>
          <w:bCs/>
          <w:color w:val="auto"/>
          <w:szCs w:val="20"/>
          <w:highlight w:val="none"/>
        </w:rPr>
      </w:pPr>
      <w:r>
        <w:rPr>
          <w:rFonts w:hint="eastAsia" w:ascii="宋体" w:hAnsi="宋体" w:cs="Times New Roman"/>
          <w:bCs/>
          <w:color w:val="auto"/>
          <w:szCs w:val="20"/>
          <w:highlight w:val="none"/>
          <w:lang w:eastAsia="zh-CN"/>
        </w:rPr>
        <w:t>注：</w:t>
      </w:r>
      <w:r>
        <w:rPr>
          <w:rFonts w:hint="eastAsia" w:ascii="宋体" w:hAnsi="宋体" w:eastAsia="宋体" w:cs="Times New Roman"/>
          <w:bCs/>
          <w:color w:val="auto"/>
          <w:szCs w:val="20"/>
          <w:highlight w:val="none"/>
        </w:rPr>
        <w:t>计分方法按四舍五入取至百分位。</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390"/>
        <w:gridCol w:w="6519"/>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78" w:type="dxa"/>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序号</w:t>
            </w:r>
          </w:p>
        </w:tc>
        <w:tc>
          <w:tcPr>
            <w:tcW w:w="1390" w:type="dxa"/>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评审因素</w:t>
            </w:r>
          </w:p>
        </w:tc>
        <w:tc>
          <w:tcPr>
            <w:tcW w:w="6519" w:type="dxa"/>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评分内容与标准</w:t>
            </w:r>
          </w:p>
        </w:tc>
        <w:tc>
          <w:tcPr>
            <w:tcW w:w="836" w:type="dxa"/>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8"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390"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价格分</w:t>
            </w:r>
          </w:p>
        </w:tc>
        <w:tc>
          <w:tcPr>
            <w:tcW w:w="6519" w:type="dxa"/>
            <w:noWrap w:val="0"/>
            <w:vAlign w:val="top"/>
          </w:tcPr>
          <w:p>
            <w:pPr>
              <w:spacing w:line="36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eastAsia="zh-CN"/>
              </w:rPr>
              <w:t>本项目为专门面向中小企业采购的项目，按照《政府采购促进中小企业发展管理办法》（财库〔2020〕46号）的规定，对投标人的投标报价不再执行价格评审优惠的扶持政策。</w:t>
            </w:r>
          </w:p>
          <w:p>
            <w:pPr>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评</w:t>
            </w:r>
            <w:r>
              <w:rPr>
                <w:rFonts w:hint="eastAsia" w:asciiTheme="minorEastAsia" w:hAnsiTheme="minorEastAsia" w:eastAsiaTheme="minorEastAsia" w:cstheme="minorEastAsia"/>
                <w:bCs/>
                <w:color w:val="auto"/>
                <w:sz w:val="21"/>
                <w:szCs w:val="21"/>
                <w:highlight w:val="none"/>
                <w:lang w:eastAsia="zh-CN"/>
              </w:rPr>
              <w:t>标报</w:t>
            </w:r>
            <w:r>
              <w:rPr>
                <w:rFonts w:hint="eastAsia" w:asciiTheme="minorEastAsia" w:hAnsiTheme="minorEastAsia" w:eastAsiaTheme="minorEastAsia" w:cstheme="minorEastAsia"/>
                <w:bCs/>
                <w:color w:val="auto"/>
                <w:sz w:val="21"/>
                <w:szCs w:val="21"/>
                <w:highlight w:val="none"/>
              </w:rPr>
              <w:t>价为</w:t>
            </w:r>
            <w:r>
              <w:rPr>
                <w:rFonts w:hint="eastAsia" w:asciiTheme="minorEastAsia" w:hAnsiTheme="minorEastAsia" w:eastAsiaTheme="minorEastAsia" w:cstheme="minorEastAsia"/>
                <w:bCs/>
                <w:color w:val="auto"/>
                <w:sz w:val="21"/>
                <w:szCs w:val="21"/>
                <w:highlight w:val="none"/>
                <w:lang w:eastAsia="zh-CN"/>
              </w:rPr>
              <w:t>投标人</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投标</w:t>
            </w:r>
            <w:r>
              <w:rPr>
                <w:rFonts w:hint="eastAsia" w:asciiTheme="minorEastAsia" w:hAnsiTheme="minorEastAsia" w:eastAsiaTheme="minorEastAsia" w:cstheme="minorEastAsia"/>
                <w:bCs/>
                <w:color w:val="auto"/>
                <w:sz w:val="21"/>
                <w:szCs w:val="21"/>
                <w:highlight w:val="none"/>
              </w:rPr>
              <w:t>报价</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评</w:t>
            </w:r>
            <w:r>
              <w:rPr>
                <w:rFonts w:hint="eastAsia" w:asciiTheme="minorEastAsia" w:hAnsiTheme="minorEastAsia" w:eastAsiaTheme="minorEastAsia" w:cstheme="minorEastAsia"/>
                <w:bCs/>
                <w:color w:val="auto"/>
                <w:sz w:val="21"/>
                <w:szCs w:val="21"/>
                <w:highlight w:val="none"/>
                <w:lang w:eastAsia="zh-CN"/>
              </w:rPr>
              <w:t>标报</w:t>
            </w:r>
            <w:r>
              <w:rPr>
                <w:rFonts w:hint="eastAsia" w:asciiTheme="minorEastAsia" w:hAnsiTheme="minorEastAsia" w:eastAsiaTheme="minorEastAsia" w:cstheme="minorEastAsia"/>
                <w:bCs/>
                <w:color w:val="auto"/>
                <w:sz w:val="21"/>
                <w:szCs w:val="21"/>
                <w:highlight w:val="none"/>
              </w:rPr>
              <w:t>价只是作为评审时使用。最终</w:t>
            </w:r>
            <w:r>
              <w:rPr>
                <w:rFonts w:hint="eastAsia" w:asciiTheme="minorEastAsia" w:hAnsiTheme="minorEastAsia" w:eastAsiaTheme="minorEastAsia" w:cstheme="minorEastAsia"/>
                <w:bCs/>
                <w:color w:val="auto"/>
                <w:sz w:val="21"/>
                <w:szCs w:val="21"/>
                <w:highlight w:val="none"/>
                <w:lang w:eastAsia="zh-CN"/>
              </w:rPr>
              <w:t>中标人</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中标</w:t>
            </w:r>
            <w:r>
              <w:rPr>
                <w:rFonts w:hint="eastAsia" w:asciiTheme="minorEastAsia" w:hAnsiTheme="minorEastAsia" w:eastAsiaTheme="minorEastAsia" w:cstheme="minorEastAsia"/>
                <w:bCs/>
                <w:color w:val="auto"/>
                <w:sz w:val="21"/>
                <w:szCs w:val="21"/>
                <w:highlight w:val="none"/>
              </w:rPr>
              <w:t>金额等于</w:t>
            </w:r>
            <w:r>
              <w:rPr>
                <w:rFonts w:hint="eastAsia" w:asciiTheme="minorEastAsia" w:hAnsiTheme="minorEastAsia" w:eastAsiaTheme="minorEastAsia" w:cstheme="minorEastAsia"/>
                <w:bCs/>
                <w:color w:val="auto"/>
                <w:sz w:val="21"/>
                <w:szCs w:val="21"/>
                <w:highlight w:val="none"/>
                <w:lang w:eastAsia="zh-CN"/>
              </w:rPr>
              <w:t>投标</w:t>
            </w:r>
            <w:r>
              <w:rPr>
                <w:rFonts w:hint="eastAsia" w:asciiTheme="minorEastAsia" w:hAnsiTheme="minorEastAsia" w:eastAsiaTheme="minorEastAsia" w:cstheme="minorEastAsia"/>
                <w:bCs/>
                <w:color w:val="auto"/>
                <w:sz w:val="21"/>
                <w:szCs w:val="21"/>
                <w:highlight w:val="none"/>
              </w:rPr>
              <w:t>报价。</w:t>
            </w:r>
          </w:p>
          <w:p>
            <w:pPr>
              <w:spacing w:line="360" w:lineRule="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（3）满足招标文件要求且评标报价最低的评标报价为评标基准价，基准价得分为10分。</w:t>
            </w:r>
          </w:p>
          <w:p>
            <w:pPr>
              <w:spacing w:line="360" w:lineRule="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 xml:space="preserve">（4）价格分计算公式：        </w:t>
            </w:r>
          </w:p>
          <w:p>
            <w:pPr>
              <w:ind w:firstLine="420" w:firstLineChars="200"/>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lang w:val="en-US" w:eastAsia="zh-CN"/>
              </w:rPr>
              <w:t>价格分=(评标基准价／评标报价)×10分</w:t>
            </w:r>
          </w:p>
        </w:tc>
        <w:tc>
          <w:tcPr>
            <w:tcW w:w="836"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10</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8"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w:t>
            </w:r>
          </w:p>
        </w:tc>
        <w:tc>
          <w:tcPr>
            <w:tcW w:w="1390" w:type="dxa"/>
            <w:noWrap w:val="0"/>
            <w:vAlign w:val="center"/>
          </w:tcPr>
          <w:p>
            <w:pPr>
              <w:widowControl/>
              <w:spacing w:line="360" w:lineRule="auto"/>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技术分</w:t>
            </w:r>
          </w:p>
        </w:tc>
        <w:tc>
          <w:tcPr>
            <w:tcW w:w="7355" w:type="dxa"/>
            <w:gridSpan w:val="2"/>
            <w:noWrap w:val="0"/>
            <w:vAlign w:val="top"/>
          </w:tcPr>
          <w:p>
            <w:pPr>
              <w:widowControl/>
              <w:spacing w:line="360" w:lineRule="auto"/>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评分内容与标准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8" w:type="dxa"/>
            <w:noWrap w:val="0"/>
            <w:vAlign w:val="center"/>
          </w:tcPr>
          <w:p>
            <w:pPr>
              <w:adjustRightInd w:val="0"/>
              <w:spacing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2.1</w:t>
            </w:r>
          </w:p>
        </w:tc>
        <w:tc>
          <w:tcPr>
            <w:tcW w:w="1390" w:type="dxa"/>
            <w:noWrap w:val="0"/>
            <w:vAlign w:val="center"/>
          </w:tcPr>
          <w:p>
            <w:pPr>
              <w:adjustRightInd w:val="0"/>
              <w:spacing w:line="360" w:lineRule="auto"/>
              <w:textAlignment w:val="baseline"/>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维保实施方案（满分20分）</w:t>
            </w:r>
          </w:p>
        </w:tc>
        <w:tc>
          <w:tcPr>
            <w:tcW w:w="6519" w:type="dxa"/>
            <w:noWrap w:val="0"/>
            <w:vAlign w:val="center"/>
          </w:tcPr>
          <w:p>
            <w:pPr>
              <w:keepNext w:val="0"/>
              <w:keepLines w:val="0"/>
              <w:pageBreakBefore w:val="0"/>
              <w:kinsoku/>
              <w:wordWrap w:val="0"/>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一档（5分）：提供</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维修保养实施方案不清晰、不明确、对具体方案设计不够合理。</w:t>
            </w:r>
          </w:p>
          <w:p>
            <w:pPr>
              <w:keepNext w:val="0"/>
              <w:keepLines w:val="0"/>
              <w:pageBreakBefore w:val="0"/>
              <w:kinsoku/>
              <w:wordWrap w:val="0"/>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二档（10分）：提供</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维修保养实施方案清晰、明确，较为简单，基本满足</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rPr>
              <w:t>要求。</w:t>
            </w:r>
          </w:p>
          <w:p>
            <w:pPr>
              <w:keepNext w:val="0"/>
              <w:keepLines w:val="0"/>
              <w:pageBreakBefore w:val="0"/>
              <w:kinsoku/>
              <w:wordWrap w:val="0"/>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三档（15分）：提供</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维修保养实施方案清晰、明确，有具体的说明</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有合理、</w:t>
            </w:r>
            <w:r>
              <w:rPr>
                <w:rFonts w:hint="eastAsia" w:ascii="宋体" w:hAnsi="宋体" w:eastAsia="宋体" w:cs="宋体"/>
                <w:color w:val="auto"/>
                <w:sz w:val="21"/>
                <w:szCs w:val="21"/>
                <w:highlight w:val="none"/>
              </w:rPr>
              <w:t>具体</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方案设计</w:t>
            </w:r>
            <w:r>
              <w:rPr>
                <w:rFonts w:hint="eastAsia" w:ascii="宋体" w:hAnsi="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有简单的进度计划</w:t>
            </w:r>
            <w:r>
              <w:rPr>
                <w:rFonts w:hint="eastAsia" w:ascii="宋体" w:hAnsi="宋体" w:cs="宋体"/>
                <w:color w:val="auto"/>
                <w:kern w:val="2"/>
                <w:sz w:val="21"/>
                <w:szCs w:val="21"/>
                <w:highlight w:val="none"/>
                <w:lang w:val="en-US" w:eastAsia="zh-CN" w:bidi="ar-SA"/>
              </w:rPr>
              <w:t>及</w:t>
            </w:r>
            <w:r>
              <w:rPr>
                <w:rFonts w:hint="eastAsia" w:ascii="宋体" w:hAnsi="宋体" w:eastAsia="宋体" w:cs="宋体"/>
                <w:color w:val="auto"/>
                <w:kern w:val="2"/>
                <w:sz w:val="21"/>
                <w:szCs w:val="21"/>
                <w:highlight w:val="none"/>
                <w:lang w:val="en-US" w:eastAsia="zh-CN" w:bidi="ar-SA"/>
              </w:rPr>
              <w:t>合理的建议</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符合项目实际情形</w:t>
            </w:r>
            <w:r>
              <w:rPr>
                <w:rFonts w:hint="eastAsia" w:ascii="宋体" w:hAnsi="宋体" w:eastAsia="宋体" w:cs="宋体"/>
                <w:color w:val="auto"/>
                <w:sz w:val="21"/>
                <w:szCs w:val="21"/>
                <w:highlight w:val="none"/>
              </w:rPr>
              <w:t>。</w:t>
            </w:r>
          </w:p>
          <w:p>
            <w:pPr>
              <w:pStyle w:val="17"/>
              <w:keepNext w:val="0"/>
              <w:keepLines w:val="0"/>
              <w:pageBreakBefore w:val="0"/>
              <w:kinsoku/>
              <w:wordWrap w:val="0"/>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四档（20分）：提供的维修保养实施</w:t>
            </w:r>
            <w:r>
              <w:rPr>
                <w:rFonts w:hint="eastAsia" w:ascii="宋体" w:hAnsi="宋体" w:eastAsia="宋体" w:cs="宋体"/>
                <w:color w:val="auto"/>
                <w:kern w:val="2"/>
                <w:sz w:val="21"/>
                <w:szCs w:val="21"/>
                <w:highlight w:val="none"/>
                <w:lang w:val="en-US" w:eastAsia="zh-CN"/>
              </w:rPr>
              <w:t>方案清晰、详细</w:t>
            </w:r>
            <w:r>
              <w:rPr>
                <w:rFonts w:hint="eastAsia" w:hAnsi="宋体" w:cs="宋体"/>
                <w:color w:val="auto"/>
                <w:kern w:val="2"/>
                <w:sz w:val="21"/>
                <w:szCs w:val="21"/>
                <w:highlight w:val="none"/>
                <w:lang w:val="en-US" w:eastAsia="zh-CN"/>
              </w:rPr>
              <w:t>、明确</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bidi="ar-SA"/>
              </w:rPr>
              <w:t>有合理、</w:t>
            </w:r>
            <w:r>
              <w:rPr>
                <w:rFonts w:hint="eastAsia" w:ascii="宋体" w:hAnsi="宋体" w:eastAsia="宋体" w:cs="宋体"/>
                <w:color w:val="auto"/>
                <w:kern w:val="2"/>
                <w:sz w:val="21"/>
                <w:szCs w:val="21"/>
                <w:highlight w:val="none"/>
                <w:lang w:val="en-US" w:eastAsia="zh-CN" w:bidi="ar-SA"/>
              </w:rPr>
              <w:t>具体</w:t>
            </w:r>
            <w:r>
              <w:rPr>
                <w:rFonts w:hint="eastAsia" w:ascii="宋体" w:hAnsi="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en-US" w:eastAsia="zh-CN" w:bidi="ar-SA"/>
              </w:rPr>
              <w:t>方案设计；有详细的进度计划</w:t>
            </w:r>
            <w:r>
              <w:rPr>
                <w:rFonts w:hint="eastAsia" w:ascii="宋体" w:hAnsi="宋体" w:cs="宋体"/>
                <w:color w:val="auto"/>
                <w:kern w:val="2"/>
                <w:sz w:val="21"/>
                <w:szCs w:val="21"/>
                <w:highlight w:val="none"/>
                <w:lang w:val="en-US" w:eastAsia="zh-CN" w:bidi="ar-SA"/>
              </w:rPr>
              <w:t>及有效</w:t>
            </w:r>
            <w:r>
              <w:rPr>
                <w:rFonts w:hint="eastAsia" w:ascii="宋体" w:hAnsi="宋体" w:eastAsia="宋体" w:cs="宋体"/>
                <w:color w:val="auto"/>
                <w:kern w:val="2"/>
                <w:sz w:val="21"/>
                <w:szCs w:val="21"/>
                <w:highlight w:val="none"/>
                <w:lang w:val="en-US" w:eastAsia="zh-CN" w:bidi="ar-SA"/>
              </w:rPr>
              <w:t>合理的建议；</w:t>
            </w:r>
            <w:r>
              <w:rPr>
                <w:rFonts w:hint="eastAsia" w:ascii="宋体" w:hAnsi="宋体" w:cs="宋体"/>
                <w:color w:val="auto"/>
                <w:kern w:val="2"/>
                <w:sz w:val="21"/>
                <w:szCs w:val="21"/>
                <w:highlight w:val="none"/>
                <w:lang w:val="en-US" w:eastAsia="zh-CN" w:bidi="ar-SA"/>
              </w:rPr>
              <w:t>有</w:t>
            </w:r>
            <w:r>
              <w:rPr>
                <w:rFonts w:hint="eastAsia" w:ascii="宋体" w:hAnsi="宋体" w:eastAsia="宋体" w:cs="宋体"/>
                <w:color w:val="auto"/>
                <w:sz w:val="21"/>
                <w:szCs w:val="21"/>
                <w:highlight w:val="none"/>
                <w:lang w:val="en-US" w:eastAsia="zh-CN"/>
              </w:rPr>
              <w:t>提供日常保养与管理措施、承诺建立维保档案，对关键技术点、维保设备功能结构描述清晰、到位，并提供了详细的应急处理方案，方案覆盖常规应急处理、事故应急处理等，方案</w:t>
            </w:r>
            <w:r>
              <w:rPr>
                <w:rFonts w:hint="eastAsia" w:hAnsi="宋体" w:cs="宋体"/>
                <w:color w:val="auto"/>
                <w:sz w:val="21"/>
                <w:szCs w:val="21"/>
                <w:highlight w:val="none"/>
                <w:lang w:val="en-US" w:eastAsia="zh-CN"/>
              </w:rPr>
              <w:t>具有</w:t>
            </w:r>
            <w:r>
              <w:rPr>
                <w:rFonts w:hint="eastAsia" w:ascii="宋体" w:hAnsi="宋体" w:eastAsia="宋体" w:cs="宋体"/>
                <w:color w:val="auto"/>
                <w:sz w:val="21"/>
                <w:szCs w:val="21"/>
                <w:highlight w:val="none"/>
                <w:lang w:val="en-US" w:eastAsia="zh-CN"/>
              </w:rPr>
              <w:t>针对性，</w:t>
            </w:r>
            <w:r>
              <w:rPr>
                <w:rFonts w:hint="eastAsia" w:ascii="宋体" w:hAnsi="宋体" w:cs="宋体"/>
                <w:color w:val="auto"/>
                <w:kern w:val="2"/>
                <w:sz w:val="21"/>
                <w:szCs w:val="21"/>
                <w:highlight w:val="none"/>
                <w:lang w:val="en-US" w:eastAsia="zh-CN" w:bidi="ar-SA"/>
              </w:rPr>
              <w:t>完全符合项目实际情形</w:t>
            </w:r>
            <w:r>
              <w:rPr>
                <w:rFonts w:hint="eastAsia" w:ascii="宋体" w:hAnsi="宋体" w:eastAsia="宋体" w:cs="宋体"/>
                <w:color w:val="auto"/>
                <w:sz w:val="21"/>
                <w:szCs w:val="21"/>
                <w:highlight w:val="none"/>
                <w:lang w:val="en-US" w:eastAsia="zh-CN"/>
              </w:rPr>
              <w:t>。</w:t>
            </w:r>
          </w:p>
          <w:p>
            <w:pPr>
              <w:pStyle w:val="17"/>
              <w:keepNext w:val="0"/>
              <w:keepLines w:val="0"/>
              <w:pageBreakBefore w:val="0"/>
              <w:kinsoku/>
              <w:wordWrap w:val="0"/>
              <w:overflowPunct/>
              <w:topLinePunct w:val="0"/>
              <w:autoSpaceDE/>
              <w:autoSpaceDN/>
              <w:bidi w:val="0"/>
              <w:spacing w:line="440" w:lineRule="exact"/>
              <w:rPr>
                <w:rFonts w:hint="eastAsia" w:asciiTheme="minorEastAsia" w:hAnsiTheme="minorEastAsia" w:eastAsiaTheme="minorEastAsia" w:cstheme="minorEastAsia"/>
                <w:color w:val="auto"/>
                <w:sz w:val="21"/>
                <w:szCs w:val="21"/>
                <w:highlight w:val="none"/>
              </w:rPr>
            </w:pPr>
            <w:r>
              <w:rPr>
                <w:rFonts w:hint="eastAsia" w:ascii="宋体" w:hAnsi="宋体"/>
                <w:b/>
                <w:bCs/>
                <w:color w:val="auto"/>
                <w:kern w:val="0"/>
                <w:szCs w:val="21"/>
                <w:highlight w:val="none"/>
              </w:rPr>
              <w:t>注：未提供方案或不符合最低入档条件的按不入档处理，计0分。</w:t>
            </w:r>
          </w:p>
        </w:tc>
        <w:tc>
          <w:tcPr>
            <w:tcW w:w="836" w:type="dxa"/>
            <w:noWrap w:val="0"/>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noWrap w:val="0"/>
            <w:vAlign w:val="center"/>
          </w:tcPr>
          <w:p>
            <w:pPr>
              <w:adjustRightInd w:val="0"/>
              <w:spacing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2.2</w:t>
            </w:r>
          </w:p>
        </w:tc>
        <w:tc>
          <w:tcPr>
            <w:tcW w:w="1390" w:type="dxa"/>
            <w:noWrap w:val="0"/>
            <w:vAlign w:val="center"/>
          </w:tcPr>
          <w:p>
            <w:pPr>
              <w:spacing w:before="120" w:beforeLines="50" w:after="120" w:afterLines="50" w:line="336" w:lineRule="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备件供应能力（满分18分）</w:t>
            </w:r>
          </w:p>
        </w:tc>
        <w:tc>
          <w:tcPr>
            <w:tcW w:w="6519" w:type="dxa"/>
            <w:noWrap w:val="0"/>
            <w:vAlign w:val="center"/>
          </w:tcPr>
          <w:p>
            <w:pPr>
              <w:pStyle w:val="17"/>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一档（</w:t>
            </w:r>
            <w:r>
              <w:rPr>
                <w:rFonts w:hint="eastAsia" w:hAnsi="宋体" w:cs="宋体"/>
                <w:color w:val="auto"/>
                <w:szCs w:val="21"/>
                <w:highlight w:val="none"/>
                <w:lang w:val="en-US" w:eastAsia="zh-CN"/>
              </w:rPr>
              <w:t>6</w:t>
            </w:r>
            <w:r>
              <w:rPr>
                <w:rFonts w:hint="eastAsia" w:hAnsi="宋体" w:cs="宋体"/>
                <w:color w:val="auto"/>
                <w:szCs w:val="21"/>
                <w:highlight w:val="none"/>
              </w:rPr>
              <w:t>分）：备品备件方案满足采购文件要求，设置有备件仓库，备件配送到现场的最快时间≤</w:t>
            </w:r>
            <w:r>
              <w:rPr>
                <w:rFonts w:hint="eastAsia" w:hAnsi="宋体" w:cs="宋体"/>
                <w:color w:val="auto"/>
                <w:szCs w:val="21"/>
                <w:highlight w:val="none"/>
                <w:lang w:val="en-US" w:eastAsia="zh-CN"/>
              </w:rPr>
              <w:t>48</w:t>
            </w:r>
            <w:r>
              <w:rPr>
                <w:rFonts w:hint="eastAsia" w:hAnsi="宋体" w:cs="宋体"/>
                <w:color w:val="auto"/>
                <w:szCs w:val="21"/>
                <w:highlight w:val="none"/>
              </w:rPr>
              <w:t>小时，并提供配送的交通方案，提供简单的备件调配流程。</w:t>
            </w:r>
          </w:p>
          <w:p>
            <w:pPr>
              <w:pStyle w:val="17"/>
              <w:spacing w:line="360" w:lineRule="auto"/>
              <w:ind w:firstLine="210" w:firstLineChars="100"/>
              <w:rPr>
                <w:rFonts w:hint="eastAsia" w:hAnsi="宋体" w:cs="宋体"/>
                <w:color w:val="auto"/>
                <w:szCs w:val="21"/>
                <w:highlight w:val="none"/>
              </w:rPr>
            </w:pPr>
            <w:r>
              <w:rPr>
                <w:rFonts w:hint="eastAsia" w:hAnsi="宋体" w:cs="宋体"/>
                <w:color w:val="auto"/>
                <w:szCs w:val="21"/>
                <w:highlight w:val="none"/>
              </w:rPr>
              <w:t>　二档（1</w:t>
            </w:r>
            <w:r>
              <w:rPr>
                <w:rFonts w:hint="eastAsia" w:hAnsi="宋体" w:cs="宋体"/>
                <w:color w:val="auto"/>
                <w:szCs w:val="21"/>
                <w:highlight w:val="none"/>
                <w:lang w:val="en-US" w:eastAsia="zh-CN"/>
              </w:rPr>
              <w:t>2</w:t>
            </w:r>
            <w:r>
              <w:rPr>
                <w:rFonts w:hint="eastAsia" w:hAnsi="宋体" w:cs="宋体"/>
                <w:color w:val="auto"/>
                <w:szCs w:val="21"/>
                <w:highlight w:val="none"/>
              </w:rPr>
              <w:t>分）：备品备件方案满足采购文件要求，设置有备件仓库（并提供仓库的租赁合同</w:t>
            </w:r>
            <w:r>
              <w:rPr>
                <w:rFonts w:hint="eastAsia" w:hAnsi="宋体" w:cs="宋体"/>
                <w:color w:val="auto"/>
                <w:szCs w:val="21"/>
                <w:highlight w:val="none"/>
                <w:lang w:eastAsia="zh-CN"/>
              </w:rPr>
              <w:t>或</w:t>
            </w:r>
            <w:r>
              <w:rPr>
                <w:rFonts w:hint="eastAsia" w:hAnsi="宋体" w:cs="宋体"/>
                <w:color w:val="auto"/>
                <w:szCs w:val="21"/>
                <w:highlight w:val="none"/>
              </w:rPr>
              <w:t>房产证明文件复印件加盖投标人公章），备件配送到现场的最快时间≤</w:t>
            </w:r>
            <w:r>
              <w:rPr>
                <w:rFonts w:hint="eastAsia" w:hAnsi="宋体" w:cs="宋体"/>
                <w:color w:val="auto"/>
                <w:szCs w:val="21"/>
                <w:highlight w:val="none"/>
                <w:lang w:val="en-US" w:eastAsia="zh-CN"/>
              </w:rPr>
              <w:t>36</w:t>
            </w:r>
            <w:r>
              <w:rPr>
                <w:rFonts w:hint="eastAsia" w:hAnsi="宋体" w:cs="宋体"/>
                <w:color w:val="auto"/>
                <w:szCs w:val="21"/>
                <w:highlight w:val="none"/>
              </w:rPr>
              <w:t>小时，并提供配送的交通方案。备件品种齐全、来源正规合法，覆盖本项目设备的不易损备件，提供详细的备件调配流程，流程</w:t>
            </w:r>
            <w:r>
              <w:rPr>
                <w:rFonts w:hint="eastAsia" w:hAnsi="宋体" w:cs="宋体"/>
                <w:color w:val="auto"/>
                <w:szCs w:val="21"/>
                <w:highlight w:val="none"/>
                <w:lang w:eastAsia="zh-CN"/>
              </w:rPr>
              <w:t>基本合理</w:t>
            </w:r>
            <w:r>
              <w:rPr>
                <w:rFonts w:hint="eastAsia" w:hAnsi="宋体" w:cs="宋体"/>
                <w:color w:val="auto"/>
                <w:szCs w:val="21"/>
                <w:highlight w:val="none"/>
              </w:rPr>
              <w:t>。</w:t>
            </w:r>
          </w:p>
          <w:p>
            <w:pPr>
              <w:spacing w:line="360" w:lineRule="auto"/>
              <w:ind w:firstLine="420" w:firstLineChars="200"/>
              <w:jc w:val="left"/>
              <w:rPr>
                <w:rFonts w:hint="eastAsia"/>
                <w:color w:val="auto"/>
                <w:spacing w:val="8"/>
                <w:szCs w:val="21"/>
                <w:highlight w:val="none"/>
              </w:rPr>
            </w:pPr>
            <w:r>
              <w:rPr>
                <w:rFonts w:hint="eastAsia" w:hAnsi="宋体" w:cs="宋体"/>
                <w:color w:val="auto"/>
                <w:szCs w:val="21"/>
                <w:highlight w:val="none"/>
              </w:rPr>
              <w:t>三</w:t>
            </w:r>
            <w:r>
              <w:rPr>
                <w:rFonts w:hint="eastAsia" w:hAnsi="宋体" w:cs="宋体"/>
                <w:color w:val="auto"/>
                <w:szCs w:val="21"/>
                <w:highlight w:val="none"/>
                <w:lang w:eastAsia="zh-CN"/>
              </w:rPr>
              <w:t>档</w:t>
            </w:r>
            <w:r>
              <w:rPr>
                <w:rFonts w:hint="eastAsia" w:hAnsi="宋体" w:cs="宋体"/>
                <w:color w:val="auto"/>
                <w:szCs w:val="21"/>
                <w:highlight w:val="none"/>
              </w:rPr>
              <w:t>（</w:t>
            </w:r>
            <w:r>
              <w:rPr>
                <w:rFonts w:hint="eastAsia" w:hAnsi="宋体" w:cs="宋体"/>
                <w:color w:val="auto"/>
                <w:szCs w:val="21"/>
                <w:highlight w:val="none"/>
                <w:lang w:val="en-US" w:eastAsia="zh-CN"/>
              </w:rPr>
              <w:t>18</w:t>
            </w:r>
            <w:r>
              <w:rPr>
                <w:rFonts w:hint="eastAsia" w:hAnsi="宋体" w:cs="宋体"/>
                <w:color w:val="auto"/>
                <w:szCs w:val="21"/>
                <w:highlight w:val="none"/>
              </w:rPr>
              <w:t>分）：备品备件方案满足采购文件要求，设置有备件仓库≥2个（并提供有仓库的租赁合同</w:t>
            </w:r>
            <w:r>
              <w:rPr>
                <w:rFonts w:hint="eastAsia" w:hAnsi="宋体" w:cs="宋体"/>
                <w:color w:val="auto"/>
                <w:szCs w:val="21"/>
                <w:highlight w:val="none"/>
                <w:lang w:val="en-US" w:eastAsia="zh-CN"/>
              </w:rPr>
              <w:t>或</w:t>
            </w:r>
            <w:r>
              <w:rPr>
                <w:rFonts w:hint="eastAsia" w:hAnsi="宋体" w:cs="宋体"/>
                <w:color w:val="auto"/>
                <w:szCs w:val="21"/>
                <w:highlight w:val="none"/>
              </w:rPr>
              <w:t>房产证明文件复印件加盖投标人公章），备件配送到现场的最快时间≤</w:t>
            </w:r>
            <w:r>
              <w:rPr>
                <w:rFonts w:hint="eastAsia" w:hAnsi="宋体" w:cs="宋体"/>
                <w:color w:val="auto"/>
                <w:szCs w:val="21"/>
                <w:highlight w:val="none"/>
                <w:lang w:val="en-US" w:eastAsia="zh-CN"/>
              </w:rPr>
              <w:t>24</w:t>
            </w:r>
            <w:r>
              <w:rPr>
                <w:rFonts w:hint="eastAsia" w:hAnsi="宋体" w:cs="宋体"/>
                <w:color w:val="auto"/>
                <w:szCs w:val="21"/>
                <w:highlight w:val="none"/>
              </w:rPr>
              <w:t>小时，并提供配送的交通方案。备件品种</w:t>
            </w:r>
            <w:r>
              <w:rPr>
                <w:rFonts w:hint="eastAsia"/>
                <w:color w:val="auto"/>
                <w:highlight w:val="none"/>
                <w:lang w:val="en-US" w:eastAsia="zh-CN"/>
              </w:rPr>
              <w:t>完全</w:t>
            </w:r>
            <w:r>
              <w:rPr>
                <w:rFonts w:hint="eastAsia" w:hAnsi="宋体" w:cs="宋体"/>
                <w:color w:val="auto"/>
                <w:szCs w:val="21"/>
                <w:highlight w:val="none"/>
                <w:lang w:val="en-US" w:eastAsia="zh-CN"/>
              </w:rPr>
              <w:t>能覆盖本项目的需求</w:t>
            </w:r>
            <w:r>
              <w:rPr>
                <w:rFonts w:hint="eastAsia" w:hAnsi="宋体" w:cs="宋体"/>
                <w:color w:val="auto"/>
                <w:szCs w:val="21"/>
                <w:highlight w:val="none"/>
              </w:rPr>
              <w:t>、来源正规合法，</w:t>
            </w:r>
            <w:r>
              <w:rPr>
                <w:rFonts w:hint="eastAsia" w:hAnsi="宋体" w:cs="宋体"/>
                <w:color w:val="auto"/>
                <w:szCs w:val="21"/>
                <w:highlight w:val="none"/>
                <w:lang w:val="en-US" w:eastAsia="zh-CN"/>
              </w:rPr>
              <w:t>且能</w:t>
            </w:r>
            <w:r>
              <w:rPr>
                <w:rFonts w:hint="eastAsia" w:hAnsi="宋体" w:cs="宋体"/>
                <w:color w:val="auto"/>
                <w:szCs w:val="21"/>
                <w:highlight w:val="none"/>
              </w:rPr>
              <w:t>覆盖本项目设备的不易损备件，并提供详细的备件调配流程，流程合理</w:t>
            </w:r>
            <w:r>
              <w:rPr>
                <w:rFonts w:hint="eastAsia" w:hAnsi="宋体" w:cs="宋体"/>
                <w:color w:val="auto"/>
                <w:szCs w:val="21"/>
                <w:highlight w:val="none"/>
                <w:lang w:eastAsia="zh-CN"/>
              </w:rPr>
              <w:t>、具有</w:t>
            </w:r>
            <w:r>
              <w:rPr>
                <w:rFonts w:hint="eastAsia" w:hAnsi="宋体" w:cs="宋体"/>
                <w:color w:val="auto"/>
                <w:szCs w:val="21"/>
                <w:highlight w:val="none"/>
                <w:lang w:val="en-US" w:eastAsia="zh-CN"/>
              </w:rPr>
              <w:t>针对性，</w:t>
            </w:r>
            <w:r>
              <w:rPr>
                <w:rFonts w:hint="eastAsia" w:hAnsi="宋体" w:cs="宋体"/>
                <w:color w:val="auto"/>
                <w:szCs w:val="21"/>
                <w:highlight w:val="none"/>
                <w:lang w:eastAsia="zh-CN"/>
              </w:rPr>
              <w:t>符合项目实际情形</w:t>
            </w:r>
            <w:r>
              <w:rPr>
                <w:rFonts w:hint="eastAsia" w:hAnsi="宋体" w:cs="宋体"/>
                <w:color w:val="auto"/>
                <w:szCs w:val="21"/>
                <w:highlight w:val="none"/>
              </w:rPr>
              <w:t>。</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b/>
                <w:bCs/>
                <w:color w:val="auto"/>
                <w:kern w:val="0"/>
                <w:szCs w:val="21"/>
                <w:highlight w:val="none"/>
              </w:rPr>
              <w:t>注：未提供方案或不符合最低入档条件的按不入档处理，计0分。</w:t>
            </w:r>
          </w:p>
        </w:tc>
        <w:tc>
          <w:tcPr>
            <w:tcW w:w="836" w:type="dxa"/>
            <w:noWrap w:val="0"/>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18</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78" w:type="dxa"/>
            <w:noWrap w:val="0"/>
            <w:vAlign w:val="center"/>
          </w:tcPr>
          <w:p>
            <w:pPr>
              <w:adjustRightInd w:val="0"/>
              <w:spacing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rPr>
              <w:t>2.</w:t>
            </w:r>
            <w:r>
              <w:rPr>
                <w:rFonts w:hint="eastAsia" w:asciiTheme="minorEastAsia" w:hAnsiTheme="minorEastAsia" w:eastAsiaTheme="minorEastAsia" w:cstheme="minorEastAsia"/>
                <w:bCs/>
                <w:color w:val="auto"/>
                <w:kern w:val="0"/>
                <w:sz w:val="21"/>
                <w:szCs w:val="21"/>
                <w:highlight w:val="none"/>
                <w:lang w:val="en-US" w:eastAsia="zh-CN"/>
              </w:rPr>
              <w:t>3</w:t>
            </w:r>
          </w:p>
        </w:tc>
        <w:tc>
          <w:tcPr>
            <w:tcW w:w="1390" w:type="dxa"/>
            <w:noWrap w:val="0"/>
            <w:vAlign w:val="center"/>
          </w:tcPr>
          <w:p>
            <w:pPr>
              <w:adjustRightInd w:val="0"/>
              <w:spacing w:line="360" w:lineRule="auto"/>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故障响应及处理方案（满分16分）</w:t>
            </w:r>
          </w:p>
        </w:tc>
        <w:tc>
          <w:tcPr>
            <w:tcW w:w="6519" w:type="dxa"/>
            <w:noWrap w:val="0"/>
            <w:vAlign w:val="center"/>
          </w:tcPr>
          <w:p>
            <w:pPr>
              <w:pStyle w:val="17"/>
              <w:keepNext w:val="0"/>
              <w:keepLines w:val="0"/>
              <w:pageBreakBefore w:val="0"/>
              <w:kinsoku/>
              <w:wordWrap w:val="0"/>
              <w:overflowPunct/>
              <w:topLinePunct w:val="0"/>
              <w:autoSpaceDE/>
              <w:autoSpaceDN/>
              <w:bidi w:val="0"/>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分）：按照</w:t>
            </w:r>
            <w:r>
              <w:rPr>
                <w:rFonts w:hint="eastAsia" w:ascii="宋体" w:hAnsi="宋体" w:eastAsia="宋体" w:cs="宋体"/>
                <w:bCs/>
                <w:color w:val="auto"/>
                <w:sz w:val="21"/>
                <w:szCs w:val="21"/>
                <w:highlight w:val="none"/>
              </w:rPr>
              <w:t>采购文件</w:t>
            </w:r>
            <w:r>
              <w:rPr>
                <w:rFonts w:hint="eastAsia" w:ascii="宋体" w:hAnsi="宋体" w:eastAsia="宋体" w:cs="宋体"/>
                <w:color w:val="auto"/>
                <w:sz w:val="21"/>
                <w:szCs w:val="21"/>
                <w:highlight w:val="none"/>
                <w:lang w:val="en-US" w:eastAsia="zh-CN"/>
              </w:rPr>
              <w:t>要求提供故障响应及处理方案，基本满足采购人实际需要，接采购人故障报修电话，2小时内响应，工程师</w:t>
            </w:r>
            <w:r>
              <w:rPr>
                <w:rFonts w:hint="eastAsia" w:hAnsi="宋体" w:cs="宋体"/>
                <w:color w:val="auto"/>
                <w:sz w:val="21"/>
                <w:szCs w:val="21"/>
                <w:highlight w:val="none"/>
                <w:lang w:val="en-US" w:eastAsia="zh-CN"/>
              </w:rPr>
              <w:t>24</w:t>
            </w:r>
            <w:r>
              <w:rPr>
                <w:rFonts w:hint="eastAsia" w:ascii="宋体" w:hAnsi="宋体" w:eastAsia="宋体" w:cs="宋体"/>
                <w:color w:val="auto"/>
                <w:sz w:val="21"/>
                <w:szCs w:val="21"/>
                <w:highlight w:val="none"/>
                <w:lang w:val="en-US" w:eastAsia="zh-CN"/>
              </w:rPr>
              <w:t>小时内到达现场服务；</w:t>
            </w:r>
          </w:p>
          <w:p>
            <w:pPr>
              <w:pStyle w:val="17"/>
              <w:keepNext w:val="0"/>
              <w:keepLines w:val="0"/>
              <w:pageBreakBefore w:val="0"/>
              <w:kinsoku/>
              <w:wordWrap w:val="0"/>
              <w:overflowPunct/>
              <w:topLinePunct w:val="0"/>
              <w:autoSpaceDE/>
              <w:autoSpaceDN/>
              <w:bidi w:val="0"/>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分）：按照</w:t>
            </w:r>
            <w:r>
              <w:rPr>
                <w:rFonts w:hint="eastAsia" w:ascii="宋体" w:hAnsi="宋体" w:eastAsia="宋体" w:cs="宋体"/>
                <w:bCs/>
                <w:color w:val="auto"/>
                <w:sz w:val="21"/>
                <w:szCs w:val="21"/>
                <w:highlight w:val="none"/>
              </w:rPr>
              <w:t>采购文件</w:t>
            </w:r>
            <w:r>
              <w:rPr>
                <w:rFonts w:hint="eastAsia" w:ascii="宋体" w:hAnsi="宋体" w:eastAsia="宋体" w:cs="宋体"/>
                <w:color w:val="auto"/>
                <w:sz w:val="21"/>
                <w:szCs w:val="21"/>
                <w:highlight w:val="none"/>
                <w:lang w:val="en-US" w:eastAsia="zh-CN"/>
              </w:rPr>
              <w:t>要求提供故障响应及处理方案，故障响应及处理流程较详细、可行，满足采购人实际需要，接采购人故障报修电话，1.5小时内响应，工程师</w:t>
            </w:r>
            <w:r>
              <w:rPr>
                <w:rFonts w:hint="eastAsia"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小时内到达现场服务；</w:t>
            </w:r>
          </w:p>
          <w:p>
            <w:pPr>
              <w:pStyle w:val="17"/>
              <w:keepNext w:val="0"/>
              <w:keepLines w:val="0"/>
              <w:pageBreakBefore w:val="0"/>
              <w:kinsoku/>
              <w:wordWrap w:val="0"/>
              <w:overflowPunct/>
              <w:topLinePunct w:val="0"/>
              <w:autoSpaceDE/>
              <w:autoSpaceDN/>
              <w:bidi w:val="0"/>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w:t>
            </w:r>
            <w:r>
              <w:rPr>
                <w:rFonts w:hint="eastAsia" w:hAnsi="宋体" w:cs="宋体"/>
                <w:color w:val="auto"/>
                <w:sz w:val="21"/>
                <w:szCs w:val="21"/>
                <w:highlight w:val="none"/>
                <w:lang w:val="en-US" w:eastAsia="zh-CN"/>
              </w:rPr>
              <w:t>12分</w:t>
            </w:r>
            <w:r>
              <w:rPr>
                <w:rFonts w:hint="eastAsia" w:ascii="宋体" w:hAnsi="宋体" w:eastAsia="宋体" w:cs="宋体"/>
                <w:color w:val="auto"/>
                <w:sz w:val="21"/>
                <w:szCs w:val="21"/>
                <w:highlight w:val="none"/>
                <w:lang w:val="en-US" w:eastAsia="zh-CN"/>
              </w:rPr>
              <w:t>）：按照</w:t>
            </w:r>
            <w:r>
              <w:rPr>
                <w:rFonts w:hint="eastAsia" w:ascii="宋体" w:hAnsi="宋体" w:eastAsia="宋体" w:cs="宋体"/>
                <w:bCs/>
                <w:color w:val="auto"/>
                <w:sz w:val="21"/>
                <w:szCs w:val="21"/>
                <w:highlight w:val="none"/>
              </w:rPr>
              <w:t>采购文件</w:t>
            </w:r>
            <w:r>
              <w:rPr>
                <w:rFonts w:hint="eastAsia" w:ascii="宋体" w:hAnsi="宋体" w:eastAsia="宋体" w:cs="宋体"/>
                <w:color w:val="auto"/>
                <w:sz w:val="21"/>
                <w:szCs w:val="21"/>
                <w:highlight w:val="none"/>
                <w:lang w:val="en-US" w:eastAsia="zh-CN"/>
              </w:rPr>
              <w:t>要求提供故障响应及处理方案，故障响应及处理流程详细、可行，配备有1辆</w:t>
            </w:r>
            <w:r>
              <w:rPr>
                <w:rFonts w:hint="eastAsia" w:hAnsi="宋体" w:cs="宋体"/>
                <w:color w:val="auto"/>
                <w:sz w:val="21"/>
                <w:szCs w:val="21"/>
                <w:highlight w:val="none"/>
                <w:lang w:val="en-US" w:eastAsia="zh-CN"/>
              </w:rPr>
              <w:t>及以上</w:t>
            </w:r>
            <w:r>
              <w:rPr>
                <w:rFonts w:hint="eastAsia" w:ascii="宋体" w:hAnsi="宋体" w:eastAsia="宋体" w:cs="宋体"/>
                <w:color w:val="auto"/>
                <w:sz w:val="21"/>
                <w:szCs w:val="21"/>
                <w:highlight w:val="none"/>
                <w:lang w:val="en-US" w:eastAsia="zh-CN"/>
              </w:rPr>
              <w:t>注册为</w:t>
            </w:r>
            <w:r>
              <w:rPr>
                <w:rFonts w:hint="eastAsia"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的公务用车能够确保故障尽快修复，能满足采购人实际需要，接采购人故障报修电话，1小时内响应，工程师</w:t>
            </w:r>
            <w:r>
              <w:rPr>
                <w:rFonts w:hint="eastAsia"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小时内到达现场服务；</w:t>
            </w:r>
          </w:p>
          <w:p>
            <w:pPr>
              <w:pStyle w:val="17"/>
              <w:keepNext w:val="0"/>
              <w:keepLines w:val="0"/>
              <w:pageBreakBefore w:val="0"/>
              <w:kinsoku/>
              <w:wordWrap w:val="0"/>
              <w:overflowPunct/>
              <w:topLinePunct w:val="0"/>
              <w:autoSpaceDE/>
              <w:autoSpaceDN/>
              <w:bidi w:val="0"/>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w:t>
            </w:r>
            <w:r>
              <w:rPr>
                <w:rFonts w:hint="eastAsia" w:hAnsi="宋体" w:eastAsia="宋体" w:cs="宋体"/>
                <w:color w:val="auto"/>
                <w:sz w:val="21"/>
                <w:szCs w:val="21"/>
                <w:highlight w:val="none"/>
                <w:lang w:val="en-US" w:eastAsia="zh-CN"/>
              </w:rPr>
              <w:t>档</w:t>
            </w: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分）：按照满足</w:t>
            </w:r>
            <w:r>
              <w:rPr>
                <w:rFonts w:hint="eastAsia" w:ascii="宋体" w:hAnsi="宋体" w:eastAsia="宋体" w:cs="宋体"/>
                <w:bCs/>
                <w:color w:val="auto"/>
                <w:sz w:val="21"/>
                <w:szCs w:val="21"/>
                <w:highlight w:val="none"/>
              </w:rPr>
              <w:t>采购文件</w:t>
            </w:r>
            <w:r>
              <w:rPr>
                <w:rFonts w:hint="eastAsia" w:ascii="宋体" w:hAnsi="宋体" w:eastAsia="宋体" w:cs="宋体"/>
                <w:color w:val="auto"/>
                <w:sz w:val="21"/>
                <w:szCs w:val="21"/>
                <w:highlight w:val="none"/>
                <w:lang w:val="en-US" w:eastAsia="zh-CN"/>
              </w:rPr>
              <w:t>要求提供故障响应及处理方案，故障响应及处理流程</w:t>
            </w:r>
            <w:r>
              <w:rPr>
                <w:rFonts w:hint="eastAsia" w:hAnsi="宋体" w:cs="宋体"/>
                <w:color w:val="auto"/>
                <w:sz w:val="21"/>
                <w:szCs w:val="21"/>
                <w:highlight w:val="none"/>
                <w:lang w:val="en-US" w:eastAsia="zh-CN"/>
              </w:rPr>
              <w:t>详细合理</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具有</w:t>
            </w:r>
            <w:r>
              <w:rPr>
                <w:rFonts w:hint="eastAsia" w:ascii="宋体" w:hAnsi="宋体" w:eastAsia="宋体" w:cs="宋体"/>
                <w:color w:val="auto"/>
                <w:sz w:val="21"/>
                <w:szCs w:val="21"/>
                <w:highlight w:val="none"/>
                <w:lang w:val="en-US" w:eastAsia="zh-CN"/>
              </w:rPr>
              <w:t>可操作性</w:t>
            </w:r>
            <w:r>
              <w:rPr>
                <w:rFonts w:hint="eastAsia" w:hAnsi="宋体" w:cs="宋体"/>
                <w:color w:val="auto"/>
                <w:sz w:val="21"/>
                <w:szCs w:val="21"/>
                <w:highlight w:val="none"/>
                <w:lang w:val="en-US" w:eastAsia="zh-CN"/>
              </w:rPr>
              <w:t>、针对性</w:t>
            </w:r>
            <w:r>
              <w:rPr>
                <w:rFonts w:hint="eastAsia" w:ascii="宋体" w:hAnsi="宋体" w:eastAsia="宋体" w:cs="宋体"/>
                <w:color w:val="auto"/>
                <w:sz w:val="21"/>
                <w:szCs w:val="21"/>
                <w:highlight w:val="none"/>
                <w:lang w:val="en-US" w:eastAsia="zh-CN"/>
              </w:rPr>
              <w:t>，配备有</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辆</w:t>
            </w:r>
            <w:r>
              <w:rPr>
                <w:rFonts w:hint="eastAsia" w:hAnsi="宋体" w:cs="宋体"/>
                <w:color w:val="auto"/>
                <w:sz w:val="21"/>
                <w:szCs w:val="21"/>
                <w:highlight w:val="none"/>
                <w:lang w:val="en-US" w:eastAsia="zh-CN"/>
              </w:rPr>
              <w:t>及以上</w:t>
            </w:r>
            <w:r>
              <w:rPr>
                <w:rFonts w:hint="eastAsia" w:ascii="宋体" w:hAnsi="宋体" w:eastAsia="宋体" w:cs="宋体"/>
                <w:color w:val="auto"/>
                <w:sz w:val="21"/>
                <w:szCs w:val="21"/>
                <w:highlight w:val="none"/>
                <w:lang w:val="en-US" w:eastAsia="zh-CN"/>
              </w:rPr>
              <w:t>注册为</w:t>
            </w:r>
            <w:r>
              <w:rPr>
                <w:rFonts w:hint="eastAsia"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的公务用车，能够确保故障尽快修复，最大程度地满足采购人实际需要，接采购人故障报修电话，0.5小时内响应，工程师</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小时内到达现场服务。</w:t>
            </w:r>
          </w:p>
          <w:p>
            <w:pPr>
              <w:keepNext w:val="0"/>
              <w:keepLines w:val="0"/>
              <w:pageBreakBefore w:val="0"/>
              <w:kinsoku/>
              <w:wordWrap w:val="0"/>
              <w:overflowPunct/>
              <w:topLinePunct w:val="0"/>
              <w:autoSpaceDE/>
              <w:autoSpaceDN/>
              <w:bidi w:val="0"/>
              <w:spacing w:line="360" w:lineRule="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 xml:space="preserve"> 注：投标时</w:t>
            </w:r>
            <w:r>
              <w:rPr>
                <w:rFonts w:hint="eastAsia" w:ascii="宋体" w:hAnsi="宋体" w:eastAsia="宋体" w:cs="宋体"/>
                <w:b/>
                <w:bCs/>
                <w:color w:val="auto"/>
                <w:sz w:val="21"/>
                <w:szCs w:val="21"/>
                <w:highlight w:val="none"/>
                <w:lang w:val="en-US" w:eastAsia="zh-CN"/>
              </w:rPr>
              <w:t>须在投标文件中</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车辆证明材料</w:t>
            </w:r>
            <w:r>
              <w:rPr>
                <w:rFonts w:hint="eastAsia" w:ascii="宋体" w:hAnsi="宋体" w:eastAsia="宋体" w:cs="宋体"/>
                <w:b/>
                <w:bCs/>
                <w:color w:val="auto"/>
                <w:sz w:val="21"/>
                <w:szCs w:val="21"/>
                <w:highlight w:val="none"/>
                <w:lang w:val="en-US" w:eastAsia="zh-CN"/>
              </w:rPr>
              <w:t>，复印件加盖供应商电子印章</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同时</w:t>
            </w:r>
            <w:r>
              <w:rPr>
                <w:rFonts w:hint="eastAsia" w:ascii="宋体" w:hAnsi="宋体" w:eastAsia="宋体" w:cs="宋体"/>
                <w:b/>
                <w:bCs/>
                <w:color w:val="auto"/>
                <w:sz w:val="21"/>
                <w:szCs w:val="21"/>
                <w:highlight w:val="none"/>
              </w:rPr>
              <w:t>提供服务点到设备现场的交通方案。</w:t>
            </w:r>
          </w:p>
        </w:tc>
        <w:tc>
          <w:tcPr>
            <w:tcW w:w="836" w:type="dxa"/>
            <w:noWrap w:val="0"/>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78" w:type="dxa"/>
            <w:noWrap w:val="0"/>
            <w:vAlign w:val="center"/>
          </w:tcPr>
          <w:p>
            <w:pPr>
              <w:adjustRightInd w:val="0"/>
              <w:spacing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2.4</w:t>
            </w:r>
          </w:p>
        </w:tc>
        <w:tc>
          <w:tcPr>
            <w:tcW w:w="1390" w:type="dxa"/>
            <w:noWrap w:val="0"/>
            <w:vAlign w:val="center"/>
          </w:tcPr>
          <w:p>
            <w:pPr>
              <w:adjustRightInd w:val="0"/>
              <w:spacing w:line="360" w:lineRule="auto"/>
              <w:textAlignment w:val="baseline"/>
              <w:rPr>
                <w:rFonts w:hint="eastAsia" w:asciiTheme="minorEastAsia" w:hAnsiTheme="minorEastAsia" w:eastAsiaTheme="minorEastAsia" w:cstheme="minorEastAsia"/>
                <w:bCs/>
                <w:color w:val="auto"/>
                <w:kern w:val="0"/>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服务团队方案（满分16分）</w:t>
            </w:r>
          </w:p>
        </w:tc>
        <w:tc>
          <w:tcPr>
            <w:tcW w:w="6519" w:type="dxa"/>
            <w:noWrap w:val="0"/>
            <w:vAlign w:val="center"/>
          </w:tcPr>
          <w:p>
            <w:pPr>
              <w:pStyle w:val="17"/>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由评标小组根据各投标人提供的</w:t>
            </w:r>
            <w:r>
              <w:rPr>
                <w:rFonts w:hint="eastAsia" w:hAnsi="宋体" w:cs="宋体"/>
                <w:color w:val="auto"/>
                <w:szCs w:val="21"/>
                <w:highlight w:val="none"/>
                <w:lang w:val="en-US" w:eastAsia="zh-CN"/>
              </w:rPr>
              <w:t>服务团队</w:t>
            </w:r>
            <w:r>
              <w:rPr>
                <w:rFonts w:hint="eastAsia" w:hAnsi="宋体" w:cs="宋体"/>
                <w:color w:val="auto"/>
                <w:szCs w:val="21"/>
                <w:highlight w:val="none"/>
              </w:rPr>
              <w:t>方案内容，确定所属档次并在相应档次内独立打分。不提供或不满足最低档要求的，得0分。</w:t>
            </w:r>
          </w:p>
          <w:p>
            <w:pPr>
              <w:pStyle w:val="17"/>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一档（</w:t>
            </w:r>
            <w:r>
              <w:rPr>
                <w:rFonts w:hint="eastAsia" w:hAnsi="宋体" w:cs="宋体"/>
                <w:color w:val="auto"/>
                <w:szCs w:val="21"/>
                <w:highlight w:val="none"/>
                <w:lang w:val="en-US" w:eastAsia="zh-CN"/>
              </w:rPr>
              <w:t>5</w:t>
            </w:r>
            <w:r>
              <w:rPr>
                <w:rFonts w:hint="eastAsia" w:hAnsi="宋体" w:cs="宋体"/>
                <w:color w:val="auto"/>
                <w:szCs w:val="21"/>
                <w:highlight w:val="none"/>
              </w:rPr>
              <w:t>分）：提供满足采购文件要求的人员方案，投标人具有全职维保工程师≥</w:t>
            </w:r>
            <w:r>
              <w:rPr>
                <w:rFonts w:hint="eastAsia" w:hAnsi="宋体" w:cs="宋体"/>
                <w:color w:val="auto"/>
                <w:szCs w:val="21"/>
                <w:highlight w:val="none"/>
                <w:lang w:val="en-US" w:eastAsia="zh-CN"/>
              </w:rPr>
              <w:t>3</w:t>
            </w:r>
            <w:r>
              <w:rPr>
                <w:rFonts w:hint="eastAsia" w:hAnsi="宋体" w:cs="宋体"/>
                <w:color w:val="auto"/>
                <w:szCs w:val="21"/>
                <w:highlight w:val="none"/>
              </w:rPr>
              <w:t>名；</w:t>
            </w:r>
          </w:p>
          <w:p>
            <w:pPr>
              <w:pStyle w:val="17"/>
              <w:spacing w:line="400" w:lineRule="exact"/>
              <w:rPr>
                <w:rFonts w:hint="eastAsia" w:hAnsi="宋体" w:cs="宋体"/>
                <w:color w:val="auto"/>
                <w:szCs w:val="21"/>
                <w:highlight w:val="none"/>
              </w:rPr>
            </w:pPr>
            <w:r>
              <w:rPr>
                <w:rFonts w:hint="eastAsia" w:hAnsi="宋体" w:cs="宋体"/>
                <w:color w:val="auto"/>
                <w:szCs w:val="21"/>
                <w:highlight w:val="none"/>
              </w:rPr>
              <w:t>　　二档（1</w:t>
            </w:r>
            <w:r>
              <w:rPr>
                <w:rFonts w:hint="eastAsia" w:hAnsi="宋体" w:cs="宋体"/>
                <w:color w:val="auto"/>
                <w:szCs w:val="21"/>
                <w:highlight w:val="none"/>
                <w:lang w:val="en-US" w:eastAsia="zh-CN"/>
              </w:rPr>
              <w:t>0</w:t>
            </w:r>
            <w:r>
              <w:rPr>
                <w:rFonts w:hint="eastAsia" w:hAnsi="宋体" w:cs="宋体"/>
                <w:color w:val="auto"/>
                <w:szCs w:val="21"/>
                <w:highlight w:val="none"/>
              </w:rPr>
              <w:t>分）：提供满足采购文件要求的人员方案，投标人在广西区内有常驻技术人员，项目人员组织机构设置基本合理，人员配备基本齐全，提供投标人维保全职工程师≥</w:t>
            </w:r>
            <w:r>
              <w:rPr>
                <w:rFonts w:hint="eastAsia" w:hAnsi="宋体" w:cs="宋体"/>
                <w:color w:val="auto"/>
                <w:szCs w:val="21"/>
                <w:highlight w:val="none"/>
                <w:lang w:val="en-US" w:eastAsia="zh-CN"/>
              </w:rPr>
              <w:t>6</w:t>
            </w:r>
            <w:r>
              <w:rPr>
                <w:rFonts w:hint="eastAsia" w:hAnsi="宋体" w:cs="宋体"/>
                <w:color w:val="auto"/>
                <w:szCs w:val="21"/>
                <w:highlight w:val="none"/>
              </w:rPr>
              <w:t>名，且具备相关维修经验；</w:t>
            </w:r>
          </w:p>
          <w:p>
            <w:pPr>
              <w:pStyle w:val="17"/>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三档（1</w:t>
            </w:r>
            <w:r>
              <w:rPr>
                <w:rFonts w:hint="eastAsia" w:hAnsi="宋体" w:cs="宋体"/>
                <w:color w:val="auto"/>
                <w:szCs w:val="21"/>
                <w:highlight w:val="none"/>
                <w:lang w:val="en-US" w:eastAsia="zh-CN"/>
              </w:rPr>
              <w:t>6</w:t>
            </w:r>
            <w:r>
              <w:rPr>
                <w:rFonts w:hint="eastAsia" w:hAnsi="宋体" w:cs="宋体"/>
                <w:color w:val="auto"/>
                <w:szCs w:val="21"/>
                <w:highlight w:val="none"/>
              </w:rPr>
              <w:t>分）：提供满足采购文件要求的人员方案，投标人在广西区内有常驻技术队伍，项目人员组织机构设置合理，人员配备充裕，人员技术力量雄厚，能提供投标人维保全职工程师≥12名，且主管工程师及其他工程师具备丰富维修经验，能保证完成项目需求。</w:t>
            </w:r>
          </w:p>
          <w:p>
            <w:pPr>
              <w:pStyle w:val="18"/>
              <w:spacing w:line="360" w:lineRule="auto"/>
              <w:ind w:left="0" w:lef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b/>
                <w:bCs/>
                <w:color w:val="auto"/>
                <w:sz w:val="21"/>
                <w:szCs w:val="21"/>
                <w:highlight w:val="none"/>
              </w:rPr>
              <w:t>注：投标时，提供工程师</w:t>
            </w:r>
            <w:r>
              <w:rPr>
                <w:rFonts w:hint="eastAsia" w:hAnsi="宋体" w:cs="宋体"/>
                <w:b/>
                <w:bCs/>
                <w:color w:val="auto"/>
                <w:sz w:val="21"/>
                <w:szCs w:val="21"/>
                <w:highlight w:val="none"/>
              </w:rPr>
              <w:t>相关</w:t>
            </w:r>
            <w:r>
              <w:rPr>
                <w:rFonts w:hint="eastAsia" w:ascii="宋体" w:hAnsi="宋体" w:cs="宋体"/>
                <w:b/>
                <w:bCs/>
                <w:color w:val="auto"/>
                <w:sz w:val="21"/>
                <w:szCs w:val="21"/>
                <w:highlight w:val="none"/>
              </w:rPr>
              <w:t>证书、投标人为其</w:t>
            </w:r>
            <w:r>
              <w:rPr>
                <w:rFonts w:hint="eastAsia" w:hAnsi="宋体" w:cs="宋体"/>
                <w:b/>
                <w:bCs/>
                <w:color w:val="auto"/>
                <w:sz w:val="21"/>
                <w:szCs w:val="21"/>
                <w:highlight w:val="none"/>
                <w:lang w:val="en-US" w:eastAsia="zh-CN"/>
              </w:rPr>
              <w:t>购买近1个月的</w:t>
            </w:r>
            <w:r>
              <w:rPr>
                <w:rFonts w:hint="eastAsia" w:ascii="宋体" w:hAnsi="宋体" w:cs="宋体"/>
                <w:b/>
                <w:bCs/>
                <w:color w:val="auto"/>
                <w:sz w:val="21"/>
                <w:szCs w:val="21"/>
                <w:highlight w:val="none"/>
              </w:rPr>
              <w:t>社保证明</w:t>
            </w:r>
            <w:r>
              <w:rPr>
                <w:rFonts w:hint="eastAsia" w:hAnsi="宋体" w:cs="宋体"/>
                <w:b/>
                <w:bCs/>
                <w:color w:val="auto"/>
                <w:sz w:val="21"/>
                <w:szCs w:val="21"/>
                <w:highlight w:val="none"/>
                <w:lang w:eastAsia="zh-CN"/>
              </w:rPr>
              <w:t>（</w:t>
            </w:r>
            <w:r>
              <w:rPr>
                <w:rFonts w:hint="eastAsia" w:hAnsi="宋体" w:cs="宋体"/>
                <w:b/>
                <w:bCs/>
                <w:color w:val="auto"/>
                <w:sz w:val="21"/>
                <w:szCs w:val="21"/>
                <w:highlight w:val="none"/>
                <w:lang w:val="en-US" w:eastAsia="zh-CN"/>
              </w:rPr>
              <w:t>或劳动合同或发放工资银行流水的复印件</w:t>
            </w:r>
            <w:r>
              <w:rPr>
                <w:rFonts w:hint="eastAsia"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w:t>
            </w:r>
            <w:r>
              <w:rPr>
                <w:rFonts w:hint="eastAsia" w:ascii="宋体" w:hAnsi="宋体"/>
                <w:b/>
                <w:bCs/>
                <w:color w:val="auto"/>
                <w:kern w:val="0"/>
                <w:sz w:val="21"/>
                <w:szCs w:val="21"/>
                <w:highlight w:val="none"/>
              </w:rPr>
              <w:t>未提供方案或不符合最低入档条件的按不入档处理，计0分。</w:t>
            </w:r>
          </w:p>
        </w:tc>
        <w:tc>
          <w:tcPr>
            <w:tcW w:w="836" w:type="dxa"/>
            <w:noWrap w:val="0"/>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8" w:type="dxa"/>
            <w:noWrap w:val="0"/>
            <w:vAlign w:val="center"/>
          </w:tcPr>
          <w:p>
            <w:pPr>
              <w:widowControl/>
              <w:spacing w:line="360" w:lineRule="auto"/>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p>
        </w:tc>
        <w:tc>
          <w:tcPr>
            <w:tcW w:w="1390" w:type="dxa"/>
            <w:noWrap w:val="0"/>
            <w:vAlign w:val="center"/>
          </w:tcPr>
          <w:p>
            <w:pPr>
              <w:widowControl/>
              <w:spacing w:line="360" w:lineRule="auto"/>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商务分</w:t>
            </w:r>
          </w:p>
        </w:tc>
        <w:tc>
          <w:tcPr>
            <w:tcW w:w="7355" w:type="dxa"/>
            <w:gridSpan w:val="2"/>
            <w:noWrap w:val="0"/>
            <w:vAlign w:val="center"/>
          </w:tcPr>
          <w:p>
            <w:pPr>
              <w:widowControl/>
              <w:spacing w:line="360" w:lineRule="auto"/>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评分内容与标准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578"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1</w:t>
            </w:r>
          </w:p>
        </w:tc>
        <w:tc>
          <w:tcPr>
            <w:tcW w:w="1390" w:type="dxa"/>
            <w:noWrap w:val="0"/>
            <w:vAlign w:val="center"/>
          </w:tcPr>
          <w:p>
            <w:pPr>
              <w:widowControl/>
              <w:spacing w:line="36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信誉分</w:t>
            </w:r>
          </w:p>
          <w:p>
            <w:pPr>
              <w:widowControl/>
              <w:spacing w:line="360" w:lineRule="auto"/>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rPr>
              <w:t>（满分</w:t>
            </w: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rPr>
              <w:t>分）</w:t>
            </w:r>
          </w:p>
        </w:tc>
        <w:tc>
          <w:tcPr>
            <w:tcW w:w="6519" w:type="dxa"/>
            <w:noWrap w:val="0"/>
            <w:vAlign w:val="center"/>
          </w:tcPr>
          <w:p>
            <w:pPr>
              <w:pStyle w:val="14"/>
              <w:keepNext w:val="0"/>
              <w:keepLines w:val="0"/>
              <w:pageBreakBefore w:val="0"/>
              <w:numPr>
                <w:ilvl w:val="0"/>
                <w:numId w:val="0"/>
              </w:numPr>
              <w:kinsoku/>
              <w:wordWrap w:val="0"/>
              <w:overflowPunct/>
              <w:topLinePunct w:val="0"/>
              <w:autoSpaceDE/>
              <w:autoSpaceDN/>
              <w:bidi w:val="0"/>
              <w:spacing w:line="360" w:lineRule="auto"/>
              <w:ind w:lef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r>
              <w:rPr>
                <w:rFonts w:hint="eastAsia" w:hAnsi="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en-US" w:eastAsia="zh-CN"/>
              </w:rPr>
              <w:t>供应商通过ISO9001质量管理体系认证、ISO13485医疗器械质量管理体系认证、ISO14001环境管理体系认证、ISO45001职业健康安全管理体系认证，证书证书在有效期内且认证范围包括“6830医用X射线设备的维保技术服务”的，每提供一个证书得1</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分，本项满分</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分。</w:t>
            </w:r>
          </w:p>
          <w:p>
            <w:pPr>
              <w:pStyle w:val="14"/>
              <w:keepNext w:val="0"/>
              <w:keepLines w:val="0"/>
              <w:pageBreakBefore w:val="0"/>
              <w:kinsoku/>
              <w:wordWrap w:val="0"/>
              <w:overflowPunct/>
              <w:topLinePunct w:val="0"/>
              <w:autoSpaceDE/>
              <w:autoSpaceDN/>
              <w:bidi w:val="0"/>
              <w:spacing w:line="36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rPr>
              <w:t>注：</w:t>
            </w:r>
            <w:r>
              <w:rPr>
                <w:rFonts w:hint="eastAsia" w:ascii="宋体" w:hAnsi="宋体" w:eastAsia="宋体" w:cs="宋体"/>
                <w:b/>
                <w:bCs/>
                <w:color w:val="auto"/>
                <w:kern w:val="2"/>
                <w:sz w:val="21"/>
                <w:szCs w:val="21"/>
                <w:highlight w:val="none"/>
                <w:lang w:eastAsia="zh-CN"/>
              </w:rPr>
              <w:t>投标人须在投标文件中提供</w:t>
            </w:r>
            <w:r>
              <w:rPr>
                <w:rFonts w:hint="eastAsia" w:ascii="宋体" w:hAnsi="宋体" w:eastAsia="宋体" w:cs="宋体"/>
                <w:b/>
                <w:bCs/>
                <w:color w:val="auto"/>
                <w:kern w:val="2"/>
                <w:sz w:val="21"/>
                <w:szCs w:val="21"/>
                <w:highlight w:val="none"/>
                <w:lang w:val="en-US" w:eastAsia="zh-CN"/>
              </w:rPr>
              <w:t>上述认证证书</w:t>
            </w:r>
            <w:r>
              <w:rPr>
                <w:rFonts w:hint="eastAsia" w:ascii="宋体" w:hAnsi="宋体" w:eastAsia="宋体" w:cs="宋体"/>
                <w:b/>
                <w:bCs/>
                <w:color w:val="auto"/>
                <w:kern w:val="2"/>
                <w:sz w:val="21"/>
                <w:szCs w:val="21"/>
                <w:highlight w:val="none"/>
                <w:lang w:eastAsia="zh-CN"/>
              </w:rPr>
              <w:t>复印件</w:t>
            </w:r>
            <w:r>
              <w:rPr>
                <w:rFonts w:hint="eastAsia" w:ascii="宋体" w:hAnsi="宋体" w:eastAsia="宋体" w:cs="宋体"/>
                <w:b/>
                <w:bCs/>
                <w:color w:val="auto"/>
                <w:kern w:val="2"/>
                <w:sz w:val="21"/>
                <w:szCs w:val="21"/>
                <w:highlight w:val="none"/>
                <w:lang w:val="en-US" w:eastAsia="zh-CN"/>
              </w:rPr>
              <w:t>并</w:t>
            </w:r>
            <w:r>
              <w:rPr>
                <w:rFonts w:hint="eastAsia" w:ascii="宋体" w:hAnsi="宋体" w:eastAsia="宋体" w:cs="宋体"/>
                <w:b/>
                <w:bCs/>
                <w:color w:val="auto"/>
                <w:kern w:val="2"/>
                <w:sz w:val="21"/>
                <w:szCs w:val="21"/>
                <w:highlight w:val="none"/>
                <w:lang w:eastAsia="zh-CN"/>
              </w:rPr>
              <w:t>加盖单位电子公章，</w:t>
            </w:r>
            <w:r>
              <w:rPr>
                <w:rFonts w:hint="eastAsia" w:ascii="宋体" w:hAnsi="宋体" w:eastAsia="宋体" w:cs="宋体"/>
                <w:b/>
                <w:bCs/>
                <w:color w:val="auto"/>
                <w:kern w:val="2"/>
                <w:sz w:val="21"/>
                <w:szCs w:val="21"/>
                <w:highlight w:val="none"/>
              </w:rPr>
              <w:t>不提供的不予计分</w:t>
            </w:r>
            <w:r>
              <w:rPr>
                <w:rFonts w:hint="eastAsia" w:ascii="宋体" w:hAnsi="宋体" w:eastAsia="宋体" w:cs="宋体"/>
                <w:b/>
                <w:bCs/>
                <w:color w:val="auto"/>
                <w:kern w:val="2"/>
                <w:sz w:val="21"/>
                <w:szCs w:val="21"/>
                <w:highlight w:val="none"/>
                <w:lang w:eastAsia="zh-CN"/>
              </w:rPr>
              <w:t>。</w:t>
            </w:r>
          </w:p>
        </w:tc>
        <w:tc>
          <w:tcPr>
            <w:tcW w:w="836"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8"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2</w:t>
            </w:r>
          </w:p>
        </w:tc>
        <w:tc>
          <w:tcPr>
            <w:tcW w:w="1390" w:type="dxa"/>
            <w:noWrap w:val="0"/>
            <w:vAlign w:val="center"/>
          </w:tcPr>
          <w:p>
            <w:pPr>
              <w:widowControl/>
              <w:spacing w:line="36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业绩分</w:t>
            </w:r>
          </w:p>
          <w:p>
            <w:pPr>
              <w:widowControl/>
              <w:spacing w:line="36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（满分</w:t>
            </w: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rPr>
              <w:t>分）</w:t>
            </w:r>
          </w:p>
        </w:tc>
        <w:tc>
          <w:tcPr>
            <w:tcW w:w="6519" w:type="dxa"/>
            <w:noWrap w:val="0"/>
            <w:vAlign w:val="center"/>
          </w:tcPr>
          <w:p>
            <w:pPr>
              <w:pStyle w:val="14"/>
              <w:keepNext w:val="0"/>
              <w:keepLines w:val="0"/>
              <w:pageBreakBefore w:val="0"/>
              <w:kinsoku/>
              <w:wordWrap w:val="0"/>
              <w:overflowPunct/>
              <w:topLinePunct w:val="0"/>
              <w:autoSpaceDE/>
              <w:autoSpaceDN/>
              <w:bidi w:val="0"/>
              <w:spacing w:line="360" w:lineRule="auto"/>
              <w:rPr>
                <w:rFonts w:hint="eastAsia" w:ascii="宋体" w:hAnsi="宋体" w:eastAsia="宋体" w:cs="宋体"/>
                <w:color w:val="auto"/>
                <w:kern w:val="2"/>
                <w:sz w:val="21"/>
                <w:szCs w:val="21"/>
                <w:highlight w:val="none"/>
                <w:lang w:eastAsia="zh-CN"/>
              </w:rPr>
            </w:pPr>
            <w:r>
              <w:rPr>
                <w:rFonts w:hint="eastAsia" w:ascii="宋体" w:hAnsi="宋体" w:cs="宋体"/>
                <w:color w:val="auto"/>
                <w:sz w:val="21"/>
                <w:szCs w:val="21"/>
                <w:highlight w:val="none"/>
                <w:lang w:val="en-US" w:eastAsia="zh-CN"/>
              </w:rPr>
              <w:t>投标供应商自</w:t>
            </w:r>
            <w:r>
              <w:rPr>
                <w:rFonts w:hint="eastAsia" w:ascii="宋体" w:hAnsi="宋体" w:cs="宋体"/>
                <w:color w:val="auto"/>
                <w:sz w:val="21"/>
                <w:szCs w:val="21"/>
                <w:highlight w:val="none"/>
              </w:rPr>
              <w:t>2022年至今（以中标通知书发出或合同签订时间为准）</w:t>
            </w:r>
            <w:r>
              <w:rPr>
                <w:rFonts w:hint="eastAsia" w:ascii="宋体" w:hAnsi="宋体" w:eastAsia="宋体" w:cs="宋体"/>
                <w:color w:val="auto"/>
                <w:kern w:val="2"/>
                <w:sz w:val="21"/>
                <w:szCs w:val="21"/>
                <w:highlight w:val="none"/>
                <w:lang w:eastAsia="zh-CN"/>
              </w:rPr>
              <w:t>，承接</w:t>
            </w:r>
            <w:r>
              <w:rPr>
                <w:rFonts w:hint="eastAsia" w:ascii="宋体" w:hAnsi="宋体" w:eastAsia="宋体" w:cs="宋体"/>
                <w:color w:val="auto"/>
                <w:kern w:val="2"/>
                <w:sz w:val="21"/>
                <w:szCs w:val="21"/>
                <w:highlight w:val="none"/>
                <w:lang w:val="en-US" w:eastAsia="zh-CN"/>
              </w:rPr>
              <w:t>过</w:t>
            </w:r>
            <w:r>
              <w:rPr>
                <w:rFonts w:hint="eastAsia" w:ascii="宋体" w:hAnsi="宋体" w:eastAsia="宋体" w:cs="宋体"/>
                <w:color w:val="auto"/>
                <w:kern w:val="2"/>
                <w:sz w:val="21"/>
                <w:szCs w:val="21"/>
                <w:highlight w:val="none"/>
                <w:lang w:eastAsia="zh-CN"/>
              </w:rPr>
              <w:t>同类维保服务项目，每提供</w:t>
            </w:r>
            <w:r>
              <w:rPr>
                <w:rFonts w:hint="eastAsia" w:ascii="宋体" w:hAnsi="宋体" w:eastAsia="宋体" w:cs="宋体"/>
                <w:color w:val="auto"/>
                <w:kern w:val="2"/>
                <w:sz w:val="21"/>
                <w:szCs w:val="21"/>
                <w:highlight w:val="none"/>
                <w:lang w:val="en-US" w:eastAsia="zh-CN"/>
              </w:rPr>
              <w:t>有</w:t>
            </w:r>
            <w:r>
              <w:rPr>
                <w:rFonts w:hint="eastAsia" w:ascii="宋体" w:hAnsi="宋体" w:eastAsia="宋体" w:cs="宋体"/>
                <w:color w:val="auto"/>
                <w:kern w:val="2"/>
                <w:sz w:val="21"/>
                <w:szCs w:val="21"/>
                <w:highlight w:val="none"/>
                <w:lang w:eastAsia="zh-CN"/>
              </w:rPr>
              <w:t>一个项目的得1分，本项满分6分。</w:t>
            </w:r>
          </w:p>
          <w:p>
            <w:pPr>
              <w:pStyle w:val="14"/>
              <w:keepNext w:val="0"/>
              <w:keepLines w:val="0"/>
              <w:pageBreakBefore w:val="0"/>
              <w:kinsoku/>
              <w:wordWrap w:val="0"/>
              <w:overflowPunct/>
              <w:topLinePunct w:val="0"/>
              <w:autoSpaceDE/>
              <w:autoSpaceDN/>
              <w:bidi w:val="0"/>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bCs/>
                <w:color w:val="auto"/>
                <w:kern w:val="2"/>
                <w:sz w:val="21"/>
                <w:szCs w:val="21"/>
                <w:highlight w:val="none"/>
                <w:lang w:eastAsia="zh-CN"/>
              </w:rPr>
              <w:t>注：投标人须在投标文件中提供相应合同或中标（或成交）通知书复印件，并加盖单位电子公章，不提供的不得分。</w:t>
            </w:r>
          </w:p>
        </w:tc>
        <w:tc>
          <w:tcPr>
            <w:tcW w:w="836" w:type="dxa"/>
            <w:noWrap w:val="0"/>
            <w:vAlign w:val="center"/>
          </w:tcPr>
          <w:p>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78"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3.3</w:t>
            </w:r>
          </w:p>
        </w:tc>
        <w:tc>
          <w:tcPr>
            <w:tcW w:w="1390" w:type="dxa"/>
            <w:noWrap w:val="0"/>
            <w:vAlign w:val="center"/>
          </w:tcPr>
          <w:p>
            <w:pPr>
              <w:widowControl/>
              <w:spacing w:line="360" w:lineRule="auto"/>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履约能力分（满分8分）</w:t>
            </w:r>
          </w:p>
        </w:tc>
        <w:tc>
          <w:tcPr>
            <w:tcW w:w="6519" w:type="dxa"/>
            <w:noWrap w:val="0"/>
            <w:vAlign w:val="center"/>
          </w:tcPr>
          <w:p>
            <w:pPr>
              <w:pStyle w:val="14"/>
              <w:keepNext w:val="0"/>
              <w:keepLines w:val="0"/>
              <w:pageBreakBefore w:val="0"/>
              <w:numPr>
                <w:ilvl w:val="0"/>
                <w:numId w:val="0"/>
              </w:numPr>
              <w:kinsoku/>
              <w:wordWrap w:val="0"/>
              <w:overflowPunct/>
              <w:topLinePunct w:val="0"/>
              <w:autoSpaceDE/>
              <w:autoSpaceDN/>
              <w:bidi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r>
              <w:rPr>
                <w:rFonts w:hint="eastAsia" w:ascii="宋体" w:hAnsi="宋体" w:cs="宋体"/>
                <w:color w:val="auto"/>
                <w:szCs w:val="20"/>
                <w:highlight w:val="none"/>
              </w:rPr>
              <w:t>拟投入人员中具备本项目相关专业职称〔</w:t>
            </w:r>
            <w:r>
              <w:rPr>
                <w:rFonts w:hint="eastAsia" w:ascii="宋体" w:hAnsi="宋体" w:cs="宋体"/>
                <w:color w:val="auto"/>
                <w:szCs w:val="20"/>
                <w:highlight w:val="none"/>
                <w:lang w:eastAsia="zh-CN"/>
              </w:rPr>
              <w:t>如</w:t>
            </w:r>
            <w:r>
              <w:rPr>
                <w:rFonts w:hint="eastAsia" w:ascii="宋体" w:hAnsi="宋体" w:eastAsia="宋体" w:cs="宋体"/>
                <w:color w:val="auto"/>
                <w:kern w:val="2"/>
                <w:sz w:val="21"/>
                <w:szCs w:val="21"/>
                <w:highlight w:val="none"/>
                <w:lang w:val="en-US" w:eastAsia="zh-CN"/>
              </w:rPr>
              <w:t>机电工程、电子科学与技术、信息与通信工程、工业电气及其自动化，生物医学工程等</w:t>
            </w:r>
            <w:r>
              <w:rPr>
                <w:rFonts w:hint="eastAsia" w:ascii="宋体" w:hAnsi="宋体" w:cs="宋体"/>
                <w:color w:val="auto"/>
                <w:szCs w:val="20"/>
                <w:highlight w:val="none"/>
              </w:rPr>
              <w:t>〕的，</w:t>
            </w:r>
            <w:r>
              <w:rPr>
                <w:rFonts w:hint="eastAsia" w:ascii="宋体" w:hAnsi="宋体" w:cs="宋体"/>
                <w:color w:val="auto"/>
                <w:szCs w:val="20"/>
                <w:highlight w:val="none"/>
                <w:lang w:eastAsia="zh-CN"/>
              </w:rPr>
              <w:t>具备</w:t>
            </w:r>
            <w:r>
              <w:rPr>
                <w:rFonts w:hint="eastAsia" w:ascii="宋体" w:hAnsi="宋体" w:cs="宋体"/>
                <w:color w:val="auto"/>
                <w:szCs w:val="20"/>
                <w:highlight w:val="none"/>
              </w:rPr>
              <w:t>中级</w:t>
            </w:r>
            <w:r>
              <w:rPr>
                <w:rFonts w:hint="eastAsia" w:ascii="宋体" w:hAnsi="宋体" w:cs="宋体"/>
                <w:color w:val="auto"/>
                <w:szCs w:val="20"/>
                <w:highlight w:val="none"/>
                <w:lang w:eastAsia="zh-CN"/>
              </w:rPr>
              <w:t>及以上</w:t>
            </w:r>
            <w:r>
              <w:rPr>
                <w:rFonts w:hint="eastAsia" w:ascii="宋体" w:hAnsi="宋体" w:cs="宋体"/>
                <w:color w:val="auto"/>
                <w:szCs w:val="20"/>
                <w:highlight w:val="none"/>
              </w:rPr>
              <w:t>职称的每人得1分</w:t>
            </w:r>
            <w:r>
              <w:rPr>
                <w:rFonts w:hint="eastAsia" w:ascii="宋体" w:hAnsi="宋体" w:cs="宋体"/>
                <w:color w:val="auto"/>
                <w:szCs w:val="20"/>
                <w:highlight w:val="none"/>
                <w:lang w:eastAsia="zh-CN"/>
              </w:rPr>
              <w:t>，</w:t>
            </w:r>
            <w:r>
              <w:rPr>
                <w:rFonts w:hint="eastAsia" w:ascii="宋体" w:hAnsi="宋体" w:eastAsia="宋体" w:cs="宋体"/>
                <w:color w:val="auto"/>
                <w:kern w:val="2"/>
                <w:sz w:val="21"/>
                <w:szCs w:val="21"/>
                <w:highlight w:val="none"/>
                <w:lang w:val="en-US" w:eastAsia="zh-CN"/>
              </w:rPr>
              <w:t>本项满分</w:t>
            </w:r>
            <w:r>
              <w:rPr>
                <w:rFonts w:hint="eastAsia"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分。</w:t>
            </w:r>
          </w:p>
          <w:p>
            <w:pPr>
              <w:pStyle w:val="17"/>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r>
              <w:rPr>
                <w:rFonts w:hint="eastAsia" w:hAnsi="宋体" w:cs="宋体"/>
                <w:color w:val="auto"/>
                <w:szCs w:val="21"/>
                <w:highlight w:val="none"/>
              </w:rPr>
              <w:t>投标人技术团队工程师中获得西门子原厂颁发的相关维护合格培训证书，每个证书得</w:t>
            </w:r>
            <w:r>
              <w:rPr>
                <w:rFonts w:hint="eastAsia" w:hAnsi="宋体" w:cs="宋体"/>
                <w:color w:val="auto"/>
                <w:szCs w:val="21"/>
                <w:highlight w:val="none"/>
                <w:lang w:val="en-US" w:eastAsia="zh-CN"/>
              </w:rPr>
              <w:t>2</w:t>
            </w:r>
            <w:r>
              <w:rPr>
                <w:rFonts w:hint="eastAsia" w:hAnsi="宋体" w:cs="宋体"/>
                <w:color w:val="auto"/>
                <w:szCs w:val="21"/>
                <w:highlight w:val="none"/>
              </w:rPr>
              <w:t>分，满分</w:t>
            </w:r>
            <w:r>
              <w:rPr>
                <w:rFonts w:hint="eastAsia" w:hAnsi="宋体" w:cs="宋体"/>
                <w:color w:val="auto"/>
                <w:szCs w:val="21"/>
                <w:highlight w:val="none"/>
                <w:lang w:val="en-US" w:eastAsia="zh-CN"/>
              </w:rPr>
              <w:t>2</w:t>
            </w:r>
            <w:r>
              <w:rPr>
                <w:rFonts w:hint="eastAsia" w:hAnsi="宋体" w:cs="宋体"/>
                <w:color w:val="auto"/>
                <w:szCs w:val="21"/>
                <w:highlight w:val="none"/>
              </w:rPr>
              <w:t>分（提供相关培训证书复印件）。</w:t>
            </w:r>
          </w:p>
          <w:p>
            <w:pPr>
              <w:pStyle w:val="17"/>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bCs/>
                <w:color w:val="auto"/>
                <w:kern w:val="2"/>
                <w:sz w:val="21"/>
                <w:szCs w:val="21"/>
                <w:highlight w:val="none"/>
                <w:lang w:eastAsia="zh-CN"/>
              </w:rPr>
              <w:t>注：</w:t>
            </w:r>
            <w:r>
              <w:rPr>
                <w:rFonts w:hint="eastAsia" w:ascii="宋体" w:hAnsi="宋体" w:eastAsia="宋体" w:cs="宋体"/>
                <w:b/>
                <w:bCs/>
                <w:color w:val="auto"/>
                <w:kern w:val="2"/>
                <w:sz w:val="21"/>
                <w:szCs w:val="21"/>
                <w:highlight w:val="none"/>
              </w:rPr>
              <w:t>在投标文件中提供</w:t>
            </w:r>
            <w:r>
              <w:rPr>
                <w:rFonts w:hint="eastAsia" w:hAnsi="宋体" w:cs="宋体"/>
                <w:b/>
                <w:bCs/>
                <w:color w:val="auto"/>
                <w:kern w:val="2"/>
                <w:sz w:val="21"/>
                <w:szCs w:val="21"/>
                <w:highlight w:val="none"/>
                <w:lang w:val="en-US" w:eastAsia="zh-CN"/>
              </w:rPr>
              <w:t>以上工程师</w:t>
            </w:r>
            <w:r>
              <w:rPr>
                <w:rFonts w:hint="eastAsia" w:ascii="宋体" w:hAnsi="宋体" w:eastAsia="宋体" w:cs="宋体"/>
                <w:b/>
                <w:bCs/>
                <w:color w:val="auto"/>
                <w:kern w:val="2"/>
                <w:sz w:val="21"/>
                <w:szCs w:val="21"/>
                <w:highlight w:val="none"/>
                <w:lang w:eastAsia="zh-CN"/>
              </w:rPr>
              <w:t>的</w:t>
            </w:r>
            <w:r>
              <w:rPr>
                <w:rFonts w:hint="eastAsia" w:ascii="宋体" w:hAnsi="宋体" w:eastAsia="宋体" w:cs="宋体"/>
                <w:b/>
                <w:bCs/>
                <w:color w:val="auto"/>
                <w:kern w:val="2"/>
                <w:sz w:val="21"/>
                <w:szCs w:val="21"/>
                <w:highlight w:val="none"/>
                <w:lang w:val="en-US" w:eastAsia="zh-CN"/>
              </w:rPr>
              <w:t>证书</w:t>
            </w:r>
            <w:r>
              <w:rPr>
                <w:rFonts w:hint="eastAsia" w:ascii="宋体" w:hAnsi="宋体" w:eastAsia="宋体" w:cs="宋体"/>
                <w:b/>
                <w:bCs/>
                <w:color w:val="auto"/>
                <w:kern w:val="2"/>
                <w:sz w:val="21"/>
                <w:szCs w:val="21"/>
                <w:highlight w:val="none"/>
                <w:lang w:eastAsia="zh-CN"/>
              </w:rPr>
              <w:t>复印件；同时须提供</w:t>
            </w:r>
            <w:r>
              <w:rPr>
                <w:rFonts w:hint="eastAsia" w:ascii="宋体" w:hAnsi="宋体" w:eastAsia="宋体" w:cs="宋体"/>
                <w:b/>
                <w:bCs/>
                <w:color w:val="auto"/>
                <w:kern w:val="2"/>
                <w:sz w:val="21"/>
                <w:szCs w:val="21"/>
                <w:highlight w:val="none"/>
              </w:rPr>
              <w:t>投标单位购买社保证明</w:t>
            </w:r>
            <w:r>
              <w:rPr>
                <w:rFonts w:hint="eastAsia" w:hAnsi="宋体" w:cs="宋体"/>
                <w:b/>
                <w:bCs/>
                <w:color w:val="auto"/>
                <w:sz w:val="21"/>
                <w:szCs w:val="21"/>
                <w:highlight w:val="none"/>
                <w:lang w:eastAsia="zh-CN"/>
              </w:rPr>
              <w:t>（</w:t>
            </w:r>
            <w:r>
              <w:rPr>
                <w:rFonts w:hint="eastAsia" w:ascii="宋体" w:hAnsi="宋体" w:eastAsia="宋体" w:cs="Times New Roman"/>
                <w:bCs/>
                <w:color w:val="auto"/>
                <w:kern w:val="2"/>
                <w:sz w:val="21"/>
                <w:szCs w:val="20"/>
                <w:highlight w:val="none"/>
                <w:lang w:val="en-US" w:eastAsia="zh-CN" w:bidi="ar-SA"/>
              </w:rPr>
              <w:t>或劳动合同或发放工资银行流水的复印件</w:t>
            </w:r>
            <w:r>
              <w:rPr>
                <w:rFonts w:hint="eastAsia" w:hAnsi="宋体" w:cs="宋体"/>
                <w:b/>
                <w:bCs/>
                <w:color w:val="auto"/>
                <w:sz w:val="21"/>
                <w:szCs w:val="21"/>
                <w:highlight w:val="none"/>
                <w:lang w:eastAsia="zh-CN"/>
              </w:rPr>
              <w:t>）</w:t>
            </w:r>
            <w:r>
              <w:rPr>
                <w:rFonts w:hint="eastAsia" w:ascii="宋体" w:hAnsi="宋体" w:eastAsia="宋体" w:cs="宋体"/>
                <w:b/>
                <w:bCs/>
                <w:color w:val="auto"/>
                <w:kern w:val="2"/>
                <w:sz w:val="21"/>
                <w:szCs w:val="21"/>
                <w:highlight w:val="none"/>
              </w:rPr>
              <w:t>，并加盖投标单位公章</w:t>
            </w:r>
            <w:r>
              <w:rPr>
                <w:rFonts w:hint="eastAsia" w:ascii="宋体" w:hAnsi="宋体" w:eastAsia="宋体" w:cs="宋体"/>
                <w:b/>
                <w:bCs/>
                <w:color w:val="auto"/>
                <w:kern w:val="2"/>
                <w:sz w:val="21"/>
                <w:szCs w:val="21"/>
                <w:highlight w:val="none"/>
                <w:lang w:eastAsia="zh-CN"/>
              </w:rPr>
              <w:t>；不提供的不得分。</w:t>
            </w:r>
          </w:p>
        </w:tc>
        <w:tc>
          <w:tcPr>
            <w:tcW w:w="836" w:type="dxa"/>
            <w:noWrap w:val="0"/>
            <w:vAlign w:val="center"/>
          </w:tcPr>
          <w:p>
            <w:pPr>
              <w:widowControl/>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87" w:type="dxa"/>
            <w:gridSpan w:val="3"/>
            <w:noWrap w:val="0"/>
            <w:vAlign w:val="top"/>
          </w:tcPr>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总得分＝1＋2＋3</w:t>
            </w:r>
          </w:p>
        </w:tc>
        <w:tc>
          <w:tcPr>
            <w:tcW w:w="836"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100分</w:t>
            </w:r>
          </w:p>
        </w:tc>
      </w:tr>
    </w:tbl>
    <w:p>
      <w:pPr>
        <w:rPr>
          <w:rFonts w:hint="eastAsia"/>
          <w:color w:val="auto"/>
          <w:highlight w:val="none"/>
          <w:lang w:eastAsia="zh-CN"/>
        </w:rPr>
      </w:pPr>
    </w:p>
    <w:p>
      <w:pPr>
        <w:pStyle w:val="4"/>
        <w:jc w:val="center"/>
        <w:rPr>
          <w:rFonts w:hint="eastAsia" w:cs="Times New Roman"/>
          <w:b w:val="0"/>
          <w:color w:val="auto"/>
          <w:sz w:val="30"/>
          <w:szCs w:val="30"/>
          <w:highlight w:val="none"/>
        </w:rPr>
      </w:pPr>
      <w:bookmarkStart w:id="346" w:name="_Toc15061"/>
      <w:bookmarkStart w:id="347" w:name="_Toc9480"/>
      <w:bookmarkStart w:id="348" w:name="_Toc12855"/>
      <w:bookmarkStart w:id="349" w:name="_Toc23906"/>
      <w:bookmarkStart w:id="350" w:name="_Toc20313"/>
      <w:bookmarkStart w:id="351" w:name="_Toc16466"/>
      <w:bookmarkStart w:id="352" w:name="_Toc2202"/>
      <w:bookmarkStart w:id="353" w:name="_Toc18582"/>
      <w:bookmarkStart w:id="354" w:name="_Toc10751"/>
      <w:bookmarkStart w:id="355" w:name="_Toc11083"/>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bookmarkEnd w:id="346"/>
      <w:bookmarkEnd w:id="347"/>
      <w:bookmarkEnd w:id="348"/>
      <w:bookmarkEnd w:id="349"/>
      <w:bookmarkEnd w:id="350"/>
      <w:bookmarkEnd w:id="351"/>
      <w:bookmarkEnd w:id="352"/>
      <w:bookmarkEnd w:id="353"/>
      <w:bookmarkEnd w:id="354"/>
      <w:bookmarkEnd w:id="355"/>
    </w:p>
    <w:p>
      <w:pPr>
        <w:pStyle w:val="17"/>
        <w:numPr>
          <w:ilvl w:val="0"/>
          <w:numId w:val="0"/>
        </w:numPr>
        <w:spacing w:line="360" w:lineRule="auto"/>
        <w:ind w:left="472" w:leftChars="0"/>
        <w:contextualSpacing/>
        <w:rPr>
          <w:rFonts w:hAnsi="宋体" w:eastAsia="宋体" w:cs="Times New Roman"/>
          <w:b/>
          <w:bCs/>
          <w:color w:val="auto"/>
          <w:sz w:val="24"/>
          <w:szCs w:val="24"/>
          <w:highlight w:val="none"/>
        </w:rPr>
      </w:pPr>
      <w:r>
        <w:rPr>
          <w:rFonts w:hint="eastAsia" w:hAnsi="宋体" w:eastAsia="宋体" w:cs="Times New Roman"/>
          <w:b/>
          <w:bCs/>
          <w:color w:val="auto"/>
          <w:sz w:val="24"/>
          <w:szCs w:val="24"/>
          <w:highlight w:val="none"/>
        </w:rPr>
        <w:t>（一）综合评分法</w:t>
      </w:r>
    </w:p>
    <w:p>
      <w:pPr>
        <w:pStyle w:val="17"/>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评标委员会将根据评审后总得分由高到低排列次序并推荐中标候选人。总得分相同的，以投标报价由低到高顺序排列</w:t>
      </w:r>
      <w:r>
        <w:rPr>
          <w:rFonts w:hint="eastAsia" w:hAnsi="宋体" w:cs="Times New Roman"/>
          <w:color w:val="auto"/>
          <w:highlight w:val="none"/>
          <w:lang w:eastAsia="zh-CN"/>
        </w:rPr>
        <w:t>，</w:t>
      </w:r>
      <w:r>
        <w:rPr>
          <w:rFonts w:hint="eastAsia" w:hAnsi="宋体" w:eastAsia="宋体" w:cs="Times New Roman"/>
          <w:color w:val="auto"/>
          <w:highlight w:val="none"/>
        </w:rPr>
        <w:t>得分相同且投标报价相同的并列</w:t>
      </w:r>
      <w:r>
        <w:rPr>
          <w:rFonts w:hint="eastAsia" w:hAnsi="宋体" w:cs="Times New Roman"/>
          <w:color w:val="auto"/>
          <w:highlight w:val="none"/>
          <w:lang w:eastAsia="zh-CN"/>
        </w:rPr>
        <w:t>。</w:t>
      </w:r>
      <w:r>
        <w:rPr>
          <w:rFonts w:hint="eastAsia" w:hAnsi="宋体" w:eastAsia="宋体" w:cs="Times New Roman"/>
          <w:color w:val="auto"/>
          <w:highlight w:val="none"/>
        </w:rPr>
        <w:t>投标文件满足招标文件全部实质性要求，且按照评审因素的量化指标评审得分最高的投标人为排名第一的中标候选人。</w:t>
      </w:r>
    </w:p>
    <w:p>
      <w:pPr>
        <w:pStyle w:val="17"/>
        <w:spacing w:line="360" w:lineRule="auto"/>
        <w:ind w:firstLine="482" w:firstLineChars="200"/>
        <w:rPr>
          <w:rFonts w:hint="eastAsia" w:hAnsi="宋体" w:eastAsia="宋体" w:cs="Times New Roman"/>
          <w:color w:val="auto"/>
          <w:highlight w:val="none"/>
        </w:rPr>
      </w:pPr>
      <w:r>
        <w:rPr>
          <w:rFonts w:hint="eastAsia" w:hAnsi="宋体" w:eastAsia="宋体" w:cs="Times New Roman"/>
          <w:b/>
          <w:bCs/>
          <w:color w:val="auto"/>
          <w:sz w:val="24"/>
          <w:szCs w:val="24"/>
          <w:highlight w:val="none"/>
        </w:rPr>
        <w:t>（二）最低评标报价法</w:t>
      </w:r>
    </w:p>
    <w:p>
      <w:pPr>
        <w:pStyle w:val="17"/>
        <w:tabs>
          <w:tab w:val="left" w:pos="2472"/>
        </w:tabs>
        <w:spacing w:line="480" w:lineRule="exact"/>
        <w:ind w:firstLine="420" w:firstLineChars="200"/>
        <w:rPr>
          <w:rFonts w:hint="eastAsia" w:eastAsia="宋体" w:cs="Times New Roman"/>
          <w:color w:val="auto"/>
          <w:highlight w:val="none"/>
        </w:rPr>
      </w:pPr>
      <w:r>
        <w:rPr>
          <w:rFonts w:hint="eastAsia" w:hAnsi="宋体" w:eastAsia="宋体" w:cs="Times New Roman"/>
          <w:color w:val="auto"/>
          <w:highlight w:val="none"/>
        </w:rPr>
        <w:t>评标委员会将按照有效评标报价从低到高顺序排列，评标报价相同的并列。投标文件满足招标文件全部实质性要求且评标报价最低的投标人为排名第一的中标候选人。</w:t>
      </w:r>
    </w:p>
    <w:p>
      <w:pPr>
        <w:pStyle w:val="4"/>
        <w:spacing w:before="0" w:after="0" w:line="360" w:lineRule="auto"/>
        <w:ind w:firstLine="600" w:firstLineChars="200"/>
        <w:jc w:val="center"/>
        <w:rPr>
          <w:rFonts w:hint="eastAsia" w:cs="Times New Roman"/>
          <w:b w:val="0"/>
          <w:color w:val="auto"/>
          <w:sz w:val="30"/>
          <w:szCs w:val="30"/>
          <w:highlight w:val="none"/>
        </w:rPr>
      </w:pPr>
      <w:bookmarkStart w:id="356" w:name="_Toc13625"/>
      <w:bookmarkStart w:id="357" w:name="_Toc11073"/>
      <w:bookmarkStart w:id="358" w:name="_Toc11545"/>
      <w:bookmarkStart w:id="359" w:name="_Toc27419"/>
      <w:bookmarkStart w:id="360" w:name="_Toc29218"/>
      <w:bookmarkStart w:id="361" w:name="_Toc7971"/>
      <w:bookmarkStart w:id="362" w:name="_Toc22384"/>
      <w:bookmarkStart w:id="363" w:name="_Toc13808"/>
      <w:bookmarkStart w:id="364" w:name="_Toc9602"/>
      <w:bookmarkStart w:id="365" w:name="_Toc11695"/>
    </w:p>
    <w:p>
      <w:pPr>
        <w:pStyle w:val="4"/>
        <w:spacing w:before="0" w:after="0" w:line="360" w:lineRule="auto"/>
        <w:ind w:firstLine="600" w:firstLineChars="200"/>
        <w:jc w:val="center"/>
        <w:rPr>
          <w:rFonts w:hint="eastAsia" w:cs="Times New Roman"/>
          <w:b w:val="0"/>
          <w:color w:val="auto"/>
          <w:sz w:val="30"/>
          <w:szCs w:val="30"/>
          <w:highlight w:val="none"/>
        </w:rPr>
      </w:pPr>
      <w:r>
        <w:rPr>
          <w:rFonts w:hint="eastAsia" w:cs="Times New Roman"/>
          <w:b w:val="0"/>
          <w:color w:val="auto"/>
          <w:sz w:val="30"/>
          <w:szCs w:val="30"/>
          <w:highlight w:val="none"/>
        </w:rPr>
        <w:t>第五节</w:t>
      </w:r>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56"/>
      <w:bookmarkEnd w:id="357"/>
      <w:bookmarkEnd w:id="358"/>
      <w:bookmarkEnd w:id="359"/>
      <w:bookmarkEnd w:id="360"/>
      <w:bookmarkEnd w:id="361"/>
      <w:bookmarkEnd w:id="362"/>
      <w:bookmarkEnd w:id="363"/>
      <w:bookmarkEnd w:id="364"/>
      <w:bookmarkEnd w:id="365"/>
    </w:p>
    <w:p>
      <w:pPr>
        <w:pStyle w:val="34"/>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pPr>
        <w:pStyle w:val="17"/>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pPr>
        <w:pStyle w:val="17"/>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jc w:val="left"/>
        <w:rPr>
          <w:b/>
          <w:color w:val="auto"/>
          <w:sz w:val="36"/>
          <w:szCs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17"/>
        <w:tabs>
          <w:tab w:val="left" w:pos="2472"/>
        </w:tabs>
        <w:spacing w:line="460" w:lineRule="exact"/>
        <w:jc w:val="center"/>
        <w:rPr>
          <w:rFonts w:hint="eastAsia"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outlineLvl w:val="0"/>
        <w:rPr>
          <w:rFonts w:ascii="Times New Roman" w:hAnsi="Times New Roman" w:eastAsia="宋体" w:cs="Times New Roman"/>
          <w:b/>
          <w:color w:val="auto"/>
          <w:sz w:val="36"/>
          <w:highlight w:val="none"/>
        </w:rPr>
      </w:pPr>
      <w:bookmarkStart w:id="366" w:name="_Toc25572"/>
      <w:bookmarkStart w:id="367" w:name="_Toc26262"/>
      <w:bookmarkStart w:id="368" w:name="_Toc3422"/>
      <w:bookmarkStart w:id="369" w:name="_Toc9058"/>
      <w:bookmarkStart w:id="370" w:name="_Toc9012"/>
      <w:bookmarkStart w:id="371" w:name="_Toc29347"/>
      <w:bookmarkStart w:id="372" w:name="_Toc7167"/>
      <w:bookmarkStart w:id="373" w:name="_Toc32021"/>
      <w:bookmarkStart w:id="374" w:name="_Toc3838"/>
      <w:bookmarkStart w:id="375" w:name="_Toc31791"/>
      <w:bookmarkStart w:id="376" w:name="_Toc17049"/>
      <w:bookmarkStart w:id="377" w:name="_Toc20993"/>
      <w:bookmarkStart w:id="378" w:name="_Toc27014"/>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66"/>
      <w:bookmarkEnd w:id="367"/>
      <w:bookmarkEnd w:id="368"/>
      <w:bookmarkEnd w:id="369"/>
      <w:bookmarkEnd w:id="370"/>
      <w:bookmarkEnd w:id="371"/>
      <w:bookmarkEnd w:id="372"/>
      <w:bookmarkEnd w:id="373"/>
      <w:bookmarkEnd w:id="374"/>
      <w:bookmarkEnd w:id="375"/>
      <w:bookmarkEnd w:id="376"/>
      <w:bookmarkEnd w:id="377"/>
      <w:bookmarkEnd w:id="378"/>
    </w:p>
    <w:p>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pPr>
        <w:spacing w:line="360" w:lineRule="auto"/>
        <w:rPr>
          <w:rFonts w:ascii="仿宋_GB2312" w:hAnsi="楷体" w:eastAsia="仿宋_GB2312" w:cs="Times New Roman"/>
          <w:color w:val="auto"/>
          <w:sz w:val="24"/>
          <w:highlight w:val="none"/>
        </w:rPr>
      </w:pPr>
    </w:p>
    <w:p>
      <w:pPr>
        <w:snapToGrid w:val="0"/>
        <w:spacing w:line="400" w:lineRule="exact"/>
        <w:jc w:val="center"/>
        <w:rPr>
          <w:rFonts w:hint="eastAsia" w:ascii="宋体" w:hAnsi="宋体" w:eastAsia="宋体" w:cs="宋体"/>
          <w:b/>
          <w:bCs/>
          <w:color w:val="auto"/>
          <w:sz w:val="32"/>
          <w:szCs w:val="32"/>
          <w:highlight w:val="none"/>
        </w:rPr>
      </w:pPr>
    </w:p>
    <w:p>
      <w:pPr>
        <w:snapToGrid w:val="0"/>
        <w:spacing w:line="400" w:lineRule="exact"/>
        <w:jc w:val="center"/>
        <w:rPr>
          <w:rFonts w:hint="eastAsia" w:ascii="宋体" w:hAnsi="宋体" w:eastAsia="宋体" w:cs="宋体"/>
          <w:color w:val="auto"/>
          <w:highlight w:val="none"/>
          <w:lang w:eastAsia="zh-CN"/>
        </w:rPr>
      </w:pPr>
      <w:r>
        <w:rPr>
          <w:rFonts w:hint="eastAsia" w:ascii="宋体" w:hAnsi="宋体" w:eastAsia="宋体" w:cs="宋体"/>
          <w:b/>
          <w:bCs/>
          <w:color w:val="auto"/>
          <w:sz w:val="32"/>
          <w:szCs w:val="32"/>
          <w:highlight w:val="none"/>
        </w:rPr>
        <w:t>《广西壮族自治区政府采购合同》</w:t>
      </w:r>
      <w:r>
        <w:rPr>
          <w:rFonts w:hint="eastAsia" w:ascii="宋体" w:hAnsi="宋体" w:eastAsia="宋体" w:cs="宋体"/>
          <w:b/>
          <w:color w:val="auto"/>
          <w:sz w:val="32"/>
          <w:szCs w:val="32"/>
          <w:highlight w:val="none"/>
        </w:rPr>
        <w:t>文本</w:t>
      </w:r>
    </w:p>
    <w:p>
      <w:pPr>
        <w:spacing w:line="520" w:lineRule="exact"/>
        <w:rPr>
          <w:rFonts w:hint="eastAsia" w:ascii="宋体" w:hAnsi="宋体" w:eastAsia="宋体" w:cs="宋体"/>
          <w:b/>
          <w:color w:val="auto"/>
          <w:sz w:val="32"/>
          <w:szCs w:val="32"/>
          <w:highlight w:val="none"/>
        </w:rPr>
      </w:pPr>
    </w:p>
    <w:p>
      <w:pPr>
        <w:spacing w:line="360" w:lineRule="auto"/>
        <w:ind w:right="800" w:firstLine="6090" w:firstLineChars="29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合同编号：</w:t>
      </w:r>
      <w:r>
        <w:rPr>
          <w:rFonts w:hint="eastAsia" w:ascii="宋体" w:hAnsi="宋体" w:eastAsia="宋体" w:cs="宋体"/>
          <w:color w:val="auto"/>
          <w:szCs w:val="21"/>
          <w:highlight w:val="none"/>
          <w:u w:val="single"/>
        </w:rPr>
        <w:t xml:space="preserve">               </w:t>
      </w:r>
    </w:p>
    <w:p>
      <w:pPr>
        <w:spacing w:line="360" w:lineRule="auto"/>
        <w:ind w:right="800"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采购计划号：</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中标</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rPr>
        <w:t>签订时间：</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w:t>
      </w:r>
      <w:r>
        <w:rPr>
          <w:rFonts w:hint="eastAsia" w:ascii="宋体" w:hAnsi="宋体" w:eastAsia="宋体" w:cs="宋体"/>
          <w:color w:val="auto"/>
          <w:szCs w:val="21"/>
          <w:highlight w:val="none"/>
          <w:lang w:eastAsia="zh-CN"/>
        </w:rPr>
        <w:t>民法典</w:t>
      </w:r>
      <w:r>
        <w:rPr>
          <w:rFonts w:hint="eastAsia" w:ascii="宋体" w:hAnsi="宋体" w:eastAsia="宋体" w:cs="宋体"/>
          <w:color w:val="auto"/>
          <w:szCs w:val="21"/>
          <w:highlight w:val="none"/>
        </w:rPr>
        <w:t>》等法律、法规规定，按照招标文件规定条款和乙方投标文件及其承诺，甲乙双方签订本合同。</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合同标的</w:t>
      </w:r>
    </w:p>
    <w:p>
      <w:pPr>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u w:val="none"/>
          <w:lang w:val="en-US" w:eastAsia="zh-CN"/>
        </w:rPr>
        <w:t>1</w:t>
      </w:r>
      <w:r>
        <w:rPr>
          <w:rFonts w:hint="eastAsia" w:ascii="宋体" w:hAnsi="宋体" w:cs="宋体"/>
          <w:color w:val="auto"/>
          <w:szCs w:val="21"/>
          <w:highlight w:val="none"/>
          <w:u w:val="none"/>
          <w:lang w:val="en-US" w:eastAsia="zh-CN"/>
        </w:rPr>
        <w:t>.</w:t>
      </w:r>
      <w:r>
        <w:rPr>
          <w:rFonts w:hint="eastAsia" w:ascii="宋体" w:hAnsi="宋体" w:eastAsia="宋体" w:cs="宋体"/>
          <w:color w:val="auto"/>
          <w:szCs w:val="21"/>
          <w:highlight w:val="none"/>
          <w:u w:val="none"/>
          <w:lang w:val="en-US" w:eastAsia="zh-CN"/>
        </w:rPr>
        <w:t>合同总金额：</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人民币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.产品及</w:t>
      </w:r>
      <w:r>
        <w:rPr>
          <w:rFonts w:hint="eastAsia" w:ascii="宋体" w:hAnsi="宋体" w:eastAsia="宋体" w:cs="宋体"/>
          <w:color w:val="auto"/>
          <w:szCs w:val="21"/>
          <w:highlight w:val="none"/>
          <w:lang w:eastAsia="zh-CN"/>
        </w:rPr>
        <w:t>服务内容</w:t>
      </w:r>
      <w:r>
        <w:rPr>
          <w:rFonts w:hint="eastAsia" w:ascii="宋体" w:hAnsi="宋体" w:eastAsia="宋体" w:cs="宋体"/>
          <w:color w:val="auto"/>
          <w:szCs w:val="21"/>
          <w:highlight w:val="none"/>
        </w:rPr>
        <w:t>一览表</w:t>
      </w:r>
      <w:r>
        <w:rPr>
          <w:rFonts w:hint="eastAsia" w:ascii="宋体" w:hAnsi="宋体" w:eastAsia="宋体" w:cs="宋体"/>
          <w:color w:val="auto"/>
          <w:szCs w:val="21"/>
          <w:highlight w:val="none"/>
          <w:lang w:eastAsia="zh-CN"/>
        </w:rPr>
        <w:t>（详见附件中的开标一览表）</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w:t>
      </w:r>
      <w:r>
        <w:rPr>
          <w:rFonts w:hint="eastAsia"/>
          <w:color w:val="auto"/>
          <w:highlight w:val="none"/>
        </w:rPr>
        <w:t>是履行合同的最终价格，</w:t>
      </w:r>
      <w:r>
        <w:rPr>
          <w:rFonts w:hint="eastAsia" w:ascii="宋体" w:hAnsi="宋体" w:eastAsia="宋体" w:cs="宋体"/>
          <w:color w:val="auto"/>
          <w:szCs w:val="21"/>
          <w:highlight w:val="none"/>
        </w:rPr>
        <w:t>必须包含满足本次投标全部采购需求所应提供的服务，以及伴随的货物和工程（如有）的价格；包含投标服务、货物、工程的成本、运输（含保险）、安装（如有）、调试、检验、技术服务、培训、税费等所有费用。</w:t>
      </w:r>
    </w:p>
    <w:p>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第二条　质量</w:t>
      </w:r>
      <w:r>
        <w:rPr>
          <w:rFonts w:hint="eastAsia" w:ascii="宋体" w:hAnsi="宋体" w:eastAsia="宋体" w:cs="宋体"/>
          <w:b/>
          <w:color w:val="auto"/>
          <w:szCs w:val="21"/>
          <w:highlight w:val="none"/>
          <w:lang w:eastAsia="zh-CN"/>
        </w:rPr>
        <w:t>要求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乙方所提供的服务及服务内容必须与投标文件承诺相一致，有国家强制性标准的，还必须符合国家强制性标准的规定，没有国家强制性标准但有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强制性标准的，必须符合</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强制性标准的规定。</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.乙方所提供的产品名称、商标品牌、生产厂家、规格型号、技术参数等质量必须与招标文件规定及投标文件承诺相一致。乙方提供的节能和环保产品必须是列入政府采购品目清单的产品。</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　权利保证</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乙方应保证所提供服务</w:t>
      </w:r>
      <w:r>
        <w:rPr>
          <w:rFonts w:hint="eastAsia" w:ascii="宋体" w:hAnsi="宋体" w:cs="宋体"/>
          <w:color w:val="auto"/>
          <w:szCs w:val="21"/>
          <w:highlight w:val="none"/>
          <w:lang w:val="en-US" w:eastAsia="zh-CN"/>
        </w:rPr>
        <w:t>和货物</w:t>
      </w:r>
      <w:r>
        <w:rPr>
          <w:rFonts w:hint="eastAsia" w:ascii="宋体" w:hAnsi="宋体" w:eastAsia="宋体" w:cs="宋体"/>
          <w:color w:val="auto"/>
          <w:szCs w:val="21"/>
          <w:highlight w:val="none"/>
        </w:rPr>
        <w:t>在使用时不会侵犯任何第三方的专利权、商标权、工业设计权等知识产权及</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合法权利，且所有权、处分权等没有受到任何限制。</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没有甲方事先书面同意，乙方不得将由甲方提供的有关合同或者任何合同条文、规格、计划、图纸、样品或者资料提供给</w:t>
      </w:r>
      <w:r>
        <w:rPr>
          <w:rFonts w:hint="eastAsia" w:ascii="宋体" w:hAnsi="宋体" w:cs="宋体"/>
          <w:color w:val="auto"/>
          <w:szCs w:val="21"/>
          <w:highlight w:val="none"/>
          <w:lang w:val="en-US" w:eastAsia="zh-CN"/>
        </w:rPr>
        <w:t>予</w:t>
      </w:r>
      <w:r>
        <w:rPr>
          <w:rFonts w:hint="eastAsia" w:ascii="宋体" w:hAnsi="宋体" w:eastAsia="宋体" w:cs="宋体"/>
          <w:color w:val="auto"/>
          <w:szCs w:val="21"/>
          <w:highlight w:val="none"/>
        </w:rPr>
        <w:t>履行本合同无关的任何</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人。即使向履行本合同有关的人员提供，也应注意保密并限于履行合同的必需范围。乙方的保密义务持续有效，不因为本合同履行终止、解除或者无效而解除。</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rPr>
        <w:t>条　交付和验收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.服务</w:t>
      </w: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服务</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乙方应按投标文件的承诺向甲方提供相应的服务，并提供所服务内容的相关技术资料。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乙方提供不符合投标文件和本合同规定的服务成果，甲方有权拒绝接受。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乙方完成服务后应及时书面通知甲方进行验收，甲方应在收到通知后</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个工作日内进行验收。验收合格后由甲乙双方签署验收单并加盖</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公章，甲乙双方各执一份。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甲乙双方应按照《广西壮族自治区政府采购项目履约验收管理办法》、双方合同、投标文件验收。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甲方在初步验收或者最终验收过程中如发现乙方提供的服务成果不满足投标文件及本合同规定的，可暂缓向乙方付款，直到乙方及时完善并提交相应的服务成果且经甲方验收合格后，方可办理付款。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甲方验收时以书面形式提出异议的，乙方应自收到甲方书面异议后五个工作日内及时予以解决，否则甲方有权不出具服务验收合格单。</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五</w:t>
      </w:r>
      <w:r>
        <w:rPr>
          <w:rFonts w:hint="eastAsia" w:ascii="宋体" w:hAnsi="宋体" w:eastAsia="宋体" w:cs="宋体"/>
          <w:b/>
          <w:color w:val="auto"/>
          <w:szCs w:val="21"/>
          <w:highlight w:val="none"/>
        </w:rPr>
        <w:t>条　安装和培训</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1.甲方应提供必要安装条件（如场地、电源、水源等）。</w:t>
      </w:r>
    </w:p>
    <w:p>
      <w:pPr>
        <w:snapToGrid w:val="0"/>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2.乙方投标文件承诺负责甲方有关人员的培训。培训时间、地点：</w:t>
      </w:r>
      <w:r>
        <w:rPr>
          <w:rFonts w:hint="eastAsia" w:ascii="宋体" w:hAnsi="宋体" w:eastAsia="宋体" w:cs="宋体"/>
          <w:color w:val="auto"/>
          <w:szCs w:val="21"/>
          <w:highlight w:val="none"/>
          <w:u w:val="single"/>
          <w:lang w:val="en-US" w:eastAsia="zh-CN"/>
        </w:rPr>
        <w:t>按乙方投标文件承诺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 xml:space="preserve"> 。</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六</w:t>
      </w:r>
      <w:r>
        <w:rPr>
          <w:rFonts w:hint="eastAsia" w:ascii="宋体" w:hAnsi="宋体" w:eastAsia="宋体" w:cs="宋体"/>
          <w:b/>
          <w:color w:val="auto"/>
          <w:szCs w:val="21"/>
          <w:highlight w:val="none"/>
        </w:rPr>
        <w:t>条  售后服务、</w:t>
      </w:r>
      <w:r>
        <w:rPr>
          <w:rFonts w:hint="eastAsia" w:ascii="宋体" w:hAnsi="宋体" w:cs="宋体"/>
          <w:b/>
          <w:color w:val="auto"/>
          <w:szCs w:val="21"/>
          <w:highlight w:val="none"/>
          <w:lang w:val="en-US" w:eastAsia="zh-CN"/>
        </w:rPr>
        <w:t>服务</w:t>
      </w:r>
      <w:r>
        <w:rPr>
          <w:rFonts w:hint="eastAsia" w:ascii="宋体" w:hAnsi="宋体" w:eastAsia="宋体" w:cs="宋体"/>
          <w:b/>
          <w:color w:val="auto"/>
          <w:szCs w:val="21"/>
          <w:highlight w:val="none"/>
        </w:rPr>
        <w:t>期</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1.乙方应按照国家有关法律法规和“三包”规定以及</w:t>
      </w:r>
      <w:r>
        <w:rPr>
          <w:rFonts w:hint="eastAsia" w:ascii="宋体" w:hAnsi="宋体" w:cs="宋体"/>
          <w:color w:val="auto"/>
          <w:szCs w:val="21"/>
          <w:highlight w:val="none"/>
          <w:lang w:val="en-US" w:eastAsia="zh-CN"/>
        </w:rPr>
        <w:t>投标文件的承诺</w:t>
      </w:r>
      <w:r>
        <w:rPr>
          <w:rFonts w:hint="eastAsia" w:ascii="宋体" w:hAnsi="宋体" w:eastAsia="宋体" w:cs="宋体"/>
          <w:color w:val="auto"/>
          <w:szCs w:val="21"/>
          <w:highlight w:val="none"/>
        </w:rPr>
        <w:t>，为甲方提供售后服务。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.乙方提供的服务承诺和售后服务及保修期责任等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具体约定事项。（见合同附件）。</w:t>
      </w:r>
    </w:p>
    <w:p>
      <w:pPr>
        <w:snapToGrid w:val="0"/>
        <w:spacing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七</w:t>
      </w:r>
      <w:r>
        <w:rPr>
          <w:rFonts w:hint="eastAsia" w:ascii="宋体" w:hAnsi="宋体" w:eastAsia="宋体" w:cs="宋体"/>
          <w:b/>
          <w:color w:val="auto"/>
          <w:szCs w:val="21"/>
          <w:highlight w:val="none"/>
        </w:rPr>
        <w:t>条　付款方式</w:t>
      </w:r>
    </w:p>
    <w:p>
      <w:pPr>
        <w:widowControl w:val="0"/>
        <w:snapToGrid w:val="0"/>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w:t>
      </w:r>
      <w:r>
        <w:rPr>
          <w:rFonts w:hint="eastAsia" w:ascii="宋体" w:hAnsi="宋体" w:eastAsia="宋体" w:cs="宋体"/>
          <w:color w:val="auto"/>
          <w:kern w:val="2"/>
          <w:sz w:val="21"/>
          <w:szCs w:val="20"/>
          <w:highlight w:val="none"/>
          <w:lang w:val="en-US" w:eastAsia="zh-CN" w:bidi="ar-SA"/>
        </w:rPr>
        <w:t>.当采购数量与实际使用数量不一致时，乙方应根据实际使用量供货，合同的最终结算金额按实际使用量乘以中标单价进行计算，但不得超出合同价的10%。</w:t>
      </w:r>
    </w:p>
    <w:p>
      <w:pPr>
        <w:widowControl/>
        <w:spacing w:line="360" w:lineRule="auto"/>
        <w:ind w:firstLine="420" w:firstLineChars="200"/>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2.</w:t>
      </w:r>
      <w:r>
        <w:rPr>
          <w:rFonts w:hint="eastAsia" w:ascii="宋体" w:hAnsi="宋体" w:eastAsia="宋体" w:cs="宋体"/>
          <w:color w:val="auto"/>
          <w:kern w:val="2"/>
          <w:sz w:val="21"/>
          <w:szCs w:val="20"/>
          <w:highlight w:val="none"/>
          <w:lang w:val="en-US" w:eastAsia="zh-CN" w:bidi="ar-SA"/>
        </w:rPr>
        <w:t>付款方式：</w:t>
      </w:r>
    </w:p>
    <w:p>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kern w:val="2"/>
          <w:sz w:val="21"/>
          <w:szCs w:val="20"/>
          <w:highlight w:val="none"/>
          <w:u w:val="single"/>
          <w:lang w:val="en-US" w:eastAsia="zh-CN" w:bidi="ar-SA"/>
        </w:rPr>
        <w:t xml:space="preserve">                        </w:t>
      </w:r>
      <w:r>
        <w:rPr>
          <w:rFonts w:hint="eastAsia" w:ascii="Times New Roman" w:hAnsi="Times New Roman" w:eastAsia="宋体" w:cs="Times New Roman"/>
          <w:color w:val="auto"/>
          <w:highlight w:val="none"/>
          <w:lang w:val="en-US" w:eastAsia="zh-CN"/>
        </w:rPr>
        <w:t>。</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八</w:t>
      </w:r>
      <w:r>
        <w:rPr>
          <w:rFonts w:hint="eastAsia" w:ascii="宋体" w:hAnsi="宋体" w:eastAsia="宋体" w:cs="宋体"/>
          <w:b/>
          <w:color w:val="auto"/>
          <w:szCs w:val="21"/>
          <w:highlight w:val="none"/>
        </w:rPr>
        <w:t>条　履约保证金</w:t>
      </w:r>
    </w:p>
    <w:p>
      <w:pPr>
        <w:spacing w:line="360" w:lineRule="auto"/>
        <w:ind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九</w:t>
      </w:r>
      <w:r>
        <w:rPr>
          <w:rFonts w:hint="eastAsia" w:ascii="宋体" w:hAnsi="宋体" w:eastAsia="宋体" w:cs="宋体"/>
          <w:b/>
          <w:color w:val="auto"/>
          <w:szCs w:val="21"/>
          <w:highlight w:val="none"/>
        </w:rPr>
        <w:t>条  税费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本合同执行中相关的一切税费均由乙方负担，合同另有约定的除外。</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十</w:t>
      </w:r>
      <w:r>
        <w:rPr>
          <w:rFonts w:hint="eastAsia" w:ascii="宋体" w:hAnsi="宋体" w:eastAsia="宋体" w:cs="宋体"/>
          <w:b/>
          <w:color w:val="auto"/>
          <w:szCs w:val="21"/>
          <w:highlight w:val="none"/>
        </w:rPr>
        <w:t>条　违约责任</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除不可抗力原因外，乙方没有按照合同规定的时间提供服务</w:t>
      </w:r>
      <w:r>
        <w:rPr>
          <w:rFonts w:hint="eastAsia" w:ascii="宋体" w:hAnsi="宋体" w:cs="宋体"/>
          <w:color w:val="auto"/>
          <w:szCs w:val="21"/>
          <w:highlight w:val="none"/>
          <w:lang w:val="en-US" w:eastAsia="zh-CN"/>
        </w:rPr>
        <w:t>和货物</w:t>
      </w:r>
      <w:r>
        <w:rPr>
          <w:rFonts w:hint="eastAsia" w:ascii="宋体" w:hAnsi="宋体" w:eastAsia="宋体" w:cs="宋体"/>
          <w:color w:val="auto"/>
          <w:szCs w:val="21"/>
          <w:highlight w:val="none"/>
        </w:rPr>
        <w:t>的，甲方可要求乙方支付违约金。每推迟一天按合同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金额的3‰支付违约金，该违约金累计不超过合同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 xml:space="preserve">金额的10%。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乙方提供的服务如侵犯了第三方合法权益而引发的任何纠纷或者诉讼，均由乙方负责交涉并承担全部责任。</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一</w:t>
      </w:r>
      <w:r>
        <w:rPr>
          <w:rFonts w:hint="eastAsia" w:ascii="宋体" w:hAnsi="宋体" w:eastAsia="宋体" w:cs="宋体"/>
          <w:b/>
          <w:color w:val="auto"/>
          <w:szCs w:val="21"/>
          <w:highlight w:val="none"/>
        </w:rPr>
        <w:t>条  不可抗力事件处理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在合同有效期内，任何一方因不可抗力事件导致不能履行合同，则合同履行期可延长，其延长期与不可抗力影响期相同。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不可抗力事件发生后，应立即通知对方，并寄送有关权威机构出具的证明。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不可抗力事件延续一百二十天以上，双方应通过友好协商，确定是否继续履行合同。</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eastAsia="宋体" w:cs="宋体"/>
          <w:b/>
          <w:color w:val="auto"/>
          <w:szCs w:val="21"/>
          <w:highlight w:val="none"/>
        </w:rPr>
        <w:t>条  合同争议解决</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因服务质量问题发生争议的，应邀请国家认可的质量检测机构进行鉴定。服务符合标准的，鉴定费由甲方承担；服务不符合标准的，鉴定费由乙方承担。</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因履行本合同引起的或者与本合同有关的争议，甲乙双方应首先通过友好协商解决，如果协商不能解决，可向甲方所在地有管辖权</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人民法院提起诉讼。</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诉讼期间，本合同继续履行。</w:t>
      </w:r>
    </w:p>
    <w:p>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三</w:t>
      </w:r>
      <w:r>
        <w:rPr>
          <w:rFonts w:hint="eastAsia" w:ascii="宋体" w:hAnsi="宋体" w:eastAsia="宋体" w:cs="宋体"/>
          <w:b/>
          <w:color w:val="auto"/>
          <w:szCs w:val="21"/>
          <w:highlight w:val="none"/>
        </w:rPr>
        <w:t>条  合同生效及</w:t>
      </w:r>
      <w:r>
        <w:rPr>
          <w:rFonts w:hint="eastAsia" w:ascii="宋体" w:hAnsi="宋体" w:eastAsia="宋体" w:cs="宋体"/>
          <w:b/>
          <w:color w:val="auto"/>
          <w:szCs w:val="21"/>
          <w:highlight w:val="none"/>
          <w:lang w:eastAsia="zh-CN"/>
        </w:rPr>
        <w:t>其他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合同经双方法定代表人或者</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委托代理人签字并加盖单位公章后生效（委托代理人签字的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需后附法定代表人授权委托书，格式自拟）。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合同执行中涉及采购资金和采购内容修改或者补充的，须经财政部门审批，并签书面补充协议报财政部门备案，方可作为主合同不可分割的一部分。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本合同未尽事宜，遵照《中华人民共和国民法典》有关条文执行。</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rPr>
        <w:t>条　合同的变更、终止与转让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除《中华人民共和国政府采购法》第五十条规定的情形外，本合同一经签订，甲乙双方不得擅自变更、中止或者终止。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乙方不得擅自转让其应履行的合同义务。</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五</w:t>
      </w:r>
      <w:r>
        <w:rPr>
          <w:rFonts w:hint="eastAsia" w:ascii="宋体" w:hAnsi="宋体" w:eastAsia="宋体" w:cs="宋体"/>
          <w:b/>
          <w:color w:val="auto"/>
          <w:szCs w:val="21"/>
          <w:highlight w:val="none"/>
        </w:rPr>
        <w:t>条　本合同书与下列文件一起构成合同文件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中标通知书；</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商务条款偏离表和</w:t>
      </w:r>
      <w:r>
        <w:rPr>
          <w:rFonts w:hint="eastAsia" w:ascii="宋体" w:hAnsi="宋体" w:cs="宋体"/>
          <w:color w:val="auto"/>
          <w:szCs w:val="21"/>
          <w:highlight w:val="none"/>
          <w:lang w:eastAsia="zh-CN"/>
        </w:rPr>
        <w:t>技术要求偏离表</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采购需求</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 w:val="21"/>
          <w:szCs w:val="21"/>
          <w:highlight w:val="none"/>
          <w:lang w:eastAsia="zh-CN"/>
        </w:rPr>
        <w:t>开标一览表</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cs="宋体"/>
          <w:color w:val="auto"/>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合同文件</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上述合同文件互相补充和解释。如果合同文件之间存在矛盾或者不一致之处，以上述文件的排列顺序在先者为准。</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六</w:t>
      </w:r>
      <w:r>
        <w:rPr>
          <w:rFonts w:hint="eastAsia" w:ascii="宋体" w:hAnsi="宋体" w:eastAsia="宋体" w:cs="宋体"/>
          <w:b/>
          <w:color w:val="auto"/>
          <w:szCs w:val="21"/>
          <w:highlight w:val="none"/>
        </w:rPr>
        <w:t>条　</w:t>
      </w:r>
      <w:r>
        <w:rPr>
          <w:rFonts w:hint="eastAsia" w:ascii="宋体" w:hAnsi="宋体" w:eastAsia="宋体" w:cs="宋体"/>
          <w:color w:val="auto"/>
          <w:szCs w:val="21"/>
          <w:highlight w:val="none"/>
        </w:rPr>
        <w:t>本合同一式四份，具有同等法律效力，财政部门（政府采购监管部门）、采购代理机构各一份，甲乙双方各一份（可根据需要</w:t>
      </w:r>
      <w:r>
        <w:rPr>
          <w:rFonts w:hint="eastAsia" w:ascii="宋体" w:hAnsi="宋体" w:cs="宋体"/>
          <w:color w:val="auto"/>
          <w:szCs w:val="21"/>
          <w:highlight w:val="none"/>
          <w:lang w:eastAsia="zh-CN"/>
        </w:rPr>
        <w:t>另行</w:t>
      </w:r>
      <w:r>
        <w:rPr>
          <w:rFonts w:hint="eastAsia" w:ascii="宋体" w:hAnsi="宋体" w:eastAsia="宋体" w:cs="宋体"/>
          <w:color w:val="auto"/>
          <w:szCs w:val="21"/>
          <w:highlight w:val="none"/>
        </w:rPr>
        <w:t>增加）。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本合同甲乙双方签字盖章后生效，自签订之日起七个工作日内，甲方应当将合同副本报同级财政部门备案。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本合同自签订之日起2个工作日内，甲方应当将采购合同在广西壮族自治区财政厅指定的媒体上公告。</w:t>
      </w:r>
    </w:p>
    <w:tbl>
      <w:tblPr>
        <w:tblStyle w:val="2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甲方：（章）</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p>
          <w:p>
            <w:pPr>
              <w:snapToGrid w:val="0"/>
              <w:spacing w:line="360" w:lineRule="auto"/>
              <w:ind w:firstLine="945" w:firstLineChars="450"/>
              <w:jc w:val="right"/>
              <w:rPr>
                <w:rFonts w:hint="eastAsia" w:ascii="宋体" w:hAnsi="宋体" w:eastAsia="宋体" w:cs="宋体"/>
                <w:color w:val="auto"/>
                <w:szCs w:val="21"/>
                <w:highlight w:val="none"/>
              </w:rPr>
            </w:pPr>
          </w:p>
          <w:p>
            <w:pPr>
              <w:snapToGrid w:val="0"/>
              <w:spacing w:line="360" w:lineRule="auto"/>
              <w:ind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napToGrid w:val="0"/>
              <w:spacing w:line="360" w:lineRule="auto"/>
              <w:jc w:val="right"/>
              <w:rPr>
                <w:rFonts w:hint="eastAsia" w:ascii="宋体" w:hAnsi="宋体" w:eastAsia="宋体" w:cs="宋体"/>
                <w:color w:val="auto"/>
                <w:szCs w:val="21"/>
                <w:highlight w:val="none"/>
              </w:rPr>
            </w:pPr>
          </w:p>
          <w:p>
            <w:pPr>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pPr>
        <w:snapToGrid w:val="0"/>
        <w:jc w:val="center"/>
        <w:rPr>
          <w:rFonts w:hint="eastAsia" w:ascii="宋体" w:hAnsi="宋体" w:eastAsia="宋体" w:cs="宋体"/>
          <w:b/>
          <w:bCs/>
          <w:color w:val="auto"/>
          <w:sz w:val="32"/>
          <w:szCs w:val="32"/>
          <w:highlight w:val="none"/>
        </w:rPr>
      </w:pPr>
    </w:p>
    <w:p>
      <w:pPr>
        <w:snapToGrid w:val="0"/>
        <w:spacing w:line="360" w:lineRule="auto"/>
        <w:ind w:left="420" w:hanging="420" w:hangingChars="200"/>
        <w:rPr>
          <w:rFonts w:hint="eastAsia" w:ascii="宋体" w:hAnsi="宋体" w:eastAsia="宋体" w:cs="宋体"/>
          <w:color w:val="auto"/>
          <w:szCs w:val="21"/>
          <w:highlight w:val="none"/>
        </w:rPr>
      </w:pPr>
    </w:p>
    <w:p>
      <w:pPr>
        <w:pStyle w:val="17"/>
        <w:tabs>
          <w:tab w:val="left" w:pos="2472"/>
        </w:tabs>
        <w:spacing w:line="460" w:lineRule="exact"/>
        <w:jc w:val="center"/>
        <w:rPr>
          <w:rFonts w:hint="eastAsia" w:ascii="Times New Roman" w:hAnsi="Times New Roman" w:eastAsia="宋体" w:cs="Times New Roman"/>
          <w:b/>
          <w:color w:val="auto"/>
          <w:sz w:val="36"/>
          <w:highlight w:val="none"/>
        </w:rPr>
      </w:pPr>
      <w:r>
        <w:rPr>
          <w:rFonts w:hint="eastAsia" w:ascii="宋体" w:hAnsi="宋体" w:eastAsia="宋体" w:cs="宋体"/>
          <w:b/>
          <w:color w:val="auto"/>
          <w:szCs w:val="21"/>
          <w:highlight w:val="none"/>
        </w:rPr>
        <w:br w:type="page"/>
      </w: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outlineLvl w:val="0"/>
        <w:rPr>
          <w:rFonts w:ascii="Times New Roman" w:hAnsi="Times New Roman" w:eastAsia="宋体" w:cs="Times New Roman"/>
          <w:b/>
          <w:color w:val="auto"/>
          <w:sz w:val="36"/>
          <w:highlight w:val="none"/>
        </w:rPr>
      </w:pPr>
      <w:bookmarkStart w:id="379" w:name="_Toc9123"/>
      <w:bookmarkStart w:id="380" w:name="_Toc32149"/>
      <w:bookmarkStart w:id="381" w:name="_Toc24704"/>
      <w:bookmarkStart w:id="382" w:name="_Toc11043"/>
      <w:bookmarkStart w:id="383" w:name="_Toc26884"/>
      <w:bookmarkStart w:id="384" w:name="_Toc26390"/>
      <w:bookmarkStart w:id="385" w:name="_Toc19350"/>
      <w:bookmarkStart w:id="386" w:name="_Toc20296"/>
      <w:bookmarkStart w:id="387" w:name="_Toc5736"/>
      <w:bookmarkStart w:id="388" w:name="_Toc2517"/>
      <w:bookmarkStart w:id="389" w:name="_Toc19106"/>
      <w:bookmarkStart w:id="390" w:name="_Toc20832"/>
      <w:bookmarkStart w:id="391" w:name="_Toc2377"/>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79"/>
      <w:bookmarkEnd w:id="380"/>
      <w:bookmarkEnd w:id="381"/>
      <w:bookmarkEnd w:id="382"/>
      <w:bookmarkEnd w:id="383"/>
      <w:bookmarkEnd w:id="384"/>
      <w:bookmarkEnd w:id="385"/>
      <w:bookmarkEnd w:id="386"/>
      <w:bookmarkEnd w:id="387"/>
      <w:bookmarkEnd w:id="388"/>
      <w:bookmarkEnd w:id="389"/>
      <w:bookmarkEnd w:id="390"/>
      <w:bookmarkEnd w:id="391"/>
    </w:p>
    <w:p>
      <w:pPr>
        <w:widowControl/>
        <w:spacing w:beforeAutospacing="1" w:line="360" w:lineRule="auto"/>
        <w:jc w:val="left"/>
        <w:rPr>
          <w:rFonts w:ascii="宋体" w:hAnsi="宋体"/>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17"/>
        <w:jc w:val="center"/>
        <w:outlineLvl w:val="1"/>
        <w:rPr>
          <w:rFonts w:hint="eastAsia" w:hAnsi="宋体" w:eastAsia="宋体" w:cs="Times New Roman"/>
          <w:b/>
          <w:bCs/>
          <w:color w:val="auto"/>
          <w:sz w:val="28"/>
          <w:szCs w:val="28"/>
          <w:highlight w:val="none"/>
        </w:rPr>
      </w:pPr>
      <w:bookmarkStart w:id="392" w:name="_Toc7817"/>
      <w:bookmarkStart w:id="393" w:name="_Toc23486"/>
      <w:bookmarkStart w:id="394" w:name="_Toc4270"/>
      <w:bookmarkStart w:id="395" w:name="_Toc11854"/>
      <w:bookmarkStart w:id="396" w:name="_Toc24486"/>
      <w:bookmarkStart w:id="397" w:name="_Toc20281"/>
      <w:bookmarkStart w:id="398" w:name="_Toc32370"/>
      <w:bookmarkStart w:id="399" w:name="_Toc16890"/>
      <w:bookmarkStart w:id="400" w:name="_Toc32508"/>
      <w:bookmarkStart w:id="401" w:name="_Toc21700"/>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92"/>
      <w:bookmarkEnd w:id="393"/>
      <w:bookmarkEnd w:id="394"/>
      <w:bookmarkEnd w:id="395"/>
      <w:bookmarkEnd w:id="396"/>
      <w:bookmarkEnd w:id="397"/>
      <w:bookmarkEnd w:id="398"/>
      <w:bookmarkEnd w:id="399"/>
      <w:bookmarkEnd w:id="400"/>
      <w:bookmarkEnd w:id="401"/>
    </w:p>
    <w:p>
      <w:pPr>
        <w:pStyle w:val="17"/>
        <w:spacing w:line="360" w:lineRule="auto"/>
        <w:ind w:firstLine="420"/>
        <w:rPr>
          <w:rFonts w:hint="eastAsia" w:hAnsi="宋体" w:eastAsia="宋体" w:cs="Times New Roman"/>
          <w:color w:val="auto"/>
          <w:sz w:val="30"/>
          <w:highlight w:val="none"/>
        </w:rPr>
      </w:pPr>
    </w:p>
    <w:p>
      <w:pPr>
        <w:pStyle w:val="12"/>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pPr>
        <w:rPr>
          <w:rFonts w:hint="eastAsia"/>
          <w:color w:val="auto"/>
          <w:highlight w:val="none"/>
        </w:rPr>
      </w:pP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pPr>
        <w:pStyle w:val="10"/>
        <w:snapToGrid w:val="0"/>
        <w:spacing w:before="50" w:after="50"/>
        <w:ind w:firstLine="540" w:firstLineChars="225"/>
        <w:rPr>
          <w:rFonts w:hint="eastAsia" w:ascii="宋体" w:hAnsi="宋体" w:eastAsia="宋体" w:cs="Times New Roman"/>
          <w:bCs/>
          <w:color w:val="auto"/>
          <w:sz w:val="24"/>
          <w:szCs w:val="24"/>
          <w:highlight w:val="none"/>
        </w:rPr>
      </w:pPr>
    </w:p>
    <w:p>
      <w:pPr>
        <w:pStyle w:val="10"/>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pPr>
        <w:pStyle w:val="10"/>
        <w:snapToGrid w:val="0"/>
        <w:spacing w:before="50" w:after="50"/>
        <w:ind w:firstLine="540" w:firstLineChars="225"/>
        <w:rPr>
          <w:rFonts w:hint="eastAsia" w:ascii="宋体" w:hAnsi="宋体" w:eastAsia="宋体" w:cs="Times New Roman"/>
          <w:bCs/>
          <w:color w:val="auto"/>
          <w:sz w:val="24"/>
          <w:szCs w:val="24"/>
          <w:highlight w:val="none"/>
        </w:rPr>
      </w:pPr>
    </w:p>
    <w:p>
      <w:pPr>
        <w:pStyle w:val="10"/>
        <w:snapToGrid w:val="0"/>
        <w:spacing w:before="50" w:after="50"/>
        <w:ind w:firstLine="960" w:firstLineChars="400"/>
        <w:rPr>
          <w:rFonts w:hint="eastAsia" w:ascii="宋体" w:hAnsi="宋体" w:eastAsia="宋体" w:cs="Times New Roman"/>
          <w:bCs/>
          <w:color w:val="auto"/>
          <w:sz w:val="24"/>
          <w:szCs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pPr>
        <w:spacing w:line="360" w:lineRule="auto"/>
        <w:rPr>
          <w:rFonts w:hint="eastAsia" w:ascii="仿宋_GB2312" w:hAnsi="仿宋" w:eastAsia="仿宋_GB2312" w:cs="仿宋_GB2312"/>
          <w:b/>
          <w:bCs/>
          <w:color w:val="auto"/>
          <w:sz w:val="24"/>
          <w:highlight w:val="none"/>
        </w:rPr>
      </w:pPr>
    </w:p>
    <w:p>
      <w:pPr>
        <w:snapToGrid w:val="0"/>
        <w:spacing w:line="360" w:lineRule="auto"/>
        <w:rPr>
          <w:rFonts w:hint="eastAsia" w:ascii="仿宋_GB2312" w:hAnsi="仿宋" w:eastAsia="仿宋_GB2312" w:cs="仿宋_GB2312"/>
          <w:b/>
          <w:color w:val="auto"/>
          <w:kern w:val="0"/>
          <w:sz w:val="32"/>
          <w:szCs w:val="32"/>
          <w:highlight w:val="none"/>
          <w:lang w:val="zh-CN"/>
        </w:rPr>
      </w:pP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pPr>
        <w:pStyle w:val="14"/>
        <w:rPr>
          <w:rFonts w:hint="eastAsia"/>
          <w:color w:val="auto"/>
          <w:highlight w:val="none"/>
        </w:rPr>
      </w:pPr>
      <w:r>
        <w:rPr>
          <w:rFonts w:hint="eastAsia" w:ascii="宋体" w:hAnsi="宋体" w:cs="宋体"/>
          <w:b/>
          <w:color w:val="auto"/>
          <w:kern w:val="0"/>
          <w:sz w:val="32"/>
          <w:szCs w:val="32"/>
          <w:highlight w:val="none"/>
          <w:lang w:val="en-US" w:eastAsia="zh-CN"/>
        </w:rPr>
        <w:t>3.</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bookmarkStart w:id="402" w:name="PO_3000001866_PM031_5"/>
      <w:r>
        <w:rPr>
          <w:rFonts w:hint="eastAsia" w:ascii="宋体" w:hAnsi="宋体" w:eastAsia="宋体" w:cs="Times New Roman"/>
          <w:color w:val="auto"/>
          <w:szCs w:val="21"/>
          <w:highlight w:val="none"/>
          <w:u w:val="single"/>
          <w:lang w:eastAsia="zh-CN"/>
        </w:rPr>
        <w:t>广西科联招标中心有限公司</w:t>
      </w:r>
      <w:bookmarkEnd w:id="402"/>
      <w:r>
        <w:rPr>
          <w:rFonts w:hint="eastAsia" w:ascii="宋体" w:hAnsi="宋体" w:eastAsia="宋体" w:cs="Times New Roman"/>
          <w:color w:val="auto"/>
          <w:szCs w:val="21"/>
          <w:highlight w:val="none"/>
          <w:u w:val="single"/>
        </w:rPr>
        <w:t xml:space="preserve"> </w:t>
      </w:r>
    </w:p>
    <w:p>
      <w:pPr>
        <w:pStyle w:val="2"/>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pPr>
        <w:pStyle w:val="2"/>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pPr>
        <w:pStyle w:val="2"/>
        <w:rPr>
          <w:rFonts w:hint="eastAsia"/>
          <w:color w:val="auto"/>
          <w:highlight w:val="none"/>
        </w:rPr>
      </w:pP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pPr>
        <w:pStyle w:val="2"/>
        <w:rPr>
          <w:rFonts w:hint="default" w:eastAsia="宋体"/>
          <w:color w:val="auto"/>
          <w:highlight w:val="none"/>
          <w:lang w:val="en-US" w:eastAsia="zh-CN"/>
        </w:rPr>
      </w:pPr>
    </w:p>
    <w:p>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pPr>
        <w:snapToGrid w:val="0"/>
        <w:spacing w:before="50" w:after="331" w:afterLines="100" w:line="360" w:lineRule="auto"/>
        <w:ind w:left="7428" w:leftChars="2223" w:hanging="2760" w:hangingChars="1150"/>
        <w:jc w:val="left"/>
        <w:rPr>
          <w:rFonts w:hint="eastAsia" w:ascii="宋体" w:hAnsi="宋体" w:eastAsia="宋体" w:cs="Times New Roman"/>
          <w:color w:val="auto"/>
          <w:szCs w:val="21"/>
          <w:highlight w:val="none"/>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投标人名称(盖公章)：</w:t>
      </w:r>
      <w:r>
        <w:rPr>
          <w:rFonts w:hint="eastAsia" w:ascii="宋体" w:hAnsi="宋体" w:eastAsia="宋体" w:cs="Times New Roman"/>
          <w:color w:val="auto"/>
          <w:szCs w:val="21"/>
          <w:highlight w:val="none"/>
        </w:rPr>
        <w:t xml:space="preserve">                                     年    月    日</w:t>
      </w:r>
    </w:p>
    <w:p>
      <w:pPr>
        <w:widowControl w:val="0"/>
        <w:jc w:val="left"/>
        <w:rPr>
          <w:rFonts w:hint="eastAsia" w:ascii="Times New Roman" w:hAnsi="Times New Roman" w:eastAsia="宋体" w:cs="Times New Roman"/>
          <w:b/>
          <w:color w:val="auto"/>
          <w:kern w:val="2"/>
          <w:sz w:val="30"/>
          <w:szCs w:val="30"/>
          <w:highlight w:val="none"/>
          <w:lang w:val="en-US" w:eastAsia="zh-CN" w:bidi="ar-SA"/>
        </w:rPr>
      </w:pPr>
      <w:r>
        <w:rPr>
          <w:rFonts w:hint="eastAsia" w:ascii="宋体" w:hAnsi="宋体" w:eastAsia="宋体" w:cs="宋体"/>
          <w:b/>
          <w:color w:val="auto"/>
          <w:kern w:val="2"/>
          <w:sz w:val="28"/>
          <w:szCs w:val="28"/>
          <w:highlight w:val="none"/>
          <w:lang w:val="en-US" w:eastAsia="zh-CN" w:bidi="ar-SA"/>
        </w:rPr>
        <w:t>4.中小企业声明函的格式：</w:t>
      </w:r>
    </w:p>
    <w:p>
      <w:pPr>
        <w:widowControl w:val="0"/>
        <w:jc w:val="center"/>
        <w:rPr>
          <w:rFonts w:hint="eastAsia" w:ascii="Times New Roman" w:hAnsi="Times New Roman" w:eastAsia="宋体" w:cs="Times New Roman"/>
          <w:b/>
          <w:color w:val="auto"/>
          <w:kern w:val="2"/>
          <w:sz w:val="30"/>
          <w:szCs w:val="30"/>
          <w:highlight w:val="none"/>
          <w:lang w:val="en-US" w:eastAsia="zh-CN" w:bidi="ar-SA"/>
        </w:rPr>
      </w:pPr>
    </w:p>
    <w:p>
      <w:pPr>
        <w:widowControl w:val="0"/>
        <w:jc w:val="center"/>
        <w:rPr>
          <w:rFonts w:hint="eastAsia" w:ascii="Times New Roman" w:hAnsi="Times New Roman" w:eastAsia="宋体" w:cs="Times New Roman"/>
          <w:b/>
          <w:color w:val="auto"/>
          <w:kern w:val="2"/>
          <w:sz w:val="30"/>
          <w:szCs w:val="30"/>
          <w:highlight w:val="none"/>
          <w:lang w:val="en-US" w:eastAsia="zh-CN" w:bidi="ar-SA"/>
        </w:rPr>
      </w:pPr>
      <w:r>
        <w:rPr>
          <w:rFonts w:hint="eastAsia" w:ascii="Times New Roman" w:hAnsi="Times New Roman" w:eastAsia="宋体" w:cs="Times New Roman"/>
          <w:b/>
          <w:color w:val="auto"/>
          <w:kern w:val="2"/>
          <w:sz w:val="30"/>
          <w:szCs w:val="30"/>
          <w:highlight w:val="none"/>
          <w:lang w:val="en-US" w:eastAsia="zh-CN" w:bidi="ar-SA"/>
        </w:rPr>
        <w:t>中小企业声明函</w:t>
      </w:r>
    </w:p>
    <w:p>
      <w:pPr>
        <w:widowControl w:val="0"/>
        <w:spacing w:line="240" w:lineRule="auto"/>
        <w:ind w:firstLine="404" w:firstLineChars="200"/>
        <w:jc w:val="both"/>
        <w:rPr>
          <w:rFonts w:ascii="Times New Roman" w:hAnsi="宋体" w:eastAsia="宋体" w:cs="Times New Roman"/>
          <w:color w:val="auto"/>
          <w:spacing w:val="-4"/>
          <w:kern w:val="2"/>
          <w:sz w:val="21"/>
          <w:szCs w:val="21"/>
          <w:highlight w:val="none"/>
          <w:lang w:val="en-US" w:eastAsia="zh-CN" w:bidi="ar-SA"/>
        </w:rPr>
      </w:pP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本公司（联合体）郑重声明，根据《政府采购促进中小企业发展管理办法》（财库﹝2020﹞46 号）的规定，本公司（联合体）参加</w:t>
      </w:r>
      <w:r>
        <w:rPr>
          <w:rFonts w:hint="eastAsia" w:ascii="宋体" w:hAnsi="宋体" w:eastAsia="宋体" w:cs="宋体"/>
          <w:i/>
          <w:color w:val="auto"/>
          <w:kern w:val="0"/>
          <w:sz w:val="21"/>
          <w:szCs w:val="21"/>
          <w:highlight w:val="none"/>
          <w:u w:val="single"/>
        </w:rPr>
        <w:t>（单位名称）</w:t>
      </w:r>
      <w:r>
        <w:rPr>
          <w:rFonts w:hint="eastAsia" w:ascii="宋体" w:hAnsi="宋体" w:eastAsia="宋体" w:cs="宋体"/>
          <w:color w:val="auto"/>
          <w:kern w:val="0"/>
          <w:sz w:val="21"/>
          <w:szCs w:val="21"/>
          <w:highlight w:val="none"/>
        </w:rPr>
        <w:t>的</w:t>
      </w:r>
      <w:r>
        <w:rPr>
          <w:rFonts w:hint="eastAsia" w:ascii="宋体" w:hAnsi="宋体" w:eastAsia="宋体" w:cs="宋体"/>
          <w:i/>
          <w:color w:val="auto"/>
          <w:kern w:val="0"/>
          <w:sz w:val="21"/>
          <w:szCs w:val="21"/>
          <w:highlight w:val="none"/>
          <w:u w:val="single"/>
        </w:rPr>
        <w:t>（项目名称）</w:t>
      </w:r>
      <w:r>
        <w:rPr>
          <w:rFonts w:hint="eastAsia" w:ascii="宋体" w:hAnsi="宋体" w:eastAsia="宋体" w:cs="宋体"/>
          <w:color w:val="auto"/>
          <w:kern w:val="0"/>
          <w:sz w:val="21"/>
          <w:szCs w:val="21"/>
          <w:highlight w:val="none"/>
        </w:rPr>
        <w:t>采购活动，服务全部由符合政策要求的中小企业承接。相关企业（含联合体中的中小企业、签订分包意向协议的中小企业）的具体情况如下：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 </w:t>
      </w:r>
      <w:r>
        <w:rPr>
          <w:rFonts w:hint="eastAsia" w:ascii="宋体" w:hAnsi="宋体" w:eastAsia="宋体" w:cs="宋体"/>
          <w:i/>
          <w:color w:val="auto"/>
          <w:kern w:val="0"/>
          <w:sz w:val="21"/>
          <w:szCs w:val="21"/>
          <w:highlight w:val="none"/>
          <w:u w:val="single"/>
        </w:rPr>
        <w:t>（标的名称）</w:t>
      </w:r>
      <w:r>
        <w:rPr>
          <w:rFonts w:hint="eastAsia" w:ascii="宋体" w:hAnsi="宋体" w:eastAsia="宋体" w:cs="宋体"/>
          <w:color w:val="auto"/>
          <w:kern w:val="0"/>
          <w:sz w:val="21"/>
          <w:szCs w:val="21"/>
          <w:highlight w:val="none"/>
        </w:rPr>
        <w:t xml:space="preserve"> ，属于</w:t>
      </w:r>
      <w:r>
        <w:rPr>
          <w:rFonts w:hint="eastAsia" w:ascii="宋体" w:hAnsi="宋体" w:eastAsia="宋体" w:cs="宋体"/>
          <w:i/>
          <w:color w:val="auto"/>
          <w:kern w:val="0"/>
          <w:sz w:val="21"/>
          <w:szCs w:val="21"/>
          <w:highlight w:val="none"/>
          <w:u w:val="single"/>
        </w:rPr>
        <w:t>（</w:t>
      </w:r>
      <w:r>
        <w:rPr>
          <w:rFonts w:hint="eastAsia" w:ascii="宋体" w:hAnsi="宋体" w:eastAsia="宋体" w:cs="宋体"/>
          <w:i/>
          <w:color w:val="auto"/>
          <w:kern w:val="0"/>
          <w:sz w:val="21"/>
          <w:szCs w:val="21"/>
          <w:highlight w:val="none"/>
          <w:u w:val="single"/>
          <w:lang w:eastAsia="zh-CN"/>
        </w:rPr>
        <w:t>采购</w:t>
      </w:r>
      <w:r>
        <w:rPr>
          <w:rFonts w:hint="eastAsia" w:ascii="宋体" w:hAnsi="宋体" w:eastAsia="宋体" w:cs="宋体"/>
          <w:i/>
          <w:color w:val="auto"/>
          <w:kern w:val="0"/>
          <w:sz w:val="21"/>
          <w:szCs w:val="21"/>
          <w:highlight w:val="none"/>
          <w:u w:val="single"/>
        </w:rPr>
        <w:t>文件中明确的所属行业）</w:t>
      </w:r>
      <w:r>
        <w:rPr>
          <w:rFonts w:hint="eastAsia" w:ascii="宋体" w:hAnsi="宋体" w:eastAsia="宋体" w:cs="宋体"/>
          <w:color w:val="auto"/>
          <w:kern w:val="0"/>
          <w:sz w:val="21"/>
          <w:szCs w:val="21"/>
          <w:highlight w:val="none"/>
        </w:rPr>
        <w:t>；承建（承接）企业为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 </w:t>
      </w:r>
      <w:r>
        <w:rPr>
          <w:rFonts w:hint="eastAsia" w:ascii="宋体" w:hAnsi="宋体" w:eastAsia="宋体" w:cs="宋体"/>
          <w:i/>
          <w:color w:val="auto"/>
          <w:kern w:val="0"/>
          <w:sz w:val="21"/>
          <w:szCs w:val="21"/>
          <w:highlight w:val="none"/>
          <w:u w:val="single"/>
        </w:rPr>
        <w:t>（标的名称）</w:t>
      </w:r>
      <w:r>
        <w:rPr>
          <w:rFonts w:hint="eastAsia" w:ascii="宋体" w:hAnsi="宋体" w:eastAsia="宋体" w:cs="宋体"/>
          <w:color w:val="auto"/>
          <w:kern w:val="0"/>
          <w:sz w:val="21"/>
          <w:szCs w:val="21"/>
          <w:highlight w:val="none"/>
        </w:rPr>
        <w:t xml:space="preserve"> ，属于</w:t>
      </w:r>
      <w:r>
        <w:rPr>
          <w:rFonts w:hint="eastAsia" w:ascii="宋体" w:hAnsi="宋体" w:eastAsia="宋体" w:cs="宋体"/>
          <w:i/>
          <w:color w:val="auto"/>
          <w:kern w:val="0"/>
          <w:sz w:val="21"/>
          <w:szCs w:val="21"/>
          <w:highlight w:val="none"/>
          <w:u w:val="single"/>
        </w:rPr>
        <w:t>（</w:t>
      </w:r>
      <w:r>
        <w:rPr>
          <w:rFonts w:hint="eastAsia" w:ascii="宋体" w:hAnsi="宋体" w:eastAsia="宋体" w:cs="宋体"/>
          <w:i/>
          <w:color w:val="auto"/>
          <w:kern w:val="0"/>
          <w:sz w:val="21"/>
          <w:szCs w:val="21"/>
          <w:highlight w:val="none"/>
          <w:u w:val="single"/>
          <w:lang w:eastAsia="zh-CN"/>
        </w:rPr>
        <w:t>采购</w:t>
      </w:r>
      <w:r>
        <w:rPr>
          <w:rFonts w:hint="eastAsia" w:ascii="宋体" w:hAnsi="宋体" w:eastAsia="宋体" w:cs="宋体"/>
          <w:i/>
          <w:color w:val="auto"/>
          <w:kern w:val="0"/>
          <w:sz w:val="21"/>
          <w:szCs w:val="21"/>
          <w:highlight w:val="none"/>
          <w:u w:val="single"/>
        </w:rPr>
        <w:t>文件中明确的所属行业）</w:t>
      </w:r>
      <w:r>
        <w:rPr>
          <w:rFonts w:hint="eastAsia" w:ascii="宋体" w:hAnsi="宋体" w:eastAsia="宋体" w:cs="宋体"/>
          <w:color w:val="auto"/>
          <w:kern w:val="0"/>
          <w:sz w:val="21"/>
          <w:szCs w:val="21"/>
          <w:highlight w:val="none"/>
        </w:rPr>
        <w:t>；承建（承接）企业为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以上企业，不属于大企业的分支机构，不存在控股股东为大企业的情形，也不存在与大企业的负责人为同一人的情形。</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本企业对上述声明内容的真实性负责。如有虚假，将依法承担相应责任。</w:t>
      </w:r>
    </w:p>
    <w:p>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p>
    <w:p>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p>
    <w:p>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p>
    <w:p>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numPr>
          <w:ilvl w:val="0"/>
          <w:numId w:val="5"/>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pPr>
        <w:widowControl w:val="0"/>
        <w:spacing w:line="360" w:lineRule="auto"/>
        <w:ind w:firstLine="406" w:firstLineChars="200"/>
        <w:jc w:val="both"/>
        <w:rPr>
          <w:rFonts w:hint="eastAsia" w:ascii="宋体" w:hAnsi="宋体" w:eastAsia="宋体" w:cs="宋体"/>
          <w:b/>
          <w:bCs/>
          <w:color w:val="auto"/>
          <w:spacing w:val="-4"/>
          <w:kern w:val="2"/>
          <w:sz w:val="21"/>
          <w:szCs w:val="21"/>
          <w:highlight w:val="none"/>
          <w:lang w:val="en-US" w:eastAsia="zh-CN" w:bidi="ar-SA"/>
        </w:rPr>
      </w:pPr>
      <w:r>
        <w:rPr>
          <w:rFonts w:hint="eastAsia" w:ascii="宋体" w:hAnsi="宋体" w:eastAsia="宋体" w:cs="宋体"/>
          <w:b/>
          <w:bCs/>
          <w:color w:val="auto"/>
          <w:spacing w:val="-4"/>
          <w:kern w:val="2"/>
          <w:sz w:val="21"/>
          <w:szCs w:val="21"/>
          <w:highlight w:val="none"/>
          <w:lang w:val="en-US" w:eastAsia="zh-CN" w:bidi="ar-SA"/>
        </w:rPr>
        <w:t>3、本声明函主要供参加政府采购活动的中小企业填写，非中小企业无需填写。</w:t>
      </w:r>
    </w:p>
    <w:p>
      <w:pPr>
        <w:widowControl w:val="0"/>
        <w:spacing w:line="360" w:lineRule="auto"/>
        <w:ind w:firstLine="406" w:firstLineChars="200"/>
        <w:jc w:val="both"/>
        <w:rPr>
          <w:rFonts w:hint="eastAsia" w:ascii="宋体" w:hAnsi="宋体" w:eastAsia="宋体" w:cs="宋体"/>
          <w:b/>
          <w:bCs/>
          <w:color w:val="auto"/>
          <w:spacing w:val="-4"/>
          <w:kern w:val="2"/>
          <w:sz w:val="21"/>
          <w:szCs w:val="21"/>
          <w:highlight w:val="none"/>
          <w:lang w:val="en-US" w:eastAsia="zh-CN" w:bidi="ar-SA"/>
        </w:rPr>
      </w:pPr>
      <w:r>
        <w:rPr>
          <w:rFonts w:hint="eastAsia" w:ascii="宋体" w:hAnsi="宋体" w:eastAsia="宋体" w:cs="宋体"/>
          <w:b/>
          <w:bCs/>
          <w:color w:val="auto"/>
          <w:spacing w:val="-4"/>
          <w:kern w:val="2"/>
          <w:sz w:val="21"/>
          <w:szCs w:val="21"/>
          <w:highlight w:val="none"/>
          <w:lang w:val="en-US" w:eastAsia="zh-CN" w:bidi="ar-SA"/>
        </w:rPr>
        <w:t>4、小型、微型企业提供中型企业提供的服务的，视同为中型企业。</w:t>
      </w:r>
    </w:p>
    <w:p>
      <w:pPr>
        <w:rPr>
          <w:rFonts w:hint="eastAsia" w:ascii="宋体" w:hAnsi="宋体" w:eastAsia="宋体" w:cs="宋体"/>
          <w:b/>
          <w:bCs/>
          <w:color w:val="auto"/>
          <w:highlight w:val="none"/>
        </w:rPr>
        <w:sectPr>
          <w:pgSz w:w="11905" w:h="16838"/>
          <w:pgMar w:top="1134" w:right="1134" w:bottom="1134" w:left="1134" w:header="850" w:footer="850" w:gutter="0"/>
          <w:pgNumType w:fmt="decimal"/>
          <w:cols w:space="0" w:num="1"/>
          <w:titlePg/>
          <w:rtlGutter w:val="0"/>
          <w:docGrid w:linePitch="331" w:charSpace="0"/>
        </w:sectPr>
      </w:pPr>
    </w:p>
    <w:p>
      <w:pPr>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5.残疾人福利性单位声明函的格式：</w:t>
      </w:r>
    </w:p>
    <w:p>
      <w:pPr>
        <w:jc w:val="left"/>
        <w:rPr>
          <w:rFonts w:hint="eastAsia" w:ascii="Times New Roman" w:hAnsi="宋体" w:eastAsia="宋体" w:cs="宋体"/>
          <w:b/>
          <w:color w:val="auto"/>
          <w:sz w:val="28"/>
          <w:szCs w:val="28"/>
          <w:highlight w:val="none"/>
          <w:lang w:val="en-US" w:eastAsia="zh-CN"/>
        </w:rPr>
      </w:pPr>
    </w:p>
    <w:p>
      <w:pPr>
        <w:jc w:val="left"/>
        <w:rPr>
          <w:rFonts w:hint="eastAsia" w:ascii="Times New Roman" w:hAnsi="宋体" w:eastAsia="宋体" w:cs="宋体"/>
          <w:b/>
          <w:color w:val="auto"/>
          <w:sz w:val="28"/>
          <w:szCs w:val="28"/>
          <w:highlight w:val="none"/>
          <w:lang w:val="en" w:eastAsia="zh-CN"/>
        </w:rPr>
      </w:pPr>
    </w:p>
    <w:p>
      <w:pPr>
        <w:widowControl w:val="0"/>
        <w:spacing w:line="360" w:lineRule="auto"/>
        <w:jc w:val="center"/>
        <w:rPr>
          <w:rFonts w:hint="eastAsia" w:ascii="宋体" w:hAnsi="Courier New" w:eastAsia="宋体" w:cs="Times New Roman"/>
          <w:b/>
          <w:color w:val="auto"/>
          <w:kern w:val="2"/>
          <w:sz w:val="30"/>
          <w:szCs w:val="30"/>
          <w:highlight w:val="none"/>
          <w:lang w:val="en-US" w:eastAsia="zh-CN" w:bidi="ar-SA"/>
        </w:rPr>
      </w:pPr>
      <w:r>
        <w:rPr>
          <w:rFonts w:hint="eastAsia" w:ascii="宋体" w:hAnsi="Courier New" w:eastAsia="宋体" w:cs="Times New Roman"/>
          <w:b/>
          <w:color w:val="auto"/>
          <w:kern w:val="2"/>
          <w:sz w:val="30"/>
          <w:szCs w:val="30"/>
          <w:highlight w:val="none"/>
          <w:lang w:val="en-US" w:eastAsia="zh-CN" w:bidi="ar-SA"/>
        </w:rPr>
        <w:t>残疾人福利性单位声明函</w:t>
      </w:r>
    </w:p>
    <w:p>
      <w:pPr>
        <w:widowControl w:val="0"/>
        <w:spacing w:line="360" w:lineRule="auto"/>
        <w:jc w:val="center"/>
        <w:rPr>
          <w:rFonts w:hint="eastAsia" w:ascii="宋体" w:hAnsi="Courier New" w:eastAsia="宋体" w:cs="Times New Roman"/>
          <w:b/>
          <w:color w:val="auto"/>
          <w:kern w:val="2"/>
          <w:sz w:val="30"/>
          <w:szCs w:val="30"/>
          <w:highlight w:val="none"/>
          <w:lang w:val="en-US" w:eastAsia="zh-CN" w:bidi="ar-SA"/>
        </w:rPr>
      </w:pPr>
    </w:p>
    <w:p>
      <w:pPr>
        <w:widowControl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Courier New" w:eastAsia="宋体" w:cs="Times New Roman"/>
          <w:color w:val="auto"/>
          <w:kern w:val="2"/>
          <w:sz w:val="30"/>
          <w:szCs w:val="30"/>
          <w:highlight w:val="none"/>
          <w:lang w:val="en-US" w:eastAsia="zh-CN" w:bidi="ar-SA"/>
        </w:rPr>
        <w:t xml:space="preserve"> </w:t>
      </w:r>
      <w:r>
        <w:rPr>
          <w:rFonts w:hint="eastAsia" w:ascii="宋体" w:hAnsi="宋体" w:eastAsia="宋体" w:cs="宋体"/>
          <w:color w:val="auto"/>
          <w:kern w:val="2"/>
          <w:sz w:val="30"/>
          <w:szCs w:val="30"/>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单位的</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项目采购活动提供本单位制造的货物（由本单位承担工程/提供服务），或者提供其他残疾人福利性单位制造的货物（不包括使用非残疾人福利性单位注册商标的货物）。</w:t>
      </w:r>
    </w:p>
    <w:p>
      <w:pPr>
        <w:widowControl w:val="0"/>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本单位对上述声明的真实性负责。如有虚假，将依法承担相应责任。</w:t>
      </w:r>
    </w:p>
    <w:p>
      <w:pPr>
        <w:widowControl w:val="0"/>
        <w:spacing w:line="360" w:lineRule="auto"/>
        <w:jc w:val="left"/>
        <w:rPr>
          <w:rFonts w:hint="eastAsia" w:ascii="宋体" w:hAnsi="宋体" w:eastAsia="宋体" w:cs="宋体"/>
          <w:b/>
          <w:color w:val="auto"/>
          <w:kern w:val="2"/>
          <w:sz w:val="21"/>
          <w:szCs w:val="21"/>
          <w:highlight w:val="none"/>
          <w:lang w:val="en-US" w:eastAsia="zh-CN" w:bidi="ar-SA"/>
        </w:rPr>
      </w:pPr>
    </w:p>
    <w:p>
      <w:pPr>
        <w:widowControl w:val="0"/>
        <w:spacing w:line="360" w:lineRule="auto"/>
        <w:jc w:val="left"/>
        <w:rPr>
          <w:rFonts w:hint="eastAsia" w:ascii="宋体" w:hAnsi="宋体" w:eastAsia="宋体" w:cs="宋体"/>
          <w:b/>
          <w:color w:val="auto"/>
          <w:kern w:val="2"/>
          <w:sz w:val="21"/>
          <w:szCs w:val="21"/>
          <w:highlight w:val="none"/>
          <w:lang w:val="en-US" w:eastAsia="zh-CN" w:bidi="ar-SA"/>
        </w:rPr>
      </w:pPr>
    </w:p>
    <w:p>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val="0"/>
        <w:spacing w:line="360" w:lineRule="auto"/>
        <w:ind w:left="5132" w:leftChars="1979" w:hanging="976" w:hangingChars="488"/>
        <w:jc w:val="both"/>
        <w:rPr>
          <w:rFonts w:hint="eastAsia" w:ascii="宋体" w:hAnsi="宋体" w:eastAsia="宋体" w:cs="宋体"/>
          <w:color w:val="auto"/>
          <w:kern w:val="2"/>
          <w:sz w:val="20"/>
          <w:szCs w:val="20"/>
          <w:highlight w:val="none"/>
          <w:lang w:val="en-US" w:eastAsia="zh-CN" w:bidi="ar-SA"/>
        </w:rPr>
      </w:pPr>
    </w:p>
    <w:p>
      <w:pPr>
        <w:spacing w:line="360" w:lineRule="auto"/>
        <w:ind w:right="420" w:firstLine="480" w:firstLineChars="200"/>
        <w:rPr>
          <w:rFonts w:hint="eastAsia" w:ascii="宋体" w:hAnsi="宋体" w:eastAsia="宋体" w:cs="宋体"/>
          <w:color w:val="auto"/>
          <w:sz w:val="24"/>
          <w:highlight w:val="none"/>
        </w:rPr>
      </w:pPr>
    </w:p>
    <w:p>
      <w:pPr>
        <w:spacing w:line="360" w:lineRule="auto"/>
        <w:ind w:right="420" w:firstLine="480" w:firstLineChars="200"/>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val="0"/>
        <w:spacing w:before="50" w:after="331" w:afterLines="100" w:line="360" w:lineRule="auto"/>
        <w:ind w:left="0" w:leftChars="0" w:firstLine="0" w:firstLineChars="0"/>
        <w:jc w:val="left"/>
        <w:textAlignment w:val="auto"/>
        <w:rPr>
          <w:rFonts w:hint="eastAsia" w:ascii="宋体" w:hAnsi="宋体" w:eastAsia="宋体" w:cs="Times New Roman"/>
          <w:color w:val="auto"/>
          <w:szCs w:val="21"/>
          <w:highlight w:val="none"/>
          <w:lang w:val="zh-CN"/>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w:t>
      </w:r>
      <w:r>
        <w:rPr>
          <w:rFonts w:hint="eastAsia" w:ascii="宋体" w:hAnsi="宋体" w:eastAsia="宋体" w:cs="宋体"/>
          <w:color w:val="auto"/>
          <w:sz w:val="21"/>
          <w:szCs w:val="21"/>
          <w:highlight w:val="none"/>
          <w:lang w:eastAsia="zh-CN"/>
        </w:rPr>
        <w:t>〔2014〕68号</w:t>
      </w:r>
      <w:r>
        <w:rPr>
          <w:rFonts w:hint="eastAsia" w:ascii="宋体" w:hAnsi="宋体" w:eastAsia="宋体" w:cs="宋体"/>
          <w:color w:val="auto"/>
          <w:sz w:val="21"/>
          <w:szCs w:val="21"/>
          <w:highlight w:val="none"/>
        </w:rPr>
        <w:t>）的规定，投标人提供由省级以上监狱管理局、戒毒管理局（含新疆生产建设兵团）出具的属于监狱企业证明文件的，视同为小型和微型企业。</w:t>
      </w:r>
    </w:p>
    <w:p>
      <w:pPr>
        <w:rPr>
          <w:rFonts w:hint="eastAsia" w:ascii="Times New Roman" w:hAnsi="Times New Roman" w:eastAsia="宋体" w:cs="Times New Roman"/>
          <w:b/>
          <w:bCs/>
          <w:color w:val="auto"/>
          <w:sz w:val="30"/>
          <w:szCs w:val="30"/>
          <w:highlight w:val="none"/>
        </w:rPr>
      </w:pPr>
    </w:p>
    <w:p>
      <w:pPr>
        <w:pStyle w:val="12"/>
        <w:ind w:left="0"/>
        <w:jc w:val="left"/>
        <w:rPr>
          <w:rFonts w:hint="eastAsia"/>
          <w:color w:val="auto"/>
          <w:highlight w:val="none"/>
        </w:rPr>
      </w:pPr>
      <w:r>
        <w:rPr>
          <w:rFonts w:hint="eastAsia" w:hAnsi="宋体" w:cs="宋体"/>
          <w:b/>
          <w:bCs/>
          <w:color w:val="auto"/>
          <w:sz w:val="28"/>
          <w:szCs w:val="28"/>
          <w:highlight w:val="none"/>
          <w:lang w:val="en-US" w:eastAsia="zh-CN"/>
        </w:rPr>
        <w:t>6.联合体投标协议书的格式：</w:t>
      </w:r>
    </w:p>
    <w:p>
      <w:pPr>
        <w:pStyle w:val="17"/>
        <w:spacing w:line="600" w:lineRule="exact"/>
        <w:jc w:val="center"/>
        <w:rPr>
          <w:rFonts w:hint="eastAsia" w:ascii="宋体" w:hAnsi="宋体" w:cs="宋体"/>
          <w:b/>
          <w:bCs/>
          <w:color w:val="auto"/>
          <w:sz w:val="28"/>
          <w:szCs w:val="28"/>
          <w:highlight w:val="none"/>
        </w:rPr>
      </w:pPr>
    </w:p>
    <w:p>
      <w:pPr>
        <w:pStyle w:val="17"/>
        <w:spacing w:line="600" w:lineRule="exact"/>
        <w:jc w:val="center"/>
        <w:rPr>
          <w:rFonts w:hint="eastAsia" w:ascii="宋体" w:hAnsi="宋体" w:cs="宋体"/>
          <w:color w:val="auto"/>
          <w:sz w:val="28"/>
          <w:szCs w:val="28"/>
          <w:highlight w:val="none"/>
        </w:rPr>
      </w:pPr>
      <w:r>
        <w:rPr>
          <w:rFonts w:hint="eastAsia" w:ascii="宋体" w:hAnsi="宋体" w:cs="宋体"/>
          <w:b/>
          <w:bCs/>
          <w:color w:val="auto"/>
          <w:sz w:val="28"/>
          <w:szCs w:val="28"/>
          <w:highlight w:val="none"/>
        </w:rPr>
        <w:t>联合体</w:t>
      </w:r>
      <w:r>
        <w:rPr>
          <w:rFonts w:hint="eastAsia" w:ascii="宋体" w:hAnsi="宋体" w:cs="宋体"/>
          <w:b/>
          <w:bCs/>
          <w:color w:val="auto"/>
          <w:sz w:val="28"/>
          <w:szCs w:val="28"/>
          <w:highlight w:val="none"/>
          <w:lang w:eastAsia="zh-CN"/>
        </w:rPr>
        <w:t>投标</w:t>
      </w:r>
      <w:r>
        <w:rPr>
          <w:rFonts w:hint="eastAsia" w:ascii="宋体" w:hAnsi="宋体" w:cs="宋体"/>
          <w:b/>
          <w:bCs/>
          <w:color w:val="auto"/>
          <w:sz w:val="28"/>
          <w:szCs w:val="28"/>
          <w:highlight w:val="none"/>
        </w:rPr>
        <w:t>协议书</w:t>
      </w:r>
    </w:p>
    <w:p>
      <w:pPr>
        <w:autoSpaceDE w:val="0"/>
        <w:autoSpaceDN w:val="0"/>
        <w:adjustRightInd w:val="0"/>
        <w:spacing w:line="360" w:lineRule="auto"/>
        <w:jc w:val="left"/>
        <w:rPr>
          <w:rFonts w:hint="eastAsia" w:ascii="宋体" w:hAnsi="宋体" w:cs="宋体"/>
          <w:color w:val="auto"/>
          <w:kern w:val="0"/>
          <w:szCs w:val="21"/>
          <w:highlight w:val="none"/>
          <w:u w:val="singl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403" w:name="PO_3000001919_PM031_1"/>
      <w:r>
        <w:rPr>
          <w:rFonts w:hint="eastAsia" w:ascii="宋体" w:hAnsi="宋体" w:cs="宋体"/>
          <w:color w:val="auto"/>
          <w:kern w:val="0"/>
          <w:szCs w:val="21"/>
          <w:highlight w:val="none"/>
          <w:u w:val="single"/>
          <w:lang w:eastAsia="zh-CN"/>
        </w:rPr>
        <w:t>广西科联招标中心有限公司</w:t>
      </w:r>
      <w:bookmarkEnd w:id="403"/>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i/>
          <w:iCs/>
          <w:color w:val="auto"/>
          <w:kern w:val="0"/>
          <w:szCs w:val="21"/>
          <w:highlight w:val="none"/>
          <w:u w:val="single"/>
          <w:lang w:eastAsia="zh-CN"/>
        </w:rPr>
        <w:t>（项目名称）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（某成员单位名称）为联合体名称牵头人。</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联合体牵头人在本项目中签署和盖章的一切文件和处理的一切事宜，联合体各成员均予以承认。 联合体各成员将严格按照招标文件、投标文件和合同的要求全面履行义务，并向</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人承担连带责任。</w:t>
      </w:r>
    </w:p>
    <w:p>
      <w:pPr>
        <w:autoSpaceDE w:val="0"/>
        <w:autoSpaceDN w:val="0"/>
        <w:adjustRightInd w:val="0"/>
        <w:spacing w:line="360" w:lineRule="auto"/>
        <w:ind w:firstLine="42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联合体各成员单位内部的职责分工如下</w:t>
      </w:r>
      <w:r>
        <w:rPr>
          <w:rFonts w:hint="eastAsia" w:ascii="宋体" w:hAnsi="宋体" w:cs="宋体"/>
          <w:color w:val="auto"/>
          <w:kern w:val="0"/>
          <w:szCs w:val="21"/>
          <w:highlight w:val="none"/>
          <w:u w:val="single"/>
        </w:rPr>
        <w:t>：                             。</w:t>
      </w:r>
    </w:p>
    <w:p>
      <w:pPr>
        <w:pStyle w:val="17"/>
        <w:spacing w:line="360" w:lineRule="auto"/>
        <w:ind w:firstLine="420" w:firstLineChars="200"/>
        <w:rPr>
          <w:rFonts w:hint="eastAsia" w:ascii="宋体" w:hAnsi="宋体" w:cs="宋体"/>
          <w:color w:val="auto"/>
          <w:szCs w:val="21"/>
          <w:highlight w:val="none"/>
        </w:rPr>
      </w:pPr>
      <w:r>
        <w:rPr>
          <w:rFonts w:hint="eastAsia" w:hAnsi="宋体" w:cs="宋体"/>
          <w:color w:val="auto"/>
          <w:kern w:val="0"/>
          <w:highlight w:val="none"/>
        </w:rPr>
        <w:t>5</w:t>
      </w:r>
      <w:r>
        <w:rPr>
          <w:rFonts w:hint="eastAsia" w:hAnsi="宋体" w:cs="宋体"/>
          <w:color w:val="auto"/>
          <w:kern w:val="0"/>
          <w:highlight w:val="none"/>
          <w:lang w:val="en-US" w:eastAsia="zh-CN"/>
        </w:rPr>
        <w:t>.</w:t>
      </w:r>
      <w:r>
        <w:rPr>
          <w:rFonts w:hint="eastAsia" w:hAnsi="宋体" w:cs="宋体"/>
          <w:color w:val="auto"/>
          <w:kern w:val="0"/>
          <w:highlight w:val="none"/>
        </w:rPr>
        <w:t>本联合体中</w:t>
      </w:r>
      <w:r>
        <w:rPr>
          <w:rFonts w:hint="eastAsia" w:hAnsi="宋体" w:cs="宋体"/>
          <w:color w:val="auto"/>
          <w:kern w:val="0"/>
          <w:highlight w:val="none"/>
          <w:u w:val="single"/>
        </w:rPr>
        <w:t>，</w:t>
      </w:r>
      <w:r>
        <w:rPr>
          <w:rFonts w:hint="eastAsia" w:ascii="宋体" w:hAnsi="宋体" w:cs="宋体"/>
          <w:color w:val="auto"/>
          <w:kern w:val="0"/>
          <w:szCs w:val="21"/>
          <w:highlight w:val="none"/>
          <w:u w:val="single"/>
        </w:rPr>
        <w:t xml:space="preserve">                          </w:t>
      </w:r>
      <w:r>
        <w:rPr>
          <w:rFonts w:hint="eastAsia" w:hAnsi="宋体" w:cs="宋体"/>
          <w:color w:val="auto"/>
          <w:kern w:val="0"/>
          <w:highlight w:val="none"/>
          <w:u w:val="single"/>
        </w:rPr>
        <w:t>（某成员单位名称）为</w:t>
      </w:r>
      <w:r>
        <w:rPr>
          <w:rFonts w:hint="eastAsia" w:ascii="宋体" w:hAnsi="宋体" w:cs="宋体"/>
          <w:color w:val="auto"/>
          <w:kern w:val="0"/>
          <w:szCs w:val="21"/>
          <w:highlight w:val="none"/>
          <w:u w:val="single"/>
        </w:rPr>
        <w:t xml:space="preserve">      </w:t>
      </w:r>
      <w:r>
        <w:rPr>
          <w:rFonts w:hint="eastAsia" w:hAnsi="宋体" w:cs="宋体"/>
          <w:color w:val="auto"/>
          <w:highlight w:val="none"/>
        </w:rPr>
        <w:t>（请填写：中型、小型、微型）企业，其协议合同金额占联合体协议合同总金额的</w:t>
      </w:r>
      <w:r>
        <w:rPr>
          <w:rFonts w:hint="eastAsia" w:ascii="宋体" w:hAnsi="宋体" w:cs="宋体"/>
          <w:color w:val="auto"/>
          <w:kern w:val="0"/>
          <w:szCs w:val="21"/>
          <w:highlight w:val="none"/>
          <w:u w:val="single"/>
        </w:rPr>
        <w:t xml:space="preserve">      </w:t>
      </w:r>
      <w:r>
        <w:rPr>
          <w:rFonts w:hint="eastAsia" w:hAnsi="宋体" w:cs="宋体"/>
          <w:color w:val="auto"/>
          <w:highlight w:val="none"/>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本协议书自签署之日起生效，合同履行完毕后自动失效。</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ascii="宋体" w:hAnsi="宋体" w:cs="宋体"/>
          <w:color w:val="auto"/>
          <w:kern w:val="0"/>
          <w:szCs w:val="21"/>
          <w:highlight w:val="none"/>
        </w:rPr>
        <w:t>）</w:t>
      </w:r>
    </w:p>
    <w:p>
      <w:pPr>
        <w:autoSpaceDE w:val="0"/>
        <w:autoSpaceDN w:val="0"/>
        <w:adjustRightInd w:val="0"/>
        <w:spacing w:line="360" w:lineRule="auto"/>
        <w:jc w:val="left"/>
        <w:rPr>
          <w:rFonts w:hint="eastAsia" w:ascii="宋体" w:hAnsi="宋体" w:cs="宋体"/>
          <w:color w:val="auto"/>
          <w:kern w:val="0"/>
          <w:szCs w:val="21"/>
          <w:highlight w:val="non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ascii="宋体" w:hAnsi="宋体" w:cs="宋体"/>
          <w:color w:val="auto"/>
          <w:kern w:val="0"/>
          <w:szCs w:val="21"/>
          <w:highlight w:val="none"/>
        </w:rPr>
        <w:t>）</w:t>
      </w:r>
    </w:p>
    <w:p>
      <w:pPr>
        <w:autoSpaceDE w:val="0"/>
        <w:autoSpaceDN w:val="0"/>
        <w:adjustRightInd w:val="0"/>
        <w:spacing w:line="360" w:lineRule="auto"/>
        <w:jc w:val="left"/>
        <w:rPr>
          <w:rFonts w:hint="eastAsia" w:ascii="宋体" w:hAnsi="宋体" w:cs="宋体"/>
          <w:color w:val="auto"/>
          <w:kern w:val="0"/>
          <w:szCs w:val="21"/>
          <w:highlight w:val="non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pPr>
        <w:pStyle w:val="17"/>
        <w:spacing w:line="360" w:lineRule="auto"/>
        <w:jc w:val="both"/>
        <w:rPr>
          <w:rFonts w:hint="eastAsia" w:hAnsi="宋体" w:cs="宋体"/>
          <w:color w:val="auto"/>
          <w:kern w:val="0"/>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hAnsi="宋体" w:cs="宋体"/>
          <w:color w:val="auto"/>
          <w:kern w:val="0"/>
          <w:szCs w:val="21"/>
          <w:highlight w:val="none"/>
        </w:rPr>
        <w:t>）</w:t>
      </w:r>
    </w:p>
    <w:p>
      <w:pPr>
        <w:pStyle w:val="10"/>
        <w:overflowPunct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pStyle w:val="10"/>
        <w:overflowPunct w:val="0"/>
        <w:spacing w:line="360" w:lineRule="auto"/>
        <w:ind w:firstLineChars="175"/>
        <w:rPr>
          <w:rFonts w:hint="eastAsia" w:ascii="宋体" w:hAnsi="宋体" w:eastAsia="宋体" w:cs="宋体"/>
          <w:color w:val="auto"/>
          <w:sz w:val="24"/>
          <w:highlight w:val="none"/>
        </w:rPr>
      </w:pPr>
    </w:p>
    <w:p>
      <w:pPr>
        <w:pStyle w:val="10"/>
        <w:overflowPunct w:val="0"/>
        <w:spacing w:line="360" w:lineRule="auto"/>
        <w:ind w:firstLine="7140" w:firstLineChars="29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月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日</w:t>
      </w:r>
    </w:p>
    <w:p>
      <w:pPr>
        <w:pStyle w:val="17"/>
        <w:spacing w:line="600" w:lineRule="exact"/>
        <w:jc w:val="center"/>
        <w:rPr>
          <w:rFonts w:hint="eastAsia" w:hAnsi="宋体" w:cs="宋体"/>
          <w:color w:val="auto"/>
          <w:kern w:val="0"/>
          <w:szCs w:val="21"/>
          <w:highlight w:val="none"/>
        </w:rPr>
      </w:pPr>
    </w:p>
    <w:p>
      <w:pPr>
        <w:pStyle w:val="17"/>
        <w:jc w:val="both"/>
        <w:outlineLvl w:val="9"/>
        <w:rPr>
          <w:rFonts w:hAnsi="宋体" w:eastAsia="宋体" w:cs="Times New Roman"/>
          <w:color w:val="auto"/>
          <w:szCs w:val="21"/>
          <w:highlight w:val="none"/>
        </w:rPr>
      </w:pPr>
    </w:p>
    <w:p>
      <w:pPr>
        <w:pStyle w:val="17"/>
        <w:jc w:val="center"/>
        <w:outlineLvl w:val="1"/>
        <w:rPr>
          <w:rFonts w:hint="eastAsia" w:hAnsi="宋体" w:eastAsia="宋体" w:cs="Times New Roman"/>
          <w:b/>
          <w:bCs/>
          <w:color w:val="auto"/>
          <w:sz w:val="28"/>
          <w:szCs w:val="28"/>
          <w:highlight w:val="none"/>
        </w:rPr>
      </w:pPr>
      <w:bookmarkStart w:id="404" w:name="_Toc8189"/>
      <w:bookmarkStart w:id="405" w:name="_Toc16062"/>
      <w:bookmarkStart w:id="406" w:name="_Toc2566"/>
      <w:bookmarkStart w:id="407" w:name="_Toc3944"/>
      <w:bookmarkStart w:id="408" w:name="_Toc6839"/>
      <w:bookmarkStart w:id="409" w:name="_Toc24133"/>
      <w:bookmarkStart w:id="410" w:name="_Toc19686838"/>
      <w:bookmarkStart w:id="411" w:name="_Toc20777"/>
      <w:bookmarkStart w:id="412" w:name="_Toc31528"/>
      <w:bookmarkStart w:id="413" w:name="_Toc12624"/>
      <w:bookmarkStart w:id="414" w:name="_Toc13159"/>
    </w:p>
    <w:p>
      <w:pPr>
        <w:pStyle w:val="17"/>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404"/>
      <w:bookmarkEnd w:id="405"/>
      <w:bookmarkEnd w:id="406"/>
      <w:bookmarkEnd w:id="407"/>
      <w:bookmarkEnd w:id="408"/>
      <w:bookmarkEnd w:id="409"/>
      <w:bookmarkEnd w:id="410"/>
      <w:bookmarkEnd w:id="411"/>
      <w:bookmarkEnd w:id="412"/>
      <w:bookmarkEnd w:id="413"/>
      <w:bookmarkEnd w:id="414"/>
    </w:p>
    <w:p>
      <w:pPr>
        <w:snapToGrid w:val="0"/>
        <w:spacing w:before="165" w:beforeLines="50" w:after="50"/>
        <w:rPr>
          <w:rFonts w:hint="eastAsia" w:ascii="宋体" w:hAnsi="宋体" w:eastAsia="宋体" w:cs="Times New Roman"/>
          <w:color w:val="auto"/>
          <w:sz w:val="30"/>
          <w:szCs w:val="20"/>
          <w:highlight w:val="none"/>
        </w:rPr>
      </w:pPr>
    </w:p>
    <w:p>
      <w:pPr>
        <w:pStyle w:val="2"/>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540" w:firstLineChars="225"/>
        <w:rPr>
          <w:rFonts w:hint="eastAsia" w:ascii="宋体" w:hAnsi="宋体" w:eastAsia="宋体" w:cs="Times New Roman"/>
          <w:bCs/>
          <w:color w:val="auto"/>
          <w:sz w:val="24"/>
          <w:highlight w:val="none"/>
        </w:rPr>
      </w:pP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pPr>
        <w:snapToGrid w:val="0"/>
        <w:spacing w:before="165" w:beforeLines="50" w:after="50"/>
        <w:ind w:firstLine="540" w:firstLineChars="225"/>
        <w:rPr>
          <w:rFonts w:hint="eastAsia" w:ascii="宋体" w:hAnsi="宋体" w:eastAsia="宋体" w:cs="Times New Roman"/>
          <w:bCs/>
          <w:color w:val="auto"/>
          <w:sz w:val="24"/>
          <w:szCs w:val="20"/>
          <w:highlight w:val="none"/>
        </w:rPr>
      </w:pPr>
    </w:p>
    <w:p>
      <w:pPr>
        <w:pStyle w:val="10"/>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pPr>
        <w:pStyle w:val="10"/>
        <w:snapToGrid w:val="0"/>
        <w:spacing w:before="50" w:after="50"/>
        <w:ind w:firstLine="540" w:firstLineChars="225"/>
        <w:rPr>
          <w:rFonts w:hint="eastAsia" w:ascii="宋体" w:hAnsi="宋体" w:eastAsia="宋体" w:cs="Times New Roman"/>
          <w:bCs/>
          <w:color w:val="auto"/>
          <w:sz w:val="24"/>
          <w:szCs w:val="24"/>
          <w:highlight w:val="none"/>
        </w:rPr>
      </w:pPr>
    </w:p>
    <w:p>
      <w:pPr>
        <w:pStyle w:val="10"/>
        <w:snapToGrid w:val="0"/>
        <w:spacing w:before="50" w:after="50"/>
        <w:ind w:firstLine="960" w:firstLineChars="400"/>
        <w:rPr>
          <w:rFonts w:hint="eastAsia" w:ascii="宋体" w:hAnsi="宋体" w:eastAsia="宋体" w:cs="Times New Roman"/>
          <w:bCs/>
          <w:color w:val="auto"/>
          <w:sz w:val="24"/>
          <w:szCs w:val="24"/>
          <w:highlight w:val="none"/>
        </w:rPr>
      </w:pPr>
    </w:p>
    <w:p>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pPr>
        <w:snapToGrid/>
        <w:spacing w:before="0" w:beforeLines="-2147483648"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pPr>
        <w:snapToGrid w:val="0"/>
        <w:spacing w:before="120" w:beforeLines="50" w:after="50"/>
        <w:ind w:left="420"/>
        <w:jc w:val="center"/>
        <w:rPr>
          <w:rFonts w:hint="eastAsia" w:ascii="宋体" w:hAnsi="宋体" w:eastAsia="宋体" w:cs="Times New Roman"/>
          <w:b/>
          <w:color w:val="auto"/>
          <w:sz w:val="32"/>
          <w:szCs w:val="32"/>
          <w:highlight w:val="none"/>
        </w:rPr>
      </w:pPr>
    </w:p>
    <w:p>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pPr>
        <w:snapToGrid w:val="0"/>
        <w:spacing w:before="120" w:beforeLines="50" w:after="50"/>
        <w:rPr>
          <w:rFonts w:hint="eastAsia" w:ascii="宋体" w:hAnsi="宋体" w:eastAsia="宋体" w:cs="Times New Roman"/>
          <w:b/>
          <w:color w:val="auto"/>
          <w:szCs w:val="21"/>
          <w:highlight w:val="none"/>
        </w:rPr>
      </w:pPr>
    </w:p>
    <w:p>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pPr>
        <w:pStyle w:val="14"/>
        <w:rPr>
          <w:rFonts w:hint="eastAsia"/>
          <w:color w:val="auto"/>
          <w:highlight w:val="none"/>
          <w:lang w:eastAsia="zh-CN"/>
        </w:rPr>
      </w:pPr>
    </w:p>
    <w:p>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pStyle w:val="17"/>
        <w:snapToGrid w:val="0"/>
        <w:spacing w:before="295" w:after="295" w:line="360" w:lineRule="auto"/>
        <w:jc w:val="both"/>
        <w:rPr>
          <w:rFonts w:hint="eastAsia" w:hAnsi="宋体" w:eastAsia="宋体" w:cs="Times New Roman"/>
          <w:b/>
          <w:color w:val="auto"/>
          <w:sz w:val="24"/>
          <w:highlight w:val="none"/>
        </w:rPr>
      </w:pPr>
      <w:r>
        <w:rPr>
          <w:rFonts w:hint="eastAsia" w:hAnsi="宋体" w:eastAsia="宋体" w:cs="Times New Roman"/>
          <w:b/>
          <w:color w:val="auto"/>
          <w:sz w:val="24"/>
          <w:highlight w:val="none"/>
        </w:rPr>
        <w:br w:type="page"/>
      </w: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pPr>
        <w:spacing w:before="240" w:beforeLines="100" w:after="120" w:afterLines="50"/>
        <w:ind w:left="540"/>
        <w:jc w:val="center"/>
        <w:rPr>
          <w:rFonts w:hint="eastAsia" w:ascii="宋体" w:hAnsi="Courier New" w:eastAsia="宋体" w:cs="Times New Roman"/>
          <w:b/>
          <w:color w:val="auto"/>
          <w:sz w:val="32"/>
          <w:szCs w:val="32"/>
          <w:highlight w:val="none"/>
        </w:rPr>
      </w:pPr>
    </w:p>
    <w:p>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pPr>
        <w:spacing w:line="500" w:lineRule="exact"/>
        <w:ind w:left="540"/>
        <w:rPr>
          <w:rFonts w:hint="eastAsia" w:ascii="宋体" w:hAnsi="宋体" w:eastAsia="宋体" w:cs="Times New Roman"/>
          <w:color w:val="auto"/>
          <w:sz w:val="24"/>
          <w:highlight w:val="none"/>
        </w:rPr>
      </w:pPr>
    </w:p>
    <w:p>
      <w:pPr>
        <w:spacing w:line="500" w:lineRule="exact"/>
        <w:ind w:left="540"/>
        <w:rPr>
          <w:rFonts w:hint="eastAsia" w:ascii="宋体" w:hAnsi="宋体" w:eastAsia="宋体" w:cs="Times New Roman"/>
          <w:color w:val="auto"/>
          <w:sz w:val="24"/>
          <w:highlight w:val="none"/>
        </w:rPr>
      </w:pP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附件：法定代表人有效身份证正反面复印件</w:t>
      </w:r>
    </w:p>
    <w:p>
      <w:pPr>
        <w:spacing w:line="500" w:lineRule="exact"/>
        <w:ind w:left="540"/>
        <w:rPr>
          <w:rFonts w:hint="eastAsia" w:ascii="宋体" w:hAnsi="宋体" w:eastAsia="宋体" w:cs="Times New Roman"/>
          <w:color w:val="auto"/>
          <w:sz w:val="24"/>
          <w:highlight w:val="none"/>
        </w:rPr>
      </w:pPr>
    </w:p>
    <w:p>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before="120" w:beforeLines="50" w:after="50"/>
        <w:jc w:val="center"/>
        <w:rPr>
          <w:rFonts w:hint="eastAsia" w:ascii="宋体" w:hAnsi="宋体" w:eastAsia="宋体" w:cs="Times New Roman"/>
          <w:b/>
          <w:color w:val="auto"/>
          <w:sz w:val="24"/>
          <w:highlight w:val="none"/>
        </w:rPr>
      </w:pPr>
    </w:p>
    <w:p>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pPr>
        <w:snapToGrid w:val="0"/>
        <w:spacing w:before="120" w:beforeLines="50" w:after="50"/>
        <w:ind w:firstLine="600" w:firstLineChars="250"/>
        <w:jc w:val="left"/>
        <w:rPr>
          <w:rFonts w:hint="eastAsia" w:ascii="宋体" w:hAnsi="宋体" w:eastAsia="宋体" w:cs="Times New Roman"/>
          <w:color w:val="auto"/>
          <w:sz w:val="24"/>
          <w:highlight w:val="none"/>
        </w:rPr>
      </w:pPr>
    </w:p>
    <w:p>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4"/>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Times New Roman" w:eastAsia="宋体" w:cs="Times New Roman"/>
                <w:b/>
                <w:color w:val="auto"/>
                <w:sz w:val="24"/>
                <w:highlight w:val="none"/>
              </w:rPr>
            </w:pPr>
          </w:p>
          <w:p>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法定代表人有效身份证复印件粘</w:t>
            </w:r>
            <w:r>
              <w:rPr>
                <w:rFonts w:hint="eastAsia" w:ascii="宋体" w:cs="Times New Roman"/>
                <w:b/>
                <w:color w:val="auto"/>
                <w:sz w:val="24"/>
                <w:highlight w:val="none"/>
                <w:lang w:val="en-US" w:eastAsia="zh-CN"/>
              </w:rPr>
              <w:t>贴</w:t>
            </w:r>
            <w:r>
              <w:rPr>
                <w:rFonts w:hint="eastAsia" w:ascii="宋体" w:hAnsi="Times New Roman" w:eastAsia="宋体" w:cs="Times New Roman"/>
                <w:b/>
                <w:color w:val="auto"/>
                <w:sz w:val="24"/>
                <w:highlight w:val="none"/>
              </w:rPr>
              <w:t>处（正、反面）</w:t>
            </w:r>
          </w:p>
        </w:tc>
      </w:tr>
    </w:tbl>
    <w:p>
      <w:pPr>
        <w:pStyle w:val="17"/>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pPr>
        <w:snapToGrid w:val="0"/>
        <w:spacing w:before="120" w:beforeLines="50" w:after="50"/>
        <w:jc w:val="center"/>
        <w:rPr>
          <w:rFonts w:hint="eastAsia" w:ascii="宋体" w:hAnsi="宋体" w:eastAsia="宋体" w:cs="Times New Roman"/>
          <w:b/>
          <w:color w:val="auto"/>
          <w:sz w:val="32"/>
          <w:szCs w:val="32"/>
          <w:highlight w:val="none"/>
        </w:rPr>
      </w:pPr>
    </w:p>
    <w:p>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法定代表人授权委托书（如有委托时）</w:t>
      </w:r>
    </w:p>
    <w:p>
      <w:pPr>
        <w:snapToGrid w:val="0"/>
        <w:spacing w:before="120" w:beforeLines="50" w:after="50"/>
        <w:jc w:val="center"/>
        <w:rPr>
          <w:rFonts w:hint="eastAsia" w:ascii="宋体" w:hAnsi="宋体" w:eastAsia="宋体" w:cs="Times New Roman"/>
          <w:b/>
          <w:color w:val="auto"/>
          <w:sz w:val="24"/>
          <w:highlight w:val="none"/>
        </w:rPr>
      </w:pPr>
    </w:p>
    <w:p>
      <w:pPr>
        <w:pStyle w:val="17"/>
        <w:spacing w:line="36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致：</w:t>
      </w:r>
      <w:r>
        <w:rPr>
          <w:rFonts w:ascii="Times New Roman" w:hAnsi="Times New Roman" w:eastAsia="宋体" w:cs="Times New Roman"/>
          <w:color w:val="auto"/>
          <w:highlight w:val="none"/>
          <w:u w:val="single"/>
        </w:rPr>
        <w:t xml:space="preserve"> </w:t>
      </w:r>
      <w:bookmarkStart w:id="415" w:name="PO_3000001866_PM031_7"/>
      <w:r>
        <w:rPr>
          <w:rFonts w:hint="eastAsia" w:ascii="Times New Roman" w:hAnsi="Times New Roman" w:eastAsia="宋体" w:cs="Times New Roman"/>
          <w:color w:val="auto"/>
          <w:highlight w:val="none"/>
          <w:u w:val="single"/>
          <w:lang w:eastAsia="zh-CN"/>
        </w:rPr>
        <w:t>广西科联招标中心有限公司</w:t>
      </w:r>
      <w:bookmarkEnd w:id="415"/>
      <w:r>
        <w:rPr>
          <w:rFonts w:ascii="Times New Roman" w:hAnsi="Times New Roman" w:eastAsia="宋体" w:cs="Times New Roman"/>
          <w:color w:val="auto"/>
          <w:highlight w:val="none"/>
          <w:u w:val="single"/>
        </w:rPr>
        <w:t xml:space="preserve"> </w:t>
      </w:r>
    </w:p>
    <w:p>
      <w:pPr>
        <w:pStyle w:val="17"/>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本人</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（姓名）系</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（投标人名称）的法定代表人，现授权我单位在职正式员工</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（姓名和职务）为我方代理人。代理人根据授权，以我方名义签署、澄清、说明、补正、递交、撤回、修改贵方组织的</w:t>
      </w:r>
      <w:r>
        <w:rPr>
          <w:rFonts w:hint="eastAsia" w:eastAsia="宋体" w:cs="Times New Roman"/>
          <w:color w:val="auto"/>
          <w:highlight w:val="none"/>
          <w:u w:val="single"/>
        </w:rPr>
        <w:t xml:space="preserve"> </w:t>
      </w:r>
      <w:r>
        <w:rPr>
          <w:rFonts w:hint="eastAsia" w:cs="Times New Roman"/>
          <w:i/>
          <w:iCs/>
          <w:color w:val="auto"/>
          <w:highlight w:val="none"/>
          <w:u w:val="single"/>
          <w:lang w:eastAsia="zh-CN"/>
        </w:rPr>
        <w:t>（项目名称）</w:t>
      </w:r>
      <w:r>
        <w:rPr>
          <w:rFonts w:hint="eastAsia"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hAnsi="宋体" w:cs="Times New Roman"/>
          <w:color w:val="auto"/>
          <w:highlight w:val="none"/>
          <w:u w:val="single"/>
          <w:lang w:val="en-US" w:eastAsia="zh-CN"/>
        </w:rPr>
        <w:t xml:space="preserve">            </w:t>
      </w:r>
      <w:r>
        <w:rPr>
          <w:rFonts w:hint="eastAsia" w:eastAsia="宋体" w:cs="Times New Roman"/>
          <w:color w:val="auto"/>
          <w:highlight w:val="none"/>
        </w:rPr>
        <w:t>）</w:t>
      </w:r>
      <w:r>
        <w:rPr>
          <w:rFonts w:hint="eastAsia" w:ascii="Times New Roman" w:hAnsi="Times New Roman" w:eastAsia="宋体" w:cs="Times New Roman"/>
          <w:color w:val="auto"/>
          <w:highlight w:val="none"/>
        </w:rPr>
        <w:t>的投标文件、签订合同和处理一切有关事宜，其法律后果由我方承担。</w:t>
      </w:r>
    </w:p>
    <w:p>
      <w:pPr>
        <w:pStyle w:val="17"/>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本授权书于</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年</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月</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日签字生效，委托期限：</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w:t>
      </w:r>
    </w:p>
    <w:p>
      <w:pPr>
        <w:pStyle w:val="17"/>
        <w:spacing w:line="360" w:lineRule="exact"/>
        <w:ind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代理人无转委托权。</w:t>
      </w:r>
    </w:p>
    <w:p>
      <w:pPr>
        <w:pStyle w:val="17"/>
        <w:spacing w:line="360" w:lineRule="exact"/>
        <w:ind w:firstLine="420"/>
        <w:rPr>
          <w:rFonts w:ascii="Times New Roman" w:hAnsi="Times New Roman" w:eastAsia="宋体" w:cs="Times New Roman"/>
          <w:color w:val="auto"/>
          <w:highlight w:val="none"/>
        </w:rPr>
      </w:pPr>
    </w:p>
    <w:p>
      <w:pPr>
        <w:pStyle w:val="17"/>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投标人</w:t>
      </w:r>
      <w:r>
        <w:rPr>
          <w:rFonts w:hint="eastAsia" w:ascii="Times New Roman" w:hAnsi="Times New Roman" w:cs="Times New Roman"/>
          <w:color w:val="auto"/>
          <w:highlight w:val="none"/>
          <w:lang w:eastAsia="zh-CN"/>
        </w:rPr>
        <w:t>名称</w:t>
      </w:r>
      <w:r>
        <w:rPr>
          <w:rFonts w:hint="eastAsia" w:ascii="Times New Roman" w:hAnsi="Times New Roman" w:eastAsia="宋体" w:cs="Times New Roman"/>
          <w:color w:val="auto"/>
          <w:highlight w:val="none"/>
        </w:rPr>
        <w:t>（或联合体投标</w:t>
      </w:r>
      <w:r>
        <w:rPr>
          <w:rFonts w:hint="eastAsia" w:eastAsia="宋体" w:cs="宋体"/>
          <w:color w:val="auto"/>
          <w:kern w:val="0"/>
          <w:szCs w:val="21"/>
          <w:highlight w:val="none"/>
        </w:rPr>
        <w:t>牵头人名称</w:t>
      </w:r>
      <w:r>
        <w:rPr>
          <w:rFonts w:hint="eastAsia" w:ascii="Times New Roman" w:hAnsi="Times New Roman" w:eastAsia="宋体" w:cs="Times New Roman"/>
          <w:color w:val="auto"/>
          <w:highlight w:val="none"/>
        </w:rPr>
        <w:t>）（盖公章）：</w:t>
      </w:r>
      <w:r>
        <w:rPr>
          <w:rFonts w:ascii="Times New Roman" w:hAnsi="Times New Roman" w:eastAsia="宋体" w:cs="Times New Roman"/>
          <w:color w:val="auto"/>
          <w:highlight w:val="none"/>
          <w:u w:val="single"/>
        </w:rPr>
        <w:t xml:space="preserve">                                    </w:t>
      </w:r>
    </w:p>
    <w:p>
      <w:pPr>
        <w:pStyle w:val="17"/>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pPr>
        <w:pStyle w:val="17"/>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法定代表人身份证号码：</w:t>
      </w:r>
      <w:r>
        <w:rPr>
          <w:rFonts w:ascii="Times New Roman" w:hAnsi="Times New Roman" w:eastAsia="宋体" w:cs="Times New Roman"/>
          <w:color w:val="auto"/>
          <w:highlight w:val="none"/>
          <w:u w:val="single"/>
        </w:rPr>
        <w:t xml:space="preserve">                                   </w:t>
      </w:r>
    </w:p>
    <w:p>
      <w:pPr>
        <w:pStyle w:val="17"/>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委托代理人（签字）：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pPr>
        <w:pStyle w:val="17"/>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委托代理人身份证号码：</w:t>
      </w:r>
      <w:r>
        <w:rPr>
          <w:rFonts w:ascii="Times New Roman" w:hAnsi="Times New Roman" w:eastAsia="宋体" w:cs="Times New Roman"/>
          <w:color w:val="auto"/>
          <w:highlight w:val="none"/>
          <w:u w:val="single"/>
        </w:rPr>
        <w:t xml:space="preserve">                                   </w:t>
      </w:r>
    </w:p>
    <w:p>
      <w:pPr>
        <w:pStyle w:val="17"/>
        <w:spacing w:line="360" w:lineRule="exact"/>
        <w:ind w:firstLine="420"/>
        <w:rPr>
          <w:rFonts w:ascii="Times New Roman" w:hAnsi="Times New Roman" w:eastAsia="宋体" w:cs="Times New Roman"/>
          <w:color w:val="auto"/>
          <w:highlight w:val="none"/>
          <w:u w:val="single"/>
        </w:rPr>
      </w:pPr>
    </w:p>
    <w:p>
      <w:pPr>
        <w:pStyle w:val="17"/>
        <w:spacing w:line="360" w:lineRule="exact"/>
        <w:ind w:firstLine="420"/>
        <w:rPr>
          <w:rFonts w:hint="eastAsia" w:ascii="宋体" w:hAnsi="宋体" w:cs="宋体"/>
          <w:color w:val="auto"/>
          <w:highlight w:val="none"/>
          <w:u w:val="single"/>
        </w:rPr>
      </w:pPr>
      <w:r>
        <w:rPr>
          <w:rFonts w:hint="eastAsia" w:hAnsi="宋体" w:cs="宋体"/>
          <w:color w:val="auto"/>
          <w:kern w:val="0"/>
          <w:szCs w:val="21"/>
          <w:highlight w:val="none"/>
        </w:rPr>
        <w:t>成员一名称</w:t>
      </w:r>
      <w:r>
        <w:rPr>
          <w:rFonts w:hint="eastAsia" w:ascii="宋体" w:hAnsi="宋体" w:cs="宋体"/>
          <w:color w:val="auto"/>
          <w:highlight w:val="none"/>
        </w:rPr>
        <w:t>（盖公章）：</w:t>
      </w:r>
      <w:r>
        <w:rPr>
          <w:rFonts w:hint="eastAsia" w:ascii="宋体" w:hAnsi="宋体" w:cs="宋体"/>
          <w:color w:val="auto"/>
          <w:highlight w:val="none"/>
          <w:u w:val="single"/>
        </w:rPr>
        <w:t xml:space="preserve">                                    </w:t>
      </w:r>
    </w:p>
    <w:p>
      <w:pPr>
        <w:pStyle w:val="17"/>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法定代表人（签字）：</w:t>
      </w:r>
      <w:r>
        <w:rPr>
          <w:rFonts w:hint="eastAsia" w:ascii="宋体"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12"/>
        <w:spacing w:line="360" w:lineRule="exact"/>
        <w:ind w:left="0" w:firstLine="420" w:firstLineChars="200"/>
        <w:rPr>
          <w:rFonts w:hint="eastAsia"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spacing w:line="360" w:lineRule="exact"/>
        <w:ind w:firstLine="420" w:firstLineChars="200"/>
        <w:rPr>
          <w:rFonts w:hint="eastAsia"/>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17"/>
        <w:spacing w:line="360" w:lineRule="exact"/>
        <w:ind w:firstLine="420"/>
        <w:rPr>
          <w:rFonts w:hint="eastAsia" w:ascii="宋体" w:hAnsi="宋体" w:cs="宋体"/>
          <w:color w:val="auto"/>
          <w:highlight w:val="none"/>
          <w:u w:val="single"/>
        </w:rPr>
      </w:pPr>
    </w:p>
    <w:p>
      <w:pPr>
        <w:autoSpaceDE w:val="0"/>
        <w:autoSpaceDN w:val="0"/>
        <w:adjustRightInd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成员二名称（盖公章）：</w:t>
      </w:r>
      <w:r>
        <w:rPr>
          <w:rFonts w:hint="eastAsia" w:ascii="宋体" w:hAnsi="宋体" w:cs="宋体"/>
          <w:color w:val="auto"/>
          <w:kern w:val="0"/>
          <w:szCs w:val="21"/>
          <w:highlight w:val="none"/>
          <w:u w:val="single"/>
        </w:rPr>
        <w:t xml:space="preserve">                                    </w:t>
      </w:r>
    </w:p>
    <w:p>
      <w:pPr>
        <w:autoSpaceDE w:val="0"/>
        <w:autoSpaceDN w:val="0"/>
        <w:adjustRightInd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pPr>
        <w:pStyle w:val="12"/>
        <w:spacing w:line="360" w:lineRule="exact"/>
        <w:ind w:left="0" w:firstLine="420" w:firstLineChars="200"/>
        <w:rPr>
          <w:rFonts w:hint="eastAsia"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spacing w:line="360" w:lineRule="exact"/>
        <w:ind w:firstLine="420" w:firstLineChars="200"/>
        <w:rPr>
          <w:rFonts w:hint="eastAsia"/>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17"/>
        <w:spacing w:line="360" w:lineRule="exact"/>
        <w:ind w:firstLine="420" w:firstLineChars="200"/>
        <w:rPr>
          <w:rFonts w:hint="eastAsia" w:eastAsia="宋体" w:cs="Times New Roman"/>
          <w:color w:val="auto"/>
          <w:highlight w:val="none"/>
        </w:rPr>
      </w:pPr>
      <w:r>
        <w:rPr>
          <w:rFonts w:hint="eastAsia" w:eastAsia="宋体" w:cs="Times New Roman"/>
          <w:color w:val="auto"/>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1.法定代表人和委托代理人必须在授权委托书上</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否则作无效投标处理</w:t>
      </w:r>
      <w:r>
        <w:rPr>
          <w:rFonts w:hint="eastAsia" w:ascii="宋体" w:hAnsi="宋体" w:eastAsia="宋体" w:cs="宋体"/>
          <w:b/>
          <w:bCs/>
          <w:color w:val="auto"/>
          <w:szCs w:val="21"/>
          <w:highlight w:val="none"/>
          <w:lang w:eastAsia="zh-CN"/>
        </w:rPr>
        <w:t>；</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2.以联合体形式投标的，本授权委托书应由联合体牵头人的法定代表人按上述规定签署。</w:t>
      </w:r>
    </w:p>
    <w:p>
      <w:pP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若为联合体投标须各方签字或盖章。</w:t>
      </w:r>
    </w:p>
    <w:p>
      <w:pPr>
        <w:spacing w:line="360" w:lineRule="auto"/>
        <w:rPr>
          <w:rFonts w:hint="eastAsia" w:ascii="宋体" w:hAnsi="Times New Roman" w:eastAsia="宋体" w:cs="Times New Roman"/>
          <w:b/>
          <w:color w:val="auto"/>
          <w:sz w:val="24"/>
          <w:highlight w:val="none"/>
        </w:rPr>
      </w:pPr>
    </w:p>
    <w:p>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4"/>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Times New Roman" w:eastAsia="宋体" w:cs="Times New Roman"/>
                <w:b/>
                <w:color w:val="auto"/>
                <w:sz w:val="24"/>
                <w:highlight w:val="none"/>
              </w:rPr>
            </w:pPr>
          </w:p>
          <w:p>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身份证复印件粘</w:t>
            </w:r>
            <w:r>
              <w:rPr>
                <w:rFonts w:hint="eastAsia" w:ascii="宋体" w:cs="Times New Roman"/>
                <w:b/>
                <w:color w:val="auto"/>
                <w:sz w:val="24"/>
                <w:highlight w:val="none"/>
                <w:lang w:val="en-US" w:eastAsia="zh-CN"/>
              </w:rPr>
              <w:t>贴</w:t>
            </w:r>
            <w:r>
              <w:rPr>
                <w:rFonts w:hint="eastAsia" w:ascii="宋体" w:hAnsi="Times New Roman" w:eastAsia="宋体" w:cs="Times New Roman"/>
                <w:b/>
                <w:color w:val="auto"/>
                <w:sz w:val="24"/>
                <w:highlight w:val="none"/>
              </w:rPr>
              <w:t>处（正、反面）</w:t>
            </w:r>
          </w:p>
        </w:tc>
      </w:tr>
    </w:tbl>
    <w:p>
      <w:pPr>
        <w:snapToGrid w:val="0"/>
        <w:spacing w:before="50" w:after="120" w:afterLines="50" w:line="360" w:lineRule="auto"/>
        <w:jc w:val="left"/>
        <w:rPr>
          <w:rFonts w:hint="eastAsia" w:ascii="仿宋_GB2312" w:hAnsi="仿宋_GB2312" w:eastAsia="仿宋_GB2312" w:cs="仿宋_GB2312"/>
          <w:color w:val="auto"/>
          <w:szCs w:val="21"/>
          <w:highlight w:val="none"/>
        </w:rPr>
      </w:pPr>
    </w:p>
    <w:p>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pPr>
        <w:jc w:val="center"/>
        <w:rPr>
          <w:rFonts w:hint="eastAsia" w:ascii="Times New Roman" w:hAnsi="Times New Roman" w:eastAsia="宋体" w:cs="Times New Roman"/>
          <w:b/>
          <w:bCs/>
          <w:color w:val="auto"/>
          <w:sz w:val="30"/>
          <w:szCs w:val="30"/>
          <w:highlight w:val="none"/>
        </w:rPr>
      </w:pPr>
    </w:p>
    <w:p>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pPr>
        <w:spacing w:line="360" w:lineRule="auto"/>
        <w:ind w:firstLine="0" w:firstLineChars="0"/>
        <w:contextualSpacing/>
        <w:rPr>
          <w:rFonts w:hint="eastAsia" w:ascii="宋体" w:hAnsi="宋体" w:cs="宋体"/>
          <w:color w:val="auto"/>
          <w:sz w:val="24"/>
          <w:highlight w:val="none"/>
        </w:rPr>
      </w:pPr>
    </w:p>
    <w:p>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pStyle w:val="17"/>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4"/>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highlight w:val="none"/>
              </w:rPr>
            </w:pPr>
          </w:p>
        </w:tc>
      </w:tr>
    </w:tbl>
    <w:p>
      <w:pPr>
        <w:pStyle w:val="17"/>
        <w:spacing w:line="360" w:lineRule="auto"/>
        <w:ind w:left="-708" w:leftChars="-337"/>
        <w:rPr>
          <w:rFonts w:hint="eastAsia" w:ascii="Times New Roman" w:hAnsi="Times New Roman" w:eastAsia="宋体" w:cs="Times New Roman"/>
          <w:color w:val="auto"/>
          <w:highlight w:val="none"/>
        </w:rPr>
      </w:pPr>
    </w:p>
    <w:p>
      <w:pPr>
        <w:pStyle w:val="17"/>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pPr>
        <w:pStyle w:val="17"/>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pPr>
        <w:pStyle w:val="17"/>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w:t>
      </w:r>
      <w:r>
        <w:rPr>
          <w:rFonts w:hint="eastAsia" w:hAnsi="宋体" w:cs="宋体"/>
          <w:b/>
          <w:bCs/>
          <w:color w:val="auto"/>
          <w:highlight w:val="none"/>
          <w:lang w:val="en-US" w:eastAsia="zh-CN"/>
        </w:rPr>
        <w:t xml:space="preserve"> 第二部分</w:t>
      </w:r>
      <w:r>
        <w:rPr>
          <w:rFonts w:hint="eastAsia" w:hAnsi="宋体" w:cs="宋体"/>
          <w:b/>
          <w:bCs/>
          <w:color w:val="auto"/>
          <w:highlight w:val="none"/>
          <w:lang w:eastAsia="zh-CN"/>
        </w:rPr>
        <w:t>《</w:t>
      </w:r>
      <w:r>
        <w:rPr>
          <w:rFonts w:hint="eastAsia" w:ascii="宋体" w:hAnsi="宋体" w:eastAsia="宋体" w:cs="宋体"/>
          <w:b/>
          <w:bCs/>
          <w:color w:val="auto"/>
          <w:highlight w:val="none"/>
        </w:rPr>
        <w:t>商务条款</w:t>
      </w:r>
      <w:r>
        <w:rPr>
          <w:rFonts w:hint="eastAsia" w:hAnsi="宋体" w:cs="宋体"/>
          <w:b/>
          <w:bCs/>
          <w:color w:val="auto"/>
          <w:highlight w:val="none"/>
          <w:lang w:eastAsia="zh-CN"/>
        </w:rPr>
        <w:t>》</w:t>
      </w:r>
      <w:r>
        <w:rPr>
          <w:rFonts w:hint="eastAsia" w:ascii="宋体" w:hAnsi="宋体" w:eastAsia="宋体" w:cs="宋体"/>
          <w:color w:val="auto"/>
          <w:highlight w:val="none"/>
        </w:rPr>
        <w:t>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pPr>
        <w:pStyle w:val="17"/>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pPr>
        <w:pStyle w:val="17"/>
        <w:spacing w:line="360" w:lineRule="auto"/>
        <w:ind w:left="-708" w:leftChars="-337" w:firstLine="1050" w:firstLineChars="500"/>
        <w:rPr>
          <w:rFonts w:hint="eastAsia" w:ascii="宋体" w:hAnsi="宋体" w:eastAsia="宋体" w:cs="宋体"/>
          <w:color w:val="auto"/>
          <w:szCs w:val="21"/>
          <w:highlight w:val="none"/>
        </w:rPr>
      </w:pPr>
    </w:p>
    <w:p>
      <w:pPr>
        <w:snapToGrid w:val="0"/>
        <w:spacing w:before="50" w:after="50"/>
        <w:rPr>
          <w:rFonts w:ascii="宋体" w:hAnsi="宋体" w:eastAsia="宋体" w:cs="Times New Roman"/>
          <w:color w:val="auto"/>
          <w:sz w:val="24"/>
          <w:highlight w:val="none"/>
        </w:rPr>
      </w:pPr>
    </w:p>
    <w:p>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rPr>
          <w:rFonts w:hint="eastAsia"/>
          <w:color w:val="auto"/>
          <w:highlight w:val="none"/>
        </w:rPr>
      </w:pPr>
    </w:p>
    <w:p>
      <w:pPr>
        <w:widowControl/>
        <w:jc w:val="left"/>
        <w:rPr>
          <w:b/>
          <w:bCs/>
          <w:color w:val="auto"/>
          <w:sz w:val="30"/>
          <w:szCs w:val="30"/>
          <w:highlight w:val="none"/>
        </w:rPr>
        <w:sectPr>
          <w:pgSz w:w="11905" w:h="16838"/>
          <w:pgMar w:top="1134" w:right="1134" w:bottom="1134" w:left="1134" w:header="850" w:footer="850" w:gutter="0"/>
          <w:pgNumType w:fmt="decimal"/>
          <w:cols w:space="0" w:num="1"/>
          <w:titlePg/>
          <w:rtlGutter w:val="0"/>
          <w:docGrid w:linePitch="331" w:charSpace="0"/>
        </w:sectPr>
      </w:pPr>
    </w:p>
    <w:p>
      <w:pPr>
        <w:pStyle w:val="17"/>
        <w:jc w:val="center"/>
        <w:outlineLvl w:val="1"/>
        <w:rPr>
          <w:rFonts w:hint="eastAsia" w:hAnsi="宋体" w:eastAsia="宋体" w:cs="Times New Roman"/>
          <w:b/>
          <w:bCs/>
          <w:color w:val="auto"/>
          <w:sz w:val="28"/>
          <w:szCs w:val="28"/>
          <w:highlight w:val="none"/>
        </w:rPr>
      </w:pPr>
      <w:bookmarkStart w:id="416" w:name="_Toc23685"/>
      <w:bookmarkStart w:id="417" w:name="_Toc10435"/>
      <w:bookmarkStart w:id="418" w:name="_Toc17437"/>
      <w:bookmarkStart w:id="419" w:name="_Toc24098"/>
      <w:bookmarkStart w:id="420" w:name="_Toc8889"/>
      <w:bookmarkStart w:id="421" w:name="_Toc27757"/>
      <w:bookmarkStart w:id="422" w:name="_Toc585"/>
      <w:bookmarkStart w:id="423" w:name="_Toc1161"/>
      <w:bookmarkStart w:id="424" w:name="_Toc24407"/>
      <w:bookmarkStart w:id="425" w:name="_Toc19686839"/>
      <w:bookmarkStart w:id="426" w:name="_Toc10197"/>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416"/>
      <w:bookmarkEnd w:id="417"/>
      <w:bookmarkEnd w:id="418"/>
      <w:bookmarkEnd w:id="419"/>
      <w:bookmarkEnd w:id="420"/>
      <w:bookmarkEnd w:id="421"/>
      <w:bookmarkEnd w:id="422"/>
      <w:bookmarkEnd w:id="423"/>
      <w:bookmarkEnd w:id="424"/>
      <w:bookmarkEnd w:id="425"/>
      <w:bookmarkEnd w:id="426"/>
    </w:p>
    <w:p>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宋体" w:hAnsi="宋体" w:eastAsia="宋体" w:cs="Times New Roman"/>
          <w:b/>
          <w:bCs/>
          <w:color w:val="auto"/>
          <w:sz w:val="32"/>
          <w:szCs w:val="32"/>
          <w:highlight w:val="none"/>
        </w:rPr>
      </w:pPr>
    </w:p>
    <w:p>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pPr>
        <w:snapToGrid w:val="0"/>
        <w:spacing w:before="165" w:beforeLines="50" w:after="50"/>
        <w:ind w:firstLine="645"/>
        <w:jc w:val="center"/>
        <w:rPr>
          <w:rFonts w:hint="eastAsia" w:ascii="宋体" w:hAnsi="宋体" w:eastAsia="宋体" w:cs="Times New Roman"/>
          <w:color w:val="auto"/>
          <w:sz w:val="24"/>
          <w:szCs w:val="20"/>
          <w:highlight w:val="none"/>
        </w:rPr>
      </w:pPr>
    </w:p>
    <w:p>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pPr>
        <w:numPr>
          <w:ilvl w:val="0"/>
          <w:numId w:val="6"/>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eastAsia="zh-CN"/>
        </w:rPr>
        <w:t>技术要求偏离表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pPr>
        <w:pStyle w:val="17"/>
        <w:spacing w:line="500" w:lineRule="exact"/>
        <w:jc w:val="center"/>
        <w:rPr>
          <w:rFonts w:hint="eastAsia" w:ascii="Times New Roman" w:hAnsi="Times New Roman" w:eastAsia="宋体" w:cs="Times New Roman"/>
          <w:b/>
          <w:bCs/>
          <w:color w:val="auto"/>
          <w:sz w:val="30"/>
          <w:szCs w:val="30"/>
          <w:highlight w:val="none"/>
          <w:lang w:eastAsia="zh-CN"/>
        </w:rPr>
      </w:pPr>
      <w:r>
        <w:rPr>
          <w:rFonts w:hint="eastAsia" w:ascii="Times New Roman" w:hAnsi="Times New Roman" w:cs="Times New Roman"/>
          <w:b/>
          <w:bCs/>
          <w:color w:val="auto"/>
          <w:sz w:val="30"/>
          <w:szCs w:val="30"/>
          <w:highlight w:val="none"/>
          <w:lang w:eastAsia="zh-CN"/>
        </w:rPr>
        <w:t>技术要求偏离表</w:t>
      </w:r>
    </w:p>
    <w:p>
      <w:pPr>
        <w:pStyle w:val="17"/>
        <w:spacing w:line="440" w:lineRule="exact"/>
        <w:ind w:firstLine="420" w:firstLineChars="200"/>
        <w:rPr>
          <w:rFonts w:eastAsia="宋体" w:cs="Times New Roman"/>
          <w:color w:val="auto"/>
          <w:highlight w:val="none"/>
        </w:rPr>
      </w:pPr>
    </w:p>
    <w:p>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pStyle w:val="17"/>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pPr>
        <w:pStyle w:val="12"/>
        <w:rPr>
          <w:rFonts w:hint="eastAsia"/>
          <w:color w:val="auto"/>
          <w:highlight w:val="none"/>
        </w:rPr>
      </w:pPr>
    </w:p>
    <w:p>
      <w:pPr>
        <w:pStyle w:val="12"/>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pPr>
        <w:rPr>
          <w:rFonts w:hint="eastAsia"/>
          <w:color w:val="auto"/>
          <w:highlight w:val="none"/>
        </w:rPr>
      </w:pPr>
    </w:p>
    <w:tbl>
      <w:tblPr>
        <w:tblStyle w:val="2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中的技术（服务）要求</w:t>
            </w:r>
          </w:p>
        </w:tc>
        <w:tc>
          <w:tcPr>
            <w:tcW w:w="3477"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响应的技术（服务）</w:t>
            </w:r>
            <w:r>
              <w:rPr>
                <w:rFonts w:hint="eastAsia" w:ascii="宋体" w:hAnsi="宋体" w:cs="Times New Roman"/>
                <w:color w:val="auto"/>
                <w:szCs w:val="21"/>
                <w:highlight w:val="none"/>
                <w:lang w:eastAsia="zh-CN"/>
              </w:rPr>
              <w:t>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r>
    </w:tbl>
    <w:p>
      <w:pPr>
        <w:pStyle w:val="17"/>
        <w:spacing w:line="360" w:lineRule="auto"/>
        <w:ind w:firstLine="0" w:firstLineChars="0"/>
        <w:rPr>
          <w:rFonts w:hint="eastAsia" w:hAnsi="宋体" w:cs="宋体"/>
          <w:color w:val="auto"/>
          <w:szCs w:val="21"/>
          <w:highlight w:val="none"/>
        </w:rPr>
      </w:pPr>
    </w:p>
    <w:p>
      <w:pPr>
        <w:pStyle w:val="17"/>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pPr>
        <w:pStyle w:val="17"/>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pPr>
        <w:pStyle w:val="17"/>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中</w:t>
      </w:r>
      <w:r>
        <w:rPr>
          <w:rFonts w:hint="eastAsia" w:hAnsi="宋体" w:cs="宋体"/>
          <w:b/>
          <w:bCs/>
          <w:color w:val="auto"/>
          <w:sz w:val="21"/>
          <w:szCs w:val="21"/>
          <w:highlight w:val="none"/>
          <w:lang w:val="en-US" w:eastAsia="zh-CN"/>
        </w:rPr>
        <w:t>第一部分《采购需求清单》</w:t>
      </w:r>
      <w:r>
        <w:rPr>
          <w:rFonts w:hint="eastAsia" w:hAnsi="宋体" w:cs="宋体"/>
          <w:color w:val="auto"/>
          <w:sz w:val="21"/>
          <w:szCs w:val="21"/>
          <w:highlight w:val="none"/>
          <w:lang w:val="en-US" w:eastAsia="zh-CN"/>
        </w:rPr>
        <w:t>中的</w:t>
      </w:r>
      <w:r>
        <w:rPr>
          <w:rFonts w:hint="eastAsia" w:ascii="宋体" w:hAnsi="宋体" w:eastAsia="宋体" w:cs="宋体"/>
          <w:color w:val="auto"/>
          <w:sz w:val="21"/>
          <w:szCs w:val="21"/>
          <w:highlight w:val="none"/>
          <w:lang w:eastAsia="zh-CN"/>
        </w:rPr>
        <w:t>“</w:t>
      </w:r>
      <w:r>
        <w:rPr>
          <w:rFonts w:hint="eastAsia" w:ascii="宋体" w:hAnsi="宋体" w:cs="Times New Roman"/>
          <w:color w:val="auto"/>
          <w:szCs w:val="21"/>
          <w:highlight w:val="none"/>
          <w:lang w:val="en-US" w:eastAsia="zh-CN"/>
        </w:rPr>
        <w:t>技术（服务）</w:t>
      </w:r>
      <w:r>
        <w:rPr>
          <w:rFonts w:hint="eastAsia" w:hAnsi="宋体" w:cs="Times New Roman"/>
          <w:color w:val="auto"/>
          <w:szCs w:val="21"/>
          <w:highlight w:val="none"/>
          <w:lang w:val="en-US" w:eastAsia="zh-CN"/>
        </w:rPr>
        <w:t>参数</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作出明确响应，并</w:t>
      </w:r>
      <w:r>
        <w:rPr>
          <w:rFonts w:hint="eastAsia" w:ascii="宋体" w:hAnsi="宋体" w:eastAsia="宋体" w:cs="宋体"/>
          <w:b w:val="0"/>
          <w:color w:val="auto"/>
          <w:sz w:val="21"/>
          <w:szCs w:val="21"/>
          <w:highlight w:val="none"/>
        </w:rPr>
        <w:t>逐条</w:t>
      </w:r>
      <w:r>
        <w:rPr>
          <w:rFonts w:hint="eastAsia" w:hAnsi="宋体" w:cs="宋体"/>
          <w:color w:val="auto"/>
          <w:sz w:val="21"/>
          <w:szCs w:val="21"/>
          <w:highlight w:val="none"/>
          <w:lang w:val="en-US" w:eastAsia="zh-CN"/>
        </w:rPr>
        <w:t>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pPr>
        <w:pStyle w:val="17"/>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pPr>
        <w:pStyle w:val="12"/>
        <w:rPr>
          <w:rFonts w:hint="eastAsia" w:hAnsi="宋体" w:eastAsia="宋体" w:cs="宋体"/>
          <w:color w:val="auto"/>
          <w:szCs w:val="21"/>
          <w:highlight w:val="none"/>
        </w:rPr>
      </w:pPr>
    </w:p>
    <w:p>
      <w:pPr>
        <w:rPr>
          <w:rFonts w:hint="eastAsia" w:hAnsi="宋体" w:eastAsia="宋体" w:cs="宋体"/>
          <w:color w:val="auto"/>
          <w:szCs w:val="21"/>
          <w:highlight w:val="none"/>
        </w:rPr>
      </w:pPr>
    </w:p>
    <w:p>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65" w:beforeLines="50" w:after="50"/>
        <w:ind w:left="142"/>
        <w:jc w:val="left"/>
        <w:rPr>
          <w:rFonts w:hint="eastAsia" w:ascii="宋体" w:hAnsi="宋体" w:eastAsia="宋体" w:cs="Times New Roman"/>
          <w:b/>
          <w:color w:val="auto"/>
          <w:sz w:val="32"/>
          <w:szCs w:val="32"/>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 售后服务机构情况表</w:t>
      </w:r>
      <w:r>
        <w:rPr>
          <w:rFonts w:hint="eastAsia" w:ascii="宋体" w:hAnsi="宋体" w:cs="宋体"/>
          <w:b/>
          <w:color w:val="auto"/>
          <w:sz w:val="28"/>
          <w:szCs w:val="28"/>
          <w:highlight w:val="none"/>
          <w:lang w:eastAsia="zh-CN"/>
        </w:rPr>
        <w:t>、售后服务人员情况表的</w:t>
      </w:r>
      <w:r>
        <w:rPr>
          <w:rFonts w:hint="eastAsia" w:ascii="宋体" w:hAnsi="宋体" w:eastAsia="宋体" w:cs="宋体"/>
          <w:b/>
          <w:color w:val="auto"/>
          <w:sz w:val="28"/>
          <w:szCs w:val="28"/>
          <w:highlight w:val="none"/>
        </w:rPr>
        <w:t>格式</w:t>
      </w:r>
      <w:r>
        <w:rPr>
          <w:rFonts w:hint="eastAsia" w:ascii="宋体" w:hAnsi="宋体" w:cs="宋体"/>
          <w:b/>
          <w:bCs/>
          <w:color w:val="auto"/>
          <w:sz w:val="30"/>
          <w:szCs w:val="30"/>
          <w:highlight w:val="none"/>
          <w:lang w:eastAsia="zh-CN"/>
        </w:rPr>
        <w:t>：</w:t>
      </w:r>
    </w:p>
    <w:p>
      <w:pPr>
        <w:snapToGrid w:val="0"/>
        <w:spacing w:before="165" w:beforeLines="50" w:after="50"/>
        <w:ind w:left="142"/>
        <w:jc w:val="center"/>
        <w:rPr>
          <w:rFonts w:hint="eastAsia" w:ascii="宋体" w:hAnsi="宋体" w:eastAsia="宋体" w:cs="Times New Roman"/>
          <w:b/>
          <w:color w:val="auto"/>
          <w:sz w:val="32"/>
          <w:szCs w:val="32"/>
          <w:highlight w:val="none"/>
        </w:rPr>
      </w:pPr>
    </w:p>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附表A:售后服务机构情况表</w:t>
      </w:r>
      <w:r>
        <w:rPr>
          <w:rFonts w:hint="eastAsia" w:ascii="仿宋_GB2312" w:hAnsi="仿宋" w:eastAsia="仿宋_GB2312" w:cs="仿宋_GB2312"/>
          <w:color w:val="auto"/>
          <w:sz w:val="24"/>
          <w:highlight w:val="none"/>
        </w:rPr>
        <w:t>（如有要求</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4"/>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96"/>
        <w:gridCol w:w="1339"/>
        <w:gridCol w:w="1261"/>
        <w:gridCol w:w="146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机构名称</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机构性质</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注册地址</w:t>
            </w:r>
          </w:p>
        </w:tc>
        <w:tc>
          <w:tcPr>
            <w:tcW w:w="14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服务技术人员数量</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r>
    </w:tbl>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注：关于项目涉及的所有售后服务机构均在本表注明，包括投标人本单位和符合条件的第三方服务机构；</w:t>
      </w:r>
    </w:p>
    <w:p>
      <w:pPr>
        <w:autoSpaceDE w:val="0"/>
        <w:autoSpaceDN w:val="0"/>
        <w:spacing w:line="360" w:lineRule="auto"/>
        <w:rPr>
          <w:rFonts w:hint="eastAsia" w:ascii="仿宋_GB2312" w:hAnsi="仿宋" w:eastAsia="仿宋_GB2312" w:cs="仿宋_GB2312"/>
          <w:color w:val="auto"/>
          <w:kern w:val="0"/>
          <w:sz w:val="24"/>
          <w:highlight w:val="none"/>
        </w:rPr>
      </w:pPr>
    </w:p>
    <w:p>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rPr>
        <w:t>附表B：售后服务人员情况表</w:t>
      </w:r>
      <w:r>
        <w:rPr>
          <w:rFonts w:hint="eastAsia" w:ascii="仿宋_GB2312" w:hAnsi="仿宋" w:eastAsia="仿宋_GB2312" w:cs="仿宋_GB2312"/>
          <w:color w:val="auto"/>
          <w:sz w:val="24"/>
          <w:highlight w:val="none"/>
        </w:rPr>
        <w:t>（如有要求</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4"/>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bl>
    <w:p>
      <w:pPr>
        <w:snapToGrid w:val="0"/>
        <w:spacing w:before="165" w:beforeLines="50" w:after="50"/>
        <w:ind w:left="142"/>
        <w:jc w:val="center"/>
        <w:rPr>
          <w:rFonts w:hint="eastAsia" w:ascii="宋体" w:hAnsi="宋体" w:eastAsia="宋体" w:cs="Times New Roman"/>
          <w:b/>
          <w:color w:val="auto"/>
          <w:sz w:val="32"/>
          <w:szCs w:val="32"/>
          <w:highlight w:val="none"/>
        </w:rPr>
      </w:pPr>
    </w:p>
    <w:p>
      <w:pPr>
        <w:snapToGrid w:val="0"/>
        <w:spacing w:before="165" w:beforeLines="50" w:line="360" w:lineRule="auto"/>
        <w:ind w:right="480" w:firstLine="3967" w:firstLineChars="1653"/>
        <w:rPr>
          <w:rFonts w:hint="eastAsia" w:ascii="宋体" w:hAnsi="宋体" w:eastAsia="宋体" w:cs="Times New Roman"/>
          <w:color w:val="auto"/>
          <w:sz w:val="24"/>
          <w:highlight w:val="none"/>
        </w:rPr>
      </w:pPr>
    </w:p>
    <w:p>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spacing w:line="360" w:lineRule="auto"/>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pPr>
        <w:pStyle w:val="21"/>
        <w:snapToGrid w:val="0"/>
        <w:ind w:left="480" w:hanging="480"/>
        <w:rPr>
          <w:rFonts w:hint="eastAsia" w:ascii="宋体" w:hAnsi="宋体" w:eastAsia="宋体" w:cs="宋体"/>
          <w:i/>
          <w:iCs/>
          <w:color w:val="auto"/>
          <w:sz w:val="24"/>
          <w:highlight w:val="none"/>
        </w:rPr>
      </w:pP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项目实施人员一览表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bCs/>
          <w:color w:val="auto"/>
          <w:sz w:val="30"/>
          <w:szCs w:val="30"/>
          <w:highlight w:val="none"/>
          <w:lang w:eastAsia="zh-CN"/>
        </w:rPr>
        <w:t>：</w:t>
      </w:r>
    </w:p>
    <w:p>
      <w:pPr>
        <w:snapToGrid w:val="0"/>
        <w:spacing w:before="165" w:beforeLines="50" w:after="50"/>
        <w:ind w:left="142"/>
        <w:jc w:val="left"/>
        <w:rPr>
          <w:rFonts w:hint="eastAsia" w:ascii="宋体" w:hAnsi="宋体" w:eastAsia="宋体" w:cs="Times New Roman"/>
          <w:b/>
          <w:color w:val="auto"/>
          <w:sz w:val="32"/>
          <w:szCs w:val="32"/>
          <w:highlight w:val="none"/>
        </w:rPr>
      </w:pPr>
    </w:p>
    <w:p>
      <w:pPr>
        <w:snapToGrid w:val="0"/>
        <w:spacing w:before="165" w:beforeLines="50" w:after="50"/>
        <w:ind w:left="142"/>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项目实施人员一览表</w:t>
      </w:r>
      <w:r>
        <w:rPr>
          <w:rFonts w:hint="eastAsia" w:ascii="宋体" w:hAnsi="宋体" w:eastAsia="宋体" w:cs="Times New Roman"/>
          <w:b/>
          <w:i/>
          <w:iCs/>
          <w:color w:val="auto"/>
          <w:sz w:val="32"/>
          <w:szCs w:val="32"/>
          <w:highlight w:val="none"/>
        </w:rPr>
        <w:t>（如有要求）</w:t>
      </w:r>
    </w:p>
    <w:p>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pStyle w:val="17"/>
        <w:rPr>
          <w:rFonts w:hint="eastAsia" w:eastAsia="宋体" w:cs="Times New Roman"/>
          <w:color w:val="auto"/>
          <w:sz w:val="24"/>
          <w:szCs w:val="24"/>
          <w:highlight w:val="none"/>
        </w:rPr>
      </w:pPr>
    </w:p>
    <w:p>
      <w:pPr>
        <w:pStyle w:val="17"/>
        <w:rPr>
          <w:rFonts w:hint="eastAsia" w:eastAsia="宋体" w:cs="Times New Roman"/>
          <w:color w:val="auto"/>
          <w:sz w:val="24"/>
          <w:szCs w:val="24"/>
          <w:highlight w:val="none"/>
        </w:rPr>
      </w:pPr>
      <w:r>
        <w:rPr>
          <w:rFonts w:hint="eastAsia" w:eastAsia="宋体" w:cs="Times New Roman"/>
          <w:color w:val="auto"/>
          <w:sz w:val="24"/>
          <w:szCs w:val="24"/>
          <w:highlight w:val="none"/>
        </w:rPr>
        <w:t>所投分标（此处有分标时填写具体分标号，无分标时填写“无”）：</w:t>
      </w:r>
      <w:r>
        <w:rPr>
          <w:rFonts w:hint="eastAsia"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u w:val="single"/>
        </w:rPr>
        <w:t xml:space="preserve">  </w:t>
      </w:r>
    </w:p>
    <w:p>
      <w:pPr>
        <w:keepNext/>
        <w:autoSpaceDE w:val="0"/>
        <w:autoSpaceDN w:val="0"/>
        <w:spacing w:line="360" w:lineRule="auto"/>
        <w:ind w:firstLine="0"/>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附表A:本项目的项目经理情况表</w:t>
      </w:r>
    </w:p>
    <w:tbl>
      <w:tblPr>
        <w:tblStyle w:val="24"/>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投标截止时间前三年业绩及承担的主要工作情况，曾担任项目经理的项目应列明细</w:t>
            </w:r>
            <w:r>
              <w:rPr>
                <w:rFonts w:hint="eastAsia" w:ascii="仿宋_GB2312" w:hAnsi="仿宋" w:eastAsia="仿宋_GB2312" w:cs="仿宋_GB2312"/>
                <w:color w:val="auto"/>
                <w:sz w:val="24"/>
                <w:highlight w:val="none"/>
                <w:lang w:eastAsia="zh-CN"/>
              </w:rPr>
              <w:t>。</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bl>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注：投标人可</w:t>
      </w:r>
      <w:r>
        <w:rPr>
          <w:rFonts w:hint="eastAsia" w:ascii="仿宋_GB2312" w:hAnsi="仿宋" w:eastAsia="仿宋_GB2312" w:cs="仿宋_GB2312"/>
          <w:b/>
          <w:color w:val="auto"/>
          <w:sz w:val="24"/>
          <w:highlight w:val="none"/>
          <w:lang w:eastAsia="zh-CN"/>
        </w:rPr>
        <w:t>参照</w:t>
      </w:r>
      <w:r>
        <w:rPr>
          <w:rFonts w:hint="eastAsia" w:ascii="仿宋_GB2312" w:hAnsi="仿宋" w:eastAsia="仿宋_GB2312" w:cs="仿宋_GB2312"/>
          <w:b/>
          <w:color w:val="auto"/>
          <w:sz w:val="24"/>
          <w:highlight w:val="none"/>
        </w:rPr>
        <w:t>上述的格式自行编制，并注明所在投标技术文件页码。</w:t>
      </w:r>
    </w:p>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bl>
    <w:p>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注：投标人可</w:t>
      </w:r>
      <w:r>
        <w:rPr>
          <w:rFonts w:hint="eastAsia" w:ascii="仿宋_GB2312" w:hAnsi="仿宋" w:eastAsia="仿宋_GB2312" w:cs="仿宋_GB2312"/>
          <w:b/>
          <w:color w:val="auto"/>
          <w:sz w:val="24"/>
          <w:highlight w:val="none"/>
          <w:lang w:eastAsia="zh-CN"/>
        </w:rPr>
        <w:t>参照</w:t>
      </w:r>
      <w:r>
        <w:rPr>
          <w:rFonts w:hint="eastAsia" w:ascii="仿宋_GB2312" w:hAnsi="仿宋" w:eastAsia="仿宋_GB2312" w:cs="仿宋_GB2312"/>
          <w:b/>
          <w:color w:val="auto"/>
          <w:sz w:val="24"/>
          <w:highlight w:val="none"/>
        </w:rPr>
        <w:t>上述的格式自行编制，并注明所在投标技术文件页码。</w:t>
      </w:r>
    </w:p>
    <w:p>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pPr>
        <w:snapToGrid w:val="0"/>
        <w:spacing w:before="50" w:after="50"/>
        <w:rPr>
          <w:rFonts w:hint="eastAsia" w:ascii="宋体" w:hAnsi="宋体" w:eastAsia="宋体" w:cs="Times New Roman"/>
          <w:color w:val="auto"/>
          <w:sz w:val="24"/>
          <w:highlight w:val="none"/>
        </w:rPr>
      </w:pPr>
    </w:p>
    <w:p>
      <w:pPr>
        <w:pStyle w:val="17"/>
        <w:jc w:val="center"/>
        <w:outlineLvl w:val="1"/>
        <w:rPr>
          <w:rFonts w:hint="eastAsia" w:hAnsi="宋体" w:eastAsia="宋体" w:cs="Times New Roman"/>
          <w:b/>
          <w:bCs/>
          <w:color w:val="auto"/>
          <w:sz w:val="28"/>
          <w:szCs w:val="28"/>
          <w:highlight w:val="none"/>
        </w:rPr>
      </w:pPr>
      <w:bookmarkStart w:id="427" w:name="_Toc3481"/>
      <w:bookmarkStart w:id="428" w:name="_Toc12675"/>
      <w:bookmarkStart w:id="429" w:name="_Toc30951"/>
      <w:bookmarkStart w:id="430" w:name="_Toc9015"/>
      <w:bookmarkStart w:id="431" w:name="_Toc17719"/>
      <w:bookmarkStart w:id="432" w:name="_Toc31920"/>
      <w:bookmarkStart w:id="433" w:name="_Toc28617"/>
      <w:bookmarkStart w:id="434" w:name="_Toc22926"/>
      <w:bookmarkStart w:id="435" w:name="_Toc1343"/>
      <w:bookmarkStart w:id="436" w:name="_Toc12868"/>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427"/>
      <w:bookmarkEnd w:id="428"/>
      <w:bookmarkEnd w:id="429"/>
      <w:bookmarkEnd w:id="430"/>
      <w:bookmarkEnd w:id="431"/>
      <w:bookmarkEnd w:id="432"/>
      <w:bookmarkEnd w:id="433"/>
      <w:bookmarkEnd w:id="434"/>
      <w:bookmarkEnd w:id="435"/>
      <w:bookmarkEnd w:id="436"/>
    </w:p>
    <w:p>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pPr>
        <w:snapToGrid w:val="0"/>
        <w:spacing w:before="165" w:beforeLines="50" w:after="50" w:line="400" w:lineRule="exact"/>
        <w:rPr>
          <w:rFonts w:hint="eastAsia" w:ascii="宋体" w:hAnsi="宋体" w:eastAsia="宋体" w:cs="Times New Roman"/>
          <w:color w:val="auto"/>
          <w:sz w:val="24"/>
          <w:highlight w:val="none"/>
        </w:rPr>
      </w:pPr>
    </w:p>
    <w:p>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pPr>
        <w:snapToGrid w:val="0"/>
        <w:spacing w:before="165" w:beforeLines="50" w:after="50" w:line="400" w:lineRule="exact"/>
        <w:jc w:val="center"/>
        <w:rPr>
          <w:rFonts w:hint="eastAsia" w:ascii="宋体" w:hAnsi="宋体" w:eastAsia="宋体" w:cs="Times New Roman"/>
          <w:bCs/>
          <w:color w:val="auto"/>
          <w:sz w:val="24"/>
          <w:szCs w:val="20"/>
          <w:highlight w:val="none"/>
        </w:rPr>
      </w:pPr>
    </w:p>
    <w:p>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pStyle w:val="10"/>
        <w:snapToGrid w:val="0"/>
        <w:spacing w:before="50" w:after="50" w:line="400" w:lineRule="exact"/>
        <w:ind w:firstLine="960" w:firstLineChars="400"/>
        <w:rPr>
          <w:rFonts w:hint="eastAsia" w:ascii="宋体" w:hAnsi="宋体" w:eastAsia="宋体" w:cs="Times New Roman"/>
          <w:bCs/>
          <w:color w:val="auto"/>
          <w:sz w:val="24"/>
          <w:szCs w:val="24"/>
          <w:highlight w:val="none"/>
        </w:rPr>
      </w:pPr>
    </w:p>
    <w:p>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pPr>
        <w:widowControl/>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pPr>
        <w:pStyle w:val="17"/>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pPr>
        <w:pStyle w:val="17"/>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pPr>
        <w:pStyle w:val="17"/>
        <w:spacing w:line="440" w:lineRule="exact"/>
        <w:ind w:firstLine="420" w:firstLineChars="200"/>
        <w:rPr>
          <w:rFonts w:hint="eastAsia" w:ascii="Times New Roman" w:hAnsi="Times New Roman" w:eastAsia="宋体" w:cs="Times New Roman"/>
          <w:color w:val="auto"/>
          <w:highlight w:val="none"/>
        </w:rPr>
      </w:pPr>
    </w:p>
    <w:p>
      <w:pPr>
        <w:pStyle w:val="17"/>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bookmarkStart w:id="437" w:name="PO_3000001866_PM031_4"/>
      <w:r>
        <w:rPr>
          <w:rFonts w:hint="eastAsia" w:ascii="Times New Roman" w:hAnsi="Times New Roman" w:eastAsia="宋体" w:cs="Times New Roman"/>
          <w:color w:val="auto"/>
          <w:highlight w:val="none"/>
          <w:u w:val="single"/>
          <w:lang w:eastAsia="zh-CN"/>
        </w:rPr>
        <w:t>广西科联招标中心有限公司</w:t>
      </w:r>
      <w:bookmarkEnd w:id="437"/>
    </w:p>
    <w:p>
      <w:pPr>
        <w:pStyle w:val="17"/>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pPr>
        <w:pStyle w:val="17"/>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pPr>
        <w:pStyle w:val="17"/>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pPr>
        <w:pStyle w:val="17"/>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pPr>
        <w:pStyle w:val="17"/>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pPr>
        <w:pStyle w:val="17"/>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w:t>
      </w:r>
      <w:r>
        <w:rPr>
          <w:rFonts w:hint="eastAsia" w:eastAsia="宋体" w:cs="Times New Roman"/>
          <w:color w:val="auto"/>
          <w:highlight w:val="none"/>
        </w:rPr>
        <w:t>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w:t>
      </w:r>
      <w:r>
        <w:rPr>
          <w:rFonts w:hint="eastAsia" w:hAnsi="宋体" w:cs="宋体"/>
          <w:color w:val="auto"/>
          <w:szCs w:val="22"/>
          <w:highlight w:val="none"/>
          <w:lang w:val="en-US" w:eastAsia="zh-CN"/>
        </w:rPr>
        <w:t>交付</w:t>
      </w:r>
      <w:r>
        <w:rPr>
          <w:rFonts w:hint="eastAsia" w:hAnsi="宋体" w:cs="宋体"/>
          <w:color w:val="auto"/>
          <w:szCs w:val="22"/>
          <w:highlight w:val="none"/>
          <w:lang w:eastAsia="zh-CN"/>
        </w:rPr>
        <w:t>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w:t>
      </w:r>
      <w:r>
        <w:rPr>
          <w:rFonts w:hint="eastAsia" w:hAnsi="Times New Roman" w:cs="Times New Roman"/>
          <w:color w:val="auto"/>
          <w:highlight w:val="none"/>
          <w:lang w:val="en-US" w:eastAsia="zh-CN"/>
        </w:rPr>
        <w:t>第一部分和第二部分</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pPr>
        <w:pStyle w:val="17"/>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w:t>
      </w:r>
      <w:r>
        <w:rPr>
          <w:rFonts w:hint="eastAsia" w:cs="Times New Roman"/>
          <w:color w:val="auto"/>
          <w:highlight w:val="none"/>
          <w:lang w:val="en-US" w:eastAsia="zh-CN"/>
        </w:rPr>
        <w:t>.</w:t>
      </w:r>
      <w:r>
        <w:rPr>
          <w:rFonts w:hint="eastAsia" w:eastAsia="宋体" w:cs="Times New Roman"/>
          <w:color w:val="auto"/>
          <w:highlight w:val="none"/>
        </w:rPr>
        <w:t>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pPr>
        <w:pStyle w:val="17"/>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w:t>
      </w:r>
      <w:r>
        <w:rPr>
          <w:rFonts w:hint="eastAsia" w:cs="Times New Roman"/>
          <w:color w:val="auto"/>
          <w:highlight w:val="none"/>
          <w:lang w:val="en-US" w:eastAsia="zh-CN"/>
        </w:rPr>
        <w:t>.</w:t>
      </w:r>
      <w:r>
        <w:rPr>
          <w:rFonts w:hint="eastAsia" w:eastAsia="宋体" w:cs="Times New Roman"/>
          <w:color w:val="auto"/>
          <w:highlight w:val="none"/>
        </w:rPr>
        <w:t>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cs="Times New Roman"/>
          <w:color w:val="auto"/>
          <w:highlight w:val="none"/>
          <w:lang w:val="en-US" w:eastAsia="zh-CN"/>
        </w:rPr>
        <w:t>.</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w:t>
      </w:r>
      <w:r>
        <w:rPr>
          <w:rFonts w:hint="eastAsia" w:cs="Times New Roman"/>
          <w:color w:val="auto"/>
          <w:highlight w:val="none"/>
          <w:lang w:val="en-US" w:eastAsia="zh-CN"/>
        </w:rPr>
        <w:t>.</w:t>
      </w:r>
      <w:r>
        <w:rPr>
          <w:rFonts w:hint="eastAsia" w:eastAsia="宋体" w:cs="Times New Roman"/>
          <w:color w:val="auto"/>
          <w:highlight w:val="none"/>
        </w:rPr>
        <w:t>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w:t>
      </w:r>
      <w:r>
        <w:rPr>
          <w:rFonts w:hint="eastAsia" w:cs="Times New Roman"/>
          <w:color w:val="auto"/>
          <w:highlight w:val="none"/>
          <w:lang w:val="en-US" w:eastAsia="zh-CN"/>
        </w:rPr>
        <w:t>.</w:t>
      </w:r>
      <w:r>
        <w:rPr>
          <w:rFonts w:hint="eastAsia" w:eastAsia="宋体" w:cs="Times New Roman"/>
          <w:color w:val="auto"/>
          <w:highlight w:val="none"/>
        </w:rPr>
        <w:t>我方已详细审核招标文件，我方知道必须放弃提出含糊不清或误解问题的权利。</w:t>
      </w:r>
    </w:p>
    <w:p>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w:t>
      </w:r>
      <w:r>
        <w:rPr>
          <w:rFonts w:hint="eastAsia" w:cs="Times New Roman"/>
          <w:color w:val="auto"/>
          <w:highlight w:val="none"/>
          <w:lang w:val="en-US" w:eastAsia="zh-CN"/>
        </w:rPr>
        <w:t>.</w:t>
      </w:r>
      <w:r>
        <w:rPr>
          <w:rFonts w:hint="eastAsia" w:eastAsia="宋体" w:cs="Times New Roman"/>
          <w:color w:val="auto"/>
          <w:highlight w:val="none"/>
        </w:rPr>
        <w:t>我方同意应贵方要求提供与本投标有关的任何数据或资料。若贵方需要，我方愿意提供我方作出的一切承诺的证明材料。</w:t>
      </w:r>
    </w:p>
    <w:p>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w:t>
      </w:r>
      <w:r>
        <w:rPr>
          <w:rFonts w:hint="eastAsia" w:cs="Times New Roman"/>
          <w:color w:val="auto"/>
          <w:highlight w:val="none"/>
          <w:lang w:val="en-US" w:eastAsia="zh-CN"/>
        </w:rPr>
        <w:t>.</w:t>
      </w:r>
      <w:r>
        <w:rPr>
          <w:rFonts w:hint="eastAsia" w:eastAsia="宋体" w:cs="Times New Roman"/>
          <w:color w:val="auto"/>
          <w:highlight w:val="none"/>
        </w:rPr>
        <w:t>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w:t>
      </w:r>
      <w:r>
        <w:rPr>
          <w:rFonts w:hint="eastAsia" w:cs="Times New Roman"/>
          <w:color w:val="auto"/>
          <w:highlight w:val="none"/>
          <w:lang w:val="en-US" w:eastAsia="zh-CN"/>
        </w:rPr>
        <w:t>.</w:t>
      </w:r>
      <w:r>
        <w:rPr>
          <w:rFonts w:hint="eastAsia" w:eastAsia="宋体" w:cs="Times New Roman"/>
          <w:color w:val="auto"/>
          <w:highlight w:val="none"/>
        </w:rPr>
        <w:t>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pStyle w:val="17"/>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pPr>
        <w:pStyle w:val="17"/>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pPr>
        <w:pStyle w:val="17"/>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pPr>
        <w:pStyle w:val="17"/>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pPr>
        <w:pStyle w:val="17"/>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pPr>
        <w:pStyle w:val="17"/>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pPr>
        <w:pStyle w:val="17"/>
        <w:spacing w:line="360" w:lineRule="auto"/>
        <w:ind w:firstLine="420"/>
        <w:rPr>
          <w:rFonts w:hint="eastAsia" w:eastAsia="宋体" w:cs="Times New Roman"/>
          <w:color w:val="auto"/>
          <w:highlight w:val="none"/>
        </w:rPr>
      </w:pPr>
      <w:r>
        <w:rPr>
          <w:rFonts w:hint="eastAsia" w:eastAsia="宋体" w:cs="Times New Roman"/>
          <w:color w:val="auto"/>
          <w:highlight w:val="none"/>
        </w:rPr>
        <w:t>10</w:t>
      </w:r>
      <w:r>
        <w:rPr>
          <w:rFonts w:hint="eastAsia" w:cs="Times New Roman"/>
          <w:color w:val="auto"/>
          <w:highlight w:val="none"/>
          <w:lang w:val="en-US" w:eastAsia="zh-CN"/>
        </w:rPr>
        <w:t>.</w:t>
      </w:r>
      <w:r>
        <w:rPr>
          <w:rFonts w:hint="eastAsia" w:eastAsia="宋体" w:cs="Times New Roman"/>
          <w:color w:val="auto"/>
          <w:highlight w:val="none"/>
        </w:rPr>
        <w:t>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pPr>
        <w:pStyle w:val="17"/>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pPr>
        <w:pStyle w:val="17"/>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pPr>
        <w:pStyle w:val="12"/>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napToGrid w:val="0"/>
        <w:spacing w:line="360" w:lineRule="auto"/>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0" w:num="1"/>
          <w:titlePg/>
          <w:rtlGutter w:val="0"/>
          <w:docGrid w:linePitch="331" w:charSpace="0"/>
        </w:sectPr>
      </w:pPr>
    </w:p>
    <w:p>
      <w:pPr>
        <w:pStyle w:val="17"/>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pPr>
        <w:pStyle w:val="17"/>
        <w:spacing w:line="360" w:lineRule="auto"/>
        <w:jc w:val="center"/>
        <w:rPr>
          <w:rFonts w:hint="eastAsia" w:eastAsia="宋体" w:cs="Times New Roman"/>
          <w:b/>
          <w:color w:val="auto"/>
          <w:sz w:val="30"/>
          <w:szCs w:val="30"/>
          <w:highlight w:val="none"/>
        </w:rPr>
      </w:pPr>
      <w:bookmarkStart w:id="438" w:name="OLE_LINK39"/>
      <w:r>
        <w:rPr>
          <w:rFonts w:hint="eastAsia" w:eastAsia="宋体" w:cs="Times New Roman"/>
          <w:b/>
          <w:color w:val="auto"/>
          <w:sz w:val="30"/>
          <w:szCs w:val="30"/>
          <w:highlight w:val="none"/>
        </w:rPr>
        <w:t>开标一览表</w:t>
      </w:r>
      <w:bookmarkEnd w:id="438"/>
      <w:r>
        <w:rPr>
          <w:rFonts w:hint="eastAsia" w:ascii="仿宋_GB2312" w:hAnsi="仿宋" w:eastAsia="仿宋_GB2312" w:cs="仿宋_GB2312"/>
          <w:b/>
          <w:color w:val="auto"/>
          <w:kern w:val="0"/>
          <w:sz w:val="24"/>
          <w:highlight w:val="none"/>
          <w:lang w:val="zh-CN"/>
        </w:rPr>
        <w:t>(单位均为人民币元)</w:t>
      </w:r>
    </w:p>
    <w:p>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cs="宋体"/>
          <w:bCs/>
          <w:color w:val="auto"/>
          <w:sz w:val="24"/>
          <w:highlight w:val="none"/>
        </w:rPr>
        <w:t>所投分标（如有则填写，无分标时填写“无”或者留空）：</w:t>
      </w:r>
      <w:r>
        <w:rPr>
          <w:rFonts w:hint="eastAsia" w:ascii="宋体" w:hAnsi="宋体" w:cs="宋体"/>
          <w:color w:val="auto"/>
          <w:sz w:val="24"/>
          <w:highlight w:val="none"/>
          <w:u w:val="single"/>
        </w:rPr>
        <w:t xml:space="preserve">           </w:t>
      </w:r>
      <w:r>
        <w:rPr>
          <w:rFonts w:hint="eastAsia" w:ascii="宋体" w:hAnsi="宋体" w:cs="Times New Roman"/>
          <w:color w:val="auto"/>
          <w:sz w:val="24"/>
          <w:highlight w:val="none"/>
          <w:u w:val="none"/>
          <w:lang w:val="en-US" w:eastAsia="zh-CN"/>
        </w:rPr>
        <w:t xml:space="preserve">    </w:t>
      </w:r>
    </w:p>
    <w:tbl>
      <w:tblPr>
        <w:tblStyle w:val="24"/>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92"/>
        <w:gridCol w:w="2232"/>
        <w:gridCol w:w="1080"/>
        <w:gridCol w:w="1260"/>
        <w:gridCol w:w="2473"/>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序号</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r>
              <w:rPr>
                <w:rFonts w:hint="eastAsia" w:ascii="宋体" w:hAnsi="宋体" w:cs="Times New Roman"/>
                <w:color w:val="auto"/>
                <w:szCs w:val="22"/>
                <w:highlight w:val="none"/>
                <w:lang w:eastAsia="zh-CN"/>
              </w:rPr>
              <w:t>标的</w:t>
            </w:r>
            <w:r>
              <w:rPr>
                <w:rFonts w:hint="eastAsia" w:ascii="宋体" w:hAnsi="宋体" w:eastAsia="宋体" w:cs="Times New Roman"/>
                <w:color w:val="auto"/>
                <w:szCs w:val="22"/>
                <w:highlight w:val="none"/>
              </w:rPr>
              <w:t>名称</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Times New Roman"/>
                <w:color w:val="auto"/>
                <w:szCs w:val="22"/>
                <w:highlight w:val="none"/>
                <w:lang w:val="en-US" w:eastAsia="zh-CN"/>
              </w:rPr>
            </w:pPr>
            <w:r>
              <w:rPr>
                <w:rFonts w:hint="eastAsia" w:ascii="宋体" w:hAnsi="宋体" w:cs="Times New Roman"/>
                <w:color w:val="auto"/>
                <w:szCs w:val="22"/>
                <w:highlight w:val="none"/>
                <w:lang w:val="en-US" w:eastAsia="zh-CN"/>
              </w:rPr>
              <w:t>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数量</w:t>
            </w:r>
            <w:r>
              <w:rPr>
                <w:rFonts w:hint="eastAsia" w:ascii="宋体" w:hAnsi="宋体" w:cs="Times New Roman"/>
                <w:color w:val="auto"/>
                <w:szCs w:val="22"/>
                <w:highlight w:val="none"/>
                <w:lang w:eastAsia="zh-CN"/>
              </w:rPr>
              <w:t>及单位</w:t>
            </w:r>
            <w:r>
              <w:rPr>
                <w:rFonts w:hint="eastAsia" w:ascii="宋体" w:hAnsi="宋体" w:eastAsia="宋体" w:cs="Times New Roman"/>
                <w:color w:val="auto"/>
                <w:szCs w:val="22"/>
                <w:highlight w:val="none"/>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单价(元)②</w:t>
            </w:r>
          </w:p>
        </w:tc>
        <w:tc>
          <w:tcPr>
            <w:tcW w:w="24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单项合价（元）</w:t>
            </w:r>
          </w:p>
          <w:p>
            <w:pPr>
              <w:spacing w:line="360" w:lineRule="auto"/>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1</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2</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Times New Roman"/>
                <w:color w:val="auto"/>
                <w:szCs w:val="22"/>
                <w:highlight w:val="none"/>
                <w:lang w:val="en-US" w:eastAsia="zh-CN"/>
              </w:rPr>
            </w:pPr>
            <w:r>
              <w:rPr>
                <w:rFonts w:hint="eastAsia" w:ascii="宋体" w:hAnsi="宋体" w:eastAsia="宋体" w:cs="Times New Roman"/>
                <w:color w:val="auto"/>
                <w:szCs w:val="22"/>
                <w:highlight w:val="none"/>
              </w:rPr>
              <w:t>...</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2"/>
                <w:highlight w:val="none"/>
              </w:rPr>
            </w:pPr>
            <w:r>
              <w:rPr>
                <w:rFonts w:hint="eastAsia" w:ascii="Times New Roman" w:hAnsi="宋体" w:cs="宋体"/>
                <w:color w:val="auto"/>
                <w:highlight w:val="none"/>
                <w:lang w:eastAsia="zh-CN"/>
              </w:rPr>
              <w:t>投标总</w:t>
            </w:r>
            <w:r>
              <w:rPr>
                <w:rFonts w:hint="eastAsia" w:ascii="宋体" w:hAnsi="宋体" w:cs="宋体"/>
                <w:color w:val="auto"/>
                <w:szCs w:val="22"/>
                <w:highlight w:val="none"/>
              </w:rPr>
              <w:t>报价</w:t>
            </w:r>
            <w:r>
              <w:rPr>
                <w:rFonts w:hint="eastAsia" w:ascii="宋体" w:hAnsi="宋体" w:eastAsia="宋体" w:cs="Times New Roman"/>
                <w:color w:val="auto"/>
                <w:szCs w:val="21"/>
                <w:highlight w:val="none"/>
              </w:rPr>
              <w:t>（包含税费等所有费用）：</w:t>
            </w:r>
            <w:r>
              <w:rPr>
                <w:rFonts w:hint="eastAsia" w:ascii="宋体" w:hAnsi="宋体" w:cs="宋体"/>
                <w:color w:val="auto"/>
                <w:szCs w:val="22"/>
                <w:highlight w:val="none"/>
              </w:rPr>
              <w:t xml:space="preserve">（大写）人民币 </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w:t>
            </w:r>
            <w:r>
              <w:rPr>
                <w:rFonts w:hint="eastAsia" w:ascii="宋体" w:hAnsi="宋体" w:cs="宋体"/>
                <w:color w:val="auto"/>
                <w:szCs w:val="22"/>
                <w:highlight w:val="none"/>
                <w:lang w:eastAsia="zh-CN"/>
              </w:rPr>
              <w:t>小写</w:t>
            </w:r>
            <w:r>
              <w:rPr>
                <w:rFonts w:hint="eastAsia" w:ascii="宋体" w:hAnsi="宋体" w:cs="宋体"/>
                <w:color w:val="auto"/>
                <w:szCs w:val="22"/>
                <w:highlight w:val="none"/>
              </w:rPr>
              <w:t>）</w:t>
            </w:r>
            <w:r>
              <w:rPr>
                <w:rFonts w:hint="eastAsia" w:ascii="宋体" w:hAnsi="宋体" w:cs="宋体"/>
                <w:color w:val="auto"/>
                <w:szCs w:val="22"/>
                <w:highlight w:val="none"/>
                <w:lang w:eastAsia="zh-CN"/>
              </w:rPr>
              <w:t>¥</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u w:val="single"/>
                <w:lang w:val="en-US" w:eastAsia="zh-CN"/>
              </w:rPr>
              <w:t xml:space="preserve">       </w:t>
            </w:r>
            <w:r>
              <w:rPr>
                <w:rFonts w:hint="eastAsia" w:ascii="宋体" w:hAnsi="宋体" w:cs="宋体"/>
                <w:color w:val="auto"/>
                <w:szCs w:val="22"/>
                <w:highlight w:val="none"/>
                <w:u w:val="single"/>
              </w:rPr>
              <w:t xml:space="preserve">  </w:t>
            </w:r>
          </w:p>
          <w:p>
            <w:pPr>
              <w:jc w:val="left"/>
              <w:rPr>
                <w:rFonts w:hint="eastAsia" w:ascii="宋体" w:hAnsi="宋体" w:eastAsia="宋体" w:cs="Times New Roman"/>
                <w:color w:val="auto"/>
                <w:szCs w:val="22"/>
                <w:highlight w:val="none"/>
              </w:rPr>
            </w:pPr>
            <w:r>
              <w:rPr>
                <w:rFonts w:hint="eastAsia" w:ascii="宋体" w:hAnsi="宋体" w:cs="Times New Roman"/>
                <w:color w:val="auto"/>
                <w:szCs w:val="21"/>
                <w:highlight w:val="none"/>
                <w:lang w:val="en-US" w:eastAsia="zh-CN"/>
              </w:rPr>
              <w:t>服务时间</w:t>
            </w:r>
            <w:r>
              <w:rPr>
                <w:rFonts w:hint="eastAsia" w:ascii="宋体" w:hAnsi="宋体" w:cs="Times New Roman"/>
                <w:color w:val="auto"/>
                <w:szCs w:val="21"/>
                <w:highlight w:val="none"/>
                <w:lang w:eastAsia="zh-CN"/>
              </w:rPr>
              <w:t>：</w:t>
            </w:r>
          </w:p>
        </w:tc>
      </w:tr>
    </w:tbl>
    <w:p>
      <w:pPr>
        <w:snapToGrid w:val="0"/>
        <w:spacing w:before="50" w:after="50" w:line="360" w:lineRule="auto"/>
        <w:rPr>
          <w:rFonts w:hint="eastAsia" w:ascii="宋体" w:hAnsi="宋体" w:eastAsia="宋体" w:cs="Times New Roman"/>
          <w:color w:val="auto"/>
          <w:sz w:val="24"/>
          <w:highlight w:val="none"/>
          <w:u w:val="single"/>
        </w:rPr>
      </w:pPr>
      <w:r>
        <w:rPr>
          <w:rFonts w:hint="eastAsia" w:ascii="宋体" w:hAnsi="宋体" w:cs="Times New Roman"/>
          <w:color w:val="auto"/>
          <w:sz w:val="24"/>
          <w:highlight w:val="none"/>
          <w:u w:val="none"/>
          <w:lang w:val="en-US" w:eastAsia="zh-CN"/>
        </w:rPr>
        <w:t xml:space="preserve">                </w:t>
      </w:r>
    </w:p>
    <w:p>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投标人需按本表格式填写，不得自行更改，也不得留空</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除外</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highlight w:val="none"/>
          <w:lang w:val="zh-CN"/>
        </w:rPr>
        <w:t>, 如有多分标，按分标分别提供开标一览表，必须加盖投标人有效公章，</w:t>
      </w:r>
      <w:r>
        <w:rPr>
          <w:rFonts w:hint="eastAsia" w:ascii="宋体" w:hAnsi="宋体" w:eastAsia="宋体" w:cs="宋体"/>
          <w:b/>
          <w:color w:val="auto"/>
          <w:kern w:val="0"/>
          <w:sz w:val="24"/>
          <w:highlight w:val="none"/>
          <w:lang w:val="zh-CN"/>
        </w:rPr>
        <w:t>否则其投标作无效标处理。</w:t>
      </w:r>
    </w:p>
    <w:p>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本表内容均不能涂改，</w:t>
      </w:r>
      <w:r>
        <w:rPr>
          <w:rFonts w:hint="eastAsia" w:ascii="宋体" w:hAnsi="宋体" w:eastAsia="宋体" w:cs="宋体"/>
          <w:b/>
          <w:color w:val="auto"/>
          <w:kern w:val="0"/>
          <w:sz w:val="24"/>
          <w:highlight w:val="none"/>
          <w:lang w:val="zh-CN"/>
        </w:rPr>
        <w:t>否则其投标作无效标处理。</w:t>
      </w:r>
    </w:p>
    <w:p>
      <w:pPr>
        <w:snapToGrid w:val="0"/>
        <w:spacing w:before="50" w:after="50" w:line="360" w:lineRule="auto"/>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如为联合体投标，“投标人名称”处必须列明联合体各方名称，并标注联合体牵头人名称，且盖章处须加盖联合体各方公章，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否则其投标作无效标处理。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US" w:eastAsia="zh-CN"/>
        </w:rPr>
        <w:t xml:space="preserve">  4.</w:t>
      </w:r>
      <w:r>
        <w:rPr>
          <w:rFonts w:hint="eastAsia" w:ascii="宋体" w:hAnsi="宋体" w:eastAsia="宋体" w:cs="宋体"/>
          <w:color w:val="auto"/>
          <w:kern w:val="0"/>
          <w:sz w:val="24"/>
          <w:highlight w:val="none"/>
          <w:lang w:val="zh-CN"/>
        </w:rPr>
        <w:t>特别提示：采购代理机构将对项目名称和项目编号，中标</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zh-CN"/>
        </w:rPr>
        <w:t>名称、地址和中标金额，主要中标标的的名称、服务范围、服务要求、服务时间、服务标准等予以公示。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szCs w:val="22"/>
          <w:highlight w:val="none"/>
          <w:lang w:val="en-US" w:eastAsia="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14"/>
        <w:rPr>
          <w:rFonts w:hint="eastAsia" w:ascii="宋体" w:hAnsi="宋体" w:eastAsia="宋体" w:cs="宋体"/>
          <w:color w:val="auto"/>
          <w:highlight w:val="none"/>
          <w:lang w:val="zh-CN"/>
        </w:rPr>
      </w:pPr>
    </w:p>
    <w:p>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65" w:beforeLines="50" w:after="50"/>
        <w:jc w:val="center"/>
        <w:outlineLvl w:val="1"/>
        <w:rPr>
          <w:rFonts w:ascii="宋体" w:hAnsi="宋体" w:eastAsia="宋体" w:cs="Times New Roman"/>
          <w:b/>
          <w:bCs/>
          <w:color w:val="auto"/>
          <w:sz w:val="28"/>
          <w:szCs w:val="28"/>
          <w:highlight w:val="none"/>
        </w:rPr>
      </w:pPr>
      <w:bookmarkStart w:id="439"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439"/>
    </w:p>
    <w:p>
      <w:pPr>
        <w:widowControl/>
        <w:spacing w:line="240" w:lineRule="auto"/>
        <w:jc w:val="left"/>
        <w:rPr>
          <w:color w:val="auto"/>
          <w:sz w:val="20"/>
          <w:highlight w:val="none"/>
        </w:rPr>
      </w:pPr>
    </w:p>
    <w:p>
      <w:pPr>
        <w:pStyle w:val="2"/>
        <w:numPr>
          <w:ilvl w:val="0"/>
          <w:numId w:val="0"/>
        </w:numP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val="en-US" w:eastAsia="zh-CN"/>
        </w:rPr>
        <w:t>1.</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pPr>
        <w:pStyle w:val="2"/>
        <w:numPr>
          <w:ilvl w:val="0"/>
          <w:numId w:val="0"/>
        </w:numPr>
        <w:rPr>
          <w:rFonts w:hint="eastAsia" w:ascii="宋体" w:hAnsi="宋体" w:eastAsia="宋体" w:cs="宋体"/>
          <w:color w:val="auto"/>
          <w:kern w:val="0"/>
          <w:sz w:val="28"/>
          <w:szCs w:val="28"/>
          <w:highlight w:val="none"/>
          <w:lang w:eastAsia="zh-CN"/>
        </w:rPr>
      </w:pPr>
    </w:p>
    <w:p>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pPr>
        <w:shd w:val="clear" w:color="auto" w:fill="FFFFFF"/>
        <w:spacing w:line="480" w:lineRule="atLeast"/>
        <w:jc w:val="center"/>
        <w:rPr>
          <w:rFonts w:hint="eastAsia" w:ascii="宋体" w:hAnsi="宋体" w:eastAsia="宋体" w:cs="宋体"/>
          <w:color w:val="auto"/>
          <w:kern w:val="0"/>
          <w:sz w:val="32"/>
          <w:szCs w:val="32"/>
          <w:highlight w:val="none"/>
        </w:rPr>
      </w:pPr>
    </w:p>
    <w:p>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4"/>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w:t>
            </w:r>
            <w:r>
              <w:rPr>
                <w:rFonts w:hint="default" w:ascii="宋体" w:hAnsi="宋体" w:eastAsia="宋体" w:cs="宋体"/>
                <w:color w:val="auto"/>
                <w:kern w:val="0"/>
                <w:szCs w:val="21"/>
                <w:highlight w:val="none"/>
                <w:lang w:val="en-US"/>
              </w:rPr>
              <w:t>人</w:t>
            </w:r>
            <w:r>
              <w:rPr>
                <w:rFonts w:hint="eastAsia" w:ascii="宋体" w:hAnsi="宋体" w:eastAsia="宋体" w:cs="宋体"/>
                <w:color w:val="auto"/>
                <w:kern w:val="0"/>
                <w:szCs w:val="21"/>
                <w:highlight w:val="none"/>
              </w:rPr>
              <w:t>负责人签字或者盖章：</w:t>
            </w:r>
          </w:p>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pPr>
        <w:pStyle w:val="2"/>
        <w:numPr>
          <w:ilvl w:val="0"/>
          <w:numId w:val="0"/>
        </w:numPr>
        <w:rPr>
          <w:rFonts w:hint="eastAsia" w:ascii="宋体" w:hAnsi="宋体" w:eastAsia="宋体" w:cs="宋体"/>
          <w:color w:val="auto"/>
          <w:kern w:val="0"/>
          <w:sz w:val="28"/>
          <w:szCs w:val="28"/>
          <w:highlight w:val="none"/>
          <w:lang w:eastAsia="zh-CN"/>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auto"/>
          <w:highlight w:val="none"/>
        </w:rPr>
        <w:br w:type="page"/>
      </w:r>
    </w:p>
    <w:p>
      <w:pPr>
        <w:jc w:val="left"/>
        <w:rPr>
          <w:rFonts w:hint="eastAsia" w:ascii="宋体" w:hAnsi="宋体" w:eastAsia="宋体" w:cs="宋体"/>
          <w:color w:val="auto"/>
          <w:highlight w:val="none"/>
        </w:rPr>
      </w:pPr>
      <w:r>
        <w:rPr>
          <w:rFonts w:hint="eastAsia" w:ascii="宋体" w:hAnsi="宋体" w:cs="宋体"/>
          <w:color w:val="auto"/>
          <w:sz w:val="28"/>
          <w:szCs w:val="28"/>
          <w:highlight w:val="none"/>
          <w:lang w:val="en-US" w:eastAsia="zh-CN"/>
        </w:rPr>
        <w:t>2.政府采购项目履约保证金退付意见书的格式：</w:t>
      </w: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政府采购项目履约保证金退付意见书（参考）</w:t>
      </w:r>
    </w:p>
    <w:p>
      <w:pPr>
        <w:jc w:val="center"/>
        <w:rPr>
          <w:rFonts w:hint="eastAsia" w:ascii="宋体" w:hAnsi="宋体" w:eastAsia="宋体" w:cs="宋体"/>
          <w:color w:val="auto"/>
          <w:sz w:val="36"/>
          <w:szCs w:val="36"/>
          <w:highlight w:val="none"/>
        </w:rPr>
      </w:pPr>
    </w:p>
    <w:tbl>
      <w:tblPr>
        <w:tblStyle w:val="24"/>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申</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请</w:t>
            </w:r>
          </w:p>
        </w:tc>
        <w:tc>
          <w:tcPr>
            <w:tcW w:w="8456"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pPr>
              <w:rPr>
                <w:rFonts w:hint="eastAsia" w:ascii="宋体" w:hAnsi="宋体" w:eastAsia="宋体" w:cs="宋体"/>
                <w:color w:val="auto"/>
                <w:sz w:val="24"/>
                <w:highlight w:val="none"/>
              </w:rPr>
            </w:pPr>
          </w:p>
        </w:tc>
        <w:tc>
          <w:tcPr>
            <w:tcW w:w="8456"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rPr>
                <w:rFonts w:hint="eastAsia" w:ascii="宋体" w:hAnsi="宋体" w:eastAsia="宋体" w:cs="宋体"/>
                <w:color w:val="auto"/>
                <w:sz w:val="24"/>
                <w:highlight w:val="none"/>
              </w:rPr>
            </w:pPr>
          </w:p>
        </w:tc>
        <w:tc>
          <w:tcPr>
            <w:tcW w:w="8456" w:type="dxa"/>
            <w:noWrap w:val="0"/>
            <w:vAlign w:val="top"/>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该项目已于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日验收并交付使用。根据合同规定，该项目的履约保证金期限于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日已满，请将履约保证金（大写）</w:t>
            </w:r>
            <w:r>
              <w:rPr>
                <w:rFonts w:hint="eastAsia" w:ascii="宋体" w:hAnsi="宋体" w:eastAsia="宋体" w:cs="宋体"/>
                <w:color w:val="auto"/>
                <w:sz w:val="24"/>
                <w:highlight w:val="none"/>
                <w:u w:val="single"/>
                <w:lang w:eastAsia="zh-CN"/>
              </w:rPr>
              <w:t>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退付到达以下</w:t>
            </w: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户。</w:t>
            </w:r>
          </w:p>
          <w:p>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 xml:space="preserve">   号：</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w:t>
            </w:r>
          </w:p>
          <w:p>
            <w:pPr>
              <w:spacing w:line="400" w:lineRule="exact"/>
              <w:rPr>
                <w:rFonts w:hint="eastAsia" w:ascii="宋体" w:hAnsi="宋体" w:eastAsia="宋体" w:cs="宋体"/>
                <w:color w:val="auto"/>
                <w:sz w:val="24"/>
                <w:highlight w:val="none"/>
              </w:rPr>
            </w:pPr>
          </w:p>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投标人签章：</w:t>
            </w:r>
          </w:p>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购</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意</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p>
        </w:tc>
        <w:tc>
          <w:tcPr>
            <w:tcW w:w="8456" w:type="dxa"/>
            <w:noWrap w:val="0"/>
            <w:vAlign w:val="top"/>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退付意见：（是否同意退付履约保证金及退付金额）</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                         采购人签章</w:t>
            </w:r>
          </w:p>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456" w:type="dxa"/>
            <w:noWrap w:val="0"/>
            <w:vAlign w:val="top"/>
          </w:tcPr>
          <w:p>
            <w:pPr>
              <w:rPr>
                <w:rFonts w:hint="eastAsia" w:ascii="宋体" w:hAnsi="宋体" w:eastAsia="宋体" w:cs="宋体"/>
                <w:color w:val="auto"/>
                <w:sz w:val="24"/>
                <w:highlight w:val="none"/>
              </w:rPr>
            </w:pPr>
          </w:p>
        </w:tc>
      </w:tr>
    </w:tbl>
    <w:p>
      <w:pPr>
        <w:pStyle w:val="14"/>
        <w:ind w:left="420" w:leftChars="114" w:hanging="181" w:hangingChars="100"/>
        <w:rPr>
          <w:rFonts w:hint="eastAsia" w:ascii="宋体" w:hAnsi="宋体" w:eastAsia="宋体" w:cs="宋体"/>
          <w:b/>
          <w:bCs/>
          <w:color w:val="auto"/>
          <w:sz w:val="18"/>
          <w:highlight w:val="none"/>
        </w:rPr>
      </w:pPr>
      <w:r>
        <w:rPr>
          <w:rFonts w:hint="eastAsia" w:ascii="宋体" w:hAnsi="宋体" w:eastAsia="宋体" w:cs="宋体"/>
          <w:b/>
          <w:bCs/>
          <w:color w:val="auto"/>
          <w:sz w:val="18"/>
          <w:highlight w:val="none"/>
        </w:rPr>
        <w:t>注：投标人凭经采购人审批的退付意见书到</w:t>
      </w:r>
      <w:r>
        <w:rPr>
          <w:rFonts w:hint="eastAsia"/>
          <w:b/>
          <w:bCs/>
          <w:color w:val="auto"/>
          <w:sz w:val="18"/>
          <w:szCs w:val="18"/>
          <w:highlight w:val="none"/>
          <w:lang w:eastAsia="zh-CN"/>
        </w:rPr>
        <w:t>履约</w:t>
      </w:r>
      <w:r>
        <w:rPr>
          <w:rFonts w:hint="eastAsia" w:ascii="宋体" w:hAnsi="宋体" w:eastAsia="宋体" w:cs="宋体"/>
          <w:b/>
          <w:bCs/>
          <w:color w:val="auto"/>
          <w:sz w:val="18"/>
          <w:highlight w:val="none"/>
        </w:rPr>
        <w:t>保证金收取单位办理履约保证金退付事宜。</w:t>
      </w:r>
    </w:p>
    <w:p>
      <w:pPr>
        <w:pStyle w:val="17"/>
        <w:snapToGrid w:val="0"/>
        <w:spacing w:before="120" w:after="120"/>
        <w:rPr>
          <w:rFonts w:hint="eastAsia" w:hAnsi="宋体" w:eastAsia="宋体" w:cs="宋体"/>
          <w:color w:val="auto"/>
          <w:highlight w:val="none"/>
        </w:rPr>
      </w:pPr>
    </w:p>
    <w:p>
      <w:pPr>
        <w:snapToGrid w:val="0"/>
        <w:spacing w:before="50" w:after="165" w:afterLines="50" w:line="360" w:lineRule="auto"/>
        <w:jc w:val="left"/>
        <w:rPr>
          <w:rFonts w:hint="eastAsia" w:ascii="Times New Roman" w:hAnsi="Times New Roman" w:eastAsia="宋体" w:cs="Times New Roman"/>
          <w:color w:val="auto"/>
          <w:sz w:val="20"/>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outlineLvl w:val="0"/>
        <w:rPr>
          <w:rFonts w:ascii="Times New Roman" w:hAnsi="Times New Roman" w:eastAsia="宋体" w:cs="Times New Roman"/>
          <w:b/>
          <w:color w:val="auto"/>
          <w:sz w:val="36"/>
          <w:highlight w:val="none"/>
        </w:rPr>
      </w:pPr>
      <w:bookmarkStart w:id="440" w:name="_Toc25113"/>
      <w:bookmarkStart w:id="441" w:name="_Toc2211"/>
      <w:bookmarkStart w:id="442" w:name="_Toc18173"/>
      <w:bookmarkStart w:id="443" w:name="_Toc11260"/>
      <w:bookmarkStart w:id="444" w:name="_Toc32028"/>
      <w:bookmarkStart w:id="445" w:name="_Toc31429"/>
      <w:bookmarkStart w:id="446" w:name="_Toc6635"/>
      <w:bookmarkStart w:id="447" w:name="_Toc7244"/>
      <w:bookmarkStart w:id="448" w:name="_Toc21753"/>
      <w:bookmarkStart w:id="449" w:name="_Toc491"/>
      <w:bookmarkStart w:id="450" w:name="_Toc31310"/>
      <w:bookmarkStart w:id="451" w:name="_Toc7254"/>
      <w:bookmarkStart w:id="452" w:name="_Toc17736"/>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440"/>
      <w:bookmarkEnd w:id="441"/>
      <w:bookmarkEnd w:id="442"/>
      <w:bookmarkEnd w:id="443"/>
      <w:bookmarkEnd w:id="444"/>
      <w:bookmarkEnd w:id="445"/>
      <w:bookmarkEnd w:id="446"/>
      <w:bookmarkEnd w:id="447"/>
      <w:bookmarkEnd w:id="448"/>
      <w:bookmarkEnd w:id="449"/>
      <w:bookmarkEnd w:id="450"/>
      <w:bookmarkEnd w:id="451"/>
      <w:bookmarkEnd w:id="452"/>
    </w:p>
    <w:p>
      <w:pPr>
        <w:widowControl/>
        <w:spacing w:line="360" w:lineRule="auto"/>
        <w:jc w:val="left"/>
        <w:rPr>
          <w:color w:val="auto"/>
          <w:sz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4"/>
        <w:jc w:val="center"/>
        <w:rPr>
          <w:rFonts w:hint="eastAsia" w:ascii="宋体" w:hAnsi="宋体" w:cs="Times New Roman"/>
          <w:b w:val="0"/>
          <w:bCs w:val="0"/>
          <w:color w:val="auto"/>
          <w:highlight w:val="none"/>
        </w:rPr>
      </w:pPr>
      <w:bookmarkStart w:id="453" w:name="_Toc22540"/>
      <w:bookmarkStart w:id="454" w:name="_Toc12016"/>
      <w:bookmarkStart w:id="455" w:name="_Toc10944"/>
      <w:bookmarkStart w:id="456" w:name="_Toc25538"/>
      <w:bookmarkStart w:id="457" w:name="_Toc990"/>
      <w:bookmarkStart w:id="458" w:name="_Toc3458"/>
      <w:bookmarkStart w:id="459" w:name="_Toc15096"/>
      <w:bookmarkStart w:id="460" w:name="_Toc22595"/>
      <w:bookmarkStart w:id="461" w:name="_Toc31800"/>
      <w:bookmarkStart w:id="462" w:name="_Toc17610"/>
      <w:r>
        <w:rPr>
          <w:rFonts w:hint="eastAsia" w:ascii="宋体" w:hAnsi="宋体" w:cs="Times New Roman"/>
          <w:b w:val="0"/>
          <w:bCs w:val="0"/>
          <w:color w:val="auto"/>
          <w:highlight w:val="none"/>
        </w:rPr>
        <w:t>第一节 质疑函（格式）</w:t>
      </w:r>
      <w:bookmarkEnd w:id="453"/>
      <w:bookmarkEnd w:id="454"/>
      <w:bookmarkEnd w:id="455"/>
      <w:bookmarkEnd w:id="456"/>
      <w:bookmarkEnd w:id="457"/>
      <w:bookmarkEnd w:id="458"/>
      <w:bookmarkEnd w:id="459"/>
      <w:bookmarkEnd w:id="460"/>
      <w:bookmarkEnd w:id="461"/>
      <w:bookmarkEnd w:id="462"/>
    </w:p>
    <w:p>
      <w:pPr>
        <w:adjustRightInd/>
        <w:snapToGrid/>
        <w:spacing w:before="0" w:beforeLines="-2147483648"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63" w:name="PO_3000001867_PM026_5"/>
      <w:r>
        <w:rPr>
          <w:rFonts w:hint="eastAsia" w:ascii="宋体" w:hAnsi="宋体" w:eastAsia="宋体" w:cs="宋体"/>
          <w:color w:val="auto"/>
          <w:sz w:val="24"/>
          <w:szCs w:val="24"/>
          <w:highlight w:val="none"/>
          <w:u w:val="dotted"/>
        </w:rPr>
        <w:t xml:space="preserve">                        </w:t>
      </w:r>
      <w:bookmarkEnd w:id="463"/>
      <w:r>
        <w:rPr>
          <w:rFonts w:hint="eastAsia" w:ascii="宋体" w:hAnsi="宋体" w:eastAsia="宋体" w:cs="宋体"/>
          <w:color w:val="auto"/>
          <w:sz w:val="24"/>
          <w:szCs w:val="24"/>
          <w:highlight w:val="none"/>
          <w:u w:val="dotted"/>
        </w:rPr>
        <w:t xml:space="preserve">  </w:t>
      </w:r>
    </w:p>
    <w:p>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0" w:num="1"/>
          <w:titlePg/>
          <w:rtlGutter w:val="0"/>
          <w:docGrid w:linePitch="331" w:charSpace="0"/>
        </w:sectPr>
      </w:pPr>
    </w:p>
    <w:p>
      <w:pPr>
        <w:pStyle w:val="4"/>
        <w:jc w:val="center"/>
        <w:rPr>
          <w:rFonts w:hint="eastAsia" w:ascii="宋体" w:hAnsi="宋体" w:cs="Times New Roman"/>
          <w:b w:val="0"/>
          <w:bCs w:val="0"/>
          <w:color w:val="auto"/>
          <w:highlight w:val="none"/>
        </w:rPr>
      </w:pPr>
      <w:bookmarkStart w:id="464" w:name="_Toc31203"/>
      <w:bookmarkStart w:id="465" w:name="_Toc24894"/>
      <w:bookmarkStart w:id="466" w:name="_Toc1896"/>
      <w:bookmarkStart w:id="467" w:name="_Toc6551"/>
      <w:bookmarkStart w:id="468" w:name="_Toc11984"/>
      <w:bookmarkStart w:id="469" w:name="_Toc8862"/>
      <w:bookmarkStart w:id="470" w:name="_Toc24568"/>
      <w:bookmarkStart w:id="471" w:name="_Toc11428"/>
      <w:bookmarkStart w:id="472" w:name="_Toc7549"/>
      <w:bookmarkStart w:id="473" w:name="_Toc32540"/>
      <w:r>
        <w:rPr>
          <w:rFonts w:hint="eastAsia" w:ascii="宋体" w:hAnsi="宋体" w:cs="Times New Roman"/>
          <w:b w:val="0"/>
          <w:bCs w:val="0"/>
          <w:color w:val="auto"/>
          <w:highlight w:val="none"/>
        </w:rPr>
        <w:t>第二节 投诉书（格式）</w:t>
      </w:r>
      <w:bookmarkEnd w:id="464"/>
      <w:bookmarkEnd w:id="465"/>
      <w:bookmarkEnd w:id="466"/>
      <w:bookmarkEnd w:id="467"/>
      <w:bookmarkEnd w:id="468"/>
      <w:bookmarkEnd w:id="469"/>
      <w:bookmarkEnd w:id="470"/>
      <w:bookmarkEnd w:id="471"/>
      <w:bookmarkEnd w:id="472"/>
      <w:bookmarkEnd w:id="473"/>
    </w:p>
    <w:p>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pPr>
        <w:rPr>
          <w:rFonts w:hint="eastAsia" w:ascii="黑体" w:hAnsi="黑体" w:eastAsia="黑体" w:cs="Times New Roman"/>
          <w:color w:val="auto"/>
          <w:sz w:val="32"/>
          <w:szCs w:val="32"/>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74" w:name="PO_3000001867_PM002_12"/>
      <w:r>
        <w:rPr>
          <w:rFonts w:hint="eastAsia" w:ascii="宋体" w:hAnsi="宋体" w:eastAsia="宋体" w:cs="宋体"/>
          <w:color w:val="auto"/>
          <w:sz w:val="24"/>
          <w:szCs w:val="24"/>
          <w:highlight w:val="none"/>
          <w:u w:val="dotted"/>
        </w:rPr>
        <w:t xml:space="preserve">                    </w:t>
      </w:r>
      <w:bookmarkEnd w:id="474"/>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75" w:name="PO_3000001867_PM001_9"/>
      <w:r>
        <w:rPr>
          <w:rFonts w:hint="eastAsia" w:ascii="宋体" w:hAnsi="宋体" w:eastAsia="宋体" w:cs="宋体"/>
          <w:color w:val="auto"/>
          <w:sz w:val="24"/>
          <w:szCs w:val="24"/>
          <w:highlight w:val="none"/>
          <w:u w:val="dotted"/>
        </w:rPr>
        <w:t xml:space="preserve">                    </w:t>
      </w:r>
      <w:bookmarkEnd w:id="475"/>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76" w:name="PO_3000001867_PM026_6"/>
      <w:r>
        <w:rPr>
          <w:rFonts w:hint="eastAsia" w:ascii="宋体" w:hAnsi="宋体" w:eastAsia="宋体" w:cs="宋体"/>
          <w:color w:val="auto"/>
          <w:sz w:val="24"/>
          <w:szCs w:val="24"/>
          <w:highlight w:val="none"/>
          <w:u w:val="dotted"/>
        </w:rPr>
        <w:t xml:space="preserve">                    </w:t>
      </w:r>
      <w:bookmarkEnd w:id="476"/>
      <w:r>
        <w:rPr>
          <w:rFonts w:hint="eastAsia" w:ascii="宋体" w:hAnsi="宋体" w:eastAsia="宋体" w:cs="宋体"/>
          <w:color w:val="auto"/>
          <w:sz w:val="24"/>
          <w:szCs w:val="24"/>
          <w:highlight w:val="none"/>
          <w:u w:val="dotted"/>
          <w:lang w:val="en-US" w:eastAsia="zh-CN"/>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pPr>
        <w:rPr>
          <w:color w:val="auto"/>
          <w:highlight w:val="none"/>
        </w:rPr>
      </w:pPr>
    </w:p>
    <w:sectPr>
      <w:footerReference r:id="rId10" w:type="first"/>
      <w:headerReference r:id="rId7" w:type="default"/>
      <w:footerReference r:id="rId8" w:type="default"/>
      <w:footerReference r:id="rId9" w:type="even"/>
      <w:pgSz w:w="11905" w:h="16838"/>
      <w:pgMar w:top="1134" w:right="1134" w:bottom="1134" w:left="1134" w:header="850" w:footer="850" w:gutter="0"/>
      <w:pgNumType w:fmt="decimal"/>
      <w:cols w:space="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Ђˎ̥">
    <w:altName w:val="微软雅黑"/>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pPr>
      <w:pStyle w:val="2"/>
      <w:rPr>
        <w:rFonts w:ascii="Times New Roman" w:hAnsi="Times New Roman"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8"/>
        <w:rFonts w:ascii="Times New Roman" w:hAnsi="Times New Roman" w:eastAsia="宋体" w:cs="Times New Roman"/>
      </w:rPr>
    </w:pPr>
    <w:r>
      <w:rPr>
        <w:rFonts w:ascii="Times New Roman" w:hAnsi="Times New Roman" w:eastAsia="宋体" w:cs="Times New Roman"/>
      </w:rPr>
      <w:fldChar w:fldCharType="begin"/>
    </w:r>
    <w:r>
      <w:rPr>
        <w:rStyle w:val="28"/>
        <w:rFonts w:ascii="Times New Roman" w:hAnsi="Times New Roman" w:eastAsia="宋体" w:cs="Times New Roman"/>
      </w:rPr>
      <w:instrText xml:space="preserve">PAGE  </w:instrText>
    </w:r>
    <w:r>
      <w:rPr>
        <w:rFonts w:ascii="Times New Roman" w:hAnsi="Times New Roman" w:eastAsia="宋体" w:cs="Times New Roman"/>
      </w:rPr>
      <w:fldChar w:fldCharType="end"/>
    </w:r>
  </w:p>
  <w:p>
    <w:pPr>
      <w:pStyle w:val="2"/>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28"/>
                              <w:rFonts w:ascii="Times New Roman" w:hAnsi="Times New Roman" w:eastAsia="宋体" w:cs="Times New Roman"/>
                            </w:rPr>
                          </w:pPr>
                          <w:r>
                            <w:rPr>
                              <w:rFonts w:ascii="Times New Roman" w:hAnsi="Times New Roman" w:eastAsia="宋体" w:cs="Times New Roman"/>
                            </w:rPr>
                            <w:fldChar w:fldCharType="begin"/>
                          </w:r>
                          <w:r>
                            <w:rPr>
                              <w:rStyle w:val="28"/>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8"/>
                              <w:rFonts w:ascii="Times New Roman" w:hAnsi="Times New Roman" w:eastAsia="宋体" w:cs="Times New Roman"/>
                            </w:rPr>
                            <w:t>122</w:t>
                          </w:r>
                          <w:r>
                            <w:rPr>
                              <w:rFonts w:ascii="Times New Roman" w:hAnsi="Times New Roman" w:eastAsia="宋体" w:cs="Times New Roman"/>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Style w:val="28"/>
                        <w:rFonts w:ascii="Times New Roman" w:hAnsi="Times New Roman" w:eastAsia="宋体" w:cs="Times New Roman"/>
                      </w:rPr>
                    </w:pPr>
                    <w:r>
                      <w:rPr>
                        <w:rFonts w:ascii="Times New Roman" w:hAnsi="Times New Roman" w:eastAsia="宋体" w:cs="Times New Roman"/>
                      </w:rPr>
                      <w:fldChar w:fldCharType="begin"/>
                    </w:r>
                    <w:r>
                      <w:rPr>
                        <w:rStyle w:val="28"/>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8"/>
                        <w:rFonts w:ascii="Times New Roman" w:hAnsi="Times New Roman" w:eastAsia="宋体" w:cs="Times New Roman"/>
                      </w:rPr>
                      <w:t>122</w:t>
                    </w:r>
                    <w:r>
                      <w:rPr>
                        <w:rFonts w:ascii="Times New Roman" w:hAnsi="Times New Roman" w:eastAsia="宋体" w:cs="Times New Roman"/>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7F0CB"/>
    <w:multiLevelType w:val="singleLevel"/>
    <w:tmpl w:val="84A7F0CB"/>
    <w:lvl w:ilvl="0" w:tentative="0">
      <w:start w:val="1"/>
      <w:numFmt w:val="decimal"/>
      <w:suff w:val="nothing"/>
      <w:lvlText w:val="（%1）"/>
      <w:lvlJc w:val="left"/>
    </w:lvl>
  </w:abstractNum>
  <w:abstractNum w:abstractNumId="1">
    <w:nsid w:val="DC3C4FD3"/>
    <w:multiLevelType w:val="singleLevel"/>
    <w:tmpl w:val="DC3C4FD3"/>
    <w:lvl w:ilvl="0" w:tentative="0">
      <w:start w:val="1"/>
      <w:numFmt w:val="decimal"/>
      <w:suff w:val="nothing"/>
      <w:lvlText w:val="（%1）"/>
      <w:lvlJc w:val="left"/>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348E8DD0"/>
    <w:multiLevelType w:val="singleLevel"/>
    <w:tmpl w:val="348E8DD0"/>
    <w:lvl w:ilvl="0" w:tentative="0">
      <w:start w:val="2"/>
      <w:numFmt w:val="decimal"/>
      <w:suff w:val="space"/>
      <w:lvlText w:val="%1."/>
      <w:lvlJc w:val="left"/>
    </w:lvl>
  </w:abstractNum>
  <w:abstractNum w:abstractNumId="5">
    <w:nsid w:val="51536378"/>
    <w:multiLevelType w:val="singleLevel"/>
    <w:tmpl w:val="51536378"/>
    <w:lvl w:ilvl="0" w:tentative="0">
      <w:start w:val="1"/>
      <w:numFmt w:val="decimal"/>
      <w:suff w:val="nothing"/>
      <w:lvlText w:val="（%1）"/>
      <w:lvlJc w:val="left"/>
      <w:pPr>
        <w:ind w:left="0" w:firstLine="0"/>
      </w:pPr>
    </w:lvl>
  </w:abstractNum>
  <w:abstractNum w:abstractNumId="6">
    <w:nsid w:val="63C801CD"/>
    <w:multiLevelType w:val="singleLevel"/>
    <w:tmpl w:val="63C801CD"/>
    <w:lvl w:ilvl="0" w:tentative="0">
      <w:start w:val="2"/>
      <w:numFmt w:val="chineseCounting"/>
      <w:suff w:val="nothing"/>
      <w:lvlText w:val="%1、"/>
      <w:lvlJc w:val="left"/>
      <w:rPr>
        <w:rFonts w:hint="eastAsia"/>
      </w:rPr>
    </w:lvl>
  </w:abstractNum>
  <w:num w:numId="1">
    <w:abstractNumId w:val="6"/>
  </w:num>
  <w:num w:numId="2">
    <w:abstractNumId w:val="0"/>
  </w:num>
  <w:num w:numId="3">
    <w:abstractNumId w:val="1"/>
  </w:num>
  <w:num w:numId="4">
    <w:abstractNumId w:val="5"/>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WYxYzk3MzA3MTliYzZmNjQ5M2JlODg1ZDU2OWEifQ=="/>
  </w:docVars>
  <w:rsids>
    <w:rsidRoot w:val="00000000"/>
    <w:rsid w:val="00C621D0"/>
    <w:rsid w:val="00D26508"/>
    <w:rsid w:val="00D47C35"/>
    <w:rsid w:val="00D95B39"/>
    <w:rsid w:val="00DB6B5A"/>
    <w:rsid w:val="01011432"/>
    <w:rsid w:val="01095920"/>
    <w:rsid w:val="01121D8B"/>
    <w:rsid w:val="011B02F9"/>
    <w:rsid w:val="012A54D2"/>
    <w:rsid w:val="014275A5"/>
    <w:rsid w:val="014E69AF"/>
    <w:rsid w:val="017E2D73"/>
    <w:rsid w:val="01A72EEF"/>
    <w:rsid w:val="01BE6222"/>
    <w:rsid w:val="01C73E98"/>
    <w:rsid w:val="01C92250"/>
    <w:rsid w:val="02055082"/>
    <w:rsid w:val="02247ACE"/>
    <w:rsid w:val="026B74AB"/>
    <w:rsid w:val="02840131"/>
    <w:rsid w:val="0293255D"/>
    <w:rsid w:val="02974B2C"/>
    <w:rsid w:val="02A3150C"/>
    <w:rsid w:val="02CC6E30"/>
    <w:rsid w:val="02D92142"/>
    <w:rsid w:val="02F129B9"/>
    <w:rsid w:val="03323B4D"/>
    <w:rsid w:val="035C3D6F"/>
    <w:rsid w:val="036A4118"/>
    <w:rsid w:val="037B5A38"/>
    <w:rsid w:val="038207AB"/>
    <w:rsid w:val="038F07B3"/>
    <w:rsid w:val="03A03184"/>
    <w:rsid w:val="04054EA8"/>
    <w:rsid w:val="041C7FB9"/>
    <w:rsid w:val="0423779E"/>
    <w:rsid w:val="044C330C"/>
    <w:rsid w:val="047475DC"/>
    <w:rsid w:val="04975296"/>
    <w:rsid w:val="049A7C20"/>
    <w:rsid w:val="049B317F"/>
    <w:rsid w:val="04A309D6"/>
    <w:rsid w:val="04A57753"/>
    <w:rsid w:val="04C31FAE"/>
    <w:rsid w:val="04D42728"/>
    <w:rsid w:val="04E34912"/>
    <w:rsid w:val="05017C52"/>
    <w:rsid w:val="054579FD"/>
    <w:rsid w:val="054D6CFB"/>
    <w:rsid w:val="054F5D32"/>
    <w:rsid w:val="05674649"/>
    <w:rsid w:val="056D44BF"/>
    <w:rsid w:val="05A71B3F"/>
    <w:rsid w:val="05BE24D8"/>
    <w:rsid w:val="05D879A7"/>
    <w:rsid w:val="05E76E48"/>
    <w:rsid w:val="05EC04F9"/>
    <w:rsid w:val="05F34893"/>
    <w:rsid w:val="05F9301F"/>
    <w:rsid w:val="060A5367"/>
    <w:rsid w:val="061760BE"/>
    <w:rsid w:val="066F5DC3"/>
    <w:rsid w:val="0676474C"/>
    <w:rsid w:val="068C4871"/>
    <w:rsid w:val="069602FF"/>
    <w:rsid w:val="06F62551"/>
    <w:rsid w:val="072D0157"/>
    <w:rsid w:val="075D020D"/>
    <w:rsid w:val="07621280"/>
    <w:rsid w:val="0790327A"/>
    <w:rsid w:val="07A428E3"/>
    <w:rsid w:val="07CB185D"/>
    <w:rsid w:val="07DA4E9C"/>
    <w:rsid w:val="08093A71"/>
    <w:rsid w:val="08825F1C"/>
    <w:rsid w:val="08A76D34"/>
    <w:rsid w:val="08F00221"/>
    <w:rsid w:val="08F852E6"/>
    <w:rsid w:val="08FB6F31"/>
    <w:rsid w:val="09092DE7"/>
    <w:rsid w:val="09572877"/>
    <w:rsid w:val="097C1490"/>
    <w:rsid w:val="099E24B2"/>
    <w:rsid w:val="09AB0983"/>
    <w:rsid w:val="09CE1116"/>
    <w:rsid w:val="09E076C7"/>
    <w:rsid w:val="0A1E7575"/>
    <w:rsid w:val="0A2013A9"/>
    <w:rsid w:val="0A22681A"/>
    <w:rsid w:val="0A2F7010"/>
    <w:rsid w:val="0A435CEB"/>
    <w:rsid w:val="0A564057"/>
    <w:rsid w:val="0A765A8A"/>
    <w:rsid w:val="0A7756BB"/>
    <w:rsid w:val="0A813285"/>
    <w:rsid w:val="0A9C44DC"/>
    <w:rsid w:val="0AA809C6"/>
    <w:rsid w:val="0ACE705D"/>
    <w:rsid w:val="0AD3705F"/>
    <w:rsid w:val="0AF837E4"/>
    <w:rsid w:val="0B05035F"/>
    <w:rsid w:val="0B2336D9"/>
    <w:rsid w:val="0B2B22F5"/>
    <w:rsid w:val="0B5140BC"/>
    <w:rsid w:val="0B615CFF"/>
    <w:rsid w:val="0B6D3325"/>
    <w:rsid w:val="0B831A63"/>
    <w:rsid w:val="0B8C6DD9"/>
    <w:rsid w:val="0B8F7AB0"/>
    <w:rsid w:val="0BA95626"/>
    <w:rsid w:val="0BC23C9A"/>
    <w:rsid w:val="0BEB6F66"/>
    <w:rsid w:val="0C01007F"/>
    <w:rsid w:val="0C1E10EA"/>
    <w:rsid w:val="0C3628D7"/>
    <w:rsid w:val="0C463AE2"/>
    <w:rsid w:val="0C51498E"/>
    <w:rsid w:val="0C585D0D"/>
    <w:rsid w:val="0C944D0C"/>
    <w:rsid w:val="0CDC043F"/>
    <w:rsid w:val="0D1529FF"/>
    <w:rsid w:val="0D3B1F2E"/>
    <w:rsid w:val="0D3B4AA2"/>
    <w:rsid w:val="0D543F47"/>
    <w:rsid w:val="0D9269B0"/>
    <w:rsid w:val="0D992AED"/>
    <w:rsid w:val="0DB25F8E"/>
    <w:rsid w:val="0DDA32BA"/>
    <w:rsid w:val="0DDF07D6"/>
    <w:rsid w:val="0E0F21BC"/>
    <w:rsid w:val="0E1770D6"/>
    <w:rsid w:val="0E2B18D5"/>
    <w:rsid w:val="0E3218E4"/>
    <w:rsid w:val="0E3E6654"/>
    <w:rsid w:val="0E603C3C"/>
    <w:rsid w:val="0E73260E"/>
    <w:rsid w:val="0EA91BC1"/>
    <w:rsid w:val="0EEF6AAD"/>
    <w:rsid w:val="0EFB7D6B"/>
    <w:rsid w:val="0F012419"/>
    <w:rsid w:val="0F0311C1"/>
    <w:rsid w:val="0F035F56"/>
    <w:rsid w:val="0F17197D"/>
    <w:rsid w:val="0F3410B2"/>
    <w:rsid w:val="0F503CB0"/>
    <w:rsid w:val="0F524821"/>
    <w:rsid w:val="0F6B1F01"/>
    <w:rsid w:val="0F8F0B6A"/>
    <w:rsid w:val="0FB74DC9"/>
    <w:rsid w:val="0FC819BD"/>
    <w:rsid w:val="10065613"/>
    <w:rsid w:val="101A621B"/>
    <w:rsid w:val="102F0E28"/>
    <w:rsid w:val="10390118"/>
    <w:rsid w:val="104B1D7A"/>
    <w:rsid w:val="10A25EDA"/>
    <w:rsid w:val="10D4339F"/>
    <w:rsid w:val="110A4333"/>
    <w:rsid w:val="11652FD6"/>
    <w:rsid w:val="11812847"/>
    <w:rsid w:val="11D843F8"/>
    <w:rsid w:val="11F56084"/>
    <w:rsid w:val="120D6C92"/>
    <w:rsid w:val="121E62E8"/>
    <w:rsid w:val="124B49D0"/>
    <w:rsid w:val="127E0EA0"/>
    <w:rsid w:val="12DE2AB6"/>
    <w:rsid w:val="12E271C4"/>
    <w:rsid w:val="12E63C04"/>
    <w:rsid w:val="12F6691D"/>
    <w:rsid w:val="13004370"/>
    <w:rsid w:val="13010ECD"/>
    <w:rsid w:val="13221655"/>
    <w:rsid w:val="135F0966"/>
    <w:rsid w:val="13743515"/>
    <w:rsid w:val="13A26AA4"/>
    <w:rsid w:val="13D773DA"/>
    <w:rsid w:val="1405252B"/>
    <w:rsid w:val="144E3925"/>
    <w:rsid w:val="14523C8E"/>
    <w:rsid w:val="14805E28"/>
    <w:rsid w:val="14814229"/>
    <w:rsid w:val="1485642A"/>
    <w:rsid w:val="148C55F5"/>
    <w:rsid w:val="1493579A"/>
    <w:rsid w:val="14A02656"/>
    <w:rsid w:val="14EF2214"/>
    <w:rsid w:val="15112FB3"/>
    <w:rsid w:val="15147B15"/>
    <w:rsid w:val="1517629B"/>
    <w:rsid w:val="151D2886"/>
    <w:rsid w:val="15A71FCF"/>
    <w:rsid w:val="15CE73E7"/>
    <w:rsid w:val="15DA6861"/>
    <w:rsid w:val="15F7039E"/>
    <w:rsid w:val="16243806"/>
    <w:rsid w:val="16521360"/>
    <w:rsid w:val="1658169C"/>
    <w:rsid w:val="168946E3"/>
    <w:rsid w:val="169A1CB5"/>
    <w:rsid w:val="169D6CED"/>
    <w:rsid w:val="16CC463A"/>
    <w:rsid w:val="172A6452"/>
    <w:rsid w:val="174638BB"/>
    <w:rsid w:val="17526FA4"/>
    <w:rsid w:val="178A5D34"/>
    <w:rsid w:val="1795379C"/>
    <w:rsid w:val="17E27FC0"/>
    <w:rsid w:val="17FF6621"/>
    <w:rsid w:val="18063809"/>
    <w:rsid w:val="180939DF"/>
    <w:rsid w:val="18254473"/>
    <w:rsid w:val="18743727"/>
    <w:rsid w:val="18817186"/>
    <w:rsid w:val="18A53C2D"/>
    <w:rsid w:val="18E66AB2"/>
    <w:rsid w:val="19097C61"/>
    <w:rsid w:val="19155678"/>
    <w:rsid w:val="19241D0A"/>
    <w:rsid w:val="194F7902"/>
    <w:rsid w:val="19B81747"/>
    <w:rsid w:val="19C31B39"/>
    <w:rsid w:val="19DC1C4E"/>
    <w:rsid w:val="19FF33EE"/>
    <w:rsid w:val="1A224809"/>
    <w:rsid w:val="1A70567B"/>
    <w:rsid w:val="1A774458"/>
    <w:rsid w:val="1A846A93"/>
    <w:rsid w:val="1AA22304"/>
    <w:rsid w:val="1ABC2F02"/>
    <w:rsid w:val="1ABD34B5"/>
    <w:rsid w:val="1AC25B01"/>
    <w:rsid w:val="1B073DB4"/>
    <w:rsid w:val="1B1A1616"/>
    <w:rsid w:val="1B1A3D35"/>
    <w:rsid w:val="1B55264E"/>
    <w:rsid w:val="1B642891"/>
    <w:rsid w:val="1B8B4540"/>
    <w:rsid w:val="1B980981"/>
    <w:rsid w:val="1BC021BE"/>
    <w:rsid w:val="1BC83144"/>
    <w:rsid w:val="1BEA4C7C"/>
    <w:rsid w:val="1BFF6919"/>
    <w:rsid w:val="1C885DAD"/>
    <w:rsid w:val="1C8C6544"/>
    <w:rsid w:val="1C9E7D2D"/>
    <w:rsid w:val="1CA43733"/>
    <w:rsid w:val="1CAB0B30"/>
    <w:rsid w:val="1CCA5C25"/>
    <w:rsid w:val="1D1A58FD"/>
    <w:rsid w:val="1D556DBC"/>
    <w:rsid w:val="1DB9318D"/>
    <w:rsid w:val="1DCC309C"/>
    <w:rsid w:val="1DF1639C"/>
    <w:rsid w:val="1E037DAC"/>
    <w:rsid w:val="1E262263"/>
    <w:rsid w:val="1E371FCE"/>
    <w:rsid w:val="1E55723C"/>
    <w:rsid w:val="1EA4279A"/>
    <w:rsid w:val="1EA700B7"/>
    <w:rsid w:val="1F130856"/>
    <w:rsid w:val="1F152A17"/>
    <w:rsid w:val="1F4E3E9E"/>
    <w:rsid w:val="1F6210D9"/>
    <w:rsid w:val="1F640C4B"/>
    <w:rsid w:val="1F696B4E"/>
    <w:rsid w:val="1F7C3BBA"/>
    <w:rsid w:val="1FC2394D"/>
    <w:rsid w:val="1FCF2A25"/>
    <w:rsid w:val="1FF3184D"/>
    <w:rsid w:val="20203646"/>
    <w:rsid w:val="202A5D19"/>
    <w:rsid w:val="205630F0"/>
    <w:rsid w:val="208D2FA3"/>
    <w:rsid w:val="20910DC7"/>
    <w:rsid w:val="209640CD"/>
    <w:rsid w:val="20967EE2"/>
    <w:rsid w:val="20CA763A"/>
    <w:rsid w:val="20D3473E"/>
    <w:rsid w:val="20DD79A8"/>
    <w:rsid w:val="20E233A0"/>
    <w:rsid w:val="20E3050A"/>
    <w:rsid w:val="21170006"/>
    <w:rsid w:val="213D7796"/>
    <w:rsid w:val="214967B1"/>
    <w:rsid w:val="215E6B36"/>
    <w:rsid w:val="21660D84"/>
    <w:rsid w:val="217D1569"/>
    <w:rsid w:val="21AB6CB3"/>
    <w:rsid w:val="21B4139D"/>
    <w:rsid w:val="21DA28C2"/>
    <w:rsid w:val="21E92535"/>
    <w:rsid w:val="21EA67DF"/>
    <w:rsid w:val="22342FBD"/>
    <w:rsid w:val="22494C50"/>
    <w:rsid w:val="22551944"/>
    <w:rsid w:val="225718E5"/>
    <w:rsid w:val="2279283A"/>
    <w:rsid w:val="227A5108"/>
    <w:rsid w:val="22893EED"/>
    <w:rsid w:val="22AB5DF9"/>
    <w:rsid w:val="22AF297E"/>
    <w:rsid w:val="22C87A6E"/>
    <w:rsid w:val="22CE4F93"/>
    <w:rsid w:val="22DA3051"/>
    <w:rsid w:val="22DC4C58"/>
    <w:rsid w:val="23236BC0"/>
    <w:rsid w:val="237F36A3"/>
    <w:rsid w:val="23AD68F9"/>
    <w:rsid w:val="23C31EAF"/>
    <w:rsid w:val="23C46C9C"/>
    <w:rsid w:val="23CD5BEA"/>
    <w:rsid w:val="23D46646"/>
    <w:rsid w:val="23E16DB3"/>
    <w:rsid w:val="23EF07BD"/>
    <w:rsid w:val="240B21ED"/>
    <w:rsid w:val="242D3833"/>
    <w:rsid w:val="24816B05"/>
    <w:rsid w:val="24941690"/>
    <w:rsid w:val="24CF590E"/>
    <w:rsid w:val="24D047DF"/>
    <w:rsid w:val="24FD473D"/>
    <w:rsid w:val="25513E86"/>
    <w:rsid w:val="25581FF1"/>
    <w:rsid w:val="25665875"/>
    <w:rsid w:val="256C491B"/>
    <w:rsid w:val="258F5A73"/>
    <w:rsid w:val="25AF7D77"/>
    <w:rsid w:val="25B61F3B"/>
    <w:rsid w:val="25B73564"/>
    <w:rsid w:val="25C83247"/>
    <w:rsid w:val="25CF57C2"/>
    <w:rsid w:val="25E2566C"/>
    <w:rsid w:val="25E35426"/>
    <w:rsid w:val="26024071"/>
    <w:rsid w:val="2613738E"/>
    <w:rsid w:val="262D044F"/>
    <w:rsid w:val="26A742E8"/>
    <w:rsid w:val="26A83F7A"/>
    <w:rsid w:val="26CF1553"/>
    <w:rsid w:val="26DA0542"/>
    <w:rsid w:val="27257379"/>
    <w:rsid w:val="273259A9"/>
    <w:rsid w:val="27380A7A"/>
    <w:rsid w:val="27503865"/>
    <w:rsid w:val="275A5F00"/>
    <w:rsid w:val="276258F6"/>
    <w:rsid w:val="279A2560"/>
    <w:rsid w:val="27BF2BA3"/>
    <w:rsid w:val="27CE5C62"/>
    <w:rsid w:val="27DA7DAA"/>
    <w:rsid w:val="27EC60E8"/>
    <w:rsid w:val="27F23143"/>
    <w:rsid w:val="28063E8E"/>
    <w:rsid w:val="28790670"/>
    <w:rsid w:val="29095C9F"/>
    <w:rsid w:val="291B1976"/>
    <w:rsid w:val="292145DB"/>
    <w:rsid w:val="292D12B6"/>
    <w:rsid w:val="29981B05"/>
    <w:rsid w:val="29AB0C3B"/>
    <w:rsid w:val="29BB4910"/>
    <w:rsid w:val="29DB234D"/>
    <w:rsid w:val="29DD3939"/>
    <w:rsid w:val="29EF3C6E"/>
    <w:rsid w:val="2A1F36F3"/>
    <w:rsid w:val="2A34131C"/>
    <w:rsid w:val="2A5212E6"/>
    <w:rsid w:val="2A557DA1"/>
    <w:rsid w:val="2A5911D6"/>
    <w:rsid w:val="2A636FF6"/>
    <w:rsid w:val="2A80573B"/>
    <w:rsid w:val="2AB01D87"/>
    <w:rsid w:val="2AC86999"/>
    <w:rsid w:val="2B0E2702"/>
    <w:rsid w:val="2B3B1E66"/>
    <w:rsid w:val="2B693CA0"/>
    <w:rsid w:val="2B770163"/>
    <w:rsid w:val="2B960D99"/>
    <w:rsid w:val="2B9E3F4D"/>
    <w:rsid w:val="2B9E7E17"/>
    <w:rsid w:val="2BCB247B"/>
    <w:rsid w:val="2BEF61A7"/>
    <w:rsid w:val="2C7D12B4"/>
    <w:rsid w:val="2CCA7EB6"/>
    <w:rsid w:val="2CED73A5"/>
    <w:rsid w:val="2CF72413"/>
    <w:rsid w:val="2D2E7549"/>
    <w:rsid w:val="2D3347E7"/>
    <w:rsid w:val="2D4F38E3"/>
    <w:rsid w:val="2D6045A9"/>
    <w:rsid w:val="2D9617F6"/>
    <w:rsid w:val="2DA74F8B"/>
    <w:rsid w:val="2DBE7E6A"/>
    <w:rsid w:val="2DCB0FE4"/>
    <w:rsid w:val="2DEC5B1F"/>
    <w:rsid w:val="2E21726B"/>
    <w:rsid w:val="2E3F51C4"/>
    <w:rsid w:val="2E7532C5"/>
    <w:rsid w:val="2E764929"/>
    <w:rsid w:val="2EC42EDA"/>
    <w:rsid w:val="2ED27DE6"/>
    <w:rsid w:val="2EEB7660"/>
    <w:rsid w:val="2F423753"/>
    <w:rsid w:val="2F4F3B4B"/>
    <w:rsid w:val="2F575FD4"/>
    <w:rsid w:val="2FB87BD1"/>
    <w:rsid w:val="2FF80F0E"/>
    <w:rsid w:val="304108B1"/>
    <w:rsid w:val="305807BF"/>
    <w:rsid w:val="305C6EA6"/>
    <w:rsid w:val="306B5FE8"/>
    <w:rsid w:val="307E46AF"/>
    <w:rsid w:val="30D81EF7"/>
    <w:rsid w:val="30D93356"/>
    <w:rsid w:val="30DA1DD9"/>
    <w:rsid w:val="3102072B"/>
    <w:rsid w:val="318C4BC4"/>
    <w:rsid w:val="318D2CFD"/>
    <w:rsid w:val="31B83326"/>
    <w:rsid w:val="31C54ACE"/>
    <w:rsid w:val="31EF7B28"/>
    <w:rsid w:val="31F0564D"/>
    <w:rsid w:val="32015993"/>
    <w:rsid w:val="322118FB"/>
    <w:rsid w:val="322476CF"/>
    <w:rsid w:val="322B55AE"/>
    <w:rsid w:val="32390A38"/>
    <w:rsid w:val="32425283"/>
    <w:rsid w:val="32521B1D"/>
    <w:rsid w:val="3264169D"/>
    <w:rsid w:val="326C65A7"/>
    <w:rsid w:val="326D5167"/>
    <w:rsid w:val="326E6C1E"/>
    <w:rsid w:val="329F5F4A"/>
    <w:rsid w:val="32AD00E0"/>
    <w:rsid w:val="32BB403E"/>
    <w:rsid w:val="32C42D13"/>
    <w:rsid w:val="32DD681E"/>
    <w:rsid w:val="32E3590E"/>
    <w:rsid w:val="32FC3D25"/>
    <w:rsid w:val="33136037"/>
    <w:rsid w:val="3316675F"/>
    <w:rsid w:val="332700AE"/>
    <w:rsid w:val="333252F7"/>
    <w:rsid w:val="33800A0F"/>
    <w:rsid w:val="338E424C"/>
    <w:rsid w:val="339B377C"/>
    <w:rsid w:val="33D1368F"/>
    <w:rsid w:val="345631E3"/>
    <w:rsid w:val="34572A71"/>
    <w:rsid w:val="349D7A9E"/>
    <w:rsid w:val="34B410D3"/>
    <w:rsid w:val="34BB41E0"/>
    <w:rsid w:val="34BC4B4B"/>
    <w:rsid w:val="34C12DD7"/>
    <w:rsid w:val="35005DCC"/>
    <w:rsid w:val="3507717E"/>
    <w:rsid w:val="350C2D09"/>
    <w:rsid w:val="35564F85"/>
    <w:rsid w:val="35887632"/>
    <w:rsid w:val="3592350F"/>
    <w:rsid w:val="3598340C"/>
    <w:rsid w:val="35A67A5F"/>
    <w:rsid w:val="3615435C"/>
    <w:rsid w:val="361C37F0"/>
    <w:rsid w:val="361E362C"/>
    <w:rsid w:val="3635774B"/>
    <w:rsid w:val="3642105E"/>
    <w:rsid w:val="366E1C81"/>
    <w:rsid w:val="366E4460"/>
    <w:rsid w:val="36773E5D"/>
    <w:rsid w:val="36801F8F"/>
    <w:rsid w:val="36981915"/>
    <w:rsid w:val="36AC3612"/>
    <w:rsid w:val="36AF573D"/>
    <w:rsid w:val="36BB169B"/>
    <w:rsid w:val="36CF23CE"/>
    <w:rsid w:val="36D3565B"/>
    <w:rsid w:val="36E0622F"/>
    <w:rsid w:val="36ED3DEE"/>
    <w:rsid w:val="3720584E"/>
    <w:rsid w:val="375D21A8"/>
    <w:rsid w:val="376C2F10"/>
    <w:rsid w:val="3779039B"/>
    <w:rsid w:val="37FB3273"/>
    <w:rsid w:val="383967AA"/>
    <w:rsid w:val="387D41EE"/>
    <w:rsid w:val="387F5AF8"/>
    <w:rsid w:val="3886276F"/>
    <w:rsid w:val="38C661A5"/>
    <w:rsid w:val="38E01351"/>
    <w:rsid w:val="38E50D89"/>
    <w:rsid w:val="39455184"/>
    <w:rsid w:val="39726B7C"/>
    <w:rsid w:val="397F6DBC"/>
    <w:rsid w:val="399B6E57"/>
    <w:rsid w:val="39EA3076"/>
    <w:rsid w:val="3A2C1123"/>
    <w:rsid w:val="3A395E36"/>
    <w:rsid w:val="3A443C96"/>
    <w:rsid w:val="3A5E2E76"/>
    <w:rsid w:val="3A5E70A9"/>
    <w:rsid w:val="3A605AF2"/>
    <w:rsid w:val="3A836438"/>
    <w:rsid w:val="3A8F74D3"/>
    <w:rsid w:val="3ADE1AAE"/>
    <w:rsid w:val="3B131EB2"/>
    <w:rsid w:val="3B457F98"/>
    <w:rsid w:val="3B6C49BC"/>
    <w:rsid w:val="3B776CDF"/>
    <w:rsid w:val="3BA30382"/>
    <w:rsid w:val="3BAA39EE"/>
    <w:rsid w:val="3C0359A7"/>
    <w:rsid w:val="3C22520C"/>
    <w:rsid w:val="3C3A0A68"/>
    <w:rsid w:val="3C457F4A"/>
    <w:rsid w:val="3C9C292F"/>
    <w:rsid w:val="3CB94393"/>
    <w:rsid w:val="3CCA3314"/>
    <w:rsid w:val="3D7E738B"/>
    <w:rsid w:val="3DBD339D"/>
    <w:rsid w:val="3DFD6502"/>
    <w:rsid w:val="3E4F3CEB"/>
    <w:rsid w:val="3E8B7A4C"/>
    <w:rsid w:val="3EF54968"/>
    <w:rsid w:val="3F1B0FC1"/>
    <w:rsid w:val="3F246DEE"/>
    <w:rsid w:val="3F2C0824"/>
    <w:rsid w:val="3F320B28"/>
    <w:rsid w:val="3F4A0470"/>
    <w:rsid w:val="3F5512BA"/>
    <w:rsid w:val="3FD602BE"/>
    <w:rsid w:val="400468BA"/>
    <w:rsid w:val="40455FBC"/>
    <w:rsid w:val="40D60483"/>
    <w:rsid w:val="40E340D5"/>
    <w:rsid w:val="40E67721"/>
    <w:rsid w:val="40EF446D"/>
    <w:rsid w:val="40FD0A5D"/>
    <w:rsid w:val="41366D43"/>
    <w:rsid w:val="414A1BE4"/>
    <w:rsid w:val="4152018A"/>
    <w:rsid w:val="416C7DBD"/>
    <w:rsid w:val="41AC02AE"/>
    <w:rsid w:val="41D02A92"/>
    <w:rsid w:val="41F122DB"/>
    <w:rsid w:val="41F45414"/>
    <w:rsid w:val="41F910E9"/>
    <w:rsid w:val="4234381E"/>
    <w:rsid w:val="42954201"/>
    <w:rsid w:val="429602CF"/>
    <w:rsid w:val="429823CB"/>
    <w:rsid w:val="429D5C8C"/>
    <w:rsid w:val="42A178EE"/>
    <w:rsid w:val="42E77A79"/>
    <w:rsid w:val="43050FCE"/>
    <w:rsid w:val="433831AE"/>
    <w:rsid w:val="433B256A"/>
    <w:rsid w:val="43460D6B"/>
    <w:rsid w:val="43D9356D"/>
    <w:rsid w:val="43F31EC1"/>
    <w:rsid w:val="43FB1131"/>
    <w:rsid w:val="441219F8"/>
    <w:rsid w:val="441A2345"/>
    <w:rsid w:val="44385910"/>
    <w:rsid w:val="44390B29"/>
    <w:rsid w:val="443F0DB6"/>
    <w:rsid w:val="445E4478"/>
    <w:rsid w:val="447E4A26"/>
    <w:rsid w:val="449F0313"/>
    <w:rsid w:val="449F1233"/>
    <w:rsid w:val="44B7371B"/>
    <w:rsid w:val="44E471D7"/>
    <w:rsid w:val="44EC107E"/>
    <w:rsid w:val="45500698"/>
    <w:rsid w:val="458F40E0"/>
    <w:rsid w:val="45941E41"/>
    <w:rsid w:val="459F72F2"/>
    <w:rsid w:val="45D4622A"/>
    <w:rsid w:val="461A0599"/>
    <w:rsid w:val="462E0726"/>
    <w:rsid w:val="4683709C"/>
    <w:rsid w:val="46971BE9"/>
    <w:rsid w:val="46AF2877"/>
    <w:rsid w:val="46D6477E"/>
    <w:rsid w:val="46EC4F2E"/>
    <w:rsid w:val="471760F8"/>
    <w:rsid w:val="47435B56"/>
    <w:rsid w:val="476123B9"/>
    <w:rsid w:val="47706491"/>
    <w:rsid w:val="47720309"/>
    <w:rsid w:val="478009AC"/>
    <w:rsid w:val="479018E7"/>
    <w:rsid w:val="47A42B87"/>
    <w:rsid w:val="47B03B4D"/>
    <w:rsid w:val="47BC5C53"/>
    <w:rsid w:val="47CD3427"/>
    <w:rsid w:val="484A0F00"/>
    <w:rsid w:val="484E4048"/>
    <w:rsid w:val="48787FAC"/>
    <w:rsid w:val="489B2F4B"/>
    <w:rsid w:val="48A1116B"/>
    <w:rsid w:val="48AE0CFD"/>
    <w:rsid w:val="48C0305C"/>
    <w:rsid w:val="48CF07C1"/>
    <w:rsid w:val="48D1046F"/>
    <w:rsid w:val="490C1CEF"/>
    <w:rsid w:val="4928477D"/>
    <w:rsid w:val="49360D0C"/>
    <w:rsid w:val="493865B5"/>
    <w:rsid w:val="496C7C8D"/>
    <w:rsid w:val="498469FF"/>
    <w:rsid w:val="49C06B90"/>
    <w:rsid w:val="49D04E1F"/>
    <w:rsid w:val="49DF5A21"/>
    <w:rsid w:val="4A187D2D"/>
    <w:rsid w:val="4AC863B5"/>
    <w:rsid w:val="4ACA4859"/>
    <w:rsid w:val="4ADD6C7C"/>
    <w:rsid w:val="4AF46C49"/>
    <w:rsid w:val="4B410C16"/>
    <w:rsid w:val="4B44380D"/>
    <w:rsid w:val="4B7F5BCC"/>
    <w:rsid w:val="4BA94BA1"/>
    <w:rsid w:val="4BB30F42"/>
    <w:rsid w:val="4BC17ABD"/>
    <w:rsid w:val="4BE30FDE"/>
    <w:rsid w:val="4BE72F58"/>
    <w:rsid w:val="4BEE18C0"/>
    <w:rsid w:val="4BF33563"/>
    <w:rsid w:val="4BF50CB2"/>
    <w:rsid w:val="4C6E15BF"/>
    <w:rsid w:val="4C737E6D"/>
    <w:rsid w:val="4CAF6EB5"/>
    <w:rsid w:val="4CB2054A"/>
    <w:rsid w:val="4CC6023B"/>
    <w:rsid w:val="4CC65386"/>
    <w:rsid w:val="4CD72D82"/>
    <w:rsid w:val="4CDB591E"/>
    <w:rsid w:val="4CDF679D"/>
    <w:rsid w:val="4CFE0910"/>
    <w:rsid w:val="4D165162"/>
    <w:rsid w:val="4D170BB5"/>
    <w:rsid w:val="4D574D34"/>
    <w:rsid w:val="4D5B4FF3"/>
    <w:rsid w:val="4D602609"/>
    <w:rsid w:val="4D640565"/>
    <w:rsid w:val="4D7213D6"/>
    <w:rsid w:val="4DB67C3F"/>
    <w:rsid w:val="4DB93C1C"/>
    <w:rsid w:val="4DDB3C99"/>
    <w:rsid w:val="4DDC3463"/>
    <w:rsid w:val="4E050942"/>
    <w:rsid w:val="4E0D09E3"/>
    <w:rsid w:val="4E241925"/>
    <w:rsid w:val="4E247E95"/>
    <w:rsid w:val="4E274294"/>
    <w:rsid w:val="4E4207B2"/>
    <w:rsid w:val="4E5649B8"/>
    <w:rsid w:val="4EC84766"/>
    <w:rsid w:val="4ED133E0"/>
    <w:rsid w:val="4EE1639C"/>
    <w:rsid w:val="4EF94B51"/>
    <w:rsid w:val="4F0516BA"/>
    <w:rsid w:val="4F4F2ACB"/>
    <w:rsid w:val="4F5A7C58"/>
    <w:rsid w:val="4F7A5C1F"/>
    <w:rsid w:val="4F8627FB"/>
    <w:rsid w:val="4F8F33DB"/>
    <w:rsid w:val="4F940DFD"/>
    <w:rsid w:val="4F9D2D1D"/>
    <w:rsid w:val="4FB708E9"/>
    <w:rsid w:val="4FDC2ACC"/>
    <w:rsid w:val="4FF8744B"/>
    <w:rsid w:val="4FFB507E"/>
    <w:rsid w:val="501C5568"/>
    <w:rsid w:val="503F1F7D"/>
    <w:rsid w:val="50815D87"/>
    <w:rsid w:val="50875DDA"/>
    <w:rsid w:val="50A67405"/>
    <w:rsid w:val="50BF7A86"/>
    <w:rsid w:val="50F7462E"/>
    <w:rsid w:val="50FC2C3C"/>
    <w:rsid w:val="511424A7"/>
    <w:rsid w:val="511E3C91"/>
    <w:rsid w:val="5165451C"/>
    <w:rsid w:val="518F7337"/>
    <w:rsid w:val="51C8534D"/>
    <w:rsid w:val="51CA2B07"/>
    <w:rsid w:val="51D574B6"/>
    <w:rsid w:val="51D97625"/>
    <w:rsid w:val="51E351F8"/>
    <w:rsid w:val="520D40AC"/>
    <w:rsid w:val="52237D21"/>
    <w:rsid w:val="524B5983"/>
    <w:rsid w:val="527777E7"/>
    <w:rsid w:val="528E2E9A"/>
    <w:rsid w:val="52A248C9"/>
    <w:rsid w:val="52E413C5"/>
    <w:rsid w:val="533E54DE"/>
    <w:rsid w:val="53532AF5"/>
    <w:rsid w:val="5363174A"/>
    <w:rsid w:val="53781CD0"/>
    <w:rsid w:val="53BE66B0"/>
    <w:rsid w:val="53D272B4"/>
    <w:rsid w:val="53D42902"/>
    <w:rsid w:val="53E429F3"/>
    <w:rsid w:val="53E73A84"/>
    <w:rsid w:val="53FC7D3D"/>
    <w:rsid w:val="54044343"/>
    <w:rsid w:val="543F1784"/>
    <w:rsid w:val="544F4B17"/>
    <w:rsid w:val="54690E06"/>
    <w:rsid w:val="547D1B69"/>
    <w:rsid w:val="547D3CA1"/>
    <w:rsid w:val="549A78FD"/>
    <w:rsid w:val="54A71544"/>
    <w:rsid w:val="54BC0A6D"/>
    <w:rsid w:val="54E03240"/>
    <w:rsid w:val="54E161E6"/>
    <w:rsid w:val="55690BF5"/>
    <w:rsid w:val="55717EF0"/>
    <w:rsid w:val="55B83796"/>
    <w:rsid w:val="55BD62FC"/>
    <w:rsid w:val="55CF4789"/>
    <w:rsid w:val="55E24205"/>
    <w:rsid w:val="55E67589"/>
    <w:rsid w:val="55E93AE3"/>
    <w:rsid w:val="55FF3119"/>
    <w:rsid w:val="561600F9"/>
    <w:rsid w:val="56290606"/>
    <w:rsid w:val="56960007"/>
    <w:rsid w:val="569C33FD"/>
    <w:rsid w:val="56A67268"/>
    <w:rsid w:val="56AD53E1"/>
    <w:rsid w:val="56AE727A"/>
    <w:rsid w:val="56E17E4B"/>
    <w:rsid w:val="56E8593D"/>
    <w:rsid w:val="571177FA"/>
    <w:rsid w:val="571A4D54"/>
    <w:rsid w:val="57285324"/>
    <w:rsid w:val="572C50A1"/>
    <w:rsid w:val="574A79DE"/>
    <w:rsid w:val="574E744D"/>
    <w:rsid w:val="57743881"/>
    <w:rsid w:val="57862A77"/>
    <w:rsid w:val="57914433"/>
    <w:rsid w:val="579375BE"/>
    <w:rsid w:val="57D26EB7"/>
    <w:rsid w:val="580653FD"/>
    <w:rsid w:val="580946C3"/>
    <w:rsid w:val="580F63AE"/>
    <w:rsid w:val="583D1F2E"/>
    <w:rsid w:val="586B7753"/>
    <w:rsid w:val="58810003"/>
    <w:rsid w:val="5889510A"/>
    <w:rsid w:val="58AA581E"/>
    <w:rsid w:val="58D02D39"/>
    <w:rsid w:val="58D5070A"/>
    <w:rsid w:val="59043E01"/>
    <w:rsid w:val="59355E79"/>
    <w:rsid w:val="59715A31"/>
    <w:rsid w:val="59BB60CF"/>
    <w:rsid w:val="59D34D02"/>
    <w:rsid w:val="5A4E4EC1"/>
    <w:rsid w:val="5A4E7262"/>
    <w:rsid w:val="5A791DEA"/>
    <w:rsid w:val="5A7C75A7"/>
    <w:rsid w:val="5A804701"/>
    <w:rsid w:val="5A831B3A"/>
    <w:rsid w:val="5AE96F8D"/>
    <w:rsid w:val="5AEE72F1"/>
    <w:rsid w:val="5B48305A"/>
    <w:rsid w:val="5BA26C0E"/>
    <w:rsid w:val="5BC24B08"/>
    <w:rsid w:val="5BE34185"/>
    <w:rsid w:val="5BF6728A"/>
    <w:rsid w:val="5C083ADA"/>
    <w:rsid w:val="5C6526E1"/>
    <w:rsid w:val="5C766F57"/>
    <w:rsid w:val="5C7865A7"/>
    <w:rsid w:val="5C9F3A65"/>
    <w:rsid w:val="5CB11B30"/>
    <w:rsid w:val="5D0118D0"/>
    <w:rsid w:val="5D0B07E3"/>
    <w:rsid w:val="5D0C1B5E"/>
    <w:rsid w:val="5D10309F"/>
    <w:rsid w:val="5D2B4B79"/>
    <w:rsid w:val="5D3D543E"/>
    <w:rsid w:val="5D425978"/>
    <w:rsid w:val="5D6F03B3"/>
    <w:rsid w:val="5D8F57D0"/>
    <w:rsid w:val="5D9769EF"/>
    <w:rsid w:val="5DB43D5B"/>
    <w:rsid w:val="5DBC7815"/>
    <w:rsid w:val="5DC90AF1"/>
    <w:rsid w:val="5E1F3CF6"/>
    <w:rsid w:val="5E3D49CC"/>
    <w:rsid w:val="5E4A70E9"/>
    <w:rsid w:val="5E565CA2"/>
    <w:rsid w:val="5E7B08D1"/>
    <w:rsid w:val="5E7D74BF"/>
    <w:rsid w:val="5E826CA8"/>
    <w:rsid w:val="5E847D30"/>
    <w:rsid w:val="5E8B2C0A"/>
    <w:rsid w:val="5E9E1469"/>
    <w:rsid w:val="5EAB0D2C"/>
    <w:rsid w:val="5EC549C2"/>
    <w:rsid w:val="5F254B55"/>
    <w:rsid w:val="5F261904"/>
    <w:rsid w:val="5F2B1805"/>
    <w:rsid w:val="5F476193"/>
    <w:rsid w:val="5F48187B"/>
    <w:rsid w:val="5F4D6DA2"/>
    <w:rsid w:val="5FA17662"/>
    <w:rsid w:val="5FAE1170"/>
    <w:rsid w:val="5FB76261"/>
    <w:rsid w:val="6010519C"/>
    <w:rsid w:val="604231D2"/>
    <w:rsid w:val="60573113"/>
    <w:rsid w:val="608A289D"/>
    <w:rsid w:val="60A9595B"/>
    <w:rsid w:val="60BA216D"/>
    <w:rsid w:val="60D56C76"/>
    <w:rsid w:val="60E342E4"/>
    <w:rsid w:val="61151723"/>
    <w:rsid w:val="613432FE"/>
    <w:rsid w:val="614528AC"/>
    <w:rsid w:val="617B565A"/>
    <w:rsid w:val="619D6B85"/>
    <w:rsid w:val="61A11716"/>
    <w:rsid w:val="61B363CD"/>
    <w:rsid w:val="61FB170E"/>
    <w:rsid w:val="620F2DB4"/>
    <w:rsid w:val="62A00E16"/>
    <w:rsid w:val="62D14C9E"/>
    <w:rsid w:val="633F463B"/>
    <w:rsid w:val="63640C4D"/>
    <w:rsid w:val="639130C5"/>
    <w:rsid w:val="639F7DC1"/>
    <w:rsid w:val="63CE5918"/>
    <w:rsid w:val="63EE313D"/>
    <w:rsid w:val="63F30435"/>
    <w:rsid w:val="63F743E1"/>
    <w:rsid w:val="64050ABF"/>
    <w:rsid w:val="642D1CFD"/>
    <w:rsid w:val="64363468"/>
    <w:rsid w:val="645239A3"/>
    <w:rsid w:val="64A31301"/>
    <w:rsid w:val="64B32E2F"/>
    <w:rsid w:val="64C157D9"/>
    <w:rsid w:val="64CA7FBA"/>
    <w:rsid w:val="64D8451F"/>
    <w:rsid w:val="64E161B4"/>
    <w:rsid w:val="64E250F2"/>
    <w:rsid w:val="6500469F"/>
    <w:rsid w:val="6515096F"/>
    <w:rsid w:val="659F6081"/>
    <w:rsid w:val="65A70C8A"/>
    <w:rsid w:val="65A76324"/>
    <w:rsid w:val="65A823F2"/>
    <w:rsid w:val="65B460C5"/>
    <w:rsid w:val="65ED414E"/>
    <w:rsid w:val="65EF4D81"/>
    <w:rsid w:val="65FD598B"/>
    <w:rsid w:val="660202AA"/>
    <w:rsid w:val="660758C0"/>
    <w:rsid w:val="66534994"/>
    <w:rsid w:val="66620E80"/>
    <w:rsid w:val="66B5420B"/>
    <w:rsid w:val="670F7889"/>
    <w:rsid w:val="67126567"/>
    <w:rsid w:val="67211260"/>
    <w:rsid w:val="672C7CD4"/>
    <w:rsid w:val="67460997"/>
    <w:rsid w:val="676557D9"/>
    <w:rsid w:val="676D705E"/>
    <w:rsid w:val="67A05B2A"/>
    <w:rsid w:val="67DE2C50"/>
    <w:rsid w:val="67DE7084"/>
    <w:rsid w:val="67E833FD"/>
    <w:rsid w:val="67F7300E"/>
    <w:rsid w:val="68190258"/>
    <w:rsid w:val="68342E8F"/>
    <w:rsid w:val="68483D18"/>
    <w:rsid w:val="687D4BDD"/>
    <w:rsid w:val="68952F54"/>
    <w:rsid w:val="68DC3EFE"/>
    <w:rsid w:val="68DE1277"/>
    <w:rsid w:val="68F37058"/>
    <w:rsid w:val="68F640F6"/>
    <w:rsid w:val="68F77E6E"/>
    <w:rsid w:val="68F8398F"/>
    <w:rsid w:val="69125ADB"/>
    <w:rsid w:val="69507B39"/>
    <w:rsid w:val="698E0FEB"/>
    <w:rsid w:val="6998799E"/>
    <w:rsid w:val="6A1F58CE"/>
    <w:rsid w:val="6A3A3EBA"/>
    <w:rsid w:val="6A3E6267"/>
    <w:rsid w:val="6A5979DE"/>
    <w:rsid w:val="6A8923D3"/>
    <w:rsid w:val="6ADB3525"/>
    <w:rsid w:val="6B120F8F"/>
    <w:rsid w:val="6B8723B0"/>
    <w:rsid w:val="6B8B2B72"/>
    <w:rsid w:val="6BE6098F"/>
    <w:rsid w:val="6BFD0959"/>
    <w:rsid w:val="6C3170F0"/>
    <w:rsid w:val="6C4E5FF7"/>
    <w:rsid w:val="6C8D590E"/>
    <w:rsid w:val="6CA8352E"/>
    <w:rsid w:val="6CB9474B"/>
    <w:rsid w:val="6CB97733"/>
    <w:rsid w:val="6CD37724"/>
    <w:rsid w:val="6CD725ED"/>
    <w:rsid w:val="6CEA4165"/>
    <w:rsid w:val="6D376AFE"/>
    <w:rsid w:val="6D3B35C4"/>
    <w:rsid w:val="6D546223"/>
    <w:rsid w:val="6D6B7357"/>
    <w:rsid w:val="6D9557A8"/>
    <w:rsid w:val="6DF66E88"/>
    <w:rsid w:val="6E0B4668"/>
    <w:rsid w:val="6E141A2A"/>
    <w:rsid w:val="6E2122B7"/>
    <w:rsid w:val="6E4F671D"/>
    <w:rsid w:val="6E5509CC"/>
    <w:rsid w:val="6E5764D2"/>
    <w:rsid w:val="6EA05AE1"/>
    <w:rsid w:val="6EAB20CD"/>
    <w:rsid w:val="6EE06FEB"/>
    <w:rsid w:val="6EED307F"/>
    <w:rsid w:val="6EF74287"/>
    <w:rsid w:val="6F0F5F11"/>
    <w:rsid w:val="6F153218"/>
    <w:rsid w:val="6F1F0ECB"/>
    <w:rsid w:val="6F2D45E9"/>
    <w:rsid w:val="6F76486B"/>
    <w:rsid w:val="6F924A6F"/>
    <w:rsid w:val="6FA61EDA"/>
    <w:rsid w:val="6FB25734"/>
    <w:rsid w:val="6FE403D2"/>
    <w:rsid w:val="6FE55BBD"/>
    <w:rsid w:val="6FFE55F4"/>
    <w:rsid w:val="70025A76"/>
    <w:rsid w:val="7014065D"/>
    <w:rsid w:val="707B47C4"/>
    <w:rsid w:val="709B4B83"/>
    <w:rsid w:val="70B64C12"/>
    <w:rsid w:val="70C11755"/>
    <w:rsid w:val="70DD2618"/>
    <w:rsid w:val="70E6544B"/>
    <w:rsid w:val="70ED0986"/>
    <w:rsid w:val="7161057A"/>
    <w:rsid w:val="71881060"/>
    <w:rsid w:val="718F57A7"/>
    <w:rsid w:val="71C21A16"/>
    <w:rsid w:val="71CF0D35"/>
    <w:rsid w:val="71D60F68"/>
    <w:rsid w:val="71D728C9"/>
    <w:rsid w:val="71E003DD"/>
    <w:rsid w:val="71EA67C2"/>
    <w:rsid w:val="71F41383"/>
    <w:rsid w:val="72021250"/>
    <w:rsid w:val="720F6D7D"/>
    <w:rsid w:val="72472963"/>
    <w:rsid w:val="725B76BF"/>
    <w:rsid w:val="726532FB"/>
    <w:rsid w:val="72670F93"/>
    <w:rsid w:val="727A7B45"/>
    <w:rsid w:val="72950198"/>
    <w:rsid w:val="72A526E9"/>
    <w:rsid w:val="72AD204E"/>
    <w:rsid w:val="72D134DE"/>
    <w:rsid w:val="72EA4658"/>
    <w:rsid w:val="72F84F0E"/>
    <w:rsid w:val="7320375D"/>
    <w:rsid w:val="734075B0"/>
    <w:rsid w:val="736C23ED"/>
    <w:rsid w:val="73BD58F6"/>
    <w:rsid w:val="73F53DA6"/>
    <w:rsid w:val="742B4973"/>
    <w:rsid w:val="74444F9D"/>
    <w:rsid w:val="7446445E"/>
    <w:rsid w:val="748725BD"/>
    <w:rsid w:val="74A01DFE"/>
    <w:rsid w:val="74B00652"/>
    <w:rsid w:val="74B0720C"/>
    <w:rsid w:val="74C6075E"/>
    <w:rsid w:val="74D86BD2"/>
    <w:rsid w:val="74E67714"/>
    <w:rsid w:val="74EC2851"/>
    <w:rsid w:val="74F109DD"/>
    <w:rsid w:val="7509716F"/>
    <w:rsid w:val="751D0CCC"/>
    <w:rsid w:val="753442AC"/>
    <w:rsid w:val="755A26D4"/>
    <w:rsid w:val="75667239"/>
    <w:rsid w:val="756D0B1E"/>
    <w:rsid w:val="75E57090"/>
    <w:rsid w:val="761262E7"/>
    <w:rsid w:val="76167B23"/>
    <w:rsid w:val="761B4B26"/>
    <w:rsid w:val="762F10DD"/>
    <w:rsid w:val="76945580"/>
    <w:rsid w:val="769B575F"/>
    <w:rsid w:val="76BE180F"/>
    <w:rsid w:val="76D2373F"/>
    <w:rsid w:val="76E17EFC"/>
    <w:rsid w:val="771C6DDB"/>
    <w:rsid w:val="774C11E5"/>
    <w:rsid w:val="77563BDF"/>
    <w:rsid w:val="77770AF7"/>
    <w:rsid w:val="77970501"/>
    <w:rsid w:val="77CE4E49"/>
    <w:rsid w:val="77DD1955"/>
    <w:rsid w:val="78492BFF"/>
    <w:rsid w:val="784A2834"/>
    <w:rsid w:val="78986C8F"/>
    <w:rsid w:val="78F316BE"/>
    <w:rsid w:val="78F53EF1"/>
    <w:rsid w:val="79064ACA"/>
    <w:rsid w:val="79200D68"/>
    <w:rsid w:val="79221ED2"/>
    <w:rsid w:val="793A1DDD"/>
    <w:rsid w:val="79404045"/>
    <w:rsid w:val="794B1CCF"/>
    <w:rsid w:val="794E1F75"/>
    <w:rsid w:val="799737F5"/>
    <w:rsid w:val="799E4EDF"/>
    <w:rsid w:val="79AB4A88"/>
    <w:rsid w:val="79C40791"/>
    <w:rsid w:val="79F521A7"/>
    <w:rsid w:val="7A0F3269"/>
    <w:rsid w:val="7A4D6843"/>
    <w:rsid w:val="7A6873D5"/>
    <w:rsid w:val="7A721263"/>
    <w:rsid w:val="7A98300E"/>
    <w:rsid w:val="7AA812CD"/>
    <w:rsid w:val="7AEA2E47"/>
    <w:rsid w:val="7B2241A0"/>
    <w:rsid w:val="7B4E5F74"/>
    <w:rsid w:val="7B5A49B8"/>
    <w:rsid w:val="7B5B590C"/>
    <w:rsid w:val="7B5F3D7C"/>
    <w:rsid w:val="7B7B66DC"/>
    <w:rsid w:val="7BB87930"/>
    <w:rsid w:val="7BC21276"/>
    <w:rsid w:val="7BC27013"/>
    <w:rsid w:val="7BF232D8"/>
    <w:rsid w:val="7C0A10B0"/>
    <w:rsid w:val="7C2521C4"/>
    <w:rsid w:val="7C266A5E"/>
    <w:rsid w:val="7C4D471D"/>
    <w:rsid w:val="7C620CEE"/>
    <w:rsid w:val="7CC43F8D"/>
    <w:rsid w:val="7CC81220"/>
    <w:rsid w:val="7CD3033B"/>
    <w:rsid w:val="7CD4773D"/>
    <w:rsid w:val="7CDD2498"/>
    <w:rsid w:val="7CFC17A3"/>
    <w:rsid w:val="7D1428F3"/>
    <w:rsid w:val="7D1C52E3"/>
    <w:rsid w:val="7D2E060E"/>
    <w:rsid w:val="7D3714E0"/>
    <w:rsid w:val="7D3A2618"/>
    <w:rsid w:val="7D405FDE"/>
    <w:rsid w:val="7D4C09B6"/>
    <w:rsid w:val="7D53229B"/>
    <w:rsid w:val="7D9F232A"/>
    <w:rsid w:val="7DB84B7D"/>
    <w:rsid w:val="7DC03F63"/>
    <w:rsid w:val="7E2719D2"/>
    <w:rsid w:val="7E301C88"/>
    <w:rsid w:val="7E4D25B2"/>
    <w:rsid w:val="7E4D4360"/>
    <w:rsid w:val="7E5706C0"/>
    <w:rsid w:val="7E730C2B"/>
    <w:rsid w:val="7E797FB0"/>
    <w:rsid w:val="7EA1239A"/>
    <w:rsid w:val="7EC81A6C"/>
    <w:rsid w:val="7ED9582D"/>
    <w:rsid w:val="7F21731A"/>
    <w:rsid w:val="7F427C3D"/>
    <w:rsid w:val="7F5300F0"/>
    <w:rsid w:val="7F606315"/>
    <w:rsid w:val="7F66149A"/>
    <w:rsid w:val="7F963AE5"/>
    <w:rsid w:val="7FE07536"/>
    <w:rsid w:val="7FF1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autoRedefine/>
    <w:semiHidden/>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next w:val="1"/>
    <w:autoRedefine/>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6">
    <w:name w:val="heading 4"/>
    <w:basedOn w:val="1"/>
    <w:next w:val="1"/>
    <w:autoRedefine/>
    <w:qFormat/>
    <w:uiPriority w:val="0"/>
    <w:pPr>
      <w:keepNext/>
      <w:keepLines/>
      <w:widowControl/>
      <w:spacing w:before="120" w:beforeLines="0" w:after="120" w:afterLines="0" w:line="240" w:lineRule="auto"/>
      <w:ind w:firstLine="1440" w:firstLineChars="200"/>
      <w:jc w:val="left"/>
      <w:outlineLvl w:val="3"/>
    </w:pPr>
    <w:rPr>
      <w:rFonts w:ascii="Arial" w:hAnsi="Arial" w:eastAsia="黑体" w:cs="Times New Roman"/>
      <w:kern w:val="0"/>
      <w:sz w:val="28"/>
      <w:szCs w:val="20"/>
    </w:rPr>
  </w:style>
  <w:style w:type="paragraph" w:styleId="7">
    <w:name w:val="heading 5"/>
    <w:basedOn w:val="1"/>
    <w:next w:val="1"/>
    <w:autoRedefine/>
    <w:semiHidden/>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paragraph" w:styleId="8">
    <w:name w:val="heading 6"/>
    <w:basedOn w:val="1"/>
    <w:next w:val="1"/>
    <w:autoRedefine/>
    <w:qFormat/>
    <w:uiPriority w:val="0"/>
    <w:pPr>
      <w:keepNext/>
      <w:keepLines/>
      <w:spacing w:before="120" w:beforeLines="0" w:after="120" w:afterLines="0" w:line="240" w:lineRule="auto"/>
      <w:ind w:firstLine="1440" w:firstLineChars="200"/>
      <w:outlineLvl w:val="5"/>
    </w:pPr>
    <w:rPr>
      <w:rFonts w:ascii="Arial" w:hAnsi="Arial" w:eastAsia="黑体" w:cs="Times New Roman"/>
      <w:b/>
      <w:sz w:val="24"/>
    </w:rPr>
  </w:style>
  <w:style w:type="paragraph" w:styleId="9">
    <w:name w:val="heading 7"/>
    <w:basedOn w:val="1"/>
    <w:next w:val="10"/>
    <w:autoRedefine/>
    <w:qFormat/>
    <w:uiPriority w:val="0"/>
    <w:pPr>
      <w:keepNext/>
      <w:keepLines/>
      <w:spacing w:before="240" w:beforeLines="0" w:after="64" w:afterLines="0" w:line="320" w:lineRule="auto"/>
      <w:outlineLvl w:val="6"/>
    </w:pPr>
    <w:rPr>
      <w:rFonts w:ascii="Times New Roman" w:hAnsi="Times New Roman" w:eastAsia="宋体" w:cs="Times New Roman"/>
      <w:b/>
      <w:sz w:val="24"/>
    </w:rPr>
  </w:style>
  <w:style w:type="paragraph" w:styleId="11">
    <w:name w:val="heading 8"/>
    <w:basedOn w:val="1"/>
    <w:next w:val="10"/>
    <w:autoRedefine/>
    <w:qFormat/>
    <w:uiPriority w:val="0"/>
    <w:pPr>
      <w:keepNext/>
      <w:keepLines/>
      <w:spacing w:before="240" w:beforeLines="0" w:after="64" w:afterLines="0" w:line="320" w:lineRule="auto"/>
      <w:outlineLvl w:val="7"/>
    </w:pPr>
    <w:rPr>
      <w:rFonts w:ascii="Arial" w:hAnsi="Arial" w:eastAsia="黑体" w:cs="Times New Roman"/>
      <w:sz w:val="24"/>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0">
    <w:name w:val="Normal Indent"/>
    <w:basedOn w:val="1"/>
    <w:autoRedefine/>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12">
    <w:name w:val="index 8"/>
    <w:basedOn w:val="1"/>
    <w:next w:val="1"/>
    <w:autoRedefine/>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13">
    <w:name w:val="annotation text"/>
    <w:basedOn w:val="1"/>
    <w:autoRedefine/>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4">
    <w:name w:val="Body Text"/>
    <w:basedOn w:val="1"/>
    <w:next w:val="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5">
    <w:name w:val="Body Text Indent"/>
    <w:autoRedefine/>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6">
    <w:name w:val="toc 3"/>
    <w:next w:val="1"/>
    <w:autoRedefine/>
    <w:qFormat/>
    <w:uiPriority w:val="0"/>
    <w:pPr>
      <w:widowControl w:val="0"/>
      <w:jc w:val="left"/>
    </w:pPr>
    <w:rPr>
      <w:rFonts w:ascii="Calibri" w:hAnsi="Calibri" w:eastAsia="宋体" w:cs="Times New Roman"/>
      <w:smallCaps/>
      <w:kern w:val="2"/>
      <w:sz w:val="22"/>
      <w:szCs w:val="22"/>
      <w:lang w:val="en-US" w:eastAsia="zh-CN" w:bidi="ar-SA"/>
    </w:rPr>
  </w:style>
  <w:style w:type="paragraph" w:styleId="17">
    <w:name w:val="Plain Text"/>
    <w:basedOn w:val="1"/>
    <w:next w:val="12"/>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18">
    <w:name w:val="Date"/>
    <w:basedOn w:val="1"/>
    <w:next w:val="1"/>
    <w:qFormat/>
    <w:uiPriority w:val="0"/>
    <w:pPr>
      <w:ind w:left="100" w:leftChars="2500"/>
    </w:pPr>
    <w:rPr>
      <w:rFonts w:ascii="宋体" w:hAnsi="Courier New"/>
      <w:kern w:val="0"/>
      <w:sz w:val="20"/>
      <w:szCs w:val="21"/>
    </w:rPr>
  </w:style>
  <w:style w:type="paragraph" w:styleId="19">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0">
    <w:name w:val="toc 1"/>
    <w:basedOn w:val="1"/>
    <w:next w:val="1"/>
    <w:autoRedefine/>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1">
    <w:name w:val="List"/>
    <w:basedOn w:val="1"/>
    <w:autoRedefine/>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2">
    <w:name w:val="toc 2"/>
    <w:next w:val="1"/>
    <w:autoRedefine/>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3">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table" w:styleId="25">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page number"/>
    <w:autoRedefine/>
    <w:qFormat/>
    <w:uiPriority w:val="0"/>
  </w:style>
  <w:style w:type="character" w:styleId="29">
    <w:name w:val="FollowedHyperlink"/>
    <w:basedOn w:val="26"/>
    <w:autoRedefine/>
    <w:qFormat/>
    <w:uiPriority w:val="0"/>
    <w:rPr>
      <w:rFonts w:hint="eastAsia" w:ascii="微软雅黑" w:hAnsi="微软雅黑" w:eastAsia="微软雅黑" w:cs="微软雅黑"/>
      <w:color w:val="02396F"/>
      <w:u w:val="single"/>
    </w:rPr>
  </w:style>
  <w:style w:type="character" w:styleId="30">
    <w:name w:val="Hyperlink"/>
    <w:autoRedefine/>
    <w:qFormat/>
    <w:uiPriority w:val="0"/>
    <w:rPr>
      <w:color w:val="0000FF"/>
      <w:u w:val="single"/>
    </w:rPr>
  </w:style>
  <w:style w:type="character" w:styleId="31">
    <w:name w:val="annotation reference"/>
    <w:autoRedefine/>
    <w:qFormat/>
    <w:uiPriority w:val="0"/>
    <w:rPr>
      <w:sz w:val="21"/>
      <w:szCs w:val="21"/>
    </w:rPr>
  </w:style>
  <w:style w:type="paragraph" w:customStyle="1" w:styleId="32">
    <w:name w:val="BodyText"/>
    <w:basedOn w:val="1"/>
    <w:autoRedefine/>
    <w:qFormat/>
    <w:uiPriority w:val="0"/>
    <w:pPr>
      <w:spacing w:line="380" w:lineRule="exact"/>
      <w:textAlignment w:val="baseline"/>
    </w:pPr>
    <w:rPr>
      <w:rFonts w:eastAsia="Ђˎ̥"/>
      <w:kern w:val="0"/>
      <w:sz w:val="24"/>
    </w:rPr>
  </w:style>
  <w:style w:type="character" w:customStyle="1" w:styleId="33">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4">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35">
    <w:name w:val="正文缩进1"/>
    <w:next w:val="15"/>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6">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7">
    <w:name w:val="List Paragraph"/>
    <w:basedOn w:val="1"/>
    <w:autoRedefine/>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38">
    <w:name w:val="表格文字"/>
    <w:next w:val="14"/>
    <w:autoRedefine/>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character" w:customStyle="1" w:styleId="39">
    <w:name w:val="font71"/>
    <w:basedOn w:val="26"/>
    <w:autoRedefine/>
    <w:qFormat/>
    <w:uiPriority w:val="0"/>
    <w:rPr>
      <w:rFonts w:hint="eastAsia" w:ascii="仿宋_GB2312" w:eastAsia="仿宋_GB2312" w:cs="仿宋_GB2312"/>
      <w:color w:val="000000"/>
      <w:sz w:val="24"/>
      <w:szCs w:val="24"/>
      <w:u w:val="none"/>
    </w:rPr>
  </w:style>
  <w:style w:type="paragraph" w:customStyle="1" w:styleId="40">
    <w:name w:val="列表段落1"/>
    <w:basedOn w:val="1"/>
    <w:autoRedefine/>
    <w:qFormat/>
    <w:uiPriority w:val="0"/>
    <w:pPr>
      <w:ind w:firstLine="420" w:firstLineChars="200"/>
    </w:pPr>
    <w:rPr>
      <w:rFonts w:ascii="宋体"/>
      <w:kern w:val="0"/>
      <w:sz w:val="34"/>
    </w:rPr>
  </w:style>
  <w:style w:type="paragraph" w:customStyle="1" w:styleId="41">
    <w:name w:val="正文 A"/>
    <w:autoRedefine/>
    <w:qFormat/>
    <w:uiPriority w:val="0"/>
    <w:pPr>
      <w:widowControl w:val="0"/>
      <w:jc w:val="both"/>
    </w:pPr>
    <w:rPr>
      <w:rFonts w:ascii="Arial Unicode MS" w:hAnsi="Arial Unicode MS" w:eastAsia="Times New Roman" w:cs="Arial Unicode MS"/>
      <w:color w:val="000000"/>
      <w:kern w:val="2"/>
      <w:sz w:val="21"/>
      <w:szCs w:val="21"/>
      <w:u w:val="none" w:color="000000"/>
      <w:lang w:val="en-US" w:eastAsia="zh-CN" w:bidi="ar-SA"/>
    </w:rPr>
  </w:style>
  <w:style w:type="paragraph" w:customStyle="1" w:styleId="42">
    <w:name w:val="主送单位"/>
    <w:basedOn w:val="1"/>
    <w:autoRedefine/>
    <w:qFormat/>
    <w:uiPriority w:val="0"/>
    <w:pPr>
      <w:jc w:val="left"/>
    </w:pPr>
    <w:rPr>
      <w:szCs w:val="32"/>
    </w:rPr>
  </w:style>
  <w:style w:type="paragraph" w:customStyle="1" w:styleId="43">
    <w:name w:val="正文1"/>
    <w:next w:val="44"/>
    <w:autoRedefine/>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4"/>
      <w:lang w:val="en-US" w:eastAsia="zh-CN" w:bidi="ar-SA"/>
    </w:rPr>
  </w:style>
  <w:style w:type="paragraph" w:customStyle="1" w:styleId="44">
    <w:name w:val="标题 41"/>
    <w:basedOn w:val="43"/>
    <w:next w:val="43"/>
    <w:autoRedefine/>
    <w:semiHidden/>
    <w:unhideWhenUsed/>
    <w:qFormat/>
    <w:uiPriority w:val="0"/>
    <w:pPr>
      <w:widowControl w:val="0"/>
      <w:spacing w:beforeLines="0" w:beforeAutospacing="0" w:after="0" w:afterAutospacing="0" w:line="360" w:lineRule="auto"/>
      <w:jc w:val="both"/>
      <w:outlineLvl w:val="3"/>
    </w:pPr>
    <w:rPr>
      <w:rFonts w:ascii="宋体" w:hAnsi="宋体" w:eastAsia="宋体" w:cs="宋体"/>
      <w:b/>
      <w:color w:val="00000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41524</Words>
  <Characters>43931</Characters>
  <Lines>0</Lines>
  <Paragraphs>0</Paragraphs>
  <TotalTime>283</TotalTime>
  <ScaleCrop>false</ScaleCrop>
  <LinksUpToDate>false</LinksUpToDate>
  <CharactersWithSpaces>49666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kl</cp:lastModifiedBy>
  <dcterms:modified xsi:type="dcterms:W3CDTF">2025-05-08T09:58:47Z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43598E6B20804F41958C1688FC7E02B2</vt:lpwstr>
  </property>
  <property fmtid="{D5CDD505-2E9C-101B-9397-08002B2CF9AE}" pid="4" name="KSOTemplateDocerSaveRecord">
    <vt:lpwstr>eyJoZGlkIjoiNjM0MjEyZTBlNmZkNzkwMzBhODU4YjhhNWM5NmU3OWEiLCJ1c2VySWQiOiIxNTkyMzUzNDk3In0=</vt:lpwstr>
  </property>
</Properties>
</file>