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line="360" w:lineRule="auto"/>
        <w:jc w:val="center"/>
        <w:rPr>
          <w:rFonts w:hint="eastAsia"/>
          <w:color w:val="auto"/>
          <w:sz w:val="52"/>
          <w:szCs w:val="52"/>
          <w:highlight w:val="none"/>
        </w:rPr>
      </w:pPr>
    </w:p>
    <w:p>
      <w:pPr>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广西科联招标中心有限公司</w:t>
      </w:r>
    </w:p>
    <w:p>
      <w:pPr>
        <w:jc w:val="center"/>
        <w:rPr>
          <w:rFonts w:hint="eastAsia" w:ascii="宋体" w:hAnsi="宋体" w:cs="宋体"/>
          <w:b/>
          <w:color w:val="auto"/>
          <w:sz w:val="32"/>
          <w:szCs w:val="32"/>
          <w:highlight w:val="none"/>
        </w:rPr>
      </w:pPr>
    </w:p>
    <w:p>
      <w:pPr>
        <w:jc w:val="center"/>
        <w:rPr>
          <w:rFonts w:hint="eastAsia"/>
          <w:color w:val="auto"/>
          <w:highlight w:val="none"/>
        </w:rPr>
      </w:pPr>
    </w:p>
    <w:p>
      <w:pPr>
        <w:jc w:val="center"/>
        <w:rPr>
          <w:rFonts w:hint="eastAsia" w:ascii="宋体" w:hAnsi="宋体" w:cs="宋体"/>
          <w:b/>
          <w:bCs/>
          <w:color w:val="auto"/>
          <w:kern w:val="0"/>
          <w:sz w:val="30"/>
          <w:szCs w:val="30"/>
          <w:highlight w:val="none"/>
        </w:rPr>
      </w:pPr>
    </w:p>
    <w:p>
      <w:pPr>
        <w:pStyle w:val="2"/>
        <w:jc w:val="center"/>
        <w:rPr>
          <w:rFonts w:hint="eastAsia"/>
          <w:color w:val="auto"/>
          <w:highlight w:val="none"/>
        </w:rPr>
      </w:pPr>
    </w:p>
    <w:p>
      <w:pPr>
        <w:spacing w:before="240" w:beforeLines="100" w:after="120" w:afterLines="50"/>
        <w:jc w:val="center"/>
        <w:rPr>
          <w:rFonts w:hint="eastAsia" w:ascii="宋体" w:hAnsi="宋体" w:eastAsia="宋体" w:cs="宋体"/>
          <w:b/>
          <w:color w:val="auto"/>
          <w:sz w:val="44"/>
          <w:szCs w:val="44"/>
          <w:highlight w:val="none"/>
        </w:rPr>
      </w:pPr>
      <w:r>
        <w:rPr>
          <w:rFonts w:hint="eastAsia" w:ascii="宋体" w:hAnsi="宋体" w:eastAsia="宋体" w:cs="宋体"/>
          <w:color w:val="auto"/>
          <w:spacing w:val="116"/>
          <w:sz w:val="52"/>
          <w:highlight w:val="none"/>
        </w:rPr>
        <w:t xml:space="preserve"> </w:t>
      </w:r>
      <w:r>
        <w:rPr>
          <w:rFonts w:hint="eastAsia" w:ascii="宋体" w:hAnsi="宋体" w:eastAsia="宋体" w:cs="宋体"/>
          <w:b/>
          <w:bCs/>
          <w:color w:val="auto"/>
          <w:spacing w:val="100"/>
          <w:sz w:val="84"/>
          <w:szCs w:val="84"/>
          <w:highlight w:val="none"/>
        </w:rPr>
        <w:t>竞争性磋商文</w:t>
      </w:r>
      <w:r>
        <w:rPr>
          <w:rFonts w:hint="eastAsia" w:ascii="宋体" w:hAnsi="宋体" w:eastAsia="宋体" w:cs="宋体"/>
          <w:b/>
          <w:bCs/>
          <w:color w:val="auto"/>
          <w:sz w:val="84"/>
          <w:szCs w:val="84"/>
          <w:highlight w:val="none"/>
        </w:rPr>
        <w:t>件</w:t>
      </w:r>
    </w:p>
    <w:p>
      <w:pPr>
        <w:spacing w:before="240" w:beforeLines="100" w:after="120" w:afterLines="5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（全流程电子化评标）</w:t>
      </w:r>
    </w:p>
    <w:p>
      <w:pPr>
        <w:jc w:val="center"/>
        <w:rPr>
          <w:rFonts w:hint="eastAsia" w:ascii="宋体" w:hAnsi="宋体" w:cs="宋体"/>
          <w:b/>
          <w:color w:val="auto"/>
          <w:sz w:val="32"/>
          <w:szCs w:val="32"/>
          <w:highlight w:val="none"/>
        </w:rPr>
      </w:pPr>
    </w:p>
    <w:p>
      <w:pPr>
        <w:jc w:val="center"/>
        <w:rPr>
          <w:rFonts w:hint="eastAsia"/>
          <w:color w:val="auto"/>
          <w:highlight w:val="none"/>
        </w:rPr>
      </w:pPr>
    </w:p>
    <w:p>
      <w:pPr>
        <w:jc w:val="center"/>
        <w:rPr>
          <w:rFonts w:hint="eastAsia" w:ascii="宋体" w:hAnsi="宋体" w:cs="宋体"/>
          <w:b/>
          <w:bCs/>
          <w:color w:val="auto"/>
          <w:kern w:val="0"/>
          <w:sz w:val="30"/>
          <w:szCs w:val="30"/>
          <w:highlight w:val="none"/>
        </w:rPr>
      </w:pPr>
    </w:p>
    <w:p>
      <w:pPr>
        <w:pStyle w:val="2"/>
        <w:jc w:val="center"/>
        <w:rPr>
          <w:rFonts w:hint="eastAsia"/>
          <w:color w:val="auto"/>
          <w:highlight w:val="none"/>
        </w:rPr>
      </w:pPr>
    </w:p>
    <w:p>
      <w:pPr>
        <w:snapToGrid w:val="0"/>
        <w:spacing w:before="50" w:after="120" w:line="360" w:lineRule="auto"/>
        <w:jc w:val="center"/>
        <w:rPr>
          <w:rFonts w:hint="eastAsia" w:ascii="宋体" w:hAnsi="宋体" w:eastAsia="宋体" w:cs="宋体"/>
          <w:b/>
          <w:bCs/>
          <w:color w:val="auto"/>
          <w:kern w:val="0"/>
          <w:sz w:val="30"/>
          <w:szCs w:val="30"/>
          <w:highlight w:val="none"/>
          <w:lang w:eastAsia="zh-CN"/>
        </w:rPr>
      </w:pPr>
      <w:r>
        <w:rPr>
          <w:rFonts w:hint="eastAsia" w:ascii="宋体" w:hAnsi="宋体" w:cs="宋体"/>
          <w:b/>
          <w:bCs/>
          <w:color w:val="auto"/>
          <w:kern w:val="0"/>
          <w:sz w:val="30"/>
          <w:szCs w:val="30"/>
          <w:highlight w:val="none"/>
        </w:rPr>
        <w:t>项目</w:t>
      </w:r>
      <w:r>
        <w:rPr>
          <w:rFonts w:hint="eastAsia" w:ascii="宋体" w:hAnsi="宋体" w:cs="宋体"/>
          <w:b/>
          <w:bCs/>
          <w:color w:val="auto"/>
          <w:w w:val="95"/>
          <w:kern w:val="0"/>
          <w:sz w:val="30"/>
          <w:szCs w:val="30"/>
          <w:highlight w:val="none"/>
        </w:rPr>
        <w:t>名称</w:t>
      </w:r>
      <w:r>
        <w:rPr>
          <w:rFonts w:hint="eastAsia" w:ascii="宋体" w:hAnsi="宋体" w:cs="宋体"/>
          <w:b/>
          <w:bCs/>
          <w:color w:val="auto"/>
          <w:kern w:val="0"/>
          <w:sz w:val="30"/>
          <w:szCs w:val="30"/>
          <w:highlight w:val="none"/>
        </w:rPr>
        <w:t>：</w:t>
      </w:r>
      <w:r>
        <w:rPr>
          <w:rFonts w:hint="eastAsia" w:ascii="宋体" w:hAnsi="宋体" w:cs="宋体"/>
          <w:b/>
          <w:bCs/>
          <w:color w:val="auto"/>
          <w:kern w:val="0"/>
          <w:sz w:val="30"/>
          <w:szCs w:val="30"/>
          <w:highlight w:val="none"/>
          <w:lang w:eastAsia="zh-CN"/>
        </w:rPr>
        <w:t>劳务服务项目采购</w:t>
      </w:r>
    </w:p>
    <w:p>
      <w:pPr>
        <w:snapToGrid w:val="0"/>
        <w:spacing w:before="50" w:after="120" w:line="360" w:lineRule="auto"/>
        <w:jc w:val="center"/>
        <w:rPr>
          <w:rFonts w:hint="eastAsia" w:ascii="宋体" w:hAnsi="宋体" w:eastAsia="宋体" w:cs="宋体"/>
          <w:b/>
          <w:bCs/>
          <w:color w:val="auto"/>
          <w:kern w:val="0"/>
          <w:sz w:val="30"/>
          <w:szCs w:val="30"/>
          <w:highlight w:val="none"/>
          <w:lang w:eastAsia="zh-CN"/>
        </w:rPr>
      </w:pPr>
      <w:r>
        <w:rPr>
          <w:rFonts w:hint="eastAsia" w:ascii="宋体" w:hAnsi="宋体" w:cs="宋体"/>
          <w:b/>
          <w:bCs/>
          <w:color w:val="auto"/>
          <w:kern w:val="0"/>
          <w:sz w:val="30"/>
          <w:szCs w:val="30"/>
          <w:highlight w:val="none"/>
        </w:rPr>
        <w:t>项目编号：</w:t>
      </w:r>
      <w:r>
        <w:rPr>
          <w:rFonts w:hint="eastAsia" w:ascii="宋体" w:hAnsi="宋体" w:cs="宋体"/>
          <w:b/>
          <w:bCs/>
          <w:color w:val="auto"/>
          <w:kern w:val="0"/>
          <w:sz w:val="30"/>
          <w:szCs w:val="30"/>
          <w:highlight w:val="none"/>
          <w:lang w:eastAsia="zh-CN"/>
        </w:rPr>
        <w:t>GXZC2025-C3-000870-GXKL</w:t>
      </w:r>
    </w:p>
    <w:p>
      <w:pPr>
        <w:jc w:val="center"/>
        <w:rPr>
          <w:rFonts w:hint="eastAsia" w:ascii="宋体" w:hAnsi="宋体" w:cs="宋体"/>
          <w:b/>
          <w:color w:val="auto"/>
          <w:sz w:val="32"/>
          <w:szCs w:val="32"/>
          <w:highlight w:val="none"/>
        </w:rPr>
      </w:pPr>
    </w:p>
    <w:p>
      <w:pPr>
        <w:jc w:val="center"/>
        <w:rPr>
          <w:rFonts w:hint="eastAsia"/>
          <w:color w:val="auto"/>
          <w:highlight w:val="none"/>
        </w:rPr>
      </w:pPr>
    </w:p>
    <w:p>
      <w:pPr>
        <w:jc w:val="center"/>
        <w:rPr>
          <w:rFonts w:hint="eastAsia" w:ascii="宋体" w:hAnsi="宋体" w:cs="宋体"/>
          <w:b/>
          <w:bCs/>
          <w:color w:val="auto"/>
          <w:kern w:val="0"/>
          <w:sz w:val="30"/>
          <w:szCs w:val="30"/>
          <w:highlight w:val="none"/>
        </w:rPr>
      </w:pPr>
    </w:p>
    <w:p>
      <w:pPr>
        <w:pStyle w:val="2"/>
        <w:jc w:val="center"/>
        <w:rPr>
          <w:rFonts w:hint="eastAsia"/>
          <w:color w:val="auto"/>
          <w:highlight w:val="none"/>
        </w:rPr>
      </w:pPr>
    </w:p>
    <w:p>
      <w:pPr>
        <w:rPr>
          <w:rFonts w:hint="eastAsia"/>
        </w:rPr>
      </w:pPr>
    </w:p>
    <w:p>
      <w:pPr>
        <w:pStyle w:val="2"/>
        <w:jc w:val="center"/>
        <w:rPr>
          <w:rFonts w:hint="eastAsia" w:ascii="宋体" w:hAnsi="宋体" w:cs="宋体"/>
          <w:b/>
          <w:bCs/>
          <w:color w:val="auto"/>
          <w:sz w:val="30"/>
          <w:szCs w:val="30"/>
          <w:highlight w:val="none"/>
        </w:rPr>
      </w:pPr>
    </w:p>
    <w:p>
      <w:pPr>
        <w:jc w:val="center"/>
        <w:rPr>
          <w:rFonts w:hint="eastAsia"/>
          <w:color w:val="auto"/>
          <w:highlight w:val="none"/>
        </w:rPr>
      </w:pPr>
    </w:p>
    <w:p>
      <w:pPr>
        <w:snapToGrid w:val="0"/>
        <w:spacing w:before="50" w:after="120" w:line="360" w:lineRule="auto"/>
        <w:jc w:val="center"/>
        <w:rPr>
          <w:rFonts w:hint="eastAsia" w:ascii="宋体" w:hAnsi="宋体" w:eastAsia="宋体" w:cs="宋体"/>
          <w:b/>
          <w:bCs/>
          <w:color w:val="auto"/>
          <w:kern w:val="0"/>
          <w:sz w:val="30"/>
          <w:szCs w:val="30"/>
          <w:highlight w:val="none"/>
          <w:lang w:eastAsia="zh-CN"/>
        </w:rPr>
      </w:pPr>
      <w:r>
        <w:rPr>
          <w:rFonts w:hint="eastAsia" w:ascii="宋体" w:hAnsi="宋体" w:cs="宋体"/>
          <w:b/>
          <w:bCs/>
          <w:color w:val="auto"/>
          <w:kern w:val="0"/>
          <w:sz w:val="30"/>
          <w:szCs w:val="30"/>
          <w:highlight w:val="none"/>
        </w:rPr>
        <w:t>采购人：</w:t>
      </w:r>
      <w:r>
        <w:rPr>
          <w:rFonts w:hint="eastAsia" w:ascii="宋体" w:hAnsi="宋体" w:cs="宋体"/>
          <w:b/>
          <w:bCs/>
          <w:color w:val="auto"/>
          <w:kern w:val="0"/>
          <w:sz w:val="30"/>
          <w:szCs w:val="30"/>
          <w:highlight w:val="none"/>
          <w:lang w:eastAsia="zh-CN"/>
        </w:rPr>
        <w:t>广西壮族自治区卫生健康委员会</w:t>
      </w:r>
    </w:p>
    <w:p>
      <w:pPr>
        <w:snapToGrid w:val="0"/>
        <w:spacing w:before="50" w:after="120" w:line="360" w:lineRule="auto"/>
        <w:jc w:val="cente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采购代理机构：</w:t>
      </w:r>
      <w:bookmarkStart w:id="0" w:name="PO_3000001866_PM031"/>
      <w:r>
        <w:rPr>
          <w:rFonts w:hint="eastAsia" w:ascii="宋体" w:hAnsi="宋体" w:cs="宋体"/>
          <w:b/>
          <w:bCs/>
          <w:color w:val="auto"/>
          <w:kern w:val="0"/>
          <w:sz w:val="30"/>
          <w:szCs w:val="30"/>
          <w:highlight w:val="none"/>
        </w:rPr>
        <w:t>广西科联招标中心有限公司</w:t>
      </w:r>
      <w:bookmarkEnd w:id="0"/>
    </w:p>
    <w:p>
      <w:pPr>
        <w:pStyle w:val="2"/>
        <w:jc w:val="center"/>
        <w:rPr>
          <w:rFonts w:hint="eastAsia"/>
          <w:color w:val="auto"/>
          <w:highlight w:val="none"/>
        </w:rPr>
      </w:pPr>
    </w:p>
    <w:p>
      <w:pPr>
        <w:jc w:val="center"/>
        <w:rPr>
          <w:rFonts w:hint="eastAsia"/>
          <w:color w:val="auto"/>
          <w:highlight w:val="none"/>
        </w:rPr>
      </w:pPr>
    </w:p>
    <w:p>
      <w:pPr>
        <w:snapToGrid w:val="0"/>
        <w:spacing w:before="50" w:after="120" w:line="360" w:lineRule="auto"/>
        <w:jc w:val="center"/>
        <w:rPr>
          <w:rFonts w:hint="eastAsia" w:ascii="宋体" w:hAnsi="宋体" w:eastAsia="宋体" w:cs="宋体"/>
          <w:b/>
          <w:bCs/>
          <w:color w:val="auto"/>
          <w:w w:val="95"/>
          <w:kern w:val="0"/>
          <w:sz w:val="30"/>
          <w:szCs w:val="30"/>
          <w:highlight w:val="none"/>
          <w:lang w:eastAsia="zh-CN"/>
        </w:rPr>
      </w:pPr>
      <w:r>
        <w:rPr>
          <w:rFonts w:hint="eastAsia" w:ascii="宋体" w:hAnsi="宋体" w:cs="宋体"/>
          <w:b/>
          <w:bCs/>
          <w:color w:val="auto"/>
          <w:w w:val="95"/>
          <w:kern w:val="0"/>
          <w:sz w:val="30"/>
          <w:szCs w:val="30"/>
          <w:highlight w:val="none"/>
          <w:lang w:eastAsia="zh-CN"/>
        </w:rPr>
        <w:t>2025年</w:t>
      </w:r>
      <w:r>
        <w:rPr>
          <w:rFonts w:hint="eastAsia" w:ascii="宋体" w:hAnsi="宋体" w:cs="宋体"/>
          <w:b/>
          <w:bCs/>
          <w:color w:val="auto"/>
          <w:w w:val="95"/>
          <w:kern w:val="0"/>
          <w:sz w:val="30"/>
          <w:szCs w:val="30"/>
          <w:highlight w:val="none"/>
          <w:lang w:val="en-US" w:eastAsia="zh-CN"/>
        </w:rPr>
        <w:t>4</w:t>
      </w:r>
      <w:r>
        <w:rPr>
          <w:rFonts w:hint="eastAsia" w:ascii="宋体" w:hAnsi="宋体" w:cs="宋体"/>
          <w:b/>
          <w:bCs/>
          <w:color w:val="auto"/>
          <w:w w:val="95"/>
          <w:kern w:val="0"/>
          <w:sz w:val="30"/>
          <w:szCs w:val="30"/>
          <w:highlight w:val="none"/>
          <w:lang w:eastAsia="zh-CN"/>
        </w:rPr>
        <w:t>月</w:t>
      </w:r>
    </w:p>
    <w:p>
      <w:pPr>
        <w:pStyle w:val="14"/>
        <w:ind w:firstLine="803"/>
        <w:jc w:val="center"/>
        <w:rPr>
          <w:rFonts w:hint="eastAsia" w:ascii="宋体" w:hAnsi="宋体" w:cs="宋体"/>
          <w:b/>
          <w:bCs/>
          <w:color w:val="auto"/>
          <w:w w:val="95"/>
          <w:sz w:val="30"/>
          <w:szCs w:val="30"/>
          <w:highlight w:val="none"/>
        </w:rPr>
        <w:sectPr>
          <w:headerReference r:id="rId3" w:type="default"/>
          <w:footerReference r:id="rId4" w:type="default"/>
          <w:footerReference r:id="rId5" w:type="even"/>
          <w:pgSz w:w="11911" w:h="16838"/>
          <w:pgMar w:top="1134" w:right="1134" w:bottom="1134" w:left="1134" w:header="720" w:footer="720" w:gutter="0"/>
          <w:pgNumType w:start="1"/>
          <w:cols w:space="720" w:num="1"/>
          <w:titlePg/>
          <w:docGrid w:linePitch="331" w:charSpace="0"/>
        </w:sectPr>
      </w:pPr>
    </w:p>
    <w:p>
      <w:pPr>
        <w:spacing w:before="360" w:beforeLines="150" w:after="360" w:afterLines="150" w:line="360" w:lineRule="auto"/>
        <w:jc w:val="center"/>
        <w:rPr>
          <w:rFonts w:hint="eastAsia"/>
          <w:b/>
          <w:color w:val="auto"/>
          <w:sz w:val="44"/>
          <w:szCs w:val="44"/>
          <w:highlight w:val="none"/>
        </w:rPr>
      </w:pPr>
      <w:r>
        <w:rPr>
          <w:rFonts w:hint="eastAsia"/>
          <w:b/>
          <w:color w:val="auto"/>
          <w:sz w:val="44"/>
          <w:szCs w:val="44"/>
          <w:highlight w:val="none"/>
        </w:rPr>
        <w:t>目   录</w:t>
      </w:r>
    </w:p>
    <w:p>
      <w:pPr>
        <w:spacing w:line="400" w:lineRule="exact"/>
        <w:jc w:val="center"/>
        <w:rPr>
          <w:rFonts w:hint="eastAsia"/>
          <w:b/>
          <w:color w:val="auto"/>
          <w:sz w:val="44"/>
          <w:szCs w:val="44"/>
          <w:highlight w:val="none"/>
        </w:rPr>
      </w:pPr>
    </w:p>
    <w:p>
      <w:pPr>
        <w:pStyle w:val="25"/>
        <w:tabs>
          <w:tab w:val="right" w:leader="dot" w:pos="9643"/>
        </w:tabs>
        <w:spacing w:line="480" w:lineRule="auto"/>
        <w:rPr>
          <w:rFonts w:hint="eastAsia" w:ascii="宋体" w:hAnsi="宋体" w:cs="宋体"/>
          <w:b/>
          <w:bCs/>
          <w:color w:val="auto"/>
          <w:sz w:val="32"/>
          <w:szCs w:val="32"/>
          <w:highlight w:val="none"/>
          <w:lang w:val="en-US" w:eastAsia="zh-CN"/>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TOC \o "1-1" \h \u </w:instrText>
      </w:r>
      <w:r>
        <w:rPr>
          <w:rFonts w:hint="eastAsia" w:ascii="宋体" w:hAnsi="宋体" w:cs="宋体"/>
          <w:b/>
          <w:bCs/>
          <w:color w:val="auto"/>
          <w:sz w:val="24"/>
          <w:highlight w:val="none"/>
        </w:rPr>
        <w:fldChar w:fldCharType="separate"/>
      </w:r>
      <w:r>
        <w:rPr>
          <w:color w:val="auto"/>
          <w:highlight w:val="none"/>
        </w:rPr>
        <w:fldChar w:fldCharType="begin"/>
      </w:r>
      <w:r>
        <w:rPr>
          <w:color w:val="auto"/>
          <w:highlight w:val="none"/>
        </w:rPr>
        <w:instrText xml:space="preserve"> HYPERLINK \l "_Toc32264" </w:instrText>
      </w:r>
      <w:r>
        <w:rPr>
          <w:color w:val="auto"/>
          <w:highlight w:val="none"/>
        </w:rPr>
        <w:fldChar w:fldCharType="separate"/>
      </w:r>
      <w:r>
        <w:rPr>
          <w:rFonts w:hint="eastAsia" w:ascii="宋体" w:hAnsi="宋体" w:cs="宋体"/>
          <w:b/>
          <w:bCs/>
          <w:color w:val="auto"/>
          <w:sz w:val="32"/>
          <w:szCs w:val="32"/>
          <w:highlight w:val="none"/>
          <w:lang w:val="en-US" w:eastAsia="zh-CN"/>
        </w:rPr>
        <w:t>第一章  竞争性磋</w:t>
      </w:r>
      <w:bookmarkStart w:id="1" w:name="_Hlt135924181"/>
      <w:r>
        <w:rPr>
          <w:rFonts w:hint="eastAsia" w:ascii="宋体" w:hAnsi="宋体" w:cs="宋体"/>
          <w:b/>
          <w:bCs/>
          <w:color w:val="auto"/>
          <w:sz w:val="32"/>
          <w:szCs w:val="32"/>
          <w:highlight w:val="none"/>
          <w:lang w:val="en-US" w:eastAsia="zh-CN"/>
        </w:rPr>
        <w:t>商</w:t>
      </w:r>
      <w:bookmarkEnd w:id="1"/>
      <w:r>
        <w:rPr>
          <w:rFonts w:hint="eastAsia" w:ascii="宋体" w:hAnsi="宋体" w:cs="宋体"/>
          <w:b/>
          <w:bCs/>
          <w:color w:val="auto"/>
          <w:sz w:val="32"/>
          <w:szCs w:val="32"/>
          <w:highlight w:val="none"/>
          <w:lang w:val="en-US" w:eastAsia="zh-CN"/>
        </w:rPr>
        <w:t>公告</w:t>
      </w:r>
      <w:r>
        <w:rPr>
          <w:rFonts w:hint="eastAsia" w:ascii="宋体" w:hAnsi="宋体" w:cs="宋体"/>
          <w:b/>
          <w:bCs/>
          <w:color w:val="auto"/>
          <w:sz w:val="32"/>
          <w:szCs w:val="32"/>
          <w:highlight w:val="none"/>
          <w:lang w:val="en-US" w:eastAsia="zh-CN"/>
        </w:rPr>
        <w:tab/>
      </w:r>
      <w:r>
        <w:rPr>
          <w:rFonts w:hint="eastAsia" w:ascii="宋体" w:hAnsi="宋体" w:cs="宋体"/>
          <w:b/>
          <w:bCs/>
          <w:color w:val="auto"/>
          <w:sz w:val="32"/>
          <w:szCs w:val="32"/>
          <w:highlight w:val="none"/>
          <w:lang w:val="en-US" w:eastAsia="zh-CN"/>
        </w:rPr>
        <w:fldChar w:fldCharType="begin"/>
      </w:r>
      <w:r>
        <w:rPr>
          <w:rFonts w:hint="eastAsia" w:ascii="宋体" w:hAnsi="宋体" w:cs="宋体"/>
          <w:b/>
          <w:bCs/>
          <w:color w:val="auto"/>
          <w:sz w:val="32"/>
          <w:szCs w:val="32"/>
          <w:highlight w:val="none"/>
          <w:lang w:val="en-US" w:eastAsia="zh-CN"/>
        </w:rPr>
        <w:instrText xml:space="preserve"> PAGEREF _Toc32264 </w:instrText>
      </w:r>
      <w:r>
        <w:rPr>
          <w:rFonts w:hint="eastAsia" w:ascii="宋体" w:hAnsi="宋体" w:cs="宋体"/>
          <w:b/>
          <w:bCs/>
          <w:color w:val="auto"/>
          <w:sz w:val="32"/>
          <w:szCs w:val="32"/>
          <w:highlight w:val="none"/>
          <w:lang w:val="en-US" w:eastAsia="zh-CN"/>
        </w:rPr>
        <w:fldChar w:fldCharType="separate"/>
      </w:r>
      <w:r>
        <w:rPr>
          <w:rFonts w:hint="eastAsia" w:ascii="宋体" w:hAnsi="宋体" w:cs="宋体"/>
          <w:b/>
          <w:bCs/>
          <w:color w:val="auto"/>
          <w:sz w:val="32"/>
          <w:szCs w:val="32"/>
          <w:highlight w:val="none"/>
          <w:lang w:val="en-US" w:eastAsia="zh-CN"/>
        </w:rPr>
        <w:t>3</w:t>
      </w:r>
      <w:r>
        <w:rPr>
          <w:rFonts w:hint="eastAsia" w:ascii="宋体" w:hAnsi="宋体" w:cs="宋体"/>
          <w:b/>
          <w:bCs/>
          <w:color w:val="auto"/>
          <w:sz w:val="32"/>
          <w:szCs w:val="32"/>
          <w:highlight w:val="none"/>
          <w:lang w:val="en-US" w:eastAsia="zh-CN"/>
        </w:rPr>
        <w:fldChar w:fldCharType="end"/>
      </w:r>
      <w:r>
        <w:rPr>
          <w:rFonts w:hint="eastAsia" w:ascii="宋体" w:hAnsi="宋体" w:cs="宋体"/>
          <w:b/>
          <w:bCs/>
          <w:color w:val="auto"/>
          <w:sz w:val="32"/>
          <w:szCs w:val="32"/>
          <w:highlight w:val="none"/>
          <w:lang w:val="en-US" w:eastAsia="zh-CN"/>
        </w:rPr>
        <w:fldChar w:fldCharType="end"/>
      </w:r>
    </w:p>
    <w:p>
      <w:pPr>
        <w:pStyle w:val="25"/>
        <w:tabs>
          <w:tab w:val="right" w:leader="dot" w:pos="9643"/>
        </w:tabs>
        <w:spacing w:line="480" w:lineRule="auto"/>
        <w:rPr>
          <w:rFonts w:hint="eastAsia" w:ascii="宋体" w:hAnsi="宋体" w:cs="宋体"/>
          <w:b/>
          <w:bCs/>
          <w:color w:val="auto"/>
          <w:sz w:val="32"/>
          <w:szCs w:val="32"/>
          <w:highlight w:val="none"/>
          <w:lang w:val="en-US" w:eastAsia="zh-CN"/>
        </w:rPr>
      </w:pPr>
      <w:r>
        <w:rPr>
          <w:color w:val="auto"/>
          <w:highlight w:val="none"/>
        </w:rPr>
        <w:fldChar w:fldCharType="begin"/>
      </w:r>
      <w:r>
        <w:rPr>
          <w:color w:val="auto"/>
          <w:highlight w:val="none"/>
        </w:rPr>
        <w:instrText xml:space="preserve"> HYPERLINK \l "_Toc26836" </w:instrText>
      </w:r>
      <w:r>
        <w:rPr>
          <w:color w:val="auto"/>
          <w:highlight w:val="none"/>
        </w:rPr>
        <w:fldChar w:fldCharType="separate"/>
      </w:r>
      <w:r>
        <w:rPr>
          <w:rFonts w:hint="eastAsia" w:ascii="宋体" w:hAnsi="宋体" w:cs="宋体"/>
          <w:b/>
          <w:bCs/>
          <w:color w:val="auto"/>
          <w:sz w:val="32"/>
          <w:szCs w:val="32"/>
          <w:highlight w:val="none"/>
          <w:lang w:val="en-US" w:eastAsia="zh-CN"/>
        </w:rPr>
        <w:t>第二章  采购需</w:t>
      </w:r>
      <w:bookmarkStart w:id="2" w:name="_Hlt137127195"/>
      <w:r>
        <w:rPr>
          <w:rFonts w:hint="eastAsia" w:ascii="宋体" w:hAnsi="宋体" w:cs="宋体"/>
          <w:b/>
          <w:bCs/>
          <w:color w:val="auto"/>
          <w:sz w:val="32"/>
          <w:szCs w:val="32"/>
          <w:highlight w:val="none"/>
          <w:lang w:val="en-US" w:eastAsia="zh-CN"/>
        </w:rPr>
        <w:t>求</w:t>
      </w:r>
      <w:bookmarkEnd w:id="2"/>
      <w:r>
        <w:rPr>
          <w:rFonts w:hint="eastAsia" w:ascii="宋体" w:hAnsi="宋体" w:cs="宋体"/>
          <w:b/>
          <w:bCs/>
          <w:color w:val="auto"/>
          <w:sz w:val="32"/>
          <w:szCs w:val="32"/>
          <w:highlight w:val="none"/>
          <w:lang w:val="en-US" w:eastAsia="zh-CN"/>
        </w:rPr>
        <w:tab/>
      </w:r>
      <w:r>
        <w:rPr>
          <w:rFonts w:hint="eastAsia" w:ascii="宋体" w:hAnsi="宋体" w:cs="宋体"/>
          <w:b/>
          <w:bCs/>
          <w:color w:val="auto"/>
          <w:sz w:val="32"/>
          <w:szCs w:val="32"/>
          <w:highlight w:val="none"/>
          <w:lang w:val="en-US" w:eastAsia="zh-CN"/>
        </w:rPr>
        <w:fldChar w:fldCharType="begin"/>
      </w:r>
      <w:r>
        <w:rPr>
          <w:rFonts w:hint="eastAsia" w:ascii="宋体" w:hAnsi="宋体" w:cs="宋体"/>
          <w:b/>
          <w:bCs/>
          <w:color w:val="auto"/>
          <w:sz w:val="32"/>
          <w:szCs w:val="32"/>
          <w:highlight w:val="none"/>
          <w:lang w:val="en-US" w:eastAsia="zh-CN"/>
        </w:rPr>
        <w:instrText xml:space="preserve"> PAGEREF _Toc26836 </w:instrText>
      </w:r>
      <w:r>
        <w:rPr>
          <w:rFonts w:hint="eastAsia" w:ascii="宋体" w:hAnsi="宋体" w:cs="宋体"/>
          <w:b/>
          <w:bCs/>
          <w:color w:val="auto"/>
          <w:sz w:val="32"/>
          <w:szCs w:val="32"/>
          <w:highlight w:val="none"/>
          <w:lang w:val="en-US" w:eastAsia="zh-CN"/>
        </w:rPr>
        <w:fldChar w:fldCharType="separate"/>
      </w:r>
      <w:r>
        <w:rPr>
          <w:rFonts w:hint="eastAsia" w:ascii="宋体" w:hAnsi="宋体" w:cs="宋体"/>
          <w:b/>
          <w:bCs/>
          <w:color w:val="auto"/>
          <w:sz w:val="32"/>
          <w:szCs w:val="32"/>
          <w:highlight w:val="none"/>
          <w:lang w:val="en-US" w:eastAsia="zh-CN"/>
        </w:rPr>
        <w:t>6</w:t>
      </w:r>
      <w:r>
        <w:rPr>
          <w:rFonts w:hint="eastAsia" w:ascii="宋体" w:hAnsi="宋体" w:cs="宋体"/>
          <w:b/>
          <w:bCs/>
          <w:color w:val="auto"/>
          <w:sz w:val="32"/>
          <w:szCs w:val="32"/>
          <w:highlight w:val="none"/>
          <w:lang w:val="en-US" w:eastAsia="zh-CN"/>
        </w:rPr>
        <w:fldChar w:fldCharType="end"/>
      </w:r>
      <w:r>
        <w:rPr>
          <w:rFonts w:hint="eastAsia" w:ascii="宋体" w:hAnsi="宋体" w:cs="宋体"/>
          <w:b/>
          <w:bCs/>
          <w:color w:val="auto"/>
          <w:sz w:val="32"/>
          <w:szCs w:val="32"/>
          <w:highlight w:val="none"/>
          <w:lang w:val="en-US" w:eastAsia="zh-CN"/>
        </w:rPr>
        <w:fldChar w:fldCharType="end"/>
      </w:r>
    </w:p>
    <w:p>
      <w:pPr>
        <w:pStyle w:val="25"/>
        <w:tabs>
          <w:tab w:val="right" w:leader="dot" w:pos="9643"/>
        </w:tabs>
        <w:spacing w:line="480" w:lineRule="auto"/>
        <w:rPr>
          <w:rFonts w:hint="eastAsia" w:ascii="宋体" w:hAnsi="宋体" w:cs="宋体"/>
          <w:b/>
          <w:bCs/>
          <w:color w:val="auto"/>
          <w:sz w:val="32"/>
          <w:szCs w:val="32"/>
          <w:highlight w:val="none"/>
          <w:lang w:val="en-US" w:eastAsia="zh-CN"/>
        </w:rPr>
      </w:pPr>
      <w:r>
        <w:rPr>
          <w:color w:val="auto"/>
          <w:highlight w:val="none"/>
        </w:rPr>
        <w:fldChar w:fldCharType="begin"/>
      </w:r>
      <w:r>
        <w:rPr>
          <w:color w:val="auto"/>
          <w:highlight w:val="none"/>
        </w:rPr>
        <w:instrText xml:space="preserve"> HYPERLINK \l "_Toc2072" </w:instrText>
      </w:r>
      <w:r>
        <w:rPr>
          <w:color w:val="auto"/>
          <w:highlight w:val="none"/>
        </w:rPr>
        <w:fldChar w:fldCharType="separate"/>
      </w:r>
      <w:r>
        <w:rPr>
          <w:rFonts w:hint="eastAsia" w:ascii="宋体" w:hAnsi="宋体" w:cs="宋体"/>
          <w:b/>
          <w:bCs/>
          <w:color w:val="auto"/>
          <w:sz w:val="32"/>
          <w:szCs w:val="32"/>
          <w:highlight w:val="none"/>
          <w:lang w:val="en-US" w:eastAsia="zh-CN"/>
        </w:rPr>
        <w:t>第三章  供应</w:t>
      </w:r>
      <w:bookmarkStart w:id="3" w:name="_Hlt135905307"/>
      <w:r>
        <w:rPr>
          <w:rFonts w:hint="eastAsia" w:ascii="宋体" w:hAnsi="宋体" w:cs="宋体"/>
          <w:b/>
          <w:bCs/>
          <w:color w:val="auto"/>
          <w:sz w:val="32"/>
          <w:szCs w:val="32"/>
          <w:highlight w:val="none"/>
          <w:lang w:val="en-US" w:eastAsia="zh-CN"/>
        </w:rPr>
        <w:t>商</w:t>
      </w:r>
      <w:bookmarkEnd w:id="3"/>
      <w:r>
        <w:rPr>
          <w:rFonts w:hint="eastAsia" w:ascii="宋体" w:hAnsi="宋体" w:cs="宋体"/>
          <w:b/>
          <w:bCs/>
          <w:color w:val="auto"/>
          <w:sz w:val="32"/>
          <w:szCs w:val="32"/>
          <w:highlight w:val="none"/>
          <w:lang w:val="en-US" w:eastAsia="zh-CN"/>
        </w:rPr>
        <w:t>须知</w:t>
      </w:r>
      <w:r>
        <w:rPr>
          <w:rFonts w:hint="eastAsia" w:ascii="宋体" w:hAnsi="宋体" w:cs="宋体"/>
          <w:b/>
          <w:bCs/>
          <w:color w:val="auto"/>
          <w:sz w:val="32"/>
          <w:szCs w:val="32"/>
          <w:highlight w:val="none"/>
          <w:lang w:val="en-US" w:eastAsia="zh-CN"/>
        </w:rPr>
        <w:tab/>
      </w:r>
      <w:r>
        <w:rPr>
          <w:rFonts w:hint="eastAsia" w:ascii="宋体" w:hAnsi="宋体" w:cs="宋体"/>
          <w:b/>
          <w:bCs/>
          <w:color w:val="auto"/>
          <w:sz w:val="32"/>
          <w:szCs w:val="32"/>
          <w:highlight w:val="none"/>
          <w:lang w:val="en-US" w:eastAsia="zh-CN"/>
        </w:rPr>
        <w:fldChar w:fldCharType="begin"/>
      </w:r>
      <w:r>
        <w:rPr>
          <w:rFonts w:hint="eastAsia" w:ascii="宋体" w:hAnsi="宋体" w:cs="宋体"/>
          <w:b/>
          <w:bCs/>
          <w:color w:val="auto"/>
          <w:sz w:val="32"/>
          <w:szCs w:val="32"/>
          <w:highlight w:val="none"/>
          <w:lang w:val="en-US" w:eastAsia="zh-CN"/>
        </w:rPr>
        <w:instrText xml:space="preserve"> PAGEREF _Toc2072 </w:instrText>
      </w:r>
      <w:r>
        <w:rPr>
          <w:rFonts w:hint="eastAsia" w:ascii="宋体" w:hAnsi="宋体" w:cs="宋体"/>
          <w:b/>
          <w:bCs/>
          <w:color w:val="auto"/>
          <w:sz w:val="32"/>
          <w:szCs w:val="32"/>
          <w:highlight w:val="none"/>
          <w:lang w:val="en-US" w:eastAsia="zh-CN"/>
        </w:rPr>
        <w:fldChar w:fldCharType="separate"/>
      </w:r>
      <w:r>
        <w:rPr>
          <w:rFonts w:hint="eastAsia" w:ascii="宋体" w:hAnsi="宋体" w:cs="宋体"/>
          <w:b/>
          <w:bCs/>
          <w:color w:val="auto"/>
          <w:sz w:val="32"/>
          <w:szCs w:val="32"/>
          <w:highlight w:val="none"/>
          <w:lang w:val="en-US" w:eastAsia="zh-CN"/>
        </w:rPr>
        <w:t>10</w:t>
      </w:r>
      <w:r>
        <w:rPr>
          <w:rFonts w:hint="eastAsia" w:ascii="宋体" w:hAnsi="宋体" w:cs="宋体"/>
          <w:b/>
          <w:bCs/>
          <w:color w:val="auto"/>
          <w:sz w:val="32"/>
          <w:szCs w:val="32"/>
          <w:highlight w:val="none"/>
          <w:lang w:val="en-US" w:eastAsia="zh-CN"/>
        </w:rPr>
        <w:fldChar w:fldCharType="end"/>
      </w:r>
      <w:r>
        <w:rPr>
          <w:rFonts w:hint="eastAsia" w:ascii="宋体" w:hAnsi="宋体" w:cs="宋体"/>
          <w:b/>
          <w:bCs/>
          <w:color w:val="auto"/>
          <w:sz w:val="32"/>
          <w:szCs w:val="32"/>
          <w:highlight w:val="none"/>
          <w:lang w:val="en-US" w:eastAsia="zh-CN"/>
        </w:rPr>
        <w:fldChar w:fldCharType="end"/>
      </w:r>
    </w:p>
    <w:p>
      <w:pPr>
        <w:pStyle w:val="25"/>
        <w:tabs>
          <w:tab w:val="right" w:leader="dot" w:pos="9643"/>
        </w:tabs>
        <w:spacing w:line="480" w:lineRule="auto"/>
        <w:rPr>
          <w:rFonts w:hint="eastAsia" w:ascii="宋体" w:hAnsi="宋体" w:cs="宋体"/>
          <w:b/>
          <w:bCs/>
          <w:color w:val="auto"/>
          <w:sz w:val="32"/>
          <w:szCs w:val="32"/>
          <w:highlight w:val="none"/>
          <w:lang w:val="en-US" w:eastAsia="zh-CN"/>
        </w:rPr>
      </w:pPr>
      <w:r>
        <w:rPr>
          <w:color w:val="auto"/>
          <w:highlight w:val="none"/>
        </w:rPr>
        <w:fldChar w:fldCharType="begin"/>
      </w:r>
      <w:r>
        <w:rPr>
          <w:color w:val="auto"/>
          <w:highlight w:val="none"/>
        </w:rPr>
        <w:instrText xml:space="preserve"> HYPERLINK \l "_Toc1088" </w:instrText>
      </w:r>
      <w:r>
        <w:rPr>
          <w:color w:val="auto"/>
          <w:highlight w:val="none"/>
        </w:rPr>
        <w:fldChar w:fldCharType="separate"/>
      </w:r>
      <w:r>
        <w:rPr>
          <w:rFonts w:hint="eastAsia" w:ascii="宋体" w:hAnsi="宋体" w:cs="宋体"/>
          <w:b/>
          <w:bCs/>
          <w:color w:val="auto"/>
          <w:sz w:val="32"/>
          <w:szCs w:val="32"/>
          <w:highlight w:val="none"/>
          <w:lang w:val="en-US" w:eastAsia="zh-CN"/>
        </w:rPr>
        <w:t>第四章  评审程序、评审方法和评审标准</w:t>
      </w:r>
      <w:r>
        <w:rPr>
          <w:rFonts w:hint="eastAsia" w:ascii="宋体" w:hAnsi="宋体" w:cs="宋体"/>
          <w:b/>
          <w:bCs/>
          <w:color w:val="auto"/>
          <w:sz w:val="32"/>
          <w:szCs w:val="32"/>
          <w:highlight w:val="none"/>
          <w:lang w:val="en-US" w:eastAsia="zh-CN"/>
        </w:rPr>
        <w:tab/>
      </w:r>
      <w:r>
        <w:rPr>
          <w:rFonts w:hint="eastAsia" w:ascii="宋体" w:hAnsi="宋体" w:cs="宋体"/>
          <w:b/>
          <w:bCs/>
          <w:color w:val="auto"/>
          <w:sz w:val="32"/>
          <w:szCs w:val="32"/>
          <w:highlight w:val="none"/>
          <w:lang w:val="en-US" w:eastAsia="zh-CN"/>
        </w:rPr>
        <w:fldChar w:fldCharType="begin"/>
      </w:r>
      <w:r>
        <w:rPr>
          <w:rFonts w:hint="eastAsia" w:ascii="宋体" w:hAnsi="宋体" w:cs="宋体"/>
          <w:b/>
          <w:bCs/>
          <w:color w:val="auto"/>
          <w:sz w:val="32"/>
          <w:szCs w:val="32"/>
          <w:highlight w:val="none"/>
          <w:lang w:val="en-US" w:eastAsia="zh-CN"/>
        </w:rPr>
        <w:instrText xml:space="preserve"> PAGEREF _Toc1088 </w:instrText>
      </w:r>
      <w:r>
        <w:rPr>
          <w:rFonts w:hint="eastAsia" w:ascii="宋体" w:hAnsi="宋体" w:cs="宋体"/>
          <w:b/>
          <w:bCs/>
          <w:color w:val="auto"/>
          <w:sz w:val="32"/>
          <w:szCs w:val="32"/>
          <w:highlight w:val="none"/>
          <w:lang w:val="en-US" w:eastAsia="zh-CN"/>
        </w:rPr>
        <w:fldChar w:fldCharType="separate"/>
      </w:r>
      <w:r>
        <w:rPr>
          <w:rFonts w:hint="eastAsia" w:ascii="宋体" w:hAnsi="宋体" w:cs="宋体"/>
          <w:b/>
          <w:bCs/>
          <w:color w:val="auto"/>
          <w:sz w:val="32"/>
          <w:szCs w:val="32"/>
          <w:highlight w:val="none"/>
          <w:lang w:val="en-US" w:eastAsia="zh-CN"/>
        </w:rPr>
        <w:t>31</w:t>
      </w:r>
      <w:r>
        <w:rPr>
          <w:rFonts w:hint="eastAsia" w:ascii="宋体" w:hAnsi="宋体" w:cs="宋体"/>
          <w:b/>
          <w:bCs/>
          <w:color w:val="auto"/>
          <w:sz w:val="32"/>
          <w:szCs w:val="32"/>
          <w:highlight w:val="none"/>
          <w:lang w:val="en-US" w:eastAsia="zh-CN"/>
        </w:rPr>
        <w:fldChar w:fldCharType="end"/>
      </w:r>
      <w:r>
        <w:rPr>
          <w:rFonts w:hint="eastAsia" w:ascii="宋体" w:hAnsi="宋体" w:cs="宋体"/>
          <w:b/>
          <w:bCs/>
          <w:color w:val="auto"/>
          <w:sz w:val="32"/>
          <w:szCs w:val="32"/>
          <w:highlight w:val="none"/>
          <w:lang w:val="en-US" w:eastAsia="zh-CN"/>
        </w:rPr>
        <w:fldChar w:fldCharType="end"/>
      </w:r>
    </w:p>
    <w:p>
      <w:pPr>
        <w:pStyle w:val="25"/>
        <w:tabs>
          <w:tab w:val="right" w:leader="dot" w:pos="9643"/>
        </w:tabs>
        <w:spacing w:line="480" w:lineRule="auto"/>
        <w:rPr>
          <w:rFonts w:hint="eastAsia" w:ascii="宋体" w:hAnsi="宋体" w:cs="宋体"/>
          <w:b/>
          <w:bCs/>
          <w:color w:val="auto"/>
          <w:sz w:val="32"/>
          <w:szCs w:val="32"/>
          <w:highlight w:val="none"/>
          <w:lang w:val="en-US" w:eastAsia="zh-CN"/>
        </w:rPr>
      </w:pPr>
      <w:r>
        <w:rPr>
          <w:color w:val="auto"/>
          <w:highlight w:val="none"/>
        </w:rPr>
        <w:fldChar w:fldCharType="begin"/>
      </w:r>
      <w:r>
        <w:rPr>
          <w:color w:val="auto"/>
          <w:highlight w:val="none"/>
        </w:rPr>
        <w:instrText xml:space="preserve"> HYPERLINK \l "_Toc22302" </w:instrText>
      </w:r>
      <w:r>
        <w:rPr>
          <w:color w:val="auto"/>
          <w:highlight w:val="none"/>
        </w:rPr>
        <w:fldChar w:fldCharType="separate"/>
      </w:r>
      <w:r>
        <w:rPr>
          <w:rFonts w:hint="eastAsia" w:ascii="宋体" w:hAnsi="宋体" w:cs="宋体"/>
          <w:b/>
          <w:bCs/>
          <w:color w:val="auto"/>
          <w:sz w:val="32"/>
          <w:szCs w:val="32"/>
          <w:highlight w:val="none"/>
          <w:lang w:val="en-US" w:eastAsia="zh-CN"/>
        </w:rPr>
        <w:t>第五章  响应文</w:t>
      </w:r>
      <w:bookmarkStart w:id="4" w:name="_Hlt135897174"/>
      <w:bookmarkStart w:id="5" w:name="_Hlt135897173"/>
      <w:r>
        <w:rPr>
          <w:rFonts w:hint="eastAsia" w:ascii="宋体" w:hAnsi="宋体" w:cs="宋体"/>
          <w:b/>
          <w:bCs/>
          <w:color w:val="auto"/>
          <w:sz w:val="32"/>
          <w:szCs w:val="32"/>
          <w:highlight w:val="none"/>
          <w:lang w:val="en-US" w:eastAsia="zh-CN"/>
        </w:rPr>
        <w:t>件</w:t>
      </w:r>
      <w:bookmarkEnd w:id="4"/>
      <w:bookmarkEnd w:id="5"/>
      <w:r>
        <w:rPr>
          <w:rFonts w:hint="eastAsia" w:ascii="宋体" w:hAnsi="宋体" w:cs="宋体"/>
          <w:b/>
          <w:bCs/>
          <w:color w:val="auto"/>
          <w:sz w:val="32"/>
          <w:szCs w:val="32"/>
          <w:highlight w:val="none"/>
          <w:lang w:val="en-US" w:eastAsia="zh-CN"/>
        </w:rPr>
        <w:t>格式</w:t>
      </w:r>
      <w:r>
        <w:rPr>
          <w:rFonts w:hint="eastAsia" w:ascii="宋体" w:hAnsi="宋体" w:cs="宋体"/>
          <w:b/>
          <w:bCs/>
          <w:color w:val="auto"/>
          <w:sz w:val="32"/>
          <w:szCs w:val="32"/>
          <w:highlight w:val="none"/>
          <w:lang w:val="en-US" w:eastAsia="zh-CN"/>
        </w:rPr>
        <w:tab/>
      </w:r>
      <w:r>
        <w:rPr>
          <w:rFonts w:hint="eastAsia" w:ascii="宋体" w:hAnsi="宋体" w:cs="宋体"/>
          <w:b/>
          <w:bCs/>
          <w:color w:val="auto"/>
          <w:sz w:val="32"/>
          <w:szCs w:val="32"/>
          <w:highlight w:val="none"/>
          <w:lang w:val="en-US" w:eastAsia="zh-CN"/>
        </w:rPr>
        <w:fldChar w:fldCharType="begin"/>
      </w:r>
      <w:r>
        <w:rPr>
          <w:rFonts w:hint="eastAsia" w:ascii="宋体" w:hAnsi="宋体" w:cs="宋体"/>
          <w:b/>
          <w:bCs/>
          <w:color w:val="auto"/>
          <w:sz w:val="32"/>
          <w:szCs w:val="32"/>
          <w:highlight w:val="none"/>
          <w:lang w:val="en-US" w:eastAsia="zh-CN"/>
        </w:rPr>
        <w:instrText xml:space="preserve"> PAGEREF _Toc22302 </w:instrText>
      </w:r>
      <w:r>
        <w:rPr>
          <w:rFonts w:hint="eastAsia" w:ascii="宋体" w:hAnsi="宋体" w:cs="宋体"/>
          <w:b/>
          <w:bCs/>
          <w:color w:val="auto"/>
          <w:sz w:val="32"/>
          <w:szCs w:val="32"/>
          <w:highlight w:val="none"/>
          <w:lang w:val="en-US" w:eastAsia="zh-CN"/>
        </w:rPr>
        <w:fldChar w:fldCharType="separate"/>
      </w:r>
      <w:r>
        <w:rPr>
          <w:rFonts w:hint="eastAsia" w:ascii="宋体" w:hAnsi="宋体" w:cs="宋体"/>
          <w:b/>
          <w:bCs/>
          <w:color w:val="auto"/>
          <w:sz w:val="32"/>
          <w:szCs w:val="32"/>
          <w:highlight w:val="none"/>
          <w:lang w:val="en-US" w:eastAsia="zh-CN"/>
        </w:rPr>
        <w:t>38</w:t>
      </w:r>
      <w:r>
        <w:rPr>
          <w:rFonts w:hint="eastAsia" w:ascii="宋体" w:hAnsi="宋体" w:cs="宋体"/>
          <w:b/>
          <w:bCs/>
          <w:color w:val="auto"/>
          <w:sz w:val="32"/>
          <w:szCs w:val="32"/>
          <w:highlight w:val="none"/>
          <w:lang w:val="en-US" w:eastAsia="zh-CN"/>
        </w:rPr>
        <w:fldChar w:fldCharType="end"/>
      </w:r>
      <w:r>
        <w:rPr>
          <w:rFonts w:hint="eastAsia" w:ascii="宋体" w:hAnsi="宋体" w:cs="宋体"/>
          <w:b/>
          <w:bCs/>
          <w:color w:val="auto"/>
          <w:sz w:val="32"/>
          <w:szCs w:val="32"/>
          <w:highlight w:val="none"/>
          <w:lang w:val="en-US" w:eastAsia="zh-CN"/>
        </w:rPr>
        <w:fldChar w:fldCharType="end"/>
      </w:r>
    </w:p>
    <w:p>
      <w:pPr>
        <w:pStyle w:val="25"/>
        <w:tabs>
          <w:tab w:val="right" w:leader="dot" w:pos="9643"/>
        </w:tabs>
        <w:spacing w:line="480" w:lineRule="auto"/>
        <w:rPr>
          <w:rFonts w:hint="eastAsia" w:ascii="宋体" w:hAnsi="宋体" w:cs="宋体"/>
          <w:b/>
          <w:bCs/>
          <w:color w:val="auto"/>
          <w:sz w:val="32"/>
          <w:szCs w:val="32"/>
          <w:highlight w:val="none"/>
          <w:lang w:val="en-US" w:eastAsia="zh-CN"/>
        </w:rPr>
      </w:pPr>
      <w:r>
        <w:rPr>
          <w:color w:val="auto"/>
          <w:highlight w:val="none"/>
        </w:rPr>
        <w:fldChar w:fldCharType="begin"/>
      </w:r>
      <w:r>
        <w:rPr>
          <w:color w:val="auto"/>
          <w:highlight w:val="none"/>
        </w:rPr>
        <w:instrText xml:space="preserve"> HYPERLINK \l "_Toc18676" </w:instrText>
      </w:r>
      <w:r>
        <w:rPr>
          <w:color w:val="auto"/>
          <w:highlight w:val="none"/>
        </w:rPr>
        <w:fldChar w:fldCharType="separate"/>
      </w:r>
      <w:r>
        <w:rPr>
          <w:rFonts w:hint="eastAsia" w:ascii="宋体" w:hAnsi="宋体" w:cs="宋体"/>
          <w:b/>
          <w:bCs/>
          <w:color w:val="auto"/>
          <w:sz w:val="32"/>
          <w:szCs w:val="32"/>
          <w:highlight w:val="none"/>
          <w:lang w:val="en-US" w:eastAsia="zh-CN"/>
        </w:rPr>
        <w:t>第六章  合同</w:t>
      </w:r>
      <w:bookmarkStart w:id="6" w:name="_Hlt137127063"/>
      <w:bookmarkStart w:id="7" w:name="_Hlt135924190"/>
      <w:bookmarkStart w:id="8" w:name="_Hlt137127064"/>
      <w:r>
        <w:rPr>
          <w:rFonts w:hint="eastAsia" w:ascii="宋体" w:hAnsi="宋体" w:cs="宋体"/>
          <w:b/>
          <w:bCs/>
          <w:color w:val="auto"/>
          <w:sz w:val="32"/>
          <w:szCs w:val="32"/>
          <w:highlight w:val="none"/>
          <w:lang w:val="en-US" w:eastAsia="zh-CN"/>
        </w:rPr>
        <w:t>文</w:t>
      </w:r>
      <w:bookmarkEnd w:id="6"/>
      <w:bookmarkEnd w:id="7"/>
      <w:bookmarkEnd w:id="8"/>
      <w:bookmarkStart w:id="9" w:name="_Hlt135924166"/>
      <w:bookmarkStart w:id="10" w:name="_Hlt135924167"/>
      <w:r>
        <w:rPr>
          <w:rFonts w:hint="eastAsia" w:ascii="宋体" w:hAnsi="宋体" w:cs="宋体"/>
          <w:b/>
          <w:bCs/>
          <w:color w:val="auto"/>
          <w:sz w:val="32"/>
          <w:szCs w:val="32"/>
          <w:highlight w:val="none"/>
          <w:lang w:val="en-US" w:eastAsia="zh-CN"/>
        </w:rPr>
        <w:t>本</w:t>
      </w:r>
      <w:bookmarkEnd w:id="9"/>
      <w:bookmarkEnd w:id="10"/>
      <w:r>
        <w:rPr>
          <w:rFonts w:hint="eastAsia" w:ascii="宋体" w:hAnsi="宋体" w:cs="宋体"/>
          <w:b/>
          <w:bCs/>
          <w:color w:val="auto"/>
          <w:sz w:val="32"/>
          <w:szCs w:val="32"/>
          <w:highlight w:val="none"/>
          <w:lang w:val="en-US" w:eastAsia="zh-CN"/>
        </w:rPr>
        <w:tab/>
      </w:r>
      <w:r>
        <w:rPr>
          <w:rFonts w:hint="eastAsia" w:ascii="宋体" w:hAnsi="宋体" w:cs="宋体"/>
          <w:b/>
          <w:bCs/>
          <w:color w:val="auto"/>
          <w:sz w:val="32"/>
          <w:szCs w:val="32"/>
          <w:highlight w:val="none"/>
          <w:lang w:val="en-US" w:eastAsia="zh-CN"/>
        </w:rPr>
        <w:fldChar w:fldCharType="begin"/>
      </w:r>
      <w:r>
        <w:rPr>
          <w:rFonts w:hint="eastAsia" w:ascii="宋体" w:hAnsi="宋体" w:cs="宋体"/>
          <w:b/>
          <w:bCs/>
          <w:color w:val="auto"/>
          <w:sz w:val="32"/>
          <w:szCs w:val="32"/>
          <w:highlight w:val="none"/>
          <w:lang w:val="en-US" w:eastAsia="zh-CN"/>
        </w:rPr>
        <w:instrText xml:space="preserve"> PAGEREF _Toc18676 </w:instrText>
      </w:r>
      <w:r>
        <w:rPr>
          <w:rFonts w:hint="eastAsia" w:ascii="宋体" w:hAnsi="宋体" w:cs="宋体"/>
          <w:b/>
          <w:bCs/>
          <w:color w:val="auto"/>
          <w:sz w:val="32"/>
          <w:szCs w:val="32"/>
          <w:highlight w:val="none"/>
          <w:lang w:val="en-US" w:eastAsia="zh-CN"/>
        </w:rPr>
        <w:fldChar w:fldCharType="separate"/>
      </w:r>
      <w:r>
        <w:rPr>
          <w:rFonts w:hint="eastAsia" w:ascii="宋体" w:hAnsi="宋体" w:cs="宋体"/>
          <w:b/>
          <w:bCs/>
          <w:color w:val="auto"/>
          <w:sz w:val="32"/>
          <w:szCs w:val="32"/>
          <w:highlight w:val="none"/>
          <w:lang w:val="en-US" w:eastAsia="zh-CN"/>
        </w:rPr>
        <w:t>66</w:t>
      </w:r>
      <w:r>
        <w:rPr>
          <w:rFonts w:hint="eastAsia" w:ascii="宋体" w:hAnsi="宋体" w:cs="宋体"/>
          <w:b/>
          <w:bCs/>
          <w:color w:val="auto"/>
          <w:sz w:val="32"/>
          <w:szCs w:val="32"/>
          <w:highlight w:val="none"/>
          <w:lang w:val="en-US" w:eastAsia="zh-CN"/>
        </w:rPr>
        <w:fldChar w:fldCharType="end"/>
      </w:r>
      <w:r>
        <w:rPr>
          <w:rFonts w:hint="eastAsia" w:ascii="宋体" w:hAnsi="宋体" w:cs="宋体"/>
          <w:b/>
          <w:bCs/>
          <w:color w:val="auto"/>
          <w:sz w:val="32"/>
          <w:szCs w:val="32"/>
          <w:highlight w:val="none"/>
          <w:lang w:val="en-US" w:eastAsia="zh-CN"/>
        </w:rPr>
        <w:fldChar w:fldCharType="end"/>
      </w:r>
    </w:p>
    <w:p>
      <w:pPr>
        <w:pStyle w:val="25"/>
        <w:tabs>
          <w:tab w:val="right" w:leader="dot" w:pos="9643"/>
        </w:tabs>
        <w:spacing w:line="480" w:lineRule="auto"/>
        <w:rPr>
          <w:b/>
          <w:bCs/>
          <w:color w:val="auto"/>
          <w:sz w:val="32"/>
          <w:szCs w:val="32"/>
          <w:highlight w:val="none"/>
          <w:lang w:val="en-US" w:eastAsia="zh-CN"/>
        </w:rPr>
      </w:pPr>
      <w:r>
        <w:rPr>
          <w:color w:val="auto"/>
          <w:highlight w:val="none"/>
        </w:rPr>
        <w:fldChar w:fldCharType="begin"/>
      </w:r>
      <w:r>
        <w:rPr>
          <w:color w:val="auto"/>
          <w:highlight w:val="none"/>
        </w:rPr>
        <w:instrText xml:space="preserve"> HYPERLINK \l "_Toc13011" </w:instrText>
      </w:r>
      <w:r>
        <w:rPr>
          <w:color w:val="auto"/>
          <w:highlight w:val="none"/>
        </w:rPr>
        <w:fldChar w:fldCharType="separate"/>
      </w:r>
      <w:r>
        <w:rPr>
          <w:rFonts w:hint="eastAsia" w:ascii="宋体" w:hAnsi="宋体" w:cs="宋体"/>
          <w:b/>
          <w:bCs/>
          <w:color w:val="auto"/>
          <w:sz w:val="32"/>
          <w:szCs w:val="32"/>
          <w:highlight w:val="none"/>
          <w:lang w:val="en-US" w:eastAsia="zh-CN"/>
        </w:rPr>
        <w:t>第七章  质疑、投诉</w:t>
      </w:r>
      <w:bookmarkStart w:id="11" w:name="_Hlt137580637"/>
      <w:bookmarkStart w:id="12" w:name="_Hlt137580638"/>
      <w:r>
        <w:rPr>
          <w:rFonts w:hint="eastAsia" w:ascii="宋体" w:hAnsi="宋体" w:cs="宋体"/>
          <w:b/>
          <w:bCs/>
          <w:color w:val="auto"/>
          <w:sz w:val="32"/>
          <w:szCs w:val="32"/>
          <w:highlight w:val="none"/>
          <w:lang w:val="en-US" w:eastAsia="zh-CN"/>
        </w:rPr>
        <w:t>材</w:t>
      </w:r>
      <w:bookmarkEnd w:id="11"/>
      <w:bookmarkEnd w:id="12"/>
      <w:r>
        <w:rPr>
          <w:rFonts w:hint="eastAsia" w:ascii="宋体" w:hAnsi="宋体" w:cs="宋体"/>
          <w:b/>
          <w:bCs/>
          <w:color w:val="auto"/>
          <w:sz w:val="32"/>
          <w:szCs w:val="32"/>
          <w:highlight w:val="none"/>
          <w:lang w:val="en-US" w:eastAsia="zh-CN"/>
        </w:rPr>
        <w:t>料</w:t>
      </w:r>
      <w:bookmarkStart w:id="165" w:name="_GoBack"/>
      <w:bookmarkEnd w:id="165"/>
      <w:r>
        <w:rPr>
          <w:rFonts w:hint="eastAsia" w:ascii="宋体" w:hAnsi="宋体" w:cs="宋体"/>
          <w:b/>
          <w:bCs/>
          <w:color w:val="auto"/>
          <w:sz w:val="32"/>
          <w:szCs w:val="32"/>
          <w:highlight w:val="none"/>
          <w:lang w:val="en-US" w:eastAsia="zh-CN"/>
        </w:rPr>
        <w:t>格式</w:t>
      </w:r>
      <w:r>
        <w:rPr>
          <w:rFonts w:hint="eastAsia" w:ascii="宋体" w:hAnsi="宋体" w:cs="宋体"/>
          <w:b/>
          <w:bCs/>
          <w:color w:val="auto"/>
          <w:sz w:val="32"/>
          <w:szCs w:val="32"/>
          <w:highlight w:val="none"/>
          <w:lang w:val="en-US" w:eastAsia="zh-CN"/>
        </w:rPr>
        <w:tab/>
      </w:r>
      <w:r>
        <w:rPr>
          <w:rFonts w:hint="eastAsia" w:ascii="宋体" w:hAnsi="宋体" w:cs="宋体"/>
          <w:b/>
          <w:bCs/>
          <w:color w:val="auto"/>
          <w:sz w:val="32"/>
          <w:szCs w:val="32"/>
          <w:highlight w:val="none"/>
          <w:lang w:val="en-US" w:eastAsia="zh-CN"/>
        </w:rPr>
        <w:fldChar w:fldCharType="begin"/>
      </w:r>
      <w:r>
        <w:rPr>
          <w:rFonts w:hint="eastAsia" w:ascii="宋体" w:hAnsi="宋体" w:cs="宋体"/>
          <w:b/>
          <w:bCs/>
          <w:color w:val="auto"/>
          <w:sz w:val="32"/>
          <w:szCs w:val="32"/>
          <w:highlight w:val="none"/>
          <w:lang w:val="en-US" w:eastAsia="zh-CN"/>
        </w:rPr>
        <w:instrText xml:space="preserve"> PAGEREF _Toc13011 </w:instrText>
      </w:r>
      <w:r>
        <w:rPr>
          <w:rFonts w:hint="eastAsia" w:ascii="宋体" w:hAnsi="宋体" w:cs="宋体"/>
          <w:b/>
          <w:bCs/>
          <w:color w:val="auto"/>
          <w:sz w:val="32"/>
          <w:szCs w:val="32"/>
          <w:highlight w:val="none"/>
          <w:lang w:val="en-US" w:eastAsia="zh-CN"/>
        </w:rPr>
        <w:fldChar w:fldCharType="separate"/>
      </w:r>
      <w:r>
        <w:rPr>
          <w:rFonts w:hint="eastAsia" w:ascii="宋体" w:hAnsi="宋体" w:cs="宋体"/>
          <w:b/>
          <w:bCs/>
          <w:color w:val="auto"/>
          <w:sz w:val="32"/>
          <w:szCs w:val="32"/>
          <w:highlight w:val="none"/>
          <w:lang w:val="en-US" w:eastAsia="zh-CN"/>
        </w:rPr>
        <w:t>75</w:t>
      </w:r>
      <w:r>
        <w:rPr>
          <w:rFonts w:hint="eastAsia" w:ascii="宋体" w:hAnsi="宋体" w:cs="宋体"/>
          <w:b/>
          <w:bCs/>
          <w:color w:val="auto"/>
          <w:sz w:val="32"/>
          <w:szCs w:val="32"/>
          <w:highlight w:val="none"/>
          <w:lang w:val="en-US" w:eastAsia="zh-CN"/>
        </w:rPr>
        <w:fldChar w:fldCharType="end"/>
      </w:r>
      <w:r>
        <w:rPr>
          <w:rFonts w:hint="eastAsia" w:ascii="宋体" w:hAnsi="宋体" w:cs="宋体"/>
          <w:b/>
          <w:bCs/>
          <w:color w:val="auto"/>
          <w:sz w:val="32"/>
          <w:szCs w:val="32"/>
          <w:highlight w:val="none"/>
          <w:lang w:val="en-US" w:eastAsia="zh-CN"/>
        </w:rPr>
        <w:fldChar w:fldCharType="end"/>
      </w:r>
    </w:p>
    <w:p>
      <w:pPr>
        <w:pStyle w:val="27"/>
        <w:spacing w:line="480" w:lineRule="auto"/>
        <w:rPr>
          <w:rFonts w:hint="eastAsia"/>
          <w:b/>
          <w:color w:val="auto"/>
          <w:sz w:val="32"/>
          <w:szCs w:val="32"/>
          <w:highlight w:val="none"/>
        </w:rPr>
      </w:pPr>
      <w:r>
        <w:rPr>
          <w:rFonts w:hint="eastAsia" w:ascii="宋体" w:hAnsi="宋体" w:cs="宋体"/>
          <w:b/>
          <w:bCs/>
          <w:color w:val="auto"/>
          <w:sz w:val="24"/>
          <w:highlight w:val="none"/>
        </w:rPr>
        <w:fldChar w:fldCharType="end"/>
      </w:r>
    </w:p>
    <w:p>
      <w:pPr>
        <w:spacing w:line="400" w:lineRule="exact"/>
        <w:rPr>
          <w:rFonts w:hint="eastAsia"/>
          <w:b/>
          <w:color w:val="auto"/>
          <w:sz w:val="32"/>
          <w:szCs w:val="32"/>
          <w:highlight w:val="none"/>
        </w:rPr>
        <w:sectPr>
          <w:headerReference r:id="rId7" w:type="first"/>
          <w:footerReference r:id="rId9" w:type="first"/>
          <w:headerReference r:id="rId6" w:type="default"/>
          <w:footerReference r:id="rId8" w:type="default"/>
          <w:pgSz w:w="11911" w:h="16838"/>
          <w:pgMar w:top="1134" w:right="1134" w:bottom="1134" w:left="1134" w:header="720" w:footer="720" w:gutter="0"/>
          <w:cols w:space="720" w:num="1"/>
          <w:docGrid w:linePitch="312" w:charSpace="0"/>
        </w:sectPr>
      </w:pPr>
    </w:p>
    <w:p>
      <w:pPr>
        <w:pStyle w:val="3"/>
        <w:spacing w:before="360" w:after="360" w:line="400" w:lineRule="exact"/>
        <w:jc w:val="center"/>
        <w:rPr>
          <w:rFonts w:hint="eastAsia" w:ascii="Calibri" w:hAnsi="Calibri"/>
          <w:color w:val="auto"/>
          <w:highlight w:val="none"/>
        </w:rPr>
      </w:pPr>
      <w:bookmarkStart w:id="13" w:name="_Toc32264"/>
      <w:bookmarkStart w:id="14" w:name="_Toc12242"/>
      <w:bookmarkStart w:id="15" w:name="_Toc27000"/>
      <w:bookmarkStart w:id="16" w:name="_Toc15624"/>
      <w:bookmarkStart w:id="17" w:name="_Toc80886925"/>
      <w:bookmarkStart w:id="18" w:name="_Toc18838"/>
      <w:bookmarkStart w:id="19" w:name="_Toc11382"/>
      <w:bookmarkStart w:id="20" w:name="_Toc11989"/>
      <w:r>
        <w:rPr>
          <w:rFonts w:hint="eastAsia" w:ascii="Calibri" w:hAnsi="Calibri"/>
          <w:color w:val="auto"/>
          <w:highlight w:val="none"/>
        </w:rPr>
        <w:t>第一章 竞争性磋商公告</w:t>
      </w:r>
      <w:bookmarkEnd w:id="13"/>
      <w:bookmarkEnd w:id="14"/>
      <w:bookmarkEnd w:id="15"/>
      <w:bookmarkEnd w:id="16"/>
      <w:bookmarkEnd w:id="17"/>
      <w:bookmarkEnd w:id="18"/>
      <w:bookmarkEnd w:id="19"/>
      <w:bookmarkEnd w:id="20"/>
      <w:bookmarkStart w:id="21" w:name="_Toc28359004"/>
      <w:bookmarkStart w:id="22" w:name="_Toc28359089"/>
      <w:bookmarkStart w:id="23" w:name="_Toc35393792"/>
      <w:bookmarkStart w:id="24" w:name="_Toc35393623"/>
      <w:bookmarkStart w:id="25" w:name="_Toc28359081"/>
      <w:bookmarkStart w:id="26" w:name="_Toc28359012"/>
      <w:bookmarkStart w:id="27" w:name="_Toc35393798"/>
      <w:bookmarkStart w:id="28" w:name="_Toc44229878"/>
      <w:bookmarkStart w:id="29" w:name="_Toc35393629"/>
    </w:p>
    <w:p>
      <w:pPr>
        <w:spacing w:line="360" w:lineRule="auto"/>
        <w:jc w:val="center"/>
        <w:rPr>
          <w:rFonts w:ascii="Times New Roman" w:hAnsi="Times New Roman" w:eastAsia="宋体" w:cs="Times New Roman"/>
          <w:b/>
          <w:color w:val="auto"/>
          <w:sz w:val="32"/>
          <w:szCs w:val="32"/>
          <w:highlight w:val="none"/>
        </w:rPr>
      </w:pPr>
    </w:p>
    <w:p>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广西科联招标中心有限公司关于</w:t>
      </w:r>
      <w:r>
        <w:rPr>
          <w:rFonts w:hint="eastAsia" w:ascii="宋体" w:hAnsi="宋体" w:cs="宋体"/>
          <w:b/>
          <w:color w:val="auto"/>
          <w:sz w:val="36"/>
          <w:szCs w:val="36"/>
          <w:highlight w:val="none"/>
          <w:lang w:eastAsia="zh-CN"/>
        </w:rPr>
        <w:t>劳务服务项目采购</w:t>
      </w:r>
      <w:r>
        <w:rPr>
          <w:rFonts w:hint="eastAsia" w:ascii="宋体" w:hAnsi="宋体" w:eastAsia="宋体" w:cs="宋体"/>
          <w:b/>
          <w:color w:val="auto"/>
          <w:sz w:val="36"/>
          <w:szCs w:val="36"/>
          <w:highlight w:val="none"/>
        </w:rPr>
        <w:t>（</w:t>
      </w:r>
      <w:r>
        <w:rPr>
          <w:rFonts w:hint="eastAsia" w:ascii="宋体" w:hAnsi="宋体" w:cs="宋体"/>
          <w:b/>
          <w:color w:val="auto"/>
          <w:sz w:val="36"/>
          <w:szCs w:val="36"/>
          <w:highlight w:val="none"/>
          <w:lang w:eastAsia="zh-CN"/>
        </w:rPr>
        <w:t>GXZC2025-C3-000870-GXKL</w:t>
      </w:r>
      <w:r>
        <w:rPr>
          <w:rFonts w:hint="eastAsia" w:ascii="宋体" w:hAnsi="宋体" w:eastAsia="宋体" w:cs="宋体"/>
          <w:b/>
          <w:color w:val="auto"/>
          <w:sz w:val="36"/>
          <w:szCs w:val="36"/>
          <w:highlight w:val="none"/>
        </w:rPr>
        <w:t>）的竞争性磋商公告</w:t>
      </w:r>
    </w:p>
    <w:p>
      <w:pPr>
        <w:pStyle w:val="2"/>
        <w:rPr>
          <w:color w:val="auto"/>
          <w:highlight w:val="none"/>
        </w:rPr>
      </w:pPr>
    </w:p>
    <w:bookmarkEnd w:id="21"/>
    <w:bookmarkEnd w:id="22"/>
    <w:bookmarkEnd w:id="23"/>
    <w:bookmarkEnd w:id="24"/>
    <w:bookmarkEnd w:id="25"/>
    <w:bookmarkEnd w:id="26"/>
    <w:bookmarkEnd w:id="27"/>
    <w:bookmarkEnd w:id="28"/>
    <w:bookmarkEnd w:id="29"/>
    <w:tbl>
      <w:tblPr>
        <w:tblStyle w:val="31"/>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tcPr>
          <w:p>
            <w:pPr>
              <w:spacing w:line="360" w:lineRule="auto"/>
              <w:rPr>
                <w:rFonts w:hint="eastAsia"/>
                <w:color w:val="auto"/>
                <w:szCs w:val="21"/>
                <w:highlight w:val="none"/>
              </w:rPr>
            </w:pPr>
            <w:r>
              <w:rPr>
                <w:rFonts w:hint="eastAsia"/>
                <w:color w:val="auto"/>
                <w:szCs w:val="21"/>
                <w:highlight w:val="none"/>
              </w:rPr>
              <w:t>项目概况：</w:t>
            </w:r>
          </w:p>
          <w:p>
            <w:pPr>
              <w:spacing w:line="360" w:lineRule="auto"/>
              <w:ind w:firstLine="420" w:firstLineChars="200"/>
              <w:rPr>
                <w:rFonts w:hint="eastAsia" w:ascii="黑体" w:hAnsi="黑体" w:eastAsia="黑体" w:cs="宋体"/>
                <w:bCs/>
                <w:color w:val="auto"/>
                <w:sz w:val="24"/>
                <w:highlight w:val="none"/>
              </w:rPr>
            </w:pPr>
            <w:r>
              <w:rPr>
                <w:rFonts w:hint="eastAsia" w:ascii="宋体" w:hAnsi="宋体" w:cs="宋体"/>
                <w:color w:val="auto"/>
                <w:szCs w:val="21"/>
                <w:highlight w:val="none"/>
                <w:u w:val="single"/>
                <w:lang w:eastAsia="zh-CN"/>
              </w:rPr>
              <w:t>劳务服务项目采购</w:t>
            </w:r>
            <w:r>
              <w:rPr>
                <w:rFonts w:hint="eastAsia" w:ascii="宋体" w:hAnsi="宋体" w:eastAsia="宋体" w:cs="宋体"/>
                <w:color w:val="auto"/>
                <w:szCs w:val="21"/>
                <w:highlight w:val="none"/>
              </w:rPr>
              <w:t>的潜在供应商应在</w:t>
            </w:r>
            <w:r>
              <w:rPr>
                <w:rFonts w:hint="eastAsia" w:ascii="宋体" w:hAnsi="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获取采购文件，并于</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lang w:eastAsia="zh-CN"/>
              </w:rPr>
              <w:t>:00:00</w:t>
            </w:r>
            <w:r>
              <w:rPr>
                <w:rFonts w:hint="eastAsia" w:ascii="宋体" w:hAnsi="宋体" w:eastAsia="宋体" w:cs="宋体"/>
                <w:color w:val="auto"/>
                <w:szCs w:val="21"/>
                <w:highlight w:val="none"/>
              </w:rPr>
              <w:t>（北京时间）前提交响应文件。</w:t>
            </w:r>
          </w:p>
        </w:tc>
      </w:tr>
    </w:tbl>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一、项目基本情况</w:t>
      </w:r>
    </w:p>
    <w:p>
      <w:pPr>
        <w:spacing w:line="360" w:lineRule="auto"/>
        <w:ind w:firstLine="422" w:firstLineChars="200"/>
        <w:rPr>
          <w:rFonts w:hint="eastAsia" w:ascii="宋体" w:hAnsi="宋体" w:eastAsia="宋体" w:cs="Times New Roman"/>
          <w:color w:val="auto"/>
          <w:szCs w:val="21"/>
          <w:highlight w:val="none"/>
          <w:lang w:eastAsia="zh-CN"/>
        </w:rPr>
      </w:pPr>
      <w:r>
        <w:rPr>
          <w:rFonts w:hint="eastAsia" w:ascii="宋体" w:hAnsi="宋体" w:eastAsia="宋体" w:cs="Times New Roman"/>
          <w:b/>
          <w:bCs/>
          <w:color w:val="auto"/>
          <w:szCs w:val="21"/>
          <w:highlight w:val="none"/>
        </w:rPr>
        <w:t>项目编号：</w:t>
      </w:r>
      <w:r>
        <w:rPr>
          <w:rFonts w:hint="eastAsia" w:ascii="宋体" w:hAnsi="宋体" w:cs="Times New Roman"/>
          <w:color w:val="auto"/>
          <w:szCs w:val="21"/>
          <w:highlight w:val="none"/>
          <w:lang w:eastAsia="zh-CN"/>
        </w:rPr>
        <w:t>GXZC2025-C3-000870-GXKL</w:t>
      </w:r>
    </w:p>
    <w:p>
      <w:pPr>
        <w:spacing w:line="360" w:lineRule="auto"/>
        <w:ind w:firstLine="422" w:firstLineChars="200"/>
        <w:rPr>
          <w:rFonts w:hint="eastAsia" w:ascii="宋体" w:hAnsi="宋体" w:eastAsia="宋体" w:cs="Times New Roman"/>
          <w:color w:val="auto"/>
          <w:szCs w:val="21"/>
          <w:highlight w:val="none"/>
          <w:lang w:eastAsia="zh-CN"/>
        </w:rPr>
      </w:pPr>
      <w:r>
        <w:rPr>
          <w:rFonts w:hint="eastAsia" w:ascii="宋体" w:hAnsi="宋体" w:eastAsia="宋体" w:cs="Times New Roman"/>
          <w:b/>
          <w:bCs/>
          <w:color w:val="auto"/>
          <w:szCs w:val="21"/>
          <w:highlight w:val="none"/>
        </w:rPr>
        <w:t>项目名称：</w:t>
      </w:r>
      <w:r>
        <w:rPr>
          <w:rFonts w:hint="eastAsia" w:ascii="宋体" w:hAnsi="宋体" w:cs="Times New Roman"/>
          <w:color w:val="auto"/>
          <w:szCs w:val="21"/>
          <w:highlight w:val="none"/>
          <w:lang w:eastAsia="zh-CN"/>
        </w:rPr>
        <w:t>劳务服务项目采购</w:t>
      </w:r>
    </w:p>
    <w:p>
      <w:pPr>
        <w:spacing w:line="360" w:lineRule="auto"/>
        <w:ind w:firstLine="422" w:firstLineChars="200"/>
        <w:rPr>
          <w:rFonts w:hint="eastAsia" w:ascii="宋体" w:hAnsi="宋体" w:eastAsia="宋体" w:cs="Times New Roman"/>
          <w:color w:val="auto"/>
          <w:szCs w:val="21"/>
          <w:highlight w:val="none"/>
        </w:rPr>
      </w:pPr>
      <w:r>
        <w:rPr>
          <w:rFonts w:hint="eastAsia" w:ascii="宋体" w:hAnsi="宋体" w:eastAsia="宋体" w:cs="Times New Roman"/>
          <w:b/>
          <w:bCs/>
          <w:color w:val="auto"/>
          <w:szCs w:val="21"/>
          <w:highlight w:val="none"/>
        </w:rPr>
        <w:t>采购方式：</w:t>
      </w:r>
      <w:r>
        <w:rPr>
          <w:rFonts w:hint="eastAsia" w:ascii="宋体" w:hAnsi="宋体" w:eastAsia="宋体" w:cs="Times New Roman"/>
          <w:color w:val="auto"/>
          <w:szCs w:val="21"/>
          <w:highlight w:val="none"/>
        </w:rPr>
        <w:t>竞争性磋商</w:t>
      </w:r>
    </w:p>
    <w:p>
      <w:pPr>
        <w:spacing w:line="360" w:lineRule="auto"/>
        <w:ind w:firstLine="422"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b/>
          <w:bCs/>
          <w:color w:val="auto"/>
          <w:szCs w:val="21"/>
          <w:highlight w:val="none"/>
        </w:rPr>
        <w:t>预算总金额</w:t>
      </w:r>
      <w:r>
        <w:rPr>
          <w:rFonts w:hint="eastAsia" w:ascii="宋体" w:hAnsi="宋体" w:cs="Times New Roman"/>
          <w:b/>
          <w:bCs/>
          <w:color w:val="auto"/>
          <w:szCs w:val="21"/>
          <w:highlight w:val="none"/>
          <w:lang w:eastAsia="zh-CN"/>
        </w:rPr>
        <w:t>（</w:t>
      </w:r>
      <w:r>
        <w:rPr>
          <w:rFonts w:hint="eastAsia" w:ascii="宋体" w:hAnsi="宋体" w:cs="Times New Roman"/>
          <w:b/>
          <w:bCs/>
          <w:color w:val="auto"/>
          <w:szCs w:val="21"/>
          <w:highlight w:val="none"/>
          <w:lang w:val="en-US" w:eastAsia="zh-CN"/>
        </w:rPr>
        <w:t>含税</w:t>
      </w:r>
      <w:r>
        <w:rPr>
          <w:rFonts w:hint="eastAsia" w:ascii="宋体" w:hAnsi="宋体" w:cs="Times New Roman"/>
          <w:b/>
          <w:bCs/>
          <w:color w:val="auto"/>
          <w:szCs w:val="21"/>
          <w:highlight w:val="none"/>
          <w:lang w:eastAsia="zh-CN"/>
        </w:rPr>
        <w:t>）</w:t>
      </w:r>
      <w:r>
        <w:rPr>
          <w:rFonts w:hint="eastAsia" w:ascii="宋体" w:hAnsi="宋体" w:eastAsia="宋体" w:cs="Times New Roman"/>
          <w:b/>
          <w:bCs/>
          <w:color w:val="auto"/>
          <w:szCs w:val="21"/>
          <w:highlight w:val="none"/>
        </w:rPr>
        <w:t>（元）</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人民币壹佰贰拾万元整（小写：¥1200000.00）</w:t>
      </w:r>
    </w:p>
    <w:p>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采购需求：</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标项名称</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劳务服务项目采购</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数量</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1</w:t>
      </w:r>
    </w:p>
    <w:p>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预算金额（含税）（元）</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人民币壹佰贰拾万元整（小写：¥1200000.00）</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简要规格描述或项目基本概况介绍、用途：劳务服务</w:t>
      </w:r>
      <w:r>
        <w:rPr>
          <w:rFonts w:hint="eastAsia" w:ascii="宋体" w:hAnsi="宋体" w:cs="Times New Roman"/>
          <w:color w:val="auto"/>
          <w:szCs w:val="21"/>
          <w:highlight w:val="none"/>
          <w:lang w:val="en-US" w:eastAsia="zh-CN"/>
        </w:rPr>
        <w:t>1项</w:t>
      </w:r>
      <w:r>
        <w:rPr>
          <w:rFonts w:hint="eastAsia" w:ascii="宋体" w:hAnsi="宋体" w:eastAsia="宋体" w:cs="Times New Roman"/>
          <w:color w:val="auto"/>
          <w:szCs w:val="21"/>
          <w:highlight w:val="none"/>
        </w:rPr>
        <w:t>，详见</w:t>
      </w:r>
      <w:r>
        <w:rPr>
          <w:rFonts w:hint="eastAsia" w:ascii="宋体" w:hAnsi="宋体" w:cs="Times New Roman"/>
          <w:color w:val="auto"/>
          <w:szCs w:val="21"/>
          <w:highlight w:val="none"/>
          <w:lang w:val="en-US" w:eastAsia="zh-CN"/>
        </w:rPr>
        <w:t>本</w:t>
      </w:r>
      <w:r>
        <w:rPr>
          <w:rFonts w:hint="eastAsia" w:cs="Times New Roman"/>
          <w:color w:val="auto"/>
          <w:highlight w:val="none"/>
          <w:lang w:eastAsia="zh-CN"/>
        </w:rPr>
        <w:t>竞争性磋商公告</w:t>
      </w:r>
      <w:r>
        <w:rPr>
          <w:rFonts w:hint="eastAsia" w:ascii="宋体" w:hAnsi="宋体" w:eastAsia="宋体" w:cs="Times New Roman"/>
          <w:color w:val="auto"/>
          <w:szCs w:val="21"/>
          <w:highlight w:val="none"/>
        </w:rPr>
        <w:t>附件</w:t>
      </w:r>
      <w:r>
        <w:rPr>
          <w:rFonts w:hint="eastAsia" w:ascii="宋体" w:hAnsi="宋体" w:eastAsia="宋体" w:cs="Times New Roman"/>
          <w:color w:val="auto"/>
          <w:szCs w:val="21"/>
          <w:highlight w:val="none"/>
          <w:lang w:val="en-US" w:eastAsia="zh-CN"/>
        </w:rPr>
        <w:t>采购文件</w:t>
      </w:r>
      <w:r>
        <w:rPr>
          <w:rFonts w:hint="eastAsia" w:ascii="宋体" w:hAnsi="宋体" w:eastAsia="宋体" w:cs="Times New Roman"/>
          <w:color w:val="auto"/>
          <w:szCs w:val="21"/>
          <w:highlight w:val="none"/>
        </w:rPr>
        <w:t>。</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最高限价（如有）</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合同履约期限</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服务时间</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自合同签订之日起一年。</w:t>
      </w:r>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本标项</w:t>
      </w:r>
      <w:r>
        <w:rPr>
          <w:rFonts w:hint="eastAsia" w:ascii="宋体" w:hAnsi="宋体"/>
          <w:color w:val="auto"/>
          <w:szCs w:val="21"/>
          <w:highlight w:val="none"/>
          <w:lang w:val="en-US" w:eastAsia="zh-CN"/>
        </w:rPr>
        <w:t>（否）</w:t>
      </w:r>
      <w:r>
        <w:rPr>
          <w:rFonts w:hint="eastAsia" w:ascii="宋体" w:hAnsi="宋体"/>
          <w:color w:val="auto"/>
          <w:szCs w:val="21"/>
          <w:highlight w:val="none"/>
        </w:rPr>
        <w:t>接受联合体竞标</w:t>
      </w:r>
      <w:r>
        <w:rPr>
          <w:rFonts w:hint="eastAsia" w:ascii="宋体" w:hAnsi="宋体"/>
          <w:color w:val="auto"/>
          <w:szCs w:val="21"/>
          <w:highlight w:val="none"/>
          <w:lang w:eastAsia="zh-CN"/>
        </w:rPr>
        <w:t>。</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备注：无</w:t>
      </w:r>
    </w:p>
    <w:p>
      <w:pPr>
        <w:spacing w:line="360" w:lineRule="auto"/>
        <w:ind w:firstLine="482" w:firstLineChars="200"/>
        <w:rPr>
          <w:rFonts w:hint="eastAsia" w:ascii="宋体" w:hAnsi="宋体" w:eastAsia="宋体" w:cs="宋体"/>
          <w:b/>
          <w:bCs/>
          <w:color w:val="auto"/>
          <w:sz w:val="24"/>
          <w:highlight w:val="none"/>
        </w:rPr>
      </w:pPr>
      <w:bookmarkStart w:id="30" w:name="_Toc35393799"/>
      <w:bookmarkStart w:id="31" w:name="_Toc35393630"/>
      <w:bookmarkStart w:id="32" w:name="_Toc28359013"/>
      <w:bookmarkStart w:id="33" w:name="_Toc44229879"/>
      <w:bookmarkStart w:id="34" w:name="_Toc28359090"/>
      <w:r>
        <w:rPr>
          <w:rFonts w:hint="eastAsia" w:ascii="宋体" w:hAnsi="宋体" w:eastAsia="宋体" w:cs="宋体"/>
          <w:b/>
          <w:bCs/>
          <w:color w:val="auto"/>
          <w:sz w:val="24"/>
          <w:highlight w:val="none"/>
        </w:rPr>
        <w:t>二、申请人的资格</w:t>
      </w:r>
      <w:bookmarkEnd w:id="30"/>
      <w:bookmarkEnd w:id="31"/>
      <w:bookmarkEnd w:id="32"/>
      <w:bookmarkEnd w:id="33"/>
      <w:bookmarkEnd w:id="34"/>
      <w:r>
        <w:rPr>
          <w:rFonts w:hint="eastAsia" w:ascii="宋体" w:hAnsi="宋体" w:eastAsia="宋体" w:cs="宋体"/>
          <w:b/>
          <w:bCs/>
          <w:color w:val="auto"/>
          <w:sz w:val="24"/>
          <w:highlight w:val="none"/>
        </w:rPr>
        <w:t>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2.落实政府采购政策需满足的资格要求：</w:t>
      </w:r>
      <w:r>
        <w:rPr>
          <w:rFonts w:hint="eastAsia" w:ascii="宋体" w:hAnsi="宋体"/>
          <w:color w:val="auto"/>
          <w:szCs w:val="21"/>
          <w:highlight w:val="none"/>
          <w:lang w:val="en-US" w:eastAsia="zh-CN"/>
        </w:rPr>
        <w:t>本项目为专门面向小微企业采购的项目。供应商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3.本项目的特定资格要求：无。</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三、获取采购文件</w:t>
      </w:r>
    </w:p>
    <w:p>
      <w:pPr>
        <w:spacing w:line="360" w:lineRule="auto"/>
        <w:ind w:firstLine="420" w:firstLineChars="200"/>
        <w:rPr>
          <w:rFonts w:hint="eastAsia" w:ascii="宋体" w:hAnsi="宋体" w:cs="宋体"/>
          <w:bCs/>
          <w:color w:val="auto"/>
          <w:kern w:val="0"/>
          <w:szCs w:val="21"/>
          <w:highlight w:val="none"/>
        </w:rPr>
      </w:pPr>
      <w:bookmarkStart w:id="35" w:name="_Toc35393793"/>
      <w:bookmarkStart w:id="36" w:name="_Toc28359005"/>
      <w:bookmarkStart w:id="37" w:name="_Toc28359082"/>
      <w:bookmarkStart w:id="38" w:name="_Toc35393624"/>
      <w:r>
        <w:rPr>
          <w:rFonts w:hint="eastAsia" w:ascii="宋体" w:hAnsi="宋体" w:cs="宋体"/>
          <w:bCs/>
          <w:color w:val="auto"/>
          <w:kern w:val="0"/>
          <w:szCs w:val="21"/>
          <w:highlight w:val="none"/>
        </w:rPr>
        <w:t>时间：</w:t>
      </w:r>
      <w:r>
        <w:rPr>
          <w:rFonts w:hint="eastAsia" w:ascii="宋体" w:hAnsi="宋体" w:cs="宋体"/>
          <w:bCs/>
          <w:color w:val="auto"/>
          <w:kern w:val="0"/>
          <w:szCs w:val="21"/>
          <w:highlight w:val="none"/>
          <w:lang w:eastAsia="zh-CN"/>
        </w:rPr>
        <w:t>2025年</w:t>
      </w:r>
      <w:r>
        <w:rPr>
          <w:rFonts w:hint="eastAsia" w:ascii="宋体" w:hAnsi="宋体" w:cs="宋体"/>
          <w:bCs/>
          <w:color w:val="auto"/>
          <w:kern w:val="0"/>
          <w:szCs w:val="21"/>
          <w:highlight w:val="none"/>
          <w:lang w:val="en-US" w:eastAsia="zh-CN"/>
        </w:rPr>
        <w:t>4</w:t>
      </w:r>
      <w:r>
        <w:rPr>
          <w:rFonts w:hint="eastAsia" w:ascii="宋体" w:hAnsi="宋体" w:cs="宋体"/>
          <w:bCs/>
          <w:color w:val="auto"/>
          <w:kern w:val="0"/>
          <w:szCs w:val="21"/>
          <w:highlight w:val="none"/>
          <w:lang w:eastAsia="zh-CN"/>
        </w:rPr>
        <w:t>月</w:t>
      </w:r>
      <w:r>
        <w:rPr>
          <w:rFonts w:hint="eastAsia" w:ascii="宋体" w:hAnsi="宋体" w:cs="宋体"/>
          <w:bCs/>
          <w:color w:val="auto"/>
          <w:kern w:val="0"/>
          <w:szCs w:val="21"/>
          <w:highlight w:val="none"/>
          <w:lang w:val="en-US" w:eastAsia="zh-CN"/>
        </w:rPr>
        <w:t>21</w:t>
      </w:r>
      <w:r>
        <w:rPr>
          <w:rFonts w:hint="eastAsia" w:ascii="宋体" w:hAnsi="宋体" w:cs="宋体"/>
          <w:bCs/>
          <w:color w:val="auto"/>
          <w:kern w:val="0"/>
          <w:szCs w:val="21"/>
          <w:highlight w:val="none"/>
          <w:lang w:eastAsia="zh-CN"/>
        </w:rPr>
        <w:t>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lang w:eastAsia="zh-CN"/>
        </w:rPr>
        <w:t>2025年</w:t>
      </w:r>
      <w:r>
        <w:rPr>
          <w:rFonts w:hint="eastAsia" w:ascii="宋体" w:hAnsi="宋体" w:cs="宋体"/>
          <w:bCs/>
          <w:color w:val="auto"/>
          <w:kern w:val="0"/>
          <w:szCs w:val="21"/>
          <w:highlight w:val="none"/>
          <w:lang w:val="en-US" w:eastAsia="zh-CN"/>
        </w:rPr>
        <w:t>4</w:t>
      </w:r>
      <w:r>
        <w:rPr>
          <w:rFonts w:hint="eastAsia" w:ascii="宋体" w:hAnsi="宋体" w:cs="宋体"/>
          <w:bCs/>
          <w:color w:val="auto"/>
          <w:kern w:val="0"/>
          <w:szCs w:val="21"/>
          <w:highlight w:val="none"/>
          <w:lang w:eastAsia="zh-CN"/>
        </w:rPr>
        <w:t>月</w:t>
      </w:r>
      <w:r>
        <w:rPr>
          <w:rFonts w:hint="eastAsia" w:ascii="宋体" w:hAnsi="宋体" w:cs="宋体"/>
          <w:bCs/>
          <w:color w:val="auto"/>
          <w:kern w:val="0"/>
          <w:szCs w:val="21"/>
          <w:highlight w:val="none"/>
          <w:lang w:val="en-US" w:eastAsia="zh-CN"/>
        </w:rPr>
        <w:t>28</w:t>
      </w:r>
      <w:r>
        <w:rPr>
          <w:rFonts w:hint="eastAsia" w:ascii="宋体" w:hAnsi="宋体" w:cs="宋体"/>
          <w:bCs/>
          <w:color w:val="auto"/>
          <w:kern w:val="0"/>
          <w:szCs w:val="21"/>
          <w:highlight w:val="none"/>
          <w:lang w:eastAsia="zh-CN"/>
        </w:rPr>
        <w:t>日</w:t>
      </w:r>
      <w:r>
        <w:rPr>
          <w:rFonts w:hint="eastAsia" w:ascii="宋体" w:hAnsi="宋体" w:cs="宋体"/>
          <w:bCs/>
          <w:color w:val="auto"/>
          <w:kern w:val="0"/>
          <w:szCs w:val="21"/>
          <w:highlight w:val="none"/>
        </w:rPr>
        <w:t>，每天上午00:00至11:59，下午12:00至23:59（北京时间，法定节假日除外）；</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bCs/>
          <w:color w:val="auto"/>
          <w:kern w:val="0"/>
          <w:szCs w:val="21"/>
          <w:highlight w:val="none"/>
        </w:rPr>
        <w:t>地点（网址）：</w:t>
      </w:r>
      <w:r>
        <w:rPr>
          <w:rFonts w:hint="eastAsia" w:ascii="宋体" w:hAnsi="宋体" w:cs="宋体"/>
          <w:color w:val="auto"/>
          <w:szCs w:val="21"/>
          <w:highlight w:val="none"/>
          <w:lang w:eastAsia="zh-CN"/>
        </w:rPr>
        <w:t>广西政府采购云平台（https://www.gcy.zfcg.gxzf.gov.cn/）</w:t>
      </w:r>
    </w:p>
    <w:p>
      <w:pPr>
        <w:pStyle w:val="14"/>
        <w:spacing w:line="360" w:lineRule="auto"/>
        <w:rPr>
          <w:rFonts w:hint="eastAsia" w:ascii="宋体" w:hAnsi="宋体" w:eastAsia="宋体" w:cs="宋体"/>
          <w:b/>
          <w:bCs/>
          <w:color w:val="auto"/>
          <w:sz w:val="24"/>
          <w:highlight w:val="none"/>
        </w:rPr>
      </w:pPr>
      <w:r>
        <w:rPr>
          <w:rFonts w:hint="eastAsia" w:ascii="宋体" w:hAnsi="宋体" w:cs="宋体"/>
          <w:color w:val="auto"/>
          <w:szCs w:val="21"/>
          <w:highlight w:val="none"/>
        </w:rPr>
        <w:t>　　方式：网上下载。本</w:t>
      </w:r>
      <w:r>
        <w:rPr>
          <w:rFonts w:hint="eastAsia" w:ascii="宋体" w:hAnsi="宋体" w:eastAsia="宋体" w:cs="宋体"/>
          <w:color w:val="auto"/>
          <w:szCs w:val="21"/>
          <w:highlight w:val="none"/>
        </w:rPr>
        <w:t>项目不发放纸质文件，潜在供应商可自行登录广西政府采购云平台下载</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，电子</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制作需要基于广西政府采购云平台获取的采购文件编制。</w:t>
      </w:r>
    </w:p>
    <w:p>
      <w:pPr>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售价（元）：0</w:t>
      </w:r>
      <w:r>
        <w:rPr>
          <w:rFonts w:hint="eastAsia" w:ascii="宋体" w:hAnsi="宋体" w:cs="宋体"/>
          <w:color w:val="auto"/>
          <w:szCs w:val="21"/>
          <w:highlight w:val="none"/>
          <w:lang w:eastAsia="zh-CN"/>
        </w:rPr>
        <w:t>。</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End w:id="35"/>
      <w:bookmarkEnd w:id="36"/>
      <w:bookmarkEnd w:id="37"/>
      <w:bookmarkEnd w:id="38"/>
      <w:r>
        <w:rPr>
          <w:rFonts w:hint="eastAsia" w:ascii="宋体" w:hAnsi="宋体" w:eastAsia="宋体" w:cs="宋体"/>
          <w:b/>
          <w:bCs/>
          <w:color w:val="auto"/>
          <w:sz w:val="24"/>
          <w:highlight w:val="none"/>
        </w:rPr>
        <w:t>响应文件提交</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1、首次响应文件提交截止时间</w:t>
      </w:r>
      <w:r>
        <w:rPr>
          <w:rFonts w:hint="eastAsia" w:ascii="宋体" w:hAnsi="宋体" w:eastAsia="宋体" w:cs="宋体"/>
          <w:bCs/>
          <w:color w:val="auto"/>
          <w:szCs w:val="21"/>
          <w:highlight w:val="none"/>
        </w:rPr>
        <w:t>：</w:t>
      </w:r>
      <w:r>
        <w:rPr>
          <w:rFonts w:hint="eastAsia" w:ascii="宋体" w:hAnsi="宋体" w:cs="宋体"/>
          <w:bCs/>
          <w:color w:val="auto"/>
          <w:szCs w:val="21"/>
          <w:highlight w:val="none"/>
          <w:lang w:eastAsia="zh-CN"/>
        </w:rPr>
        <w:t>2025年</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lang w:eastAsia="zh-CN"/>
        </w:rPr>
        <w:t>月</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lang w:eastAsia="zh-CN"/>
        </w:rPr>
        <w:t>日</w:t>
      </w:r>
      <w:r>
        <w:rPr>
          <w:rFonts w:hint="eastAsia" w:ascii="宋体" w:hAnsi="宋体" w:cs="宋体"/>
          <w:bCs/>
          <w:color w:val="auto"/>
          <w:szCs w:val="21"/>
          <w:highlight w:val="none"/>
          <w:lang w:val="en-US" w:eastAsia="zh-CN"/>
        </w:rPr>
        <w:t>09</w:t>
      </w:r>
      <w:r>
        <w:rPr>
          <w:rFonts w:hint="eastAsia" w:ascii="宋体" w:hAnsi="宋体" w:cs="宋体"/>
          <w:bCs/>
          <w:color w:val="auto"/>
          <w:szCs w:val="21"/>
          <w:highlight w:val="none"/>
          <w:lang w:eastAsia="zh-CN"/>
        </w:rPr>
        <w:t>:00:00</w:t>
      </w:r>
      <w:r>
        <w:rPr>
          <w:rFonts w:hint="eastAsia" w:ascii="宋体" w:hAnsi="宋体" w:eastAsia="宋体" w:cs="宋体"/>
          <w:bCs/>
          <w:color w:val="auto"/>
          <w:szCs w:val="21"/>
          <w:highlight w:val="none"/>
        </w:rPr>
        <w:t>（北京时间）</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2、首次响应文件提交地点（网址）：</w:t>
      </w:r>
      <w:r>
        <w:rPr>
          <w:rFonts w:hint="eastAsia" w:ascii="宋体" w:hAnsi="宋体" w:eastAsia="宋体" w:cs="宋体"/>
          <w:color w:val="auto"/>
          <w:szCs w:val="21"/>
          <w:highlight w:val="none"/>
          <w:lang w:eastAsia="zh-CN"/>
        </w:rPr>
        <w:t>广西政府采购云平台（https://www.gcy.zfcg.gxzf.gov.cn/）</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五、响应文件开启</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开启时间：</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lang w:eastAsia="zh-CN"/>
        </w:rPr>
        <w:t>:00:00</w:t>
      </w:r>
      <w:r>
        <w:rPr>
          <w:rFonts w:hint="eastAsia" w:ascii="宋体" w:hAnsi="宋体" w:eastAsia="宋体" w:cs="宋体"/>
          <w:bCs/>
          <w:color w:val="auto"/>
          <w:szCs w:val="21"/>
          <w:highlight w:val="none"/>
        </w:rPr>
        <w:t>（北京时间）</w:t>
      </w:r>
    </w:p>
    <w:p>
      <w:pPr>
        <w:spacing w:line="360" w:lineRule="auto"/>
        <w:ind w:firstLine="420" w:firstLineChars="200"/>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地点：</w:t>
      </w:r>
      <w:r>
        <w:rPr>
          <w:rFonts w:hint="eastAsia" w:ascii="宋体" w:hAnsi="宋体" w:eastAsia="宋体" w:cs="宋体"/>
          <w:color w:val="auto"/>
          <w:szCs w:val="21"/>
          <w:highlight w:val="none"/>
          <w:lang w:eastAsia="zh-CN"/>
        </w:rPr>
        <w:t>广西政府采购云平台电子开标大厅</w:t>
      </w:r>
    </w:p>
    <w:p>
      <w:pPr>
        <w:spacing w:line="360" w:lineRule="auto"/>
        <w:ind w:firstLine="482" w:firstLineChars="200"/>
        <w:rPr>
          <w:rFonts w:hint="eastAsia" w:ascii="宋体" w:hAnsi="宋体" w:eastAsia="宋体" w:cs="宋体"/>
          <w:b/>
          <w:bCs/>
          <w:color w:val="auto"/>
          <w:sz w:val="24"/>
          <w:highlight w:val="none"/>
        </w:rPr>
      </w:pPr>
      <w:bookmarkStart w:id="39" w:name="_Toc35393794"/>
      <w:bookmarkStart w:id="40" w:name="_Toc28359007"/>
      <w:bookmarkStart w:id="41" w:name="_Toc28359084"/>
      <w:bookmarkStart w:id="42" w:name="_Toc35393625"/>
      <w:r>
        <w:rPr>
          <w:rFonts w:hint="eastAsia" w:ascii="宋体" w:hAnsi="宋体" w:eastAsia="宋体" w:cs="宋体"/>
          <w:b/>
          <w:bCs/>
          <w:color w:val="auto"/>
          <w:sz w:val="24"/>
          <w:highlight w:val="none"/>
        </w:rPr>
        <w:t>六、公告期限</w:t>
      </w:r>
      <w:bookmarkEnd w:id="39"/>
      <w:bookmarkEnd w:id="40"/>
      <w:bookmarkEnd w:id="41"/>
      <w:bookmarkEnd w:id="42"/>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个工作日。</w:t>
      </w:r>
    </w:p>
    <w:p>
      <w:pPr>
        <w:spacing w:line="360" w:lineRule="auto"/>
        <w:ind w:firstLine="482" w:firstLineChars="200"/>
        <w:rPr>
          <w:rFonts w:hint="eastAsia" w:ascii="宋体" w:hAnsi="宋体" w:eastAsia="宋体" w:cs="宋体"/>
          <w:b/>
          <w:bCs/>
          <w:color w:val="auto"/>
          <w:sz w:val="24"/>
          <w:highlight w:val="none"/>
        </w:rPr>
      </w:pPr>
      <w:bookmarkStart w:id="43" w:name="_Toc35393626"/>
      <w:bookmarkStart w:id="44" w:name="_Toc35393795"/>
      <w:r>
        <w:rPr>
          <w:rFonts w:hint="eastAsia" w:ascii="宋体" w:hAnsi="宋体" w:eastAsia="宋体" w:cs="宋体"/>
          <w:b/>
          <w:bCs/>
          <w:color w:val="auto"/>
          <w:sz w:val="24"/>
          <w:highlight w:val="none"/>
        </w:rPr>
        <w:t>七、其他补充事宜</w:t>
      </w:r>
      <w:bookmarkEnd w:id="43"/>
      <w:bookmarkEnd w:id="44"/>
    </w:p>
    <w:p>
      <w:pPr>
        <w:spacing w:line="360" w:lineRule="auto"/>
        <w:ind w:firstLine="420" w:firstLineChars="200"/>
        <w:rPr>
          <w:rFonts w:hint="eastAsia" w:ascii="宋体" w:hAnsi="宋体" w:cs="宋体"/>
          <w:color w:val="auto"/>
          <w:kern w:val="0"/>
          <w:szCs w:val="21"/>
          <w:highlight w:val="none"/>
          <w:lang w:val="en-US" w:eastAsia="zh-CN"/>
        </w:rPr>
      </w:pPr>
      <w:bookmarkStart w:id="45" w:name="_Hlk37429585"/>
      <w:r>
        <w:rPr>
          <w:rFonts w:hint="eastAsia" w:ascii="宋体" w:hAnsi="宋体" w:cs="宋体"/>
          <w:color w:val="auto"/>
          <w:kern w:val="0"/>
          <w:szCs w:val="21"/>
          <w:highlight w:val="none"/>
          <w:lang w:val="en-US" w:eastAsia="zh-CN"/>
        </w:rPr>
        <w:t>1.磋商保证金：</w:t>
      </w:r>
    </w:p>
    <w:p>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磋商保证金金额：人民币壹万元整（小写：¥10000.00）</w:t>
      </w:r>
    </w:p>
    <w:p>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磋商保证金的缴纳方式：银行转账、支票、汇票、本票或者金融机构、担保机构出具的保函等非现金形式提交。采用银行转账方式的，在首次响应文件提交截止时间前交至采购代理机构指定账户并且到账；缴纳磋商保证金指定账户的信息：</w:t>
      </w:r>
    </w:p>
    <w:p>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开户名称：广西科联招标中心有限公司</w:t>
      </w:r>
    </w:p>
    <w:p>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开户银行：招商银行南宁市金浦路支行</w:t>
      </w:r>
    </w:p>
    <w:p>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银行账号：771901196910333300000</w:t>
      </w:r>
      <w:r>
        <w:rPr>
          <w:rFonts w:hint="eastAsia" w:ascii="宋体" w:hAnsi="宋体" w:cs="宋体"/>
          <w:b/>
          <w:bCs/>
          <w:color w:val="auto"/>
          <w:kern w:val="0"/>
          <w:szCs w:val="21"/>
          <w:highlight w:val="none"/>
          <w:lang w:val="en-US" w:eastAsia="zh-CN"/>
        </w:rPr>
        <w:t>8620</w:t>
      </w:r>
    </w:p>
    <w:p>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开户行行号：308611000112</w:t>
      </w:r>
    </w:p>
    <w:p>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采用支票、汇票、本票或者保函等方式的，在首次响应文件提交截止时间前，供应商必须提交单独密封的支票、汇票、本票或者保函（电子保函除外）等原件给采购代理机构。否则视为无效磋商保证金。</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w:t>
      </w:r>
      <w:bookmarkStart w:id="46" w:name="_Hlk37429595"/>
      <w:r>
        <w:rPr>
          <w:rFonts w:hint="eastAsia" w:ascii="宋体" w:hAnsi="宋体" w:eastAsia="宋体" w:cs="宋体"/>
          <w:color w:val="auto"/>
          <w:kern w:val="0"/>
          <w:szCs w:val="21"/>
          <w:highlight w:val="none"/>
        </w:rPr>
        <w:t>网上查询地址</w:t>
      </w:r>
    </w:p>
    <w:bookmarkEnd w:id="45"/>
    <w:bookmarkEnd w:id="46"/>
    <w:p>
      <w:pPr>
        <w:spacing w:line="360" w:lineRule="auto"/>
        <w:ind w:firstLine="420" w:firstLineChars="200"/>
        <w:rPr>
          <w:rFonts w:hint="eastAsia" w:ascii="宋体" w:hAnsi="宋体" w:eastAsia="宋体" w:cs="宋体"/>
          <w:color w:val="auto"/>
          <w:kern w:val="0"/>
          <w:szCs w:val="21"/>
          <w:highlight w:val="none"/>
        </w:rPr>
      </w:pPr>
      <w:bookmarkStart w:id="47" w:name="_Hlk37429674"/>
      <w:r>
        <w:rPr>
          <w:rFonts w:hint="eastAsia" w:ascii="宋体" w:hAnsi="宋体" w:eastAsia="宋体" w:cs="宋体"/>
          <w:color w:val="auto"/>
          <w:kern w:val="0"/>
          <w:szCs w:val="21"/>
          <w:highlight w:val="none"/>
        </w:rPr>
        <w:t>http://www.ccgp-guangxi.gov.cn/（中国政府采购网广西分网）。</w:t>
      </w:r>
    </w:p>
    <w:bookmarkEnd w:id="47"/>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.本项目需要落实的政府采购政策</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pPr>
        <w:spacing w:line="360" w:lineRule="auto"/>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.在线竞标的有关说明：</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（1）响应文件提交方式：本项目为全流程电子化项目，通过</w:t>
      </w:r>
      <w:r>
        <w:rPr>
          <w:rFonts w:hint="eastAsia" w:ascii="宋体" w:hAnsi="宋体" w:cs="宋体"/>
          <w:color w:val="auto"/>
          <w:kern w:val="0"/>
          <w:szCs w:val="21"/>
          <w:highlight w:val="none"/>
          <w:lang w:eastAsia="zh-CN"/>
        </w:rPr>
        <w:t>广西政府采购云平台（https://www.gcy.zfcg.gxzf.gov.cn/）</w:t>
      </w:r>
      <w:r>
        <w:rPr>
          <w:rFonts w:hint="eastAsia" w:ascii="宋体" w:hAnsi="宋体" w:cs="宋体"/>
          <w:color w:val="auto"/>
          <w:kern w:val="0"/>
          <w:szCs w:val="21"/>
          <w:highlight w:val="none"/>
        </w:rPr>
        <w:t>实行在线电子响应，</w:t>
      </w:r>
      <w:r>
        <w:rPr>
          <w:rFonts w:hint="eastAsia"/>
          <w:color w:val="auto"/>
          <w:highlight w:val="none"/>
        </w:rPr>
        <w:t>供应商应先安装广西政府采购云平台新版客户端（新版客户端下载路径：广西政府采购网（访问地</w:t>
      </w:r>
      <w:r>
        <w:rPr>
          <w:rFonts w:hint="eastAsia" w:ascii="宋体" w:hAnsi="宋体" w:eastAsia="宋体" w:cs="宋体"/>
          <w:color w:val="auto"/>
          <w:highlight w:val="none"/>
        </w:rPr>
        <w:t>址http://zfcg.gxzf.gov.cn/</w:t>
      </w:r>
      <w:r>
        <w:rPr>
          <w:rFonts w:hint="eastAsia"/>
          <w:color w:val="auto"/>
          <w:highlight w:val="none"/>
        </w:rPr>
        <w:t>）—办事服务—下载专区</w:t>
      </w:r>
      <w:r>
        <w:rPr>
          <w:rFonts w:hint="eastAsia"/>
          <w:color w:val="auto"/>
          <w:highlight w:val="none"/>
          <w:lang w:eastAsia="zh-CN"/>
        </w:rPr>
        <w:t>）</w:t>
      </w:r>
      <w:r>
        <w:rPr>
          <w:rFonts w:hint="eastAsia" w:ascii="宋体" w:hAnsi="宋体" w:cs="宋体"/>
          <w:color w:val="auto"/>
          <w:kern w:val="0"/>
          <w:szCs w:val="21"/>
          <w:highlight w:val="none"/>
        </w:rPr>
        <w:t>，并按照本项目采购文件和</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的要求编制、加密后在响应文件提交截止时间前通过网络上传至</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供应商在</w:t>
      </w:r>
      <w:r>
        <w:rPr>
          <w:rFonts w:hint="eastAsia" w:ascii="宋体" w:hAnsi="宋体" w:cs="宋体"/>
          <w:b/>
          <w:bCs/>
          <w:color w:val="auto"/>
          <w:kern w:val="0"/>
          <w:szCs w:val="21"/>
          <w:highlight w:val="none"/>
          <w:lang w:eastAsia="zh-CN"/>
        </w:rPr>
        <w:t>广西政府采购云平台</w:t>
      </w:r>
      <w:r>
        <w:rPr>
          <w:rFonts w:hint="eastAsia" w:ascii="宋体" w:hAnsi="宋体" w:cs="宋体"/>
          <w:b/>
          <w:bCs/>
          <w:color w:val="auto"/>
          <w:kern w:val="0"/>
          <w:szCs w:val="21"/>
          <w:highlight w:val="none"/>
        </w:rPr>
        <w:t>提交电子版响应文件时，请填写参加远程开标活动经办人联系方式</w:t>
      </w:r>
      <w:r>
        <w:rPr>
          <w:rFonts w:hint="eastAsia" w:ascii="宋体" w:hAnsi="宋体" w:cs="宋体"/>
          <w:color w:val="auto"/>
          <w:kern w:val="0"/>
          <w:szCs w:val="21"/>
          <w:highlight w:val="none"/>
        </w:rPr>
        <w:t>。</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（2）未进行网上注册并办理数字证书（CA认证）的供应商将无法参与本项目政府采购活动，潜在供应商应当在首次响应文件提交截止时间前，完成电子交易平台上的CA数字证书办理及响应文件的提交。</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pPr>
        <w:spacing w:line="360" w:lineRule="auto"/>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文件提交截止时间前未完成上传、递交的，视为撤回响应文件。响应文件提交截止时间以后上传递交的响应文件的，</w:t>
      </w:r>
      <w:r>
        <w:rPr>
          <w:rFonts w:hint="eastAsia" w:ascii="宋体" w:hAnsi="宋体" w:cs="宋体"/>
          <w:b/>
          <w:bCs/>
          <w:color w:val="auto"/>
          <w:kern w:val="0"/>
          <w:szCs w:val="21"/>
          <w:highlight w:val="none"/>
          <w:lang w:eastAsia="zh-CN"/>
        </w:rPr>
        <w:t>广西政府采购云平台</w:t>
      </w:r>
      <w:r>
        <w:rPr>
          <w:rFonts w:hint="eastAsia" w:ascii="宋体" w:hAnsi="宋体" w:cs="宋体"/>
          <w:b/>
          <w:bCs/>
          <w:color w:val="auto"/>
          <w:kern w:val="0"/>
          <w:szCs w:val="21"/>
          <w:highlight w:val="none"/>
        </w:rPr>
        <w:t>将予以拒收。</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（4）CA证书在线解密：首次响应文件开启时，需要供应商携带制作响应文件时用来加密的有效数字证书（CA认证）登录</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电子开标大厅现场按规定时间对加密的响应文件进行解密。</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（5）供应商需要在具备摄像头及语音功能且互联网网络状况良好的电脑登录</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远程开标大厅参与本次磋商，否则后果自负。</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.若对项目采购电子交易系统操作有疑问，可登录</w:t>
      </w:r>
      <w:r>
        <w:rPr>
          <w:rFonts w:hint="eastAsia" w:ascii="宋体" w:hAnsi="宋体" w:cs="宋体"/>
          <w:color w:val="auto"/>
          <w:kern w:val="0"/>
          <w:szCs w:val="21"/>
          <w:highlight w:val="none"/>
          <w:lang w:eastAsia="zh-CN"/>
        </w:rPr>
        <w:t>广西政府采购云平台（https://www.gcy.zfcg.gxzf.gov.cn/）</w:t>
      </w:r>
      <w:r>
        <w:rPr>
          <w:rFonts w:hint="eastAsia" w:ascii="宋体" w:hAnsi="宋体" w:cs="宋体"/>
          <w:color w:val="auto"/>
          <w:kern w:val="0"/>
          <w:szCs w:val="21"/>
          <w:highlight w:val="none"/>
        </w:rPr>
        <w:t>，点击右侧咨询小采，获取采小蜜智能服务管家帮助，或拨打</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 xml:space="preserve">服务热线95763获取热线服务帮助。 </w:t>
      </w:r>
    </w:p>
    <w:p>
      <w:pPr>
        <w:spacing w:line="360" w:lineRule="auto"/>
        <w:ind w:firstLine="482" w:firstLineChars="200"/>
        <w:rPr>
          <w:rFonts w:hint="eastAsia" w:ascii="黑体" w:hAnsi="黑体" w:eastAsia="黑体" w:cs="宋体"/>
          <w:bCs/>
          <w:color w:val="auto"/>
          <w:sz w:val="24"/>
          <w:highlight w:val="none"/>
        </w:rPr>
      </w:pPr>
      <w:r>
        <w:rPr>
          <w:rFonts w:hint="eastAsia" w:ascii="黑体" w:hAnsi="黑体" w:eastAsia="黑体" w:cs="宋体"/>
          <w:b/>
          <w:color w:val="auto"/>
          <w:kern w:val="44"/>
          <w:sz w:val="24"/>
          <w:highlight w:val="none"/>
        </w:rPr>
        <w:t>八、凡对本次采购提出询问，请按</w:t>
      </w:r>
      <w:r>
        <w:rPr>
          <w:rFonts w:ascii="黑体" w:hAnsi="黑体" w:eastAsia="黑体" w:cs="宋体"/>
          <w:b/>
          <w:color w:val="auto"/>
          <w:kern w:val="44"/>
          <w:sz w:val="24"/>
          <w:highlight w:val="none"/>
        </w:rPr>
        <w:t>以下方式</w:t>
      </w:r>
      <w:r>
        <w:rPr>
          <w:rFonts w:hint="eastAsia" w:ascii="黑体" w:hAnsi="黑体" w:eastAsia="黑体" w:cs="宋体"/>
          <w:b/>
          <w:color w:val="auto"/>
          <w:kern w:val="44"/>
          <w:sz w:val="24"/>
          <w:highlight w:val="none"/>
        </w:rPr>
        <w:t>联系。</w:t>
      </w:r>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1.采购人信息</w:t>
      </w:r>
    </w:p>
    <w:p>
      <w:pPr>
        <w:spacing w:line="360" w:lineRule="auto"/>
        <w:ind w:firstLine="630" w:firstLineChars="3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名称：</w:t>
      </w:r>
      <w:r>
        <w:rPr>
          <w:rFonts w:hint="eastAsia" w:ascii="宋体" w:hAnsi="宋体" w:cs="宋体"/>
          <w:color w:val="auto"/>
          <w:kern w:val="0"/>
          <w:szCs w:val="21"/>
          <w:highlight w:val="none"/>
          <w:lang w:eastAsia="zh-CN"/>
        </w:rPr>
        <w:t>广西壮族自治区卫生健康委员会</w:t>
      </w:r>
    </w:p>
    <w:p>
      <w:pPr>
        <w:spacing w:line="360" w:lineRule="auto"/>
        <w:ind w:firstLine="630" w:firstLineChars="3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地址：广西南宁市青秀区新民路2号</w:t>
      </w:r>
    </w:p>
    <w:p>
      <w:pPr>
        <w:spacing w:line="360" w:lineRule="auto"/>
        <w:ind w:firstLine="630" w:firstLineChars="3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项目联系人：</w:t>
      </w:r>
      <w:r>
        <w:rPr>
          <w:rFonts w:hint="eastAsia" w:ascii="宋体" w:hAnsi="宋体" w:cs="宋体"/>
          <w:color w:val="auto"/>
          <w:kern w:val="0"/>
          <w:szCs w:val="21"/>
          <w:highlight w:val="none"/>
          <w:lang w:val="en-US" w:eastAsia="zh-CN"/>
        </w:rPr>
        <w:t>岳文容</w:t>
      </w:r>
    </w:p>
    <w:p>
      <w:pPr>
        <w:spacing w:line="360" w:lineRule="auto"/>
        <w:ind w:firstLine="630" w:firstLineChars="3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项目联系方式：</w:t>
      </w:r>
      <w:r>
        <w:rPr>
          <w:rFonts w:hint="eastAsia" w:ascii="宋体" w:hAnsi="宋体" w:cs="宋体"/>
          <w:color w:val="auto"/>
          <w:kern w:val="0"/>
          <w:szCs w:val="21"/>
          <w:highlight w:val="none"/>
          <w:lang w:eastAsia="zh-CN"/>
        </w:rPr>
        <w:t>0771-</w:t>
      </w:r>
      <w:r>
        <w:rPr>
          <w:rFonts w:hint="eastAsia" w:ascii="宋体" w:hAnsi="宋体" w:cs="宋体"/>
          <w:color w:val="auto"/>
          <w:kern w:val="0"/>
          <w:szCs w:val="21"/>
          <w:highlight w:val="none"/>
          <w:lang w:val="en-US" w:eastAsia="zh-CN"/>
        </w:rPr>
        <w:t>2811659</w:t>
      </w:r>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2.采购代理机构信息</w:t>
      </w:r>
    </w:p>
    <w:p>
      <w:pPr>
        <w:spacing w:line="360" w:lineRule="auto"/>
        <w:ind w:firstLine="630" w:firstLineChars="3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w:t>
      </w:r>
      <w:bookmarkStart w:id="48" w:name="PO_3000001866_PM031_1"/>
      <w:r>
        <w:rPr>
          <w:rFonts w:hint="eastAsia" w:ascii="宋体" w:hAnsi="宋体" w:eastAsia="宋体" w:cs="宋体"/>
          <w:color w:val="auto"/>
          <w:kern w:val="0"/>
          <w:szCs w:val="21"/>
          <w:highlight w:val="none"/>
        </w:rPr>
        <w:t>广西科联招标中心有限公司</w:t>
      </w:r>
      <w:bookmarkEnd w:id="48"/>
    </w:p>
    <w:p>
      <w:pPr>
        <w:spacing w:line="360" w:lineRule="auto"/>
        <w:ind w:firstLine="630" w:firstLineChars="3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w:t>
      </w:r>
      <w:bookmarkStart w:id="49" w:name="PO_3000001866_PM035_1"/>
      <w:r>
        <w:rPr>
          <w:rFonts w:hint="eastAsia" w:ascii="宋体" w:hAnsi="宋体" w:eastAsia="宋体" w:cs="宋体"/>
          <w:color w:val="auto"/>
          <w:kern w:val="0"/>
          <w:szCs w:val="21"/>
          <w:highlight w:val="none"/>
        </w:rPr>
        <w:t>广西南宁市大学东路170号</w:t>
      </w:r>
      <w:bookmarkEnd w:id="49"/>
    </w:p>
    <w:p>
      <w:pPr>
        <w:spacing w:line="360" w:lineRule="auto"/>
        <w:ind w:firstLine="630" w:firstLineChars="3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项目联系人：</w:t>
      </w:r>
      <w:r>
        <w:rPr>
          <w:rFonts w:hint="eastAsia" w:ascii="宋体" w:hAnsi="宋体" w:cs="宋体"/>
          <w:color w:val="auto"/>
          <w:kern w:val="0"/>
          <w:szCs w:val="21"/>
          <w:highlight w:val="none"/>
          <w:lang w:val="en-US" w:eastAsia="zh-CN"/>
        </w:rPr>
        <w:t>欧明聪</w:t>
      </w:r>
    </w:p>
    <w:p>
      <w:pPr>
        <w:spacing w:line="360" w:lineRule="auto"/>
        <w:ind w:firstLine="630" w:firstLineChars="300"/>
        <w:rPr>
          <w:rFonts w:hint="default" w:eastAsia="宋体"/>
          <w:color w:val="auto"/>
          <w:sz w:val="32"/>
          <w:szCs w:val="32"/>
          <w:highlight w:val="none"/>
          <w:lang w:val="en-US" w:eastAsia="zh-CN"/>
        </w:rPr>
      </w:pPr>
      <w:r>
        <w:rPr>
          <w:rFonts w:hint="eastAsia" w:ascii="宋体" w:hAnsi="宋体" w:eastAsia="宋体" w:cs="宋体"/>
          <w:color w:val="auto"/>
          <w:kern w:val="0"/>
          <w:szCs w:val="21"/>
          <w:highlight w:val="none"/>
        </w:rPr>
        <w:t>项目联系方式：0771-</w:t>
      </w:r>
      <w:r>
        <w:rPr>
          <w:rFonts w:hint="eastAsia" w:ascii="宋体" w:hAnsi="宋体" w:cs="宋体"/>
          <w:color w:val="auto"/>
          <w:kern w:val="0"/>
          <w:szCs w:val="21"/>
          <w:highlight w:val="none"/>
          <w:lang w:val="en-US" w:eastAsia="zh-CN"/>
        </w:rPr>
        <w:t>3482237</w:t>
      </w:r>
    </w:p>
    <w:p>
      <w:pPr>
        <w:rPr>
          <w:rFonts w:hint="eastAsia" w:ascii="Cambria" w:hAnsi="Cambria"/>
          <w:bCs w:val="0"/>
          <w:color w:val="auto"/>
          <w:sz w:val="32"/>
          <w:szCs w:val="32"/>
          <w:highlight w:val="none"/>
        </w:rPr>
      </w:pPr>
      <w:bookmarkStart w:id="50" w:name="_Toc11093"/>
      <w:bookmarkStart w:id="51" w:name="_Toc25520"/>
      <w:bookmarkStart w:id="52" w:name="_Toc26836"/>
      <w:bookmarkStart w:id="53" w:name="_Toc22325"/>
      <w:bookmarkStart w:id="54" w:name="_Toc7184"/>
      <w:bookmarkStart w:id="55" w:name="_Toc9127"/>
      <w:bookmarkStart w:id="56" w:name="_Toc80886926"/>
      <w:bookmarkStart w:id="57" w:name="_Toc22760"/>
      <w:r>
        <w:rPr>
          <w:rFonts w:hint="eastAsia" w:ascii="Cambria" w:hAnsi="Cambria"/>
          <w:bCs w:val="0"/>
          <w:color w:val="auto"/>
          <w:sz w:val="32"/>
          <w:szCs w:val="32"/>
          <w:highlight w:val="none"/>
        </w:rPr>
        <w:br w:type="page"/>
      </w:r>
    </w:p>
    <w:p>
      <w:pPr>
        <w:pStyle w:val="3"/>
        <w:spacing w:before="100" w:after="90" w:line="240" w:lineRule="auto"/>
        <w:jc w:val="center"/>
        <w:rPr>
          <w:rFonts w:hint="eastAsia" w:ascii="Cambria" w:hAnsi="Cambria"/>
          <w:bCs w:val="0"/>
          <w:color w:val="auto"/>
          <w:sz w:val="32"/>
          <w:szCs w:val="32"/>
          <w:highlight w:val="none"/>
        </w:rPr>
      </w:pPr>
      <w:r>
        <w:rPr>
          <w:rFonts w:hint="eastAsia" w:ascii="Cambria" w:hAnsi="Cambria"/>
          <w:bCs w:val="0"/>
          <w:color w:val="auto"/>
          <w:sz w:val="32"/>
          <w:szCs w:val="32"/>
          <w:highlight w:val="none"/>
        </w:rPr>
        <w:t>第二章 采购需求</w:t>
      </w:r>
      <w:bookmarkEnd w:id="50"/>
      <w:bookmarkEnd w:id="51"/>
      <w:bookmarkEnd w:id="52"/>
      <w:bookmarkEnd w:id="53"/>
      <w:bookmarkEnd w:id="54"/>
      <w:bookmarkEnd w:id="55"/>
      <w:bookmarkEnd w:id="56"/>
    </w:p>
    <w:bookmarkEnd w:id="57"/>
    <w:p>
      <w:pPr>
        <w:spacing w:line="450" w:lineRule="exact"/>
        <w:jc w:val="left"/>
        <w:rPr>
          <w:rFonts w:hint="eastAsia" w:cs="宋体"/>
          <w:b/>
          <w:bCs/>
          <w:color w:val="auto"/>
          <w:szCs w:val="21"/>
          <w:highlight w:val="none"/>
        </w:rPr>
      </w:pPr>
      <w:r>
        <w:rPr>
          <w:rFonts w:hint="eastAsia" w:cs="宋体"/>
          <w:b/>
          <w:bCs/>
          <w:color w:val="auto"/>
          <w:szCs w:val="21"/>
          <w:highlight w:val="none"/>
        </w:rPr>
        <w:t>说明：</w:t>
      </w:r>
    </w:p>
    <w:p>
      <w:pPr>
        <w:spacing w:line="450" w:lineRule="exact"/>
        <w:ind w:firstLine="420" w:firstLineChars="200"/>
        <w:jc w:val="left"/>
        <w:rPr>
          <w:rFonts w:hint="eastAsia" w:ascii="宋体" w:hAnsi="宋体" w:cs="宋体"/>
          <w:color w:val="auto"/>
          <w:szCs w:val="21"/>
          <w:highlight w:val="none"/>
        </w:rPr>
      </w:pPr>
      <w:r>
        <w:rPr>
          <w:rFonts w:hint="eastAsia" w:ascii="宋体" w:hAnsi="宋体" w:cs="宋体"/>
          <w:color w:val="auto"/>
          <w:highlight w:val="none"/>
        </w:rPr>
        <w:t>1、为落实政府采购政策需满足的要求：</w:t>
      </w:r>
    </w:p>
    <w:p>
      <w:pPr>
        <w:spacing w:line="45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（1）本竞争性磋商文件所称中小企业必须符合《政府采购促进中小企业发展管理办法》（财库〔2020〕46号）的规定。</w:t>
      </w:r>
    </w:p>
    <w:p>
      <w:pPr>
        <w:spacing w:line="45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有效期内的节能产品认证证书复印件（加盖供应商公章），</w:t>
      </w:r>
      <w:r>
        <w:rPr>
          <w:rFonts w:hint="eastAsia" w:ascii="宋体" w:hAnsi="宋体" w:cs="宋体"/>
          <w:b/>
          <w:bCs/>
          <w:color w:val="auto"/>
          <w:szCs w:val="21"/>
          <w:highlight w:val="none"/>
        </w:rPr>
        <w:t>否则响应文件按无效处理</w:t>
      </w:r>
      <w:r>
        <w:rPr>
          <w:rFonts w:hint="eastAsia" w:ascii="宋体" w:hAnsi="宋体" w:cs="宋体"/>
          <w:color w:val="auto"/>
          <w:szCs w:val="21"/>
          <w:highlight w:val="none"/>
        </w:rPr>
        <w:t xml:space="preserve">。如本项目包含的配套货物属于品目清单内非标注“★”的产品时，应优先采购，具体详见“第四章 </w:t>
      </w:r>
      <w:r>
        <w:rPr>
          <w:rStyle w:val="38"/>
          <w:rFonts w:hint="eastAsia" w:ascii="宋体" w:hAnsi="宋体" w:cs="宋体"/>
          <w:color w:val="auto"/>
          <w:highlight w:val="none"/>
        </w:rPr>
        <w:t>评审程序、评审方法和评审标准</w:t>
      </w:r>
      <w:r>
        <w:rPr>
          <w:rFonts w:hint="eastAsia" w:ascii="宋体" w:hAnsi="宋体" w:cs="宋体"/>
          <w:color w:val="auto"/>
          <w:szCs w:val="21"/>
          <w:highlight w:val="none"/>
        </w:rPr>
        <w:t>”。</w:t>
      </w:r>
    </w:p>
    <w:p>
      <w:pPr>
        <w:spacing w:line="450" w:lineRule="exact"/>
        <w:ind w:firstLine="413" w:firstLineChars="196"/>
        <w:rPr>
          <w:rFonts w:hint="eastAsia" w:ascii="宋体" w:hAnsi="宋体" w:cs="宋体"/>
          <w:b/>
          <w:bCs/>
          <w:color w:val="auto"/>
          <w:szCs w:val="21"/>
          <w:highlight w:val="none"/>
        </w:rPr>
      </w:pPr>
      <w:r>
        <w:rPr>
          <w:rFonts w:hint="eastAsia" w:ascii="宋体" w:hAnsi="宋体" w:cs="宋体"/>
          <w:b/>
          <w:bCs/>
          <w:color w:val="auto"/>
          <w:szCs w:val="21"/>
          <w:highlight w:val="none"/>
        </w:rPr>
        <w:t>2、“实质性要求”是指磋商文件中已经指明不满足响应文件则按无效响应处理的条款，或者不能负偏离的条款，或者采购需求中带“▲”的条款。</w:t>
      </w:r>
    </w:p>
    <w:p>
      <w:pPr>
        <w:pStyle w:val="14"/>
        <w:spacing w:line="450" w:lineRule="exact"/>
        <w:ind w:firstLine="420" w:firstLineChars="200"/>
        <w:rPr>
          <w:rFonts w:hint="eastAsia" w:ascii="宋体" w:hAnsi="宋体" w:cs="宋体"/>
          <w:color w:val="auto"/>
          <w:highlight w:val="none"/>
        </w:rPr>
      </w:pPr>
      <w:r>
        <w:rPr>
          <w:rFonts w:hint="eastAsia" w:ascii="宋体" w:hAnsi="宋体" w:cs="宋体"/>
          <w:color w:val="auto"/>
          <w:highlight w:val="none"/>
        </w:rPr>
        <w:t>3、如竞标产品存在侵犯他人的知识产权或者专利成果行为的，应承担相应法律责任。</w:t>
      </w:r>
    </w:p>
    <w:p>
      <w:pPr>
        <w:pStyle w:val="14"/>
        <w:spacing w:line="450" w:lineRule="exact"/>
        <w:ind w:firstLine="420" w:firstLineChars="200"/>
        <w:rPr>
          <w:rFonts w:hint="eastAsia"/>
          <w:color w:val="auto"/>
          <w:highlight w:val="none"/>
        </w:rPr>
      </w:pPr>
      <w:r>
        <w:rPr>
          <w:rFonts w:hint="eastAsia" w:ascii="宋体" w:hAnsi="宋体" w:cs="宋体"/>
          <w:color w:val="auto"/>
          <w:szCs w:val="21"/>
          <w:highlight w:val="none"/>
        </w:rPr>
        <w:t>4、</w:t>
      </w:r>
      <w:r>
        <w:rPr>
          <w:rFonts w:hint="eastAsia"/>
          <w:color w:val="auto"/>
          <w:highlight w:val="none"/>
        </w:rPr>
        <w:t>供应商必须自行为其竞标产品侵犯他人的知识产权或者专利成果的行为承担相应法律责任。</w:t>
      </w:r>
    </w:p>
    <w:p>
      <w:pPr>
        <w:pStyle w:val="14"/>
        <w:spacing w:line="450" w:lineRule="exact"/>
        <w:ind w:firstLine="420" w:firstLineChars="200"/>
        <w:rPr>
          <w:rFonts w:hint="default" w:ascii="宋体" w:hAnsi="宋体" w:eastAsia="宋体" w:cs="宋体"/>
          <w:i/>
          <w:iCs/>
          <w:color w:val="auto"/>
          <w:highlight w:val="none"/>
          <w:u w:val="single"/>
          <w:lang w:val="en-US" w:eastAsia="zh-CN"/>
        </w:rPr>
      </w:pPr>
      <w:r>
        <w:rPr>
          <w:rFonts w:hint="eastAsia" w:ascii="宋体" w:hAnsi="宋体" w:cs="宋体"/>
          <w:color w:val="auto"/>
          <w:highlight w:val="none"/>
        </w:rPr>
        <w:t>5、采购内容所属行业：</w:t>
      </w:r>
      <w:r>
        <w:rPr>
          <w:rFonts w:hint="eastAsia" w:ascii="宋体" w:hAnsi="宋体" w:cs="宋体"/>
          <w:b/>
          <w:bCs/>
          <w:color w:val="auto"/>
          <w:szCs w:val="21"/>
          <w:highlight w:val="none"/>
          <w:u w:val="single"/>
          <w:lang w:val="en-US" w:eastAsia="zh-CN"/>
        </w:rPr>
        <w:t>其他未列明行业。</w:t>
      </w:r>
    </w:p>
    <w:tbl>
      <w:tblPr>
        <w:tblStyle w:val="31"/>
        <w:tblW w:w="9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596"/>
        <w:gridCol w:w="1136"/>
        <w:gridCol w:w="944"/>
        <w:gridCol w:w="6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650"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rPr>
              <w:t>分标：</w:t>
            </w:r>
            <w:r>
              <w:rPr>
                <w:rFonts w:hint="eastAsia" w:ascii="宋体" w:hAnsi="宋体" w:cs="宋体"/>
                <w:b/>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vMerge w:val="restart"/>
            <w:tcBorders>
              <w:top w:val="single" w:color="auto" w:sz="4" w:space="0"/>
            </w:tcBorders>
            <w:vAlign w:val="center"/>
          </w:tcPr>
          <w:p>
            <w:pPr>
              <w:spacing w:line="38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需求一览表</w:t>
            </w:r>
          </w:p>
        </w:tc>
        <w:tc>
          <w:tcPr>
            <w:tcW w:w="596" w:type="dxa"/>
            <w:tcBorders>
              <w:top w:val="single" w:color="auto" w:sz="4" w:space="0"/>
            </w:tcBorders>
            <w:vAlign w:val="center"/>
          </w:tcPr>
          <w:p>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136" w:type="dxa"/>
            <w:tcBorders>
              <w:top w:val="single" w:color="auto" w:sz="4" w:space="0"/>
            </w:tcBorders>
            <w:vAlign w:val="center"/>
          </w:tcPr>
          <w:p>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标的名称</w:t>
            </w:r>
          </w:p>
        </w:tc>
        <w:tc>
          <w:tcPr>
            <w:tcW w:w="944" w:type="dxa"/>
            <w:tcBorders>
              <w:top w:val="single" w:color="auto" w:sz="4" w:space="0"/>
            </w:tcBorders>
            <w:vAlign w:val="center"/>
          </w:tcPr>
          <w:p>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数量及单位</w:t>
            </w:r>
          </w:p>
        </w:tc>
        <w:tc>
          <w:tcPr>
            <w:tcW w:w="6551" w:type="dxa"/>
            <w:tcBorders>
              <w:top w:val="single" w:color="auto" w:sz="4" w:space="0"/>
            </w:tcBorders>
            <w:vAlign w:val="center"/>
          </w:tcPr>
          <w:p>
            <w:pPr>
              <w:spacing w:line="38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3" w:type="dxa"/>
            <w:vMerge w:val="continue"/>
            <w:vAlign w:val="center"/>
          </w:tcPr>
          <w:p>
            <w:pPr>
              <w:spacing w:line="380" w:lineRule="exact"/>
              <w:jc w:val="center"/>
              <w:rPr>
                <w:rFonts w:hint="eastAsia" w:ascii="宋体" w:hAnsi="宋体" w:cs="宋体"/>
                <w:color w:val="auto"/>
                <w:szCs w:val="21"/>
                <w:highlight w:val="none"/>
              </w:rPr>
            </w:pPr>
          </w:p>
        </w:tc>
        <w:tc>
          <w:tcPr>
            <w:tcW w:w="596"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136" w:type="dxa"/>
            <w:vAlign w:val="center"/>
          </w:tcPr>
          <w:p>
            <w:pPr>
              <w:pageBreakBefore w:val="0"/>
              <w:kinsoku/>
              <w:wordWrap/>
              <w:overflowPunct/>
              <w:topLinePunct w:val="0"/>
              <w:autoSpaceDE/>
              <w:autoSpaceDN/>
              <w:bidi w:val="0"/>
              <w:snapToGrid w:val="0"/>
              <w:spacing w:line="360"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劳务服务项目采购</w:t>
            </w:r>
          </w:p>
        </w:tc>
        <w:tc>
          <w:tcPr>
            <w:tcW w:w="944" w:type="dxa"/>
            <w:vAlign w:val="center"/>
          </w:tcPr>
          <w:p>
            <w:pPr>
              <w:pageBreakBefore w:val="0"/>
              <w:kinsoku/>
              <w:wordWrap/>
              <w:overflowPunct/>
              <w:topLinePunct w:val="0"/>
              <w:autoSpaceDE/>
              <w:autoSpaceDN/>
              <w:bidi w:val="0"/>
              <w:snapToGrid w:val="0"/>
              <w:spacing w:line="360" w:lineRule="auto"/>
              <w:jc w:val="center"/>
              <w:outlineLvl w:val="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1项</w:t>
            </w:r>
          </w:p>
        </w:tc>
        <w:tc>
          <w:tcPr>
            <w:tcW w:w="655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一、项目总体概述及内容</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根据广西壮族自治区卫生健康委员会工作需求，需要劳务服务人员13名到广西壮族自治区卫生健康委员会从事办公辅助工作。主要内容包括：</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1</w:t>
            </w:r>
            <w:r>
              <w:rPr>
                <w:rFonts w:hint="eastAsia"/>
                <w:color w:val="auto"/>
                <w:highlight w:val="none"/>
                <w:lang w:val="en-US" w:eastAsia="zh-CN"/>
              </w:rPr>
              <w:t>.</w:t>
            </w:r>
            <w:r>
              <w:rPr>
                <w:rFonts w:hint="default"/>
                <w:color w:val="auto"/>
                <w:highlight w:val="none"/>
                <w:lang w:val="en-US" w:eastAsia="zh-CN"/>
              </w:rPr>
              <w:t>开展各类文件与材料的文字录入、排版、打印、速印、复印、装订、扫描上传和发送平台等服务；</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2</w:t>
            </w:r>
            <w:r>
              <w:rPr>
                <w:rFonts w:hint="eastAsia"/>
                <w:color w:val="auto"/>
                <w:highlight w:val="none"/>
                <w:lang w:val="en-US" w:eastAsia="zh-CN"/>
              </w:rPr>
              <w:t>.</w:t>
            </w:r>
            <w:r>
              <w:rPr>
                <w:rFonts w:hint="default"/>
                <w:color w:val="auto"/>
                <w:highlight w:val="none"/>
                <w:lang w:val="en-US" w:eastAsia="zh-CN"/>
              </w:rPr>
              <w:t>协助建立健全安全生产相关制度，协助开展安全生产监督和检查；</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3</w:t>
            </w:r>
            <w:r>
              <w:rPr>
                <w:rFonts w:hint="eastAsia"/>
                <w:color w:val="auto"/>
                <w:highlight w:val="none"/>
                <w:lang w:val="en-US" w:eastAsia="zh-CN"/>
              </w:rPr>
              <w:t>.</w:t>
            </w:r>
            <w:r>
              <w:rPr>
                <w:rFonts w:hint="default"/>
                <w:color w:val="auto"/>
                <w:highlight w:val="none"/>
                <w:lang w:val="en-US" w:eastAsia="zh-CN"/>
              </w:rPr>
              <w:t>协助开展档案接收和征集、保管、统计等工作；</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4</w:t>
            </w:r>
            <w:r>
              <w:rPr>
                <w:rFonts w:hint="eastAsia"/>
                <w:color w:val="auto"/>
                <w:highlight w:val="none"/>
                <w:lang w:val="en-US" w:eastAsia="zh-CN"/>
              </w:rPr>
              <w:t>.</w:t>
            </w:r>
            <w:r>
              <w:rPr>
                <w:rFonts w:hint="default"/>
                <w:color w:val="auto"/>
                <w:highlight w:val="none"/>
                <w:lang w:val="en-US" w:eastAsia="zh-CN"/>
              </w:rPr>
              <w:t>负责公共机构节能宣传和培训，开展能源资源消费数据统计和分析工作，按要求填报数据并报送平台。</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5</w:t>
            </w:r>
            <w:r>
              <w:rPr>
                <w:rFonts w:hint="eastAsia"/>
                <w:color w:val="auto"/>
                <w:highlight w:val="none"/>
                <w:lang w:val="en-US" w:eastAsia="zh-CN"/>
              </w:rPr>
              <w:t>.</w:t>
            </w:r>
            <w:r>
              <w:rPr>
                <w:rFonts w:hint="default"/>
                <w:color w:val="auto"/>
                <w:highlight w:val="none"/>
                <w:lang w:val="en-US" w:eastAsia="zh-CN"/>
              </w:rPr>
              <w:t>负责固定资产管理及报废处置等工作，对固定资产进行定期清查、盘点，按月填报固定资产月报表及固定资产年报。</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劳务服务人员根据工作天数按月结算劳务费。</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二、项目服务要求</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 xml:space="preserve">（一）项目拟投入人员要求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 xml:space="preserve">1.男女均可，高中或中专以上文化程度，年龄 18 周岁以上；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 xml:space="preserve">2.拥护党的路线、方针、政策，热爱工作，为人正直，工作责任心强，遵纪守法，无违法犯罪记录；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 xml:space="preserve">3.身体健康，并持有健康证，具有良好的语言表达和交流能力。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4.项目拟投入人员必须接受采购人的管理，严格遵守相关纪律要求。</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 xml:space="preserve">5.遵纪守法，遵守采购单位的各项规章制度；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 xml:space="preserve">6.工作认真负责，廉洁自律，具有良好的职业道德；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 xml:space="preserve">7.没有违反国家法律法规等行为；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 xml:space="preserve">8.凡正在接受纪律审查的人员，处于刑事处罚期间或者正在接受司法调查尚未做出结论的人员，不得聘用；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三、对供应商提供的服务要求</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1.供应商与项目拟投入人员签订劳动合同，确立劳动关系；有义务把双方签订劳务服务协议的事实告知项目拟投入人员，并且作为和项目拟投入人员签订劳动合同的其中一项条款内容。</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2.负责管理项目拟投入人员工作档案、处理劳务纠纷和涉及劳动关系的所有事宜等。为项目拟投入人员办理托管人事档案相关事宜，根据项目拟投入人员的要求为其办理职称、工龄等手续和提供与档案相关的证明材料。</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3.根据要求投入符合条件的人员工作，更换试用期内不符合录用条件的人员。</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4.教育并督促项目拟投入人员遵守国家法律法规和服务岗位的各项规章制度，保守工作秘密；应指定专人定期到服务单位，了解项目拟投入人员的思想动态、工作表现、守纪情况，尽力提供最佳服务。</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5.如采购人要求增加或更换适合的项目拟投入人员，供应商自收到采购人通知后10日内，应当按照采购人要求人数增加更换人员到采购人指定的地点工作。</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6.项目拟投入人员的工资及福利待遇等标准由采购单位制定，供应商按采购单位制定的工资标准及福利待遇如数按时发放给项目拟投入人员。</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7.供应商应确保及时、准确、妥善处理项目拟投入人员的薪酬管理，以法定货币形式按时足额支付拟投入人员工资，支付项目拟投入人员工资的时间为当月30日前。</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8.由供应商负责项目拟投入人员的社保办理及个税代扣代缴，缴纳自治区规定的社会保险费用（包括基本养老、工伤、失业、生育、医疗保险）及住房公积金（缴费比例为12%）。</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9.项目拟投入人员个人应当承担的“五险一金”、个人所得税，按照国家现行法律法规的规定，由成交供应商负责代扣代缴。</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10.项目拟投入人员办理因工伤、疾病、意外伤害等事故中国家规定的赔偿手续等相关服务事宜。</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11.供应商挪用项目拟投入人员工资、社会保险费用、住房公积金费用和其他福利费用的，除承担由此引发的一切法律责任外，采购人有权</w:t>
            </w:r>
            <w:r>
              <w:rPr>
                <w:rFonts w:hint="eastAsia"/>
                <w:color w:val="auto"/>
                <w:highlight w:val="none"/>
                <w:lang w:val="en-US" w:eastAsia="zh-CN"/>
              </w:rPr>
              <w:t>终止</w:t>
            </w:r>
            <w:r>
              <w:rPr>
                <w:rFonts w:hint="default"/>
                <w:color w:val="auto"/>
                <w:highlight w:val="none"/>
                <w:lang w:val="en-US" w:eastAsia="zh-CN"/>
              </w:rPr>
              <w:t>服务合同。</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12.由于供应商未能履行本条约定的各项义务或由于供应商履行瑕疵，导致采购人遭受损失的，包括但不限于被起诉、仲裁，或被行政机关调查、检查或处罚，供应商应对采购人承担全部赔偿责任。</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13.供应商应确保其项目拟投入人员遵守采购人的管理规定及守则，切实履行相关义务。如因违约或服务不合格，或在服务期间发生事故，造成采购人损失，均应由供应商承担，采购人有权在应结算支付的劳务费用中直接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23" w:type="dxa"/>
            <w:vAlign w:val="center"/>
          </w:tcPr>
          <w:p>
            <w:pPr>
              <w:pStyle w:val="2"/>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cs="宋体"/>
                <w:color w:val="auto"/>
                <w:sz w:val="21"/>
                <w:szCs w:val="21"/>
                <w:highlight w:val="none"/>
              </w:rPr>
            </w:pPr>
            <w:r>
              <w:rPr>
                <w:rFonts w:hint="eastAsia" w:ascii="宋体" w:hAnsi="宋体" w:cs="宋体"/>
                <w:b/>
                <w:bCs/>
                <w:color w:val="auto"/>
                <w:sz w:val="21"/>
                <w:szCs w:val="21"/>
                <w:highlight w:val="none"/>
              </w:rPr>
              <w:t>商务条款</w:t>
            </w:r>
          </w:p>
        </w:tc>
        <w:tc>
          <w:tcPr>
            <w:tcW w:w="9227" w:type="dxa"/>
            <w:gridSpan w:val="4"/>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▲一、服务时间及服务地点：</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1.服务时间：</w:t>
            </w:r>
            <w:r>
              <w:rPr>
                <w:rFonts w:hint="eastAsia" w:ascii="宋体" w:hAnsi="宋体" w:eastAsia="宋体" w:cs="宋体"/>
                <w:b w:val="0"/>
                <w:bCs w:val="0"/>
                <w:color w:val="auto"/>
                <w:sz w:val="21"/>
                <w:szCs w:val="21"/>
                <w:highlight w:val="none"/>
                <w:lang w:val="en-US" w:eastAsia="zh-CN"/>
              </w:rPr>
              <w:t>自合同签订之日起一年。</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2.服务地点：采购人指定地点。</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▲二、付款条件：</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采购人应向成交供应商支付的服务费用：包括拟投入人员工资(由采购人核定标准的工资及其它福利待遇）、五险一金（按照自治区规定的相关政策办理。如缴费政策出现调整的，按照政策调整通知及采购人确定的基数为准）和劳务服务管理费等相关费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b w:val="0"/>
                <w:bCs w:val="0"/>
                <w:color w:val="auto"/>
                <w:sz w:val="21"/>
                <w:szCs w:val="21"/>
                <w:highlight w:val="yellow"/>
                <w:lang w:val="en-US" w:eastAsia="zh-CN"/>
              </w:rPr>
            </w:pPr>
            <w:r>
              <w:rPr>
                <w:rFonts w:hint="eastAsia" w:ascii="宋体" w:hAnsi="宋体" w:cs="宋体"/>
                <w:b w:val="0"/>
                <w:bCs w:val="0"/>
                <w:color w:val="auto"/>
                <w:sz w:val="21"/>
                <w:szCs w:val="21"/>
                <w:highlight w:val="none"/>
                <w:lang w:val="en-US" w:eastAsia="zh-CN"/>
              </w:rPr>
              <w:t>2.采购人按合同金额分2次支付，即签订合同后的30个工作日内支付合同金额的60%，签订合同之日起3个月后支付合同款40%，成交人自收到款之日起五个工作日内向采购人开具等额发票。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▲三、报价要求：</w:t>
            </w:r>
          </w:p>
          <w:p>
            <w:pPr>
              <w:pStyle w:val="2"/>
              <w:keepNext w:val="0"/>
              <w:keepLines w:val="0"/>
              <w:pageBreakBefore w:val="0"/>
              <w:kinsoku/>
              <w:wordWrap/>
              <w:overflowPunct/>
              <w:topLinePunct w:val="0"/>
              <w:autoSpaceDE/>
              <w:autoSpaceDN/>
              <w:bidi w:val="0"/>
              <w:adjustRightInd/>
              <w:spacing w:line="360" w:lineRule="auto"/>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本项目按总包干报价，包括所有服务、差旅费、劳务费、材料费、培训费、手续费、保险费和各项税金，以及不可预见费等全部费用。（采购人不再支付任何费用）。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四、终止合同</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1.供应商提供的服务如果与竞标时承诺的服务不相符，采购人有权终止合同。</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2.如果成交供应商队伍发生重大变更导致无法按要求开展项目任务或者发生重大责任事故的，采购人有权终止合同。</w:t>
            </w:r>
          </w:p>
          <w:p>
            <w:pPr>
              <w:pStyle w:val="40"/>
              <w:ind w:left="0" w:leftChars="0" w:firstLine="0" w:firstLineChars="0"/>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五、知识产权</w:t>
            </w:r>
          </w:p>
          <w:p>
            <w:pPr>
              <w:pStyle w:val="40"/>
              <w:ind w:left="0" w:leftChars="0" w:firstLine="0" w:firstLineChars="0"/>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1.</w:t>
            </w:r>
            <w:r>
              <w:rPr>
                <w:rFonts w:hint="default" w:ascii="宋体" w:hAnsi="宋体" w:eastAsia="宋体" w:cs="宋体"/>
                <w:b w:val="0"/>
                <w:bCs w:val="0"/>
                <w:color w:val="auto"/>
                <w:kern w:val="2"/>
                <w:sz w:val="21"/>
                <w:szCs w:val="21"/>
                <w:highlight w:val="none"/>
                <w:lang w:val="en-US" w:eastAsia="zh-CN" w:bidi="ar-SA"/>
              </w:rPr>
              <w:t>采购人在中华人民共和国境内使用供应商提供的产品及服务时免受第三方提出的侵犯其专利权或其它知识产权的起诉。如果第三方提出侵权指控，成交供应商承担由此而引起的一切法律责任和费用。</w:t>
            </w:r>
          </w:p>
          <w:p>
            <w:pPr>
              <w:pStyle w:val="40"/>
              <w:ind w:left="0" w:leftChars="0" w:firstLine="0" w:firstLineChars="0"/>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2.本项目所形成的数据和报告归采购人所有。未经采购人授权，不得将数据和报告发送给任何第三方。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vAlign w:val="center"/>
          </w:tcPr>
          <w:p>
            <w:pPr>
              <w:pStyle w:val="2"/>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其他说明</w:t>
            </w:r>
          </w:p>
        </w:tc>
        <w:tc>
          <w:tcPr>
            <w:tcW w:w="9227" w:type="dxa"/>
            <w:gridSpan w:val="4"/>
            <w:vAlign w:val="center"/>
          </w:tcPr>
          <w:p>
            <w:pPr>
              <w:pStyle w:val="2"/>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▲1.磋商小组认为</w:t>
            </w:r>
            <w:r>
              <w:rPr>
                <w:rFonts w:hint="eastAsia" w:ascii="宋体" w:hAnsi="宋体" w:cs="宋体"/>
                <w:b w:val="0"/>
                <w:bCs w:val="0"/>
                <w:color w:val="auto"/>
                <w:kern w:val="0"/>
                <w:sz w:val="21"/>
                <w:szCs w:val="21"/>
                <w:highlight w:val="none"/>
                <w:lang w:val="en-US" w:eastAsia="zh-CN" w:bidi="ar-SA"/>
              </w:rPr>
              <w:t>供应商</w:t>
            </w:r>
            <w:r>
              <w:rPr>
                <w:rFonts w:hint="eastAsia" w:ascii="宋体" w:hAnsi="宋体" w:eastAsia="宋体" w:cs="宋体"/>
                <w:b w:val="0"/>
                <w:bCs w:val="0"/>
                <w:color w:val="auto"/>
                <w:kern w:val="0"/>
                <w:sz w:val="21"/>
                <w:szCs w:val="21"/>
                <w:highlight w:val="none"/>
                <w:lang w:val="en-US" w:eastAsia="zh-CN" w:bidi="ar-SA"/>
              </w:rPr>
              <w:t>的报价明显低于其他通过符合性审查</w:t>
            </w:r>
            <w:r>
              <w:rPr>
                <w:rFonts w:hint="eastAsia" w:ascii="宋体" w:hAnsi="宋体" w:cs="宋体"/>
                <w:b w:val="0"/>
                <w:bCs w:val="0"/>
                <w:color w:val="auto"/>
                <w:kern w:val="0"/>
                <w:sz w:val="21"/>
                <w:szCs w:val="21"/>
                <w:highlight w:val="none"/>
                <w:lang w:val="en-US" w:eastAsia="zh-CN" w:bidi="ar-SA"/>
              </w:rPr>
              <w:t>供应商</w:t>
            </w:r>
            <w:r>
              <w:rPr>
                <w:rFonts w:hint="eastAsia" w:ascii="宋体" w:hAnsi="宋体" w:eastAsia="宋体" w:cs="宋体"/>
                <w:b w:val="0"/>
                <w:bCs w:val="0"/>
                <w:color w:val="auto"/>
                <w:kern w:val="0"/>
                <w:sz w:val="21"/>
                <w:szCs w:val="21"/>
                <w:highlight w:val="none"/>
                <w:lang w:val="en-US" w:eastAsia="zh-CN" w:bidi="ar-SA"/>
              </w:rPr>
              <w:t>的报价，有可能影响产品质量或者不能诚信履约的，应当要求其在磋商现场合理的时间内提供书面说明，必要时提交相关证明材料；</w:t>
            </w:r>
            <w:r>
              <w:rPr>
                <w:rFonts w:hint="eastAsia" w:ascii="宋体" w:hAnsi="宋体" w:cs="宋体"/>
                <w:b w:val="0"/>
                <w:bCs w:val="0"/>
                <w:color w:val="auto"/>
                <w:kern w:val="0"/>
                <w:sz w:val="21"/>
                <w:szCs w:val="21"/>
                <w:highlight w:val="none"/>
                <w:lang w:val="en-US" w:eastAsia="zh-CN" w:bidi="ar-SA"/>
              </w:rPr>
              <w:t>供应商</w:t>
            </w:r>
            <w:r>
              <w:rPr>
                <w:rFonts w:hint="eastAsia" w:ascii="宋体" w:hAnsi="宋体" w:eastAsia="宋体" w:cs="宋体"/>
                <w:b w:val="0"/>
                <w:bCs w:val="0"/>
                <w:color w:val="auto"/>
                <w:kern w:val="0"/>
                <w:sz w:val="21"/>
                <w:szCs w:val="21"/>
                <w:highlight w:val="none"/>
                <w:lang w:val="en-US" w:eastAsia="zh-CN" w:bidi="ar-SA"/>
              </w:rPr>
              <w:t>不能证明其报价合理性的，磋商小组应当将其作为无效</w:t>
            </w:r>
            <w:r>
              <w:rPr>
                <w:rFonts w:hint="eastAsia" w:ascii="宋体" w:hAnsi="宋体" w:cs="宋体"/>
                <w:b w:val="0"/>
                <w:bCs w:val="0"/>
                <w:color w:val="auto"/>
                <w:kern w:val="0"/>
                <w:sz w:val="21"/>
                <w:szCs w:val="21"/>
                <w:highlight w:val="none"/>
                <w:lang w:val="en-US" w:eastAsia="zh-CN" w:bidi="ar-SA"/>
              </w:rPr>
              <w:t>磋商</w:t>
            </w:r>
            <w:r>
              <w:rPr>
                <w:rFonts w:hint="eastAsia" w:ascii="宋体" w:hAnsi="宋体" w:eastAsia="宋体" w:cs="宋体"/>
                <w:b w:val="0"/>
                <w:bCs w:val="0"/>
                <w:color w:val="auto"/>
                <w:kern w:val="0"/>
                <w:sz w:val="21"/>
                <w:szCs w:val="21"/>
                <w:highlight w:val="none"/>
                <w:lang w:val="en-US" w:eastAsia="zh-CN" w:bidi="ar-SA"/>
              </w:rPr>
              <w:t>处理。</w:t>
            </w:r>
          </w:p>
          <w:p>
            <w:pPr>
              <w:pStyle w:val="2"/>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▲2.</w:t>
            </w:r>
            <w:r>
              <w:rPr>
                <w:rFonts w:hint="eastAsia" w:ascii="宋体" w:hAnsi="宋体" w:eastAsia="宋体" w:cs="宋体"/>
                <w:b w:val="0"/>
                <w:bCs w:val="0"/>
                <w:color w:val="auto"/>
                <w:kern w:val="0"/>
                <w:sz w:val="21"/>
                <w:szCs w:val="21"/>
                <w:highlight w:val="none"/>
                <w:lang w:val="en-US" w:eastAsia="zh-CN" w:bidi="ar-SA"/>
              </w:rPr>
              <w:t>供应商在磋商活动中提供任何材料、信息必须真实有效。若存在提供虚假信息、虚假材料的情况，采购人将报监管部门查处。</w:t>
            </w:r>
          </w:p>
          <w:p>
            <w:pPr>
              <w:spacing w:line="360" w:lineRule="auto"/>
              <w:rPr>
                <w:rFonts w:hint="default"/>
                <w:color w:val="auto"/>
                <w:highlight w:val="none"/>
                <w:lang w:val="en-US" w:eastAsia="zh-CN"/>
              </w:rPr>
            </w:pPr>
            <w:r>
              <w:rPr>
                <w:rFonts w:hint="eastAsia" w:ascii="宋体" w:hAnsi="宋体" w:cs="宋体"/>
                <w:b w:val="0"/>
                <w:bCs w:val="0"/>
                <w:color w:val="auto"/>
                <w:kern w:val="0"/>
                <w:sz w:val="21"/>
                <w:szCs w:val="21"/>
                <w:highlight w:val="none"/>
                <w:lang w:val="en-US" w:eastAsia="zh-CN" w:bidi="ar-SA"/>
              </w:rPr>
              <w:t>3.供应商请在首次响应文件中提供项目服务方案、客户服务及关系维护方案、应急处置预案方案、员工人员培训方案，作为评分依据。</w:t>
            </w:r>
          </w:p>
        </w:tc>
      </w:tr>
    </w:tbl>
    <w:p>
      <w:pPr>
        <w:rPr>
          <w:rFonts w:hint="eastAsia"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br w:type="page"/>
      </w:r>
    </w:p>
    <w:p>
      <w:pPr>
        <w:ind w:left="119"/>
        <w:rPr>
          <w:rFonts w:ascii="宋体" w:hAnsi="宋体" w:eastAsia="宋体" w:cs="宋体"/>
          <w:color w:val="auto"/>
          <w:sz w:val="32"/>
          <w:szCs w:val="32"/>
          <w:highlight w:val="none"/>
        </w:rPr>
      </w:pPr>
      <w:bookmarkStart w:id="58" w:name="_Toc80886927"/>
      <w:bookmarkStart w:id="59" w:name="_Toc3319"/>
      <w:r>
        <w:rPr>
          <w:rFonts w:hint="eastAsia" w:ascii="宋体" w:hAnsi="宋体" w:eastAsia="宋体" w:cs="宋体"/>
          <w:color w:val="auto"/>
          <w:sz w:val="32"/>
          <w:szCs w:val="32"/>
          <w:highlight w:val="none"/>
        </w:rPr>
        <w:t>附件1：</w:t>
      </w:r>
    </w:p>
    <w:p>
      <w:pPr>
        <w:widowControl/>
        <w:spacing w:before="120" w:beforeLines="50" w:after="120" w:afterLines="50" w:line="280" w:lineRule="exact"/>
        <w:jc w:val="center"/>
        <w:rPr>
          <w:rFonts w:ascii="宋体" w:hAnsi="宋体" w:eastAsia="宋体" w:cs="宋体"/>
          <w:b/>
          <w:bCs/>
          <w:kern w:val="0"/>
          <w:sz w:val="30"/>
          <w:szCs w:val="30"/>
        </w:rPr>
      </w:pPr>
      <w:bookmarkStart w:id="60" w:name="_Toc28361_WPSOffice_Level2"/>
      <w:bookmarkStart w:id="61" w:name="_Toc2072"/>
      <w:bookmarkStart w:id="62" w:name="_Toc24174"/>
      <w:bookmarkStart w:id="63" w:name="_Toc13614"/>
      <w:bookmarkStart w:id="64" w:name="_Toc7704"/>
      <w:bookmarkStart w:id="65" w:name="_Toc19152"/>
      <w:bookmarkStart w:id="66" w:name="_Toc9239"/>
      <w:r>
        <w:rPr>
          <w:rFonts w:hint="eastAsia" w:ascii="宋体" w:hAnsi="宋体" w:eastAsia="宋体" w:cs="宋体"/>
          <w:b/>
          <w:bCs/>
          <w:kern w:val="0"/>
          <w:sz w:val="30"/>
          <w:szCs w:val="30"/>
        </w:rPr>
        <w:t>统计上大中小微型企业划分标准</w:t>
      </w:r>
      <w:bookmarkEnd w:id="60"/>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pPr>
              <w:widowControl/>
              <w:spacing w:line="280" w:lineRule="exact"/>
              <w:jc w:val="center"/>
              <w:rPr>
                <w:rFonts w:ascii="宋体" w:hAnsi="宋体" w:eastAsia="宋体" w:cs="宋体"/>
                <w:b/>
                <w:bCs/>
                <w:kern w:val="0"/>
                <w:sz w:val="18"/>
                <w:szCs w:val="21"/>
              </w:rPr>
            </w:pPr>
            <w:r>
              <w:rPr>
                <w:rFonts w:hint="eastAsia" w:ascii="宋体" w:hAnsi="宋体" w:eastAsia="宋体" w:cs="宋体"/>
                <w:b/>
                <w:bCs/>
                <w:kern w:val="0"/>
                <w:sz w:val="18"/>
                <w:szCs w:val="21"/>
              </w:rPr>
              <w:t>行业名称</w:t>
            </w:r>
          </w:p>
        </w:tc>
        <w:tc>
          <w:tcPr>
            <w:tcW w:w="1369" w:type="dxa"/>
            <w:shd w:val="clear" w:color="auto" w:fill="8DB3E2"/>
            <w:noWrap w:val="0"/>
            <w:vAlign w:val="center"/>
          </w:tcPr>
          <w:p>
            <w:pPr>
              <w:widowControl/>
              <w:spacing w:line="28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指标名称</w:t>
            </w:r>
          </w:p>
        </w:tc>
        <w:tc>
          <w:tcPr>
            <w:tcW w:w="709" w:type="dxa"/>
            <w:shd w:val="clear" w:color="auto" w:fill="8DB3E2"/>
            <w:noWrap w:val="0"/>
            <w:vAlign w:val="center"/>
          </w:tcPr>
          <w:p>
            <w:pPr>
              <w:widowControl/>
              <w:spacing w:line="280" w:lineRule="exact"/>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计量</w:t>
            </w:r>
          </w:p>
          <w:p>
            <w:pPr>
              <w:widowControl/>
              <w:spacing w:line="28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单位</w:t>
            </w:r>
          </w:p>
        </w:tc>
        <w:tc>
          <w:tcPr>
            <w:tcW w:w="1125" w:type="dxa"/>
            <w:shd w:val="clear" w:color="auto" w:fill="8DB3E2"/>
            <w:noWrap w:val="0"/>
            <w:vAlign w:val="center"/>
          </w:tcPr>
          <w:p>
            <w:pPr>
              <w:widowControl/>
              <w:spacing w:line="28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大型</w:t>
            </w:r>
          </w:p>
        </w:tc>
        <w:tc>
          <w:tcPr>
            <w:tcW w:w="1701" w:type="dxa"/>
            <w:shd w:val="clear" w:color="auto" w:fill="8DB3E2"/>
            <w:noWrap w:val="0"/>
            <w:vAlign w:val="center"/>
          </w:tcPr>
          <w:p>
            <w:pPr>
              <w:widowControl/>
              <w:spacing w:line="28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中型</w:t>
            </w:r>
          </w:p>
        </w:tc>
        <w:tc>
          <w:tcPr>
            <w:tcW w:w="1426" w:type="dxa"/>
            <w:shd w:val="clear" w:color="auto" w:fill="8DB3E2"/>
            <w:noWrap w:val="0"/>
            <w:vAlign w:val="center"/>
          </w:tcPr>
          <w:p>
            <w:pPr>
              <w:widowControl/>
              <w:spacing w:line="28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小型</w:t>
            </w:r>
          </w:p>
        </w:tc>
        <w:tc>
          <w:tcPr>
            <w:tcW w:w="992" w:type="dxa"/>
            <w:shd w:val="clear" w:color="auto" w:fill="8DB3E2"/>
            <w:noWrap w:val="0"/>
            <w:vAlign w:val="center"/>
          </w:tcPr>
          <w:p>
            <w:pPr>
              <w:widowControl/>
              <w:spacing w:line="28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农、林、牧、渔业</w:t>
            </w:r>
          </w:p>
        </w:tc>
        <w:tc>
          <w:tcPr>
            <w:tcW w:w="136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营业收入(Y)</w:t>
            </w:r>
          </w:p>
        </w:tc>
        <w:tc>
          <w:tcPr>
            <w:tcW w:w="70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25"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Y≥20000</w:t>
            </w:r>
          </w:p>
        </w:tc>
        <w:tc>
          <w:tcPr>
            <w:tcW w:w="1701"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500≤Y＜20000</w:t>
            </w:r>
          </w:p>
        </w:tc>
        <w:tc>
          <w:tcPr>
            <w:tcW w:w="1426"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50≤Y＜500</w:t>
            </w:r>
          </w:p>
        </w:tc>
        <w:tc>
          <w:tcPr>
            <w:tcW w:w="992"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工业 *</w:t>
            </w:r>
          </w:p>
        </w:tc>
        <w:tc>
          <w:tcPr>
            <w:tcW w:w="136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从业人员(X)</w:t>
            </w:r>
          </w:p>
        </w:tc>
        <w:tc>
          <w:tcPr>
            <w:tcW w:w="70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人</w:t>
            </w:r>
          </w:p>
        </w:tc>
        <w:tc>
          <w:tcPr>
            <w:tcW w:w="1125"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X≥1000</w:t>
            </w:r>
          </w:p>
        </w:tc>
        <w:tc>
          <w:tcPr>
            <w:tcW w:w="1701"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300≤X＜1000</w:t>
            </w:r>
          </w:p>
        </w:tc>
        <w:tc>
          <w:tcPr>
            <w:tcW w:w="1426"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20≤X＜300</w:t>
            </w:r>
          </w:p>
        </w:tc>
        <w:tc>
          <w:tcPr>
            <w:tcW w:w="992"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eastAsia="宋体" w:cs="宋体"/>
                <w:kern w:val="0"/>
                <w:sz w:val="18"/>
                <w:szCs w:val="18"/>
              </w:rPr>
            </w:pPr>
          </w:p>
        </w:tc>
        <w:tc>
          <w:tcPr>
            <w:tcW w:w="136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营业收入(Y)</w:t>
            </w:r>
          </w:p>
        </w:tc>
        <w:tc>
          <w:tcPr>
            <w:tcW w:w="70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25"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Y≥40000</w:t>
            </w:r>
          </w:p>
        </w:tc>
        <w:tc>
          <w:tcPr>
            <w:tcW w:w="1701"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2000≤Y＜40000</w:t>
            </w:r>
          </w:p>
        </w:tc>
        <w:tc>
          <w:tcPr>
            <w:tcW w:w="1426"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300≤Y＜2000</w:t>
            </w:r>
          </w:p>
        </w:tc>
        <w:tc>
          <w:tcPr>
            <w:tcW w:w="992"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建筑业</w:t>
            </w:r>
          </w:p>
        </w:tc>
        <w:tc>
          <w:tcPr>
            <w:tcW w:w="136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营业收入(Y)</w:t>
            </w:r>
          </w:p>
        </w:tc>
        <w:tc>
          <w:tcPr>
            <w:tcW w:w="70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25"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Y≥80000</w:t>
            </w:r>
          </w:p>
        </w:tc>
        <w:tc>
          <w:tcPr>
            <w:tcW w:w="1701"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6000≤Y＜80000</w:t>
            </w:r>
          </w:p>
        </w:tc>
        <w:tc>
          <w:tcPr>
            <w:tcW w:w="1426"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300≤Y＜6000</w:t>
            </w:r>
          </w:p>
        </w:tc>
        <w:tc>
          <w:tcPr>
            <w:tcW w:w="992"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eastAsia="宋体" w:cs="宋体"/>
                <w:kern w:val="0"/>
                <w:sz w:val="18"/>
                <w:szCs w:val="18"/>
              </w:rPr>
            </w:pPr>
          </w:p>
        </w:tc>
        <w:tc>
          <w:tcPr>
            <w:tcW w:w="136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资产总额(Z)</w:t>
            </w:r>
          </w:p>
        </w:tc>
        <w:tc>
          <w:tcPr>
            <w:tcW w:w="70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25"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Z≥80000</w:t>
            </w:r>
          </w:p>
        </w:tc>
        <w:tc>
          <w:tcPr>
            <w:tcW w:w="1701"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5000≤Z＜80000</w:t>
            </w:r>
          </w:p>
        </w:tc>
        <w:tc>
          <w:tcPr>
            <w:tcW w:w="1426"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300≤Z＜5000</w:t>
            </w:r>
          </w:p>
        </w:tc>
        <w:tc>
          <w:tcPr>
            <w:tcW w:w="992"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批发业</w:t>
            </w:r>
          </w:p>
        </w:tc>
        <w:tc>
          <w:tcPr>
            <w:tcW w:w="136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从业人员(X)</w:t>
            </w:r>
          </w:p>
        </w:tc>
        <w:tc>
          <w:tcPr>
            <w:tcW w:w="70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人</w:t>
            </w:r>
          </w:p>
        </w:tc>
        <w:tc>
          <w:tcPr>
            <w:tcW w:w="1125"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X≥200</w:t>
            </w:r>
          </w:p>
        </w:tc>
        <w:tc>
          <w:tcPr>
            <w:tcW w:w="1701"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20≤X＜200</w:t>
            </w:r>
          </w:p>
        </w:tc>
        <w:tc>
          <w:tcPr>
            <w:tcW w:w="1426"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5≤X＜20</w:t>
            </w:r>
          </w:p>
        </w:tc>
        <w:tc>
          <w:tcPr>
            <w:tcW w:w="992"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eastAsia="宋体" w:cs="宋体"/>
                <w:kern w:val="0"/>
                <w:sz w:val="18"/>
                <w:szCs w:val="18"/>
              </w:rPr>
            </w:pPr>
          </w:p>
        </w:tc>
        <w:tc>
          <w:tcPr>
            <w:tcW w:w="136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营业收入(Y)</w:t>
            </w:r>
          </w:p>
        </w:tc>
        <w:tc>
          <w:tcPr>
            <w:tcW w:w="70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25"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Y≥40000</w:t>
            </w:r>
          </w:p>
        </w:tc>
        <w:tc>
          <w:tcPr>
            <w:tcW w:w="1701"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5000≤Y＜40000</w:t>
            </w:r>
          </w:p>
        </w:tc>
        <w:tc>
          <w:tcPr>
            <w:tcW w:w="1426" w:type="dxa"/>
            <w:noWrap w:val="0"/>
            <w:vAlign w:val="center"/>
          </w:tcPr>
          <w:p>
            <w:pPr>
              <w:widowControl/>
              <w:spacing w:line="280" w:lineRule="exact"/>
              <w:ind w:left="-1" w:leftChars="-1" w:hanging="1"/>
              <w:jc w:val="center"/>
              <w:rPr>
                <w:rFonts w:ascii="宋体" w:hAnsi="宋体" w:eastAsia="宋体" w:cs="宋体"/>
                <w:kern w:val="0"/>
                <w:sz w:val="18"/>
                <w:szCs w:val="18"/>
              </w:rPr>
            </w:pPr>
            <w:r>
              <w:rPr>
                <w:rFonts w:hint="eastAsia" w:ascii="宋体" w:hAnsi="宋体" w:eastAsia="宋体" w:cs="宋体"/>
                <w:kern w:val="0"/>
                <w:sz w:val="18"/>
                <w:szCs w:val="18"/>
              </w:rPr>
              <w:t>1000≤Y＜5000</w:t>
            </w:r>
          </w:p>
        </w:tc>
        <w:tc>
          <w:tcPr>
            <w:tcW w:w="992"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零售业</w:t>
            </w:r>
          </w:p>
        </w:tc>
        <w:tc>
          <w:tcPr>
            <w:tcW w:w="136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从业人员(X)</w:t>
            </w:r>
          </w:p>
        </w:tc>
        <w:tc>
          <w:tcPr>
            <w:tcW w:w="70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人</w:t>
            </w:r>
          </w:p>
        </w:tc>
        <w:tc>
          <w:tcPr>
            <w:tcW w:w="1125"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X≥300</w:t>
            </w:r>
          </w:p>
        </w:tc>
        <w:tc>
          <w:tcPr>
            <w:tcW w:w="1701"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50≤X＜300</w:t>
            </w:r>
          </w:p>
        </w:tc>
        <w:tc>
          <w:tcPr>
            <w:tcW w:w="1426" w:type="dxa"/>
            <w:noWrap w:val="0"/>
            <w:vAlign w:val="center"/>
          </w:tcPr>
          <w:p>
            <w:pPr>
              <w:widowControl/>
              <w:spacing w:line="280" w:lineRule="exact"/>
              <w:ind w:left="-1" w:leftChars="-1" w:hanging="1"/>
              <w:jc w:val="center"/>
              <w:rPr>
                <w:rFonts w:ascii="宋体" w:hAnsi="宋体" w:eastAsia="宋体" w:cs="宋体"/>
                <w:kern w:val="0"/>
                <w:sz w:val="18"/>
                <w:szCs w:val="18"/>
              </w:rPr>
            </w:pPr>
            <w:r>
              <w:rPr>
                <w:rFonts w:hint="eastAsia" w:ascii="宋体" w:hAnsi="宋体" w:eastAsia="宋体" w:cs="宋体"/>
                <w:kern w:val="0"/>
                <w:sz w:val="18"/>
                <w:szCs w:val="18"/>
              </w:rPr>
              <w:t xml:space="preserve">10≤X＜50 </w:t>
            </w:r>
          </w:p>
        </w:tc>
        <w:tc>
          <w:tcPr>
            <w:tcW w:w="992"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eastAsia="宋体" w:cs="宋体"/>
                <w:kern w:val="0"/>
                <w:sz w:val="18"/>
                <w:szCs w:val="18"/>
              </w:rPr>
            </w:pPr>
          </w:p>
        </w:tc>
        <w:tc>
          <w:tcPr>
            <w:tcW w:w="136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营业收入(Y)</w:t>
            </w:r>
          </w:p>
        </w:tc>
        <w:tc>
          <w:tcPr>
            <w:tcW w:w="70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25"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Y≥20000</w:t>
            </w:r>
          </w:p>
        </w:tc>
        <w:tc>
          <w:tcPr>
            <w:tcW w:w="1701"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500≤Y＜20000</w:t>
            </w:r>
          </w:p>
        </w:tc>
        <w:tc>
          <w:tcPr>
            <w:tcW w:w="1426" w:type="dxa"/>
            <w:noWrap w:val="0"/>
            <w:vAlign w:val="center"/>
          </w:tcPr>
          <w:p>
            <w:pPr>
              <w:widowControl/>
              <w:spacing w:line="280" w:lineRule="exact"/>
              <w:ind w:left="-1" w:leftChars="-1" w:hanging="1"/>
              <w:jc w:val="center"/>
              <w:rPr>
                <w:rFonts w:ascii="宋体" w:hAnsi="宋体" w:eastAsia="宋体" w:cs="宋体"/>
                <w:kern w:val="0"/>
                <w:sz w:val="18"/>
                <w:szCs w:val="18"/>
              </w:rPr>
            </w:pPr>
            <w:r>
              <w:rPr>
                <w:rFonts w:hint="eastAsia" w:ascii="宋体" w:hAnsi="宋体" w:eastAsia="宋体" w:cs="宋体"/>
                <w:kern w:val="0"/>
                <w:sz w:val="18"/>
                <w:szCs w:val="18"/>
              </w:rPr>
              <w:t>100≤Y＜500</w:t>
            </w:r>
          </w:p>
        </w:tc>
        <w:tc>
          <w:tcPr>
            <w:tcW w:w="992"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交通运输业 *</w:t>
            </w:r>
          </w:p>
        </w:tc>
        <w:tc>
          <w:tcPr>
            <w:tcW w:w="136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从业人员(X)</w:t>
            </w:r>
          </w:p>
        </w:tc>
        <w:tc>
          <w:tcPr>
            <w:tcW w:w="70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人</w:t>
            </w:r>
          </w:p>
        </w:tc>
        <w:tc>
          <w:tcPr>
            <w:tcW w:w="1125"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X≥1000</w:t>
            </w:r>
          </w:p>
        </w:tc>
        <w:tc>
          <w:tcPr>
            <w:tcW w:w="1701"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300≤X＜1000</w:t>
            </w:r>
          </w:p>
        </w:tc>
        <w:tc>
          <w:tcPr>
            <w:tcW w:w="1426"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20≤X＜300</w:t>
            </w:r>
          </w:p>
        </w:tc>
        <w:tc>
          <w:tcPr>
            <w:tcW w:w="992"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eastAsia="宋体" w:cs="宋体"/>
                <w:kern w:val="0"/>
                <w:sz w:val="18"/>
                <w:szCs w:val="18"/>
              </w:rPr>
            </w:pPr>
          </w:p>
        </w:tc>
        <w:tc>
          <w:tcPr>
            <w:tcW w:w="136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营业收入(Y)</w:t>
            </w:r>
          </w:p>
        </w:tc>
        <w:tc>
          <w:tcPr>
            <w:tcW w:w="70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25"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Y≥30000</w:t>
            </w:r>
          </w:p>
        </w:tc>
        <w:tc>
          <w:tcPr>
            <w:tcW w:w="1701"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3000≤Y＜30000</w:t>
            </w:r>
          </w:p>
        </w:tc>
        <w:tc>
          <w:tcPr>
            <w:tcW w:w="1426"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200≤Y＜3000</w:t>
            </w:r>
          </w:p>
        </w:tc>
        <w:tc>
          <w:tcPr>
            <w:tcW w:w="992"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仓储业*</w:t>
            </w:r>
          </w:p>
        </w:tc>
        <w:tc>
          <w:tcPr>
            <w:tcW w:w="136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从业人员(X)</w:t>
            </w:r>
          </w:p>
        </w:tc>
        <w:tc>
          <w:tcPr>
            <w:tcW w:w="70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人</w:t>
            </w:r>
          </w:p>
        </w:tc>
        <w:tc>
          <w:tcPr>
            <w:tcW w:w="1125"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X≥200</w:t>
            </w:r>
          </w:p>
        </w:tc>
        <w:tc>
          <w:tcPr>
            <w:tcW w:w="1701" w:type="dxa"/>
            <w:noWrap w:val="0"/>
            <w:vAlign w:val="center"/>
          </w:tcPr>
          <w:p>
            <w:pPr>
              <w:widowControl/>
              <w:spacing w:line="280" w:lineRule="exact"/>
              <w:ind w:left="1" w:leftChars="-51" w:hanging="108" w:hangingChars="60"/>
              <w:jc w:val="center"/>
              <w:rPr>
                <w:rFonts w:ascii="宋体" w:hAnsi="宋体" w:eastAsia="宋体" w:cs="宋体"/>
                <w:kern w:val="0"/>
                <w:sz w:val="18"/>
                <w:szCs w:val="18"/>
              </w:rPr>
            </w:pPr>
            <w:r>
              <w:rPr>
                <w:rFonts w:hint="eastAsia" w:ascii="宋体" w:hAnsi="宋体" w:eastAsia="宋体" w:cs="宋体"/>
                <w:kern w:val="0"/>
                <w:sz w:val="18"/>
                <w:szCs w:val="18"/>
              </w:rPr>
              <w:t>100≤X＜200</w:t>
            </w:r>
          </w:p>
        </w:tc>
        <w:tc>
          <w:tcPr>
            <w:tcW w:w="1426"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20≤X＜100</w:t>
            </w:r>
          </w:p>
        </w:tc>
        <w:tc>
          <w:tcPr>
            <w:tcW w:w="992"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eastAsia="宋体" w:cs="宋体"/>
                <w:kern w:val="0"/>
                <w:sz w:val="18"/>
                <w:szCs w:val="18"/>
              </w:rPr>
            </w:pPr>
          </w:p>
        </w:tc>
        <w:tc>
          <w:tcPr>
            <w:tcW w:w="136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营业收入(Y)</w:t>
            </w:r>
          </w:p>
        </w:tc>
        <w:tc>
          <w:tcPr>
            <w:tcW w:w="70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25"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Y≥30000</w:t>
            </w:r>
          </w:p>
        </w:tc>
        <w:tc>
          <w:tcPr>
            <w:tcW w:w="1701"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1000≤Y＜30000</w:t>
            </w:r>
          </w:p>
        </w:tc>
        <w:tc>
          <w:tcPr>
            <w:tcW w:w="1426"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100≤Y＜1000</w:t>
            </w:r>
          </w:p>
        </w:tc>
        <w:tc>
          <w:tcPr>
            <w:tcW w:w="992"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邮政业</w:t>
            </w:r>
          </w:p>
        </w:tc>
        <w:tc>
          <w:tcPr>
            <w:tcW w:w="136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从业人员(X)</w:t>
            </w:r>
          </w:p>
        </w:tc>
        <w:tc>
          <w:tcPr>
            <w:tcW w:w="70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人</w:t>
            </w:r>
          </w:p>
        </w:tc>
        <w:tc>
          <w:tcPr>
            <w:tcW w:w="1125"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X≥1000</w:t>
            </w:r>
          </w:p>
        </w:tc>
        <w:tc>
          <w:tcPr>
            <w:tcW w:w="1701"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300≤X＜1000</w:t>
            </w:r>
          </w:p>
        </w:tc>
        <w:tc>
          <w:tcPr>
            <w:tcW w:w="1426"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20≤X＜300</w:t>
            </w:r>
          </w:p>
        </w:tc>
        <w:tc>
          <w:tcPr>
            <w:tcW w:w="992"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eastAsia="宋体" w:cs="宋体"/>
                <w:kern w:val="0"/>
                <w:sz w:val="18"/>
                <w:szCs w:val="18"/>
              </w:rPr>
            </w:pPr>
          </w:p>
        </w:tc>
        <w:tc>
          <w:tcPr>
            <w:tcW w:w="136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营业收入(Y)</w:t>
            </w:r>
          </w:p>
        </w:tc>
        <w:tc>
          <w:tcPr>
            <w:tcW w:w="70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25"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Y≥30000</w:t>
            </w:r>
          </w:p>
        </w:tc>
        <w:tc>
          <w:tcPr>
            <w:tcW w:w="1701"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2000≤Y＜30000</w:t>
            </w:r>
          </w:p>
        </w:tc>
        <w:tc>
          <w:tcPr>
            <w:tcW w:w="1426"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100≤Y＜2000</w:t>
            </w:r>
          </w:p>
        </w:tc>
        <w:tc>
          <w:tcPr>
            <w:tcW w:w="992"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住宿业</w:t>
            </w:r>
          </w:p>
        </w:tc>
        <w:tc>
          <w:tcPr>
            <w:tcW w:w="136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从业人员(X)</w:t>
            </w:r>
          </w:p>
        </w:tc>
        <w:tc>
          <w:tcPr>
            <w:tcW w:w="70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人</w:t>
            </w:r>
          </w:p>
        </w:tc>
        <w:tc>
          <w:tcPr>
            <w:tcW w:w="1125"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eastAsia="宋体" w:cs="宋体"/>
                <w:kern w:val="0"/>
                <w:sz w:val="18"/>
                <w:szCs w:val="18"/>
              </w:rPr>
            </w:pPr>
            <w:r>
              <w:rPr>
                <w:rFonts w:hint="eastAsia" w:ascii="宋体" w:hAnsi="宋体" w:eastAsia="宋体" w:cs="宋体"/>
                <w:kern w:val="0"/>
                <w:sz w:val="18"/>
                <w:szCs w:val="18"/>
              </w:rPr>
              <w:t>100≤X＜300</w:t>
            </w:r>
          </w:p>
        </w:tc>
        <w:tc>
          <w:tcPr>
            <w:tcW w:w="1426"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10≤X＜100</w:t>
            </w:r>
          </w:p>
        </w:tc>
        <w:tc>
          <w:tcPr>
            <w:tcW w:w="992"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eastAsia="宋体" w:cs="宋体"/>
                <w:kern w:val="0"/>
                <w:sz w:val="18"/>
                <w:szCs w:val="18"/>
              </w:rPr>
            </w:pPr>
          </w:p>
        </w:tc>
        <w:tc>
          <w:tcPr>
            <w:tcW w:w="136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营业收入(Y)</w:t>
            </w:r>
          </w:p>
        </w:tc>
        <w:tc>
          <w:tcPr>
            <w:tcW w:w="70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25"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Y≥10000</w:t>
            </w:r>
          </w:p>
        </w:tc>
        <w:tc>
          <w:tcPr>
            <w:tcW w:w="1701"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2000≤Y＜10000</w:t>
            </w:r>
          </w:p>
        </w:tc>
        <w:tc>
          <w:tcPr>
            <w:tcW w:w="1426"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100≤Y＜2000</w:t>
            </w:r>
          </w:p>
        </w:tc>
        <w:tc>
          <w:tcPr>
            <w:tcW w:w="992"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餐饮业</w:t>
            </w:r>
          </w:p>
        </w:tc>
        <w:tc>
          <w:tcPr>
            <w:tcW w:w="136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从业人员(X)</w:t>
            </w:r>
          </w:p>
        </w:tc>
        <w:tc>
          <w:tcPr>
            <w:tcW w:w="70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人</w:t>
            </w:r>
          </w:p>
        </w:tc>
        <w:tc>
          <w:tcPr>
            <w:tcW w:w="1125"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eastAsia="宋体" w:cs="宋体"/>
                <w:kern w:val="0"/>
                <w:sz w:val="18"/>
                <w:szCs w:val="18"/>
              </w:rPr>
            </w:pPr>
            <w:r>
              <w:rPr>
                <w:rFonts w:hint="eastAsia" w:ascii="宋体" w:hAnsi="宋体" w:eastAsia="宋体" w:cs="宋体"/>
                <w:kern w:val="0"/>
                <w:sz w:val="18"/>
                <w:szCs w:val="18"/>
              </w:rPr>
              <w:t xml:space="preserve">100≤X＜300 </w:t>
            </w:r>
          </w:p>
        </w:tc>
        <w:tc>
          <w:tcPr>
            <w:tcW w:w="1426"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10≤X＜100</w:t>
            </w:r>
          </w:p>
        </w:tc>
        <w:tc>
          <w:tcPr>
            <w:tcW w:w="992"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eastAsia="宋体" w:cs="宋体"/>
                <w:kern w:val="0"/>
                <w:sz w:val="18"/>
                <w:szCs w:val="18"/>
              </w:rPr>
            </w:pPr>
          </w:p>
        </w:tc>
        <w:tc>
          <w:tcPr>
            <w:tcW w:w="136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营业收入(Y)</w:t>
            </w:r>
          </w:p>
        </w:tc>
        <w:tc>
          <w:tcPr>
            <w:tcW w:w="70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25"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Y≥10000</w:t>
            </w:r>
          </w:p>
        </w:tc>
        <w:tc>
          <w:tcPr>
            <w:tcW w:w="1701"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2000≤Y＜10000</w:t>
            </w:r>
          </w:p>
        </w:tc>
        <w:tc>
          <w:tcPr>
            <w:tcW w:w="1426"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100≤Y＜2000</w:t>
            </w:r>
          </w:p>
        </w:tc>
        <w:tc>
          <w:tcPr>
            <w:tcW w:w="992"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信息传输业 *</w:t>
            </w:r>
          </w:p>
        </w:tc>
        <w:tc>
          <w:tcPr>
            <w:tcW w:w="136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从业人员(X)</w:t>
            </w:r>
          </w:p>
        </w:tc>
        <w:tc>
          <w:tcPr>
            <w:tcW w:w="70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人</w:t>
            </w:r>
          </w:p>
        </w:tc>
        <w:tc>
          <w:tcPr>
            <w:tcW w:w="1125"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X≥2000</w:t>
            </w:r>
          </w:p>
        </w:tc>
        <w:tc>
          <w:tcPr>
            <w:tcW w:w="1701"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100≤X＜2000</w:t>
            </w:r>
          </w:p>
        </w:tc>
        <w:tc>
          <w:tcPr>
            <w:tcW w:w="1426"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10≤X＜100</w:t>
            </w:r>
          </w:p>
        </w:tc>
        <w:tc>
          <w:tcPr>
            <w:tcW w:w="992"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eastAsia="宋体" w:cs="宋体"/>
                <w:kern w:val="0"/>
                <w:sz w:val="18"/>
                <w:szCs w:val="18"/>
              </w:rPr>
            </w:pPr>
          </w:p>
        </w:tc>
        <w:tc>
          <w:tcPr>
            <w:tcW w:w="136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营业收入(Y)</w:t>
            </w:r>
          </w:p>
        </w:tc>
        <w:tc>
          <w:tcPr>
            <w:tcW w:w="70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25"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Y≥100000</w:t>
            </w:r>
          </w:p>
        </w:tc>
        <w:tc>
          <w:tcPr>
            <w:tcW w:w="1701"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1000≤Y＜100000</w:t>
            </w:r>
          </w:p>
        </w:tc>
        <w:tc>
          <w:tcPr>
            <w:tcW w:w="1426"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100≤Y＜1000</w:t>
            </w:r>
          </w:p>
        </w:tc>
        <w:tc>
          <w:tcPr>
            <w:tcW w:w="992"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eastAsia="宋体" w:cs="宋体"/>
                <w:spacing w:val="-12"/>
                <w:kern w:val="0"/>
                <w:sz w:val="18"/>
                <w:szCs w:val="18"/>
              </w:rPr>
            </w:pPr>
            <w:r>
              <w:rPr>
                <w:rFonts w:hint="eastAsia" w:ascii="宋体" w:hAnsi="宋体" w:eastAsia="宋体" w:cs="宋体"/>
                <w:spacing w:val="-12"/>
                <w:kern w:val="0"/>
                <w:sz w:val="18"/>
                <w:szCs w:val="18"/>
              </w:rPr>
              <w:t>软件和信息技术服</w:t>
            </w:r>
            <w:r>
              <w:rPr>
                <w:rFonts w:hint="eastAsia" w:ascii="宋体" w:hAnsi="宋体" w:eastAsia="宋体" w:cs="宋体"/>
                <w:kern w:val="0"/>
                <w:sz w:val="18"/>
                <w:szCs w:val="18"/>
              </w:rPr>
              <w:t>务业</w:t>
            </w:r>
          </w:p>
        </w:tc>
        <w:tc>
          <w:tcPr>
            <w:tcW w:w="136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从业人员(X)</w:t>
            </w:r>
          </w:p>
        </w:tc>
        <w:tc>
          <w:tcPr>
            <w:tcW w:w="70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人</w:t>
            </w:r>
          </w:p>
        </w:tc>
        <w:tc>
          <w:tcPr>
            <w:tcW w:w="1125"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eastAsia="宋体" w:cs="宋体"/>
                <w:kern w:val="0"/>
                <w:sz w:val="18"/>
                <w:szCs w:val="18"/>
              </w:rPr>
            </w:pPr>
            <w:r>
              <w:rPr>
                <w:rFonts w:hint="eastAsia" w:ascii="宋体" w:hAnsi="宋体" w:eastAsia="宋体" w:cs="宋体"/>
                <w:kern w:val="0"/>
                <w:sz w:val="18"/>
                <w:szCs w:val="18"/>
              </w:rPr>
              <w:t xml:space="preserve">100≤X＜300 </w:t>
            </w:r>
          </w:p>
        </w:tc>
        <w:tc>
          <w:tcPr>
            <w:tcW w:w="1426"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10≤X＜100</w:t>
            </w:r>
          </w:p>
        </w:tc>
        <w:tc>
          <w:tcPr>
            <w:tcW w:w="992"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eastAsia="宋体" w:cs="宋体"/>
                <w:spacing w:val="-12"/>
                <w:kern w:val="0"/>
                <w:sz w:val="18"/>
                <w:szCs w:val="18"/>
              </w:rPr>
            </w:pPr>
          </w:p>
        </w:tc>
        <w:tc>
          <w:tcPr>
            <w:tcW w:w="136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营业收入(Y)</w:t>
            </w:r>
          </w:p>
        </w:tc>
        <w:tc>
          <w:tcPr>
            <w:tcW w:w="70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25"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Y≥10000</w:t>
            </w:r>
          </w:p>
        </w:tc>
        <w:tc>
          <w:tcPr>
            <w:tcW w:w="1701"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1000≤Y＜10000</w:t>
            </w:r>
          </w:p>
        </w:tc>
        <w:tc>
          <w:tcPr>
            <w:tcW w:w="1426"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50≤Y＜1000</w:t>
            </w:r>
          </w:p>
        </w:tc>
        <w:tc>
          <w:tcPr>
            <w:tcW w:w="992"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房地产开发经营</w:t>
            </w:r>
          </w:p>
        </w:tc>
        <w:tc>
          <w:tcPr>
            <w:tcW w:w="136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营业收入(Y)</w:t>
            </w:r>
          </w:p>
        </w:tc>
        <w:tc>
          <w:tcPr>
            <w:tcW w:w="70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25"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Y≥200000</w:t>
            </w:r>
          </w:p>
        </w:tc>
        <w:tc>
          <w:tcPr>
            <w:tcW w:w="1701"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1000≤Y＜200000</w:t>
            </w:r>
          </w:p>
        </w:tc>
        <w:tc>
          <w:tcPr>
            <w:tcW w:w="1426"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100≤Y＜1000</w:t>
            </w:r>
          </w:p>
        </w:tc>
        <w:tc>
          <w:tcPr>
            <w:tcW w:w="992"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eastAsia="宋体" w:cs="宋体"/>
                <w:kern w:val="0"/>
                <w:sz w:val="18"/>
                <w:szCs w:val="18"/>
              </w:rPr>
            </w:pPr>
          </w:p>
        </w:tc>
        <w:tc>
          <w:tcPr>
            <w:tcW w:w="136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资产总额(Z)</w:t>
            </w:r>
          </w:p>
        </w:tc>
        <w:tc>
          <w:tcPr>
            <w:tcW w:w="70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25"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Z≥10000</w:t>
            </w:r>
          </w:p>
        </w:tc>
        <w:tc>
          <w:tcPr>
            <w:tcW w:w="1701"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5000≤Z＜10000</w:t>
            </w:r>
          </w:p>
        </w:tc>
        <w:tc>
          <w:tcPr>
            <w:tcW w:w="1426"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2000≤Z＜5000</w:t>
            </w:r>
          </w:p>
        </w:tc>
        <w:tc>
          <w:tcPr>
            <w:tcW w:w="992"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36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从业人员(X)</w:t>
            </w:r>
          </w:p>
        </w:tc>
        <w:tc>
          <w:tcPr>
            <w:tcW w:w="70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人</w:t>
            </w:r>
          </w:p>
        </w:tc>
        <w:tc>
          <w:tcPr>
            <w:tcW w:w="1125"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X≥1000</w:t>
            </w:r>
          </w:p>
        </w:tc>
        <w:tc>
          <w:tcPr>
            <w:tcW w:w="1701"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300≤X＜1000</w:t>
            </w:r>
          </w:p>
        </w:tc>
        <w:tc>
          <w:tcPr>
            <w:tcW w:w="1426"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100≤X＜300</w:t>
            </w:r>
          </w:p>
        </w:tc>
        <w:tc>
          <w:tcPr>
            <w:tcW w:w="992"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eastAsia="宋体" w:cs="宋体"/>
                <w:kern w:val="0"/>
                <w:sz w:val="18"/>
                <w:szCs w:val="18"/>
              </w:rPr>
            </w:pPr>
          </w:p>
        </w:tc>
        <w:tc>
          <w:tcPr>
            <w:tcW w:w="136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营业收入(Y)</w:t>
            </w:r>
          </w:p>
        </w:tc>
        <w:tc>
          <w:tcPr>
            <w:tcW w:w="70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25"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Y≥5000</w:t>
            </w:r>
          </w:p>
        </w:tc>
        <w:tc>
          <w:tcPr>
            <w:tcW w:w="1701" w:type="dxa"/>
            <w:noWrap w:val="0"/>
            <w:vAlign w:val="center"/>
          </w:tcPr>
          <w:p>
            <w:pPr>
              <w:widowControl/>
              <w:spacing w:line="280" w:lineRule="exact"/>
              <w:ind w:left="1" w:leftChars="-51" w:hanging="108" w:hangingChars="60"/>
              <w:jc w:val="center"/>
              <w:rPr>
                <w:rFonts w:ascii="宋体" w:hAnsi="宋体" w:eastAsia="宋体" w:cs="宋体"/>
                <w:kern w:val="0"/>
                <w:sz w:val="18"/>
                <w:szCs w:val="18"/>
              </w:rPr>
            </w:pPr>
            <w:r>
              <w:rPr>
                <w:rFonts w:hint="eastAsia" w:ascii="宋体" w:hAnsi="宋体" w:eastAsia="宋体" w:cs="宋体"/>
                <w:kern w:val="0"/>
                <w:sz w:val="18"/>
                <w:szCs w:val="18"/>
              </w:rPr>
              <w:t>1000≤Y＜5000</w:t>
            </w:r>
          </w:p>
        </w:tc>
        <w:tc>
          <w:tcPr>
            <w:tcW w:w="1426"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500≤Y＜1000</w:t>
            </w:r>
          </w:p>
        </w:tc>
        <w:tc>
          <w:tcPr>
            <w:tcW w:w="992"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租赁和商务服务业</w:t>
            </w:r>
          </w:p>
        </w:tc>
        <w:tc>
          <w:tcPr>
            <w:tcW w:w="136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从业人员(X)</w:t>
            </w:r>
          </w:p>
        </w:tc>
        <w:tc>
          <w:tcPr>
            <w:tcW w:w="70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人</w:t>
            </w:r>
          </w:p>
        </w:tc>
        <w:tc>
          <w:tcPr>
            <w:tcW w:w="1125"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eastAsia="宋体" w:cs="宋体"/>
                <w:kern w:val="0"/>
                <w:sz w:val="18"/>
                <w:szCs w:val="18"/>
              </w:rPr>
            </w:pPr>
            <w:r>
              <w:rPr>
                <w:rFonts w:hint="eastAsia" w:ascii="宋体" w:hAnsi="宋体" w:eastAsia="宋体" w:cs="宋体"/>
                <w:kern w:val="0"/>
                <w:sz w:val="18"/>
                <w:szCs w:val="18"/>
              </w:rPr>
              <w:t>100≤X＜300</w:t>
            </w:r>
          </w:p>
        </w:tc>
        <w:tc>
          <w:tcPr>
            <w:tcW w:w="1426"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10≤X＜100</w:t>
            </w:r>
          </w:p>
        </w:tc>
        <w:tc>
          <w:tcPr>
            <w:tcW w:w="992"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eastAsia="宋体" w:cs="宋体"/>
                <w:kern w:val="0"/>
                <w:sz w:val="18"/>
                <w:szCs w:val="18"/>
              </w:rPr>
            </w:pPr>
          </w:p>
        </w:tc>
        <w:tc>
          <w:tcPr>
            <w:tcW w:w="136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资产总额(Z)</w:t>
            </w:r>
          </w:p>
        </w:tc>
        <w:tc>
          <w:tcPr>
            <w:tcW w:w="70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25"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Z≥120000</w:t>
            </w:r>
          </w:p>
        </w:tc>
        <w:tc>
          <w:tcPr>
            <w:tcW w:w="1701"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8000≤Z＜120000</w:t>
            </w:r>
          </w:p>
        </w:tc>
        <w:tc>
          <w:tcPr>
            <w:tcW w:w="1426"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100≤Z＜8000</w:t>
            </w:r>
          </w:p>
        </w:tc>
        <w:tc>
          <w:tcPr>
            <w:tcW w:w="992"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其他未列明行业 *</w:t>
            </w:r>
          </w:p>
        </w:tc>
        <w:tc>
          <w:tcPr>
            <w:tcW w:w="136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从业人员(X)</w:t>
            </w:r>
          </w:p>
        </w:tc>
        <w:tc>
          <w:tcPr>
            <w:tcW w:w="709"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人</w:t>
            </w:r>
          </w:p>
        </w:tc>
        <w:tc>
          <w:tcPr>
            <w:tcW w:w="1125"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eastAsia="宋体" w:cs="宋体"/>
                <w:kern w:val="0"/>
                <w:sz w:val="18"/>
                <w:szCs w:val="18"/>
              </w:rPr>
            </w:pPr>
            <w:r>
              <w:rPr>
                <w:rFonts w:hint="eastAsia" w:ascii="宋体" w:hAnsi="宋体" w:eastAsia="宋体" w:cs="宋体"/>
                <w:kern w:val="0"/>
                <w:sz w:val="18"/>
                <w:szCs w:val="18"/>
              </w:rPr>
              <w:t>100≤X＜300</w:t>
            </w:r>
          </w:p>
        </w:tc>
        <w:tc>
          <w:tcPr>
            <w:tcW w:w="1426"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10≤X＜100</w:t>
            </w:r>
          </w:p>
        </w:tc>
        <w:tc>
          <w:tcPr>
            <w:tcW w:w="992" w:type="dxa"/>
            <w:noWrap w:val="0"/>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X＜10</w:t>
            </w:r>
          </w:p>
        </w:tc>
      </w:tr>
    </w:tbl>
    <w:p>
      <w:pPr>
        <w:widowControl/>
        <w:spacing w:line="280" w:lineRule="exact"/>
        <w:rPr>
          <w:rFonts w:ascii="宋体" w:hAnsi="宋体" w:eastAsia="宋体" w:cs="宋体"/>
          <w:spacing w:val="8"/>
          <w:kern w:val="0"/>
          <w:sz w:val="24"/>
        </w:rPr>
      </w:pPr>
    </w:p>
    <w:p>
      <w:pPr>
        <w:widowControl/>
        <w:spacing w:line="480" w:lineRule="auto"/>
        <w:rPr>
          <w:rFonts w:hint="eastAsia" w:ascii="宋体" w:hAnsi="宋体" w:eastAsia="宋体" w:cs="宋体"/>
          <w:spacing w:val="8"/>
          <w:kern w:val="0"/>
          <w:szCs w:val="21"/>
        </w:rPr>
      </w:pPr>
    </w:p>
    <w:p>
      <w:pPr>
        <w:widowControl/>
        <w:spacing w:line="480" w:lineRule="auto"/>
        <w:rPr>
          <w:rFonts w:hint="eastAsia" w:ascii="宋体" w:hAnsi="宋体" w:eastAsia="宋体" w:cs="宋体"/>
          <w:spacing w:val="8"/>
          <w:kern w:val="0"/>
          <w:szCs w:val="21"/>
        </w:rPr>
      </w:pPr>
    </w:p>
    <w:p>
      <w:pPr>
        <w:widowControl/>
        <w:spacing w:line="480" w:lineRule="auto"/>
        <w:rPr>
          <w:rFonts w:ascii="宋体" w:hAnsi="宋体" w:eastAsia="宋体" w:cs="宋体"/>
          <w:spacing w:val="8"/>
          <w:kern w:val="0"/>
          <w:szCs w:val="21"/>
        </w:rPr>
      </w:pPr>
      <w:r>
        <w:rPr>
          <w:rFonts w:hint="eastAsia" w:ascii="宋体" w:hAnsi="宋体" w:eastAsia="宋体" w:cs="宋体"/>
          <w:spacing w:val="8"/>
          <w:kern w:val="0"/>
          <w:szCs w:val="21"/>
        </w:rPr>
        <w:t>说明：</w:t>
      </w:r>
    </w:p>
    <w:p>
      <w:pPr>
        <w:widowControl w:val="0"/>
        <w:adjustRightInd w:val="0"/>
        <w:spacing w:line="480" w:lineRule="auto"/>
        <w:ind w:firstLine="432" w:firstLineChars="200"/>
        <w:contextualSpacing/>
        <w:jc w:val="both"/>
        <w:rPr>
          <w:rFonts w:ascii="宋体" w:hAnsi="宋体" w:eastAsia="宋体" w:cs="宋体"/>
          <w:spacing w:val="8"/>
          <w:kern w:val="0"/>
          <w:sz w:val="20"/>
          <w:szCs w:val="21"/>
          <w:lang w:val="en-US" w:eastAsia="zh-CN" w:bidi="ar-SA"/>
        </w:rPr>
      </w:pPr>
      <w:r>
        <w:rPr>
          <w:rFonts w:hint="eastAsia" w:ascii="宋体" w:hAnsi="宋体" w:eastAsia="宋体" w:cs="宋体"/>
          <w:spacing w:val="8"/>
          <w:kern w:val="0"/>
          <w:sz w:val="20"/>
          <w:szCs w:val="21"/>
          <w:lang w:val="en-US" w:eastAsia="zh-CN" w:bidi="ar-SA"/>
        </w:rPr>
        <w:t>1.大型、中型和小型企业须同时满足所列指标的下限，否则下划一档；微型企业只须满足所列指标中的一项即可。</w:t>
      </w:r>
    </w:p>
    <w:p>
      <w:pPr>
        <w:widowControl w:val="0"/>
        <w:adjustRightInd w:val="0"/>
        <w:spacing w:line="480" w:lineRule="auto"/>
        <w:ind w:firstLine="432" w:firstLineChars="200"/>
        <w:contextualSpacing/>
        <w:jc w:val="both"/>
        <w:rPr>
          <w:rFonts w:ascii="宋体" w:hAnsi="宋体" w:eastAsia="宋体" w:cs="宋体"/>
          <w:spacing w:val="8"/>
          <w:kern w:val="0"/>
          <w:sz w:val="20"/>
          <w:szCs w:val="21"/>
          <w:lang w:val="en-US" w:eastAsia="zh-CN" w:bidi="ar-SA"/>
        </w:rPr>
      </w:pPr>
      <w:r>
        <w:rPr>
          <w:rFonts w:hint="eastAsia" w:ascii="宋体" w:hAnsi="宋体" w:eastAsia="宋体" w:cs="宋体"/>
          <w:spacing w:val="8"/>
          <w:kern w:val="0"/>
          <w:sz w:val="20"/>
          <w:szCs w:val="21"/>
          <w:lang w:val="en-US" w:eastAsia="zh-CN" w:bidi="ar-SA"/>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val="0"/>
        <w:spacing w:line="480" w:lineRule="auto"/>
        <w:ind w:firstLine="432" w:firstLineChars="200"/>
        <w:jc w:val="both"/>
        <w:rPr>
          <w:rFonts w:ascii="宋体" w:hAnsi="宋体" w:eastAsia="宋体" w:cs="宋体"/>
          <w:spacing w:val="8"/>
          <w:kern w:val="0"/>
          <w:sz w:val="24"/>
          <w:szCs w:val="24"/>
          <w:lang w:val="en-US" w:eastAsia="zh-CN" w:bidi="ar-SA"/>
        </w:rPr>
      </w:pPr>
      <w:r>
        <w:rPr>
          <w:rFonts w:hint="eastAsia" w:ascii="宋体" w:hAnsi="宋体" w:eastAsia="宋体" w:cs="宋体"/>
          <w:spacing w:val="8"/>
          <w:kern w:val="0"/>
          <w:sz w:val="20"/>
          <w:szCs w:val="21"/>
          <w:lang w:val="en-US" w:eastAsia="zh-CN" w:bidi="ar-SA"/>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rPr>
          <w:rFonts w:hint="eastAsia" w:ascii="Cambria" w:hAnsi="Cambria"/>
          <w:bCs w:val="0"/>
          <w:color w:val="auto"/>
          <w:sz w:val="32"/>
          <w:szCs w:val="32"/>
          <w:highlight w:val="none"/>
        </w:rPr>
      </w:pPr>
      <w:r>
        <w:rPr>
          <w:rFonts w:hint="eastAsia" w:ascii="Cambria" w:hAnsi="Cambria"/>
          <w:bCs w:val="0"/>
          <w:color w:val="auto"/>
          <w:sz w:val="32"/>
          <w:szCs w:val="32"/>
          <w:highlight w:val="none"/>
        </w:rPr>
        <w:br w:type="page"/>
      </w:r>
    </w:p>
    <w:p>
      <w:pPr>
        <w:pStyle w:val="3"/>
        <w:spacing w:line="480" w:lineRule="auto"/>
        <w:jc w:val="center"/>
        <w:rPr>
          <w:rFonts w:hint="eastAsia" w:ascii="Calibri" w:hAnsi="Calibri"/>
          <w:color w:val="auto"/>
          <w:highlight w:val="none"/>
        </w:rPr>
      </w:pPr>
      <w:r>
        <w:rPr>
          <w:rFonts w:hint="eastAsia" w:ascii="Cambria" w:hAnsi="Cambria"/>
          <w:bCs w:val="0"/>
          <w:color w:val="auto"/>
          <w:sz w:val="32"/>
          <w:szCs w:val="32"/>
          <w:highlight w:val="none"/>
        </w:rPr>
        <w:t>第三章 供应商须知</w:t>
      </w:r>
      <w:bookmarkEnd w:id="58"/>
      <w:bookmarkEnd w:id="59"/>
      <w:bookmarkEnd w:id="61"/>
      <w:bookmarkEnd w:id="62"/>
      <w:bookmarkEnd w:id="63"/>
      <w:bookmarkEnd w:id="64"/>
      <w:bookmarkEnd w:id="65"/>
      <w:bookmarkEnd w:id="66"/>
    </w:p>
    <w:p>
      <w:pPr>
        <w:pStyle w:val="4"/>
        <w:jc w:val="center"/>
        <w:rPr>
          <w:rFonts w:hint="eastAsia" w:ascii="宋体" w:hAnsi="宋体"/>
          <w:b w:val="0"/>
          <w:color w:val="auto"/>
          <w:highlight w:val="none"/>
        </w:rPr>
      </w:pPr>
      <w:bookmarkStart w:id="67" w:name="_Toc9482"/>
      <w:bookmarkStart w:id="68" w:name="_Toc80886928"/>
      <w:bookmarkStart w:id="69" w:name="_Toc30660"/>
      <w:r>
        <w:rPr>
          <w:rFonts w:hint="eastAsia" w:ascii="宋体" w:hAnsi="宋体"/>
          <w:b w:val="0"/>
          <w:color w:val="auto"/>
          <w:highlight w:val="none"/>
        </w:rPr>
        <w:t>第一节 供应商须知前附表</w:t>
      </w:r>
      <w:bookmarkEnd w:id="67"/>
      <w:bookmarkEnd w:id="68"/>
      <w:bookmarkEnd w:id="69"/>
    </w:p>
    <w:tbl>
      <w:tblPr>
        <w:tblStyle w:val="31"/>
        <w:tblW w:w="97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
        <w:gridCol w:w="2390"/>
        <w:gridCol w:w="6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63" w:type="dxa"/>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2390" w:type="dxa"/>
            <w:vAlign w:val="center"/>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条款内容</w:t>
            </w:r>
          </w:p>
        </w:tc>
        <w:tc>
          <w:tcPr>
            <w:tcW w:w="6416" w:type="dxa"/>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3.1</w:t>
            </w:r>
          </w:p>
        </w:tc>
        <w:tc>
          <w:tcPr>
            <w:tcW w:w="2390"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供应商资格条件</w:t>
            </w:r>
          </w:p>
        </w:tc>
        <w:tc>
          <w:tcPr>
            <w:tcW w:w="6416"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2390"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是否接受联合体竞标</w:t>
            </w:r>
          </w:p>
        </w:tc>
        <w:tc>
          <w:tcPr>
            <w:tcW w:w="6416" w:type="dxa"/>
            <w:vAlign w:val="center"/>
          </w:tcPr>
          <w:p>
            <w:pPr>
              <w:spacing w:line="360" w:lineRule="auto"/>
              <w:rPr>
                <w:rFonts w:hint="eastAsia" w:ascii="宋体" w:hAnsi="宋体" w:eastAsia="宋体" w:cs="宋体"/>
                <w:color w:val="auto"/>
                <w:szCs w:val="21"/>
                <w:highlight w:val="none"/>
                <w:lang w:eastAsia="zh-CN"/>
              </w:rPr>
            </w:pPr>
            <w:bookmarkStart w:id="70" w:name="PO_3000001868_PM007"/>
            <w:r>
              <w:rPr>
                <w:rFonts w:hint="eastAsia" w:ascii="宋体" w:hAnsi="宋体" w:cs="宋体"/>
                <w:color w:val="auto"/>
                <w:szCs w:val="21"/>
                <w:highlight w:val="none"/>
              </w:rPr>
              <w:t>详见竞争性磋商公告</w:t>
            </w:r>
            <w:bookmarkEnd w:id="70"/>
            <w:r>
              <w:rPr>
                <w:rFonts w:hint="eastAsia" w:ascii="宋体" w:hAnsi="宋体" w:cs="宋体"/>
                <w:color w:val="auto"/>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5.2</w:t>
            </w:r>
          </w:p>
        </w:tc>
        <w:tc>
          <w:tcPr>
            <w:tcW w:w="2390"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联合体竞标要求</w:t>
            </w:r>
          </w:p>
        </w:tc>
        <w:tc>
          <w:tcPr>
            <w:tcW w:w="6416" w:type="dxa"/>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6.1</w:t>
            </w:r>
          </w:p>
        </w:tc>
        <w:tc>
          <w:tcPr>
            <w:tcW w:w="2390"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是否允许分包</w:t>
            </w:r>
          </w:p>
        </w:tc>
        <w:tc>
          <w:tcPr>
            <w:tcW w:w="6416" w:type="dxa"/>
            <w:vAlign w:val="center"/>
          </w:tcPr>
          <w:p>
            <w:pPr>
              <w:pStyle w:val="14"/>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不允许分包</w:t>
            </w:r>
            <w:r>
              <w:rPr>
                <w:rFonts w:hint="eastAsia" w:ascii="宋体" w:hAnsi="宋体" w:cs="宋体"/>
                <w:color w:val="auto"/>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12.1.1</w:t>
            </w:r>
          </w:p>
        </w:tc>
        <w:tc>
          <w:tcPr>
            <w:tcW w:w="2390" w:type="dxa"/>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b/>
                <w:color w:val="auto"/>
                <w:szCs w:val="21"/>
                <w:highlight w:val="none"/>
              </w:rPr>
              <w:t>资格证明文件组成</w:t>
            </w:r>
          </w:p>
        </w:tc>
        <w:tc>
          <w:tcPr>
            <w:tcW w:w="6416" w:type="dxa"/>
            <w:vAlign w:val="center"/>
          </w:tcPr>
          <w:p>
            <w:pPr>
              <w:pStyle w:val="14"/>
              <w:spacing w:line="360" w:lineRule="auto"/>
              <w:rPr>
                <w:rFonts w:hint="eastAsia"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1.供应商为法人或者其他组织的提供其营业执照等证明文件复印件（如营业执照或者事业单位法人证书或者执业许可证等），供应商为自然人的提供其有效身份证正反面复印件；（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2.供应商依法缴纳税收的相关材料（提供税款所属时期为2</w:t>
            </w:r>
            <w:r>
              <w:rPr>
                <w:rFonts w:hint="eastAsia" w:ascii="宋体" w:hAnsi="宋体" w:cs="宋体"/>
                <w:color w:val="auto"/>
                <w:szCs w:val="21"/>
                <w:highlight w:val="none"/>
                <w:lang w:eastAsia="zh-CN"/>
              </w:rPr>
              <w:t>024年9月</w:t>
            </w:r>
            <w:r>
              <w:rPr>
                <w:rFonts w:hint="eastAsia" w:ascii="宋体" w:hAnsi="宋体" w:cs="宋体"/>
                <w:color w:val="auto"/>
                <w:szCs w:val="21"/>
                <w:highlight w:val="none"/>
              </w:rPr>
              <w:t>至首次响应文件提交截止时间止的任意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3.供应商依法缴纳社会保障资金的相关材料（提供税款所属时期或缴费起始时间为2</w:t>
            </w:r>
            <w:r>
              <w:rPr>
                <w:rFonts w:hint="eastAsia" w:ascii="宋体" w:hAnsi="宋体" w:cs="宋体"/>
                <w:color w:val="auto"/>
                <w:szCs w:val="21"/>
                <w:highlight w:val="none"/>
                <w:lang w:eastAsia="zh-CN"/>
              </w:rPr>
              <w:t>024年9月</w:t>
            </w:r>
            <w:r>
              <w:rPr>
                <w:rFonts w:hint="eastAsia" w:ascii="宋体" w:hAnsi="宋体" w:cs="宋体"/>
                <w:color w:val="auto"/>
                <w:szCs w:val="21"/>
                <w:highlight w:val="none"/>
              </w:rPr>
              <w:t>至首次响应文件提交截止时间止的任意3个月的依法缴纳社会</w:t>
            </w:r>
            <w:r>
              <w:rPr>
                <w:rFonts w:hint="eastAsia" w:ascii="宋体" w:hAnsi="宋体" w:cs="宋体"/>
                <w:color w:val="auto"/>
                <w:szCs w:val="21"/>
                <w:highlight w:val="none"/>
                <w:lang w:val="en-US" w:eastAsia="zh-CN"/>
              </w:rPr>
              <w:t>保险</w:t>
            </w:r>
            <w:r>
              <w:rPr>
                <w:rFonts w:hint="eastAsia" w:ascii="宋体" w:hAnsi="宋体" w:cs="宋体"/>
                <w:color w:val="auto"/>
                <w:szCs w:val="21"/>
                <w:highlight w:val="none"/>
              </w:rPr>
              <w:t>的缴费凭证复印件；依法不需要缴纳社会</w:t>
            </w:r>
            <w:r>
              <w:rPr>
                <w:rFonts w:hint="eastAsia" w:ascii="宋体" w:hAnsi="宋体" w:cs="宋体"/>
                <w:color w:val="auto"/>
                <w:szCs w:val="21"/>
                <w:highlight w:val="none"/>
                <w:lang w:val="en-US" w:eastAsia="zh-CN"/>
              </w:rPr>
              <w:t>保险</w:t>
            </w:r>
            <w:r>
              <w:rPr>
                <w:rFonts w:hint="eastAsia" w:ascii="宋体" w:hAnsi="宋体" w:cs="宋体"/>
                <w:color w:val="auto"/>
                <w:szCs w:val="21"/>
                <w:highlight w:val="none"/>
              </w:rPr>
              <w:t>的供应商，必须提供相应文件证明不需要缴纳社会</w:t>
            </w:r>
            <w:r>
              <w:rPr>
                <w:rFonts w:hint="eastAsia" w:ascii="宋体" w:hAnsi="宋体" w:cs="宋体"/>
                <w:color w:val="auto"/>
                <w:szCs w:val="21"/>
                <w:highlight w:val="none"/>
                <w:lang w:val="en-US" w:eastAsia="zh-CN"/>
              </w:rPr>
              <w:t>保险</w:t>
            </w:r>
            <w:r>
              <w:rPr>
                <w:rFonts w:hint="eastAsia" w:ascii="宋体" w:hAnsi="宋体" w:cs="宋体"/>
                <w:color w:val="auto"/>
                <w:szCs w:val="21"/>
                <w:highlight w:val="none"/>
              </w:rPr>
              <w:t>。从取得营业执照时间起到首次响应文件提交截止时间为止不足要求月数的只需提供从取得营业执照起的依法缴纳社会</w:t>
            </w:r>
            <w:r>
              <w:rPr>
                <w:rFonts w:hint="eastAsia" w:ascii="宋体" w:hAnsi="宋体" w:cs="宋体"/>
                <w:color w:val="auto"/>
                <w:szCs w:val="21"/>
                <w:highlight w:val="none"/>
                <w:lang w:val="en-US" w:eastAsia="zh-CN"/>
              </w:rPr>
              <w:t>保险</w:t>
            </w:r>
            <w:r>
              <w:rPr>
                <w:rFonts w:hint="eastAsia" w:ascii="宋体" w:hAnsi="宋体" w:cs="宋体"/>
                <w:color w:val="auto"/>
                <w:szCs w:val="21"/>
                <w:highlight w:val="none"/>
              </w:rPr>
              <w:t>的相应证明文件）；（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4.供应商财务状况报告（提供2023年度</w:t>
            </w:r>
            <w:r>
              <w:rPr>
                <w:rFonts w:hint="eastAsia" w:ascii="宋体" w:hAnsi="宋体" w:cs="宋体"/>
                <w:color w:val="auto"/>
                <w:szCs w:val="21"/>
                <w:highlight w:val="none"/>
                <w:lang w:val="en-US" w:eastAsia="zh-CN"/>
              </w:rPr>
              <w:t>或2024年度</w:t>
            </w:r>
            <w:r>
              <w:rPr>
                <w:rFonts w:hint="eastAsia" w:ascii="宋体" w:hAnsi="宋体" w:cs="宋体"/>
                <w:color w:val="auto"/>
                <w:szCs w:val="21"/>
                <w:highlight w:val="none"/>
              </w:rPr>
              <w:t>财务报告复印件或者截标时间前半年内至少一个月能反映财务状况的报表或者供应商自拟的截标时间前半年内至少一个月的财务情况说明）；</w:t>
            </w:r>
            <w:r>
              <w:rPr>
                <w:rFonts w:hint="eastAsia" w:ascii="宋体" w:hAnsi="宋体" w:cs="宋体"/>
                <w:bCs/>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bCs/>
                <w:color w:val="auto"/>
                <w:szCs w:val="21"/>
                <w:highlight w:val="none"/>
              </w:rPr>
              <w:t>）</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.声明函（格式后附）；（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.供应商直接控股股东信息表（</w:t>
            </w:r>
            <w:r>
              <w:rPr>
                <w:rFonts w:hint="eastAsia" w:ascii="宋体" w:hAnsi="宋体" w:eastAsia="宋体" w:cs="宋体"/>
                <w:color w:val="auto"/>
                <w:szCs w:val="21"/>
                <w:highlight w:val="none"/>
              </w:rPr>
              <w:t>格式后附）</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.供应商直接管理关系信息表（格式后附）</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8.中小企业声明函或者残疾人福利性单位声明函（格式后附）或者供应商属于监狱企业的，提供由省级以上监狱管理局、戒毒管理局（含新疆生产建设兵团）出具的属于监狱企业的证明文件；（</w:t>
            </w:r>
            <w:r>
              <w:rPr>
                <w:rFonts w:hint="eastAsia" w:ascii="宋体" w:hAnsi="宋体" w:cs="宋体"/>
                <w:b/>
                <w:bCs/>
                <w:color w:val="auto"/>
                <w:szCs w:val="21"/>
                <w:highlight w:val="none"/>
                <w:lang w:val="en-US" w:eastAsia="zh-CN"/>
              </w:rPr>
              <w:t>必须提供，否则响应文件按无效响应处理</w:t>
            </w:r>
            <w:r>
              <w:rPr>
                <w:rFonts w:hint="eastAsia" w:ascii="宋体" w:hAnsi="宋体" w:cs="宋体"/>
                <w:color w:val="auto"/>
                <w:szCs w:val="21"/>
                <w:highlight w:val="none"/>
                <w:lang w:val="en-US" w:eastAsia="zh-CN"/>
              </w:rPr>
              <w:t>）</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.联合体竞标协议书（格式后附）；（</w:t>
            </w:r>
            <w:r>
              <w:rPr>
                <w:rFonts w:hint="eastAsia" w:ascii="宋体" w:hAnsi="宋体" w:cs="宋体"/>
                <w:b/>
                <w:color w:val="auto"/>
                <w:szCs w:val="21"/>
                <w:highlight w:val="none"/>
              </w:rPr>
              <w:t>联合体竞标时必须提供，否则响应文件按无效响应处理</w:t>
            </w:r>
            <w:r>
              <w:rPr>
                <w:rFonts w:hint="eastAsia" w:ascii="宋体" w:hAnsi="宋体" w:cs="宋体"/>
                <w:color w:val="auto"/>
                <w:szCs w:val="21"/>
                <w:highlight w:val="none"/>
              </w:rPr>
              <w:t>）</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.除竞争性磋商文件规定必须提供以外，供应商认为需要提供的其他证明材料（格式自拟）。（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pPr>
              <w:pStyle w:val="14"/>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注：</w:t>
            </w:r>
          </w:p>
          <w:p>
            <w:pPr>
              <w:pStyle w:val="14"/>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　　1.以上标明“必须提供”的材料属于复印件的扫描件的，必须加盖供应商公章，否则响应文件按无效响应处理。</w:t>
            </w:r>
          </w:p>
          <w:p>
            <w:pPr>
              <w:pStyle w:val="14"/>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2.联合体竞标时，第1-</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项资格证明文件联合体各方均必须分别提供，联合体各方分别盖章，否则响应文件按无效响应处理。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12.1.2</w:t>
            </w:r>
          </w:p>
        </w:tc>
        <w:tc>
          <w:tcPr>
            <w:tcW w:w="2390" w:type="dxa"/>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商务文件组成</w:t>
            </w:r>
          </w:p>
        </w:tc>
        <w:tc>
          <w:tcPr>
            <w:tcW w:w="6416" w:type="dxa"/>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4.磋商</w:t>
            </w:r>
            <w:r>
              <w:rPr>
                <w:rFonts w:hint="eastAsia" w:ascii="宋体" w:hAnsi="宋体" w:eastAsia="宋体" w:cs="宋体"/>
                <w:color w:val="auto"/>
                <w:szCs w:val="21"/>
                <w:highlight w:val="none"/>
              </w:rPr>
              <w:t>保证金提交凭证；（</w:t>
            </w:r>
            <w:r>
              <w:rPr>
                <w:rFonts w:hint="eastAsia" w:ascii="宋体" w:hAnsi="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.商务条款偏离表（格式后附）；（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.供应商情况介绍（格式自拟）；（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.对应采购需求的商务条款提供的其他文件资料（格式自拟）；（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.供应商认为需要提供的其他有关资料（格式自拟）。（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注： </w:t>
            </w:r>
          </w:p>
          <w:p>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1.法定代表人授权委托书必须由法定代表人及其委托代理人签字，并加盖供应商公章，否则响应文件按无效响应处理。</w:t>
            </w:r>
          </w:p>
          <w:p>
            <w:pPr>
              <w:spacing w:line="360" w:lineRule="auto"/>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2.以上标明“必须提供”的材料属于复印件的扫描件的，必须加盖供应商公章，否则响应文件按无效响应处理。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jc w:val="center"/>
        </w:trPr>
        <w:tc>
          <w:tcPr>
            <w:tcW w:w="963" w:type="dxa"/>
            <w:vMerge w:val="continue"/>
            <w:vAlign w:val="center"/>
          </w:tcPr>
          <w:p>
            <w:pPr>
              <w:spacing w:line="360" w:lineRule="auto"/>
              <w:jc w:val="center"/>
              <w:rPr>
                <w:rFonts w:hint="eastAsia" w:ascii="宋体" w:hAnsi="宋体" w:cs="宋体"/>
                <w:color w:val="auto"/>
                <w:szCs w:val="21"/>
                <w:highlight w:val="none"/>
              </w:rPr>
            </w:pPr>
          </w:p>
        </w:tc>
        <w:tc>
          <w:tcPr>
            <w:tcW w:w="2390" w:type="dxa"/>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技术文件组成</w:t>
            </w:r>
          </w:p>
        </w:tc>
        <w:tc>
          <w:tcPr>
            <w:tcW w:w="6416" w:type="dxa"/>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1.服务需求偏离表（格式后附）；（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项目方案</w:t>
            </w:r>
            <w:r>
              <w:rPr>
                <w:rFonts w:hint="eastAsia" w:ascii="宋体" w:hAnsi="宋体" w:cs="宋体"/>
                <w:color w:val="auto"/>
                <w:szCs w:val="21"/>
                <w:highlight w:val="none"/>
              </w:rPr>
              <w:t>（格式自拟）；（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highlight w:val="none"/>
              </w:rPr>
              <w:t>3.</w:t>
            </w:r>
            <w:r>
              <w:rPr>
                <w:rFonts w:hint="eastAsia" w:ascii="宋体" w:hAnsi="宋体" w:cs="宋体"/>
                <w:color w:val="auto"/>
                <w:szCs w:val="21"/>
                <w:highlight w:val="none"/>
              </w:rPr>
              <w:t>对应采购需求的服务需求提供的其他文件资料（格式自拟）；（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.供应商认为需要提供的其他有关资料（格式自拟）。（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注：以上标明“必须提供”的材料属于复印件的扫描件的，必须加盖供应商公章，否则响应文件按无效响应处理。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12.1.</w:t>
            </w:r>
            <w:r>
              <w:rPr>
                <w:rFonts w:hint="eastAsia" w:ascii="宋体" w:hAnsi="宋体" w:cs="宋体"/>
                <w:color w:val="auto"/>
                <w:szCs w:val="21"/>
                <w:highlight w:val="none"/>
                <w:lang w:val="en-US" w:eastAsia="zh-CN"/>
              </w:rPr>
              <w:t>3</w:t>
            </w:r>
          </w:p>
        </w:tc>
        <w:tc>
          <w:tcPr>
            <w:tcW w:w="2390" w:type="dxa"/>
            <w:vAlign w:val="center"/>
          </w:tcPr>
          <w:p>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报价文件组成</w:t>
            </w:r>
          </w:p>
        </w:tc>
        <w:tc>
          <w:tcPr>
            <w:tcW w:w="6416" w:type="dxa"/>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1.响应函（格式后附）；</w:t>
            </w:r>
            <w:r>
              <w:rPr>
                <w:rFonts w:hint="eastAsia" w:ascii="宋体" w:hAnsi="宋体" w:cs="宋体"/>
                <w:b/>
                <w:color w:val="auto"/>
                <w:szCs w:val="21"/>
                <w:highlight w:val="none"/>
              </w:rPr>
              <w:t>（必须提供，否则响应文件按无效响应处理）</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2.响应报价表（格式后附）；（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3.供应商针对报价需要说明的其他文件和说明（格式自拟）。（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12.2</w:t>
            </w:r>
          </w:p>
        </w:tc>
        <w:tc>
          <w:tcPr>
            <w:tcW w:w="2390" w:type="dxa"/>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响应文件电子版要求</w:t>
            </w:r>
          </w:p>
        </w:tc>
        <w:tc>
          <w:tcPr>
            <w:tcW w:w="6416" w:type="dxa"/>
            <w:vAlign w:val="center"/>
          </w:tcPr>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1.响应文件电子版要求：按照本竞争性磋商文件“第五章 响应文件格式”编写，第五章未附格式的，由供应商自行拟定。</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2.响应文件电子版密封方式：电子响应文件通过平台有效CA加密后在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投送。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2390" w:type="dxa"/>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响应报价要求</w:t>
            </w:r>
          </w:p>
        </w:tc>
        <w:tc>
          <w:tcPr>
            <w:tcW w:w="6416" w:type="dxa"/>
            <w:vAlign w:val="center"/>
          </w:tcPr>
          <w:p>
            <w:p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响应报价必须包含满足本次竞标全部采购需求所应提供的服务，以及伴随的货物和工程（如有）的价格。（采购需求另有约定的，从其约定。）</w:t>
            </w:r>
          </w:p>
          <w:p>
            <w:pPr>
              <w:pStyle w:val="16"/>
              <w:spacing w:line="360" w:lineRule="auto"/>
              <w:rPr>
                <w:rFonts w:hint="eastAsia" w:ascii="宋体" w:hAnsi="宋体" w:eastAsia="宋体" w:cs="宋体"/>
                <w:color w:val="auto"/>
                <w:highlight w:val="none"/>
                <w:lang w:eastAsia="zh-CN"/>
              </w:rPr>
            </w:pPr>
            <w:r>
              <w:rPr>
                <w:rFonts w:hint="eastAsia" w:ascii="宋体" w:hAnsi="宋体" w:cs="宋体"/>
                <w:b/>
                <w:color w:val="auto"/>
                <w:szCs w:val="21"/>
                <w:highlight w:val="none"/>
              </w:rPr>
              <w:t>响应报价包含验收费用</w:t>
            </w:r>
            <w:r>
              <w:rPr>
                <w:rFonts w:hint="eastAsia" w:ascii="宋体" w:hAnsi="宋体" w:cs="宋体"/>
                <w:b/>
                <w:color w:val="auto"/>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16.2</w:t>
            </w:r>
          </w:p>
        </w:tc>
        <w:tc>
          <w:tcPr>
            <w:tcW w:w="2390" w:type="dxa"/>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竞标有效期</w:t>
            </w:r>
          </w:p>
        </w:tc>
        <w:tc>
          <w:tcPr>
            <w:tcW w:w="6416" w:type="dxa"/>
            <w:vAlign w:val="center"/>
          </w:tcPr>
          <w:p>
            <w:pPr>
              <w:pStyle w:val="12"/>
              <w:widowControl w:val="0"/>
              <w:tabs>
                <w:tab w:val="clear" w:pos="454"/>
              </w:tabs>
              <w:snapToGrid w:val="0"/>
              <w:spacing w:afterLines="0" w:line="360" w:lineRule="auto"/>
              <w:ind w:left="283" w:hanging="283" w:hangingChars="135"/>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自首次响应文件提交截止之日起</w:t>
            </w:r>
            <w:r>
              <w:rPr>
                <w:rFonts w:hint="eastAsia" w:ascii="宋体" w:hAnsi="宋体" w:cs="宋体"/>
                <w:color w:val="auto"/>
                <w:kern w:val="2"/>
                <w:sz w:val="21"/>
                <w:szCs w:val="21"/>
                <w:highlight w:val="none"/>
                <w:u w:val="single"/>
              </w:rPr>
              <w:t xml:space="preserve"> 60 </w:t>
            </w:r>
            <w:r>
              <w:rPr>
                <w:rFonts w:hint="eastAsia" w:ascii="宋体" w:hAnsi="宋体" w:cs="宋体"/>
                <w:color w:val="auto"/>
                <w:kern w:val="2"/>
                <w:sz w:val="21"/>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2390" w:type="dxa"/>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磋商保证金</w:t>
            </w:r>
          </w:p>
        </w:tc>
        <w:tc>
          <w:tcPr>
            <w:tcW w:w="6416" w:type="dxa"/>
            <w:vAlign w:val="center"/>
          </w:tcPr>
          <w:p>
            <w:pPr>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本项目需要缴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lang w:eastAsia="zh-CN"/>
              </w:rPr>
              <w:t>磋商保证金，</w:t>
            </w:r>
            <w:r>
              <w:rPr>
                <w:rFonts w:hint="eastAsia" w:ascii="宋体" w:hAnsi="宋体" w:eastAsia="宋体" w:cs="宋体"/>
                <w:b/>
                <w:bCs/>
                <w:color w:val="auto"/>
                <w:szCs w:val="21"/>
                <w:highlight w:val="none"/>
              </w:rPr>
              <w:t>相关要求</w:t>
            </w:r>
            <w:r>
              <w:rPr>
                <w:rFonts w:hint="eastAsia" w:ascii="宋体" w:hAnsi="宋体" w:eastAsia="宋体" w:cs="宋体"/>
                <w:b/>
                <w:bCs/>
                <w:color w:val="auto"/>
                <w:szCs w:val="21"/>
                <w:highlight w:val="none"/>
                <w:lang w:eastAsia="zh-CN"/>
              </w:rPr>
              <w:t>如下</w:t>
            </w:r>
            <w:r>
              <w:rPr>
                <w:rFonts w:hint="eastAsia" w:ascii="宋体" w:hAnsi="宋体" w:eastAsia="宋体" w:cs="宋体"/>
                <w:b/>
                <w:bCs/>
                <w:color w:val="auto"/>
                <w:szCs w:val="21"/>
                <w:highlight w:val="none"/>
              </w:rPr>
              <w:t>：</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磋商保证金的</w:t>
            </w:r>
            <w:r>
              <w:rPr>
                <w:rFonts w:hint="eastAsia" w:ascii="宋体" w:hAnsi="宋体" w:eastAsia="宋体" w:cs="宋体"/>
                <w:color w:val="auto"/>
                <w:szCs w:val="21"/>
                <w:highlight w:val="none"/>
                <w:lang w:eastAsia="zh-CN"/>
              </w:rPr>
              <w:t>缴</w:t>
            </w:r>
            <w:r>
              <w:rPr>
                <w:rFonts w:hint="eastAsia" w:ascii="宋体" w:hAnsi="宋体" w:eastAsia="宋体" w:cs="宋体"/>
                <w:color w:val="auto"/>
                <w:szCs w:val="21"/>
                <w:highlight w:val="none"/>
              </w:rPr>
              <w:t>纳方式：详见竞争性磋商公告。</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磋商保证金的金额：详见竞争性磋商公告。</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.磋商保证金采用银行转账</w:t>
            </w:r>
            <w:r>
              <w:rPr>
                <w:rFonts w:hint="eastAsia" w:ascii="宋体" w:hAnsi="宋体" w:eastAsia="宋体" w:cs="宋体"/>
                <w:color w:val="auto"/>
                <w:szCs w:val="21"/>
                <w:highlight w:val="none"/>
                <w:lang w:eastAsia="zh-CN"/>
              </w:rPr>
              <w:t>缴</w:t>
            </w:r>
            <w:r>
              <w:rPr>
                <w:rFonts w:hint="eastAsia" w:ascii="宋体" w:hAnsi="宋体" w:eastAsia="宋体" w:cs="宋体"/>
                <w:color w:val="auto"/>
                <w:szCs w:val="21"/>
                <w:highlight w:val="none"/>
              </w:rPr>
              <w:t>纳方式的，在首次响应文件提交截止时间前交至采购代理机构指定账户并且到账，供应商应将银行转账底单的复印件作为磋商保证金提交凭证，放置于商务文件中，</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.磋商保证金采用支票、汇票、本票或者金融机构、担保机构出具的保函</w:t>
            </w:r>
            <w:r>
              <w:rPr>
                <w:rFonts w:hint="eastAsia" w:ascii="宋体" w:hAnsi="宋体" w:eastAsia="宋体" w:cs="宋体"/>
                <w:color w:val="auto"/>
                <w:szCs w:val="21"/>
                <w:highlight w:val="none"/>
                <w:lang w:eastAsia="zh-CN"/>
              </w:rPr>
              <w:t>等缴</w:t>
            </w:r>
            <w:r>
              <w:rPr>
                <w:rFonts w:hint="eastAsia" w:ascii="宋体" w:hAnsi="宋体" w:eastAsia="宋体" w:cs="宋体"/>
                <w:color w:val="auto"/>
                <w:szCs w:val="21"/>
                <w:highlight w:val="none"/>
              </w:rPr>
              <w:t>纳方式的，供应商应将支票、汇票、本票或者金融</w:t>
            </w:r>
            <w:r>
              <w:rPr>
                <w:rFonts w:hint="eastAsia" w:ascii="宋体" w:hAnsi="宋体" w:eastAsia="宋体" w:cs="宋体"/>
                <w:color w:val="auto"/>
                <w:szCs w:val="21"/>
                <w:highlight w:val="none"/>
                <w:lang w:eastAsia="zh-CN"/>
              </w:rPr>
              <w:t>机构</w:t>
            </w:r>
            <w:r>
              <w:rPr>
                <w:rFonts w:hint="eastAsia" w:ascii="宋体" w:hAnsi="宋体" w:eastAsia="宋体" w:cs="宋体"/>
                <w:color w:val="auto"/>
                <w:szCs w:val="21"/>
                <w:highlight w:val="none"/>
              </w:rPr>
              <w:t>、担保机构出具的保函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的复印件</w:t>
            </w:r>
            <w:r>
              <w:rPr>
                <w:rFonts w:hint="default"/>
                <w:color w:val="auto"/>
                <w:highlight w:val="none"/>
                <w:lang w:val="en-US" w:eastAsia="zh-CN"/>
              </w:rPr>
              <w:t>或者金融机构、担保机构出具的电子保函</w:t>
            </w:r>
            <w:r>
              <w:rPr>
                <w:rFonts w:hint="eastAsia" w:ascii="宋体" w:hAnsi="宋体" w:eastAsia="宋体" w:cs="宋体"/>
                <w:color w:val="auto"/>
                <w:szCs w:val="21"/>
                <w:highlight w:val="none"/>
              </w:rPr>
              <w:t>作为磋商保证金提交凭证，放置于商务文件中，</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。供应商必须</w:t>
            </w:r>
            <w:r>
              <w:rPr>
                <w:rFonts w:hint="eastAsia" w:ascii="宋体" w:hAnsi="宋体" w:eastAsia="宋体" w:cs="宋体"/>
                <w:color w:val="auto"/>
                <w:szCs w:val="21"/>
                <w:highlight w:val="none"/>
                <w:lang w:eastAsia="zh-CN"/>
              </w:rPr>
              <w:t>在</w:t>
            </w:r>
            <w:r>
              <w:rPr>
                <w:rFonts w:hint="eastAsia" w:ascii="宋体" w:hAnsi="宋体" w:eastAsia="宋体" w:cs="宋体"/>
                <w:color w:val="auto"/>
                <w:kern w:val="0"/>
                <w:szCs w:val="21"/>
                <w:highlight w:val="none"/>
              </w:rPr>
              <w:t>首次响应文件提交截止时间前</w:t>
            </w:r>
            <w:r>
              <w:rPr>
                <w:rFonts w:hint="eastAsia" w:ascii="宋体" w:hAnsi="宋体" w:eastAsia="宋体" w:cs="宋体"/>
                <w:color w:val="auto"/>
                <w:szCs w:val="21"/>
                <w:highlight w:val="none"/>
              </w:rPr>
              <w:t>将支票、汇票、本票或者金融</w:t>
            </w:r>
            <w:r>
              <w:rPr>
                <w:rFonts w:hint="eastAsia" w:ascii="宋体" w:hAnsi="宋体" w:eastAsia="宋体" w:cs="宋体"/>
                <w:color w:val="auto"/>
                <w:szCs w:val="21"/>
                <w:highlight w:val="none"/>
                <w:lang w:eastAsia="zh-CN"/>
              </w:rPr>
              <w:t>机构</w:t>
            </w:r>
            <w:r>
              <w:rPr>
                <w:rFonts w:hint="eastAsia" w:ascii="宋体" w:hAnsi="宋体" w:eastAsia="宋体" w:cs="宋体"/>
                <w:color w:val="auto"/>
                <w:szCs w:val="21"/>
                <w:highlight w:val="none"/>
              </w:rPr>
              <w:t>、担保机构出具的保函（电子保函除外）等原件提交给采购代理机构，由采购代理机构向供应商出具回执，并妥善保管。</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.磋商保证金指定</w:t>
            </w:r>
            <w:r>
              <w:rPr>
                <w:rFonts w:hint="eastAsia" w:ascii="宋体" w:hAnsi="宋体" w:eastAsia="宋体" w:cs="宋体"/>
                <w:color w:val="auto"/>
                <w:szCs w:val="21"/>
                <w:highlight w:val="none"/>
                <w:lang w:eastAsia="zh-CN"/>
              </w:rPr>
              <w:t>账</w:t>
            </w:r>
            <w:r>
              <w:rPr>
                <w:rFonts w:hint="eastAsia" w:ascii="宋体" w:hAnsi="宋体" w:eastAsia="宋体" w:cs="宋体"/>
                <w:color w:val="auto"/>
                <w:szCs w:val="21"/>
                <w:highlight w:val="none"/>
              </w:rPr>
              <w:t>户：详见竞争性磋商公告。</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备注： </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1.磋商保证金在首次响应文件提交截止时间后提交的，或者不按规定</w:t>
            </w:r>
            <w:r>
              <w:rPr>
                <w:rFonts w:hint="eastAsia" w:ascii="宋体" w:hAnsi="宋体" w:eastAsia="宋体" w:cs="宋体"/>
                <w:b/>
                <w:color w:val="auto"/>
                <w:szCs w:val="21"/>
                <w:highlight w:val="none"/>
                <w:lang w:eastAsia="zh-CN"/>
              </w:rPr>
              <w:t>缴</w:t>
            </w:r>
            <w:r>
              <w:rPr>
                <w:rFonts w:hint="eastAsia" w:ascii="宋体" w:hAnsi="宋体" w:eastAsia="宋体" w:cs="宋体"/>
                <w:b/>
                <w:color w:val="auto"/>
                <w:szCs w:val="21"/>
                <w:highlight w:val="none"/>
              </w:rPr>
              <w:t>纳方式</w:t>
            </w:r>
            <w:r>
              <w:rPr>
                <w:rFonts w:hint="eastAsia" w:ascii="宋体" w:hAnsi="宋体" w:eastAsia="宋体" w:cs="宋体"/>
                <w:b/>
                <w:color w:val="auto"/>
                <w:szCs w:val="21"/>
                <w:highlight w:val="none"/>
                <w:lang w:eastAsia="zh-CN"/>
              </w:rPr>
              <w:t>缴</w:t>
            </w:r>
            <w:r>
              <w:rPr>
                <w:rFonts w:hint="eastAsia" w:ascii="宋体" w:hAnsi="宋体" w:eastAsia="宋体" w:cs="宋体"/>
                <w:b/>
                <w:color w:val="auto"/>
                <w:szCs w:val="21"/>
                <w:highlight w:val="none"/>
              </w:rPr>
              <w:t>纳的，或者未足额</w:t>
            </w:r>
            <w:r>
              <w:rPr>
                <w:rFonts w:hint="eastAsia" w:ascii="宋体" w:hAnsi="宋体" w:eastAsia="宋体" w:cs="宋体"/>
                <w:b/>
                <w:color w:val="auto"/>
                <w:szCs w:val="21"/>
                <w:highlight w:val="none"/>
                <w:lang w:eastAsia="zh-CN"/>
              </w:rPr>
              <w:t>缴</w:t>
            </w:r>
            <w:r>
              <w:rPr>
                <w:rFonts w:hint="eastAsia" w:ascii="宋体" w:hAnsi="宋体" w:eastAsia="宋体" w:cs="宋体"/>
                <w:b/>
                <w:color w:val="auto"/>
                <w:szCs w:val="21"/>
                <w:highlight w:val="none"/>
              </w:rPr>
              <w:t>纳的（包含保函额度不足的），视为无效磋商保证金。</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2.供应商采用现</w:t>
            </w:r>
            <w:r>
              <w:rPr>
                <w:rFonts w:hint="eastAsia" w:ascii="宋体" w:hAnsi="宋体" w:eastAsia="宋体" w:cs="宋体"/>
                <w:b/>
                <w:color w:val="auto"/>
                <w:szCs w:val="21"/>
                <w:highlight w:val="none"/>
                <w:lang w:eastAsia="zh-CN"/>
              </w:rPr>
              <w:t>金</w:t>
            </w:r>
            <w:r>
              <w:rPr>
                <w:rFonts w:hint="eastAsia" w:ascii="宋体" w:hAnsi="宋体" w:eastAsia="宋体" w:cs="宋体"/>
                <w:b/>
                <w:color w:val="auto"/>
                <w:szCs w:val="21"/>
                <w:highlight w:val="none"/>
              </w:rPr>
              <w:t>方式或者从个人账户（自然人竞标除外）转出的磋商保证金，视为无效磋商保证金。</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3.支票、汇票或者本票出现无效或者背书情形的，视为无效磋商保证金。</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4.保函有效期低于竞标有效期的，视为无效磋商保证金。</w:t>
            </w:r>
          </w:p>
          <w:p>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eastAsia="宋体" w:cs="宋体"/>
                <w:b/>
                <w:color w:val="auto"/>
                <w:szCs w:val="21"/>
                <w:highlight w:val="none"/>
              </w:rPr>
              <w:t>5.采用金融、担保机构出具保函的，必须为无条件保函，否则视为无效磋商保证金。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restart"/>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2390" w:type="dxa"/>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首次响应文件提交截止时间</w:t>
            </w:r>
          </w:p>
        </w:tc>
        <w:tc>
          <w:tcPr>
            <w:tcW w:w="6416" w:type="dxa"/>
            <w:vAlign w:val="center"/>
          </w:tcPr>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continue"/>
            <w:vAlign w:val="center"/>
          </w:tcPr>
          <w:p>
            <w:pPr>
              <w:spacing w:line="360" w:lineRule="auto"/>
              <w:jc w:val="center"/>
              <w:rPr>
                <w:rFonts w:hint="eastAsia" w:ascii="宋体" w:hAnsi="宋体" w:cs="宋体"/>
                <w:color w:val="auto"/>
                <w:szCs w:val="21"/>
                <w:highlight w:val="none"/>
              </w:rPr>
            </w:pPr>
          </w:p>
        </w:tc>
        <w:tc>
          <w:tcPr>
            <w:tcW w:w="2390" w:type="dxa"/>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首次响应文件开启时间</w:t>
            </w:r>
          </w:p>
        </w:tc>
        <w:tc>
          <w:tcPr>
            <w:tcW w:w="6416" w:type="dxa"/>
            <w:vAlign w:val="center"/>
          </w:tcPr>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Merge w:val="continue"/>
            <w:vAlign w:val="center"/>
          </w:tcPr>
          <w:p>
            <w:pPr>
              <w:spacing w:line="360" w:lineRule="auto"/>
              <w:jc w:val="center"/>
              <w:rPr>
                <w:rFonts w:hint="eastAsia" w:ascii="宋体" w:hAnsi="宋体" w:cs="宋体"/>
                <w:color w:val="auto"/>
                <w:szCs w:val="21"/>
                <w:highlight w:val="none"/>
              </w:rPr>
            </w:pPr>
          </w:p>
        </w:tc>
        <w:tc>
          <w:tcPr>
            <w:tcW w:w="2390" w:type="dxa"/>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首次响应文件提交地点</w:t>
            </w:r>
          </w:p>
        </w:tc>
        <w:tc>
          <w:tcPr>
            <w:tcW w:w="6416" w:type="dxa"/>
            <w:vAlign w:val="center"/>
          </w:tcPr>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20.6</w:t>
            </w:r>
          </w:p>
        </w:tc>
        <w:tc>
          <w:tcPr>
            <w:tcW w:w="2390" w:type="dxa"/>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备份响应文件</w:t>
            </w:r>
          </w:p>
        </w:tc>
        <w:tc>
          <w:tcPr>
            <w:tcW w:w="6416" w:type="dxa"/>
            <w:vAlign w:val="center"/>
          </w:tcPr>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63" w:type="dxa"/>
            <w:vMerge w:val="restart"/>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26</w:t>
            </w:r>
          </w:p>
        </w:tc>
        <w:tc>
          <w:tcPr>
            <w:tcW w:w="2390" w:type="dxa"/>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负偏离要求</w:t>
            </w:r>
          </w:p>
        </w:tc>
        <w:tc>
          <w:tcPr>
            <w:tcW w:w="6416" w:type="dxa"/>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商务条款中允许负偏离的条款数为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技术要求</w:t>
            </w:r>
            <w:r>
              <w:rPr>
                <w:rFonts w:hint="eastAsia" w:ascii="宋体" w:hAnsi="宋体" w:cs="宋体"/>
                <w:color w:val="auto"/>
                <w:szCs w:val="21"/>
                <w:highlight w:val="none"/>
              </w:rPr>
              <w:t>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63" w:type="dxa"/>
            <w:vMerge w:val="continue"/>
            <w:vAlign w:val="center"/>
          </w:tcPr>
          <w:p>
            <w:pPr>
              <w:spacing w:line="360" w:lineRule="auto"/>
              <w:jc w:val="center"/>
              <w:rPr>
                <w:rFonts w:hint="eastAsia" w:ascii="宋体" w:hAnsi="宋体" w:cs="宋体"/>
                <w:color w:val="auto"/>
                <w:szCs w:val="21"/>
                <w:highlight w:val="none"/>
              </w:rPr>
            </w:pPr>
          </w:p>
        </w:tc>
        <w:tc>
          <w:tcPr>
            <w:tcW w:w="2390" w:type="dxa"/>
            <w:vAlign w:val="center"/>
          </w:tcPr>
          <w:p>
            <w:pPr>
              <w:snapToGrid w:val="0"/>
              <w:spacing w:line="360" w:lineRule="auto"/>
              <w:jc w:val="center"/>
              <w:rPr>
                <w:rFonts w:hint="eastAsia" w:ascii="宋体" w:hAnsi="宋体" w:cs="宋体"/>
                <w:b/>
                <w:bCs/>
                <w:color w:val="auto"/>
                <w:szCs w:val="21"/>
                <w:highlight w:val="none"/>
              </w:rPr>
            </w:pPr>
            <w:r>
              <w:rPr>
                <w:rFonts w:hint="eastAsia" w:ascii="宋体" w:hAnsi="宋体" w:eastAsia="宋体" w:cs="宋体"/>
                <w:b/>
                <w:bCs/>
                <w:color w:val="auto"/>
                <w:szCs w:val="21"/>
                <w:highlight w:val="none"/>
              </w:rPr>
              <w:t>评</w:t>
            </w:r>
            <w:r>
              <w:rPr>
                <w:rFonts w:hint="eastAsia" w:ascii="宋体" w:hAnsi="宋体" w:eastAsia="宋体" w:cs="宋体"/>
                <w:b/>
                <w:bCs/>
                <w:color w:val="auto"/>
                <w:szCs w:val="21"/>
                <w:highlight w:val="none"/>
                <w:lang w:val="en-US" w:eastAsia="zh-CN"/>
              </w:rPr>
              <w:t>审</w:t>
            </w:r>
            <w:r>
              <w:rPr>
                <w:rFonts w:hint="eastAsia" w:ascii="宋体" w:hAnsi="宋体" w:eastAsia="宋体" w:cs="宋体"/>
                <w:b/>
                <w:bCs/>
                <w:color w:val="auto"/>
                <w:szCs w:val="21"/>
                <w:highlight w:val="none"/>
              </w:rPr>
              <w:t>方法</w:t>
            </w:r>
          </w:p>
        </w:tc>
        <w:tc>
          <w:tcPr>
            <w:tcW w:w="6416" w:type="dxa"/>
            <w:vAlign w:val="center"/>
          </w:tcPr>
          <w:p>
            <w:pPr>
              <w:pStyle w:val="14"/>
              <w:spacing w:line="360" w:lineRule="auto"/>
              <w:rPr>
                <w:rFonts w:hint="eastAsia" w:ascii="宋体" w:hAnsi="宋体" w:cs="宋体"/>
                <w:color w:val="auto"/>
                <w:szCs w:val="21"/>
                <w:highlight w:val="none"/>
              </w:rPr>
            </w:pPr>
            <w:r>
              <w:rPr>
                <w:rFonts w:hint="eastAsia"/>
                <w:color w:val="auto"/>
                <w:highlight w:val="none"/>
                <w:lang w:val="en-US" w:eastAsia="zh-CN"/>
              </w:rPr>
              <w:t>本项目采用综合评分法。综合评分法是指响应文件满足竞争性磋商文件全部实质性要求且按评审因素的量化指标评审得分最高的供应商为成交候选供应商的评审方法。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pPr>
              <w:spacing w:line="360" w:lineRule="auto"/>
              <w:jc w:val="center"/>
              <w:rPr>
                <w:rFonts w:hint="eastAsia" w:ascii="宋体" w:hAnsi="宋体" w:cs="宋体"/>
                <w:color w:val="auto"/>
                <w:szCs w:val="21"/>
                <w:highlight w:val="none"/>
              </w:rPr>
            </w:pPr>
          </w:p>
        </w:tc>
        <w:tc>
          <w:tcPr>
            <w:tcW w:w="2390" w:type="dxa"/>
            <w:vAlign w:val="center"/>
          </w:tcPr>
          <w:p>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磋商的顺序</w:t>
            </w:r>
          </w:p>
        </w:tc>
        <w:tc>
          <w:tcPr>
            <w:tcW w:w="6416" w:type="dxa"/>
            <w:vAlign w:val="center"/>
          </w:tcPr>
          <w:p>
            <w:pPr>
              <w:pStyle w:val="14"/>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如采用视频会议形式进行磋商，将</w:t>
            </w:r>
            <w:r>
              <w:rPr>
                <w:rFonts w:hint="eastAsia" w:ascii="宋体" w:hAnsi="宋体" w:cs="宋体"/>
                <w:color w:val="auto"/>
                <w:szCs w:val="21"/>
                <w:highlight w:val="none"/>
              </w:rPr>
              <w:t>按照提交首次响应文件的顺序，通知磋商时，若某供应商不在通知现场时，该供应商排序到最后磋商，按照签到的顺序由其下一位供应商先参与磋商。</w:t>
            </w:r>
          </w:p>
          <w:p>
            <w:pPr>
              <w:pStyle w:val="14"/>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参与磋商前，磋商小组如有要求，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28</w:t>
            </w:r>
          </w:p>
        </w:tc>
        <w:tc>
          <w:tcPr>
            <w:tcW w:w="2390" w:type="dxa"/>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履约保证金</w:t>
            </w:r>
          </w:p>
        </w:tc>
        <w:tc>
          <w:tcPr>
            <w:tcW w:w="6416" w:type="dxa"/>
            <w:vAlign w:val="center"/>
          </w:tcPr>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履约保证金。</w:t>
            </w:r>
          </w:p>
          <w:p>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备注：</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 根据《广西壮族自治区财政厅关于贯彻落实政府采购优化营商环境百日攻坚行动方案的通知》（桂财采〔2020〕49号）和《广西壮族自治区财政厅关于规范政府采购货物和服务项目保证金管理的通知》（桂财规〔2022〕8号）规定，鼓励采购人在与中小微企业签订政府采购合同时，减少或免于收取履约保证金，有必要收取履约保证金的，收取的履约保证金不得超过政府采购合同金额的5%，对中小企业收取的履约保证金数额不得超过政府采购合同金额的2%。</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2.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3.采用金融、担保机构出具保函的，必须为无条件保函，否则视为未按规定提交履约保证金。</w:t>
            </w:r>
          </w:p>
          <w:p>
            <w:pPr>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 xml:space="preserve">4.供应商为联合体的，可由联合体任意一方或者联合体各方共同提交的履约保证金，视为有效履约保证金。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29.5</w:t>
            </w:r>
          </w:p>
        </w:tc>
        <w:tc>
          <w:tcPr>
            <w:tcW w:w="2390" w:type="dxa"/>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签订合同携带的材料</w:t>
            </w:r>
          </w:p>
        </w:tc>
        <w:tc>
          <w:tcPr>
            <w:tcW w:w="6416" w:type="dxa"/>
            <w:vAlign w:val="center"/>
          </w:tcPr>
          <w:p>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委托代理人负责签订合同的，须携带有效的法定代表人授权委托书及其委托代理人身份证原件等其他资格证件。</w:t>
            </w:r>
          </w:p>
          <w:p>
            <w:pPr>
              <w:snapToGrid w:val="0"/>
              <w:spacing w:line="360" w:lineRule="auto"/>
              <w:rPr>
                <w:rFonts w:hint="eastAsia" w:ascii="宋体" w:hAnsi="宋体" w:cs="宋体"/>
                <w:b/>
                <w:bCs/>
                <w:i/>
                <w:iCs/>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31.2</w:t>
            </w:r>
          </w:p>
        </w:tc>
        <w:tc>
          <w:tcPr>
            <w:tcW w:w="2390" w:type="dxa"/>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接收质疑函方式</w:t>
            </w:r>
          </w:p>
        </w:tc>
        <w:tc>
          <w:tcPr>
            <w:tcW w:w="6416" w:type="dxa"/>
            <w:vAlign w:val="center"/>
          </w:tcPr>
          <w:p>
            <w:pPr>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以书面形式</w:t>
            </w:r>
            <w:r>
              <w:rPr>
                <w:rFonts w:hint="eastAsia" w:ascii="宋体" w:hAnsi="宋体" w:cs="宋体"/>
                <w:color w:val="auto"/>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pPr>
              <w:spacing w:line="360" w:lineRule="auto"/>
              <w:jc w:val="center"/>
              <w:rPr>
                <w:rFonts w:hint="eastAsia" w:ascii="宋体" w:hAnsi="宋体" w:cs="宋体"/>
                <w:color w:val="auto"/>
                <w:szCs w:val="21"/>
                <w:highlight w:val="none"/>
              </w:rPr>
            </w:pPr>
          </w:p>
        </w:tc>
        <w:tc>
          <w:tcPr>
            <w:tcW w:w="2390" w:type="dxa"/>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质疑联系部门及联系</w:t>
            </w:r>
          </w:p>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方式</w:t>
            </w:r>
          </w:p>
        </w:tc>
        <w:tc>
          <w:tcPr>
            <w:tcW w:w="6416"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）名称：广西科联招标中心有限公司</w:t>
            </w:r>
          </w:p>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联系地址：广西南宁市大学东路170号广西科联招标中心有限公司</w:t>
            </w:r>
            <w:r>
              <w:rPr>
                <w:rFonts w:hint="eastAsia" w:ascii="宋体" w:hAnsi="宋体" w:eastAsia="宋体" w:cs="宋体"/>
                <w:color w:val="auto"/>
                <w:highlight w:val="none"/>
                <w:lang w:val="en-US" w:eastAsia="zh-CN"/>
              </w:rPr>
              <w:t>103</w:t>
            </w:r>
            <w:r>
              <w:rPr>
                <w:rFonts w:hint="eastAsia" w:ascii="宋体" w:hAnsi="宋体" w:eastAsia="宋体" w:cs="宋体"/>
                <w:color w:val="auto"/>
                <w:highlight w:val="none"/>
              </w:rPr>
              <w:t>室</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highlight w:val="none"/>
              </w:rPr>
              <w:t>0771-3486228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pPr>
              <w:spacing w:line="360" w:lineRule="auto"/>
              <w:jc w:val="center"/>
              <w:rPr>
                <w:rFonts w:hint="eastAsia" w:ascii="宋体" w:hAnsi="宋体" w:cs="宋体"/>
                <w:color w:val="auto"/>
                <w:szCs w:val="21"/>
                <w:highlight w:val="none"/>
              </w:rPr>
            </w:pPr>
          </w:p>
        </w:tc>
        <w:tc>
          <w:tcPr>
            <w:tcW w:w="2390" w:type="dxa"/>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现场提交质疑办理业务</w:t>
            </w:r>
          </w:p>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时间</w:t>
            </w:r>
          </w:p>
        </w:tc>
        <w:tc>
          <w:tcPr>
            <w:tcW w:w="6416" w:type="dxa"/>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highlight w:val="none"/>
              </w:rPr>
              <w:t>质疑期内每个工</w:t>
            </w:r>
            <w:r>
              <w:rPr>
                <w:rFonts w:hint="eastAsia" w:ascii="宋体" w:hAnsi="宋体" w:cs="宋体"/>
                <w:color w:val="auto"/>
                <w:highlight w:val="none"/>
                <w:u w:val="none"/>
              </w:rPr>
              <w:t>作日（北京时间）上午8时00分到12时00分，下午15时00分到18时00分。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31.6</w:t>
            </w:r>
          </w:p>
        </w:tc>
        <w:tc>
          <w:tcPr>
            <w:tcW w:w="2390" w:type="dxa"/>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受理投诉方式</w:t>
            </w:r>
          </w:p>
        </w:tc>
        <w:tc>
          <w:tcPr>
            <w:tcW w:w="6416" w:type="dxa"/>
            <w:vAlign w:val="center"/>
          </w:tcPr>
          <w:p>
            <w:pPr>
              <w:snapToGrid w:val="0"/>
              <w:spacing w:line="360" w:lineRule="auto"/>
              <w:rPr>
                <w:rFonts w:hint="eastAsia" w:ascii="宋体" w:hAnsi="宋体" w:cs="宋体"/>
                <w:color w:val="auto"/>
                <w:highlight w:val="none"/>
              </w:rPr>
            </w:pPr>
            <w:r>
              <w:rPr>
                <w:rFonts w:hint="eastAsia" w:ascii="宋体" w:hAnsi="宋体" w:cs="宋体"/>
                <w:color w:val="auto"/>
                <w:highlight w:val="none"/>
              </w:rPr>
              <w:t>1、受理方式：纸质方式受理，投诉书正、副本（经过质疑的事项才可投诉）。</w:t>
            </w:r>
          </w:p>
          <w:p>
            <w:pPr>
              <w:snapToGrid w:val="0"/>
              <w:spacing w:line="360" w:lineRule="auto"/>
              <w:rPr>
                <w:rFonts w:hint="eastAsia" w:ascii="宋体" w:hAnsi="宋体" w:cs="宋体"/>
                <w:color w:val="auto"/>
                <w:highlight w:val="none"/>
              </w:rPr>
            </w:pPr>
            <w:r>
              <w:rPr>
                <w:rFonts w:hint="eastAsia" w:ascii="宋体" w:hAnsi="宋体" w:cs="宋体"/>
                <w:color w:val="auto"/>
                <w:highlight w:val="none"/>
              </w:rPr>
              <w:t>2、通讯方式</w:t>
            </w:r>
          </w:p>
          <w:p>
            <w:pPr>
              <w:snapToGrid w:val="0"/>
              <w:spacing w:line="360" w:lineRule="auto"/>
              <w:rPr>
                <w:rFonts w:hint="eastAsia" w:ascii="宋体" w:hAnsi="宋体" w:cs="宋体"/>
                <w:color w:val="auto"/>
                <w:highlight w:val="none"/>
              </w:rPr>
            </w:pPr>
            <w:r>
              <w:rPr>
                <w:rFonts w:hint="eastAsia" w:ascii="宋体" w:hAnsi="宋体" w:cs="宋体"/>
                <w:color w:val="auto"/>
                <w:highlight w:val="none"/>
              </w:rPr>
              <w:t xml:space="preserve">名称： 广西壮族自治区财政厅 </w:t>
            </w:r>
          </w:p>
          <w:p>
            <w:pPr>
              <w:snapToGrid w:val="0"/>
              <w:spacing w:line="360" w:lineRule="auto"/>
              <w:rPr>
                <w:rFonts w:hint="eastAsia" w:ascii="宋体" w:hAnsi="宋体" w:cs="宋体"/>
                <w:color w:val="auto"/>
                <w:highlight w:val="none"/>
              </w:rPr>
            </w:pPr>
            <w:r>
              <w:rPr>
                <w:rFonts w:hint="eastAsia" w:ascii="宋体" w:hAnsi="宋体" w:cs="宋体"/>
                <w:color w:val="auto"/>
                <w:highlight w:val="none"/>
              </w:rPr>
              <w:t>地址： 南宁市青秀区桃源路69号</w:t>
            </w:r>
          </w:p>
          <w:p>
            <w:pPr>
              <w:snapToGrid w:val="0"/>
              <w:spacing w:line="360" w:lineRule="auto"/>
              <w:rPr>
                <w:rFonts w:hint="eastAsia" w:ascii="宋体" w:hAnsi="宋体" w:cs="宋体"/>
                <w:color w:val="auto"/>
                <w:highlight w:val="none"/>
              </w:rPr>
            </w:pPr>
            <w:r>
              <w:rPr>
                <w:rFonts w:hint="eastAsia" w:ascii="宋体" w:hAnsi="宋体" w:cs="宋体"/>
                <w:color w:val="auto"/>
                <w:highlight w:val="none"/>
              </w:rPr>
              <w:t>联系电话：0771-5331544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33</w:t>
            </w:r>
          </w:p>
        </w:tc>
        <w:tc>
          <w:tcPr>
            <w:tcW w:w="2390" w:type="dxa"/>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采购代理服务费</w:t>
            </w:r>
          </w:p>
        </w:tc>
        <w:tc>
          <w:tcPr>
            <w:tcW w:w="6416" w:type="dxa"/>
            <w:vAlign w:val="center"/>
          </w:tcPr>
          <w:p>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 </w:t>
            </w:r>
            <w:r>
              <w:rPr>
                <w:rFonts w:hint="eastAsia" w:ascii="宋体" w:hAnsi="宋体" w:cs="宋体"/>
                <w:color w:val="auto"/>
                <w:kern w:val="0"/>
                <w:szCs w:val="21"/>
                <w:highlight w:val="none"/>
                <w:lang w:val="en-US" w:eastAsia="zh-CN"/>
              </w:rPr>
              <w:t>本项目</w:t>
            </w:r>
            <w:r>
              <w:rPr>
                <w:rFonts w:hint="eastAsia" w:ascii="宋体" w:hAnsi="宋体" w:cs="宋体"/>
                <w:color w:val="auto"/>
                <w:kern w:val="0"/>
                <w:szCs w:val="21"/>
                <w:highlight w:val="none"/>
              </w:rPr>
              <w:t>收取采购代理服务费</w:t>
            </w:r>
          </w:p>
          <w:p>
            <w:pPr>
              <w:snapToGrid w:val="0"/>
              <w:spacing w:line="360" w:lineRule="auto"/>
              <w:rPr>
                <w:rFonts w:hint="eastAsia" w:ascii="宋体" w:hAnsi="宋体" w:cs="宋体"/>
                <w:color w:val="auto"/>
                <w:kern w:val="0"/>
                <w:szCs w:val="21"/>
                <w:highlight w:val="none"/>
                <w:u w:val="none"/>
              </w:rPr>
            </w:pPr>
            <w:r>
              <w:rPr>
                <w:rFonts w:hint="eastAsia" w:ascii="宋体" w:hAnsi="宋体" w:cs="宋体"/>
                <w:color w:val="auto"/>
                <w:kern w:val="0"/>
                <w:szCs w:val="21"/>
                <w:highlight w:val="none"/>
              </w:rPr>
              <w:t>2.采购代理服务费支付方式：</w:t>
            </w:r>
          </w:p>
          <w:p>
            <w:pPr>
              <w:snapToGrid w:val="0"/>
              <w:spacing w:line="360" w:lineRule="auto"/>
              <w:rPr>
                <w:rFonts w:hint="eastAsia" w:ascii="宋体" w:hAnsi="宋体" w:cs="宋体"/>
                <w:color w:val="auto"/>
                <w:kern w:val="0"/>
                <w:szCs w:val="21"/>
                <w:highlight w:val="none"/>
                <w:u w:val="none"/>
              </w:rPr>
            </w:pPr>
            <w:r>
              <w:rPr>
                <w:rFonts w:hint="eastAsia" w:ascii="宋体" w:hAnsi="宋体" w:cs="宋体"/>
                <w:color w:val="auto"/>
                <w:kern w:val="0"/>
                <w:szCs w:val="21"/>
                <w:highlight w:val="none"/>
                <w:u w:val="none"/>
              </w:rPr>
              <w:t>本项目采购代理服务费由成交供应商在签订合同前，</w:t>
            </w:r>
            <w:r>
              <w:rPr>
                <w:rFonts w:hint="eastAsia" w:ascii="宋体" w:hAnsi="宋体" w:cs="宋体"/>
                <w:color w:val="auto"/>
                <w:highlight w:val="none"/>
                <w:u w:val="none"/>
              </w:rPr>
              <w:t>以银行转账、电汇等方式</w:t>
            </w:r>
            <w:r>
              <w:rPr>
                <w:rFonts w:hint="eastAsia" w:ascii="宋体" w:hAnsi="宋体" w:cs="宋体"/>
                <w:color w:val="auto"/>
                <w:kern w:val="0"/>
                <w:szCs w:val="21"/>
                <w:highlight w:val="none"/>
                <w:u w:val="none"/>
              </w:rPr>
              <w:t>一次性向采购代理机构支付。</w:t>
            </w:r>
          </w:p>
          <w:p>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3.采购代理服务费收取标准：</w:t>
            </w:r>
          </w:p>
          <w:p>
            <w:pPr>
              <w:snapToGrid w:val="0"/>
              <w:spacing w:line="360" w:lineRule="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以项目</w:t>
            </w:r>
            <w:r>
              <w:rPr>
                <w:rFonts w:hint="eastAsia" w:ascii="宋体" w:hAnsi="宋体" w:cs="宋体"/>
                <w:color w:val="auto"/>
                <w:kern w:val="0"/>
                <w:szCs w:val="21"/>
                <w:highlight w:val="none"/>
                <w:lang w:val="en-US" w:eastAsia="zh-CN"/>
              </w:rPr>
              <w:t>成交</w:t>
            </w:r>
            <w:r>
              <w:rPr>
                <w:rFonts w:hint="eastAsia" w:ascii="宋体" w:hAnsi="宋体" w:cs="宋体"/>
                <w:color w:val="auto"/>
                <w:kern w:val="0"/>
                <w:szCs w:val="21"/>
                <w:highlight w:val="none"/>
              </w:rPr>
              <w:t>金额为计费额，按</w:t>
            </w:r>
            <w:r>
              <w:rPr>
                <w:rFonts w:hint="eastAsia" w:ascii="宋体" w:hAnsi="宋体" w:cs="宋体"/>
                <w:color w:val="auto"/>
                <w:highlight w:val="none"/>
              </w:rPr>
              <w:t>本须知正文第33.2条规定的收费计算标准（</w:t>
            </w:r>
            <w:r>
              <w:rPr>
                <w:rFonts w:hint="eastAsia" w:ascii="宋体" w:hAnsi="宋体" w:cs="宋体"/>
                <w:b/>
                <w:bCs/>
                <w:color w:val="auto"/>
                <w:kern w:val="0"/>
                <w:szCs w:val="21"/>
                <w:highlight w:val="none"/>
                <w:u w:val="single"/>
              </w:rPr>
              <w:t>服务类</w:t>
            </w:r>
            <w:r>
              <w:rPr>
                <w:rFonts w:hint="eastAsia" w:ascii="宋体" w:hAnsi="宋体" w:cs="宋体"/>
                <w:color w:val="auto"/>
                <w:highlight w:val="none"/>
              </w:rPr>
              <w:t>）</w:t>
            </w:r>
            <w:r>
              <w:rPr>
                <w:rFonts w:hint="eastAsia" w:ascii="宋体" w:hAnsi="宋体" w:cs="宋体"/>
                <w:color w:val="auto"/>
                <w:kern w:val="0"/>
                <w:szCs w:val="21"/>
                <w:highlight w:val="none"/>
              </w:rPr>
              <w:t>采用差额定率累进法计算出收费基准价格，采购代理机构收费以收费基准价格</w:t>
            </w:r>
            <w:r>
              <w:rPr>
                <w:rFonts w:hint="eastAsia" w:ascii="宋体" w:hAnsi="宋体" w:cs="宋体"/>
                <w:b/>
                <w:bCs/>
                <w:color w:val="auto"/>
                <w:kern w:val="0"/>
                <w:szCs w:val="21"/>
                <w:highlight w:val="none"/>
                <w:u w:val="single"/>
                <w:lang w:val="en-US" w:eastAsia="zh-CN"/>
              </w:rPr>
              <w:t>下浮20%</w:t>
            </w:r>
            <w:r>
              <w:rPr>
                <w:rFonts w:hint="eastAsia" w:ascii="宋体" w:hAnsi="宋体" w:cs="宋体"/>
                <w:color w:val="auto"/>
                <w:kern w:val="0"/>
                <w:szCs w:val="21"/>
                <w:highlight w:val="none"/>
              </w:rPr>
              <w:t>收取。</w:t>
            </w:r>
          </w:p>
          <w:p>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4.采购代理服务费收取银行账户的信息</w:t>
            </w:r>
          </w:p>
          <w:p>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开户名称：广西科联招标中心有限公司</w:t>
            </w:r>
          </w:p>
          <w:p>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开户银行：中国工商银行南宁市高新科技支行</w:t>
            </w:r>
          </w:p>
          <w:p>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银行账号：2102111229300032105</w:t>
            </w:r>
          </w:p>
          <w:p>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开户行行号：102611011101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34.1</w:t>
            </w:r>
          </w:p>
        </w:tc>
        <w:tc>
          <w:tcPr>
            <w:tcW w:w="2390" w:type="dxa"/>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解释</w:t>
            </w:r>
          </w:p>
        </w:tc>
        <w:tc>
          <w:tcPr>
            <w:tcW w:w="6416" w:type="dxa"/>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解释：</w:t>
            </w:r>
            <w:r>
              <w:rPr>
                <w:rFonts w:hint="eastAsia" w:ascii="宋体" w:hAnsi="宋体" w:cs="宋体"/>
                <w:color w:val="auto"/>
                <w:kern w:val="0"/>
                <w:szCs w:val="21"/>
                <w:highlight w:val="none"/>
              </w:rPr>
              <w:t>构成本竞争性磋商文件的各个组成文件应互为解释，互为说明；除竞争性磋商文件中有特别规定外，仅适用于竞标阶段的规定，按更正公告（澄清公告）、竞争性磋商公告、采购需求、供应商须知、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cs="宋体"/>
                <w:b/>
                <w:color w:val="auto"/>
                <w:kern w:val="0"/>
                <w:szCs w:val="21"/>
                <w:highlight w:val="none"/>
              </w:rPr>
              <w:t>由采购人或者采购代理机构负责解释。</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法律责任：</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本采购文件根据《中华人民共和国政府采购法》、《中华人民共和国民法典》</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《中华人民共和国政府采购法实施条例》、《政府采购竞争性磋商采购方式管理暂行办法》等有关法律、法规编制，参与本项目的各政府采购当事人依法享有上述法律法规所赋予的权利与义务。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34.2</w:t>
            </w:r>
          </w:p>
        </w:tc>
        <w:tc>
          <w:tcPr>
            <w:tcW w:w="2390" w:type="dxa"/>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其他</w:t>
            </w:r>
          </w:p>
        </w:tc>
        <w:tc>
          <w:tcPr>
            <w:tcW w:w="6416" w:type="dxa"/>
            <w:vAlign w:val="center"/>
          </w:tcPr>
          <w:p>
            <w:pPr>
              <w:pStyle w:val="14"/>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本竞争性磋商文件中描述供应商的“公章”是指根据我国对公章的管理规定，用供应商法定主体行为名称制作的实物印章或供应商通过指定电子化政府采购平台办理数字证书（CA认证）获得的以法定主体行为名称制作的电子印章。除本竞争性磋商文件有特殊规定外，供应商的财务章、部门章、工会章、合同章、投标专用章、业务专用章及银行的转账章、现金收讫章、现金付讫章等其他形式印章均不能代替公章。</w:t>
            </w:r>
          </w:p>
          <w:p>
            <w:pPr>
              <w:pStyle w:val="14"/>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2.本竞争性磋商文件中描述供应商的“签字”是指供应商通过指定电子化政府采购平台办理数字证书（CA认证）获得的以供应商法定代表人或者委托代理人姓名制作的电子印章或手写签字。</w:t>
            </w:r>
          </w:p>
          <w:p>
            <w:pPr>
              <w:pStyle w:val="14"/>
              <w:keepNext w:val="0"/>
              <w:keepLines w:val="0"/>
              <w:pageBreakBefore w:val="0"/>
              <w:widowControl w:val="0"/>
              <w:tabs>
                <w:tab w:val="center" w:pos="4153"/>
                <w:tab w:val="right" w:pos="8306"/>
              </w:tabs>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3.本竞争性磋商文件所称的“电子签章”“电子签名”，是指经</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认可的CA认证的电子签名数据为表现形式的印章，可用于签署电子响应文件，电子印章与实物印章具有同等法律效力，不因其采用电子化表现形式而否定其法律效力。</w:t>
            </w:r>
          </w:p>
          <w:p>
            <w:pPr>
              <w:pStyle w:val="14"/>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4.供应商为其他组织、自然人时，本磋商文件规定的法定代表人指负责人或者自然人。本磋商文件所称负责人是指参加竞标的其他组织营业执照上的负责人，本磋商文件所称自然人指参与竞标的自然人本人。</w:t>
            </w:r>
          </w:p>
          <w:p>
            <w:pPr>
              <w:pStyle w:val="14"/>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5.自然人竞标的，竞争性磋商文件规定盖公章处由自然人摁手指指印。</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cs="宋体"/>
                <w:color w:val="auto"/>
                <w:kern w:val="0"/>
                <w:szCs w:val="21"/>
                <w:highlight w:val="none"/>
              </w:rPr>
            </w:pPr>
            <w:r>
              <w:rPr>
                <w:rFonts w:hint="eastAsia" w:ascii="宋体" w:hAnsi="宋体" w:cs="宋体"/>
                <w:color w:val="auto"/>
                <w:szCs w:val="21"/>
                <w:highlight w:val="none"/>
              </w:rPr>
              <w:t xml:space="preserve">    6.本竞争性磋商文件所称的“以上”“以下”“以内”“届满”，包括本数；所称的“不满”“超过”“以外”，不包括本数。</w:t>
            </w:r>
          </w:p>
        </w:tc>
      </w:tr>
    </w:tbl>
    <w:p>
      <w:pPr>
        <w:pStyle w:val="4"/>
        <w:spacing w:line="420" w:lineRule="exact"/>
        <w:jc w:val="center"/>
        <w:rPr>
          <w:rFonts w:hint="eastAsia" w:ascii="宋体" w:hAnsi="宋体"/>
          <w:b w:val="0"/>
          <w:color w:val="auto"/>
          <w:highlight w:val="none"/>
        </w:rPr>
      </w:pPr>
      <w:r>
        <w:rPr>
          <w:rFonts w:ascii="宋体" w:hAnsi="宋体"/>
          <w:b w:val="0"/>
          <w:color w:val="auto"/>
          <w:highlight w:val="none"/>
        </w:rPr>
        <w:br w:type="page"/>
      </w:r>
      <w:bookmarkStart w:id="71" w:name="_Toc30957"/>
      <w:bookmarkStart w:id="72" w:name="_Toc27094"/>
      <w:bookmarkStart w:id="73" w:name="_Toc80886929"/>
      <w:r>
        <w:rPr>
          <w:rFonts w:hint="eastAsia" w:ascii="宋体" w:hAnsi="宋体"/>
          <w:b w:val="0"/>
          <w:color w:val="auto"/>
          <w:highlight w:val="none"/>
        </w:rPr>
        <w:t>第二节 供应商须知正文</w:t>
      </w:r>
      <w:bookmarkEnd w:id="71"/>
      <w:bookmarkEnd w:id="72"/>
      <w:bookmarkEnd w:id="73"/>
    </w:p>
    <w:p>
      <w:pPr>
        <w:pStyle w:val="5"/>
        <w:spacing w:before="0" w:after="0" w:line="360" w:lineRule="auto"/>
        <w:ind w:firstLine="640" w:firstLineChars="200"/>
        <w:rPr>
          <w:rFonts w:hint="eastAsia"/>
          <w:b w:val="0"/>
          <w:color w:val="auto"/>
          <w:highlight w:val="none"/>
        </w:rPr>
      </w:pPr>
      <w:bookmarkStart w:id="74" w:name="_Toc80886930"/>
      <w:bookmarkStart w:id="75" w:name="_Toc6457"/>
      <w:bookmarkStart w:id="76" w:name="_Toc26166"/>
      <w:r>
        <w:rPr>
          <w:rFonts w:hint="eastAsia"/>
          <w:b w:val="0"/>
          <w:color w:val="auto"/>
          <w:highlight w:val="none"/>
        </w:rPr>
        <w:t>一、总则</w:t>
      </w:r>
      <w:bookmarkEnd w:id="74"/>
      <w:bookmarkEnd w:id="75"/>
      <w:bookmarkEnd w:id="76"/>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2.5“竞标”是指供应商按照本项目竞争性磋商公告规定的方式获取磋商文件、提交响应文件并希望获得标的的行为。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是指：供应商根据本磋商文件要求，编制包含资格证明、</w:t>
      </w:r>
      <w:r>
        <w:rPr>
          <w:rFonts w:hint="eastAsia" w:ascii="宋体" w:hAnsi="宋体" w:cs="宋体"/>
          <w:color w:val="auto"/>
          <w:szCs w:val="21"/>
          <w:highlight w:val="none"/>
        </w:rPr>
        <w:t>报价文件、商务和技术文件</w:t>
      </w:r>
      <w:r>
        <w:rPr>
          <w:rFonts w:hint="eastAsia" w:ascii="宋体" w:hAnsi="宋体" w:cs="宋体"/>
          <w:color w:val="auto"/>
          <w:spacing w:val="-6"/>
          <w:szCs w:val="21"/>
          <w:highlight w:val="none"/>
        </w:rPr>
        <w:t>等所有内容的文件。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2.7“实质性要求”是指磋商文件中已经指明不满足则响应文件按无效响应处理的条款，或者不能负偏离的条款，或者采购需求中带“▲”的条款。</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2.8“正偏离”，是指响应文件对磋商文件“采购需求”中有关条款作出的响应优于条款要求并有利于采购人的情形。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2.9“负偏离”，是指响应文件对磋商文件“采购需求”中有关条款作出的响应不满足条款要求，导致采购人要求不能得到满足的情形。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pPr>
        <w:spacing w:line="360" w:lineRule="auto"/>
        <w:ind w:firstLine="420" w:firstLineChars="200"/>
        <w:rPr>
          <w:rFonts w:hint="eastAsia" w:cs="宋体"/>
          <w:color w:val="auto"/>
          <w:szCs w:val="21"/>
          <w:highlight w:val="none"/>
        </w:rPr>
      </w:pPr>
      <w:r>
        <w:rPr>
          <w:rFonts w:hint="eastAsia" w:ascii="宋体" w:hAnsi="宋体" w:cs="宋体"/>
          <w:color w:val="auto"/>
          <w:szCs w:val="21"/>
          <w:highlight w:val="none"/>
        </w:rPr>
        <w:t>2.13“评审报价”是指供应商提</w:t>
      </w:r>
      <w:r>
        <w:rPr>
          <w:rFonts w:hint="eastAsia" w:cs="宋体"/>
          <w:color w:val="auto"/>
          <w:szCs w:val="21"/>
          <w:highlight w:val="none"/>
        </w:rPr>
        <w:t>交的最后报价并经修正（如有）和政策功能价格扣除（如有）后的价格。</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pPr>
        <w:spacing w:line="360" w:lineRule="auto"/>
        <w:ind w:firstLine="420" w:firstLineChars="200"/>
        <w:rPr>
          <w:rFonts w:hint="eastAsia" w:cs="宋体"/>
          <w:color w:val="auto"/>
          <w:szCs w:val="21"/>
          <w:highlight w:val="none"/>
        </w:rPr>
      </w:pPr>
      <w:r>
        <w:rPr>
          <w:rFonts w:hint="eastAsia" w:cs="宋体"/>
          <w:color w:val="auto"/>
          <w:szCs w:val="21"/>
          <w:highlight w:val="none"/>
        </w:rPr>
        <w:t>供应商的资格条件详见“供应商须知前附表”。</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4.磋商费用</w:t>
      </w:r>
    </w:p>
    <w:p>
      <w:pPr>
        <w:spacing w:line="360" w:lineRule="auto"/>
        <w:ind w:firstLine="420" w:firstLineChars="200"/>
        <w:rPr>
          <w:rFonts w:hint="eastAsia" w:cs="宋体"/>
          <w:color w:val="auto"/>
          <w:szCs w:val="21"/>
          <w:highlight w:val="none"/>
        </w:rPr>
      </w:pPr>
      <w:r>
        <w:rPr>
          <w:rFonts w:hint="eastAsia" w:cs="宋体"/>
          <w:color w:val="auto"/>
          <w:szCs w:val="21"/>
          <w:highlight w:val="none"/>
        </w:rPr>
        <w:t>供应商应承担参与本次采购活动有关的所有费用，包括但不限于勘查现场、编制和提交响应文件、参加磋商与应答、签订合同等，不论竞标结果如何，均应自行承担。</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highlight w:val="none"/>
        </w:rPr>
        <w:t>如接受联合体竞标，</w:t>
      </w:r>
      <w:r>
        <w:rPr>
          <w:rFonts w:hint="eastAsia" w:ascii="宋体" w:hAnsi="宋体" w:cs="宋体"/>
          <w:color w:val="auto"/>
          <w:szCs w:val="21"/>
          <w:highlight w:val="none"/>
        </w:rPr>
        <w:t>联合体竞标要求详见“供应商须知前附表”。</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6.1本项目不允许转包。</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6.2本项目是否允许分包详见“供应商须知前附表”，本项目不允许违法分包。</w:t>
      </w:r>
    </w:p>
    <w:p>
      <w:pPr>
        <w:spacing w:line="360" w:lineRule="auto"/>
        <w:ind w:firstLine="482" w:firstLineChars="200"/>
        <w:rPr>
          <w:rFonts w:hint="eastAsia" w:ascii="黑体" w:hAnsi="黑体" w:eastAsia="黑体" w:cs="宋体"/>
          <w:b/>
          <w:bCs/>
          <w:color w:val="auto"/>
          <w:sz w:val="24"/>
          <w:highlight w:val="none"/>
        </w:rPr>
      </w:pPr>
      <w:bookmarkStart w:id="77" w:name="_Toc254970532"/>
      <w:bookmarkStart w:id="78" w:name="_Toc254970673"/>
      <w:r>
        <w:rPr>
          <w:rFonts w:hint="eastAsia" w:ascii="黑体" w:hAnsi="黑体" w:eastAsia="黑体" w:cs="宋体"/>
          <w:b/>
          <w:bCs/>
          <w:color w:val="auto"/>
          <w:sz w:val="24"/>
          <w:highlight w:val="none"/>
        </w:rPr>
        <w:t>7.特别说明</w:t>
      </w:r>
      <w:bookmarkEnd w:id="77"/>
      <w:bookmarkEnd w:id="78"/>
    </w:p>
    <w:p>
      <w:pPr>
        <w:spacing w:line="360" w:lineRule="auto"/>
        <w:ind w:firstLine="420" w:firstLineChars="200"/>
        <w:rPr>
          <w:rFonts w:hint="eastAsia" w:ascii="宋体" w:hAnsi="宋体" w:cs="宋体"/>
          <w:color w:val="auto"/>
          <w:szCs w:val="21"/>
          <w:highlight w:val="none"/>
        </w:rPr>
      </w:pPr>
      <w:bookmarkStart w:id="79" w:name="_8.1提供相同品牌产品且通过资格审查、符合性审查的不同投标人参加同一合"/>
      <w:bookmarkEnd w:id="79"/>
      <w:r>
        <w:rPr>
          <w:rFonts w:hint="eastAsia" w:ascii="宋体" w:hAnsi="宋体" w:cs="宋体"/>
          <w:color w:val="auto"/>
          <w:szCs w:val="21"/>
          <w:highlight w:val="none"/>
        </w:rPr>
        <w:t>7.1</w:t>
      </w:r>
      <w:bookmarkStart w:id="80" w:name="_Hlk65832145"/>
      <w:r>
        <w:rPr>
          <w:rFonts w:hint="eastAsia" w:ascii="宋体" w:hAnsi="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80"/>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7.4在政府采购活动中，采购人员及相关人员与供应商有下列利害关系之一的，应当回避：</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（1）参加采购活动前3年内与供应商存在劳动关系；</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（2）参加采购活动前3年内担任供应商的董事、监事；</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（3）参加采购活动前3年内是供应商的控股股东或者实际控制人；</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（4）与供应商的法定代表人或者负责人有夫妻、直系血亲、三代以内旁系血亲或者近姻亲关系；</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（5）与供应商有其他可能影响政府采购活动公平、公正进行的关系。</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7.5有下列情形之一的视为供应商相互串通竞标，响应文件将被视为无效：</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（1）不同供应商的响应文件由同一单位或者个人编制；或不同</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 xml:space="preserve">报名的IP地址一致的； </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（2）不同供应商委托同一单位或者个人办理竞标事宜；</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（3）不同的供应商的响应文件载明的项目管理员为同一个人；</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（4）不同供应商的响应文件异常一致或者报价呈规律性差异；</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（5）不同供应商的响应文件相互混装；</w:t>
      </w:r>
    </w:p>
    <w:p>
      <w:pPr>
        <w:tabs>
          <w:tab w:val="left" w:pos="6931"/>
        </w:tabs>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（6）不同供应商的磋商保证金从同一单位或者个人账户转出。</w:t>
      </w:r>
      <w:r>
        <w:rPr>
          <w:rFonts w:hint="eastAsia" w:ascii="宋体" w:hAnsi="宋体" w:cs="宋体"/>
          <w:b/>
          <w:bCs/>
          <w:color w:val="auto"/>
          <w:szCs w:val="21"/>
          <w:highlight w:val="none"/>
        </w:rPr>
        <w:tab/>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7.6供应商有下列情形之一的，属于恶意串通行为，将报同级监督管理部门：</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（1）供应商直接或者间接从采购人或者采购代理机构处获得其他供应商的相关信息并修改其响应文件；</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（2）供应商按照采购人或者采购代理机构的授意撤换、修改响应文件；</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（3）供应商之间协商报价、技术方案等响应文件的实质性内容；</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（4）属于同一集团、协会、商会等组织成员的供应商按照该组织要求协同参加政府采购活动；</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（6）供应商之间商定部分供应商放弃参加政府采购活动或者放弃成交；</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（7）供应商与采购人或者采购代理机构之间、供应商相互之间，为谋求特定供应商成交或者排斥其他供应商的其他串通行为。</w:t>
      </w:r>
    </w:p>
    <w:p>
      <w:pPr>
        <w:pStyle w:val="5"/>
        <w:spacing w:before="0" w:after="0" w:line="360" w:lineRule="auto"/>
        <w:ind w:firstLine="640" w:firstLineChars="200"/>
        <w:rPr>
          <w:rFonts w:hint="eastAsia"/>
          <w:b w:val="0"/>
          <w:bCs w:val="0"/>
          <w:color w:val="auto"/>
          <w:highlight w:val="none"/>
        </w:rPr>
      </w:pPr>
      <w:bookmarkStart w:id="81" w:name="_Toc27583"/>
      <w:bookmarkStart w:id="82" w:name="_Toc254970675"/>
      <w:bookmarkStart w:id="83" w:name="_Toc80886931"/>
      <w:bookmarkStart w:id="84" w:name="_Toc12713"/>
      <w:bookmarkStart w:id="85" w:name="_Toc254970534"/>
    </w:p>
    <w:p>
      <w:pPr>
        <w:pStyle w:val="5"/>
        <w:spacing w:before="0" w:after="0" w:line="360" w:lineRule="auto"/>
        <w:ind w:firstLine="640" w:firstLineChars="200"/>
        <w:rPr>
          <w:rFonts w:hint="eastAsia"/>
          <w:b w:val="0"/>
          <w:bCs w:val="0"/>
          <w:color w:val="auto"/>
          <w:highlight w:val="none"/>
        </w:rPr>
      </w:pPr>
      <w:r>
        <w:rPr>
          <w:rFonts w:hint="eastAsia"/>
          <w:b w:val="0"/>
          <w:bCs w:val="0"/>
          <w:color w:val="auto"/>
          <w:highlight w:val="none"/>
        </w:rPr>
        <w:t>二、磋商文件</w:t>
      </w:r>
      <w:bookmarkEnd w:id="81"/>
      <w:bookmarkEnd w:id="82"/>
      <w:bookmarkEnd w:id="83"/>
      <w:bookmarkEnd w:id="84"/>
      <w:bookmarkEnd w:id="85"/>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pPr>
        <w:spacing w:line="360" w:lineRule="auto"/>
        <w:ind w:firstLine="420" w:firstLineChars="200"/>
        <w:jc w:val="left"/>
        <w:rPr>
          <w:rFonts w:hint="eastAsia"/>
          <w:color w:val="auto"/>
          <w:szCs w:val="21"/>
          <w:highlight w:val="none"/>
        </w:rPr>
      </w:pPr>
      <w:r>
        <w:rPr>
          <w:rFonts w:hint="eastAsia"/>
          <w:color w:val="auto"/>
          <w:szCs w:val="21"/>
          <w:highlight w:val="none"/>
        </w:rPr>
        <w:t>第一章 竞争性磋商公告；</w:t>
      </w:r>
    </w:p>
    <w:p>
      <w:pPr>
        <w:spacing w:line="360" w:lineRule="auto"/>
        <w:ind w:firstLine="420" w:firstLineChars="200"/>
        <w:jc w:val="left"/>
        <w:rPr>
          <w:rFonts w:hint="eastAsia"/>
          <w:color w:val="auto"/>
          <w:szCs w:val="21"/>
          <w:highlight w:val="none"/>
        </w:rPr>
      </w:pPr>
      <w:r>
        <w:rPr>
          <w:rFonts w:hint="eastAsia"/>
          <w:color w:val="auto"/>
          <w:szCs w:val="21"/>
          <w:highlight w:val="none"/>
        </w:rPr>
        <w:t>第二章 采购需求；</w:t>
      </w:r>
    </w:p>
    <w:p>
      <w:pPr>
        <w:spacing w:line="360" w:lineRule="auto"/>
        <w:ind w:firstLine="420" w:firstLineChars="200"/>
        <w:jc w:val="left"/>
        <w:rPr>
          <w:rFonts w:hint="eastAsia"/>
          <w:color w:val="auto"/>
          <w:szCs w:val="21"/>
          <w:highlight w:val="none"/>
        </w:rPr>
      </w:pPr>
      <w:r>
        <w:rPr>
          <w:rFonts w:hint="eastAsia"/>
          <w:color w:val="auto"/>
          <w:szCs w:val="21"/>
          <w:highlight w:val="none"/>
        </w:rPr>
        <w:t xml:space="preserve">第三章 供应商须知； </w:t>
      </w:r>
    </w:p>
    <w:p>
      <w:pPr>
        <w:spacing w:line="360" w:lineRule="auto"/>
        <w:ind w:firstLine="420" w:firstLineChars="200"/>
        <w:jc w:val="left"/>
        <w:rPr>
          <w:rFonts w:hint="eastAsia"/>
          <w:color w:val="auto"/>
          <w:szCs w:val="21"/>
          <w:highlight w:val="none"/>
        </w:rPr>
      </w:pPr>
      <w:r>
        <w:rPr>
          <w:rFonts w:hint="eastAsia"/>
          <w:color w:val="auto"/>
          <w:szCs w:val="21"/>
          <w:highlight w:val="none"/>
        </w:rPr>
        <w:t>第四章 评审程序、评审方法和评审标准；</w:t>
      </w:r>
    </w:p>
    <w:p>
      <w:pPr>
        <w:spacing w:line="360" w:lineRule="auto"/>
        <w:ind w:firstLine="420" w:firstLineChars="200"/>
        <w:jc w:val="left"/>
        <w:rPr>
          <w:rFonts w:hint="eastAsia"/>
          <w:color w:val="auto"/>
          <w:szCs w:val="21"/>
          <w:highlight w:val="none"/>
        </w:rPr>
      </w:pPr>
      <w:r>
        <w:rPr>
          <w:rFonts w:hint="eastAsia"/>
          <w:color w:val="auto"/>
          <w:szCs w:val="21"/>
          <w:highlight w:val="none"/>
        </w:rPr>
        <w:t>第五章 响应文件格式；</w:t>
      </w:r>
    </w:p>
    <w:p>
      <w:pPr>
        <w:spacing w:line="360" w:lineRule="auto"/>
        <w:ind w:firstLine="420" w:firstLineChars="200"/>
        <w:jc w:val="left"/>
        <w:rPr>
          <w:rFonts w:hint="eastAsia"/>
          <w:color w:val="auto"/>
          <w:szCs w:val="21"/>
          <w:highlight w:val="none"/>
        </w:rPr>
      </w:pPr>
      <w:r>
        <w:rPr>
          <w:rFonts w:hint="eastAsia"/>
          <w:color w:val="auto"/>
          <w:szCs w:val="21"/>
          <w:highlight w:val="none"/>
        </w:rPr>
        <w:t>第六章 合同文本；</w:t>
      </w:r>
    </w:p>
    <w:p>
      <w:pPr>
        <w:spacing w:line="360" w:lineRule="auto"/>
        <w:ind w:firstLine="420" w:firstLineChars="200"/>
        <w:jc w:val="left"/>
        <w:rPr>
          <w:rFonts w:hint="eastAsia"/>
          <w:color w:val="auto"/>
          <w:szCs w:val="21"/>
          <w:highlight w:val="none"/>
        </w:rPr>
      </w:pPr>
      <w:r>
        <w:rPr>
          <w:rFonts w:hint="eastAsia"/>
          <w:color w:val="auto"/>
          <w:szCs w:val="21"/>
          <w:highlight w:val="none"/>
        </w:rPr>
        <w:t>第七章 质疑、投诉材料格式。</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pPr>
        <w:spacing w:line="360" w:lineRule="auto"/>
        <w:ind w:firstLine="420" w:firstLineChars="200"/>
        <w:rPr>
          <w:rFonts w:hint="eastAsia"/>
          <w:color w:val="auto"/>
          <w:szCs w:val="21"/>
          <w:highlight w:val="none"/>
        </w:rPr>
      </w:pPr>
      <w:r>
        <w:rPr>
          <w:rFonts w:hint="eastAsia"/>
          <w:color w:val="auto"/>
          <w:szCs w:val="21"/>
          <w:highlight w:val="none"/>
        </w:rPr>
        <w:t>供应商应认真阅读磋商文件的采购需求，如供应商对磋商文件有疑问的，如要求采购人作出澄清或者修改的，供应商应在</w:t>
      </w:r>
      <w:r>
        <w:rPr>
          <w:color w:val="auto"/>
          <w:szCs w:val="21"/>
          <w:highlight w:val="none"/>
        </w:rPr>
        <w:t>提交首次响应文件截止之日前</w:t>
      </w:r>
      <w:r>
        <w:rPr>
          <w:rFonts w:hint="eastAsia"/>
          <w:color w:val="auto"/>
          <w:szCs w:val="21"/>
          <w:highlight w:val="none"/>
        </w:rPr>
        <w:t>，以书面形式向</w:t>
      </w:r>
      <w:r>
        <w:rPr>
          <w:color w:val="auto"/>
          <w:szCs w:val="21"/>
          <w:highlight w:val="none"/>
        </w:rPr>
        <w:t>采购人、采购代理机构</w:t>
      </w:r>
      <w:r>
        <w:rPr>
          <w:rFonts w:hint="eastAsia"/>
          <w:color w:val="auto"/>
          <w:szCs w:val="21"/>
          <w:highlight w:val="none"/>
        </w:rPr>
        <w:t>提出。</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时间。澄清或者更正公告在竞争性磋商公告发布媒体上发布，一经发布，视作已以书面形式通知所有获取竞争性磋商文件的潜在供应商，不再另行通知，所有潜在供应商应密切关注竞争性磋商公告发布媒体，因未能及时获知，由此产生的后果均应自行承担。</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10.4</w:t>
      </w:r>
      <w:r>
        <w:rPr>
          <w:rFonts w:hint="eastAsia" w:ascii="宋体" w:hAnsi="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10.5  采购人和采购代理机构可以视采购具体情况，变更提交首次响应文件截止时间和竞谈时间，将变更时间将在</w:t>
      </w:r>
      <w:r>
        <w:rPr>
          <w:rFonts w:hint="eastAsia" w:ascii="宋体" w:hAnsi="宋体" w:cs="宋体"/>
          <w:color w:val="auto"/>
          <w:highlight w:val="none"/>
          <w:lang w:eastAsia="zh-CN"/>
        </w:rPr>
        <w:t>“</w:t>
      </w:r>
      <w:r>
        <w:rPr>
          <w:rFonts w:hint="eastAsia" w:ascii="宋体" w:hAnsi="宋体" w:cs="宋体"/>
          <w:color w:val="auto"/>
          <w:highlight w:val="none"/>
        </w:rPr>
        <w:t>竞争性磋商公告”中“七、其他补充事宜2.网上查询地址”规定的政府采购信息发布媒体上发布更正公告。</w:t>
      </w:r>
    </w:p>
    <w:p>
      <w:pPr>
        <w:spacing w:line="360" w:lineRule="auto"/>
        <w:ind w:firstLine="400" w:firstLineChars="200"/>
        <w:rPr>
          <w:rFonts w:hint="eastAsia" w:ascii="宋体" w:hAnsi="宋体" w:cs="宋体"/>
          <w:color w:val="auto"/>
          <w:kern w:val="0"/>
          <w:sz w:val="20"/>
          <w:szCs w:val="21"/>
          <w:highlight w:val="none"/>
        </w:rPr>
      </w:pPr>
      <w:r>
        <w:rPr>
          <w:rFonts w:hint="eastAsia" w:ascii="宋体" w:hAnsi="宋体" w:cs="宋体"/>
          <w:color w:val="auto"/>
          <w:kern w:val="0"/>
          <w:sz w:val="20"/>
          <w:szCs w:val="21"/>
          <w:highlight w:val="none"/>
        </w:rPr>
        <w:t>▲</w:t>
      </w:r>
      <w:r>
        <w:rPr>
          <w:rFonts w:hint="eastAsia" w:ascii="宋体" w:hAnsi="宋体" w:cs="宋体"/>
          <w:b/>
          <w:color w:val="auto"/>
          <w:kern w:val="0"/>
          <w:sz w:val="20"/>
          <w:szCs w:val="21"/>
          <w:highlight w:val="none"/>
        </w:rPr>
        <w:t>响应文件未按磋商文件的澄清、修改的内容编制，又不符合实质性要求的，其响应文件按无效处理。</w:t>
      </w:r>
    </w:p>
    <w:p>
      <w:pPr>
        <w:pStyle w:val="5"/>
        <w:spacing w:before="0" w:after="0" w:line="360" w:lineRule="auto"/>
        <w:ind w:firstLine="320" w:firstLineChars="100"/>
        <w:rPr>
          <w:rFonts w:hint="eastAsia"/>
          <w:b w:val="0"/>
          <w:bCs w:val="0"/>
          <w:color w:val="auto"/>
          <w:highlight w:val="none"/>
        </w:rPr>
      </w:pPr>
      <w:r>
        <w:rPr>
          <w:rFonts w:hint="eastAsia"/>
          <w:b w:val="0"/>
          <w:bCs w:val="0"/>
          <w:color w:val="auto"/>
          <w:highlight w:val="none"/>
        </w:rPr>
        <w:t xml:space="preserve"> </w:t>
      </w:r>
    </w:p>
    <w:p>
      <w:pPr>
        <w:pStyle w:val="5"/>
        <w:spacing w:before="0" w:after="0" w:line="360" w:lineRule="auto"/>
        <w:ind w:firstLine="320" w:firstLineChars="100"/>
        <w:rPr>
          <w:rFonts w:hint="eastAsia"/>
          <w:b w:val="0"/>
          <w:bCs w:val="0"/>
          <w:color w:val="auto"/>
          <w:highlight w:val="none"/>
        </w:rPr>
      </w:pPr>
      <w:r>
        <w:rPr>
          <w:rFonts w:hint="eastAsia"/>
          <w:b w:val="0"/>
          <w:bCs w:val="0"/>
          <w:color w:val="auto"/>
          <w:highlight w:val="none"/>
        </w:rPr>
        <w:t xml:space="preserve"> </w:t>
      </w:r>
      <w:bookmarkStart w:id="86" w:name="_Toc21690"/>
      <w:bookmarkStart w:id="87" w:name="_Toc21480"/>
      <w:bookmarkStart w:id="88" w:name="_Toc80886932"/>
      <w:r>
        <w:rPr>
          <w:rFonts w:hint="eastAsia"/>
          <w:b w:val="0"/>
          <w:bCs w:val="0"/>
          <w:color w:val="auto"/>
          <w:highlight w:val="none"/>
        </w:rPr>
        <w:t>三、响应文件的编制</w:t>
      </w:r>
      <w:bookmarkEnd w:id="86"/>
      <w:bookmarkEnd w:id="87"/>
      <w:bookmarkEnd w:id="88"/>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pPr>
        <w:spacing w:line="360" w:lineRule="auto"/>
        <w:ind w:firstLine="420" w:firstLineChars="200"/>
        <w:rPr>
          <w:rFonts w:hint="eastAsia" w:cs="宋体"/>
          <w:color w:val="auto"/>
          <w:szCs w:val="21"/>
          <w:highlight w:val="none"/>
        </w:rPr>
      </w:pPr>
      <w:r>
        <w:rPr>
          <w:rFonts w:hint="eastAsia" w:cs="宋体"/>
          <w:color w:val="auto"/>
          <w:szCs w:val="21"/>
          <w:highlight w:val="none"/>
        </w:rPr>
        <w:t>供应商必须按照磋商文件的要求编制响应文件，并对其提交的响应文件的真实性、合法性承担法律责任。响应文件必须对磋商文件作出实质性响应。</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12.1响应文件由资格证明文件、报价文件、商务和技术文件三部分组成。</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12.1.2商务技术文件：详见供应商须知前附表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12.1.3报价文件：详见供应商须知前附表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12.2响应文件电子版：详见供应商须知前附表</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pPr>
        <w:spacing w:line="360" w:lineRule="auto"/>
        <w:ind w:firstLine="420" w:firstLineChars="200"/>
        <w:rPr>
          <w:rFonts w:hint="eastAsia" w:cs="宋体"/>
          <w:color w:val="auto"/>
          <w:szCs w:val="21"/>
          <w:highlight w:val="none"/>
        </w:rPr>
      </w:pPr>
      <w:r>
        <w:rPr>
          <w:rFonts w:hint="eastAsia" w:cs="宋体"/>
          <w:color w:val="auto"/>
          <w:szCs w:val="21"/>
          <w:highlight w:val="none"/>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pPr>
        <w:spacing w:line="360" w:lineRule="auto"/>
        <w:ind w:firstLine="420" w:firstLineChars="200"/>
        <w:rPr>
          <w:rFonts w:hint="eastAsia" w:cs="宋体"/>
          <w:color w:val="auto"/>
          <w:szCs w:val="21"/>
          <w:highlight w:val="none"/>
        </w:rPr>
      </w:pPr>
      <w:r>
        <w:rPr>
          <w:rFonts w:hint="eastAsia" w:cs="宋体"/>
          <w:color w:val="auto"/>
          <w:szCs w:val="21"/>
          <w:highlight w:val="none"/>
        </w:rPr>
        <w:t>供应商没有按照磋商文件要求提供全部资料，或者供应商没有对磋商文件在各方面作出实质性响应可能导致其响应无效，是供应商应当考虑的风险。</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15.响应报价要求和构成</w:t>
      </w:r>
    </w:p>
    <w:p>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15.1响应报价应按“第五章 响应文件格式”中“响应报价表”格式填写。</w:t>
      </w:r>
    </w:p>
    <w:p>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15.2响应报价的价格构成见“供应商须知前附表”。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15.3响应报价要求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15.3.1供应商的响应报价应符合以下要求，否则响应文件按无效响应处理：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（1）供应商必须就“采购需求”中所竞标的项目/每个分标的全部内容分别作完整唯一总价报价，不得存在漏项报价；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（2）供应商必须就所竞标的项目/分标的单项内容作唯一报价。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15.3.2响应报价（包含首次报价、最后报价）超过所竞标项目/分标规定的采购预算金额或者最高限价的（如本项目公布了最高限价），其响应文件将按无效处理。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15.3.3</w:t>
      </w:r>
      <w:bookmarkStart w:id="89" w:name="_Hlk42592874"/>
      <w:r>
        <w:rPr>
          <w:rFonts w:hint="eastAsia" w:ascii="宋体" w:hAnsi="宋体" w:cs="宋体"/>
          <w:color w:val="auto"/>
          <w:szCs w:val="21"/>
          <w:highlight w:val="none"/>
        </w:rPr>
        <w:t>响应报价（包含首次报价、最后报价）超过分项采购预算金额或者最高限价的（如本项目公布了最高限价），其响应文件将按无效处理。</w:t>
      </w:r>
    </w:p>
    <w:bookmarkEnd w:id="89"/>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pPr>
        <w:spacing w:line="360" w:lineRule="auto"/>
        <w:ind w:firstLine="482" w:firstLineChars="200"/>
        <w:rPr>
          <w:rFonts w:hint="eastAsia" w:ascii="黑体" w:hAnsi="黑体" w:eastAsia="黑体" w:cs="宋体"/>
          <w:b/>
          <w:bCs/>
          <w:i/>
          <w:iCs/>
          <w:color w:val="auto"/>
          <w:sz w:val="24"/>
          <w:highlight w:val="none"/>
        </w:rPr>
      </w:pPr>
      <w:r>
        <w:rPr>
          <w:rFonts w:hint="eastAsia" w:ascii="黑体" w:hAnsi="黑体" w:eastAsia="黑体" w:cs="宋体"/>
          <w:b/>
          <w:bCs/>
          <w:color w:val="auto"/>
          <w:sz w:val="24"/>
          <w:highlight w:val="none"/>
        </w:rPr>
        <w:t>17.磋商保证金</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17.2磋商保证金的退还</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17.2.1未</w:t>
      </w:r>
      <w:r>
        <w:rPr>
          <w:rFonts w:hint="eastAsia" w:ascii="宋体" w:hAnsi="宋体" w:cs="宋体"/>
          <w:color w:val="auto"/>
          <w:spacing w:val="-6"/>
          <w:szCs w:val="21"/>
          <w:highlight w:val="none"/>
        </w:rPr>
        <w:t>成交供应商的磋商保证金自成交通知书发出之日起</w:t>
      </w:r>
      <w:r>
        <w:rPr>
          <w:rFonts w:hint="eastAsia" w:ascii="宋体" w:hAnsi="宋体" w:cs="宋体"/>
          <w:color w:val="auto"/>
          <w:spacing w:val="-6"/>
          <w:szCs w:val="21"/>
          <w:highlight w:val="none"/>
          <w:lang w:eastAsia="zh-CN"/>
        </w:rPr>
        <w:t>5个工作日</w:t>
      </w:r>
      <w:r>
        <w:rPr>
          <w:rFonts w:hint="eastAsia" w:ascii="宋体" w:hAnsi="宋体" w:cs="宋体"/>
          <w:color w:val="auto"/>
          <w:spacing w:val="-6"/>
          <w:szCs w:val="21"/>
          <w:highlight w:val="none"/>
        </w:rPr>
        <w:t>内退还，退还方式如下：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（1）采用银行转账方式的，以转账方式退回到供应商银行账户。</w:t>
      </w:r>
    </w:p>
    <w:p>
      <w:pPr>
        <w:pStyle w:val="8"/>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采用支票、汇票、本票或者金融机构、担保机构出具的保函等方式的，由供应商代表持相关授权证明材料至采购代理机构办理支票、汇票、本票或者金融机构、担保机构出具的保函等原件退还手续。</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17.2.2成交供应商的磋商保证金自签订合同之日起</w:t>
      </w:r>
      <w:r>
        <w:rPr>
          <w:rFonts w:hint="eastAsia" w:ascii="宋体" w:hAnsi="宋体" w:cs="宋体"/>
          <w:color w:val="auto"/>
          <w:szCs w:val="21"/>
          <w:highlight w:val="none"/>
          <w:lang w:eastAsia="zh-CN"/>
        </w:rPr>
        <w:t>5个工作日</w:t>
      </w:r>
      <w:r>
        <w:rPr>
          <w:rFonts w:hint="eastAsia" w:ascii="宋体" w:hAnsi="宋体" w:cs="宋体"/>
          <w:color w:val="auto"/>
          <w:szCs w:val="21"/>
          <w:highlight w:val="none"/>
        </w:rPr>
        <w:t xml:space="preserve">内退还，退还方式同未成交供应商的磋商保证金的退还方式；或者转为成交供应商的履约保证金。 </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17.3磋商保证金不计息。</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（2）供应商在响应文件中提供虚假材料的；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（3）除因不可抗力或者磋商文件认可的情形以外，成交供应商不与采购人签订合同的；</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（4）供应商与采购人、其他供应商或者采购代理机构恶意串通的；</w:t>
      </w:r>
    </w:p>
    <w:p>
      <w:pPr>
        <w:spacing w:line="360" w:lineRule="auto"/>
        <w:ind w:left="420" w:leftChars="200"/>
        <w:rPr>
          <w:rFonts w:cs="宋体"/>
          <w:color w:val="auto"/>
          <w:szCs w:val="21"/>
          <w:highlight w:val="none"/>
        </w:rPr>
      </w:pPr>
      <w:r>
        <w:rPr>
          <w:rFonts w:hint="eastAsia" w:ascii="宋体" w:hAnsi="宋体" w:cs="宋体"/>
          <w:color w:val="auto"/>
          <w:szCs w:val="21"/>
          <w:highlight w:val="none"/>
        </w:rPr>
        <w:t>（5）磋商文件规定的其他情形。</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zCs w:val="21"/>
          <w:highlight w:val="none"/>
        </w:rPr>
        <w:t>后果由供应商承担。</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18.2响应文件应按资格证明文件、报价文件分别编制，商务技术文件合并编制，本磋商只接受电子版响应文件，要求见本章“12.2响应文件电子版要求”。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w:t>
      </w:r>
      <w:bookmarkStart w:id="90" w:name="_Hlk65832699"/>
      <w:r>
        <w:rPr>
          <w:rFonts w:hint="eastAsia" w:ascii="宋体" w:hAnsi="宋体" w:cs="宋体"/>
          <w:color w:val="auto"/>
          <w:szCs w:val="21"/>
          <w:highlight w:val="none"/>
        </w:rPr>
        <w:t>3响应文件须由供应商按</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第五章 响应文件格式</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要求进行签署、盖章</w:t>
      </w:r>
      <w:bookmarkEnd w:id="90"/>
      <w:r>
        <w:rPr>
          <w:rFonts w:hint="eastAsia" w:ascii="宋体" w:hAnsi="宋体" w:cs="宋体"/>
          <w:color w:val="auto"/>
          <w:szCs w:val="21"/>
          <w:highlight w:val="none"/>
        </w:rPr>
        <w:t>，</w:t>
      </w:r>
      <w:r>
        <w:rPr>
          <w:rFonts w:hint="eastAsia" w:ascii="宋体" w:hAnsi="宋体" w:cs="宋体"/>
          <w:b/>
          <w:bCs/>
          <w:color w:val="auto"/>
          <w:szCs w:val="21"/>
          <w:highlight w:val="none"/>
        </w:rPr>
        <w:t>否则其响应文件按无效响应处理</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18.4响应文件中标注的供应商名称应与营业执照（事业单位法人证书、执业许可证、自然人身份证）及供应商公章一致，</w:t>
      </w:r>
      <w:r>
        <w:rPr>
          <w:rFonts w:hint="eastAsia" w:ascii="宋体" w:hAnsi="宋体" w:cs="宋体"/>
          <w:b/>
          <w:bCs/>
          <w:color w:val="auto"/>
          <w:szCs w:val="21"/>
          <w:highlight w:val="none"/>
        </w:rPr>
        <w:t>否则其响应文件按无效响应处理。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18.5响应文件应避免涂改、行间插字或者删除。</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19.响应文件的密封和标记</w:t>
      </w:r>
    </w:p>
    <w:p>
      <w:pPr>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19.1供应商进行电子交易应安装客户端软件，并按照磋商文件和电子交易平台的要求编制并加密响应文件。供应商未按规定加密的响应文件，电子交易平台将拒收并提示。</w:t>
      </w:r>
    </w:p>
    <w:p>
      <w:pPr>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19.2使用广西政府采购云平台电子交易客户端需要提前申领CA数字证书。</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19.3为确保网上操作合法、有效和安全，供应商应当在响应文件提交截止时间前完成在“</w:t>
      </w:r>
      <w:r>
        <w:rPr>
          <w:rFonts w:hint="eastAsia" w:ascii="宋体" w:hAnsi="宋体" w:cs="宋体"/>
          <w:color w:val="auto"/>
          <w:kern w:val="0"/>
          <w:szCs w:val="21"/>
          <w:highlight w:val="none"/>
          <w:lang w:val="en-US" w:eastAsia="zh-CN"/>
        </w:rPr>
        <w:t>广西</w:t>
      </w:r>
      <w:r>
        <w:rPr>
          <w:rFonts w:hint="eastAsia" w:ascii="宋体" w:hAnsi="宋体" w:cs="宋体"/>
          <w:color w:val="auto"/>
          <w:kern w:val="0"/>
          <w:szCs w:val="21"/>
          <w:highlight w:val="none"/>
        </w:rPr>
        <w:t>政府采购云平台”的身份认证，确保在电子交易过程中能够对相关数据电文进行加密和使用电子签名。</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20.2 在响应文件提交截止时间以后，不能补充、修改响应文件。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20.3 在提交“最后报价”后，供应商不能退出磋商。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20.5 采购机构不可视情况延长提交响应文件的截止时间。</w:t>
      </w:r>
    </w:p>
    <w:p>
      <w:pPr>
        <w:spacing w:line="360" w:lineRule="auto"/>
        <w:ind w:firstLine="420" w:firstLineChars="200"/>
        <w:rPr>
          <w:rFonts w:hint="eastAsia" w:ascii="宋体" w:hAnsi="宋体" w:cs="宋体"/>
          <w:color w:val="auto"/>
          <w:sz w:val="24"/>
          <w:highlight w:val="none"/>
        </w:rPr>
      </w:pPr>
      <w:r>
        <w:rPr>
          <w:rFonts w:hint="eastAsia" w:ascii="宋体" w:hAnsi="宋体" w:cs="宋体"/>
          <w:color w:val="auto"/>
          <w:szCs w:val="21"/>
          <w:highlight w:val="none"/>
        </w:rPr>
        <w:t>20.6备份响应文件。</w:t>
      </w:r>
      <w:r>
        <w:rPr>
          <w:rFonts w:hint="eastAsia" w:ascii="宋体" w:hAnsi="宋体" w:cs="宋体"/>
          <w:bCs/>
          <w:color w:val="auto"/>
          <w:szCs w:val="21"/>
          <w:highlight w:val="none"/>
        </w:rPr>
        <w:t>详见“供应商须知前附表”。</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pPr>
        <w:spacing w:line="360" w:lineRule="auto"/>
        <w:ind w:firstLine="420" w:firstLineChars="200"/>
        <w:rPr>
          <w:rFonts w:hint="eastAsia" w:cs="宋体"/>
          <w:color w:val="auto"/>
          <w:szCs w:val="21"/>
          <w:highlight w:val="none"/>
        </w:rPr>
      </w:pPr>
      <w:r>
        <w:rPr>
          <w:rFonts w:hint="eastAsia" w:cs="宋体"/>
          <w:color w:val="auto"/>
          <w:szCs w:val="21"/>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pPr>
        <w:spacing w:line="360" w:lineRule="auto"/>
        <w:ind w:firstLine="482" w:firstLineChars="200"/>
        <w:rPr>
          <w:rFonts w:ascii="黑体" w:hAnsi="黑体" w:eastAsia="黑体" w:cs="宋体"/>
          <w:b/>
          <w:bCs/>
          <w:color w:val="auto"/>
          <w:sz w:val="24"/>
          <w:highlight w:val="none"/>
        </w:rPr>
      </w:pPr>
      <w:bookmarkStart w:id="91" w:name="_Hlk45702405"/>
      <w:r>
        <w:rPr>
          <w:rFonts w:hint="eastAsia" w:ascii="黑体" w:hAnsi="黑体" w:eastAsia="黑体" w:cs="宋体"/>
          <w:b/>
          <w:bCs/>
          <w:color w:val="auto"/>
          <w:sz w:val="24"/>
          <w:highlight w:val="none"/>
        </w:rPr>
        <w:t>22. 首次响应文件的退回</w:t>
      </w:r>
    </w:p>
    <w:p>
      <w:pPr>
        <w:spacing w:line="360" w:lineRule="auto"/>
        <w:ind w:firstLine="420" w:firstLineChars="200"/>
        <w:rPr>
          <w:rFonts w:hint="eastAsia" w:cs="宋体"/>
          <w:color w:val="auto"/>
          <w:szCs w:val="21"/>
          <w:highlight w:val="none"/>
        </w:rPr>
      </w:pPr>
      <w:r>
        <w:rPr>
          <w:rFonts w:hint="eastAsia" w:cs="宋体"/>
          <w:color w:val="auto"/>
          <w:szCs w:val="21"/>
          <w:highlight w:val="none"/>
        </w:rPr>
        <w:t>在首次响应文件提交截止时间止提交响应文件的供应商不足3家时</w:t>
      </w:r>
      <w:r>
        <w:rPr>
          <w:rFonts w:hint="eastAsia" w:cs="宋体"/>
          <w:color w:val="auto"/>
          <w:szCs w:val="21"/>
          <w:highlight w:val="none"/>
          <w:lang w:eastAsia="zh-CN"/>
        </w:rPr>
        <w:t>，</w:t>
      </w:r>
      <w:r>
        <w:rPr>
          <w:rFonts w:hint="eastAsia" w:cs="宋体"/>
          <w:color w:val="auto"/>
          <w:szCs w:val="21"/>
          <w:highlight w:val="none"/>
        </w:rPr>
        <w:t>电子响应文件</w:t>
      </w:r>
      <w:r>
        <w:rPr>
          <w:rFonts w:hint="eastAsia" w:cs="宋体"/>
          <w:color w:val="auto"/>
          <w:szCs w:val="21"/>
          <w:highlight w:val="none"/>
          <w:lang w:val="en-US" w:eastAsia="zh-CN"/>
        </w:rPr>
        <w:t>的退回</w:t>
      </w:r>
      <w:r>
        <w:rPr>
          <w:rFonts w:hint="eastAsia" w:cs="宋体"/>
          <w:color w:val="auto"/>
          <w:szCs w:val="21"/>
          <w:highlight w:val="none"/>
        </w:rPr>
        <w:t>由</w:t>
      </w:r>
      <w:r>
        <w:rPr>
          <w:rFonts w:hint="eastAsia" w:cs="宋体"/>
          <w:color w:val="auto"/>
          <w:szCs w:val="21"/>
          <w:highlight w:val="none"/>
          <w:lang w:eastAsia="zh-CN"/>
        </w:rPr>
        <w:t>广西政府采购云平台</w:t>
      </w:r>
      <w:r>
        <w:rPr>
          <w:rFonts w:hint="eastAsia" w:cs="宋体"/>
          <w:color w:val="auto"/>
          <w:szCs w:val="21"/>
          <w:highlight w:val="none"/>
          <w:lang w:val="en-US" w:eastAsia="zh-CN"/>
        </w:rPr>
        <w:t>自动</w:t>
      </w:r>
      <w:r>
        <w:rPr>
          <w:rFonts w:hint="eastAsia" w:cs="宋体"/>
          <w:color w:val="auto"/>
          <w:szCs w:val="21"/>
          <w:highlight w:val="none"/>
        </w:rPr>
        <w:t>操作。</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 截止时间后的撤回</w:t>
      </w:r>
    </w:p>
    <w:bookmarkEnd w:id="91"/>
    <w:p>
      <w:pPr>
        <w:pStyle w:val="16"/>
        <w:spacing w:line="360" w:lineRule="auto"/>
        <w:ind w:firstLine="420" w:firstLineChars="200"/>
        <w:rPr>
          <w:rFonts w:hint="eastAsia" w:cs="宋体"/>
          <w:i/>
          <w:iCs/>
          <w:color w:val="auto"/>
          <w:szCs w:val="21"/>
          <w:highlight w:val="none"/>
        </w:rPr>
      </w:pPr>
      <w:r>
        <w:rPr>
          <w:rFonts w:hint="eastAsia"/>
          <w:color w:val="auto"/>
          <w:highlight w:val="none"/>
        </w:rPr>
        <w:t>供应商在首次响应文件提交截止时间后向采购人、采购代理机构书面申请撤回电子响应文件的，将根据本须知正文17.4的规定不予退还其磋商保证金（如有）。</w:t>
      </w:r>
    </w:p>
    <w:p>
      <w:pPr>
        <w:pStyle w:val="5"/>
        <w:spacing w:before="0" w:after="0" w:line="360" w:lineRule="auto"/>
        <w:ind w:firstLine="640" w:firstLineChars="200"/>
        <w:rPr>
          <w:rFonts w:hint="eastAsia"/>
          <w:b w:val="0"/>
          <w:bCs w:val="0"/>
          <w:color w:val="auto"/>
          <w:highlight w:val="none"/>
        </w:rPr>
      </w:pPr>
      <w:r>
        <w:rPr>
          <w:rFonts w:hint="eastAsia"/>
          <w:b w:val="0"/>
          <w:bCs w:val="0"/>
          <w:color w:val="auto"/>
          <w:highlight w:val="none"/>
        </w:rPr>
        <w:t xml:space="preserve"> </w:t>
      </w:r>
      <w:bookmarkStart w:id="92" w:name="_Toc80886933"/>
      <w:bookmarkStart w:id="93" w:name="_Toc20044"/>
      <w:bookmarkStart w:id="94" w:name="_Toc17876"/>
    </w:p>
    <w:p>
      <w:pPr>
        <w:pStyle w:val="5"/>
        <w:spacing w:before="0" w:after="0" w:line="360" w:lineRule="auto"/>
        <w:ind w:firstLine="640" w:firstLineChars="200"/>
        <w:rPr>
          <w:rFonts w:hint="eastAsia"/>
          <w:b w:val="0"/>
          <w:bCs w:val="0"/>
          <w:color w:val="auto"/>
          <w:highlight w:val="none"/>
        </w:rPr>
      </w:pPr>
      <w:r>
        <w:rPr>
          <w:rFonts w:hint="eastAsia"/>
          <w:b w:val="0"/>
          <w:bCs w:val="0"/>
          <w:color w:val="auto"/>
          <w:highlight w:val="none"/>
        </w:rPr>
        <w:t>四、评审及磋商</w:t>
      </w:r>
      <w:bookmarkEnd w:id="92"/>
      <w:bookmarkEnd w:id="93"/>
      <w:bookmarkEnd w:id="94"/>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25.1首次响应文件由磋商小组或者采购代理机构在“供应商须知前附表”规定的时间开启。</w:t>
      </w:r>
    </w:p>
    <w:p>
      <w:pPr>
        <w:spacing w:line="360" w:lineRule="auto"/>
        <w:ind w:firstLine="420" w:firstLineChars="200"/>
        <w:rPr>
          <w:rFonts w:hint="eastAsia" w:ascii="宋体" w:hAnsi="宋体" w:cs="宋体"/>
          <w:bCs/>
          <w:color w:val="auto"/>
          <w:kern w:val="0"/>
          <w:szCs w:val="21"/>
          <w:highlight w:val="none"/>
        </w:rPr>
      </w:pPr>
      <w:r>
        <w:rPr>
          <w:rFonts w:hint="eastAsia" w:ascii="宋体" w:hAnsi="宋体" w:cs="宋体"/>
          <w:color w:val="auto"/>
          <w:kern w:val="0"/>
          <w:szCs w:val="21"/>
          <w:highlight w:val="none"/>
        </w:rPr>
        <w:t xml:space="preserve">25.2 </w:t>
      </w:r>
      <w:r>
        <w:rPr>
          <w:rFonts w:hint="eastAsia" w:ascii="宋体" w:hAnsi="宋体" w:cs="宋体"/>
          <w:bCs/>
          <w:color w:val="auto"/>
          <w:kern w:val="0"/>
          <w:szCs w:val="21"/>
          <w:highlight w:val="none"/>
        </w:rPr>
        <w:t>响应文件解密</w:t>
      </w:r>
    </w:p>
    <w:p>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bCs/>
          <w:color w:val="auto"/>
          <w:kern w:val="0"/>
          <w:szCs w:val="21"/>
          <w:highlight w:val="none"/>
        </w:rPr>
        <w:t>采购代理机构将在“供应商须知前附表”规定的时</w:t>
      </w:r>
      <w:r>
        <w:rPr>
          <w:rFonts w:hint="eastAsia" w:ascii="宋体" w:hAnsi="宋体" w:cs="宋体"/>
          <w:color w:val="auto"/>
          <w:kern w:val="0"/>
          <w:szCs w:val="21"/>
          <w:highlight w:val="none"/>
        </w:rPr>
        <w:t>间通过电子交易平台组织响应文件开启，采购机构依托电子交易平台发起开始解密指令，供应商的法定代表人或其委托代理人</w:t>
      </w:r>
      <w:r>
        <w:rPr>
          <w:rFonts w:hint="eastAsia" w:ascii="宋体" w:hAnsi="宋体" w:cs="宋体"/>
          <w:b/>
          <w:color w:val="auto"/>
          <w:kern w:val="0"/>
          <w:szCs w:val="21"/>
          <w:highlight w:val="none"/>
        </w:rPr>
        <w:t>须携带加密时所用的CA锁按平台提示和采购文件的规定登录到</w:t>
      </w:r>
      <w:r>
        <w:rPr>
          <w:rFonts w:hint="eastAsia" w:ascii="宋体" w:hAnsi="宋体" w:cs="宋体"/>
          <w:b/>
          <w:color w:val="auto"/>
          <w:kern w:val="0"/>
          <w:szCs w:val="21"/>
          <w:highlight w:val="none"/>
          <w:lang w:eastAsia="zh-CN"/>
        </w:rPr>
        <w:t>广西政府采购云平台</w:t>
      </w:r>
      <w:r>
        <w:rPr>
          <w:rFonts w:hint="eastAsia" w:ascii="宋体" w:hAnsi="宋体" w:cs="宋体"/>
          <w:b/>
          <w:color w:val="auto"/>
          <w:kern w:val="0"/>
          <w:szCs w:val="21"/>
          <w:highlight w:val="none"/>
        </w:rPr>
        <w:t>电子开标大厅签到并在规定的时间内完成对电子响应文件在线解密</w:t>
      </w:r>
      <w:r>
        <w:rPr>
          <w:rFonts w:hint="eastAsia" w:ascii="宋体" w:hAnsi="宋体" w:cs="宋体"/>
          <w:color w:val="auto"/>
          <w:kern w:val="0"/>
          <w:szCs w:val="21"/>
          <w:highlight w:val="none"/>
        </w:rPr>
        <w:t>。</w:t>
      </w:r>
      <w:r>
        <w:rPr>
          <w:rFonts w:hint="eastAsia" w:ascii="宋体" w:hAnsi="宋体" w:cs="宋体"/>
          <w:color w:val="auto"/>
          <w:kern w:val="1"/>
          <w:szCs w:val="21"/>
          <w:highlight w:val="none"/>
        </w:rPr>
        <w:t>响应文件未按时解密的</w:t>
      </w:r>
      <w:r>
        <w:rPr>
          <w:rFonts w:hint="eastAsia" w:ascii="宋体" w:hAnsi="宋体" w:cs="宋体"/>
          <w:color w:val="auto"/>
          <w:kern w:val="0"/>
          <w:szCs w:val="21"/>
          <w:highlight w:val="none"/>
        </w:rPr>
        <w:t>，</w:t>
      </w:r>
      <w:r>
        <w:rPr>
          <w:rFonts w:hint="eastAsia" w:ascii="宋体" w:hAnsi="宋体" w:cs="宋体"/>
          <w:b/>
          <w:color w:val="auto"/>
          <w:kern w:val="0"/>
          <w:szCs w:val="21"/>
          <w:highlight w:val="none"/>
        </w:rPr>
        <w:t>视为响应文件无效。</w:t>
      </w:r>
      <w:r>
        <w:rPr>
          <w:rFonts w:hint="eastAsia" w:ascii="宋体" w:hAnsi="宋体" w:cs="宋体"/>
          <w:color w:val="auto"/>
          <w:kern w:val="0"/>
          <w:szCs w:val="21"/>
          <w:highlight w:val="none"/>
        </w:rPr>
        <w:t>（解密</w:t>
      </w:r>
      <w:r>
        <w:rPr>
          <w:rFonts w:hint="eastAsia" w:ascii="宋体" w:hAnsi="宋体" w:cs="宋体"/>
          <w:bCs/>
          <w:color w:val="auto"/>
          <w:kern w:val="0"/>
          <w:szCs w:val="21"/>
          <w:highlight w:val="none"/>
        </w:rPr>
        <w:t>异常情况处理：详见本章</w:t>
      </w:r>
      <w:r>
        <w:rPr>
          <w:rFonts w:hint="eastAsia" w:ascii="宋体" w:hAnsi="宋体" w:cs="宋体"/>
          <w:color w:val="auto"/>
          <w:kern w:val="0"/>
          <w:szCs w:val="21"/>
          <w:highlight w:val="none"/>
        </w:rPr>
        <w:t>26.4电子交易活动的中止。）</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如</w:t>
      </w:r>
      <w:r>
        <w:rPr>
          <w:rFonts w:hint="eastAsia" w:ascii="宋体" w:hAnsi="宋体" w:cs="宋体"/>
          <w:bCs/>
          <w:color w:val="auto"/>
          <w:kern w:val="0"/>
          <w:szCs w:val="21"/>
          <w:highlight w:val="none"/>
        </w:rPr>
        <w:t>供应商成功解密响应文件，但未在</w:t>
      </w:r>
      <w:r>
        <w:rPr>
          <w:rFonts w:hint="eastAsia" w:ascii="宋体" w:hAnsi="宋体" w:cs="宋体"/>
          <w:bCs/>
          <w:color w:val="auto"/>
          <w:kern w:val="0"/>
          <w:szCs w:val="21"/>
          <w:highlight w:val="none"/>
          <w:lang w:eastAsia="zh-CN"/>
        </w:rPr>
        <w:t>广西政府采购云平台电子开标大厅</w:t>
      </w:r>
      <w:r>
        <w:rPr>
          <w:rFonts w:hint="eastAsia" w:ascii="宋体" w:hAnsi="宋体" w:cs="宋体"/>
          <w:bCs/>
          <w:color w:val="auto"/>
          <w:kern w:val="0"/>
          <w:szCs w:val="21"/>
          <w:highlight w:val="none"/>
        </w:rPr>
        <w:t>参加磋商的，视同认可磋商过程和结果，</w:t>
      </w:r>
      <w:r>
        <w:rPr>
          <w:rFonts w:hint="eastAsia" w:ascii="宋体" w:hAnsi="宋体" w:cs="宋体"/>
          <w:color w:val="auto"/>
          <w:kern w:val="0"/>
          <w:szCs w:val="21"/>
          <w:highlight w:val="none"/>
        </w:rPr>
        <w:t>由此产生的后果由供应商自行负责。 参与磋商的供应商不足3家的，不得磋商。</w:t>
      </w:r>
    </w:p>
    <w:p>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.评审程序、评审方法和评审标准</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26.1本项目的评审方法详见“供应商须知前附表”。磋商小组按照“第四章 评审程序、评审方法和评审标准”规定的方法、评审因素、标准和程序对响应文件进行评审。</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26.2磋商文件内容违反国家有关强制性规定的，磋商小组应当停止评审并向采购人或者采购代理机构说明情况，并在评审报告中书面体现。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highlight w:val="none"/>
        </w:rPr>
        <w:t>26.3 采购需求负偏离要求及磋商顺序详见“供应商须知前附表</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26.4电子交易活动的中止。采购过程中出现以下情形，导致电子交易平台无法正常运行，或者无法保证电子交易的公平、公正和安全时，采购机构可中止电子交易活动：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（1）电子交易平台发生故障而无法登录访问的； </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（3）电子交易平台发现严重安全漏洞，有潜在泄密危险的；</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（4）病毒发作导致不能进行正常操作的； </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（5）其他无法保证电子交易的公平、公正和安全的情况。</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5"/>
        <w:spacing w:before="0" w:after="0" w:line="360" w:lineRule="auto"/>
        <w:ind w:firstLine="480" w:firstLineChars="150"/>
        <w:rPr>
          <w:rFonts w:hint="eastAsia"/>
          <w:b w:val="0"/>
          <w:bCs w:val="0"/>
          <w:color w:val="auto"/>
          <w:highlight w:val="none"/>
        </w:rPr>
      </w:pPr>
      <w:bookmarkStart w:id="95" w:name="_Toc17745"/>
      <w:bookmarkStart w:id="96" w:name="_Toc12018"/>
      <w:bookmarkStart w:id="97" w:name="_Toc80886934"/>
    </w:p>
    <w:p>
      <w:pPr>
        <w:pStyle w:val="5"/>
        <w:spacing w:before="0" w:after="0" w:line="360" w:lineRule="auto"/>
        <w:ind w:firstLine="480" w:firstLineChars="150"/>
        <w:rPr>
          <w:rFonts w:hint="eastAsia"/>
          <w:b w:val="0"/>
          <w:bCs w:val="0"/>
          <w:color w:val="auto"/>
          <w:highlight w:val="none"/>
        </w:rPr>
      </w:pPr>
      <w:r>
        <w:rPr>
          <w:rFonts w:hint="eastAsia"/>
          <w:b w:val="0"/>
          <w:bCs w:val="0"/>
          <w:color w:val="auto"/>
          <w:highlight w:val="none"/>
        </w:rPr>
        <w:t>五、成交及合同</w:t>
      </w:r>
      <w:bookmarkEnd w:id="95"/>
      <w:bookmarkEnd w:id="96"/>
      <w:bookmarkEnd w:id="97"/>
    </w:p>
    <w:p>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27.1确定成交供应商。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27.2成交通知及成交结果公告。采购代理机构应当在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依法确定排名第二的成交候选人为成交供应商。排名第二的成交候选人因上述规定的同样原因被取消成交资格的，采购人可以依法确定排名第三的成交候选人为成交供应商，以此类推。以上信息查询记录及相关证据与磋商文件一并保存。成交供应商享受《政府采购促进中小企业发展管理办法》（财库〔2020〕46号）规定的中小企业扶持政策的，采购人、采购代理机构应当随成交结果公开成交供应商的《中小企业声明函》。</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27.5排名第一的成交候选人放弃成交，采购人可以按照评审报告推荐的成交候选人名单排序，依法确定下一候选人为成交</w:t>
      </w:r>
      <w:r>
        <w:rPr>
          <w:rFonts w:hint="eastAsia" w:ascii="宋体" w:hAnsi="宋体" w:cs="宋体"/>
          <w:color w:val="auto"/>
          <w:szCs w:val="21"/>
          <w:highlight w:val="none"/>
        </w:rPr>
        <w:t>供应商</w:t>
      </w:r>
      <w:r>
        <w:rPr>
          <w:rFonts w:hint="eastAsia" w:ascii="宋体" w:hAnsi="宋体" w:cs="宋体"/>
          <w:bCs/>
          <w:color w:val="auto"/>
          <w:szCs w:val="21"/>
          <w:highlight w:val="none"/>
        </w:rPr>
        <w:t>，也可以重新开展政府采购活动</w:t>
      </w:r>
      <w:r>
        <w:rPr>
          <w:rFonts w:hint="eastAsia" w:ascii="宋体" w:hAnsi="宋体" w:cs="宋体"/>
          <w:color w:val="auto"/>
          <w:szCs w:val="21"/>
          <w:highlight w:val="none"/>
        </w:rPr>
        <w:t>。</w:t>
      </w:r>
    </w:p>
    <w:p>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履约保证金的金额、提交方式、退付的时间和条件详见 “供应商须知前附表”。成交供应商未按规定提交履约保证金的，视为拒绝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签订合同，采购人可以按照评审报告推荐的成交候选人名单排序，依法确定下一候选人为成交供应商，也可以重新开展政府采购活动。</w:t>
      </w:r>
    </w:p>
    <w:p>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.2签订合同后，如成交供应商不按双方签订的合同规定履约，则没收其全部履约保证金，履约保证金不足以赔偿损失的，按实际损失赔偿。</w:t>
      </w:r>
    </w:p>
    <w:p>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在履约保证金退还日期前，若成交供应商的开户名称、开户银行、账号有变动的，请以书面形式通知履约保证金收取单位，否则由此产生的后果由成交供应商自行承担。</w:t>
      </w:r>
    </w:p>
    <w:p>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pPr>
        <w:pStyle w:val="68"/>
        <w:snapToGrid w:val="0"/>
        <w:spacing w:before="0"/>
        <w:ind w:firstLine="420"/>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color w:val="auto"/>
          <w:sz w:val="21"/>
          <w:szCs w:val="21"/>
          <w:highlight w:val="none"/>
          <w:lang w:val="zh-CN"/>
        </w:rPr>
        <w:t>如成交供应商为联合体的，由联合体成员各方法定代表人或其授权代表与采购人代表签订合同。</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29.3成交供应商拒绝签订政府采购合同的，采购人可以按照评审报告推荐的成交候选人名单排序，依法确定下一候选人为成交供应商，也可以重新开展采购活动。拒绝签订政府采购合同的成交供应商不得参加对该项目重新开展的采购活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29.4如签订合同并生效后，供应商无故拒绝或延期，除按照合同条款处理外，列入不良行为记录，并给予通报。</w:t>
      </w:r>
    </w:p>
    <w:p>
      <w:pPr>
        <w:spacing w:line="360" w:lineRule="auto"/>
        <w:ind w:firstLine="420" w:firstLineChars="200"/>
        <w:rPr>
          <w:rFonts w:hint="eastAsia" w:ascii="宋体" w:hAnsi="宋体" w:cs="宋体"/>
          <w:b/>
          <w:bCs/>
          <w:i/>
          <w:iCs/>
          <w:color w:val="auto"/>
          <w:szCs w:val="21"/>
          <w:highlight w:val="none"/>
        </w:rPr>
      </w:pPr>
      <w:r>
        <w:rPr>
          <w:rFonts w:hint="eastAsia" w:ascii="宋体" w:hAnsi="宋体" w:cs="宋体"/>
          <w:color w:val="auto"/>
          <w:szCs w:val="21"/>
          <w:highlight w:val="none"/>
        </w:rPr>
        <w:t>29.5采购合同由采购人与成交供应商根据磋商文件、响应文件等内容签订，成交供应商应当在签订合同时向采购人出示相关证明材料，具体内容详见 “供应商须知前附表”，经采购人核验合格后方可签订合同。</w:t>
      </w:r>
    </w:p>
    <w:p>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pPr>
        <w:spacing w:line="360" w:lineRule="auto"/>
        <w:ind w:firstLine="420" w:firstLineChars="200"/>
        <w:rPr>
          <w:rFonts w:hint="eastAsia" w:ascii="Calibri"/>
          <w:color w:val="auto"/>
          <w:highlight w:val="none"/>
        </w:rPr>
      </w:pPr>
      <w:r>
        <w:rPr>
          <w:rFonts w:hint="eastAsia" w:ascii="宋体" w:hAnsi="宋体" w:cs="宋体"/>
          <w:color w:val="auto"/>
          <w:szCs w:val="21"/>
          <w:highlight w:val="none"/>
        </w:rPr>
        <w:t>采购人应当自政府采购合同签订之日起2个工作日内，将政府采购合同在省级以上人民政府财政部门指定的媒体上公告，但政府采购合同中涉及国家秘密、商业秘密的内容除外</w:t>
      </w:r>
      <w:r>
        <w:rPr>
          <w:rFonts w:ascii="Calibri"/>
          <w:color w:val="auto"/>
          <w:highlight w:val="none"/>
        </w:rPr>
        <w:t>。</w:t>
      </w:r>
    </w:p>
    <w:p>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31.1供应商对政府采购活动事项有疑问的，可以向采购人或者采购代理机构提出询问，采购人或者采购代理机构应当在3个工作日内对供应商依法提出的询问作出答复。</w:t>
      </w:r>
    </w:p>
    <w:p>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31.2供应商认为磋商文件、采购过程或者成交结果使自己的合法权益受到损害的，应当在知道或者应知其权益受到损害之日起7个工作日内，以书面形式向采购人或者采购代理机构提出质疑，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w:t>
      </w:r>
      <w:r>
        <w:rPr>
          <w:rFonts w:hint="eastAsia" w:ascii="宋体" w:hAnsi="宋体" w:cs="宋体"/>
          <w:b/>
          <w:color w:val="auto"/>
          <w:szCs w:val="21"/>
          <w:highlight w:val="none"/>
        </w:rPr>
        <w:t xml:space="preserve">具体质疑起算时间及处理方式如下： </w:t>
      </w:r>
    </w:p>
    <w:p>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（1）潜在供应商依法获取采购文件后，认为采购文件使自己的权益受到损害的，应当在竞争性磋商文件公告期限届满之日起7个工作日内提出质疑。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者采购代理机构提出，由采购人或者采购代理机构受理并负责答复；对采购过程中采购执行程序的质疑由采购代理机构受理并负责答复。</w:t>
      </w:r>
    </w:p>
    <w:p>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（3）供应商认为成交结果使自己的权益受到损害的，应当在成交结果公告期限届满之日起7个工作日内提出质疑，由采购人受理并负责答复。</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2" w:firstLineChars="200"/>
        <w:rPr>
          <w:rFonts w:hint="eastAsia" w:ascii="宋体" w:hAnsi="宋体" w:cs="宋体"/>
          <w:color w:val="auto"/>
          <w:highlight w:val="none"/>
        </w:rPr>
      </w:pPr>
      <w:r>
        <w:rPr>
          <w:rFonts w:hint="eastAsia" w:ascii="宋体" w:hAnsi="宋体" w:cs="宋体"/>
          <w:b/>
          <w:bCs/>
          <w:color w:val="auto"/>
          <w:highlight w:val="none"/>
        </w:rPr>
        <w:t>31.4 供应商提出质疑应当提交质疑函和必要的证明材料，针对同一采购程序环节的质疑必须在法定质疑期内一次性提出。质疑函应当包括下列内容（质疑函格式后附）：</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（2）质疑项目的名称、编号；</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（5）必要的法律依据；</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（6）提出质疑的日期。</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pPr>
        <w:spacing w:line="360" w:lineRule="auto"/>
        <w:ind w:firstLine="422" w:firstLineChars="200"/>
        <w:rPr>
          <w:rFonts w:hint="eastAsia" w:ascii="宋体" w:hAnsi="宋体" w:cs="宋体"/>
          <w:color w:val="auto"/>
          <w:highlight w:val="none"/>
        </w:rPr>
      </w:pPr>
      <w:r>
        <w:rPr>
          <w:rFonts w:hint="eastAsia" w:ascii="宋体" w:hAnsi="宋体" w:cs="宋体"/>
          <w:b/>
          <w:bCs/>
          <w:color w:val="auto"/>
          <w:highlight w:val="none"/>
        </w:rPr>
        <w:t>31.6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投诉书格式后附），受理投诉方式见“供应商须知前附表”</w:t>
      </w:r>
      <w:r>
        <w:rPr>
          <w:rFonts w:hint="eastAsia" w:ascii="宋体" w:hAnsi="宋体" w:cs="宋体"/>
          <w:color w:val="auto"/>
          <w:highlight w:val="none"/>
        </w:rPr>
        <w:t>。</w:t>
      </w:r>
      <w:bookmarkStart w:id="98" w:name="_Toc80205930"/>
    </w:p>
    <w:p>
      <w:pPr>
        <w:pStyle w:val="5"/>
        <w:spacing w:before="0" w:after="0" w:line="360" w:lineRule="auto"/>
        <w:ind w:firstLine="315" w:firstLineChars="98"/>
        <w:rPr>
          <w:rFonts w:hint="eastAsia"/>
          <w:color w:val="auto"/>
          <w:highlight w:val="none"/>
        </w:rPr>
      </w:pPr>
      <w:bookmarkStart w:id="99" w:name="_Toc26989"/>
      <w:bookmarkStart w:id="100" w:name="_Toc80886935"/>
      <w:bookmarkStart w:id="101" w:name="_Toc9275"/>
    </w:p>
    <w:p>
      <w:pPr>
        <w:pStyle w:val="5"/>
        <w:spacing w:before="0" w:after="0" w:line="360" w:lineRule="auto"/>
        <w:ind w:firstLine="313" w:firstLineChars="98"/>
        <w:rPr>
          <w:b w:val="0"/>
          <w:color w:val="auto"/>
          <w:highlight w:val="none"/>
        </w:rPr>
      </w:pPr>
      <w:r>
        <w:rPr>
          <w:rFonts w:hint="eastAsia"/>
          <w:b w:val="0"/>
          <w:bCs w:val="0"/>
          <w:color w:val="auto"/>
          <w:highlight w:val="none"/>
        </w:rPr>
        <w:t>六</w:t>
      </w:r>
      <w:r>
        <w:rPr>
          <w:rFonts w:hint="eastAsia"/>
          <w:b w:val="0"/>
          <w:color w:val="auto"/>
          <w:highlight w:val="none"/>
        </w:rPr>
        <w:t>、验收</w:t>
      </w:r>
      <w:bookmarkEnd w:id="98"/>
      <w:bookmarkEnd w:id="99"/>
      <w:bookmarkEnd w:id="100"/>
      <w:bookmarkEnd w:id="101"/>
    </w:p>
    <w:p>
      <w:pPr>
        <w:tabs>
          <w:tab w:val="left" w:pos="0"/>
        </w:tabs>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32.验收</w:t>
      </w:r>
    </w:p>
    <w:p>
      <w:pPr>
        <w:tabs>
          <w:tab w:val="left" w:pos="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r>
        <w:rPr>
          <w:rFonts w:hint="eastAsia" w:ascii="宋体" w:hAnsi="宋体" w:cs="宋体"/>
          <w:color w:val="auto"/>
          <w:kern w:val="0"/>
          <w:szCs w:val="21"/>
          <w:highlight w:val="none"/>
        </w:rPr>
        <w:t>返还条件挂钩。履约验收的各项资料应当存档备查。</w:t>
      </w:r>
    </w:p>
    <w:p>
      <w:pPr>
        <w:tabs>
          <w:tab w:val="left" w:pos="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5"/>
        <w:spacing w:before="0" w:after="0" w:line="360" w:lineRule="auto"/>
        <w:ind w:firstLine="320" w:firstLineChars="100"/>
        <w:rPr>
          <w:rFonts w:hint="eastAsia"/>
          <w:b w:val="0"/>
          <w:bCs w:val="0"/>
          <w:color w:val="auto"/>
          <w:highlight w:val="none"/>
        </w:rPr>
      </w:pPr>
      <w:bookmarkStart w:id="102" w:name="_Toc10913"/>
      <w:bookmarkStart w:id="103" w:name="_Toc80886936"/>
      <w:bookmarkStart w:id="104" w:name="_Toc1170"/>
    </w:p>
    <w:p>
      <w:pPr>
        <w:pStyle w:val="5"/>
        <w:spacing w:before="0" w:after="0" w:line="360" w:lineRule="auto"/>
        <w:ind w:firstLine="320" w:firstLineChars="100"/>
        <w:rPr>
          <w:rFonts w:hint="eastAsia"/>
          <w:b w:val="0"/>
          <w:bCs w:val="0"/>
          <w:color w:val="auto"/>
          <w:highlight w:val="none"/>
        </w:rPr>
      </w:pPr>
      <w:r>
        <w:rPr>
          <w:rFonts w:hint="eastAsia"/>
          <w:b w:val="0"/>
          <w:bCs w:val="0"/>
          <w:color w:val="auto"/>
          <w:highlight w:val="none"/>
        </w:rPr>
        <w:t>七、其他事项</w:t>
      </w:r>
      <w:bookmarkEnd w:id="102"/>
      <w:bookmarkEnd w:id="103"/>
      <w:bookmarkEnd w:id="104"/>
    </w:p>
    <w:p>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3.采购代理服务费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33.1 采购代理服务费收费标准及缴费账户详见“供应商须知前附表”，供应商为联合体的，可以由联合体中的一方或者多方共同缴纳采购代理服务费。</w:t>
      </w:r>
    </w:p>
    <w:p>
      <w:pPr>
        <w:pStyle w:val="16"/>
        <w:ind w:firstLine="420" w:firstLineChars="200"/>
        <w:rPr>
          <w:rFonts w:hint="eastAsia" w:ascii="宋体" w:hAnsi="宋体" w:cs="宋体"/>
          <w:color w:val="auto"/>
          <w:highlight w:val="none"/>
        </w:rPr>
      </w:pPr>
      <w:r>
        <w:rPr>
          <w:rFonts w:hint="eastAsia" w:ascii="宋体" w:hAnsi="宋体" w:cs="宋体"/>
          <w:color w:val="auto"/>
          <w:szCs w:val="21"/>
          <w:highlight w:val="none"/>
        </w:rPr>
        <w:t>33.2采购代理服务费收费计算标准：</w:t>
      </w:r>
    </w:p>
    <w:tbl>
      <w:tblPr>
        <w:tblStyle w:val="31"/>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费率</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金额</w:t>
            </w:r>
          </w:p>
        </w:tc>
        <w:tc>
          <w:tcPr>
            <w:tcW w:w="1659" w:type="dxa"/>
            <w:vAlign w:val="center"/>
          </w:tcPr>
          <w:p>
            <w:pPr>
              <w:spacing w:line="360" w:lineRule="auto"/>
              <w:ind w:firstLine="105" w:firstLineChars="50"/>
              <w:jc w:val="center"/>
              <w:rPr>
                <w:rFonts w:hint="eastAsia" w:ascii="宋体" w:hAns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1.5%</w:t>
            </w:r>
          </w:p>
        </w:tc>
        <w:tc>
          <w:tcPr>
            <w:tcW w:w="1546"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w:t>
            </w:r>
            <w:r>
              <w:rPr>
                <w:rFonts w:hint="eastAsia" w:ascii="宋体" w:hAnsi="宋体" w:cs="宋体"/>
                <w:color w:val="auto"/>
                <w:szCs w:val="21"/>
                <w:highlight w:val="none"/>
                <w:lang w:val="en-US" w:eastAsia="zh-CN"/>
              </w:rPr>
              <w:t>万元</w:t>
            </w:r>
            <w:r>
              <w:rPr>
                <w:rFonts w:hint="eastAsia" w:ascii="宋体" w:hAnsi="宋体" w:cs="宋体"/>
                <w:color w:val="auto"/>
                <w:szCs w:val="21"/>
                <w:highlight w:val="none"/>
              </w:rPr>
              <w:t>～500万元</w:t>
            </w:r>
          </w:p>
        </w:tc>
        <w:tc>
          <w:tcPr>
            <w:tcW w:w="1659"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0.8%</w:t>
            </w:r>
          </w:p>
        </w:tc>
        <w:tc>
          <w:tcPr>
            <w:tcW w:w="1546"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w:t>
            </w:r>
            <w:r>
              <w:rPr>
                <w:rFonts w:hint="eastAsia" w:ascii="宋体" w:hAnsi="宋体" w:cs="宋体"/>
                <w:color w:val="auto"/>
                <w:szCs w:val="21"/>
                <w:highlight w:val="none"/>
                <w:lang w:val="en-US" w:eastAsia="zh-CN"/>
              </w:rPr>
              <w:t>万元</w:t>
            </w:r>
            <w:r>
              <w:rPr>
                <w:rFonts w:hint="eastAsia" w:ascii="宋体" w:hAnsi="宋体" w:cs="宋体"/>
                <w:color w:val="auto"/>
                <w:szCs w:val="21"/>
                <w:highlight w:val="none"/>
              </w:rPr>
              <w:t>～1000万元</w:t>
            </w:r>
          </w:p>
        </w:tc>
        <w:tc>
          <w:tcPr>
            <w:tcW w:w="1659" w:type="dxa"/>
          </w:tcPr>
          <w:p>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0.45%</w:t>
            </w:r>
          </w:p>
        </w:tc>
        <w:tc>
          <w:tcPr>
            <w:tcW w:w="1546"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1000</w:t>
            </w:r>
            <w:r>
              <w:rPr>
                <w:rFonts w:hint="eastAsia" w:ascii="宋体" w:hAnsi="宋体" w:cs="宋体"/>
                <w:color w:val="auto"/>
                <w:szCs w:val="21"/>
                <w:highlight w:val="none"/>
                <w:lang w:val="en-US" w:eastAsia="zh-CN"/>
              </w:rPr>
              <w:t>万元</w:t>
            </w:r>
            <w:r>
              <w:rPr>
                <w:rFonts w:hint="eastAsia" w:ascii="宋体" w:hAnsi="宋体" w:cs="宋体"/>
                <w:color w:val="auto"/>
                <w:szCs w:val="21"/>
                <w:highlight w:val="none"/>
              </w:rPr>
              <w:t>～5000万元</w:t>
            </w:r>
          </w:p>
        </w:tc>
        <w:tc>
          <w:tcPr>
            <w:tcW w:w="1659"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0.25%</w:t>
            </w:r>
          </w:p>
        </w:tc>
        <w:tc>
          <w:tcPr>
            <w:tcW w:w="1546"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0.1%</w:t>
            </w:r>
          </w:p>
        </w:tc>
        <w:tc>
          <w:tcPr>
            <w:tcW w:w="1546"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亿元</w:t>
            </w:r>
            <w:r>
              <w:rPr>
                <w:rFonts w:hint="eastAsia" w:ascii="宋体" w:hAnsi="宋体" w:cs="宋体"/>
                <w:color w:val="auto"/>
                <w:szCs w:val="21"/>
                <w:highlight w:val="none"/>
              </w:rPr>
              <w:t>～5亿元</w:t>
            </w:r>
          </w:p>
        </w:tc>
        <w:tc>
          <w:tcPr>
            <w:tcW w:w="1659"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0.05%</w:t>
            </w:r>
          </w:p>
        </w:tc>
        <w:tc>
          <w:tcPr>
            <w:tcW w:w="1532"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亿元</w:t>
            </w:r>
            <w:r>
              <w:rPr>
                <w:rFonts w:hint="eastAsia" w:ascii="宋体" w:hAnsi="宋体" w:cs="宋体"/>
                <w:color w:val="auto"/>
                <w:szCs w:val="21"/>
                <w:highlight w:val="none"/>
              </w:rPr>
              <w:t>～10亿元</w:t>
            </w:r>
          </w:p>
        </w:tc>
        <w:tc>
          <w:tcPr>
            <w:tcW w:w="1659" w:type="dxa"/>
          </w:tcPr>
          <w:p>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c>
          <w:tcPr>
            <w:tcW w:w="1532"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tcPr>
          <w:p>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w:t>
            </w:r>
            <w:r>
              <w:rPr>
                <w:rFonts w:hint="eastAsia" w:ascii="宋体" w:hAnsi="宋体" w:cs="宋体"/>
                <w:color w:val="auto"/>
                <w:szCs w:val="21"/>
                <w:highlight w:val="none"/>
                <w:lang w:val="en-US" w:eastAsia="zh-CN"/>
              </w:rPr>
              <w:t>亿元</w:t>
            </w:r>
            <w:r>
              <w:rPr>
                <w:rFonts w:hint="eastAsia" w:ascii="宋体" w:hAnsi="宋体" w:cs="宋体"/>
                <w:color w:val="auto"/>
                <w:szCs w:val="21"/>
                <w:highlight w:val="none"/>
              </w:rPr>
              <w:t>～50亿元</w:t>
            </w:r>
          </w:p>
        </w:tc>
        <w:tc>
          <w:tcPr>
            <w:tcW w:w="1659" w:type="dxa"/>
          </w:tcPr>
          <w:p>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32"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46" w:type="dxa"/>
          </w:tcPr>
          <w:p>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w:t>
            </w:r>
            <w:r>
              <w:rPr>
                <w:rFonts w:hint="eastAsia" w:ascii="宋体" w:hAnsi="宋体" w:cs="宋体"/>
                <w:color w:val="auto"/>
                <w:szCs w:val="21"/>
                <w:highlight w:val="none"/>
                <w:lang w:val="en-US" w:eastAsia="zh-CN"/>
              </w:rPr>
              <w:t>亿元</w:t>
            </w:r>
            <w:r>
              <w:rPr>
                <w:rFonts w:hint="eastAsia" w:ascii="宋体" w:hAnsi="宋体" w:cs="宋体"/>
                <w:color w:val="auto"/>
                <w:szCs w:val="21"/>
                <w:highlight w:val="none"/>
              </w:rPr>
              <w:t>～100亿元</w:t>
            </w:r>
          </w:p>
        </w:tc>
        <w:tc>
          <w:tcPr>
            <w:tcW w:w="1659"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0.006%</w:t>
            </w:r>
          </w:p>
        </w:tc>
        <w:tc>
          <w:tcPr>
            <w:tcW w:w="1546" w:type="dxa"/>
          </w:tcPr>
          <w:p>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100亿</w:t>
            </w:r>
            <w:r>
              <w:rPr>
                <w:rFonts w:hint="eastAsia" w:ascii="宋体" w:hAnsi="宋体" w:cs="宋体"/>
                <w:color w:val="auto"/>
                <w:szCs w:val="21"/>
                <w:highlight w:val="none"/>
                <w:lang w:val="en-US" w:eastAsia="zh-CN"/>
              </w:rPr>
              <w:t>元</w:t>
            </w:r>
            <w:r>
              <w:rPr>
                <w:rFonts w:hint="eastAsia" w:ascii="宋体" w:hAnsi="宋体" w:cs="宋体"/>
                <w:color w:val="auto"/>
                <w:szCs w:val="21"/>
                <w:highlight w:val="none"/>
              </w:rPr>
              <w:t>以上</w:t>
            </w:r>
          </w:p>
        </w:tc>
        <w:tc>
          <w:tcPr>
            <w:tcW w:w="1659"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0.004%</w:t>
            </w:r>
          </w:p>
        </w:tc>
        <w:tc>
          <w:tcPr>
            <w:tcW w:w="1546" w:type="dxa"/>
          </w:tcPr>
          <w:p>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0.004%</w:t>
            </w:r>
          </w:p>
        </w:tc>
      </w:tr>
    </w:tbl>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注：</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（1）按本表费率计算的收费为采购代理的收费基准价格；</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（2）采购代理收费按差额定率累进法计算。</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例如：</w:t>
      </w:r>
      <w:r>
        <w:rPr>
          <w:rFonts w:hint="eastAsia" w:ascii="宋体" w:hAnsi="宋体" w:cs="宋体"/>
          <w:color w:val="auto"/>
          <w:highlight w:val="none"/>
          <w:lang w:val="en-US" w:eastAsia="zh-CN"/>
        </w:rPr>
        <w:t>项目成交金额</w:t>
      </w:r>
      <w:r>
        <w:rPr>
          <w:rFonts w:hint="eastAsia" w:ascii="宋体" w:hAnsi="宋体" w:cs="宋体"/>
          <w:color w:val="auto"/>
          <w:highlight w:val="none"/>
        </w:rPr>
        <w:t>为1</w:t>
      </w:r>
      <w:r>
        <w:rPr>
          <w:rFonts w:hint="eastAsia" w:ascii="宋体" w:hAnsi="宋体" w:cs="宋体"/>
          <w:color w:val="auto"/>
          <w:highlight w:val="none"/>
          <w:lang w:val="en-US" w:eastAsia="zh-CN"/>
        </w:rPr>
        <w:t>98</w:t>
      </w:r>
      <w:r>
        <w:rPr>
          <w:rFonts w:hint="eastAsia" w:ascii="宋体" w:hAnsi="宋体" w:cs="宋体"/>
          <w:color w:val="auto"/>
          <w:highlight w:val="none"/>
        </w:rPr>
        <w:t>万元，计算采购代理收费额如下：</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100 万元 ×l.5 ％＝ 1.5 万元</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1</w:t>
      </w:r>
      <w:r>
        <w:rPr>
          <w:rFonts w:hint="eastAsia" w:ascii="宋体" w:hAnsi="宋体" w:cs="宋体"/>
          <w:color w:val="auto"/>
          <w:highlight w:val="none"/>
          <w:lang w:val="en-US" w:eastAsia="zh-CN"/>
        </w:rPr>
        <w:t>98</w:t>
      </w:r>
      <w:r>
        <w:rPr>
          <w:rFonts w:hint="eastAsia" w:ascii="宋体" w:hAnsi="宋体" w:cs="宋体"/>
          <w:color w:val="auto"/>
          <w:highlight w:val="none"/>
        </w:rPr>
        <w:t xml:space="preserve"> － 100 ）万元 ×0.8％＝ 0.</w:t>
      </w:r>
      <w:r>
        <w:rPr>
          <w:rFonts w:hint="eastAsia" w:ascii="宋体" w:hAnsi="宋体" w:cs="宋体"/>
          <w:color w:val="auto"/>
          <w:highlight w:val="none"/>
          <w:lang w:val="en-US" w:eastAsia="zh-CN"/>
        </w:rPr>
        <w:t>784</w:t>
      </w:r>
      <w:r>
        <w:rPr>
          <w:rFonts w:hint="eastAsia" w:ascii="宋体" w:hAnsi="宋体" w:cs="宋体"/>
          <w:color w:val="auto"/>
          <w:highlight w:val="none"/>
        </w:rPr>
        <w:t>万元</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合计收费＝ 1.5 ＋ 0.784＝ </w:t>
      </w:r>
      <w:r>
        <w:rPr>
          <w:rFonts w:hint="eastAsia" w:ascii="宋体" w:hAnsi="宋体" w:cs="宋体"/>
          <w:color w:val="auto"/>
          <w:highlight w:val="none"/>
          <w:lang w:val="en-US" w:eastAsia="zh-CN"/>
        </w:rPr>
        <w:t>2.284</w:t>
      </w:r>
      <w:r>
        <w:rPr>
          <w:rFonts w:hint="eastAsia" w:ascii="宋体" w:hAnsi="宋体" w:cs="宋体"/>
          <w:color w:val="auto"/>
          <w:highlight w:val="none"/>
        </w:rPr>
        <w:t xml:space="preserve"> 万元</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34</w:t>
      </w:r>
      <w:r>
        <w:rPr>
          <w:rFonts w:ascii="黑体" w:hAnsi="黑体" w:eastAsia="黑体" w:cs="宋体"/>
          <w:b/>
          <w:bCs/>
          <w:color w:val="auto"/>
          <w:sz w:val="24"/>
          <w:highlight w:val="none"/>
        </w:rPr>
        <w:t>.需要补充的其他内容</w:t>
      </w:r>
    </w:p>
    <w:p>
      <w:pPr>
        <w:spacing w:line="360" w:lineRule="auto"/>
        <w:ind w:firstLine="420" w:firstLineChars="200"/>
        <w:textAlignment w:val="center"/>
        <w:rPr>
          <w:rFonts w:hint="eastAsia" w:ascii="宋体" w:hAnsi="宋体" w:cs="宋体"/>
          <w:color w:val="auto"/>
          <w:szCs w:val="21"/>
          <w:highlight w:val="none"/>
        </w:rPr>
      </w:pPr>
      <w:r>
        <w:rPr>
          <w:rFonts w:hint="eastAsia" w:ascii="宋体" w:hAnsi="宋体" w:cs="宋体"/>
          <w:color w:val="auto"/>
          <w:szCs w:val="21"/>
          <w:highlight w:val="none"/>
        </w:rPr>
        <w:t>34.1本磋商文件解释规则详见“供应商须知前附表”。</w:t>
      </w:r>
    </w:p>
    <w:p>
      <w:pPr>
        <w:spacing w:line="360" w:lineRule="auto"/>
        <w:ind w:firstLine="420" w:firstLineChars="200"/>
        <w:textAlignment w:val="center"/>
        <w:rPr>
          <w:rFonts w:hint="eastAsia" w:ascii="宋体" w:hAnsi="宋体" w:cs="宋体"/>
          <w:color w:val="auto"/>
          <w:szCs w:val="21"/>
          <w:highlight w:val="none"/>
        </w:rPr>
      </w:pPr>
      <w:r>
        <w:rPr>
          <w:rFonts w:hint="eastAsia" w:ascii="宋体" w:hAnsi="宋体" w:cs="宋体"/>
          <w:color w:val="auto"/>
          <w:szCs w:val="21"/>
          <w:highlight w:val="none"/>
        </w:rPr>
        <w:t>34.2 其他事项详见“供应商须知前附表”。</w:t>
      </w:r>
    </w:p>
    <w:p>
      <w:pPr>
        <w:spacing w:line="360" w:lineRule="auto"/>
        <w:ind w:firstLine="420" w:firstLineChars="200"/>
        <w:textAlignment w:val="center"/>
        <w:rPr>
          <w:rFonts w:hint="eastAsia" w:ascii="宋体" w:hAnsi="宋体" w:cs="宋体"/>
          <w:color w:val="auto"/>
          <w:szCs w:val="21"/>
          <w:highlight w:val="none"/>
        </w:rPr>
      </w:pPr>
      <w:r>
        <w:rPr>
          <w:rFonts w:hint="eastAsia" w:ascii="宋体" w:hAnsi="宋体" w:cs="宋体"/>
          <w:color w:val="auto"/>
          <w:szCs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cs="宋体"/>
          <w:color w:val="auto"/>
          <w:kern w:val="0"/>
          <w:szCs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cs="宋体"/>
          <w:color w:val="auto"/>
          <w:szCs w:val="21"/>
          <w:highlight w:val="none"/>
        </w:rPr>
        <w:t>，享受本文件规定的中小企业扶持政策。</w:t>
      </w:r>
    </w:p>
    <w:p>
      <w:pPr>
        <w:spacing w:line="360" w:lineRule="auto"/>
        <w:ind w:firstLine="420" w:firstLineChars="200"/>
        <w:textAlignment w:val="center"/>
        <w:rPr>
          <w:rFonts w:hint="eastAsia" w:ascii="宋体" w:hAnsi="宋体" w:cs="宋体"/>
          <w:color w:val="auto"/>
          <w:szCs w:val="21"/>
          <w:highlight w:val="none"/>
        </w:rPr>
      </w:pPr>
      <w:r>
        <w:rPr>
          <w:rFonts w:hint="eastAsia" w:ascii="宋体" w:hAnsi="宋体" w:cs="宋体"/>
          <w:color w:val="auto"/>
          <w:szCs w:val="21"/>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textAlignment w:val="center"/>
        <w:rPr>
          <w:rFonts w:hint="eastAsia" w:ascii="宋体" w:hAnsi="宋体" w:cs="宋体"/>
          <w:color w:val="auto"/>
          <w:szCs w:val="21"/>
          <w:highlight w:val="none"/>
        </w:rPr>
      </w:pPr>
      <w:r>
        <w:rPr>
          <w:rFonts w:hint="eastAsia" w:ascii="宋体" w:hAnsi="宋体" w:cs="宋体"/>
          <w:color w:val="auto"/>
          <w:szCs w:val="21"/>
          <w:highlight w:val="none"/>
        </w:rPr>
        <w:t>依据本文件规定享受扶持政策获得政府采购合同的，小微企业不得将合同分包给大中型企业，中型企业不得将合同分包给大型企业。</w:t>
      </w:r>
    </w:p>
    <w:p>
      <w:pPr>
        <w:spacing w:line="360" w:lineRule="auto"/>
        <w:ind w:firstLine="482" w:firstLineChars="200"/>
        <w:rPr>
          <w:rFonts w:hint="default" w:ascii="黑体" w:hAnsi="黑体" w:eastAsia="黑体" w:cs="宋体"/>
          <w:b/>
          <w:bCs/>
          <w:color w:val="auto"/>
          <w:sz w:val="24"/>
          <w:highlight w:val="none"/>
        </w:rPr>
      </w:pPr>
      <w:r>
        <w:rPr>
          <w:rFonts w:hint="default" w:ascii="黑体" w:hAnsi="黑体" w:eastAsia="黑体" w:cs="宋体"/>
          <w:b/>
          <w:bCs/>
          <w:color w:val="auto"/>
          <w:sz w:val="24"/>
          <w:highlight w:val="none"/>
        </w:rPr>
        <w:t>35. 广西线上“政采贷”政策告知函</w:t>
      </w:r>
    </w:p>
    <w:p>
      <w:pPr>
        <w:spacing w:line="580" w:lineRule="exact"/>
        <w:jc w:val="center"/>
        <w:rPr>
          <w:rFonts w:hint="eastAsia" w:ascii="宋体" w:hAnsi="宋体" w:cs="宋体"/>
          <w:color w:val="auto"/>
          <w:sz w:val="32"/>
          <w:szCs w:val="32"/>
          <w:highlight w:val="none"/>
        </w:rPr>
      </w:pPr>
    </w:p>
    <w:p>
      <w:pPr>
        <w:spacing w:line="580" w:lineRule="exact"/>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r>
        <w:rPr>
          <w:rFonts w:hint="eastAsia" w:ascii="宋体" w:hAnsi="宋体" w:cs="宋体"/>
          <w:color w:val="auto"/>
          <w:sz w:val="32"/>
          <w:szCs w:val="32"/>
          <w:highlight w:val="none"/>
        </w:rPr>
        <w:t>广西线上“政采贷”政策告知函</w:t>
      </w:r>
    </w:p>
    <w:p>
      <w:pPr>
        <w:spacing w:line="580" w:lineRule="exact"/>
        <w:ind w:firstLine="420" w:firstLineChars="200"/>
        <w:rPr>
          <w:rFonts w:hint="eastAsia" w:ascii="宋体" w:hAnsi="宋体" w:cs="宋体"/>
          <w:color w:val="auto"/>
          <w:szCs w:val="32"/>
          <w:highlight w:val="none"/>
        </w:rPr>
      </w:pPr>
    </w:p>
    <w:p>
      <w:pPr>
        <w:spacing w:line="580" w:lineRule="exact"/>
        <w:rPr>
          <w:rFonts w:hint="eastAsia" w:ascii="宋体" w:hAnsi="宋体" w:cs="宋体"/>
          <w:color w:val="auto"/>
          <w:szCs w:val="21"/>
          <w:highlight w:val="none"/>
        </w:rPr>
      </w:pPr>
      <w:r>
        <w:rPr>
          <w:rFonts w:hint="eastAsia" w:ascii="宋体" w:hAnsi="宋体" w:cs="宋体"/>
          <w:color w:val="auto"/>
          <w:szCs w:val="21"/>
          <w:highlight w:val="none"/>
        </w:rPr>
        <w:t>各供应商：</w:t>
      </w:r>
    </w:p>
    <w:p>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欢迎贵公司参与广西政府采购活动！</w:t>
      </w:r>
    </w:p>
    <w:p>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相关金融产品和银行业金融机构联系方式，可在中征应收账款融资服务平台查询（网址：</w:t>
      </w:r>
      <w:r>
        <w:rPr>
          <w:color w:val="auto"/>
          <w:highlight w:val="none"/>
        </w:rPr>
        <w:fldChar w:fldCharType="begin"/>
      </w:r>
      <w:r>
        <w:rPr>
          <w:color w:val="auto"/>
          <w:highlight w:val="none"/>
        </w:rPr>
        <w:instrText xml:space="preserve"> HYPERLINK "https://www.crcrfsp.com/" </w:instrText>
      </w:r>
      <w:r>
        <w:rPr>
          <w:color w:val="auto"/>
          <w:highlight w:val="none"/>
        </w:rPr>
        <w:fldChar w:fldCharType="separate"/>
      </w:r>
      <w:r>
        <w:rPr>
          <w:rStyle w:val="36"/>
          <w:rFonts w:hint="eastAsia" w:ascii="宋体" w:hAnsi="宋体" w:cs="宋体"/>
          <w:color w:val="auto"/>
          <w:szCs w:val="21"/>
          <w:highlight w:val="none"/>
        </w:rPr>
        <w:t>https://www.crcrfsp.com/</w:t>
      </w:r>
      <w:r>
        <w:rPr>
          <w:rStyle w:val="36"/>
          <w:rFonts w:hint="eastAsia" w:ascii="宋体" w:hAnsi="宋体" w:cs="宋体"/>
          <w:color w:val="auto"/>
          <w:szCs w:val="21"/>
          <w:highlight w:val="none"/>
        </w:rPr>
        <w:fldChar w:fldCharType="end"/>
      </w:r>
      <w:r>
        <w:rPr>
          <w:rFonts w:hint="eastAsia" w:ascii="宋体" w:hAnsi="宋体" w:cs="宋体"/>
          <w:color w:val="auto"/>
          <w:szCs w:val="21"/>
          <w:highlight w:val="none"/>
        </w:rPr>
        <w:t>，客服电话：400-009-0001）。</w:t>
      </w:r>
    </w:p>
    <w:p>
      <w:pPr>
        <w:pStyle w:val="2"/>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3"/>
        <w:spacing w:line="240" w:lineRule="auto"/>
        <w:jc w:val="center"/>
        <w:rPr>
          <w:rFonts w:hint="eastAsia" w:ascii="Calibri" w:hAnsi="Calibri"/>
          <w:color w:val="auto"/>
          <w:highlight w:val="none"/>
        </w:rPr>
      </w:pPr>
      <w:bookmarkStart w:id="105" w:name="_Toc3879"/>
      <w:bookmarkStart w:id="106" w:name="_Toc80886937"/>
      <w:bookmarkStart w:id="107" w:name="_Toc17511"/>
      <w:bookmarkStart w:id="108" w:name="_Toc28979"/>
      <w:bookmarkStart w:id="109" w:name="_Toc3976"/>
      <w:bookmarkStart w:id="110" w:name="_Toc8412"/>
      <w:bookmarkStart w:id="111" w:name="_Toc1088"/>
      <w:bookmarkStart w:id="112" w:name="_Toc8593"/>
      <w:r>
        <w:rPr>
          <w:rFonts w:hint="eastAsia" w:ascii="Calibri" w:hAnsi="Calibri"/>
          <w:color w:val="auto"/>
          <w:highlight w:val="none"/>
        </w:rPr>
        <w:t>第四章  评审程序、评审方法和评审标准</w:t>
      </w:r>
      <w:bookmarkEnd w:id="105"/>
      <w:bookmarkEnd w:id="106"/>
      <w:bookmarkEnd w:id="107"/>
      <w:bookmarkEnd w:id="108"/>
      <w:bookmarkEnd w:id="109"/>
      <w:bookmarkEnd w:id="110"/>
      <w:bookmarkEnd w:id="111"/>
      <w:bookmarkEnd w:id="112"/>
    </w:p>
    <w:p>
      <w:pPr>
        <w:pStyle w:val="4"/>
        <w:jc w:val="center"/>
        <w:rPr>
          <w:rFonts w:hint="eastAsia" w:ascii="宋体" w:hAnsi="宋体"/>
          <w:b w:val="0"/>
          <w:color w:val="auto"/>
          <w:highlight w:val="none"/>
        </w:rPr>
      </w:pPr>
      <w:bookmarkStart w:id="113" w:name="_Toc17424"/>
      <w:bookmarkStart w:id="114" w:name="_Toc11607"/>
      <w:bookmarkStart w:id="115" w:name="_Toc80886938"/>
      <w:r>
        <w:rPr>
          <w:rFonts w:hint="eastAsia" w:ascii="宋体" w:hAnsi="宋体"/>
          <w:b w:val="0"/>
          <w:color w:val="auto"/>
          <w:highlight w:val="none"/>
        </w:rPr>
        <w:t>第一节 评审程序和评审方法</w:t>
      </w:r>
      <w:bookmarkEnd w:id="113"/>
      <w:bookmarkEnd w:id="114"/>
      <w:bookmarkEnd w:id="115"/>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.确认磋商文件</w:t>
      </w:r>
    </w:p>
    <w:p>
      <w:pPr>
        <w:spacing w:line="360" w:lineRule="auto"/>
        <w:ind w:firstLine="420" w:firstLineChars="200"/>
        <w:rPr>
          <w:rFonts w:hint="eastAsia" w:cs="宋体"/>
          <w:color w:val="auto"/>
          <w:szCs w:val="21"/>
          <w:highlight w:val="none"/>
        </w:rPr>
      </w:pPr>
      <w:r>
        <w:rPr>
          <w:rFonts w:hint="eastAsia" w:cs="宋体"/>
          <w:color w:val="auto"/>
          <w:szCs w:val="21"/>
          <w:highlight w:val="none"/>
        </w:rPr>
        <w:t>由磋商小组确认磋商文件。</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2.资格审查</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2.1响应文件开启后，磋商小组依法对供应商的资格证明文件进行审查。</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注：采购人代表或者采购代理机构在资格审查结束前，对供应商进行信用查询。</w:t>
      </w:r>
    </w:p>
    <w:p>
      <w:pPr>
        <w:snapToGrid w:val="0"/>
        <w:spacing w:line="360" w:lineRule="auto"/>
        <w:ind w:firstLine="420" w:firstLineChars="200"/>
        <w:jc w:val="left"/>
        <w:rPr>
          <w:rFonts w:hint="eastAsia" w:ascii="宋体" w:hAnsi="宋体" w:cs="宋体"/>
          <w:color w:val="auto"/>
          <w:szCs w:val="21"/>
          <w:highlight w:val="none"/>
          <w:u w:val="none"/>
        </w:rPr>
      </w:pPr>
      <w:r>
        <w:rPr>
          <w:rFonts w:hint="eastAsia" w:ascii="宋体" w:hAnsi="宋体" w:cs="宋体"/>
          <w:color w:val="auto"/>
          <w:szCs w:val="21"/>
          <w:highlight w:val="none"/>
        </w:rPr>
        <w:t>（1）查询渠道：</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“信用中国”网</w:t>
      </w:r>
      <w:r>
        <w:rPr>
          <w:rFonts w:hint="eastAsia" w:ascii="宋体" w:hAnsi="宋体" w:cs="宋体"/>
          <w:color w:val="auto"/>
          <w:szCs w:val="21"/>
          <w:highlight w:val="none"/>
          <w:u w:val="none"/>
        </w:rPr>
        <w:t>站(</w:t>
      </w:r>
      <w:r>
        <w:rPr>
          <w:color w:val="auto"/>
          <w:highlight w:val="none"/>
          <w:u w:val="none"/>
        </w:rPr>
        <w:fldChar w:fldCharType="begin"/>
      </w:r>
      <w:r>
        <w:rPr>
          <w:color w:val="auto"/>
          <w:highlight w:val="none"/>
          <w:u w:val="none"/>
        </w:rPr>
        <w:instrText xml:space="preserve"> HYPERLINK "http://www.creditchina.gov.cn" </w:instrText>
      </w:r>
      <w:r>
        <w:rPr>
          <w:color w:val="auto"/>
          <w:highlight w:val="none"/>
          <w:u w:val="none"/>
        </w:rPr>
        <w:fldChar w:fldCharType="separate"/>
      </w:r>
      <w:r>
        <w:rPr>
          <w:rStyle w:val="38"/>
          <w:rFonts w:hint="eastAsia" w:ascii="宋体" w:hAnsi="宋体" w:cs="宋体"/>
          <w:color w:val="auto"/>
          <w:highlight w:val="none"/>
          <w:u w:val="none"/>
        </w:rPr>
        <w:t>www.creditchina.gov.cn</w:t>
      </w:r>
      <w:r>
        <w:rPr>
          <w:rStyle w:val="38"/>
          <w:rFonts w:hint="eastAsia" w:ascii="宋体" w:hAnsi="宋体" w:cs="宋体"/>
          <w:color w:val="auto"/>
          <w:highlight w:val="none"/>
          <w:u w:val="none"/>
        </w:rPr>
        <w:fldChar w:fldCharType="end"/>
      </w:r>
      <w:r>
        <w:rPr>
          <w:rFonts w:hint="eastAsia" w:ascii="宋体" w:hAnsi="宋体" w:cs="宋体"/>
          <w:color w:val="auto"/>
          <w:szCs w:val="21"/>
          <w:highlight w:val="none"/>
          <w:u w:val="none"/>
        </w:rPr>
        <w:t>)、中国政府采购网(</w:t>
      </w:r>
      <w:r>
        <w:rPr>
          <w:color w:val="auto"/>
          <w:highlight w:val="none"/>
          <w:u w:val="none"/>
        </w:rPr>
        <w:fldChar w:fldCharType="begin"/>
      </w:r>
      <w:r>
        <w:rPr>
          <w:color w:val="auto"/>
          <w:highlight w:val="none"/>
          <w:u w:val="none"/>
        </w:rPr>
        <w:instrText xml:space="preserve"> HYPERLINK "http://www.ccgp.gov.cn" </w:instrText>
      </w:r>
      <w:r>
        <w:rPr>
          <w:color w:val="auto"/>
          <w:highlight w:val="none"/>
          <w:u w:val="none"/>
        </w:rPr>
        <w:fldChar w:fldCharType="separate"/>
      </w:r>
      <w:r>
        <w:rPr>
          <w:rStyle w:val="38"/>
          <w:rFonts w:hint="eastAsia" w:ascii="宋体" w:hAnsi="宋体" w:cs="宋体"/>
          <w:color w:val="auto"/>
          <w:highlight w:val="none"/>
          <w:u w:val="none"/>
        </w:rPr>
        <w:t>www.ccgp.gov.cn</w:t>
      </w:r>
      <w:r>
        <w:rPr>
          <w:rStyle w:val="38"/>
          <w:rFonts w:hint="eastAsia" w:ascii="宋体" w:hAnsi="宋体" w:cs="宋体"/>
          <w:color w:val="auto"/>
          <w:highlight w:val="none"/>
          <w:u w:val="none"/>
        </w:rPr>
        <w:fldChar w:fldCharType="end"/>
      </w:r>
      <w:r>
        <w:rPr>
          <w:rFonts w:hint="eastAsia" w:ascii="宋体" w:hAnsi="宋体" w:cs="宋体"/>
          <w:color w:val="auto"/>
          <w:szCs w:val="21"/>
          <w:highlight w:val="none"/>
          <w:u w:val="none"/>
        </w:rPr>
        <w:t>)链接入口。</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2.3供应商有下列情形之一的，资格审查不通过，其响应文件按无效响应处理：</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r>
        <w:rPr>
          <w:rFonts w:hint="eastAsia" w:ascii="宋体" w:hAnsi="宋体" w:cs="宋体"/>
          <w:color w:val="auto"/>
          <w:szCs w:val="21"/>
          <w:highlight w:val="none"/>
          <w:lang w:eastAsia="zh-CN"/>
        </w:rPr>
        <w:t>；</w:t>
      </w:r>
    </w:p>
    <w:p>
      <w:pPr>
        <w:spacing w:line="360" w:lineRule="auto"/>
        <w:ind w:firstLine="420" w:firstLineChars="200"/>
        <w:rPr>
          <w:rFonts w:hint="eastAsia" w:ascii="宋体" w:hAnsi="宋体" w:cs="宋体"/>
          <w:color w:val="auto"/>
          <w:szCs w:val="21"/>
          <w:highlight w:val="none"/>
        </w:rPr>
      </w:pPr>
      <w:bookmarkStart w:id="116"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116"/>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2.4通过资格审查的合格供应商不足3家的，不得进入符合性审查环节，采购人或者采购代理机构应当重新开展采购活动。</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3.符合性审查</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3.1由磋商小组对通过资格审查的合格供应商的响应文件的响应报价、商务、技术等实质性要求进行符合性审查，以确定其是否满足磋商文件的实质性要求。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供应商公章</w:t>
      </w:r>
      <w:r>
        <w:rPr>
          <w:rFonts w:hint="eastAsia" w:ascii="宋体" w:hAnsi="宋体" w:cs="宋体"/>
          <w:color w:val="auto"/>
          <w:spacing w:val="-6"/>
          <w:szCs w:val="21"/>
          <w:highlight w:val="none"/>
        </w:rPr>
        <w:t>。供应商为自然人的，必须由本人签字并附身份证明。</w:t>
      </w:r>
    </w:p>
    <w:p>
      <w:pPr>
        <w:spacing w:line="360" w:lineRule="auto"/>
        <w:ind w:firstLine="396" w:firstLineChars="200"/>
        <w:rPr>
          <w:rFonts w:hint="eastAsia"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（1）响应文件中响应报价表内容与响应文件中相应内容不一致的，以响应报价表为准；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（3）单价金额小数点或者百分比有明显错位的，以响应报价表的总价为准，并修改单价；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3.5商务技术、报价评审</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在评审时，如发现下列情形之一的，将被视为响应文件无效处理：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（1）商务技术评审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r>
        <w:rPr>
          <w:rFonts w:hint="eastAsia" w:ascii="宋体" w:hAnsi="宋体" w:cs="宋体"/>
          <w:color w:val="auto"/>
          <w:szCs w:val="21"/>
          <w:highlight w:val="none"/>
          <w:lang w:eastAsia="zh-CN"/>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4）商务条款中标“▲”的条款发生负偏离的或者允许负偏离的条款数超过“供应商须知前附表”规定项数的或者标明实质性的要求发生负偏离；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9）属于“供应商须知正文”第7.5条情形；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10）技术需求允许负偏离的条款数超过“供应商须知前附表”规定项数；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11）虚假竞标，或者出现其他情形而导致被磋商小组认定无效；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12）竞标技术方案不明确，磋商文件未允许但响应文件中存在一个或者一个以上备选（替代）竞标方案；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13）响应文件标注的项目名称或者项目编号与竞争性磋商文件标注的项目名称或者项目编号不一致的；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14）未响应磋商文件实质性要求；</w:t>
      </w:r>
    </w:p>
    <w:p>
      <w:pPr>
        <w:pStyle w:val="16"/>
        <w:ind w:firstLine="420" w:firstLineChars="200"/>
        <w:rPr>
          <w:rFonts w:hint="eastAsia" w:ascii="宋体" w:hAnsi="宋体" w:cs="宋体"/>
          <w:color w:val="auto"/>
          <w:highlight w:val="none"/>
        </w:rPr>
      </w:pPr>
      <w:r>
        <w:rPr>
          <w:rFonts w:hint="eastAsia" w:ascii="宋体" w:hAnsi="宋体" w:cs="宋体"/>
          <w:color w:val="auto"/>
          <w:szCs w:val="21"/>
          <w:highlight w:val="none"/>
        </w:rPr>
        <w:t>15）提交的磋商保证金无效的或者未按照磋商文件的规定提交磋商保证金；</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16）法律、法规和磋商文件规定的其他无效情形。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（2）报价评审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响应文件未提供“供应商须知前附表” 报价文件中规定的“响应报价表”；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项目/分标进行报价或者存在漏项报价；供应商未就所竞标项目/分标的单项内容作唯一报价；供应商未就所竞标项目/分标的全部内容作唯一总价报价；供应商响应文件中存在有选择、有条件报价的（磋商文件允许有备选方案或者其他约定的除外）；</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报价（包含首次报价、最后报价）超过所竞标项目/分标规定的采购预算金额或者最高限价的（如本项目公布了最高限价）；响应报价（包含首次报价、最后报价）超过磋商文件分项采购预算金额（如本项目公布了分项采购预算金额）或者最高限价的（如本项目公布了最高限价）；</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5）修正后的报价，供应商不确认的；或者经供应商确认修正后的响应报价（包含首次报价、最后报价）超过所竞标项目/分标规定的采购预算金额或者最高限价（如本项目公布了最高限价）；或者经供应商确认修正后响应报价（包含首次报价、最后报价）超过磋商文件分项采购预算金额（如本项目公布了分项采购预算金额）或者最高限价的（如本项目公布了最高限价）</w:t>
      </w:r>
      <w:r>
        <w:rPr>
          <w:rFonts w:hint="eastAsia" w:ascii="宋体" w:hAnsi="宋体" w:cs="宋体"/>
          <w:color w:val="auto"/>
          <w:szCs w:val="21"/>
          <w:highlight w:val="none"/>
          <w:lang w:eastAsia="zh-CN"/>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6）响应文件响应的标的数量及单位与竞争性磋商文件要求实质性不一致的。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pPr>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4.磋商程序</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4.3对磋商文件作出的实质性变动是磋商文件的有效组成部分，由磋商小组及时以电子澄清函形式同时通知所有参加磋商的供应商。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供应商必须按照磋商文件的变动情况和磋商小组的要求以回函的形式重新提交响应文件，并加盖供应商公章。供应商为自然人的，必须由本人签字并附身份证明。参加磋商的供应商未在规定时间内重新提交响应文件的，视同退出磋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4.5磋商中，</w:t>
      </w:r>
      <w:r>
        <w:rPr>
          <w:rFonts w:hint="eastAsia" w:ascii="宋体" w:hAnsi="宋体" w:cs="宋体"/>
          <w:color w:val="auto"/>
          <w:spacing w:val="-6"/>
          <w:szCs w:val="21"/>
          <w:highlight w:val="none"/>
        </w:rPr>
        <w:t>磋商的任何一方不得透露与磋商有关的其他供应商的技术资料、价格和其他信息。</w:t>
      </w:r>
    </w:p>
    <w:p>
      <w:pPr>
        <w:widowControl/>
        <w:tabs>
          <w:tab w:val="left" w:pos="540"/>
        </w:tabs>
        <w:spacing w:line="360" w:lineRule="auto"/>
        <w:ind w:firstLine="420" w:firstLineChars="200"/>
        <w:jc w:val="left"/>
        <w:rPr>
          <w:rFonts w:hint="eastAsia" w:ascii="宋体" w:hAnsi="宋体" w:cs="宋体"/>
          <w:b/>
          <w:color w:val="auto"/>
          <w:highlight w:val="none"/>
        </w:rPr>
      </w:pPr>
      <w:r>
        <w:rPr>
          <w:rFonts w:hint="eastAsia" w:ascii="宋体" w:hAnsi="宋体" w:cs="宋体"/>
          <w:color w:val="auto"/>
          <w:szCs w:val="21"/>
          <w:highlight w:val="none"/>
        </w:rPr>
        <w:t>4.6磋商小组应对磋商过程和重要磋商内容进行记录，作为评审报告一部分，磋商小组在记录上签字确认。</w:t>
      </w:r>
      <w:r>
        <w:rPr>
          <w:rFonts w:hint="eastAsia" w:ascii="宋体" w:hAnsi="宋体" w:cs="宋体"/>
          <w:b/>
          <w:color w:val="auto"/>
          <w:highlight w:val="none"/>
        </w:rPr>
        <w:t>主要内容包括：</w:t>
      </w:r>
    </w:p>
    <w:p>
      <w:pPr>
        <w:pStyle w:val="68"/>
        <w:spacing w:before="0"/>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（1）按照相关规定进行公示的，公示情况说明；</w:t>
      </w:r>
    </w:p>
    <w:p>
      <w:pPr>
        <w:pStyle w:val="68"/>
        <w:spacing w:before="0"/>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（2）磋商日期和地点，磋商人员名单；</w:t>
      </w:r>
    </w:p>
    <w:p>
      <w:pPr>
        <w:pStyle w:val="68"/>
        <w:spacing w:before="0"/>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（3）合同主要条款及价格商定情况。</w:t>
      </w:r>
    </w:p>
    <w:p>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4.7磋商过程中重新提交的响应文件，供应商可以在开启前补充、修改。</w:t>
      </w:r>
    </w:p>
    <w:p>
      <w:pPr>
        <w:tabs>
          <w:tab w:val="left" w:pos="283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4.8对磋商过程提交的响应文件进行有效性、完整性和响应程度审查，通过审查的合格供应商不足3家的，采购人或者采购代理机构应当重新开展采购活动。</w:t>
      </w:r>
    </w:p>
    <w:p>
      <w:pPr>
        <w:ind w:firstLine="482" w:firstLineChars="200"/>
        <w:rPr>
          <w:rFonts w:hint="eastAsia" w:ascii="宋体" w:hAnsi="宋体" w:cs="宋体"/>
          <w:color w:val="auto"/>
          <w:szCs w:val="21"/>
          <w:highlight w:val="none"/>
        </w:rPr>
      </w:pPr>
      <w:r>
        <w:rPr>
          <w:rFonts w:hint="eastAsia" w:ascii="宋体" w:hAnsi="宋体" w:cs="宋体"/>
          <w:b/>
          <w:bCs/>
          <w:color w:val="auto"/>
          <w:sz w:val="24"/>
          <w:highlight w:val="none"/>
        </w:rPr>
        <w:t>5. 最后报价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5.4已经提交响应文件的供应商，在提交最后报价之前，可以根据磋商情况退出磋商，退出磋商的供应商的响应文件按无效响应处理。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5.5供应商未在规定时间内提交最后报价的，视同退出磋商，其响应文件按无效处理。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5.6磋商小组收齐本项目/某一分标最后报价后统一开启，磋商小组对最后报价进行有效性、完整性和响应程度的审查。</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5.7最终响应文件的报价出现前后不一致的，按照本章第3.4条的规定修正。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5.8修正后的最后报价出现下列情形的，按无效响应处理：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（2）经供应商确认修正后的响应报价（包含首次报价、最后报价）超过所竞标项目/分标规定的采购预算金额或者最高限价的（如本项目公布了最高限价）；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s="宋体"/>
          <w:color w:val="auto"/>
          <w:sz w:val="22"/>
          <w:szCs w:val="22"/>
          <w:highlight w:val="none"/>
        </w:rPr>
        <w:t>，磋商小组应当告知有关供应商</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5.11最后报价结束后，磋商小组不得再与供应商进行任何形式的商谈。</w:t>
      </w:r>
    </w:p>
    <w:p>
      <w:pPr>
        <w:pStyle w:val="2"/>
        <w:spacing w:line="360" w:lineRule="auto"/>
        <w:ind w:firstLine="422" w:firstLineChars="200"/>
        <w:rPr>
          <w:rFonts w:hint="eastAsia"/>
          <w:color w:val="auto"/>
          <w:highlight w:val="none"/>
        </w:rPr>
      </w:pPr>
      <w:r>
        <w:rPr>
          <w:rFonts w:hint="eastAsia" w:ascii="宋体" w:hAnsi="宋体" w:cs="宋体"/>
          <w:b/>
          <w:bCs/>
          <w:color w:val="auto"/>
          <w:sz w:val="21"/>
          <w:szCs w:val="21"/>
          <w:highlight w:val="none"/>
        </w:rPr>
        <w:t>注：</w:t>
      </w:r>
      <w:r>
        <w:rPr>
          <w:rFonts w:hint="eastAsia"/>
          <w:b/>
          <w:bCs/>
          <w:color w:val="auto"/>
          <w:sz w:val="21"/>
          <w:szCs w:val="21"/>
          <w:highlight w:val="none"/>
        </w:rPr>
        <w:t>如磋商小组要求提供最后报价附件的，需按规定的时间提供。最后报价有时间限制，供应商可参照竞争性磋商文件“第五章 响应文件格式”的最后报价表提前准备，以免耽误最后报价</w:t>
      </w:r>
      <w:r>
        <w:rPr>
          <w:rFonts w:hint="eastAsia" w:ascii="宋体" w:hAnsi="宋体" w:cs="宋体"/>
          <w:b/>
          <w:bCs/>
          <w:color w:val="auto"/>
          <w:sz w:val="21"/>
          <w:szCs w:val="21"/>
          <w:highlight w:val="none"/>
          <w:lang w:val="zh-CN"/>
        </w:rPr>
        <w:t>。</w:t>
      </w:r>
    </w:p>
    <w:p>
      <w:pPr>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6</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6.1评审方法：综合评分法。</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6.3评审时，磋商小组各成员应当独立对每个有效响应的文件进行评价、打分，然后汇总每个供应商每项评分因素的得分。</w:t>
      </w:r>
    </w:p>
    <w:p>
      <w:pPr>
        <w:pStyle w:val="16"/>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磋商小组成员要根据政府采购法律法规和采购文件所载明的评审方法、标准进行评审。对供应商的价格分等客观评分项的评分应当一致，对其他需要借助专业知识评判的主观评分项，应当严格按照评分细则公正评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（2）磋商小组按照磋商文件中规定的评审标准计算各供应商的报价得分。项目评审过程中，不得去掉最后报价中的最高报价和最低报价。</w:t>
      </w:r>
    </w:p>
    <w:p>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（3）各供应商的得分为磋商小组所有成员的有效评分的算术平均数。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6.4评审</w:t>
      </w:r>
      <w:r>
        <w:rPr>
          <w:rFonts w:hint="eastAsia" w:ascii="宋体" w:hAnsi="宋体" w:cs="宋体"/>
          <w:color w:val="auto"/>
          <w:highlight w:val="none"/>
        </w:rPr>
        <w:t>报价</w:t>
      </w:r>
      <w:r>
        <w:rPr>
          <w:rFonts w:hint="eastAsia" w:ascii="宋体" w:hAnsi="宋体" w:cs="宋体"/>
          <w:color w:val="auto"/>
          <w:szCs w:val="21"/>
          <w:highlight w:val="none"/>
        </w:rPr>
        <w:t>为供应商的最后报价进行政策性扣除后的价格，评审</w:t>
      </w:r>
      <w:r>
        <w:rPr>
          <w:rFonts w:hint="eastAsia" w:ascii="宋体" w:hAnsi="宋体" w:cs="宋体"/>
          <w:color w:val="auto"/>
          <w:highlight w:val="none"/>
        </w:rPr>
        <w:t>报价</w:t>
      </w:r>
      <w:r>
        <w:rPr>
          <w:rFonts w:hint="eastAsia" w:ascii="宋体" w:hAnsi="宋体" w:cs="宋体"/>
          <w:color w:val="auto"/>
          <w:szCs w:val="21"/>
          <w:highlight w:val="none"/>
        </w:rPr>
        <w:t>只是作为评审时使用。最终成交供应商的成交金额等于最后报价（如有修正，以确认修正后的最后报价为准）。</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6.5由磋商小组根据综合评分情况，按照评审得分由高到低顺序推荐3名以上成交候选供应商，并编写评</w:t>
      </w:r>
      <w:r>
        <w:rPr>
          <w:rFonts w:hint="eastAsia" w:ascii="宋体" w:hAnsi="宋体" w:cs="宋体"/>
          <w:color w:val="auto"/>
          <w:kern w:val="0"/>
          <w:szCs w:val="21"/>
          <w:highlight w:val="none"/>
        </w:rPr>
        <w:t>审报告。符合本章第5.3条情形的，可以推荐2家成交候选供应商。评审得分相同的，</w:t>
      </w:r>
      <w:r>
        <w:rPr>
          <w:rFonts w:hint="eastAsia" w:ascii="宋体" w:hAnsi="宋体" w:cs="宋体"/>
          <w:bCs/>
          <w:color w:val="auto"/>
          <w:szCs w:val="21"/>
          <w:highlight w:val="none"/>
        </w:rPr>
        <w:t>按照最后报价（不计算价格折扣）由低到高的顺序推荐。评审得分且最后报价（不计算价格折扣）相同的，按照技术指标优劣顺序推荐（按技术分得分由高到低排序，技术分得分相同的按照商务分得分由高到低排序）。评审得分、最后报价（不计算价格折扣）、技术分得分、商务分得分均相同的，由磋商小组随机抽取推荐。</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7</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评审标准</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7.1评审依据：磋商小组将以响应文件为评审依据，对供应商的报价、技术、商务等方面内容按百分制打分，总得分=报价分+技术分+商务分。（计分方法按四舍五入取至百分位）</w:t>
      </w:r>
    </w:p>
    <w:p>
      <w:pPr>
        <w:spacing w:line="360" w:lineRule="auto"/>
        <w:ind w:firstLine="420" w:firstLineChars="200"/>
        <w:rPr>
          <w:rFonts w:hint="eastAsia" w:ascii="宋体" w:hAnsi="宋体" w:eastAsia="宋体" w:cs="宋体"/>
          <w:color w:val="auto"/>
          <w:kern w:val="0"/>
          <w:szCs w:val="21"/>
          <w:highlight w:val="none"/>
        </w:rPr>
      </w:pPr>
    </w:p>
    <w:tbl>
      <w:tblPr>
        <w:tblStyle w:val="31"/>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100"/>
        <w:gridCol w:w="7278"/>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2" w:type="dxa"/>
            <w:vAlign w:val="center"/>
          </w:tcPr>
          <w:p>
            <w:pPr>
              <w:spacing w:line="360" w:lineRule="auto"/>
              <w:jc w:val="center"/>
              <w:rPr>
                <w:rFonts w:hint="eastAsia" w:ascii="宋体" w:hAnsi="宋体" w:eastAsia="宋体" w:cs="宋体"/>
                <w:color w:val="auto"/>
                <w:highlight w:val="none"/>
              </w:rPr>
            </w:pPr>
            <w:bookmarkStart w:id="117" w:name="_Toc80205935"/>
            <w:r>
              <w:rPr>
                <w:rFonts w:hint="eastAsia" w:ascii="宋体" w:hAnsi="宋体" w:eastAsia="宋体" w:cs="宋体"/>
                <w:color w:val="auto"/>
                <w:highlight w:val="none"/>
              </w:rPr>
              <w:t>序号</w:t>
            </w:r>
          </w:p>
        </w:tc>
        <w:tc>
          <w:tcPr>
            <w:tcW w:w="1100" w:type="dxa"/>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评分</w:t>
            </w:r>
          </w:p>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类型</w:t>
            </w:r>
          </w:p>
        </w:tc>
        <w:tc>
          <w:tcPr>
            <w:tcW w:w="7278" w:type="dxa"/>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评分标准</w:t>
            </w:r>
          </w:p>
        </w:tc>
        <w:tc>
          <w:tcPr>
            <w:tcW w:w="934" w:type="dxa"/>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2" w:type="dxa"/>
            <w:vAlign w:val="center"/>
          </w:tcPr>
          <w:p>
            <w:pPr>
              <w:spacing w:line="360" w:lineRule="auto"/>
              <w:jc w:val="center"/>
              <w:rPr>
                <w:rFonts w:hint="eastAsia" w:ascii="宋体" w:hAnsi="宋体" w:eastAsia="宋体" w:cs="宋体"/>
                <w:color w:val="auto"/>
                <w:highlight w:val="none"/>
              </w:rPr>
            </w:pPr>
            <w:r>
              <w:rPr>
                <w:rFonts w:hint="eastAsia" w:ascii="宋体" w:hAnsi="宋体" w:cs="宋体"/>
                <w:color w:val="auto"/>
                <w:highlight w:val="none"/>
                <w:lang w:val="en-US" w:eastAsia="zh-CN"/>
              </w:rPr>
              <w:t>1</w:t>
            </w:r>
          </w:p>
        </w:tc>
        <w:tc>
          <w:tcPr>
            <w:tcW w:w="1100" w:type="dxa"/>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报价</w:t>
            </w:r>
          </w:p>
        </w:tc>
        <w:tc>
          <w:tcPr>
            <w:tcW w:w="7278" w:type="dxa"/>
            <w:vAlign w:val="center"/>
          </w:tcPr>
          <w:p>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1.本项目为专门面向中小企业采购的项目，按照《政府采购促进中小企业发展管理办法》（财库〔2020〕46号）的规定，对供应商最后报价不再执行价格评审优惠的扶持政策。</w:t>
            </w:r>
          </w:p>
          <w:p>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2.评审报价为供应商的最后报价，评审报价只是作为评审时使用。最终成交供应商的成交金额等于最后报价（如有修正，以确认修正后的最后报价为准）。</w:t>
            </w:r>
          </w:p>
          <w:p>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3.以进入比较与评价环节的最低的评审报价为基准价，基准价得分为</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分。</w:t>
            </w:r>
          </w:p>
          <w:p>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4.价格分计算公式：</w:t>
            </w:r>
          </w:p>
          <w:p>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报价得分=（基准价/评审报价）×</w:t>
            </w:r>
            <w:r>
              <w:rPr>
                <w:rFonts w:hint="eastAsia" w:ascii="宋体" w:hAnsi="宋体" w:cs="宋体"/>
                <w:color w:val="auto"/>
                <w:highlight w:val="none"/>
                <w:lang w:val="en-US" w:eastAsia="zh-CN"/>
              </w:rPr>
              <w:t>30</w:t>
            </w:r>
            <w:r>
              <w:rPr>
                <w:rFonts w:hint="eastAsia" w:ascii="宋体" w:hAnsi="宋体" w:eastAsia="宋体" w:cs="宋体"/>
                <w:color w:val="auto"/>
                <w:highlight w:val="none"/>
              </w:rPr>
              <w:t>分</w:t>
            </w:r>
          </w:p>
        </w:tc>
        <w:tc>
          <w:tcPr>
            <w:tcW w:w="934" w:type="dxa"/>
            <w:vAlign w:val="center"/>
          </w:tcPr>
          <w:p>
            <w:pPr>
              <w:spacing w:line="36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spacing w:line="360" w:lineRule="auto"/>
              <w:jc w:val="center"/>
              <w:rPr>
                <w:rFonts w:hint="eastAsia" w:ascii="宋体" w:hAnsi="宋体" w:eastAsia="宋体" w:cs="宋体"/>
                <w:color w:val="auto"/>
                <w:highlight w:val="none"/>
              </w:rPr>
            </w:pPr>
            <w:r>
              <w:rPr>
                <w:rFonts w:hint="eastAsia" w:ascii="宋体" w:hAnsi="宋体" w:cs="宋体"/>
                <w:color w:val="auto"/>
                <w:highlight w:val="none"/>
                <w:lang w:val="en-US" w:eastAsia="zh-CN"/>
              </w:rPr>
              <w:t>2</w:t>
            </w:r>
          </w:p>
        </w:tc>
        <w:tc>
          <w:tcPr>
            <w:tcW w:w="1100" w:type="dxa"/>
            <w:vAlign w:val="center"/>
          </w:tcPr>
          <w:p>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技术</w:t>
            </w:r>
          </w:p>
        </w:tc>
        <w:tc>
          <w:tcPr>
            <w:tcW w:w="7278" w:type="dxa"/>
            <w:vAlign w:val="center"/>
          </w:tcPr>
          <w:p>
            <w:pPr>
              <w:numPr>
                <w:ilvl w:val="-1"/>
                <w:numId w:val="0"/>
              </w:numPr>
              <w:spacing w:line="360" w:lineRule="auto"/>
              <w:jc w:val="left"/>
              <w:rPr>
                <w:rFonts w:hint="default" w:ascii="宋体" w:hAnsi="宋体" w:cs="宋体"/>
                <w:color w:val="auto"/>
                <w:highlight w:val="none"/>
                <w:lang w:val="en-US" w:eastAsia="zh-CN"/>
              </w:rPr>
            </w:pPr>
            <w:r>
              <w:rPr>
                <w:rFonts w:hint="eastAsia" w:ascii="宋体" w:hAnsi="宋体" w:cs="宋体"/>
                <w:color w:val="auto"/>
                <w:highlight w:val="none"/>
                <w:lang w:val="en-US" w:eastAsia="zh-CN"/>
              </w:rPr>
              <w:t>服务方案：</w:t>
            </w:r>
          </w:p>
          <w:p>
            <w:pPr>
              <w:numPr>
                <w:ilvl w:val="-1"/>
                <w:numId w:val="0"/>
              </w:numPr>
              <w:spacing w:line="360" w:lineRule="auto"/>
              <w:ind w:left="0" w:leftChars="0" w:firstLine="0" w:firstLineChars="0"/>
              <w:jc w:val="left"/>
              <w:rPr>
                <w:rFonts w:hint="default" w:ascii="宋体" w:hAnsi="宋体" w:cs="宋体"/>
                <w:color w:val="auto"/>
                <w:highlight w:val="none"/>
                <w:lang w:val="en-US" w:eastAsia="zh-CN"/>
              </w:rPr>
            </w:pPr>
            <w:r>
              <w:rPr>
                <w:rFonts w:hint="default" w:ascii="宋体" w:hAnsi="宋体" w:cs="宋体"/>
                <w:color w:val="auto"/>
                <w:highlight w:val="none"/>
                <w:lang w:val="en-US" w:eastAsia="zh-CN"/>
              </w:rPr>
              <w:t>一档（5分）：提供有服务流程和管理服务架构，管理方法</w:t>
            </w:r>
            <w:r>
              <w:rPr>
                <w:rFonts w:hint="eastAsia" w:ascii="宋体" w:hAnsi="宋体" w:cs="宋体"/>
                <w:color w:val="auto"/>
                <w:highlight w:val="none"/>
                <w:lang w:val="en-US" w:eastAsia="zh-CN"/>
              </w:rPr>
              <w:t>无针对性</w:t>
            </w:r>
            <w:r>
              <w:rPr>
                <w:rFonts w:hint="default" w:ascii="宋体" w:hAnsi="宋体" w:cs="宋体"/>
                <w:color w:val="auto"/>
                <w:highlight w:val="none"/>
                <w:lang w:val="en-US" w:eastAsia="zh-CN"/>
              </w:rPr>
              <w:t xml:space="preserve">。 </w:t>
            </w:r>
          </w:p>
          <w:p>
            <w:pPr>
              <w:numPr>
                <w:ilvl w:val="-1"/>
                <w:numId w:val="0"/>
              </w:numPr>
              <w:spacing w:line="360" w:lineRule="auto"/>
              <w:ind w:left="0" w:leftChars="0" w:firstLine="0" w:firstLineChars="0"/>
              <w:jc w:val="left"/>
              <w:rPr>
                <w:rFonts w:hint="default" w:ascii="宋体" w:hAnsi="宋体" w:cs="宋体"/>
                <w:color w:val="auto"/>
                <w:highlight w:val="none"/>
                <w:lang w:val="en-US" w:eastAsia="zh-CN"/>
              </w:rPr>
            </w:pPr>
            <w:r>
              <w:rPr>
                <w:rFonts w:hint="default" w:ascii="宋体" w:hAnsi="宋体" w:cs="宋体"/>
                <w:color w:val="auto"/>
                <w:highlight w:val="none"/>
                <w:lang w:val="en-US" w:eastAsia="zh-CN"/>
              </w:rPr>
              <w:t>二档（10分）：</w:t>
            </w:r>
            <w:r>
              <w:rPr>
                <w:rFonts w:hint="eastAsia" w:ascii="宋体" w:hAnsi="宋体" w:cs="宋体"/>
                <w:color w:val="auto"/>
                <w:highlight w:val="none"/>
                <w:lang w:val="en-US" w:eastAsia="zh-CN"/>
              </w:rPr>
              <w:t>提供有</w:t>
            </w:r>
            <w:r>
              <w:rPr>
                <w:rFonts w:hint="default" w:ascii="宋体" w:hAnsi="宋体" w:cs="宋体"/>
                <w:color w:val="auto"/>
                <w:highlight w:val="none"/>
                <w:lang w:val="en-US" w:eastAsia="zh-CN"/>
              </w:rPr>
              <w:t>服务流程；</w:t>
            </w:r>
            <w:r>
              <w:rPr>
                <w:rFonts w:hint="eastAsia" w:ascii="宋体" w:hAnsi="宋体" w:cs="宋体"/>
                <w:color w:val="auto"/>
                <w:highlight w:val="none"/>
                <w:lang w:val="en-US" w:eastAsia="zh-CN"/>
              </w:rPr>
              <w:t>提供了详细的</w:t>
            </w:r>
            <w:r>
              <w:rPr>
                <w:rFonts w:hint="default" w:ascii="宋体" w:hAnsi="宋体" w:cs="宋体"/>
                <w:color w:val="auto"/>
                <w:highlight w:val="none"/>
                <w:lang w:val="en-US" w:eastAsia="zh-CN"/>
              </w:rPr>
              <w:t>管理服务架构；管理方法详细、</w:t>
            </w:r>
            <w:r>
              <w:rPr>
                <w:rFonts w:hint="eastAsia" w:ascii="宋体" w:hAnsi="宋体" w:cs="宋体"/>
                <w:color w:val="auto"/>
                <w:highlight w:val="none"/>
                <w:lang w:val="en-US" w:eastAsia="zh-CN"/>
              </w:rPr>
              <w:t>具有</w:t>
            </w:r>
            <w:r>
              <w:rPr>
                <w:rFonts w:hint="default" w:ascii="宋体" w:hAnsi="宋体" w:cs="宋体"/>
                <w:color w:val="auto"/>
                <w:highlight w:val="none"/>
                <w:lang w:val="en-US" w:eastAsia="zh-CN"/>
              </w:rPr>
              <w:t xml:space="preserve">可操作性，能够满足采购单位用工要求。 </w:t>
            </w:r>
          </w:p>
          <w:p>
            <w:pPr>
              <w:numPr>
                <w:ilvl w:val="-1"/>
                <w:numId w:val="0"/>
              </w:numPr>
              <w:spacing w:line="360" w:lineRule="auto"/>
              <w:ind w:left="0" w:leftChars="0" w:firstLine="0" w:firstLineChars="0"/>
              <w:jc w:val="left"/>
              <w:rPr>
                <w:rFonts w:hint="default" w:ascii="宋体" w:hAnsi="宋体" w:cs="宋体"/>
                <w:color w:val="auto"/>
                <w:highlight w:val="none"/>
                <w:lang w:val="en-US" w:eastAsia="zh-CN"/>
              </w:rPr>
            </w:pPr>
            <w:r>
              <w:rPr>
                <w:rFonts w:hint="default" w:ascii="宋体" w:hAnsi="宋体" w:cs="宋体"/>
                <w:color w:val="auto"/>
                <w:highlight w:val="none"/>
                <w:lang w:val="en-US" w:eastAsia="zh-CN"/>
              </w:rPr>
              <w:t>三档（</w:t>
            </w:r>
            <w:r>
              <w:rPr>
                <w:rFonts w:hint="eastAsia" w:ascii="宋体" w:hAnsi="宋体" w:cs="宋体"/>
                <w:color w:val="auto"/>
                <w:highlight w:val="none"/>
                <w:lang w:val="en-US" w:eastAsia="zh-CN"/>
              </w:rPr>
              <w:t>15</w:t>
            </w:r>
            <w:r>
              <w:rPr>
                <w:rFonts w:hint="default" w:ascii="宋体" w:hAnsi="宋体" w:cs="宋体"/>
                <w:color w:val="auto"/>
                <w:highlight w:val="none"/>
                <w:lang w:val="en-US" w:eastAsia="zh-CN"/>
              </w:rPr>
              <w:t>分）：</w:t>
            </w:r>
            <w:r>
              <w:rPr>
                <w:rFonts w:hint="eastAsia" w:ascii="宋体" w:hAnsi="宋体" w:cs="宋体"/>
                <w:color w:val="auto"/>
                <w:highlight w:val="none"/>
                <w:lang w:val="en-US" w:eastAsia="zh-CN"/>
              </w:rPr>
              <w:t>提供了详细的</w:t>
            </w:r>
            <w:r>
              <w:rPr>
                <w:rFonts w:hint="default" w:ascii="宋体" w:hAnsi="宋体" w:cs="宋体"/>
                <w:color w:val="auto"/>
                <w:highlight w:val="none"/>
                <w:lang w:val="en-US" w:eastAsia="zh-CN"/>
              </w:rPr>
              <w:t>服务流程；提供了详细的管理服务架构；管理方法</w:t>
            </w:r>
            <w:r>
              <w:rPr>
                <w:rFonts w:hint="eastAsia" w:ascii="宋体" w:hAnsi="宋体" w:cs="宋体"/>
                <w:color w:val="auto"/>
                <w:highlight w:val="none"/>
                <w:lang w:val="en-US" w:eastAsia="zh-CN"/>
              </w:rPr>
              <w:t>详细，</w:t>
            </w:r>
            <w:r>
              <w:rPr>
                <w:rFonts w:hint="default" w:ascii="宋体" w:hAnsi="宋体" w:cs="宋体"/>
                <w:color w:val="auto"/>
                <w:highlight w:val="none"/>
                <w:lang w:val="en-US" w:eastAsia="zh-CN"/>
              </w:rPr>
              <w:t>且</w:t>
            </w:r>
            <w:r>
              <w:rPr>
                <w:rFonts w:hint="eastAsia" w:ascii="宋体" w:hAnsi="宋体" w:cs="宋体"/>
                <w:color w:val="auto"/>
                <w:highlight w:val="none"/>
                <w:lang w:val="en-US" w:eastAsia="zh-CN"/>
              </w:rPr>
              <w:t>具有</w:t>
            </w:r>
            <w:r>
              <w:rPr>
                <w:rFonts w:hint="default" w:ascii="宋体" w:hAnsi="宋体" w:cs="宋体"/>
                <w:color w:val="auto"/>
                <w:highlight w:val="none"/>
                <w:lang w:val="en-US" w:eastAsia="zh-CN"/>
              </w:rPr>
              <w:t>针对性；</w:t>
            </w:r>
            <w:r>
              <w:rPr>
                <w:rFonts w:hint="eastAsia" w:ascii="宋体" w:hAnsi="宋体" w:cs="宋体"/>
                <w:color w:val="auto"/>
                <w:highlight w:val="none"/>
                <w:lang w:val="en-US" w:eastAsia="zh-CN"/>
              </w:rPr>
              <w:t>有详细的</w:t>
            </w:r>
            <w:r>
              <w:rPr>
                <w:rFonts w:hint="default" w:ascii="宋体" w:hAnsi="宋体" w:cs="宋体"/>
                <w:color w:val="auto"/>
                <w:highlight w:val="none"/>
                <w:lang w:val="en-US" w:eastAsia="zh-CN"/>
              </w:rPr>
              <w:t>人员档案管理、薪资管理</w:t>
            </w:r>
            <w:r>
              <w:rPr>
                <w:rFonts w:hint="eastAsia" w:ascii="宋体" w:hAnsi="宋体" w:cs="宋体"/>
                <w:color w:val="auto"/>
                <w:highlight w:val="none"/>
                <w:lang w:val="en-US" w:eastAsia="zh-CN"/>
              </w:rPr>
              <w:t>方案</w:t>
            </w:r>
            <w:r>
              <w:rPr>
                <w:rFonts w:hint="default" w:ascii="宋体" w:hAnsi="宋体" w:cs="宋体"/>
                <w:color w:val="auto"/>
                <w:highlight w:val="none"/>
                <w:lang w:val="en-US" w:eastAsia="zh-CN"/>
              </w:rPr>
              <w:t xml:space="preserve">，能够充分保障采购单位用工质量及稳定。 </w:t>
            </w:r>
          </w:p>
        </w:tc>
        <w:tc>
          <w:tcPr>
            <w:tcW w:w="934" w:type="dxa"/>
            <w:vAlign w:val="center"/>
          </w:tcPr>
          <w:p>
            <w:pPr>
              <w:spacing w:line="36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spacing w:line="360" w:lineRule="auto"/>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3</w:t>
            </w:r>
          </w:p>
        </w:tc>
        <w:tc>
          <w:tcPr>
            <w:tcW w:w="1100" w:type="dxa"/>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技术</w:t>
            </w:r>
          </w:p>
        </w:tc>
        <w:tc>
          <w:tcPr>
            <w:tcW w:w="7278" w:type="dxa"/>
            <w:vAlign w:val="center"/>
          </w:tcPr>
          <w:p>
            <w:pPr>
              <w:spacing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客户服务及关系维护方案</w:t>
            </w:r>
            <w:r>
              <w:rPr>
                <w:rFonts w:hint="eastAsia" w:ascii="宋体" w:hAnsi="宋体" w:cs="宋体"/>
                <w:color w:val="auto"/>
                <w:highlight w:val="none"/>
                <w:lang w:eastAsia="zh-CN"/>
              </w:rPr>
              <w:t>：</w:t>
            </w:r>
          </w:p>
          <w:p>
            <w:pPr>
              <w:spacing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一档（5分）：仅提供有劳动争议处理方法，阐述简略。 </w:t>
            </w:r>
          </w:p>
          <w:p>
            <w:pPr>
              <w:spacing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二档（10分）：劳动争议处理方案内容详细，有风险防范措施及案例。 </w:t>
            </w:r>
          </w:p>
          <w:p>
            <w:pPr>
              <w:spacing w:line="360" w:lineRule="auto"/>
              <w:jc w:val="left"/>
              <w:rPr>
                <w:rFonts w:hint="default" w:ascii="宋体" w:hAnsi="宋体" w:cs="宋体"/>
                <w:color w:val="auto"/>
                <w:highlight w:val="none"/>
                <w:lang w:val="en-US" w:eastAsia="zh-CN"/>
              </w:rPr>
            </w:pPr>
            <w:r>
              <w:rPr>
                <w:rFonts w:hint="eastAsia" w:ascii="宋体" w:hAnsi="宋体" w:eastAsia="宋体" w:cs="宋体"/>
                <w:color w:val="auto"/>
                <w:highlight w:val="none"/>
                <w:lang w:eastAsia="zh-CN"/>
              </w:rPr>
              <w:t>三档（15分）：劳动争议处理设有专业机制或专业部门，</w:t>
            </w:r>
            <w:r>
              <w:rPr>
                <w:rFonts w:hint="eastAsia" w:ascii="宋体" w:hAnsi="宋体" w:cs="宋体"/>
                <w:color w:val="auto"/>
                <w:highlight w:val="none"/>
                <w:lang w:val="en-US" w:eastAsia="zh-CN"/>
              </w:rPr>
              <w:t>提供了有针对性的</w:t>
            </w:r>
            <w:r>
              <w:rPr>
                <w:rFonts w:hint="eastAsia" w:ascii="宋体" w:hAnsi="宋体" w:eastAsia="宋体" w:cs="宋体"/>
                <w:color w:val="auto"/>
                <w:highlight w:val="none"/>
                <w:lang w:eastAsia="zh-CN"/>
              </w:rPr>
              <w:t>方法、方案内容</w:t>
            </w:r>
            <w:r>
              <w:rPr>
                <w:rFonts w:hint="eastAsia" w:ascii="宋体" w:hAnsi="宋体" w:cs="宋体"/>
                <w:color w:val="auto"/>
                <w:highlight w:val="none"/>
                <w:lang w:val="en-US" w:eastAsia="zh-CN"/>
              </w:rPr>
              <w:t>详细</w:t>
            </w:r>
            <w:r>
              <w:rPr>
                <w:rFonts w:hint="eastAsia" w:ascii="宋体" w:hAnsi="宋体" w:eastAsia="宋体" w:cs="宋体"/>
                <w:color w:val="auto"/>
                <w:highlight w:val="none"/>
                <w:lang w:eastAsia="zh-CN"/>
              </w:rPr>
              <w:t>；风险防范措施符合实际且设有关系维护应急预案；对用工单位以及拟投入人员</w:t>
            </w:r>
            <w:r>
              <w:rPr>
                <w:rFonts w:hint="eastAsia" w:ascii="宋体" w:hAnsi="宋体" w:cs="宋体"/>
                <w:color w:val="auto"/>
                <w:highlight w:val="none"/>
                <w:lang w:val="en-US" w:eastAsia="zh-CN"/>
              </w:rPr>
              <w:t>提供有</w:t>
            </w:r>
            <w:r>
              <w:rPr>
                <w:rFonts w:hint="eastAsia" w:ascii="宋体" w:hAnsi="宋体" w:eastAsia="宋体" w:cs="宋体"/>
                <w:color w:val="auto"/>
                <w:highlight w:val="none"/>
                <w:lang w:eastAsia="zh-CN"/>
              </w:rPr>
              <w:t xml:space="preserve">增值服务。 </w:t>
            </w:r>
          </w:p>
        </w:tc>
        <w:tc>
          <w:tcPr>
            <w:tcW w:w="934" w:type="dxa"/>
            <w:vAlign w:val="center"/>
          </w:tcPr>
          <w:p>
            <w:pPr>
              <w:spacing w:line="36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spacing w:line="360" w:lineRule="auto"/>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4</w:t>
            </w:r>
          </w:p>
        </w:tc>
        <w:tc>
          <w:tcPr>
            <w:tcW w:w="1100" w:type="dxa"/>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技术</w:t>
            </w:r>
          </w:p>
        </w:tc>
        <w:tc>
          <w:tcPr>
            <w:tcW w:w="7278" w:type="dxa"/>
            <w:vAlign w:val="center"/>
          </w:tcPr>
          <w:p>
            <w:pPr>
              <w:spacing w:line="360" w:lineRule="auto"/>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应急处置预案方案</w:t>
            </w:r>
          </w:p>
          <w:p>
            <w:pPr>
              <w:spacing w:line="360" w:lineRule="auto"/>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一档（</w:t>
            </w:r>
            <w:r>
              <w:rPr>
                <w:rFonts w:hint="eastAsia" w:ascii="宋体" w:hAnsi="宋体" w:cs="宋体"/>
                <w:color w:val="auto"/>
                <w:highlight w:val="none"/>
                <w:lang w:val="en-US" w:eastAsia="zh-CN"/>
              </w:rPr>
              <w:t>5</w:t>
            </w:r>
            <w:r>
              <w:rPr>
                <w:rFonts w:hint="default" w:ascii="宋体" w:hAnsi="宋体" w:eastAsia="宋体" w:cs="宋体"/>
                <w:color w:val="auto"/>
                <w:highlight w:val="none"/>
                <w:lang w:val="en-US" w:eastAsia="zh-CN"/>
              </w:rPr>
              <w:t xml:space="preserve">分）：有项目突发事件应急处置预案、组织措施和保障措施，能及时排除简易故障，能够确保服务工作的正常运转； </w:t>
            </w:r>
          </w:p>
          <w:p>
            <w:pPr>
              <w:spacing w:line="360" w:lineRule="auto"/>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二档（</w:t>
            </w:r>
            <w:r>
              <w:rPr>
                <w:rFonts w:hint="eastAsia" w:ascii="宋体" w:hAnsi="宋体" w:cs="宋体"/>
                <w:color w:val="auto"/>
                <w:highlight w:val="none"/>
                <w:lang w:val="en-US" w:eastAsia="zh-CN"/>
              </w:rPr>
              <w:t>10</w:t>
            </w:r>
            <w:r>
              <w:rPr>
                <w:rFonts w:hint="default" w:ascii="宋体" w:hAnsi="宋体" w:eastAsia="宋体" w:cs="宋体"/>
                <w:color w:val="auto"/>
                <w:highlight w:val="none"/>
                <w:lang w:val="en-US" w:eastAsia="zh-CN"/>
              </w:rPr>
              <w:t>分）：项目执行组织措施和保障措施内容详细，有针对服务工作提出的故障排除和应急方案，实施安全保证体系、安全事故控制、 应急预案等内容</w:t>
            </w:r>
            <w:r>
              <w:rPr>
                <w:rFonts w:hint="eastAsia" w:ascii="宋体" w:hAnsi="宋体" w:cs="宋体"/>
                <w:color w:val="auto"/>
                <w:highlight w:val="none"/>
                <w:lang w:val="en-US" w:eastAsia="zh-CN"/>
              </w:rPr>
              <w:t>详细，符合工作实际</w:t>
            </w:r>
            <w:r>
              <w:rPr>
                <w:rFonts w:hint="default" w:ascii="宋体" w:hAnsi="宋体" w:eastAsia="宋体" w:cs="宋体"/>
                <w:color w:val="auto"/>
                <w:highlight w:val="none"/>
                <w:lang w:val="en-US" w:eastAsia="zh-CN"/>
              </w:rPr>
              <w:t xml:space="preserve">，日常工作开展得到有效保障； </w:t>
            </w:r>
          </w:p>
          <w:p>
            <w:pPr>
              <w:spacing w:line="360" w:lineRule="auto"/>
              <w:jc w:val="left"/>
              <w:rPr>
                <w:rFonts w:hint="default" w:ascii="宋体" w:hAnsi="宋体" w:cs="宋体"/>
                <w:color w:val="auto"/>
                <w:highlight w:val="none"/>
                <w:lang w:val="en-US" w:eastAsia="zh-CN"/>
              </w:rPr>
            </w:pPr>
            <w:r>
              <w:rPr>
                <w:rFonts w:hint="default" w:ascii="宋体" w:hAnsi="宋体" w:eastAsia="宋体" w:cs="宋体"/>
                <w:color w:val="auto"/>
                <w:highlight w:val="none"/>
                <w:lang w:val="en-US" w:eastAsia="zh-CN"/>
              </w:rPr>
              <w:t>三档（</w:t>
            </w:r>
            <w:r>
              <w:rPr>
                <w:rFonts w:hint="eastAsia" w:ascii="宋体" w:hAnsi="宋体" w:cs="宋体"/>
                <w:color w:val="auto"/>
                <w:highlight w:val="none"/>
                <w:lang w:val="en-US" w:eastAsia="zh-CN"/>
              </w:rPr>
              <w:t>15</w:t>
            </w:r>
            <w:r>
              <w:rPr>
                <w:rFonts w:hint="default" w:ascii="宋体" w:hAnsi="宋体" w:eastAsia="宋体" w:cs="宋体"/>
                <w:color w:val="auto"/>
                <w:highlight w:val="none"/>
                <w:lang w:val="en-US" w:eastAsia="zh-CN"/>
              </w:rPr>
              <w:t>分）：在</w:t>
            </w:r>
            <w:r>
              <w:rPr>
                <w:rFonts w:hint="eastAsia" w:ascii="宋体" w:hAnsi="宋体" w:cs="宋体"/>
                <w:color w:val="auto"/>
                <w:highlight w:val="none"/>
                <w:lang w:val="en-US" w:eastAsia="zh-CN"/>
              </w:rPr>
              <w:t>二</w:t>
            </w:r>
            <w:r>
              <w:rPr>
                <w:rFonts w:hint="default" w:ascii="宋体" w:hAnsi="宋体" w:eastAsia="宋体" w:cs="宋体"/>
                <w:color w:val="auto"/>
                <w:highlight w:val="none"/>
                <w:lang w:val="en-US" w:eastAsia="zh-CN"/>
              </w:rPr>
              <w:t>档基础上，项目执行组织措施和保障措施内容详细，针对服务工作提出详细的故障排除和应急方案，实施安全保证体系健全、安全事故控制</w:t>
            </w:r>
            <w:r>
              <w:rPr>
                <w:rFonts w:hint="eastAsia" w:ascii="宋体" w:hAnsi="宋体" w:cs="宋体"/>
                <w:color w:val="auto"/>
                <w:highlight w:val="none"/>
                <w:lang w:val="en-US" w:eastAsia="zh-CN"/>
              </w:rPr>
              <w:t>方案符合实际</w:t>
            </w:r>
            <w:r>
              <w:rPr>
                <w:rFonts w:hint="default" w:ascii="宋体" w:hAnsi="宋体" w:eastAsia="宋体" w:cs="宋体"/>
                <w:color w:val="auto"/>
                <w:highlight w:val="none"/>
                <w:lang w:val="en-US" w:eastAsia="zh-CN"/>
              </w:rPr>
              <w:t>、应急预案详细</w:t>
            </w:r>
            <w:r>
              <w:rPr>
                <w:rFonts w:hint="eastAsia" w:ascii="宋体" w:hAnsi="宋体" w:cs="宋体"/>
                <w:color w:val="auto"/>
                <w:highlight w:val="none"/>
                <w:lang w:val="en-US" w:eastAsia="zh-CN"/>
              </w:rPr>
              <w:t>合理</w:t>
            </w:r>
            <w:r>
              <w:rPr>
                <w:rFonts w:hint="default" w:ascii="宋体" w:hAnsi="宋体" w:eastAsia="宋体" w:cs="宋体"/>
                <w:color w:val="auto"/>
                <w:highlight w:val="none"/>
                <w:lang w:val="en-US" w:eastAsia="zh-CN"/>
              </w:rPr>
              <w:t>，</w:t>
            </w:r>
            <w:r>
              <w:rPr>
                <w:rFonts w:hint="eastAsia" w:ascii="宋体" w:hAnsi="宋体" w:cs="宋体"/>
                <w:color w:val="auto"/>
                <w:highlight w:val="none"/>
                <w:lang w:val="en-US" w:eastAsia="zh-CN"/>
              </w:rPr>
              <w:t>能保障</w:t>
            </w:r>
            <w:r>
              <w:rPr>
                <w:rFonts w:hint="default" w:ascii="宋体" w:hAnsi="宋体" w:eastAsia="宋体" w:cs="宋体"/>
                <w:color w:val="auto"/>
                <w:highlight w:val="none"/>
                <w:lang w:val="en-US" w:eastAsia="zh-CN"/>
              </w:rPr>
              <w:t>日常工作</w:t>
            </w:r>
            <w:r>
              <w:rPr>
                <w:rFonts w:hint="eastAsia" w:ascii="宋体" w:hAnsi="宋体" w:cs="宋体"/>
                <w:color w:val="auto"/>
                <w:highlight w:val="none"/>
                <w:lang w:val="en-US" w:eastAsia="zh-CN"/>
              </w:rPr>
              <w:t>的有效开展</w:t>
            </w:r>
            <w:r>
              <w:rPr>
                <w:rFonts w:hint="default" w:ascii="宋体" w:hAnsi="宋体" w:eastAsia="宋体" w:cs="宋体"/>
                <w:color w:val="auto"/>
                <w:highlight w:val="none"/>
                <w:lang w:val="en-US" w:eastAsia="zh-CN"/>
              </w:rPr>
              <w:t>。</w:t>
            </w:r>
          </w:p>
        </w:tc>
        <w:tc>
          <w:tcPr>
            <w:tcW w:w="934" w:type="dxa"/>
            <w:vAlign w:val="center"/>
          </w:tcPr>
          <w:p>
            <w:pPr>
              <w:spacing w:line="36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spacing w:line="360" w:lineRule="auto"/>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5</w:t>
            </w:r>
          </w:p>
        </w:tc>
        <w:tc>
          <w:tcPr>
            <w:tcW w:w="1100" w:type="dxa"/>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技术</w:t>
            </w:r>
          </w:p>
        </w:tc>
        <w:tc>
          <w:tcPr>
            <w:tcW w:w="7278" w:type="dxa"/>
            <w:vAlign w:val="center"/>
          </w:tcPr>
          <w:p>
            <w:pPr>
              <w:spacing w:line="360" w:lineRule="auto"/>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员工人员培训方案</w:t>
            </w:r>
          </w:p>
          <w:p>
            <w:pPr>
              <w:spacing w:line="360" w:lineRule="auto"/>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一档（</w:t>
            </w:r>
            <w:r>
              <w:rPr>
                <w:rFonts w:hint="eastAsia" w:ascii="宋体" w:hAnsi="宋体" w:eastAsia="宋体" w:cs="宋体"/>
                <w:color w:val="auto"/>
                <w:highlight w:val="none"/>
                <w:lang w:val="en-US" w:eastAsia="zh-CN"/>
              </w:rPr>
              <w:t>5</w:t>
            </w:r>
            <w:r>
              <w:rPr>
                <w:rFonts w:hint="default" w:ascii="宋体" w:hAnsi="宋体" w:eastAsia="宋体" w:cs="宋体"/>
                <w:color w:val="auto"/>
                <w:highlight w:val="none"/>
                <w:lang w:val="en-US" w:eastAsia="zh-CN"/>
              </w:rPr>
              <w:t>分）：方案内容阐述简略、内容仅有框架无细化、培训计划安排不合理、针对项目无保障性；</w:t>
            </w:r>
          </w:p>
          <w:p>
            <w:pPr>
              <w:spacing w:line="360" w:lineRule="auto"/>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二档（</w:t>
            </w:r>
            <w:r>
              <w:rPr>
                <w:rFonts w:hint="eastAsia" w:ascii="宋体" w:hAnsi="宋体" w:eastAsia="宋体" w:cs="宋体"/>
                <w:color w:val="auto"/>
                <w:highlight w:val="none"/>
                <w:lang w:val="en-US" w:eastAsia="zh-CN"/>
              </w:rPr>
              <w:t>10</w:t>
            </w:r>
            <w:r>
              <w:rPr>
                <w:rFonts w:hint="default" w:ascii="宋体" w:hAnsi="宋体" w:eastAsia="宋体" w:cs="宋体"/>
                <w:color w:val="auto"/>
                <w:highlight w:val="none"/>
                <w:lang w:val="en-US" w:eastAsia="zh-CN"/>
              </w:rPr>
              <w:t>分）：方案内容</w:t>
            </w:r>
            <w:r>
              <w:rPr>
                <w:rFonts w:hint="eastAsia" w:ascii="宋体" w:hAnsi="宋体" w:cs="宋体"/>
                <w:color w:val="auto"/>
                <w:highlight w:val="none"/>
                <w:lang w:val="en-US" w:eastAsia="zh-CN"/>
              </w:rPr>
              <w:t>详细</w:t>
            </w:r>
            <w:r>
              <w:rPr>
                <w:rFonts w:hint="default" w:ascii="宋体" w:hAnsi="宋体" w:eastAsia="宋体" w:cs="宋体"/>
                <w:color w:val="auto"/>
                <w:highlight w:val="none"/>
                <w:lang w:val="en-US" w:eastAsia="zh-CN"/>
              </w:rPr>
              <w:t xml:space="preserve">，有培训计划、时间安排且合理程度及保障性符合采购需求； </w:t>
            </w:r>
          </w:p>
          <w:p>
            <w:pPr>
              <w:spacing w:line="360" w:lineRule="auto"/>
              <w:jc w:val="left"/>
              <w:rPr>
                <w:rFonts w:hint="default"/>
                <w:lang w:val="en-US" w:eastAsia="zh-CN"/>
              </w:rPr>
            </w:pPr>
            <w:r>
              <w:rPr>
                <w:rFonts w:hint="default" w:ascii="宋体" w:hAnsi="宋体" w:eastAsia="宋体" w:cs="宋体"/>
                <w:color w:val="auto"/>
                <w:highlight w:val="none"/>
                <w:lang w:val="en-US" w:eastAsia="zh-CN"/>
              </w:rPr>
              <w:t>三档（</w:t>
            </w:r>
            <w:r>
              <w:rPr>
                <w:rFonts w:hint="eastAsia" w:ascii="宋体" w:hAnsi="宋体" w:eastAsia="宋体" w:cs="宋体"/>
                <w:color w:val="auto"/>
                <w:highlight w:val="none"/>
                <w:lang w:val="en-US" w:eastAsia="zh-CN"/>
              </w:rPr>
              <w:t>15</w:t>
            </w:r>
            <w:r>
              <w:rPr>
                <w:rFonts w:hint="default" w:ascii="宋体" w:hAnsi="宋体" w:eastAsia="宋体" w:cs="宋体"/>
                <w:color w:val="auto"/>
                <w:highlight w:val="none"/>
                <w:lang w:val="en-US" w:eastAsia="zh-CN"/>
              </w:rPr>
              <w:t>分）：方案内容详细，有培训计划、时间安排、培训计划、培训要求、培训效果等内容且完全适用本项目实际需求，阐述有细化内容、</w:t>
            </w:r>
            <w:r>
              <w:rPr>
                <w:rFonts w:hint="eastAsia" w:ascii="宋体" w:hAnsi="宋体" w:eastAsia="宋体" w:cs="宋体"/>
                <w:color w:val="auto"/>
                <w:highlight w:val="none"/>
                <w:lang w:val="en-US" w:eastAsia="zh-CN"/>
              </w:rPr>
              <w:t>方案</w:t>
            </w:r>
            <w:r>
              <w:rPr>
                <w:rFonts w:hint="default" w:ascii="宋体" w:hAnsi="宋体" w:eastAsia="宋体" w:cs="宋体"/>
                <w:color w:val="auto"/>
                <w:highlight w:val="none"/>
                <w:lang w:val="en-US" w:eastAsia="zh-CN"/>
              </w:rPr>
              <w:t>合理且具有可行性。</w:t>
            </w:r>
          </w:p>
        </w:tc>
        <w:tc>
          <w:tcPr>
            <w:tcW w:w="934" w:type="dxa"/>
            <w:vAlign w:val="center"/>
          </w:tcPr>
          <w:p>
            <w:pPr>
              <w:spacing w:line="360" w:lineRule="auto"/>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spacing w:line="360" w:lineRule="auto"/>
              <w:jc w:val="center"/>
              <w:rPr>
                <w:rFonts w:hint="eastAsia" w:ascii="宋体" w:hAnsi="宋体" w:cs="宋体"/>
                <w:color w:val="auto"/>
                <w:highlight w:val="none"/>
                <w:lang w:val="en-US" w:eastAsia="zh-CN"/>
              </w:rPr>
            </w:pPr>
          </w:p>
        </w:tc>
        <w:tc>
          <w:tcPr>
            <w:tcW w:w="1100" w:type="dxa"/>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商务（客观分）</w:t>
            </w:r>
          </w:p>
        </w:tc>
        <w:tc>
          <w:tcPr>
            <w:tcW w:w="7278" w:type="dxa"/>
            <w:vAlign w:val="center"/>
          </w:tcPr>
          <w:p>
            <w:pPr>
              <w:spacing w:line="360" w:lineRule="auto"/>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供应商自2021年1月1日以来具有类似合同业绩的，每满足一个得 2 分，此项满分10分（业绩以中标（成交）通知书或合同复印件为准，加盖供应商公章，时间以合同签订日期为准。同一单位同一项目内容的多份合同，只能算一项业绩。）</w:t>
            </w:r>
          </w:p>
        </w:tc>
        <w:tc>
          <w:tcPr>
            <w:tcW w:w="934" w:type="dxa"/>
            <w:vAlign w:val="center"/>
          </w:tcPr>
          <w:p>
            <w:pPr>
              <w:spacing w:line="360" w:lineRule="auto"/>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10</w:t>
            </w:r>
          </w:p>
        </w:tc>
      </w:tr>
    </w:tbl>
    <w:p>
      <w:pPr>
        <w:spacing w:line="360" w:lineRule="auto"/>
        <w:ind w:firstLine="420" w:firstLineChars="200"/>
        <w:rPr>
          <w:rFonts w:hint="eastAsia" w:ascii="宋体" w:hAnsi="宋体" w:cs="宋体"/>
          <w:color w:val="auto"/>
          <w:highlight w:val="none"/>
        </w:rPr>
      </w:pP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7.2终止竞争性磋商采购活动</w:t>
      </w:r>
    </w:p>
    <w:p>
      <w:pPr>
        <w:spacing w:line="360" w:lineRule="auto"/>
        <w:ind w:firstLine="420" w:firstLineChars="200"/>
        <w:rPr>
          <w:rFonts w:hint="eastAsia" w:ascii="宋体" w:hAnsi="宋体"/>
          <w:b/>
          <w:color w:val="auto"/>
          <w:highlight w:val="none"/>
        </w:rPr>
      </w:pPr>
      <w:r>
        <w:rPr>
          <w:rFonts w:hint="eastAsia" w:ascii="宋体" w:hAnsi="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pPr>
        <w:pStyle w:val="4"/>
        <w:spacing w:before="0" w:after="0" w:line="360" w:lineRule="auto"/>
        <w:ind w:firstLine="640" w:firstLineChars="200"/>
        <w:jc w:val="center"/>
        <w:rPr>
          <w:rFonts w:hint="eastAsia" w:ascii="宋体" w:hAnsi="宋体"/>
          <w:b w:val="0"/>
          <w:color w:val="auto"/>
          <w:highlight w:val="none"/>
        </w:rPr>
      </w:pPr>
      <w:bookmarkStart w:id="118" w:name="_Toc11595"/>
      <w:bookmarkStart w:id="119" w:name="_Toc80886939"/>
      <w:bookmarkStart w:id="120" w:name="_Toc22545"/>
      <w:r>
        <w:rPr>
          <w:rFonts w:hint="eastAsia" w:ascii="宋体" w:hAnsi="宋体"/>
          <w:b w:val="0"/>
          <w:color w:val="auto"/>
          <w:highlight w:val="none"/>
        </w:rPr>
        <w:t>第二节 评审报告</w:t>
      </w:r>
      <w:bookmarkEnd w:id="117"/>
      <w:bookmarkEnd w:id="118"/>
      <w:bookmarkEnd w:id="119"/>
      <w:bookmarkEnd w:id="120"/>
    </w:p>
    <w:p>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1.成交标准</w:t>
      </w:r>
    </w:p>
    <w:p>
      <w:pPr>
        <w:spacing w:line="360" w:lineRule="auto"/>
        <w:ind w:firstLine="420" w:firstLineChars="200"/>
        <w:rPr>
          <w:rFonts w:hint="eastAsia" w:ascii="宋体" w:hAnsi="宋体" w:cs="宋体"/>
          <w:color w:val="auto"/>
          <w:sz w:val="24"/>
          <w:highlight w:val="none"/>
        </w:rPr>
      </w:pPr>
      <w:r>
        <w:rPr>
          <w:rFonts w:hint="eastAsia" w:ascii="宋体" w:hAnsi="宋体" w:cs="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分得分由高到低排序，技术分得分相同的按照商务分得分由高到低排序）。评审得分、最后报价（不计算价格折扣）、技术分得分、商务分得分均相同的，由磋商小组随机抽取推荐。</w:t>
      </w:r>
    </w:p>
    <w:p>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2.评标争议</w:t>
      </w:r>
      <w:r>
        <w:rPr>
          <w:rFonts w:ascii="黑体" w:hAnsi="黑体" w:eastAsia="黑体" w:cs="宋体"/>
          <w:color w:val="auto"/>
          <w:sz w:val="24"/>
          <w:szCs w:val="32"/>
          <w:highlight w:val="none"/>
        </w:rPr>
        <w:t>事项</w:t>
      </w:r>
      <w:r>
        <w:rPr>
          <w:rFonts w:hint="eastAsia" w:ascii="黑体" w:hAnsi="黑体" w:eastAsia="黑体" w:cs="宋体"/>
          <w:color w:val="auto"/>
          <w:sz w:val="24"/>
          <w:szCs w:val="32"/>
          <w:highlight w:val="none"/>
        </w:rPr>
        <w:t>处理</w:t>
      </w:r>
    </w:p>
    <w:p>
      <w:pPr>
        <w:pStyle w:val="68"/>
        <w:spacing w:before="0"/>
        <w:ind w:firstLine="420"/>
        <w:rPr>
          <w:rFonts w:hint="eastAsia" w:ascii="宋体" w:hAns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磋商小组成员对需要共同认定的事项存在争议的，应当按照少数服从多数的原则作出结论。持不同意见的磋商小组成员应当在评审报告上签署不同意见及理由，否则视为同意评审报告。</w:t>
      </w:r>
    </w:p>
    <w:p>
      <w:pPr>
        <w:pStyle w:val="68"/>
        <w:spacing w:before="0"/>
        <w:ind w:firstLine="420"/>
        <w:rPr>
          <w:rFonts w:cs="宋体"/>
          <w:color w:val="auto"/>
          <w:kern w:val="2"/>
          <w:sz w:val="21"/>
          <w:szCs w:val="24"/>
          <w:highlight w:val="none"/>
        </w:rPr>
      </w:pPr>
    </w:p>
    <w:p>
      <w:pPr>
        <w:pStyle w:val="4"/>
        <w:spacing w:before="0" w:after="0" w:line="360" w:lineRule="auto"/>
        <w:ind w:firstLine="640" w:firstLineChars="200"/>
        <w:jc w:val="center"/>
        <w:rPr>
          <w:rFonts w:ascii="宋体" w:hAnsi="宋体"/>
          <w:b w:val="0"/>
          <w:color w:val="auto"/>
          <w:highlight w:val="none"/>
        </w:rPr>
      </w:pPr>
      <w:bookmarkStart w:id="121" w:name="_Toc80886940"/>
      <w:bookmarkStart w:id="122" w:name="_Toc80205936"/>
      <w:bookmarkStart w:id="123" w:name="_Toc20045"/>
      <w:bookmarkStart w:id="124" w:name="_Toc2025"/>
      <w:r>
        <w:rPr>
          <w:rFonts w:hint="eastAsia" w:ascii="宋体" w:hAnsi="宋体"/>
          <w:b w:val="0"/>
          <w:color w:val="auto"/>
          <w:highlight w:val="none"/>
        </w:rPr>
        <w:t>第三节 评审过程的保密与录像</w:t>
      </w:r>
      <w:bookmarkEnd w:id="121"/>
      <w:bookmarkEnd w:id="122"/>
      <w:bookmarkEnd w:id="123"/>
      <w:bookmarkEnd w:id="124"/>
    </w:p>
    <w:p>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1.保密</w:t>
      </w:r>
    </w:p>
    <w:p>
      <w:pPr>
        <w:widowControl/>
        <w:spacing w:line="360" w:lineRule="auto"/>
        <w:ind w:firstLine="420" w:firstLineChars="200"/>
        <w:rPr>
          <w:rFonts w:cs="宋体"/>
          <w:color w:val="auto"/>
          <w:highlight w:val="none"/>
        </w:rPr>
      </w:pPr>
      <w:r>
        <w:rPr>
          <w:rFonts w:cs="宋体"/>
          <w:color w:val="auto"/>
          <w:highlight w:val="none"/>
        </w:rPr>
        <w:t>评审活动在严格保密的情况下进行。评审过程中凡是与响应文件评审和比较、中标成交供应商推荐等评审有关的情况，以及涉及国家秘密和商业秘密等信息，</w:t>
      </w:r>
      <w:r>
        <w:rPr>
          <w:rFonts w:hint="eastAsia" w:cs="宋体"/>
          <w:color w:val="auto"/>
          <w:highlight w:val="none"/>
        </w:rPr>
        <w:t>磋商小组</w:t>
      </w:r>
      <w:r>
        <w:rPr>
          <w:rFonts w:cs="宋体"/>
          <w:color w:val="auto"/>
          <w:highlight w:val="none"/>
        </w:rPr>
        <w:t>成员、采购人和采购</w:t>
      </w:r>
      <w:r>
        <w:rPr>
          <w:rFonts w:hint="eastAsia" w:cs="宋体"/>
          <w:color w:val="auto"/>
          <w:highlight w:val="none"/>
        </w:rPr>
        <w:t>代理</w:t>
      </w:r>
      <w:r>
        <w:rPr>
          <w:rFonts w:cs="宋体"/>
          <w:color w:val="auto"/>
          <w:highlight w:val="none"/>
        </w:rPr>
        <w:t>机构工作人员、相关监督人员等与评审有关的人员应当予以保密。</w:t>
      </w:r>
    </w:p>
    <w:p>
      <w:pPr>
        <w:widowControl/>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2.录音录像</w:t>
      </w:r>
    </w:p>
    <w:p>
      <w:pPr>
        <w:spacing w:line="360" w:lineRule="auto"/>
        <w:ind w:firstLine="420" w:firstLineChars="200"/>
        <w:rPr>
          <w:color w:val="auto"/>
          <w:highlight w:val="none"/>
        </w:rPr>
      </w:pPr>
      <w:r>
        <w:rPr>
          <w:rFonts w:hint="eastAsia" w:cs="宋体"/>
          <w:color w:val="auto"/>
          <w:highlight w:val="none"/>
        </w:rPr>
        <w:t>采购代理机构对评审工作现场及操作屏幕进行全过程录音录像，录音录像资料作为采购项目文件随其他文件一并存档。</w:t>
      </w:r>
    </w:p>
    <w:p>
      <w:pPr>
        <w:pStyle w:val="4"/>
        <w:jc w:val="center"/>
        <w:rPr>
          <w:color w:val="auto"/>
          <w:highlight w:val="none"/>
        </w:rPr>
      </w:pPr>
      <w:r>
        <w:rPr>
          <w:color w:val="auto"/>
          <w:highlight w:val="none"/>
        </w:rPr>
        <w:br w:type="page"/>
      </w:r>
    </w:p>
    <w:p>
      <w:pPr>
        <w:pStyle w:val="4"/>
        <w:jc w:val="center"/>
        <w:rPr>
          <w:color w:val="auto"/>
          <w:highlight w:val="none"/>
        </w:rPr>
      </w:pPr>
    </w:p>
    <w:p>
      <w:pPr>
        <w:pStyle w:val="4"/>
        <w:jc w:val="center"/>
        <w:rPr>
          <w:color w:val="auto"/>
          <w:highlight w:val="none"/>
        </w:rPr>
      </w:pPr>
    </w:p>
    <w:p>
      <w:pPr>
        <w:pStyle w:val="4"/>
        <w:jc w:val="center"/>
        <w:rPr>
          <w:color w:val="auto"/>
          <w:highlight w:val="none"/>
        </w:rPr>
      </w:pPr>
    </w:p>
    <w:p>
      <w:pPr>
        <w:rPr>
          <w:color w:val="auto"/>
          <w:highlight w:val="none"/>
        </w:rPr>
      </w:pPr>
    </w:p>
    <w:p>
      <w:pPr>
        <w:pStyle w:val="3"/>
        <w:rPr>
          <w:color w:val="auto"/>
          <w:highlight w:val="none"/>
        </w:rPr>
      </w:pPr>
    </w:p>
    <w:p>
      <w:pPr>
        <w:rPr>
          <w:color w:val="auto"/>
          <w:highlight w:val="none"/>
        </w:rPr>
      </w:pPr>
    </w:p>
    <w:p>
      <w:pPr>
        <w:pStyle w:val="3"/>
        <w:jc w:val="center"/>
        <w:rPr>
          <w:color w:val="auto"/>
          <w:highlight w:val="none"/>
        </w:rPr>
        <w:sectPr>
          <w:headerReference r:id="rId10" w:type="default"/>
          <w:footerReference r:id="rId11" w:type="default"/>
          <w:pgSz w:w="11911" w:h="16838"/>
          <w:pgMar w:top="1134" w:right="1134" w:bottom="1134" w:left="1134" w:header="720" w:footer="720" w:gutter="0"/>
          <w:cols w:space="720" w:num="1"/>
        </w:sectPr>
      </w:pPr>
      <w:bookmarkStart w:id="125" w:name="_Toc17404"/>
      <w:bookmarkStart w:id="126" w:name="_Toc27282"/>
      <w:bookmarkStart w:id="127" w:name="_Toc5005"/>
      <w:bookmarkStart w:id="128" w:name="_Toc26272"/>
      <w:bookmarkStart w:id="129" w:name="_Toc12890"/>
      <w:bookmarkStart w:id="130" w:name="_Toc22302"/>
      <w:bookmarkStart w:id="131" w:name="_Toc80886941"/>
      <w:bookmarkStart w:id="132" w:name="_Toc7776"/>
      <w:r>
        <w:rPr>
          <w:rFonts w:hint="eastAsia" w:ascii="Calibri" w:hAnsi="Calibri"/>
          <w:color w:val="auto"/>
          <w:highlight w:val="none"/>
        </w:rPr>
        <w:t>第五章 响应文件格式</w:t>
      </w:r>
      <w:bookmarkEnd w:id="125"/>
      <w:bookmarkEnd w:id="126"/>
      <w:bookmarkEnd w:id="127"/>
      <w:bookmarkEnd w:id="128"/>
      <w:bookmarkEnd w:id="129"/>
      <w:bookmarkEnd w:id="130"/>
      <w:bookmarkEnd w:id="131"/>
      <w:bookmarkEnd w:id="132"/>
    </w:p>
    <w:p>
      <w:pPr>
        <w:pStyle w:val="4"/>
        <w:jc w:val="center"/>
        <w:rPr>
          <w:rFonts w:hint="eastAsia" w:ascii="宋体" w:hAnsi="宋体"/>
          <w:bCs w:val="0"/>
          <w:color w:val="auto"/>
          <w:highlight w:val="none"/>
        </w:rPr>
      </w:pPr>
      <w:bookmarkStart w:id="133" w:name="_Toc80205939"/>
      <w:bookmarkStart w:id="134" w:name="_Toc80886943"/>
      <w:bookmarkStart w:id="135" w:name="_Toc22245"/>
      <w:bookmarkStart w:id="136" w:name="_Toc12994"/>
      <w:r>
        <w:rPr>
          <w:rFonts w:hint="eastAsia" w:ascii="宋体" w:hAnsi="宋体"/>
          <w:bCs w:val="0"/>
          <w:color w:val="auto"/>
          <w:highlight w:val="none"/>
        </w:rPr>
        <w:t>第一节 资格证明文件格式</w:t>
      </w:r>
      <w:bookmarkEnd w:id="133"/>
      <w:bookmarkEnd w:id="134"/>
      <w:bookmarkEnd w:id="135"/>
      <w:bookmarkEnd w:id="136"/>
    </w:p>
    <w:p>
      <w:pPr>
        <w:snapToGrid w:val="0"/>
        <w:spacing w:before="120" w:beforeLines="50" w:after="50"/>
        <w:jc w:val="left"/>
        <w:rPr>
          <w:rFonts w:hint="eastAsia"/>
          <w:color w:val="auto"/>
          <w:sz w:val="24"/>
          <w:highlight w:val="none"/>
        </w:rPr>
      </w:pPr>
      <w:r>
        <w:rPr>
          <w:rFonts w:hint="eastAsia" w:hAnsi="宋体" w:cs="宋体"/>
          <w:b/>
          <w:bCs/>
          <w:color w:val="auto"/>
          <w:sz w:val="28"/>
          <w:szCs w:val="28"/>
          <w:highlight w:val="none"/>
        </w:rPr>
        <w:t>1.资格证明文件封面的格式</w:t>
      </w:r>
      <w:r>
        <w:rPr>
          <w:rFonts w:hint="eastAsia" w:ascii="宋体" w:hAnsi="宋体" w:cs="宋体"/>
          <w:b/>
          <w:color w:val="auto"/>
          <w:sz w:val="28"/>
          <w:szCs w:val="28"/>
          <w:highlight w:val="none"/>
        </w:rPr>
        <w:t>（参照此格式自拟）</w:t>
      </w:r>
      <w:r>
        <w:rPr>
          <w:rFonts w:hint="eastAsia" w:hAnsi="宋体" w:cs="宋体"/>
          <w:b/>
          <w:bCs/>
          <w:color w:val="auto"/>
          <w:sz w:val="28"/>
          <w:szCs w:val="28"/>
          <w:highlight w:val="none"/>
        </w:rPr>
        <w:t>：</w:t>
      </w:r>
      <w:r>
        <w:rPr>
          <w:rFonts w:hint="eastAsia"/>
          <w:color w:val="auto"/>
          <w:sz w:val="24"/>
          <w:highlight w:val="none"/>
        </w:rPr>
        <w:t xml:space="preserve">                                      </w:t>
      </w:r>
    </w:p>
    <w:p>
      <w:pPr>
        <w:snapToGrid w:val="0"/>
        <w:spacing w:before="120" w:beforeLines="50" w:after="50"/>
        <w:ind w:firstLine="6930" w:firstLineChars="3300"/>
        <w:rPr>
          <w:rFonts w:hint="eastAsia"/>
          <w:bCs/>
          <w:color w:val="auto"/>
          <w:sz w:val="32"/>
          <w:szCs w:val="20"/>
          <w:highlight w:val="none"/>
        </w:rPr>
      </w:pPr>
      <w:r>
        <w:rPr>
          <w:rFonts w:hint="eastAsia"/>
          <w:bCs/>
          <w:color w:val="auto"/>
          <w:highlight w:val="none"/>
        </w:rPr>
        <w:t>全流程电子文件</w:t>
      </w:r>
    </w:p>
    <w:p>
      <w:pPr>
        <w:snapToGrid w:val="0"/>
        <w:spacing w:before="120" w:beforeLines="50" w:after="50"/>
        <w:rPr>
          <w:rFonts w:hint="eastAsia"/>
          <w:color w:val="auto"/>
          <w:sz w:val="24"/>
          <w:szCs w:val="20"/>
          <w:highlight w:val="none"/>
        </w:rPr>
      </w:pPr>
    </w:p>
    <w:p>
      <w:pPr>
        <w:snapToGrid w:val="0"/>
        <w:spacing w:before="120" w:beforeLines="50" w:after="50"/>
        <w:rPr>
          <w:rFonts w:hint="eastAsia"/>
          <w:color w:val="auto"/>
          <w:sz w:val="24"/>
          <w:szCs w:val="20"/>
          <w:highlight w:val="none"/>
        </w:rPr>
      </w:pPr>
    </w:p>
    <w:p>
      <w:pPr>
        <w:snapToGrid w:val="0"/>
        <w:spacing w:before="120" w:beforeLines="50" w:after="50"/>
        <w:jc w:val="center"/>
        <w:rPr>
          <w:rFonts w:hint="eastAsia"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资  格  证  明  文  件</w:t>
      </w:r>
    </w:p>
    <w:p>
      <w:pPr>
        <w:snapToGrid w:val="0"/>
        <w:spacing w:before="120" w:beforeLines="50" w:after="50"/>
        <w:rPr>
          <w:rFonts w:hint="eastAsia"/>
          <w:bCs/>
          <w:color w:val="auto"/>
          <w:sz w:val="24"/>
          <w:szCs w:val="20"/>
          <w:highlight w:val="none"/>
        </w:rPr>
      </w:pPr>
    </w:p>
    <w:p>
      <w:pPr>
        <w:snapToGrid w:val="0"/>
        <w:spacing w:before="120" w:beforeLines="50" w:after="50"/>
        <w:rPr>
          <w:rFonts w:hint="eastAsia"/>
          <w:bCs/>
          <w:color w:val="auto"/>
          <w:sz w:val="24"/>
          <w:szCs w:val="20"/>
          <w:highlight w:val="none"/>
        </w:rPr>
      </w:pPr>
    </w:p>
    <w:p>
      <w:pPr>
        <w:snapToGrid w:val="0"/>
        <w:spacing w:before="120" w:beforeLines="50" w:after="50"/>
        <w:rPr>
          <w:rFonts w:hint="eastAsia"/>
          <w:bCs/>
          <w:color w:val="auto"/>
          <w:sz w:val="24"/>
          <w:szCs w:val="20"/>
          <w:highlight w:val="none"/>
        </w:rPr>
      </w:pPr>
    </w:p>
    <w:p>
      <w:pPr>
        <w:snapToGrid w:val="0"/>
        <w:spacing w:before="120" w:beforeLines="50" w:after="50"/>
        <w:rPr>
          <w:rFonts w:hint="eastAsia"/>
          <w:bCs/>
          <w:color w:val="auto"/>
          <w:sz w:val="24"/>
          <w:szCs w:val="20"/>
          <w:highlight w:val="none"/>
        </w:rPr>
      </w:pPr>
    </w:p>
    <w:p>
      <w:pPr>
        <w:snapToGrid w:val="0"/>
        <w:spacing w:before="120" w:beforeLines="50" w:after="50"/>
        <w:rPr>
          <w:rFonts w:hint="eastAsia"/>
          <w:bCs/>
          <w:color w:val="auto"/>
          <w:sz w:val="24"/>
          <w:szCs w:val="20"/>
          <w:highlight w:val="none"/>
        </w:rPr>
      </w:pPr>
    </w:p>
    <w:p>
      <w:pPr>
        <w:snapToGrid w:val="0"/>
        <w:spacing w:before="120" w:beforeLines="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项目名称：</w:t>
      </w:r>
    </w:p>
    <w:p>
      <w:pPr>
        <w:snapToGrid w:val="0"/>
        <w:spacing w:before="120" w:beforeLines="50" w:after="50"/>
        <w:ind w:firstLine="720" w:firstLineChars="225"/>
        <w:rPr>
          <w:rFonts w:hint="eastAsia" w:cs="仿宋_GB2312"/>
          <w:bCs/>
          <w:color w:val="auto"/>
          <w:sz w:val="32"/>
          <w:szCs w:val="32"/>
          <w:highlight w:val="none"/>
        </w:rPr>
      </w:pPr>
    </w:p>
    <w:p>
      <w:pPr>
        <w:snapToGrid w:val="0"/>
        <w:spacing w:before="120" w:beforeLines="50" w:after="50"/>
        <w:ind w:firstLine="720" w:firstLineChars="225"/>
        <w:rPr>
          <w:rFonts w:hint="eastAsia" w:cs="仿宋_GB2312"/>
          <w:bCs/>
          <w:color w:val="auto"/>
          <w:sz w:val="32"/>
          <w:szCs w:val="32"/>
          <w:highlight w:val="none"/>
        </w:rPr>
      </w:pPr>
      <w:r>
        <w:rPr>
          <w:rFonts w:hint="eastAsia" w:cs="仿宋_GB2312"/>
          <w:bCs/>
          <w:color w:val="auto"/>
          <w:sz w:val="32"/>
          <w:szCs w:val="32"/>
          <w:highlight w:val="none"/>
        </w:rPr>
        <w:t>项目编号：</w:t>
      </w:r>
    </w:p>
    <w:p>
      <w:pPr>
        <w:snapToGrid w:val="0"/>
        <w:spacing w:before="120" w:beforeLines="50" w:after="50"/>
        <w:ind w:firstLine="720" w:firstLineChars="225"/>
        <w:rPr>
          <w:rFonts w:hint="eastAsia" w:cs="仿宋_GB2312"/>
          <w:bCs/>
          <w:color w:val="auto"/>
          <w:sz w:val="32"/>
          <w:szCs w:val="32"/>
          <w:highlight w:val="none"/>
        </w:rPr>
      </w:pPr>
      <w:r>
        <w:rPr>
          <w:rFonts w:hint="eastAsia" w:cs="仿宋_GB2312"/>
          <w:bCs/>
          <w:color w:val="auto"/>
          <w:sz w:val="32"/>
          <w:szCs w:val="32"/>
          <w:highlight w:val="none"/>
        </w:rPr>
        <w:t xml:space="preserve"> </w:t>
      </w:r>
    </w:p>
    <w:p>
      <w:pPr>
        <w:snapToGrid w:val="0"/>
        <w:spacing w:before="120" w:beforeLines="50" w:after="50"/>
        <w:ind w:firstLine="720" w:firstLineChars="225"/>
        <w:rPr>
          <w:rFonts w:hint="eastAsia" w:cs="仿宋_GB2312"/>
          <w:bCs/>
          <w:color w:val="auto"/>
          <w:sz w:val="32"/>
          <w:szCs w:val="32"/>
          <w:highlight w:val="none"/>
        </w:rPr>
      </w:pPr>
      <w:r>
        <w:rPr>
          <w:rFonts w:hint="eastAsia" w:cs="仿宋_GB2312"/>
          <w:bCs/>
          <w:color w:val="auto"/>
          <w:sz w:val="32"/>
          <w:szCs w:val="32"/>
          <w:highlight w:val="none"/>
        </w:rPr>
        <w:t>所竞分标（如有则填写，无分标时填写“无”或者留空）：</w:t>
      </w:r>
    </w:p>
    <w:p>
      <w:pPr>
        <w:snapToGrid w:val="0"/>
        <w:spacing w:before="120" w:beforeLines="50" w:after="50"/>
        <w:ind w:firstLine="720" w:firstLineChars="225"/>
        <w:rPr>
          <w:rFonts w:hint="eastAsia" w:cs="仿宋_GB2312"/>
          <w:bCs/>
          <w:color w:val="auto"/>
          <w:sz w:val="32"/>
          <w:szCs w:val="32"/>
          <w:highlight w:val="none"/>
        </w:rPr>
      </w:pPr>
    </w:p>
    <w:p>
      <w:pPr>
        <w:pStyle w:val="8"/>
        <w:snapToGrid w:val="0"/>
        <w:spacing w:before="50" w:after="50"/>
        <w:ind w:firstLine="720" w:firstLineChars="225"/>
        <w:rPr>
          <w:rFonts w:hint="eastAsia" w:cs="仿宋_GB2312"/>
          <w:bCs/>
          <w:color w:val="auto"/>
          <w:sz w:val="32"/>
          <w:szCs w:val="32"/>
          <w:highlight w:val="none"/>
        </w:rPr>
      </w:pPr>
      <w:r>
        <w:rPr>
          <w:rFonts w:hint="eastAsia" w:cs="仿宋_GB2312"/>
          <w:bCs/>
          <w:color w:val="auto"/>
          <w:sz w:val="32"/>
          <w:szCs w:val="32"/>
          <w:highlight w:val="none"/>
        </w:rPr>
        <w:t>供应商名称：</w:t>
      </w:r>
    </w:p>
    <w:p>
      <w:pPr>
        <w:pStyle w:val="8"/>
        <w:snapToGrid w:val="0"/>
        <w:spacing w:before="50" w:after="50"/>
        <w:ind w:firstLine="720" w:firstLineChars="225"/>
        <w:rPr>
          <w:rFonts w:hint="eastAsia" w:cs="仿宋_GB2312"/>
          <w:bCs/>
          <w:color w:val="auto"/>
          <w:sz w:val="32"/>
          <w:szCs w:val="32"/>
          <w:highlight w:val="none"/>
        </w:rPr>
      </w:pPr>
    </w:p>
    <w:p>
      <w:pPr>
        <w:pStyle w:val="8"/>
        <w:snapToGrid w:val="0"/>
        <w:spacing w:before="50" w:after="50"/>
        <w:ind w:firstLine="720" w:firstLineChars="225"/>
        <w:rPr>
          <w:rFonts w:hint="eastAsia" w:cs="仿宋_GB2312"/>
          <w:bCs/>
          <w:color w:val="auto"/>
          <w:sz w:val="32"/>
          <w:szCs w:val="32"/>
          <w:highlight w:val="none"/>
        </w:rPr>
      </w:pPr>
    </w:p>
    <w:p>
      <w:pPr>
        <w:pStyle w:val="8"/>
        <w:snapToGrid w:val="0"/>
        <w:spacing w:before="50" w:after="50"/>
        <w:ind w:firstLine="720" w:firstLineChars="225"/>
        <w:rPr>
          <w:rFonts w:hint="eastAsia" w:cs="仿宋_GB2312"/>
          <w:bCs/>
          <w:color w:val="auto"/>
          <w:sz w:val="32"/>
          <w:szCs w:val="32"/>
          <w:highlight w:val="none"/>
        </w:rPr>
      </w:pPr>
    </w:p>
    <w:p>
      <w:pPr>
        <w:pStyle w:val="8"/>
        <w:snapToGrid w:val="0"/>
        <w:spacing w:before="50" w:after="50"/>
        <w:ind w:firstLine="1280" w:firstLineChars="400"/>
        <w:rPr>
          <w:rFonts w:hint="eastAsia" w:cs="仿宋_GB2312"/>
          <w:bCs/>
          <w:color w:val="auto"/>
          <w:sz w:val="32"/>
          <w:szCs w:val="32"/>
          <w:highlight w:val="none"/>
        </w:rPr>
      </w:pPr>
    </w:p>
    <w:p>
      <w:pPr>
        <w:snapToGrid w:val="0"/>
        <w:spacing w:before="120" w:beforeLines="50" w:after="50"/>
        <w:jc w:val="center"/>
        <w:rPr>
          <w:rFonts w:hint="eastAsia" w:cs="仿宋_GB2312"/>
          <w:color w:val="auto"/>
          <w:sz w:val="32"/>
          <w:szCs w:val="32"/>
          <w:highlight w:val="none"/>
        </w:rPr>
      </w:pPr>
      <w:r>
        <w:rPr>
          <w:rFonts w:hint="eastAsia" w:cs="仿宋_GB2312"/>
          <w:color w:val="auto"/>
          <w:sz w:val="32"/>
          <w:szCs w:val="32"/>
          <w:highlight w:val="none"/>
        </w:rPr>
        <w:t>年    月    日</w:t>
      </w:r>
    </w:p>
    <w:p>
      <w:pPr>
        <w:snapToGrid w:val="0"/>
        <w:spacing w:before="120" w:beforeLines="50" w:after="50" w:line="360" w:lineRule="auto"/>
        <w:jc w:val="left"/>
        <w:rPr>
          <w:rFonts w:hint="eastAsia" w:ascii="宋体" w:hAnsi="宋体" w:cs="宋体"/>
          <w:b/>
          <w:bCs/>
          <w:color w:val="auto"/>
          <w:sz w:val="28"/>
          <w:szCs w:val="28"/>
          <w:highlight w:val="none"/>
        </w:rPr>
      </w:pPr>
      <w:r>
        <w:rPr>
          <w:color w:val="auto"/>
          <w:sz w:val="24"/>
          <w:highlight w:val="none"/>
        </w:rPr>
        <w:br w:type="page"/>
      </w:r>
      <w:r>
        <w:rPr>
          <w:rFonts w:hint="eastAsia" w:ascii="宋体" w:hAnsi="宋体" w:cs="宋体"/>
          <w:b/>
          <w:bCs/>
          <w:color w:val="auto"/>
          <w:sz w:val="28"/>
          <w:szCs w:val="28"/>
          <w:highlight w:val="none"/>
        </w:rPr>
        <w:t>2.资格证明文件目录</w:t>
      </w:r>
    </w:p>
    <w:p>
      <w:pPr>
        <w:spacing w:line="360" w:lineRule="auto"/>
        <w:rPr>
          <w:rFonts w:hint="eastAsia" w:ascii="宋体" w:hAnsi="宋体" w:cs="宋体"/>
          <w:b/>
          <w:bCs/>
          <w:color w:val="auto"/>
          <w:sz w:val="28"/>
          <w:szCs w:val="28"/>
          <w:highlight w:val="none"/>
        </w:rPr>
      </w:pPr>
      <w:r>
        <w:rPr>
          <w:rFonts w:hint="eastAsia" w:ascii="宋体" w:hAnsi="宋体" w:cs="宋体"/>
          <w:color w:val="auto"/>
          <w:sz w:val="28"/>
          <w:szCs w:val="28"/>
          <w:highlight w:val="none"/>
        </w:rPr>
        <w:t xml:space="preserve">    根据竞争性磋商文件规定及供应商提供的材料自行编写目录（部分格式后附）。</w:t>
      </w:r>
    </w:p>
    <w:p>
      <w:pPr>
        <w:spacing w:line="320" w:lineRule="exact"/>
        <w:jc w:val="left"/>
        <w:rPr>
          <w:rFonts w:hint="eastAsia" w:ascii="宋体" w:hAnsi="宋体" w:cs="宋体"/>
          <w:b/>
          <w:bCs/>
          <w:color w:val="auto"/>
          <w:sz w:val="28"/>
          <w:szCs w:val="28"/>
          <w:highlight w:val="none"/>
        </w:rPr>
      </w:pPr>
      <w:r>
        <w:rPr>
          <w:rFonts w:hint="eastAsia"/>
          <w:color w:val="auto"/>
          <w:szCs w:val="21"/>
          <w:highlight w:val="none"/>
        </w:rPr>
        <w:br w:type="page"/>
      </w:r>
      <w:r>
        <w:rPr>
          <w:rFonts w:hint="eastAsia" w:ascii="宋体" w:hAnsi="宋体" w:cs="宋体"/>
          <w:b/>
          <w:bCs/>
          <w:color w:val="auto"/>
          <w:kern w:val="0"/>
          <w:sz w:val="28"/>
          <w:szCs w:val="28"/>
          <w:highlight w:val="none"/>
        </w:rPr>
        <w:t>3.声明函的格式：</w:t>
      </w:r>
    </w:p>
    <w:p>
      <w:pPr>
        <w:spacing w:line="320" w:lineRule="exact"/>
        <w:jc w:val="center"/>
        <w:rPr>
          <w:rFonts w:hint="eastAsia"/>
          <w:b/>
          <w:color w:val="auto"/>
          <w:sz w:val="32"/>
          <w:szCs w:val="32"/>
          <w:highlight w:val="none"/>
        </w:rPr>
      </w:pPr>
    </w:p>
    <w:p>
      <w:pPr>
        <w:spacing w:line="320" w:lineRule="exact"/>
        <w:jc w:val="center"/>
        <w:rPr>
          <w:rFonts w:hint="eastAsia"/>
          <w:b/>
          <w:color w:val="auto"/>
          <w:sz w:val="32"/>
          <w:szCs w:val="32"/>
          <w:highlight w:val="none"/>
        </w:rPr>
      </w:pPr>
      <w:r>
        <w:rPr>
          <w:rFonts w:hint="eastAsia"/>
          <w:b/>
          <w:color w:val="auto"/>
          <w:sz w:val="32"/>
          <w:szCs w:val="32"/>
          <w:highlight w:val="none"/>
        </w:rPr>
        <w:t>声明函</w:t>
      </w:r>
    </w:p>
    <w:p>
      <w:pPr>
        <w:spacing w:line="320" w:lineRule="exact"/>
        <w:jc w:val="center"/>
        <w:rPr>
          <w:rFonts w:hint="eastAsia"/>
          <w:color w:val="auto"/>
          <w:sz w:val="24"/>
          <w:szCs w:val="20"/>
          <w:highlight w:val="none"/>
        </w:rPr>
      </w:pPr>
    </w:p>
    <w:p>
      <w:pPr>
        <w:keepNext w:val="0"/>
        <w:keepLines w:val="0"/>
        <w:pageBreakBefore w:val="0"/>
        <w:widowControl w:val="0"/>
        <w:kinsoku/>
        <w:wordWrap/>
        <w:overflowPunct/>
        <w:topLinePunct w:val="0"/>
        <w:autoSpaceDE/>
        <w:autoSpaceDN/>
        <w:bidi w:val="0"/>
        <w:adjustRightInd/>
        <w:snapToGrid/>
        <w:spacing w:line="440" w:lineRule="exact"/>
        <w:contextualSpacing/>
        <w:textAlignment w:val="auto"/>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（采购代理机构名称）</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highlight w:val="none"/>
        </w:rPr>
      </w:pPr>
      <w:r>
        <w:rPr>
          <w:rFonts w:hint="eastAsia" w:ascii="宋体" w:hAnsi="宋体" w:cs="宋体"/>
          <w:i/>
          <w:iCs/>
          <w:color w:val="auto"/>
          <w:sz w:val="24"/>
          <w:highlight w:val="none"/>
          <w:u w:val="single"/>
        </w:rPr>
        <w:t>（供应商名称）</w:t>
      </w:r>
      <w:r>
        <w:rPr>
          <w:rFonts w:hint="eastAsia" w:ascii="宋体" w:hAnsi="宋体" w:cs="宋体"/>
          <w:color w:val="auto"/>
          <w:sz w:val="24"/>
          <w:highlight w:val="none"/>
        </w:rPr>
        <w:t>系中华人民共和国合法供应商，</w:t>
      </w:r>
      <w:r>
        <w:rPr>
          <w:rFonts w:hint="eastAsia" w:ascii="宋体" w:hAnsi="宋体" w:cs="宋体"/>
          <w:color w:val="auto"/>
          <w:sz w:val="24"/>
          <w:highlight w:val="none"/>
          <w:lang w:val="en-US" w:eastAsia="zh-CN"/>
        </w:rPr>
        <w:t>统一社会信用代码</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i/>
          <w:iCs/>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w:t>
      </w:r>
      <w:r>
        <w:rPr>
          <w:rFonts w:hint="eastAsia" w:ascii="宋体" w:hAnsi="宋体" w:cs="宋体"/>
          <w:color w:val="auto"/>
          <w:sz w:val="24"/>
          <w:highlight w:val="none"/>
          <w:lang w:eastAsia="zh-CN"/>
        </w:rPr>
        <w:t>、</w:t>
      </w:r>
      <w:r>
        <w:rPr>
          <w:rFonts w:hint="eastAsia" w:ascii="宋体" w:hAnsi="宋体" w:cs="宋体"/>
          <w:color w:val="auto"/>
          <w:sz w:val="24"/>
          <w:highlight w:val="none"/>
        </w:rPr>
        <w:t>真实的</w:t>
      </w:r>
      <w:r>
        <w:rPr>
          <w:rFonts w:hint="eastAsia" w:ascii="宋体" w:hAnsi="宋体" w:cs="宋体"/>
          <w:color w:val="auto"/>
          <w:sz w:val="24"/>
          <w:highlight w:val="none"/>
          <w:lang w:val="en-US" w:eastAsia="zh-CN"/>
        </w:rPr>
        <w:t>和完整有效的</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highlight w:val="none"/>
        </w:rPr>
      </w:pPr>
      <w:r>
        <w:rPr>
          <w:rFonts w:hint="eastAsia" w:ascii="宋体" w:hAnsi="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highlight w:val="none"/>
        </w:rPr>
      </w:pPr>
      <w:r>
        <w:rPr>
          <w:rFonts w:hint="eastAsia" w:ascii="宋体" w:hAnsi="宋体" w:cs="宋体"/>
          <w:color w:val="auto"/>
          <w:sz w:val="24"/>
          <w:highlight w:val="none"/>
        </w:rPr>
        <w:t>（2）已详细审查</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全部</w:t>
      </w:r>
      <w:r>
        <w:rPr>
          <w:rFonts w:hint="eastAsia" w:ascii="宋体" w:hAnsi="宋体" w:eastAsia="宋体" w:cs="宋体"/>
          <w:color w:val="auto"/>
          <w:sz w:val="24"/>
          <w:szCs w:val="24"/>
          <w:highlight w:val="none"/>
          <w:lang w:val="en-US" w:eastAsia="zh-CN"/>
        </w:rPr>
        <w:t>内容</w:t>
      </w:r>
      <w:r>
        <w:rPr>
          <w:rFonts w:hint="eastAsia" w:ascii="宋体" w:hAnsi="宋体" w:cs="宋体"/>
          <w:color w:val="auto"/>
          <w:sz w:val="24"/>
          <w:highlight w:val="none"/>
        </w:rPr>
        <w:t>，包括澄清或者更正公告（如有）；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highlight w:val="none"/>
        </w:rPr>
      </w:pPr>
      <w:r>
        <w:rPr>
          <w:rFonts w:hint="eastAsia" w:ascii="宋体" w:hAnsi="宋体" w:cs="宋体"/>
          <w:color w:val="auto"/>
          <w:sz w:val="24"/>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根据《中华人民共和国政府采购法实施条例》第五十条要求对政府采购合同进行公告，但政府采购合同中涉及国家秘密、商业秘密的内容除外。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19"/>
        <w:keepNext w:val="0"/>
        <w:keepLines w:val="0"/>
        <w:pageBreakBefore w:val="0"/>
        <w:widowControl w:val="0"/>
        <w:tabs>
          <w:tab w:val="left" w:pos="939"/>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w:t>
      </w:r>
      <w:r>
        <w:rPr>
          <w:rFonts w:hint="eastAsia" w:ascii="宋体" w:hAnsi="宋体" w:cs="宋体"/>
          <w:color w:val="auto"/>
          <w:sz w:val="24"/>
          <w:highlight w:val="none"/>
        </w:rPr>
        <w:t>以上事项如有虚假或者隐瞒，我方愿意承担一切后果，并不再寻求任何旨在减轻或者免除法律责任的辩解。</w:t>
      </w:r>
    </w:p>
    <w:p>
      <w:pPr>
        <w:pStyle w:val="19"/>
        <w:keepNext w:val="0"/>
        <w:keepLines w:val="0"/>
        <w:pageBreakBefore w:val="0"/>
        <w:widowControl w:val="0"/>
        <w:tabs>
          <w:tab w:val="left" w:pos="939"/>
        </w:tabs>
        <w:kinsoku/>
        <w:wordWrap/>
        <w:overflowPunct/>
        <w:topLinePunct w:val="0"/>
        <w:autoSpaceDE/>
        <w:autoSpaceDN/>
        <w:bidi w:val="0"/>
        <w:adjustRightInd/>
        <w:snapToGrid/>
        <w:spacing w:line="440" w:lineRule="exact"/>
        <w:ind w:left="141" w:leftChars="67" w:firstLine="360" w:firstLineChars="150"/>
        <w:textAlignment w:val="auto"/>
        <w:rPr>
          <w:rFonts w:hint="eastAsia" w:ascii="宋体" w:hAnsi="宋体" w:cs="宋体"/>
          <w:color w:val="auto"/>
          <w:sz w:val="24"/>
          <w:highlight w:val="none"/>
        </w:rPr>
      </w:pPr>
      <w:r>
        <w:rPr>
          <w:rFonts w:hint="eastAsia" w:ascii="宋体" w:hAnsi="宋体" w:cs="宋体"/>
          <w:color w:val="auto"/>
          <w:sz w:val="24"/>
          <w:highlight w:val="none"/>
        </w:rPr>
        <w:t>特此承诺。</w:t>
      </w:r>
    </w:p>
    <w:p>
      <w:pPr>
        <w:pStyle w:val="19"/>
        <w:keepNext w:val="0"/>
        <w:keepLines w:val="0"/>
        <w:pageBreakBefore w:val="0"/>
        <w:widowControl w:val="0"/>
        <w:tabs>
          <w:tab w:val="left" w:pos="939"/>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注：如为联合体竞标，盖章处须加盖联合体各方公章，否则其响应文件按无效响应处理。</w:t>
      </w:r>
    </w:p>
    <w:p>
      <w:pPr>
        <w:autoSpaceDE w:val="0"/>
        <w:autoSpaceDN w:val="0"/>
        <w:spacing w:line="360" w:lineRule="auto"/>
        <w:ind w:left="4365" w:leftChars="1850" w:hanging="480" w:hangingChars="200"/>
        <w:rPr>
          <w:rFonts w:hint="eastAsia" w:ascii="宋体" w:hAnsi="宋体" w:cs="宋体"/>
          <w:color w:val="auto"/>
          <w:kern w:val="0"/>
          <w:sz w:val="24"/>
          <w:highlight w:val="none"/>
        </w:rPr>
      </w:pPr>
    </w:p>
    <w:p>
      <w:pPr>
        <w:autoSpaceDE w:val="0"/>
        <w:autoSpaceDN w:val="0"/>
        <w:spacing w:line="360" w:lineRule="auto"/>
        <w:ind w:left="4365" w:leftChars="1850" w:hanging="480" w:hangingChars="2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供应商名称（盖公章）：</w:t>
      </w:r>
    </w:p>
    <w:p>
      <w:pPr>
        <w:autoSpaceDE w:val="0"/>
        <w:autoSpaceDN w:val="0"/>
        <w:spacing w:line="360" w:lineRule="auto"/>
        <w:ind w:firstLine="6120" w:firstLineChars="25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rPr>
          <w:rFonts w:hint="eastAsia" w:ascii="宋体" w:hAnsi="宋体" w:cs="宋体"/>
          <w:color w:val="auto"/>
          <w:kern w:val="0"/>
          <w:sz w:val="24"/>
          <w:highlight w:val="none"/>
          <w:lang w:val="zh-CN"/>
        </w:rPr>
      </w:pPr>
    </w:p>
    <w:p>
      <w:pPr>
        <w:snapToGrid w:val="0"/>
        <w:spacing w:line="360" w:lineRule="auto"/>
        <w:ind w:right="480"/>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4</w:t>
      </w:r>
      <w:r>
        <w:rPr>
          <w:rFonts w:hint="eastAsia" w:ascii="宋体" w:hAnsi="宋体" w:eastAsia="宋体" w:cs="宋体"/>
          <w:b/>
          <w:color w:val="auto"/>
          <w:kern w:val="0"/>
          <w:sz w:val="32"/>
          <w:szCs w:val="32"/>
          <w:highlight w:val="none"/>
        </w:rPr>
        <w:t>.</w:t>
      </w:r>
      <w:r>
        <w:rPr>
          <w:rFonts w:hint="eastAsia" w:ascii="宋体" w:hAnsi="宋体" w:eastAsia="宋体" w:cs="宋体"/>
          <w:b/>
          <w:color w:val="auto"/>
          <w:sz w:val="28"/>
          <w:szCs w:val="28"/>
          <w:highlight w:val="none"/>
        </w:rPr>
        <w:t>供应商直接控股股东信息表的格式</w:t>
      </w:r>
      <w:r>
        <w:rPr>
          <w:rFonts w:hint="eastAsia" w:ascii="Times New Roman" w:hAnsi="Times New Roman" w:eastAsia="宋体" w:cs="Times New Roman"/>
          <w:color w:val="auto"/>
          <w:sz w:val="28"/>
          <w:szCs w:val="28"/>
          <w:highlight w:val="none"/>
        </w:rPr>
        <w:t>：</w:t>
      </w:r>
    </w:p>
    <w:p>
      <w:pPr>
        <w:snapToGrid w:val="0"/>
        <w:jc w:val="left"/>
        <w:rPr>
          <w:rFonts w:ascii="Times New Roman" w:hAnsi="Times New Roman" w:eastAsia="宋体" w:cs="Times New Roman"/>
          <w:color w:val="auto"/>
          <w:sz w:val="18"/>
          <w:szCs w:val="18"/>
          <w:highlight w:val="none"/>
        </w:rPr>
      </w:pPr>
    </w:p>
    <w:p>
      <w:pPr>
        <w:snapToGrid w:val="0"/>
        <w:spacing w:before="50" w:after="165" w:afterLines="50" w:line="360" w:lineRule="auto"/>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供应商直接控股股东信息表</w:t>
      </w:r>
    </w:p>
    <w:tbl>
      <w:tblPr>
        <w:tblStyle w:val="31"/>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879"/>
        <w:gridCol w:w="1261"/>
      </w:tblGrid>
      <w:tr>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387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1261"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r>
    </w:tbl>
    <w:p>
      <w:pPr>
        <w:snapToGrid w:val="0"/>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w:t>
      </w:r>
    </w:p>
    <w:p>
      <w:pPr>
        <w:snapToGrid w:val="0"/>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2.本表所指的控股关系仅限于直接控股关系，不包括间接的控股关系。公司实际控制人与公司之间的关系不属于本表所指的直接控股关系。</w:t>
      </w:r>
    </w:p>
    <w:p>
      <w:pPr>
        <w:snapToGrid w:val="0"/>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3.供应商不存在直接控股股东的，则填“无”。</w:t>
      </w:r>
    </w:p>
    <w:p>
      <w:pPr>
        <w:snapToGrid w:val="0"/>
        <w:spacing w:before="50" w:after="120" w:afterLines="50"/>
        <w:ind w:firstLine="180" w:firstLineChars="100"/>
        <w:jc w:val="left"/>
        <w:rPr>
          <w:rFonts w:ascii="宋体" w:hAnsi="宋体" w:eastAsia="宋体" w:cs="Times New Roman"/>
          <w:color w:val="auto"/>
          <w:sz w:val="18"/>
          <w:szCs w:val="18"/>
          <w:highlight w:val="none"/>
        </w:rPr>
      </w:pPr>
    </w:p>
    <w:p>
      <w:pPr>
        <w:snapToGrid w:val="0"/>
        <w:spacing w:before="50" w:after="240" w:afterLines="100"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供应商名称（盖公章）：</w:t>
      </w:r>
    </w:p>
    <w:p>
      <w:pPr>
        <w:snapToGrid w:val="0"/>
        <w:spacing w:before="50" w:after="240" w:afterLines="100" w:line="360" w:lineRule="auto"/>
        <w:ind w:left="7428" w:leftChars="2223" w:hanging="2760" w:hangingChars="1150"/>
        <w:jc w:val="left"/>
        <w:rPr>
          <w:rFonts w:ascii="宋体" w:hAnsi="宋体" w:eastAsia="宋体" w:cs="宋体"/>
          <w:b/>
          <w:bCs/>
          <w:color w:val="auto"/>
          <w:sz w:val="30"/>
          <w:szCs w:val="30"/>
          <w:highlight w:val="none"/>
        </w:rPr>
      </w:pPr>
      <w:r>
        <w:rPr>
          <w:rFonts w:hint="eastAsia" w:ascii="宋体" w:hAnsi="宋体" w:eastAsia="宋体" w:cs="宋体"/>
          <w:color w:val="auto"/>
          <w:kern w:val="0"/>
          <w:sz w:val="24"/>
          <w:highlight w:val="none"/>
          <w:lang w:val="zh-CN"/>
        </w:rPr>
        <w:t>日期：  年  月   日</w:t>
      </w: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snapToGrid w:val="0"/>
        <w:spacing w:line="360" w:lineRule="auto"/>
        <w:ind w:right="480"/>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5</w:t>
      </w:r>
      <w:r>
        <w:rPr>
          <w:rFonts w:hint="eastAsia" w:ascii="宋体" w:hAnsi="宋体" w:eastAsia="宋体" w:cs="宋体"/>
          <w:b/>
          <w:color w:val="auto"/>
          <w:kern w:val="0"/>
          <w:sz w:val="32"/>
          <w:szCs w:val="32"/>
          <w:highlight w:val="none"/>
        </w:rPr>
        <w:t>.</w:t>
      </w:r>
      <w:r>
        <w:rPr>
          <w:rFonts w:hint="eastAsia" w:ascii="宋体" w:hAnsi="宋体" w:eastAsia="宋体" w:cs="宋体"/>
          <w:b/>
          <w:color w:val="auto"/>
          <w:sz w:val="28"/>
          <w:szCs w:val="28"/>
          <w:highlight w:val="none"/>
          <w:lang w:val="en-US" w:eastAsia="zh-CN"/>
        </w:rPr>
        <w:t>供应商</w:t>
      </w:r>
      <w:r>
        <w:rPr>
          <w:rFonts w:hint="eastAsia" w:ascii="宋体" w:hAnsi="宋体" w:eastAsia="宋体" w:cs="宋体"/>
          <w:b/>
          <w:color w:val="auto"/>
          <w:sz w:val="28"/>
          <w:szCs w:val="28"/>
          <w:highlight w:val="none"/>
        </w:rPr>
        <w:t>直接管理关系信息表的格式</w:t>
      </w:r>
      <w:r>
        <w:rPr>
          <w:rFonts w:hint="eastAsia" w:ascii="Times New Roman" w:hAnsi="Times New Roman" w:eastAsia="宋体" w:cs="Times New Roman"/>
          <w:color w:val="auto"/>
          <w:sz w:val="28"/>
          <w:szCs w:val="28"/>
          <w:highlight w:val="none"/>
        </w:rPr>
        <w:t>：</w:t>
      </w:r>
    </w:p>
    <w:p>
      <w:pPr>
        <w:snapToGrid w:val="0"/>
        <w:jc w:val="left"/>
        <w:rPr>
          <w:rFonts w:ascii="Times New Roman" w:hAnsi="Times New Roman" w:eastAsia="宋体" w:cs="Times New Roman"/>
          <w:color w:val="auto"/>
          <w:sz w:val="18"/>
          <w:szCs w:val="18"/>
          <w:highlight w:val="none"/>
        </w:rPr>
      </w:pPr>
    </w:p>
    <w:p>
      <w:pPr>
        <w:snapToGrid w:val="0"/>
        <w:spacing w:line="360" w:lineRule="auto"/>
        <w:jc w:val="center"/>
        <w:rPr>
          <w:rFonts w:hint="eastAsia"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供应商直接管理关系信息表</w:t>
      </w:r>
    </w:p>
    <w:tbl>
      <w:tblPr>
        <w:tblStyle w:val="31"/>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r>
    </w:tbl>
    <w:p>
      <w:pPr>
        <w:snapToGrid w:val="0"/>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w:t>
      </w:r>
      <w:r>
        <w:rPr>
          <w:rFonts w:hint="eastAsia" w:ascii="宋体" w:hAnsi="宋体" w:eastAsia="宋体" w:cs="Times New Roman"/>
          <w:color w:val="auto"/>
          <w:spacing w:val="-6"/>
          <w:sz w:val="24"/>
          <w:highlight w:val="none"/>
        </w:rPr>
        <w:t>本表所指的管理关系仅限于直接管理关系，不包括间接的管理关系。</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3.供应商不存在直接管理关系的，则填“无”。</w:t>
      </w:r>
    </w:p>
    <w:p>
      <w:pPr>
        <w:snapToGrid w:val="0"/>
        <w:spacing w:before="50" w:after="120" w:afterLines="50"/>
        <w:ind w:firstLine="180" w:firstLineChars="100"/>
        <w:jc w:val="left"/>
        <w:rPr>
          <w:rFonts w:ascii="宋体" w:hAnsi="宋体" w:eastAsia="宋体" w:cs="Times New Roman"/>
          <w:color w:val="auto"/>
          <w:sz w:val="18"/>
          <w:szCs w:val="18"/>
          <w:highlight w:val="none"/>
        </w:rPr>
      </w:pPr>
    </w:p>
    <w:p>
      <w:pPr>
        <w:snapToGrid w:val="0"/>
        <w:spacing w:before="50" w:after="240" w:afterLines="100"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供应商名称（盖公章）：</w:t>
      </w:r>
    </w:p>
    <w:p>
      <w:pPr>
        <w:snapToGrid w:val="0"/>
        <w:spacing w:before="50" w:after="240" w:afterLines="100" w:line="360" w:lineRule="auto"/>
        <w:ind w:left="7428" w:leftChars="2223" w:hanging="2760" w:hangingChars="1150"/>
        <w:jc w:val="left"/>
        <w:rPr>
          <w:rFonts w:ascii="宋体" w:hAnsi="宋体" w:eastAsia="宋体" w:cs="宋体"/>
          <w:b/>
          <w:bCs/>
          <w:color w:val="auto"/>
          <w:sz w:val="30"/>
          <w:szCs w:val="30"/>
          <w:highlight w:val="none"/>
        </w:rPr>
      </w:pPr>
      <w:r>
        <w:rPr>
          <w:rFonts w:hint="eastAsia" w:ascii="宋体" w:hAnsi="宋体" w:eastAsia="宋体" w:cs="宋体"/>
          <w:color w:val="auto"/>
          <w:kern w:val="0"/>
          <w:sz w:val="24"/>
          <w:highlight w:val="none"/>
          <w:lang w:val="zh-CN"/>
        </w:rPr>
        <w:t>日期：  年  月   日</w:t>
      </w:r>
    </w:p>
    <w:p>
      <w:pP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br w:type="page"/>
      </w:r>
    </w:p>
    <w:p>
      <w:pPr>
        <w:pStyle w:val="8"/>
        <w:overflowPunct w:val="0"/>
        <w:spacing w:line="520" w:lineRule="exact"/>
        <w:ind w:firstLine="0"/>
        <w:rPr>
          <w:rFonts w:hint="eastAsia" w:ascii="宋体" w:hAnsi="宋体" w:cs="宋体"/>
          <w:b/>
          <w:bCs/>
          <w:color w:val="auto"/>
          <w:sz w:val="28"/>
          <w:szCs w:val="28"/>
          <w:highlight w:val="none"/>
        </w:rPr>
      </w:pPr>
      <w:r>
        <w:rPr>
          <w:rFonts w:hint="eastAsia" w:ascii="宋体" w:hAnsi="宋体" w:cs="宋体"/>
          <w:b/>
          <w:color w:val="auto"/>
          <w:kern w:val="0"/>
          <w:sz w:val="28"/>
          <w:szCs w:val="28"/>
          <w:highlight w:val="none"/>
          <w:lang w:val="en-US" w:eastAsia="zh-CN"/>
        </w:rPr>
        <w:t>6</w:t>
      </w:r>
      <w:r>
        <w:rPr>
          <w:rFonts w:hint="eastAsia" w:ascii="宋体" w:hAnsi="宋体" w:cs="宋体"/>
          <w:b/>
          <w:color w:val="auto"/>
          <w:kern w:val="0"/>
          <w:sz w:val="28"/>
          <w:szCs w:val="28"/>
          <w:highlight w:val="none"/>
        </w:rPr>
        <w:t>.联合体竞标协议书的格式：</w:t>
      </w:r>
    </w:p>
    <w:p>
      <w:pPr>
        <w:spacing w:line="600" w:lineRule="exact"/>
        <w:jc w:val="center"/>
        <w:rPr>
          <w:rFonts w:hint="eastAsia" w:ascii="仿宋" w:hAnsi="仿宋" w:eastAsia="仿宋" w:cs="仿宋"/>
          <w:color w:val="auto"/>
          <w:sz w:val="44"/>
          <w:szCs w:val="44"/>
          <w:highlight w:val="none"/>
        </w:rPr>
      </w:pPr>
    </w:p>
    <w:p>
      <w:pPr>
        <w:spacing w:line="6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联合体竞标协议书</w:t>
      </w:r>
    </w:p>
    <w:p>
      <w:pPr>
        <w:autoSpaceDE w:val="0"/>
        <w:autoSpaceDN w:val="0"/>
        <w:adjustRightInd w:val="0"/>
        <w:spacing w:line="360" w:lineRule="auto"/>
        <w:jc w:val="left"/>
        <w:rPr>
          <w:rFonts w:hAnsi="Calibri" w:cs="宋体"/>
          <w:color w:val="auto"/>
          <w:kern w:val="0"/>
          <w:szCs w:val="21"/>
          <w:highlight w:val="none"/>
          <w:u w:val="single"/>
        </w:rPr>
      </w:pPr>
    </w:p>
    <w:p>
      <w:pPr>
        <w:autoSpaceDE w:val="0"/>
        <w:autoSpaceDN w:val="0"/>
        <w:adjustRightInd w:val="0"/>
        <w:spacing w:line="3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（所有成员单位名称）自愿组成联合体，共同参加</w:t>
      </w:r>
      <w:r>
        <w:rPr>
          <w:rFonts w:hint="eastAsia" w:ascii="宋体" w:hAnsi="宋体" w:cs="宋体"/>
          <w:color w:val="auto"/>
          <w:kern w:val="0"/>
          <w:sz w:val="24"/>
          <w:highlight w:val="none"/>
          <w:u w:val="single"/>
        </w:rPr>
        <w:t xml:space="preserve">     </w:t>
      </w:r>
      <w:r>
        <w:rPr>
          <w:rFonts w:hint="eastAsia" w:ascii="宋体" w:hAnsi="宋体" w:cs="宋体"/>
          <w:i/>
          <w:iCs/>
          <w:color w:val="auto"/>
          <w:kern w:val="0"/>
          <w:sz w:val="24"/>
          <w:highlight w:val="none"/>
          <w:u w:val="single"/>
        </w:rPr>
        <w:t>（采购代理机构名称）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组织的</w:t>
      </w:r>
      <w:r>
        <w:rPr>
          <w:rFonts w:hint="eastAsia" w:ascii="宋体" w:hAnsi="宋体" w:cs="宋体"/>
          <w:color w:val="auto"/>
          <w:kern w:val="0"/>
          <w:sz w:val="24"/>
          <w:highlight w:val="none"/>
          <w:u w:val="single"/>
        </w:rPr>
        <w:t xml:space="preserve">        </w:t>
      </w:r>
      <w:r>
        <w:rPr>
          <w:rFonts w:hint="eastAsia" w:ascii="宋体" w:hAnsi="宋体" w:cs="宋体"/>
          <w:i/>
          <w:iCs/>
          <w:color w:val="auto"/>
          <w:kern w:val="0"/>
          <w:sz w:val="24"/>
          <w:highlight w:val="none"/>
          <w:u w:val="single"/>
        </w:rPr>
        <w:t xml:space="preserve"> （项目名称）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（项目编号：</w:t>
      </w:r>
      <w:r>
        <w:rPr>
          <w:rFonts w:hint="eastAsia" w:ascii="宋体" w:hAnsi="宋体" w:cs="宋体"/>
          <w:i/>
          <w:iCs/>
          <w:color w:val="auto"/>
          <w:kern w:val="0"/>
          <w:sz w:val="24"/>
          <w:highlight w:val="none"/>
          <w:u w:val="single"/>
        </w:rPr>
        <w:t>（项目编号）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）竞争性磋商采购。现就联合体竞标事宜订立如下协议：</w:t>
      </w:r>
    </w:p>
    <w:p>
      <w:pPr>
        <w:autoSpaceDE w:val="0"/>
        <w:autoSpaceDN w:val="0"/>
        <w:adjustRightInd w:val="0"/>
        <w:spacing w:line="360" w:lineRule="exact"/>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（某成员单位名称）为联合体名称牵头人。</w:t>
      </w:r>
    </w:p>
    <w:p>
      <w:pPr>
        <w:autoSpaceDE w:val="0"/>
        <w:autoSpaceDN w:val="0"/>
        <w:adjustRightInd w:val="0"/>
        <w:spacing w:line="360" w:lineRule="exact"/>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exact"/>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pPr>
        <w:autoSpaceDE w:val="0"/>
        <w:autoSpaceDN w:val="0"/>
        <w:adjustRightInd w:val="0"/>
        <w:spacing w:line="360" w:lineRule="exact"/>
        <w:ind w:left="479" w:leftChars="228"/>
        <w:jc w:val="left"/>
        <w:rPr>
          <w:rFonts w:hint="eastAsia" w:ascii="宋体" w:hAnsi="宋体" w:cs="宋体"/>
          <w:color w:val="auto"/>
          <w:kern w:val="0"/>
          <w:sz w:val="24"/>
          <w:highlight w:val="none"/>
        </w:rPr>
      </w:pPr>
      <w:r>
        <w:rPr>
          <w:rFonts w:hint="eastAsia" w:ascii="宋体" w:hAnsi="宋体" w:cs="宋体"/>
          <w:color w:val="auto"/>
          <w:kern w:val="0"/>
          <w:sz w:val="24"/>
          <w:highlight w:val="none"/>
        </w:rPr>
        <w:t>4、联合体各成员单位内部的职责分工如下：</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5、本联合体中，</w:t>
      </w:r>
      <w:r>
        <w:rPr>
          <w:rFonts w:hint="eastAsia" w:ascii="宋体" w:hAnsi="宋体" w:cs="宋体"/>
          <w:color w:val="auto"/>
          <w:kern w:val="0"/>
          <w:sz w:val="24"/>
          <w:highlight w:val="none"/>
          <w:u w:val="single"/>
        </w:rPr>
        <w:t xml:space="preserve">                         （某成员单位名称）为       </w:t>
      </w:r>
      <w:r>
        <w:rPr>
          <w:rFonts w:hint="eastAsia" w:ascii="宋体" w:hAnsi="宋体" w:cs="宋体"/>
          <w:color w:val="auto"/>
          <w:kern w:val="0"/>
          <w:sz w:val="24"/>
          <w:highlight w:val="none"/>
        </w:rPr>
        <w:t>（请填写：中型、小型、微型）企业，其协议合同金额占联合体协议合同总金额的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%。【如联合体成员中有小型、微型企业的，请填写此条，否则无需填写；如联合体成员中有多个小型、微型企业的，请逐一列出。】</w:t>
      </w:r>
    </w:p>
    <w:p>
      <w:pPr>
        <w:autoSpaceDE w:val="0"/>
        <w:autoSpaceDN w:val="0"/>
        <w:adjustRightInd w:val="0"/>
        <w:spacing w:line="360" w:lineRule="exact"/>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6、本协议书自签署之日起生效，合同履行完毕后自动失效。</w:t>
      </w:r>
    </w:p>
    <w:p>
      <w:pPr>
        <w:autoSpaceDE w:val="0"/>
        <w:autoSpaceDN w:val="0"/>
        <w:adjustRightInd w:val="0"/>
        <w:spacing w:line="360" w:lineRule="exact"/>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7、本协议书一式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份，联合体成员和采购代理机构各执一份。</w:t>
      </w:r>
    </w:p>
    <w:p>
      <w:pPr>
        <w:autoSpaceDE w:val="0"/>
        <w:autoSpaceDN w:val="0"/>
        <w:adjustRightInd w:val="0"/>
        <w:spacing w:line="360" w:lineRule="exact"/>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注：本协议书由法定代表人签字的，应附法定代表人身份证明；本协议书由委托代理人签字的，应附法定代表人授权委托书。</w:t>
      </w:r>
    </w:p>
    <w:p>
      <w:pPr>
        <w:autoSpaceDE w:val="0"/>
        <w:autoSpaceDN w:val="0"/>
        <w:adjustRightInd w:val="0"/>
        <w:spacing w:line="3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牵头人名称：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（盖公章）</w:t>
      </w:r>
    </w:p>
    <w:p>
      <w:pPr>
        <w:autoSpaceDE w:val="0"/>
        <w:autoSpaceDN w:val="0"/>
        <w:adjustRightInd w:val="0"/>
        <w:spacing w:line="3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w:t>
      </w:r>
    </w:p>
    <w:p>
      <w:pPr>
        <w:autoSpaceDE w:val="0"/>
        <w:autoSpaceDN w:val="0"/>
        <w:adjustRightInd w:val="0"/>
        <w:spacing w:line="360" w:lineRule="exact"/>
        <w:jc w:val="left"/>
        <w:rPr>
          <w:rFonts w:hint="eastAsia" w:ascii="宋体" w:hAnsi="宋体" w:cs="宋体"/>
          <w:color w:val="auto"/>
          <w:kern w:val="0"/>
          <w:sz w:val="24"/>
          <w:highlight w:val="none"/>
        </w:rPr>
      </w:pPr>
    </w:p>
    <w:p>
      <w:pPr>
        <w:autoSpaceDE w:val="0"/>
        <w:autoSpaceDN w:val="0"/>
        <w:adjustRightInd w:val="0"/>
        <w:spacing w:line="3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成员一名称：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（盖公章）</w:t>
      </w:r>
    </w:p>
    <w:p>
      <w:pPr>
        <w:autoSpaceDE w:val="0"/>
        <w:autoSpaceDN w:val="0"/>
        <w:adjustRightInd w:val="0"/>
        <w:spacing w:line="3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w:t>
      </w:r>
    </w:p>
    <w:p>
      <w:pPr>
        <w:autoSpaceDE w:val="0"/>
        <w:autoSpaceDN w:val="0"/>
        <w:adjustRightInd w:val="0"/>
        <w:spacing w:line="360" w:lineRule="exact"/>
        <w:jc w:val="left"/>
        <w:rPr>
          <w:rFonts w:hint="eastAsia" w:ascii="宋体" w:hAnsi="宋体" w:cs="宋体"/>
          <w:color w:val="auto"/>
          <w:kern w:val="0"/>
          <w:szCs w:val="21"/>
          <w:highlight w:val="none"/>
        </w:rPr>
      </w:pPr>
    </w:p>
    <w:p>
      <w:pPr>
        <w:autoSpaceDE w:val="0"/>
        <w:autoSpaceDN w:val="0"/>
        <w:adjustRightInd w:val="0"/>
        <w:spacing w:line="3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成员二名称：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（盖公章）</w:t>
      </w:r>
    </w:p>
    <w:p>
      <w:pPr>
        <w:autoSpaceDE w:val="0"/>
        <w:autoSpaceDN w:val="0"/>
        <w:adjustRightInd w:val="0"/>
        <w:spacing w:line="3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法定代表人或其委托代理人：                         （签字）</w:t>
      </w:r>
    </w:p>
    <w:p>
      <w:pPr>
        <w:autoSpaceDE w:val="0"/>
        <w:autoSpaceDN w:val="0"/>
        <w:adjustRightInd w:val="0"/>
        <w:spacing w:line="360" w:lineRule="exact"/>
        <w:jc w:val="left"/>
        <w:rPr>
          <w:rFonts w:hint="eastAsia" w:ascii="宋体" w:hAnsi="宋体" w:cs="宋体"/>
          <w:color w:val="auto"/>
          <w:kern w:val="0"/>
          <w:sz w:val="24"/>
          <w:highlight w:val="none"/>
        </w:rPr>
      </w:pPr>
    </w:p>
    <w:p>
      <w:pPr>
        <w:autoSpaceDE w:val="0"/>
        <w:autoSpaceDN w:val="0"/>
        <w:adjustRightInd w:val="0"/>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w:t>
      </w:r>
    </w:p>
    <w:p>
      <w:pPr>
        <w:autoSpaceDE w:val="0"/>
        <w:autoSpaceDN w:val="0"/>
        <w:spacing w:line="360" w:lineRule="exact"/>
        <w:ind w:left="4365" w:leftChars="1850" w:hanging="480" w:hangingChars="200"/>
        <w:rPr>
          <w:rFonts w:hint="eastAsia" w:ascii="宋体" w:hAnsi="宋体" w:cs="宋体"/>
          <w:color w:val="auto"/>
          <w:kern w:val="0"/>
          <w:sz w:val="24"/>
          <w:highlight w:val="none"/>
        </w:rPr>
      </w:pPr>
    </w:p>
    <w:p>
      <w:pPr>
        <w:autoSpaceDE w:val="0"/>
        <w:autoSpaceDN w:val="0"/>
        <w:spacing w:line="360" w:lineRule="exact"/>
        <w:ind w:firstLine="6120" w:firstLineChars="25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autoSpaceDE w:val="0"/>
        <w:autoSpaceDN w:val="0"/>
        <w:spacing w:line="360" w:lineRule="auto"/>
        <w:ind w:firstLine="6120" w:firstLineChars="2550"/>
        <w:rPr>
          <w:rFonts w:hint="eastAsia" w:ascii="仿宋_GB2312" w:hAnsi="仿宋" w:eastAsia="仿宋_GB2312" w:cs="仿宋_GB2312"/>
          <w:color w:val="auto"/>
          <w:kern w:val="0"/>
          <w:sz w:val="24"/>
          <w:highlight w:val="none"/>
          <w:lang w:val="zh-CN"/>
        </w:rPr>
      </w:pPr>
    </w:p>
    <w:p>
      <w:pPr>
        <w:autoSpaceDE w:val="0"/>
        <w:autoSpaceDN w:val="0"/>
        <w:spacing w:line="360" w:lineRule="auto"/>
        <w:ind w:firstLine="6120" w:firstLineChars="2550"/>
        <w:rPr>
          <w:rFonts w:hint="eastAsia" w:ascii="仿宋_GB2312" w:hAnsi="仿宋" w:eastAsia="仿宋_GB2312" w:cs="仿宋_GB2312"/>
          <w:color w:val="auto"/>
          <w:kern w:val="0"/>
          <w:sz w:val="24"/>
          <w:highlight w:val="none"/>
          <w:lang w:val="zh-CN"/>
        </w:rPr>
      </w:pPr>
    </w:p>
    <w:p>
      <w:pPr>
        <w:pStyle w:val="4"/>
        <w:jc w:val="center"/>
        <w:rPr>
          <w:rFonts w:hint="eastAsia" w:ascii="宋体" w:hAnsi="宋体"/>
          <w:b w:val="0"/>
          <w:color w:val="auto"/>
          <w:highlight w:val="none"/>
        </w:rPr>
      </w:pPr>
      <w:bookmarkStart w:id="137" w:name="_Toc15951"/>
      <w:bookmarkStart w:id="138" w:name="_Toc80886944"/>
      <w:bookmarkStart w:id="139" w:name="_Toc20562"/>
      <w:bookmarkStart w:id="140" w:name="_Toc80205940"/>
      <w:r>
        <w:rPr>
          <w:rFonts w:hint="eastAsia" w:ascii="宋体" w:hAnsi="宋体"/>
          <w:b w:val="0"/>
          <w:bCs w:val="0"/>
          <w:color w:val="auto"/>
          <w:highlight w:val="none"/>
        </w:rPr>
        <w:t xml:space="preserve">第二节 </w:t>
      </w:r>
      <w:r>
        <w:rPr>
          <w:rFonts w:hint="eastAsia" w:ascii="宋体" w:hAnsi="宋体"/>
          <w:b w:val="0"/>
          <w:color w:val="auto"/>
          <w:highlight w:val="none"/>
        </w:rPr>
        <w:t>商务技术文件格式</w:t>
      </w:r>
      <w:bookmarkEnd w:id="137"/>
      <w:bookmarkEnd w:id="138"/>
      <w:bookmarkEnd w:id="139"/>
      <w:bookmarkEnd w:id="140"/>
    </w:p>
    <w:p>
      <w:pPr>
        <w:snapToGrid w:val="0"/>
        <w:spacing w:before="120" w:beforeLines="50" w:after="50" w:line="360" w:lineRule="auto"/>
        <w:jc w:val="left"/>
        <w:rPr>
          <w:rFonts w:hint="eastAsia" w:ascii="宋体" w:hAnsi="宋体"/>
          <w:b/>
          <w:color w:val="auto"/>
          <w:sz w:val="32"/>
          <w:szCs w:val="32"/>
          <w:highlight w:val="none"/>
        </w:rPr>
      </w:pPr>
      <w:r>
        <w:rPr>
          <w:rFonts w:hint="eastAsia" w:ascii="宋体" w:hAnsi="宋体"/>
          <w:b/>
          <w:color w:val="auto"/>
          <w:sz w:val="28"/>
          <w:szCs w:val="28"/>
          <w:highlight w:val="none"/>
        </w:rPr>
        <w:t>1.商务技术文件封面的格式</w:t>
      </w:r>
      <w:r>
        <w:rPr>
          <w:rFonts w:hint="eastAsia" w:ascii="宋体" w:hAnsi="宋体" w:cs="宋体"/>
          <w:b/>
          <w:color w:val="auto"/>
          <w:sz w:val="28"/>
          <w:szCs w:val="28"/>
          <w:highlight w:val="none"/>
        </w:rPr>
        <w:t>（参照此格式自拟）</w:t>
      </w:r>
      <w:r>
        <w:rPr>
          <w:rFonts w:hint="eastAsia" w:ascii="宋体" w:hAnsi="宋体"/>
          <w:b/>
          <w:color w:val="auto"/>
          <w:sz w:val="28"/>
          <w:szCs w:val="28"/>
          <w:highlight w:val="none"/>
        </w:rPr>
        <w:t>：</w:t>
      </w:r>
    </w:p>
    <w:p>
      <w:pPr>
        <w:snapToGrid w:val="0"/>
        <w:spacing w:before="120" w:beforeLines="50" w:after="50"/>
        <w:rPr>
          <w:rFonts w:hint="eastAsia"/>
          <w:color w:val="auto"/>
          <w:sz w:val="24"/>
          <w:highlight w:val="none"/>
        </w:rPr>
      </w:pPr>
      <w:r>
        <w:rPr>
          <w:rFonts w:hint="eastAsia"/>
          <w:color w:val="auto"/>
          <w:sz w:val="24"/>
          <w:highlight w:val="none"/>
        </w:rPr>
        <w:t xml:space="preserve">                                             </w:t>
      </w:r>
    </w:p>
    <w:p>
      <w:pPr>
        <w:snapToGrid w:val="0"/>
        <w:spacing w:before="120" w:beforeLines="50" w:after="50"/>
        <w:ind w:firstLine="6720" w:firstLineChars="3200"/>
        <w:rPr>
          <w:rFonts w:hint="eastAsia"/>
          <w:bCs/>
          <w:color w:val="auto"/>
          <w:sz w:val="32"/>
          <w:szCs w:val="20"/>
          <w:highlight w:val="none"/>
        </w:rPr>
      </w:pPr>
      <w:r>
        <w:rPr>
          <w:rFonts w:hint="eastAsia"/>
          <w:bCs/>
          <w:color w:val="auto"/>
          <w:highlight w:val="none"/>
        </w:rPr>
        <w:t>全流程电子文件</w:t>
      </w:r>
    </w:p>
    <w:p>
      <w:pPr>
        <w:snapToGrid w:val="0"/>
        <w:spacing w:before="120" w:beforeLines="50" w:after="50"/>
        <w:rPr>
          <w:rFonts w:hint="eastAsia"/>
          <w:color w:val="auto"/>
          <w:sz w:val="24"/>
          <w:szCs w:val="20"/>
          <w:highlight w:val="none"/>
        </w:rPr>
      </w:pPr>
    </w:p>
    <w:p>
      <w:pPr>
        <w:snapToGrid w:val="0"/>
        <w:spacing w:before="120" w:beforeLines="50" w:after="50"/>
        <w:rPr>
          <w:rFonts w:hint="eastAsia"/>
          <w:color w:val="auto"/>
          <w:sz w:val="24"/>
          <w:szCs w:val="20"/>
          <w:highlight w:val="none"/>
        </w:rPr>
      </w:pPr>
    </w:p>
    <w:p>
      <w:pPr>
        <w:snapToGrid w:val="0"/>
        <w:spacing w:before="120" w:beforeLines="50" w:after="50"/>
        <w:rPr>
          <w:rFonts w:hint="eastAsia"/>
          <w:color w:val="auto"/>
          <w:sz w:val="24"/>
          <w:szCs w:val="20"/>
          <w:highlight w:val="none"/>
        </w:rPr>
      </w:pPr>
    </w:p>
    <w:p>
      <w:pPr>
        <w:snapToGrid w:val="0"/>
        <w:spacing w:before="120" w:beforeLines="50" w:after="50"/>
        <w:jc w:val="center"/>
        <w:rPr>
          <w:rFonts w:hint="eastAsia"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商  务  技  术  文  件</w:t>
      </w:r>
    </w:p>
    <w:p>
      <w:pPr>
        <w:snapToGrid w:val="0"/>
        <w:spacing w:before="120" w:beforeLines="50" w:after="50"/>
        <w:rPr>
          <w:rFonts w:hint="eastAsia"/>
          <w:bCs/>
          <w:color w:val="auto"/>
          <w:sz w:val="24"/>
          <w:szCs w:val="20"/>
          <w:highlight w:val="none"/>
        </w:rPr>
      </w:pPr>
    </w:p>
    <w:p>
      <w:pPr>
        <w:snapToGrid w:val="0"/>
        <w:spacing w:before="120" w:beforeLines="50" w:after="50"/>
        <w:rPr>
          <w:rFonts w:hint="eastAsia"/>
          <w:bCs/>
          <w:color w:val="auto"/>
          <w:sz w:val="24"/>
          <w:szCs w:val="20"/>
          <w:highlight w:val="none"/>
        </w:rPr>
      </w:pPr>
    </w:p>
    <w:p>
      <w:pPr>
        <w:snapToGrid w:val="0"/>
        <w:spacing w:before="120" w:beforeLines="50" w:after="50"/>
        <w:rPr>
          <w:rFonts w:hint="eastAsia"/>
          <w:bCs/>
          <w:color w:val="auto"/>
          <w:sz w:val="24"/>
          <w:szCs w:val="20"/>
          <w:highlight w:val="none"/>
        </w:rPr>
      </w:pPr>
    </w:p>
    <w:p>
      <w:pPr>
        <w:snapToGrid w:val="0"/>
        <w:spacing w:before="120" w:beforeLines="50" w:after="50"/>
        <w:rPr>
          <w:rFonts w:hint="eastAsia"/>
          <w:bCs/>
          <w:color w:val="auto"/>
          <w:sz w:val="24"/>
          <w:szCs w:val="20"/>
          <w:highlight w:val="none"/>
        </w:rPr>
      </w:pPr>
    </w:p>
    <w:p>
      <w:pPr>
        <w:snapToGrid w:val="0"/>
        <w:spacing w:before="120" w:beforeLines="50" w:after="50"/>
        <w:rPr>
          <w:rFonts w:hint="eastAsia"/>
          <w:bCs/>
          <w:color w:val="auto"/>
          <w:sz w:val="24"/>
          <w:szCs w:val="20"/>
          <w:highlight w:val="none"/>
        </w:rPr>
      </w:pPr>
    </w:p>
    <w:p>
      <w:pPr>
        <w:snapToGrid w:val="0"/>
        <w:spacing w:before="120" w:beforeLines="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项目名称：</w:t>
      </w:r>
    </w:p>
    <w:p>
      <w:pPr>
        <w:snapToGrid w:val="0"/>
        <w:spacing w:before="120" w:beforeLines="50" w:after="50"/>
        <w:ind w:firstLine="720" w:firstLineChars="225"/>
        <w:rPr>
          <w:rFonts w:hint="eastAsia" w:cs="仿宋_GB2312"/>
          <w:bCs/>
          <w:color w:val="auto"/>
          <w:sz w:val="32"/>
          <w:szCs w:val="32"/>
          <w:highlight w:val="none"/>
        </w:rPr>
      </w:pPr>
    </w:p>
    <w:p>
      <w:pPr>
        <w:snapToGrid w:val="0"/>
        <w:spacing w:before="120" w:beforeLines="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项目编号：</w:t>
      </w:r>
    </w:p>
    <w:p>
      <w:pPr>
        <w:snapToGrid w:val="0"/>
        <w:spacing w:before="120" w:beforeLines="50" w:after="50"/>
        <w:ind w:firstLine="720" w:firstLineChars="225"/>
        <w:rPr>
          <w:rFonts w:hint="eastAsia" w:cs="仿宋_GB2312"/>
          <w:bCs/>
          <w:color w:val="auto"/>
          <w:sz w:val="32"/>
          <w:szCs w:val="32"/>
          <w:highlight w:val="none"/>
        </w:rPr>
      </w:pPr>
      <w:r>
        <w:rPr>
          <w:rFonts w:hint="eastAsia" w:cs="仿宋_GB2312"/>
          <w:bCs/>
          <w:color w:val="auto"/>
          <w:sz w:val="32"/>
          <w:szCs w:val="32"/>
          <w:highlight w:val="none"/>
        </w:rPr>
        <w:t xml:space="preserve"> </w:t>
      </w:r>
    </w:p>
    <w:p>
      <w:pPr>
        <w:snapToGrid w:val="0"/>
        <w:spacing w:before="120" w:beforeLines="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所竞分标（如有则填写，无分标时填写“无”或者留空）：</w:t>
      </w:r>
    </w:p>
    <w:p>
      <w:pPr>
        <w:snapToGrid w:val="0"/>
        <w:spacing w:before="120" w:beforeLines="50" w:after="50"/>
        <w:ind w:firstLine="720" w:firstLineChars="225"/>
        <w:rPr>
          <w:rFonts w:hint="eastAsia" w:cs="仿宋_GB2312"/>
          <w:bCs/>
          <w:color w:val="auto"/>
          <w:sz w:val="32"/>
          <w:szCs w:val="32"/>
          <w:highlight w:val="none"/>
        </w:rPr>
      </w:pPr>
    </w:p>
    <w:p>
      <w:pPr>
        <w:pStyle w:val="8"/>
        <w:snapToGrid w:val="0"/>
        <w:spacing w:before="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供应商名称：</w:t>
      </w:r>
    </w:p>
    <w:p>
      <w:pPr>
        <w:pStyle w:val="8"/>
        <w:snapToGrid w:val="0"/>
        <w:spacing w:before="50" w:after="50"/>
        <w:ind w:firstLine="720" w:firstLineChars="225"/>
        <w:rPr>
          <w:rFonts w:hint="eastAsia" w:cs="仿宋_GB2312"/>
          <w:bCs/>
          <w:color w:val="auto"/>
          <w:sz w:val="32"/>
          <w:szCs w:val="32"/>
          <w:highlight w:val="none"/>
        </w:rPr>
      </w:pPr>
    </w:p>
    <w:p>
      <w:pPr>
        <w:pStyle w:val="8"/>
        <w:snapToGrid w:val="0"/>
        <w:spacing w:before="50" w:after="50"/>
        <w:ind w:firstLine="720" w:firstLineChars="225"/>
        <w:rPr>
          <w:rFonts w:hint="eastAsia" w:cs="仿宋_GB2312"/>
          <w:bCs/>
          <w:color w:val="auto"/>
          <w:sz w:val="32"/>
          <w:szCs w:val="32"/>
          <w:highlight w:val="none"/>
        </w:rPr>
      </w:pPr>
    </w:p>
    <w:p>
      <w:pPr>
        <w:pStyle w:val="8"/>
        <w:snapToGrid w:val="0"/>
        <w:spacing w:before="50" w:after="50"/>
        <w:ind w:firstLine="1280" w:firstLineChars="400"/>
        <w:rPr>
          <w:rFonts w:hint="eastAsia" w:cs="仿宋_GB2312"/>
          <w:bCs/>
          <w:color w:val="auto"/>
          <w:sz w:val="32"/>
          <w:szCs w:val="32"/>
          <w:highlight w:val="none"/>
        </w:rPr>
      </w:pPr>
    </w:p>
    <w:p>
      <w:pPr>
        <w:snapToGrid w:val="0"/>
        <w:spacing w:before="120" w:beforeLines="50" w:after="50"/>
        <w:jc w:val="center"/>
        <w:rPr>
          <w:rFonts w:hint="eastAsia" w:cs="仿宋_GB2312"/>
          <w:color w:val="auto"/>
          <w:sz w:val="32"/>
          <w:szCs w:val="32"/>
          <w:highlight w:val="none"/>
        </w:rPr>
      </w:pPr>
      <w:r>
        <w:rPr>
          <w:rFonts w:hint="eastAsia" w:cs="仿宋_GB2312"/>
          <w:color w:val="auto"/>
          <w:sz w:val="32"/>
          <w:szCs w:val="32"/>
          <w:highlight w:val="none"/>
        </w:rPr>
        <w:t>年    月    日</w:t>
      </w:r>
    </w:p>
    <w:p>
      <w:pPr>
        <w:snapToGrid w:val="0"/>
        <w:spacing w:before="120" w:beforeLines="50" w:after="50" w:line="360" w:lineRule="auto"/>
        <w:ind w:left="142" w:firstLine="643" w:firstLineChars="200"/>
        <w:jc w:val="left"/>
        <w:rPr>
          <w:b/>
          <w:bCs/>
          <w:color w:val="auto"/>
          <w:sz w:val="32"/>
          <w:szCs w:val="32"/>
          <w:highlight w:val="none"/>
        </w:rPr>
        <w:sectPr>
          <w:pgSz w:w="11911" w:h="16838"/>
          <w:pgMar w:top="1134" w:right="1134" w:bottom="1134" w:left="1134" w:header="720" w:footer="720" w:gutter="0"/>
          <w:cols w:space="720" w:num="1"/>
        </w:sectPr>
      </w:pPr>
    </w:p>
    <w:p>
      <w:pPr>
        <w:spacing w:line="360" w:lineRule="auto"/>
        <w:ind w:right="420"/>
        <w:rPr>
          <w:rFonts w:hint="eastAsia" w:ascii="宋体" w:hAnsi="宋体" w:cs="宋体"/>
          <w:color w:val="auto"/>
          <w:sz w:val="24"/>
          <w:szCs w:val="20"/>
          <w:highlight w:val="none"/>
        </w:rPr>
      </w:pPr>
      <w:r>
        <w:rPr>
          <w:rFonts w:hint="eastAsia" w:ascii="宋体" w:hAnsi="宋体" w:cs="宋体"/>
          <w:b/>
          <w:bCs/>
          <w:color w:val="auto"/>
          <w:sz w:val="28"/>
          <w:szCs w:val="28"/>
          <w:highlight w:val="none"/>
        </w:rPr>
        <w:t>2.商务技术文件目录</w:t>
      </w:r>
    </w:p>
    <w:p>
      <w:pPr>
        <w:spacing w:line="400" w:lineRule="exact"/>
        <w:rPr>
          <w:rFonts w:hint="eastAsia" w:ascii="仿宋_GB2312" w:hAnsi="仿宋_GB2312" w:eastAsia="仿宋_GB2312" w:cs="仿宋_GB2312"/>
          <w:color w:val="auto"/>
          <w:sz w:val="32"/>
          <w:szCs w:val="32"/>
          <w:highlight w:val="none"/>
        </w:rPr>
      </w:pPr>
      <w:r>
        <w:rPr>
          <w:rFonts w:hint="eastAsia" w:ascii="宋体" w:hAnsi="宋体" w:cs="宋体"/>
          <w:color w:val="auto"/>
          <w:kern w:val="0"/>
          <w:sz w:val="24"/>
          <w:highlight w:val="none"/>
        </w:rPr>
        <w:t xml:space="preserve">  根据竞争性磋商文件规定及供应商提供的材料自行编写目录（部分格式后附）。</w:t>
      </w:r>
    </w:p>
    <w:p>
      <w:pPr>
        <w:spacing w:line="520" w:lineRule="exact"/>
        <w:jc w:val="left"/>
        <w:rPr>
          <w:rFonts w:hint="eastAsia" w:ascii="宋体" w:hAnsi="宋体" w:cs="宋体"/>
          <w:color w:val="auto"/>
          <w:sz w:val="28"/>
          <w:szCs w:val="28"/>
          <w:highlight w:val="none"/>
        </w:rPr>
      </w:pPr>
      <w:r>
        <w:rPr>
          <w:rFonts w:hint="eastAsia" w:ascii="仿宋" w:hAnsi="仿宋" w:eastAsia="仿宋" w:cs="仿宋"/>
          <w:color w:val="auto"/>
          <w:sz w:val="44"/>
          <w:szCs w:val="44"/>
          <w:highlight w:val="none"/>
        </w:rPr>
        <w:br w:type="page"/>
      </w:r>
      <w:r>
        <w:rPr>
          <w:rFonts w:hint="eastAsia" w:ascii="宋体" w:hAnsi="宋体" w:cs="宋体"/>
          <w:b/>
          <w:color w:val="auto"/>
          <w:sz w:val="28"/>
          <w:szCs w:val="28"/>
          <w:highlight w:val="none"/>
        </w:rPr>
        <w:t>3.无串通竞标行为的承诺函的格式：</w:t>
      </w:r>
    </w:p>
    <w:p>
      <w:pPr>
        <w:spacing w:line="520" w:lineRule="exact"/>
        <w:jc w:val="center"/>
        <w:rPr>
          <w:rFonts w:hint="eastAsia" w:ascii="仿宋" w:hAnsi="仿宋" w:eastAsia="仿宋" w:cs="仿宋"/>
          <w:color w:val="auto"/>
          <w:sz w:val="44"/>
          <w:szCs w:val="44"/>
          <w:highlight w:val="none"/>
        </w:rPr>
      </w:pPr>
    </w:p>
    <w:p>
      <w:pPr>
        <w:spacing w:line="52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无串通竞标行为的承诺函</w:t>
      </w:r>
    </w:p>
    <w:p>
      <w:pPr>
        <w:spacing w:line="520" w:lineRule="exact"/>
        <w:ind w:firstLine="640" w:firstLineChars="200"/>
        <w:rPr>
          <w:rFonts w:hint="eastAsia" w:ascii="仿宋_GB2312" w:hAnsi="仿宋_GB2312" w:eastAsia="仿宋_GB2312" w:cs="仿宋_GB2312"/>
          <w:color w:val="auto"/>
          <w:sz w:val="32"/>
          <w:szCs w:val="32"/>
          <w:highlight w:val="none"/>
        </w:rPr>
      </w:pPr>
    </w:p>
    <w:p>
      <w:pPr>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rPr>
        <w:t>一、我方承诺无下列相互串通竞标的情形：</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1.不同供应商的响应文件由同一单位或者个人编制；或不同</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 xml:space="preserve">报名的IP地址一致的； </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2.不同供应商委托同一单位或者个人办理竞标事宜；</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3.不同供应商的响应文件载明的项目管理员为同一个人；</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4.不</w:t>
      </w:r>
      <w:r>
        <w:rPr>
          <w:rFonts w:hint="eastAsia" w:ascii="宋体" w:hAnsi="宋体" w:cs="宋体"/>
          <w:color w:val="auto"/>
          <w:spacing w:val="-6"/>
          <w:sz w:val="24"/>
          <w:highlight w:val="none"/>
        </w:rPr>
        <w:t>同供应商的响应文件异常一致或者响应报价呈规律性差异；</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5.不同供应商的响应文件相互混装；</w:t>
      </w:r>
    </w:p>
    <w:p>
      <w:pPr>
        <w:pStyle w:val="16"/>
        <w:ind w:firstLine="480" w:firstLineChars="200"/>
        <w:rPr>
          <w:rFonts w:hint="eastAsia" w:ascii="宋体" w:hAnsi="宋体" w:cs="宋体"/>
          <w:color w:val="auto"/>
          <w:highlight w:val="none"/>
        </w:rPr>
      </w:pPr>
      <w:r>
        <w:rPr>
          <w:rFonts w:hint="eastAsia" w:ascii="宋体" w:hAnsi="宋体" w:cs="宋体"/>
          <w:color w:val="auto"/>
          <w:sz w:val="24"/>
          <w:highlight w:val="none"/>
        </w:rPr>
        <w:t>6.不同供应商的磋商保证金从同一单位或者个人账户转出。</w:t>
      </w:r>
    </w:p>
    <w:p>
      <w:pPr>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rPr>
        <w:t>二、我方承诺无下列恶意串通的情形：</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3.供</w:t>
      </w:r>
      <w:r>
        <w:rPr>
          <w:rFonts w:hint="eastAsia" w:ascii="宋体" w:hAnsi="宋体" w:cs="宋体"/>
          <w:color w:val="auto"/>
          <w:spacing w:val="-6"/>
          <w:sz w:val="24"/>
          <w:highlight w:val="none"/>
        </w:rPr>
        <w:t>应商之间协商报价、技术方案等响应文件的实质性内容；</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7.供应商与采购人或者采购代理机构之间、供应商相互之间，为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pPr>
        <w:spacing w:line="360" w:lineRule="auto"/>
        <w:ind w:firstLine="480" w:firstLineChars="200"/>
        <w:contextualSpacing/>
        <w:rPr>
          <w:rFonts w:hint="eastAsia" w:ascii="宋体" w:hAnsi="宋体" w:cs="宋体"/>
          <w:color w:val="auto"/>
          <w:sz w:val="24"/>
          <w:highlight w:val="none"/>
        </w:rPr>
      </w:pPr>
    </w:p>
    <w:p>
      <w:pPr>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rPr>
        <w:t>以上情形一经核查属实，接受政府采购监管部门对我方认定存在围标串标行为，我方愿意承担一切后果，并不再寻求任何旨在减轻或者免除法律责任的辩解。</w:t>
      </w:r>
    </w:p>
    <w:p>
      <w:pPr>
        <w:pStyle w:val="2"/>
        <w:rPr>
          <w:rFonts w:hint="eastAsia" w:ascii="宋体" w:hAnsi="宋体" w:cs="宋体"/>
          <w:b/>
          <w:bCs/>
          <w:color w:val="auto"/>
          <w:sz w:val="24"/>
          <w:highlight w:val="none"/>
        </w:rPr>
      </w:pPr>
    </w:p>
    <w:p>
      <w:pPr>
        <w:pStyle w:val="2"/>
        <w:rPr>
          <w:rFonts w:hint="eastAsia" w:ascii="宋体" w:hAnsi="宋体" w:cs="宋体"/>
          <w:b/>
          <w:bCs/>
          <w:color w:val="auto"/>
          <w:sz w:val="24"/>
          <w:highlight w:val="none"/>
        </w:rPr>
      </w:pPr>
    </w:p>
    <w:p>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供应商名称（盖公章）：</w:t>
      </w:r>
    </w:p>
    <w:p>
      <w:pPr>
        <w:spacing w:line="480" w:lineRule="auto"/>
        <w:ind w:firstLine="5040" w:firstLineChars="2100"/>
        <w:jc w:val="left"/>
        <w:rPr>
          <w:rFonts w:hint="eastAsia" w:ascii="宋体" w:hAnsi="宋体" w:cs="宋体"/>
          <w:b/>
          <w:bCs/>
          <w:color w:val="auto"/>
          <w:sz w:val="28"/>
          <w:szCs w:val="28"/>
          <w:highlight w:val="none"/>
        </w:rPr>
      </w:pPr>
      <w:r>
        <w:rPr>
          <w:rFonts w:hint="eastAsia" w:ascii="宋体" w:hAnsi="宋体" w:cs="宋体"/>
          <w:color w:val="auto"/>
          <w:kern w:val="0"/>
          <w:sz w:val="24"/>
          <w:highlight w:val="none"/>
          <w:lang w:val="zh-CN"/>
        </w:rPr>
        <w:t xml:space="preserve">日期：  年  月   日   </w:t>
      </w:r>
      <w:r>
        <w:rPr>
          <w:b/>
          <w:bCs/>
          <w:color w:val="auto"/>
          <w:sz w:val="32"/>
          <w:szCs w:val="32"/>
          <w:highlight w:val="none"/>
        </w:rPr>
        <w:br w:type="page"/>
      </w:r>
      <w:r>
        <w:rPr>
          <w:rFonts w:hint="eastAsia" w:ascii="宋体" w:hAnsi="宋体" w:cs="宋体"/>
          <w:b/>
          <w:bCs/>
          <w:color w:val="auto"/>
          <w:sz w:val="28"/>
          <w:szCs w:val="28"/>
          <w:highlight w:val="none"/>
        </w:rPr>
        <w:t>4.法定代表人身份证明的格式：</w:t>
      </w:r>
    </w:p>
    <w:p>
      <w:pPr>
        <w:spacing w:line="520" w:lineRule="exact"/>
        <w:jc w:val="center"/>
        <w:rPr>
          <w:rFonts w:hint="eastAsia" w:ascii="仿宋_GB2312" w:hAnsi="仿宋_GB2312" w:eastAsia="仿宋_GB2312" w:cs="仿宋_GB2312"/>
          <w:color w:val="auto"/>
          <w:sz w:val="32"/>
          <w:szCs w:val="32"/>
          <w:highlight w:val="none"/>
        </w:rPr>
      </w:pPr>
      <w:r>
        <w:rPr>
          <w:rFonts w:hint="eastAsia" w:ascii="宋体" w:hAnsi="宋体" w:cs="宋体"/>
          <w:bCs/>
          <w:color w:val="auto"/>
          <w:sz w:val="32"/>
          <w:szCs w:val="32"/>
          <w:highlight w:val="none"/>
        </w:rPr>
        <w:t>法定代表人身份证明</w:t>
      </w:r>
    </w:p>
    <w:p>
      <w:pPr>
        <w:spacing w:line="360" w:lineRule="auto"/>
        <w:ind w:left="540"/>
        <w:contextualSpacing/>
        <w:rPr>
          <w:rFonts w:hint="eastAsia" w:ascii="仿宋_GB2312" w:hAnsi="仿宋_GB2312" w:eastAsia="仿宋_GB2312" w:cs="仿宋_GB2312"/>
          <w:color w:val="auto"/>
          <w:sz w:val="32"/>
          <w:szCs w:val="32"/>
          <w:highlight w:val="none"/>
        </w:rPr>
      </w:pPr>
    </w:p>
    <w:p>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p>
    <w:p>
      <w:pPr>
        <w:spacing w:line="360" w:lineRule="auto"/>
        <w:ind w:left="54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统一社会信用代码：</w:t>
      </w:r>
      <w:r>
        <w:rPr>
          <w:rFonts w:hint="eastAsia" w:ascii="宋体" w:hAnsi="宋体" w:cs="宋体"/>
          <w:color w:val="auto"/>
          <w:sz w:val="24"/>
          <w:highlight w:val="none"/>
          <w:u w:val="single"/>
        </w:rPr>
        <w:t xml:space="preserve">                                                </w:t>
      </w:r>
    </w:p>
    <w:p>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pPr>
        <w:spacing w:line="360" w:lineRule="auto"/>
        <w:ind w:left="540"/>
        <w:contextualSpacing/>
        <w:rPr>
          <w:rFonts w:hint="eastAsia"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特此证明。</w:t>
      </w:r>
    </w:p>
    <w:p>
      <w:pPr>
        <w:spacing w:line="360" w:lineRule="auto"/>
        <w:ind w:left="540"/>
        <w:contextualSpacing/>
        <w:rPr>
          <w:rFonts w:hint="eastAsia" w:ascii="宋体" w:hAnsi="宋体" w:cs="宋体"/>
          <w:color w:val="auto"/>
          <w:sz w:val="24"/>
          <w:highlight w:val="none"/>
        </w:rPr>
      </w:pPr>
    </w:p>
    <w:p>
      <w:pPr>
        <w:spacing w:line="360" w:lineRule="auto"/>
        <w:ind w:left="540"/>
        <w:contextualSpacing/>
        <w:rPr>
          <w:rFonts w:hint="eastAsia" w:ascii="宋体" w:hAnsi="宋体" w:cs="宋体"/>
          <w:color w:val="auto"/>
          <w:sz w:val="24"/>
          <w:highlight w:val="none"/>
        </w:rPr>
      </w:pPr>
    </w:p>
    <w:p>
      <w:pPr>
        <w:spacing w:line="360" w:lineRule="auto"/>
        <w:ind w:left="540"/>
        <w:contextualSpacing/>
        <w:rPr>
          <w:rFonts w:hint="eastAsia" w:ascii="宋体" w:hAnsi="宋体" w:cs="宋体"/>
          <w:color w:val="auto"/>
          <w:sz w:val="24"/>
          <w:highlight w:val="none"/>
        </w:rPr>
      </w:pPr>
    </w:p>
    <w:p>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pPr>
        <w:spacing w:line="360" w:lineRule="auto"/>
        <w:ind w:left="540"/>
        <w:contextualSpacing/>
        <w:rPr>
          <w:rFonts w:hint="eastAsia" w:ascii="宋体" w:hAnsi="宋体" w:cs="宋体"/>
          <w:color w:val="auto"/>
          <w:sz w:val="24"/>
          <w:highlight w:val="none"/>
        </w:rPr>
      </w:pPr>
    </w:p>
    <w:p>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供应商名称（盖公章）：</w:t>
      </w:r>
    </w:p>
    <w:p>
      <w:pPr>
        <w:spacing w:line="360" w:lineRule="auto"/>
        <w:contextualSpacing/>
        <w:jc w:val="center"/>
        <w:rPr>
          <w:rFonts w:hint="eastAsia"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pPr>
        <w:spacing w:line="360" w:lineRule="auto"/>
        <w:contextualSpacing/>
        <w:jc w:val="left"/>
        <w:rPr>
          <w:rFonts w:hint="eastAsia" w:ascii="宋体" w:hAnsi="宋体" w:cs="宋体"/>
          <w:color w:val="auto"/>
          <w:sz w:val="24"/>
          <w:highlight w:val="none"/>
        </w:rPr>
      </w:pPr>
    </w:p>
    <w:p>
      <w:pPr>
        <w:spacing w:line="360" w:lineRule="auto"/>
        <w:contextualSpacing/>
        <w:jc w:val="left"/>
        <w:rPr>
          <w:rFonts w:hint="eastAsia" w:ascii="宋体" w:hAnsi="宋体" w:cs="宋体"/>
          <w:color w:val="auto"/>
          <w:sz w:val="24"/>
          <w:highlight w:val="none"/>
        </w:rPr>
      </w:pPr>
    </w:p>
    <w:p>
      <w:pPr>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注：</w:t>
      </w:r>
    </w:p>
    <w:p>
      <w:pPr>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1.自然人竞标的无需提供，联合体竞标的只需牵头人出具。</w:t>
      </w:r>
    </w:p>
    <w:p>
      <w:pPr>
        <w:spacing w:line="360" w:lineRule="auto"/>
        <w:ind w:firstLine="420" w:firstLineChars="200"/>
        <w:contextualSpacing/>
        <w:jc w:val="left"/>
        <w:rPr>
          <w:rFonts w:hint="eastAsia" w:ascii="宋体" w:hAnsi="宋体" w:cs="宋体"/>
          <w:color w:val="auto"/>
          <w:szCs w:val="21"/>
          <w:highlight w:val="none"/>
        </w:rPr>
        <w:sectPr>
          <w:pgSz w:w="11911" w:h="16838"/>
          <w:pgMar w:top="1134" w:right="1134" w:bottom="1134" w:left="1134" w:header="720" w:footer="720" w:gutter="0"/>
          <w:cols w:space="720" w:num="1"/>
        </w:sectPr>
      </w:pPr>
      <w:r>
        <w:rPr>
          <w:rFonts w:hint="eastAsia" w:ascii="宋体" w:hAnsi="宋体" w:cs="宋体"/>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82" w:firstLineChars="200"/>
        <w:contextualSpacing/>
        <w:jc w:val="left"/>
        <w:rPr>
          <w:rFonts w:hint="eastAsia" w:ascii="仿宋_GB2312" w:hAnsi="仿宋_GB2312" w:eastAsia="仿宋_GB2312" w:cs="仿宋_GB2312"/>
          <w:b/>
          <w:color w:val="auto"/>
          <w:sz w:val="32"/>
          <w:szCs w:val="32"/>
          <w:highlight w:val="none"/>
        </w:rPr>
      </w:pPr>
      <w:r>
        <w:rPr>
          <w:rFonts w:hint="eastAsia" w:ascii="Calibri"/>
          <w:b/>
          <w:color w:val="auto"/>
          <w:sz w:val="24"/>
          <w:highlight w:val="none"/>
        </w:rPr>
        <w:t>附件：</w:t>
      </w:r>
    </w:p>
    <w:tbl>
      <w:tblPr>
        <w:tblStyle w:val="31"/>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2" w:hRule="atLeast"/>
          <w:jc w:val="center"/>
        </w:trPr>
        <w:tc>
          <w:tcPr>
            <w:tcW w:w="8461" w:type="dxa"/>
            <w:vAlign w:val="top"/>
          </w:tcPr>
          <w:p>
            <w:pPr>
              <w:spacing w:line="360" w:lineRule="auto"/>
              <w:rPr>
                <w:rFonts w:ascii="Times New Roman" w:hAnsi="Calibri" w:eastAsia="宋体" w:cs="Times New Roman"/>
                <w:b/>
                <w:color w:val="auto"/>
                <w:sz w:val="24"/>
                <w:highlight w:val="none"/>
              </w:rPr>
            </w:pPr>
          </w:p>
          <w:p>
            <w:pPr>
              <w:spacing w:line="360" w:lineRule="auto"/>
              <w:rPr>
                <w:rFonts w:ascii="Times New Roman" w:hAnsi="Calibri" w:eastAsia="宋体" w:cs="Times New Roman"/>
                <w:b/>
                <w:color w:val="auto"/>
                <w:sz w:val="24"/>
                <w:highlight w:val="none"/>
              </w:rPr>
            </w:pPr>
            <w:r>
              <w:rPr>
                <w:rFonts w:hint="eastAsia" w:ascii="Times New Roman" w:hAnsi="Calibri" w:eastAsia="宋体" w:cs="Times New Roman"/>
                <w:b/>
                <w:color w:val="auto"/>
                <w:sz w:val="24"/>
                <w:highlight w:val="none"/>
              </w:rPr>
              <w:t>法定代表人身份证复印件粘贴处（正、反面）</w:t>
            </w:r>
          </w:p>
        </w:tc>
      </w:tr>
    </w:tbl>
    <w:p>
      <w:pPr>
        <w:adjustRightInd w:val="0"/>
        <w:snapToGrid w:val="0"/>
        <w:spacing w:line="300" w:lineRule="auto"/>
        <w:jc w:val="left"/>
        <w:rPr>
          <w:rFonts w:hint="eastAsia"/>
          <w:b/>
          <w:color w:val="auto"/>
          <w:szCs w:val="21"/>
          <w:highlight w:val="none"/>
        </w:rPr>
      </w:pPr>
    </w:p>
    <w:p>
      <w:pPr>
        <w:spacing w:line="520" w:lineRule="exact"/>
        <w:ind w:firstLine="880"/>
        <w:jc w:val="left"/>
        <w:rPr>
          <w:rFonts w:hint="eastAsia" w:ascii="宋体" w:hAnsi="宋体" w:cs="宋体"/>
          <w:color w:val="auto"/>
          <w:szCs w:val="21"/>
          <w:highlight w:val="none"/>
        </w:rPr>
      </w:pPr>
    </w:p>
    <w:p>
      <w:pPr>
        <w:spacing w:line="520" w:lineRule="exact"/>
        <w:jc w:val="left"/>
        <w:rPr>
          <w:rFonts w:hint="eastAsia" w:ascii="仿宋" w:hAnsi="仿宋" w:eastAsia="仿宋" w:cs="仿宋"/>
          <w:bCs/>
          <w:color w:val="auto"/>
          <w:sz w:val="44"/>
          <w:szCs w:val="44"/>
          <w:highlight w:val="none"/>
        </w:rPr>
      </w:pPr>
      <w:r>
        <w:rPr>
          <w:rFonts w:hint="eastAsia" w:ascii="仿宋" w:hAnsi="仿宋" w:eastAsia="仿宋" w:cs="仿宋"/>
          <w:color w:val="auto"/>
          <w:sz w:val="44"/>
          <w:szCs w:val="44"/>
          <w:highlight w:val="none"/>
        </w:rPr>
        <w:br w:type="page"/>
      </w:r>
      <w:r>
        <w:rPr>
          <w:rFonts w:hint="eastAsia" w:ascii="宋体" w:hAnsi="宋体" w:cs="宋体"/>
          <w:b/>
          <w:bCs/>
          <w:color w:val="auto"/>
          <w:sz w:val="28"/>
          <w:szCs w:val="28"/>
          <w:highlight w:val="none"/>
        </w:rPr>
        <w:t>5.法定代表人授权委托书的格式：</w:t>
      </w:r>
    </w:p>
    <w:p>
      <w:pPr>
        <w:spacing w:line="500" w:lineRule="exact"/>
        <w:jc w:val="center"/>
        <w:rPr>
          <w:rFonts w:hint="eastAsia" w:ascii="仿宋" w:hAnsi="仿宋" w:eastAsia="仿宋" w:cs="仿宋"/>
          <w:color w:val="auto"/>
          <w:sz w:val="44"/>
          <w:szCs w:val="44"/>
          <w:highlight w:val="none"/>
        </w:rPr>
      </w:pPr>
    </w:p>
    <w:p>
      <w:pPr>
        <w:spacing w:line="520" w:lineRule="exact"/>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授权委托书（非联合体竞标格式）</w:t>
      </w:r>
    </w:p>
    <w:p>
      <w:pPr>
        <w:spacing w:line="520" w:lineRule="exact"/>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（如有委托时）</w:t>
      </w:r>
    </w:p>
    <w:p>
      <w:pPr>
        <w:spacing w:line="520" w:lineRule="exact"/>
        <w:rPr>
          <w:rFonts w:hint="eastAsia" w:ascii="仿宋_GB2312" w:hAnsi="仿宋_GB2312" w:eastAsia="仿宋_GB2312" w:cs="仿宋_GB2312"/>
          <w:color w:val="auto"/>
          <w:sz w:val="32"/>
          <w:szCs w:val="32"/>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□法定代表人/□负责人/□自然人本人</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项目的竞标活动，并代表我方全权办理针对上述项目的所有采购程序和环节的具体事务和签署相关文件。</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委托代理人无转委托权，特此委托。</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附：委托代理人有效身份证正反面复印件</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委托代理人（签字）：         法定代表人（签字）：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委托代理人身份证号码：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供应商名称（盖公章）：</w:t>
      </w:r>
    </w:p>
    <w:p>
      <w:pPr>
        <w:spacing w:line="360" w:lineRule="auto"/>
        <w:contextualSpacing/>
        <w:jc w:val="center"/>
        <w:rPr>
          <w:rFonts w:hint="eastAsia"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pPr>
        <w:spacing w:line="360" w:lineRule="auto"/>
        <w:rPr>
          <w:rFonts w:hint="eastAsia" w:ascii="宋体" w:hAnsi="宋体" w:cs="宋体"/>
          <w:color w:val="auto"/>
          <w:sz w:val="24"/>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法定代表人和委托代理人必须在授权委托书上签字，</w:t>
      </w:r>
      <w:r>
        <w:rPr>
          <w:rFonts w:hint="eastAsia" w:ascii="宋体" w:hAnsi="宋体" w:cs="宋体"/>
          <w:b/>
          <w:color w:val="auto"/>
          <w:szCs w:val="21"/>
          <w:highlight w:val="none"/>
        </w:rPr>
        <w:t>否则其响应文件按无效响应处理。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 法人、其他组织竞标时“我方”是指“我单位”，自然人竞标时“我方”是指“本人”。</w:t>
      </w:r>
    </w:p>
    <w:p>
      <w:pPr>
        <w:spacing w:line="500" w:lineRule="exact"/>
        <w:jc w:val="center"/>
        <w:rPr>
          <w:rFonts w:hint="eastAsia" w:ascii="宋体" w:hAnsi="宋体" w:cs="宋体"/>
          <w:b/>
          <w:bCs/>
          <w:color w:val="auto"/>
          <w:sz w:val="32"/>
          <w:szCs w:val="32"/>
          <w:highlight w:val="none"/>
        </w:rPr>
      </w:pPr>
      <w:r>
        <w:rPr>
          <w:rFonts w:ascii="仿宋_GB2312" w:hAnsi="仿宋_GB2312" w:eastAsia="仿宋_GB2312" w:cs="仿宋_GB2312"/>
          <w:color w:val="auto"/>
          <w:szCs w:val="21"/>
          <w:highlight w:val="none"/>
        </w:rPr>
        <w:br w:type="page"/>
      </w:r>
      <w:r>
        <w:rPr>
          <w:rFonts w:hint="eastAsia" w:ascii="宋体" w:hAnsi="宋体" w:cs="宋体"/>
          <w:b/>
          <w:bCs/>
          <w:color w:val="auto"/>
          <w:sz w:val="32"/>
          <w:szCs w:val="32"/>
          <w:highlight w:val="none"/>
        </w:rPr>
        <w:t>授权委托书（联合体竞标格式）</w:t>
      </w:r>
    </w:p>
    <w:p>
      <w:pPr>
        <w:spacing w:line="5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（如有委托时）</w:t>
      </w:r>
    </w:p>
    <w:p>
      <w:pPr>
        <w:spacing w:line="500" w:lineRule="exact"/>
        <w:jc w:val="center"/>
        <w:rPr>
          <w:rFonts w:ascii="仿宋" w:hAnsi="仿宋" w:eastAsia="仿宋" w:cs="仿宋"/>
          <w:color w:val="auto"/>
          <w:sz w:val="44"/>
          <w:szCs w:val="44"/>
          <w:highlight w:val="none"/>
        </w:rPr>
      </w:pPr>
    </w:p>
    <w:p>
      <w:pPr>
        <w:spacing w:line="500" w:lineRule="exact"/>
        <w:jc w:val="center"/>
        <w:rPr>
          <w:rFonts w:hint="eastAsia" w:ascii="仿宋_GB2312" w:hAnsi="仿宋_GB2312" w:eastAsia="仿宋_GB2312" w:cs="仿宋_GB2312"/>
          <w:color w:val="auto"/>
          <w:sz w:val="32"/>
          <w:szCs w:val="32"/>
          <w:highlight w:val="none"/>
        </w:rPr>
      </w:pP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本授权委托书声明：根据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（联合体其他成员名称）签订的《联合体竞标协议书》的内容，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（牵头人名称）的法定代表人</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（姓名）</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 xml:space="preserve"> （姓名）</w:t>
      </w:r>
      <w:r>
        <w:rPr>
          <w:rFonts w:hint="eastAsia" w:ascii="宋体" w:hAnsi="宋体" w:cs="宋体"/>
          <w:color w:val="auto"/>
          <w:sz w:val="24"/>
          <w:highlight w:val="none"/>
        </w:rPr>
        <w:t>为联合委托代理人，并代表我方全权办理针对上述项目的所有采购程序和环节的具体事务和签署相关文件。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我方对委托代理人的签字事项负全部责任。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委托代理人无转委托权，特此委托。</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ind w:firstLine="1560" w:firstLineChars="650"/>
        <w:rPr>
          <w:rFonts w:hint="eastAsia" w:ascii="宋体" w:hAnsi="宋体" w:cs="宋体"/>
          <w:color w:val="auto"/>
          <w:sz w:val="24"/>
          <w:highlight w:val="none"/>
        </w:rPr>
      </w:pPr>
      <w:r>
        <w:rPr>
          <w:rFonts w:hint="eastAsia" w:ascii="宋体" w:hAnsi="宋体" w:cs="宋体"/>
          <w:color w:val="auto"/>
          <w:sz w:val="24"/>
          <w:highlight w:val="none"/>
        </w:rPr>
        <w:t>牵头人法定代表人（签字）：</w:t>
      </w:r>
    </w:p>
    <w:p>
      <w:pPr>
        <w:spacing w:line="360" w:lineRule="auto"/>
        <w:ind w:firstLine="3120" w:firstLineChars="1300"/>
        <w:rPr>
          <w:rFonts w:hint="eastAsia" w:ascii="宋体" w:hAnsi="宋体" w:cs="宋体"/>
          <w:color w:val="auto"/>
          <w:sz w:val="24"/>
          <w:highlight w:val="none"/>
        </w:rPr>
      </w:pPr>
      <w:r>
        <w:rPr>
          <w:rFonts w:hint="eastAsia" w:ascii="宋体" w:hAnsi="宋体" w:cs="宋体"/>
          <w:color w:val="auto"/>
          <w:sz w:val="24"/>
          <w:highlight w:val="none"/>
        </w:rPr>
        <w:t>牵头人名称（盖公章）：</w:t>
      </w:r>
    </w:p>
    <w:p>
      <w:pPr>
        <w:spacing w:line="360" w:lineRule="auto"/>
        <w:ind w:firstLine="3840" w:firstLineChars="1600"/>
        <w:rPr>
          <w:rFonts w:hint="eastAsia" w:ascii="宋体" w:hAnsi="宋体" w:cs="宋体"/>
          <w:color w:val="auto"/>
          <w:sz w:val="24"/>
          <w:highlight w:val="none"/>
        </w:rPr>
      </w:pPr>
      <w:r>
        <w:rPr>
          <w:rFonts w:hint="eastAsia" w:ascii="宋体" w:hAnsi="宋体" w:cs="宋体"/>
          <w:color w:val="auto"/>
          <w:sz w:val="24"/>
          <w:highlight w:val="none"/>
        </w:rPr>
        <w:t>日期：    年   月   日</w:t>
      </w:r>
    </w:p>
    <w:p>
      <w:pPr>
        <w:spacing w:line="360" w:lineRule="auto"/>
        <w:rPr>
          <w:rFonts w:hint="eastAsia" w:ascii="宋体" w:hAnsi="宋体" w:cs="宋体"/>
          <w:color w:val="auto"/>
          <w:sz w:val="24"/>
          <w:highlight w:val="none"/>
        </w:rPr>
      </w:pPr>
    </w:p>
    <w:p>
      <w:pPr>
        <w:spacing w:line="360" w:lineRule="auto"/>
        <w:ind w:firstLine="3120" w:firstLineChars="1300"/>
        <w:rPr>
          <w:rFonts w:hint="eastAsia" w:ascii="宋体" w:hAnsi="宋体" w:cs="宋体"/>
          <w:color w:val="auto"/>
          <w:sz w:val="24"/>
          <w:highlight w:val="none"/>
        </w:rPr>
      </w:pPr>
      <w:r>
        <w:rPr>
          <w:rFonts w:hint="eastAsia" w:ascii="宋体" w:hAnsi="宋体" w:cs="宋体"/>
          <w:color w:val="auto"/>
          <w:sz w:val="24"/>
          <w:highlight w:val="none"/>
        </w:rPr>
        <w:t>委托代理人（签字）：</w:t>
      </w:r>
    </w:p>
    <w:p>
      <w:pPr>
        <w:spacing w:line="360" w:lineRule="auto"/>
        <w:ind w:firstLine="3840" w:firstLineChars="1600"/>
        <w:rPr>
          <w:rFonts w:hint="eastAsia" w:ascii="宋体" w:hAnsi="宋体" w:cs="宋体"/>
          <w:color w:val="auto"/>
          <w:sz w:val="24"/>
          <w:highlight w:val="none"/>
        </w:rPr>
      </w:pPr>
      <w:r>
        <w:rPr>
          <w:rFonts w:hint="eastAsia" w:ascii="宋体" w:hAnsi="宋体" w:cs="宋体"/>
          <w:color w:val="auto"/>
          <w:sz w:val="24"/>
          <w:highlight w:val="none"/>
        </w:rPr>
        <w:t>日期：    年   月   日</w:t>
      </w:r>
    </w:p>
    <w:p>
      <w:pPr>
        <w:spacing w:line="360" w:lineRule="auto"/>
        <w:rPr>
          <w:rFonts w:hint="eastAsia" w:ascii="宋体" w:hAnsi="宋体" w:cs="宋体"/>
          <w:color w:val="auto"/>
          <w:sz w:val="24"/>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法定代表人和委托代理人必须在授权委托书上签字，</w:t>
      </w:r>
      <w:r>
        <w:rPr>
          <w:rFonts w:hint="eastAsia" w:ascii="宋体" w:hAnsi="宋体" w:cs="宋体"/>
          <w:b/>
          <w:color w:val="auto"/>
          <w:szCs w:val="21"/>
          <w:highlight w:val="none"/>
        </w:rPr>
        <w:t>否则其响应文件按无效响应处理。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2.本授权委托书应由联合体牵头人的法定代表人按上述规定签署。</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20" w:firstLineChars="200"/>
        <w:jc w:val="left"/>
        <w:rPr>
          <w:rFonts w:hint="eastAsia" w:ascii="宋体" w:hAnsi="宋体" w:cs="宋体"/>
          <w:color w:val="auto"/>
          <w:sz w:val="24"/>
          <w:highlight w:val="none"/>
        </w:rPr>
      </w:pPr>
      <w:r>
        <w:rPr>
          <w:rFonts w:hint="eastAsia" w:ascii="宋体" w:hAnsi="宋体" w:cs="宋体"/>
          <w:color w:val="auto"/>
          <w:szCs w:val="21"/>
          <w:highlight w:val="none"/>
        </w:rPr>
        <w:t>4.法人、其他组织竞标时“我方”是指“我单位”，自然人竞标时“我方”是指“本人”。</w:t>
      </w:r>
    </w:p>
    <w:p>
      <w:pPr>
        <w:spacing w:line="360" w:lineRule="auto"/>
        <w:ind w:firstLine="420" w:firstLineChars="200"/>
        <w:jc w:val="left"/>
        <w:rPr>
          <w:rFonts w:hint="eastAsia" w:ascii="仿宋_GB2312" w:hAnsi="仿宋_GB2312" w:eastAsia="仿宋_GB2312" w:cs="仿宋_GB2312"/>
          <w:color w:val="auto"/>
          <w:szCs w:val="21"/>
          <w:highlight w:val="none"/>
        </w:rPr>
      </w:pPr>
    </w:p>
    <w:p>
      <w:pPr>
        <w:widowControl/>
        <w:shd w:val="clear" w:color="auto" w:fill="FFFFFF"/>
        <w:spacing w:line="480" w:lineRule="atLeast"/>
        <w:rPr>
          <w:rFonts w:hint="eastAsia" w:ascii="宋体" w:hAnsi="宋体" w:cs="宋体"/>
          <w:color w:val="auto"/>
          <w:sz w:val="24"/>
          <w:highlight w:val="none"/>
        </w:rPr>
      </w:pPr>
      <w:r>
        <w:rPr>
          <w:rFonts w:hint="eastAsia" w:ascii="仿宋_GB2312" w:hAnsi="仿宋_GB2312" w:eastAsia="仿宋_GB2312" w:cs="仿宋_GB2312"/>
          <w:color w:val="auto"/>
          <w:sz w:val="32"/>
          <w:szCs w:val="32"/>
          <w:highlight w:val="none"/>
        </w:rPr>
        <w:br w:type="page"/>
      </w:r>
      <w:r>
        <w:rPr>
          <w:rFonts w:hint="eastAsia" w:hAnsi="宋体" w:cs="宋体"/>
          <w:b/>
          <w:color w:val="auto"/>
          <w:sz w:val="28"/>
          <w:szCs w:val="28"/>
          <w:highlight w:val="none"/>
          <w:lang w:val="en-US" w:eastAsia="zh-CN"/>
        </w:rPr>
        <w:t>6.</w:t>
      </w:r>
      <w:r>
        <w:rPr>
          <w:rFonts w:hint="eastAsia" w:hAnsi="宋体" w:cs="宋体"/>
          <w:b/>
          <w:color w:val="auto"/>
          <w:sz w:val="28"/>
          <w:szCs w:val="28"/>
          <w:highlight w:val="none"/>
        </w:rPr>
        <w:t xml:space="preserve">供应商认为有必要提供的其他文件 </w:t>
      </w:r>
    </w:p>
    <w:p>
      <w:pPr>
        <w:shd w:val="clear" w:color="auto" w:fill="FFFFFF"/>
        <w:spacing w:line="520" w:lineRule="exact"/>
        <w:jc w:val="center"/>
        <w:rPr>
          <w:color w:val="auto"/>
          <w:sz w:val="24"/>
          <w:highlight w:val="none"/>
        </w:rPr>
      </w:pPr>
    </w:p>
    <w:p>
      <w:pPr>
        <w:spacing w:line="520" w:lineRule="exact"/>
        <w:jc w:val="center"/>
        <w:rPr>
          <w:color w:val="auto"/>
          <w:sz w:val="24"/>
          <w:highlight w:val="none"/>
        </w:rPr>
      </w:pPr>
    </w:p>
    <w:p>
      <w:pPr>
        <w:spacing w:line="520" w:lineRule="exact"/>
        <w:jc w:val="left"/>
        <w:rPr>
          <w:rFonts w:hint="eastAsia" w:ascii="仿宋_GB2312" w:hAnsi="仿宋_GB2312" w:eastAsia="仿宋_GB2312" w:cs="仿宋_GB2312"/>
          <w:color w:val="auto"/>
          <w:sz w:val="32"/>
          <w:szCs w:val="32"/>
          <w:highlight w:val="none"/>
        </w:rPr>
      </w:pPr>
    </w:p>
    <w:p>
      <w:pPr>
        <w:spacing w:line="520" w:lineRule="exact"/>
        <w:jc w:val="left"/>
        <w:rPr>
          <w:rFonts w:hint="eastAsia" w:ascii="仿宋" w:hAnsi="仿宋" w:eastAsia="仿宋" w:cs="仿宋_GB2312"/>
          <w:b/>
          <w:color w:val="auto"/>
          <w:sz w:val="30"/>
          <w:szCs w:val="30"/>
          <w:highlight w:val="none"/>
        </w:rPr>
      </w:pPr>
      <w:r>
        <w:rPr>
          <w:rFonts w:hint="eastAsia" w:ascii="仿宋_GB2312" w:hAnsi="仿宋_GB2312" w:eastAsia="仿宋_GB2312" w:cs="仿宋_GB2312"/>
          <w:color w:val="auto"/>
          <w:sz w:val="32"/>
          <w:szCs w:val="32"/>
          <w:highlight w:val="none"/>
        </w:rPr>
        <w:br w:type="page"/>
      </w:r>
      <w:r>
        <w:rPr>
          <w:rFonts w:hint="eastAsia" w:ascii="宋体" w:hAnsi="宋体" w:cs="宋体"/>
          <w:b/>
          <w:color w:val="auto"/>
          <w:sz w:val="28"/>
          <w:szCs w:val="28"/>
          <w:highlight w:val="none"/>
          <w:lang w:val="en-US" w:eastAsia="zh-CN"/>
        </w:rPr>
        <w:t>7</w:t>
      </w:r>
      <w:r>
        <w:rPr>
          <w:rFonts w:hint="eastAsia" w:ascii="宋体" w:hAnsi="宋体" w:cs="宋体"/>
          <w:b/>
          <w:color w:val="auto"/>
          <w:sz w:val="28"/>
          <w:szCs w:val="28"/>
          <w:highlight w:val="none"/>
        </w:rPr>
        <w:t>.商务条款偏离表的格式：</w:t>
      </w:r>
    </w:p>
    <w:p>
      <w:pPr>
        <w:pStyle w:val="2"/>
        <w:rPr>
          <w:rFonts w:hint="eastAsia"/>
          <w:color w:val="auto"/>
          <w:highlight w:val="none"/>
        </w:rPr>
      </w:pPr>
    </w:p>
    <w:p>
      <w:pPr>
        <w:spacing w:line="500" w:lineRule="exact"/>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商务条款偏离表</w:t>
      </w:r>
    </w:p>
    <w:p>
      <w:pPr>
        <w:spacing w:line="520" w:lineRule="exact"/>
        <w:rPr>
          <w:rFonts w:hint="eastAsia" w:ascii="宋体" w:hAnsi="宋体" w:cs="宋体"/>
          <w:color w:val="auto"/>
          <w:sz w:val="32"/>
          <w:szCs w:val="32"/>
          <w:highlight w:val="none"/>
        </w:rPr>
      </w:pPr>
    </w:p>
    <w:p>
      <w:pPr>
        <w:spacing w:line="360" w:lineRule="auto"/>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pPr>
        <w:spacing w:line="360" w:lineRule="auto"/>
        <w:contextualSpacing/>
        <w:rPr>
          <w:rFonts w:hint="eastAsia" w:ascii="宋体" w:hAnsi="宋体" w:cs="宋体"/>
          <w:color w:val="auto"/>
          <w:sz w:val="24"/>
          <w:highlight w:val="none"/>
          <w:u w:val="single"/>
        </w:rPr>
      </w:pPr>
      <w:r>
        <w:rPr>
          <w:rFonts w:hint="eastAsia" w:ascii="宋体" w:hAnsi="宋体" w:cs="宋体"/>
          <w:color w:val="auto"/>
          <w:sz w:val="24"/>
          <w:highlight w:val="none"/>
        </w:rPr>
        <w:t>所竞分标（如有则填写，无分标时填写“无”或者留空）：</w:t>
      </w:r>
      <w:r>
        <w:rPr>
          <w:rFonts w:hint="eastAsia" w:ascii="宋体" w:hAnsi="宋体" w:cs="宋体"/>
          <w:color w:val="auto"/>
          <w:sz w:val="24"/>
          <w:highlight w:val="none"/>
          <w:u w:val="single"/>
        </w:rPr>
        <w:t xml:space="preserve">                </w:t>
      </w:r>
    </w:p>
    <w:tbl>
      <w:tblPr>
        <w:tblStyle w:val="31"/>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9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cs="宋体"/>
                <w:color w:val="auto"/>
                <w:szCs w:val="21"/>
                <w:highlight w:val="none"/>
              </w:rPr>
            </w:pPr>
            <w:r>
              <w:rPr>
                <w:rFonts w:hint="eastAsia" w:ascii="宋体" w:hAnsi="宋体" w:eastAsia="宋体" w:cs="宋体"/>
                <w:color w:val="auto"/>
                <w:szCs w:val="21"/>
                <w:highlight w:val="none"/>
              </w:rPr>
              <w:t>竞争性磋商文件的商务</w:t>
            </w:r>
            <w:r>
              <w:rPr>
                <w:rFonts w:hint="eastAsia" w:ascii="宋体" w:hAnsi="宋体" w:eastAsia="宋体" w:cs="宋体"/>
                <w:color w:val="auto"/>
                <w:szCs w:val="21"/>
                <w:highlight w:val="none"/>
                <w:lang w:val="en-US" w:eastAsia="zh-CN"/>
              </w:rPr>
              <w:t>条款</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cs="宋体"/>
                <w:color w:val="auto"/>
                <w:szCs w:val="21"/>
                <w:highlight w:val="none"/>
              </w:rPr>
            </w:pPr>
            <w:r>
              <w:rPr>
                <w:rFonts w:hint="eastAsia" w:ascii="宋体" w:hAnsi="宋体" w:eastAsia="宋体" w:cs="宋体"/>
                <w:color w:val="auto"/>
                <w:szCs w:val="21"/>
                <w:highlight w:val="none"/>
              </w:rPr>
              <w:t>响应文件</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的商务条款</w:t>
            </w:r>
          </w:p>
        </w:tc>
        <w:tc>
          <w:tcPr>
            <w:tcW w:w="12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cs="宋体"/>
                <w:color w:val="auto"/>
                <w:szCs w:val="21"/>
                <w:highlight w:val="none"/>
              </w:rPr>
            </w:pPr>
          </w:p>
        </w:tc>
      </w:tr>
    </w:tbl>
    <w:p>
      <w:pPr>
        <w:pStyle w:val="17"/>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pStyle w:val="17"/>
        <w:spacing w:line="4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1.应对照磋商文件“第二章 采购需求”中的商务条款逐条作出明确响应，并作出偏离说明。</w:t>
      </w:r>
    </w:p>
    <w:p>
      <w:pPr>
        <w:pStyle w:val="17"/>
        <w:spacing w:line="4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2.供应商应根据自身的承诺，对照磋商文件要求，在“偏离说明”中注明“正偏离”或者“负偏离”或者“无偏离”。既不属于“正偏离”也不属于“负偏离”即为“无偏离”。 当响应文件的商务内容低于竞争性磋商文件要求时，供应商应当如实写明“负偏离”。</w:t>
      </w:r>
    </w:p>
    <w:p>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3.表格内容均需按要求填写，不得留空，</w:t>
      </w:r>
      <w:r>
        <w:rPr>
          <w:rFonts w:hint="eastAsia" w:ascii="宋体" w:hAnsi="宋体" w:cs="宋体"/>
          <w:b/>
          <w:bCs/>
          <w:color w:val="auto"/>
          <w:kern w:val="0"/>
          <w:sz w:val="24"/>
          <w:highlight w:val="none"/>
        </w:rPr>
        <w:t>否则按竞标无效处理。</w:t>
      </w:r>
    </w:p>
    <w:p>
      <w:pPr>
        <w:spacing w:line="400" w:lineRule="exact"/>
        <w:ind w:firstLine="480" w:firstLineChars="200"/>
        <w:contextualSpacing/>
        <w:rPr>
          <w:rFonts w:hint="eastAsia" w:ascii="宋体" w:hAnsi="宋体" w:cs="宋体"/>
          <w:color w:val="auto"/>
          <w:kern w:val="0"/>
          <w:sz w:val="24"/>
          <w:highlight w:val="none"/>
        </w:rPr>
      </w:pPr>
    </w:p>
    <w:p>
      <w:pPr>
        <w:spacing w:line="360" w:lineRule="auto"/>
        <w:ind w:firstLine="3840" w:firstLineChars="1600"/>
        <w:rPr>
          <w:rFonts w:hint="eastAsia" w:ascii="宋体" w:hAnsi="宋体" w:cs="宋体"/>
          <w:color w:val="auto"/>
          <w:sz w:val="24"/>
          <w:highlight w:val="none"/>
        </w:rPr>
      </w:pPr>
      <w:r>
        <w:rPr>
          <w:rFonts w:hint="eastAsia" w:ascii="宋体" w:hAnsi="宋体" w:cs="宋体"/>
          <w:color w:val="auto"/>
          <w:kern w:val="0"/>
          <w:sz w:val="24"/>
          <w:highlight w:val="none"/>
        </w:rPr>
        <w:t>供应商名称（盖公章）：</w:t>
      </w:r>
    </w:p>
    <w:p>
      <w:pPr>
        <w:spacing w:line="360" w:lineRule="auto"/>
        <w:contextualSpacing/>
        <w:jc w:val="center"/>
        <w:rPr>
          <w:rFonts w:hint="eastAsia"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pPr>
        <w:snapToGrid w:val="0"/>
        <w:spacing w:line="360" w:lineRule="auto"/>
        <w:ind w:firstLine="602" w:firstLineChars="200"/>
        <w:rPr>
          <w:rFonts w:hint="eastAsia" w:ascii="仿宋" w:hAnsi="仿宋" w:eastAsia="仿宋" w:cs="仿宋_GB2312"/>
          <w:b/>
          <w:color w:val="auto"/>
          <w:sz w:val="30"/>
          <w:szCs w:val="30"/>
          <w:highlight w:val="none"/>
        </w:rPr>
      </w:pPr>
    </w:p>
    <w:p>
      <w:pPr>
        <w:snapToGrid w:val="0"/>
        <w:spacing w:line="360" w:lineRule="auto"/>
        <w:ind w:firstLine="602" w:firstLineChars="200"/>
        <w:rPr>
          <w:rFonts w:hint="eastAsia" w:ascii="仿宋" w:hAnsi="仿宋" w:eastAsia="仿宋" w:cs="仿宋_GB2312"/>
          <w:b/>
          <w:color w:val="auto"/>
          <w:sz w:val="30"/>
          <w:szCs w:val="30"/>
          <w:highlight w:val="none"/>
        </w:rPr>
      </w:pPr>
    </w:p>
    <w:p>
      <w:pPr>
        <w:pStyle w:val="2"/>
        <w:rPr>
          <w:rFonts w:hint="eastAsia"/>
          <w:color w:val="auto"/>
          <w:highlight w:val="none"/>
        </w:rPr>
      </w:pPr>
    </w:p>
    <w:p>
      <w:pPr>
        <w:snapToGrid w:val="0"/>
        <w:spacing w:line="360" w:lineRule="auto"/>
        <w:ind w:firstLine="602" w:firstLineChars="200"/>
        <w:rPr>
          <w:rFonts w:ascii="仿宋" w:hAnsi="仿宋" w:eastAsia="仿宋" w:cs="仿宋_GB2312"/>
          <w:b/>
          <w:color w:val="auto"/>
          <w:sz w:val="30"/>
          <w:szCs w:val="30"/>
          <w:highlight w:val="none"/>
        </w:rPr>
      </w:pPr>
    </w:p>
    <w:p>
      <w:pPr>
        <w:pStyle w:val="26"/>
        <w:snapToGrid w:val="0"/>
        <w:ind w:left="562" w:hanging="562"/>
        <w:rPr>
          <w:rFonts w:hint="eastAsia" w:ascii="宋体" w:hAnsi="宋体" w:cs="宋体"/>
          <w:i/>
          <w:iCs/>
          <w:color w:val="auto"/>
          <w:sz w:val="24"/>
          <w:highlight w:val="none"/>
        </w:rPr>
      </w:pPr>
      <w:r>
        <w:rPr>
          <w:rFonts w:hint="eastAsia" w:ascii="宋体" w:hAnsi="宋体" w:cs="宋体"/>
          <w:b/>
          <w:color w:val="auto"/>
          <w:sz w:val="28"/>
          <w:szCs w:val="28"/>
          <w:highlight w:val="none"/>
          <w:lang w:val="en-US" w:eastAsia="zh-CN"/>
        </w:rPr>
        <w:t>8</w:t>
      </w:r>
      <w:r>
        <w:rPr>
          <w:rFonts w:hint="eastAsia" w:ascii="宋体" w:hAnsi="宋体" w:cs="宋体"/>
          <w:b/>
          <w:color w:val="auto"/>
          <w:sz w:val="28"/>
          <w:szCs w:val="28"/>
          <w:highlight w:val="none"/>
        </w:rPr>
        <w:t>.供应商类似的业绩证明文件</w:t>
      </w:r>
      <w:r>
        <w:rPr>
          <w:rFonts w:hint="eastAsia" w:ascii="宋体" w:hAnsi="宋体" w:cs="宋体"/>
          <w:b/>
          <w:bCs/>
          <w:color w:val="auto"/>
          <w:sz w:val="30"/>
          <w:szCs w:val="30"/>
          <w:highlight w:val="none"/>
        </w:rPr>
        <w:t>（如有要求）：</w:t>
      </w:r>
    </w:p>
    <w:p>
      <w:pPr>
        <w:spacing w:line="360" w:lineRule="auto"/>
        <w:ind w:firstLine="2880" w:firstLineChars="900"/>
        <w:contextualSpacing/>
        <w:rPr>
          <w:rFonts w:hint="eastAsia" w:ascii="宋体" w:hAnsi="宋体" w:cs="宋体"/>
          <w:color w:val="auto"/>
          <w:sz w:val="32"/>
          <w:szCs w:val="32"/>
          <w:highlight w:val="none"/>
        </w:rPr>
      </w:pPr>
    </w:p>
    <w:p>
      <w:pPr>
        <w:spacing w:line="360" w:lineRule="auto"/>
        <w:ind w:firstLine="2880" w:firstLineChars="900"/>
        <w:contextualSpacing/>
        <w:rPr>
          <w:rFonts w:hint="eastAsia" w:ascii="宋体" w:hAnsi="宋体" w:cs="宋体"/>
          <w:color w:val="auto"/>
          <w:sz w:val="32"/>
          <w:szCs w:val="32"/>
          <w:highlight w:val="none"/>
        </w:rPr>
      </w:pPr>
      <w:r>
        <w:rPr>
          <w:rFonts w:hint="eastAsia" w:ascii="宋体" w:hAnsi="宋体" w:cs="宋体"/>
          <w:color w:val="auto"/>
          <w:sz w:val="32"/>
          <w:szCs w:val="32"/>
          <w:highlight w:val="none"/>
        </w:rPr>
        <w:t>类似项目的业绩一览表</w:t>
      </w:r>
    </w:p>
    <w:p>
      <w:pPr>
        <w:spacing w:line="360" w:lineRule="auto"/>
        <w:contextualSpacing/>
        <w:rPr>
          <w:rFonts w:hint="eastAsia" w:ascii="宋体" w:hAnsi="宋体" w:cs="宋体"/>
          <w:color w:val="auto"/>
          <w:sz w:val="24"/>
          <w:highlight w:val="none"/>
          <w:u w:val="single"/>
        </w:rPr>
      </w:pPr>
      <w:r>
        <w:rPr>
          <w:rFonts w:hint="eastAsia" w:ascii="宋体" w:hAnsi="宋体" w:cs="宋体"/>
          <w:color w:val="auto"/>
          <w:sz w:val="24"/>
          <w:highlight w:val="none"/>
        </w:rPr>
        <w:t>所竞分标（如有则填写，无分标时填写“无”或者留空）：</w:t>
      </w:r>
      <w:r>
        <w:rPr>
          <w:rFonts w:hint="eastAsia" w:ascii="宋体" w:hAnsi="宋体" w:cs="宋体"/>
          <w:color w:val="auto"/>
          <w:sz w:val="24"/>
          <w:highlight w:val="none"/>
          <w:u w:val="single"/>
        </w:rPr>
        <w:t xml:space="preserve">                </w:t>
      </w:r>
    </w:p>
    <w:tbl>
      <w:tblPr>
        <w:tblStyle w:val="31"/>
        <w:tblpPr w:leftFromText="180" w:rightFromText="180" w:vertAnchor="page" w:horzAnchor="page" w:tblpX="1008" w:tblpY="3639"/>
        <w:tblW w:w="98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3"/>
        <w:gridCol w:w="2164"/>
        <w:gridCol w:w="1134"/>
        <w:gridCol w:w="1134"/>
        <w:gridCol w:w="1701"/>
        <w:gridCol w:w="1276"/>
        <w:gridCol w:w="13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采购人名称</w:t>
            </w:r>
          </w:p>
        </w:tc>
        <w:tc>
          <w:tcPr>
            <w:tcW w:w="216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p>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金额</w:t>
            </w:r>
          </w:p>
          <w:p>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411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附件在响应文件中页码</w:t>
            </w:r>
          </w:p>
        </w:tc>
        <w:tc>
          <w:tcPr>
            <w:tcW w:w="136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auto"/>
                <w:sz w:val="24"/>
                <w:highlight w:val="none"/>
              </w:rPr>
            </w:pPr>
          </w:p>
        </w:tc>
        <w:tc>
          <w:tcPr>
            <w:tcW w:w="216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合同</w:t>
            </w: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rPr>
              <w:t>中标（成交）通知书</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用户评价</w:t>
            </w:r>
          </w:p>
        </w:tc>
        <w:tc>
          <w:tcPr>
            <w:tcW w:w="136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6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cs="宋体"/>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06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r>
    </w:tbl>
    <w:p>
      <w:pPr>
        <w:snapToGrid w:val="0"/>
        <w:spacing w:line="360" w:lineRule="auto"/>
        <w:ind w:firstLine="4935" w:firstLineChars="2350"/>
        <w:rPr>
          <w:rFonts w:hint="eastAsia" w:ascii="宋体" w:hAnsi="宋体" w:cs="宋体"/>
          <w:color w:val="auto"/>
          <w:szCs w:val="21"/>
          <w:highlight w:val="none"/>
        </w:rPr>
      </w:pPr>
    </w:p>
    <w:p>
      <w:pPr>
        <w:snapToGrid w:val="0"/>
        <w:spacing w:line="360" w:lineRule="auto"/>
        <w:rPr>
          <w:rFonts w:hint="eastAsia" w:ascii="宋体" w:hAnsi="宋体" w:cs="宋体"/>
          <w:color w:val="auto"/>
          <w:szCs w:val="21"/>
          <w:highlight w:val="none"/>
        </w:rPr>
      </w:pPr>
      <w:r>
        <w:rPr>
          <w:rFonts w:hint="eastAsia" w:ascii="宋体" w:hAnsi="宋体" w:cs="宋体"/>
          <w:color w:val="auto"/>
          <w:sz w:val="24"/>
          <w:szCs w:val="20"/>
          <w:highlight w:val="none"/>
        </w:rPr>
        <w:t>注：在填写时，如本表格不适合供应商的实际情况，可参照本表格式自行制表填写，并附上相关证明材料</w:t>
      </w:r>
      <w:r>
        <w:rPr>
          <w:rFonts w:hint="eastAsia"/>
          <w:color w:val="auto"/>
          <w:highlight w:val="none"/>
        </w:rPr>
        <w:t>。</w:t>
      </w:r>
    </w:p>
    <w:p>
      <w:pPr>
        <w:snapToGrid w:val="0"/>
        <w:spacing w:line="360" w:lineRule="auto"/>
        <w:rPr>
          <w:rFonts w:hint="eastAsia" w:ascii="宋体" w:hAnsi="宋体" w:cs="宋体"/>
          <w:color w:val="auto"/>
          <w:szCs w:val="21"/>
          <w:highlight w:val="none"/>
        </w:rPr>
      </w:pPr>
    </w:p>
    <w:p>
      <w:pPr>
        <w:snapToGrid w:val="0"/>
        <w:spacing w:line="360" w:lineRule="auto"/>
        <w:rPr>
          <w:rFonts w:hint="eastAsia" w:ascii="宋体" w:hAnsi="宋体" w:cs="宋体"/>
          <w:color w:val="auto"/>
          <w:szCs w:val="21"/>
          <w:highlight w:val="none"/>
        </w:rPr>
      </w:pPr>
    </w:p>
    <w:p>
      <w:pPr>
        <w:snapToGrid w:val="0"/>
        <w:spacing w:line="360" w:lineRule="auto"/>
        <w:rPr>
          <w:rFonts w:hint="eastAsia"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供应商名称(盖公章)：</w:t>
      </w:r>
    </w:p>
    <w:p>
      <w:pPr>
        <w:spacing w:line="500" w:lineRule="exact"/>
        <w:jc w:val="center"/>
        <w:rPr>
          <w:rFonts w:hint="eastAsia" w:ascii="宋体" w:hAnsi="宋体" w:cs="宋体"/>
          <w:color w:val="auto"/>
          <w:sz w:val="32"/>
          <w:szCs w:val="32"/>
          <w:highlight w:val="none"/>
        </w:rPr>
        <w:sectPr>
          <w:pgSz w:w="11911" w:h="16838"/>
          <w:pgMar w:top="1134" w:right="1134" w:bottom="1134" w:left="1134" w:header="720" w:footer="720" w:gutter="0"/>
          <w:cols w:space="720" w:num="1"/>
        </w:sect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rPr>
          <w:rFonts w:hint="eastAsia" w:ascii="宋体" w:hAnsi="宋体" w:cs="宋体"/>
          <w:color w:val="auto"/>
          <w:sz w:val="28"/>
          <w:szCs w:val="28"/>
          <w:highlight w:val="none"/>
        </w:rPr>
      </w:pPr>
      <w:r>
        <w:rPr>
          <w:rFonts w:hint="eastAsia" w:ascii="宋体" w:hAnsi="宋体" w:cs="宋体"/>
          <w:b/>
          <w:color w:val="auto"/>
          <w:sz w:val="28"/>
          <w:szCs w:val="28"/>
          <w:highlight w:val="none"/>
          <w:lang w:val="en-US" w:eastAsia="zh-CN"/>
        </w:rPr>
        <w:t>9</w:t>
      </w:r>
      <w:r>
        <w:rPr>
          <w:rFonts w:hint="eastAsia" w:ascii="宋体" w:hAnsi="宋体" w:cs="宋体"/>
          <w:b/>
          <w:color w:val="auto"/>
          <w:sz w:val="28"/>
          <w:szCs w:val="28"/>
          <w:highlight w:val="none"/>
        </w:rPr>
        <w:t>.服务需求偏离表的格式：</w:t>
      </w:r>
    </w:p>
    <w:p>
      <w:pPr>
        <w:spacing w:line="500" w:lineRule="exact"/>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服务需求偏离表</w:t>
      </w:r>
    </w:p>
    <w:p>
      <w:pPr>
        <w:spacing w:line="360" w:lineRule="auto"/>
        <w:contextualSpacing/>
        <w:jc w:val="left"/>
        <w:rPr>
          <w:rFonts w:hint="eastAsia" w:ascii="宋体" w:hAnsi="宋体" w:cs="宋体"/>
          <w:color w:val="auto"/>
          <w:sz w:val="24"/>
          <w:highlight w:val="none"/>
        </w:rPr>
      </w:pPr>
    </w:p>
    <w:p>
      <w:pPr>
        <w:spacing w:line="360" w:lineRule="auto"/>
        <w:ind w:firstLine="720" w:firstLineChars="30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spacing w:line="360" w:lineRule="auto"/>
        <w:ind w:firstLine="720" w:firstLineChars="300"/>
        <w:contextualSpacing/>
        <w:rPr>
          <w:rFonts w:hint="eastAsia"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pPr>
        <w:spacing w:line="360" w:lineRule="auto"/>
        <w:ind w:firstLine="720" w:firstLineChars="300"/>
        <w:contextualSpacing/>
        <w:rPr>
          <w:rFonts w:hint="eastAsia" w:ascii="宋体" w:hAnsi="宋体" w:cs="宋体"/>
          <w:color w:val="auto"/>
          <w:sz w:val="24"/>
          <w:highlight w:val="none"/>
          <w:u w:val="single"/>
        </w:rPr>
      </w:pPr>
      <w:r>
        <w:rPr>
          <w:rFonts w:hint="eastAsia" w:ascii="宋体" w:hAnsi="宋体" w:cs="宋体"/>
          <w:color w:val="auto"/>
          <w:sz w:val="24"/>
          <w:highlight w:val="none"/>
        </w:rPr>
        <w:t>所竞分标（如有则填写，无分标时填写“无”或者留空）：</w:t>
      </w:r>
      <w:r>
        <w:rPr>
          <w:rFonts w:hint="eastAsia" w:ascii="宋体" w:hAnsi="宋体" w:cs="宋体"/>
          <w:color w:val="auto"/>
          <w:sz w:val="24"/>
          <w:highlight w:val="none"/>
          <w:u w:val="single"/>
        </w:rPr>
        <w:t xml:space="preserve">              </w:t>
      </w:r>
    </w:p>
    <w:tbl>
      <w:tblPr>
        <w:tblStyle w:val="31"/>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340"/>
        <w:gridCol w:w="3032"/>
        <w:gridCol w:w="259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24"/>
                <w:szCs w:val="24"/>
                <w:highlight w:val="none"/>
              </w:rPr>
            </w:pPr>
            <w:r>
              <w:rPr>
                <w:rFonts w:hint="eastAsia" w:ascii="宋体" w:hAnsi="宋体" w:cs="宋体"/>
                <w:color w:val="auto"/>
                <w:sz w:val="24"/>
                <w:szCs w:val="24"/>
                <w:highlight w:val="none"/>
              </w:rPr>
              <w:t>项号</w:t>
            </w:r>
          </w:p>
        </w:tc>
        <w:tc>
          <w:tcPr>
            <w:tcW w:w="13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标的名称</w:t>
            </w:r>
          </w:p>
        </w:tc>
        <w:tc>
          <w:tcPr>
            <w:tcW w:w="30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竞争性磋商文件</w:t>
            </w:r>
            <w:r>
              <w:rPr>
                <w:rFonts w:hint="eastAsia" w:ascii="宋体" w:hAnsi="宋体"/>
                <w:color w:val="auto"/>
                <w:sz w:val="24"/>
                <w:szCs w:val="24"/>
                <w:highlight w:val="none"/>
              </w:rPr>
              <w:t>采购需求中的</w:t>
            </w:r>
            <w:r>
              <w:rPr>
                <w:rFonts w:hint="eastAsia" w:ascii="宋体" w:hAnsi="宋体"/>
                <w:color w:val="auto"/>
                <w:sz w:val="24"/>
                <w:szCs w:val="24"/>
                <w:highlight w:val="none"/>
                <w:lang w:eastAsia="zh-CN"/>
              </w:rPr>
              <w:t>技术要求</w:t>
            </w:r>
          </w:p>
        </w:tc>
        <w:tc>
          <w:tcPr>
            <w:tcW w:w="2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响应文件响应的</w:t>
            </w:r>
            <w:r>
              <w:rPr>
                <w:rFonts w:hint="eastAsia" w:ascii="宋体" w:hAnsi="宋体"/>
                <w:color w:val="auto"/>
                <w:sz w:val="24"/>
                <w:szCs w:val="24"/>
                <w:highlight w:val="none"/>
                <w:lang w:eastAsia="zh-CN"/>
              </w:rPr>
              <w:t>技术要求</w:t>
            </w:r>
          </w:p>
        </w:tc>
        <w:tc>
          <w:tcPr>
            <w:tcW w:w="14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24"/>
                <w:szCs w:val="24"/>
                <w:highlight w:val="none"/>
              </w:rPr>
            </w:pPr>
          </w:p>
        </w:tc>
        <w:tc>
          <w:tcPr>
            <w:tcW w:w="30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24"/>
                <w:szCs w:val="24"/>
                <w:highlight w:val="none"/>
              </w:rPr>
            </w:pPr>
          </w:p>
        </w:tc>
        <w:tc>
          <w:tcPr>
            <w:tcW w:w="259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24"/>
                <w:szCs w:val="24"/>
                <w:highlight w:val="none"/>
              </w:rPr>
            </w:pPr>
          </w:p>
        </w:tc>
        <w:tc>
          <w:tcPr>
            <w:tcW w:w="144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1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24"/>
                <w:szCs w:val="24"/>
                <w:highlight w:val="none"/>
              </w:rPr>
            </w:pPr>
          </w:p>
        </w:tc>
        <w:tc>
          <w:tcPr>
            <w:tcW w:w="30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24"/>
                <w:szCs w:val="24"/>
                <w:highlight w:val="none"/>
              </w:rPr>
            </w:pPr>
          </w:p>
        </w:tc>
        <w:tc>
          <w:tcPr>
            <w:tcW w:w="259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24"/>
                <w:szCs w:val="24"/>
                <w:highlight w:val="none"/>
              </w:rPr>
            </w:pPr>
          </w:p>
        </w:tc>
        <w:tc>
          <w:tcPr>
            <w:tcW w:w="144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p>
        </w:tc>
        <w:tc>
          <w:tcPr>
            <w:tcW w:w="1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24"/>
                <w:szCs w:val="24"/>
                <w:highlight w:val="none"/>
              </w:rPr>
            </w:pPr>
          </w:p>
        </w:tc>
        <w:tc>
          <w:tcPr>
            <w:tcW w:w="30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24"/>
                <w:szCs w:val="24"/>
                <w:highlight w:val="none"/>
              </w:rPr>
            </w:pPr>
          </w:p>
        </w:tc>
        <w:tc>
          <w:tcPr>
            <w:tcW w:w="259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24"/>
                <w:szCs w:val="24"/>
                <w:highlight w:val="none"/>
              </w:rPr>
            </w:pPr>
          </w:p>
        </w:tc>
        <w:tc>
          <w:tcPr>
            <w:tcW w:w="144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24"/>
                <w:szCs w:val="24"/>
                <w:highlight w:val="none"/>
              </w:rPr>
            </w:pPr>
          </w:p>
        </w:tc>
      </w:tr>
    </w:tbl>
    <w:p>
      <w:pPr>
        <w:pStyle w:val="17"/>
        <w:ind w:firstLine="845"/>
        <w:rPr>
          <w:rFonts w:hint="eastAsia" w:ascii="宋体" w:hAnsi="宋体" w:cs="宋体"/>
          <w:color w:val="auto"/>
          <w:sz w:val="24"/>
          <w:highlight w:val="none"/>
          <w:u w:val="single"/>
        </w:rPr>
      </w:pPr>
    </w:p>
    <w:p>
      <w:pPr>
        <w:pStyle w:val="15"/>
        <w:spacing w:after="0" w:line="360" w:lineRule="auto"/>
        <w:contextualSpacing/>
        <w:rPr>
          <w:rFonts w:hint="eastAsia" w:ascii="宋体" w:hAnsi="宋体" w:cs="宋体"/>
          <w:color w:val="auto"/>
          <w:kern w:val="0"/>
          <w:sz w:val="24"/>
          <w:szCs w:val="24"/>
          <w:highlight w:val="none"/>
        </w:rPr>
      </w:pPr>
    </w:p>
    <w:p>
      <w:pPr>
        <w:pStyle w:val="15"/>
        <w:spacing w:after="0" w:line="480" w:lineRule="auto"/>
        <w:ind w:firstLine="420" w:firstLineChars="200"/>
        <w:contextualSpacing/>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注：</w:t>
      </w:r>
    </w:p>
    <w:p>
      <w:pPr>
        <w:pStyle w:val="15"/>
        <w:spacing w:after="0" w:line="480" w:lineRule="auto"/>
        <w:ind w:firstLine="420" w:firstLineChars="200"/>
        <w:contextualSpacing/>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1.说明：应对照磋商文件“第二章  </w:t>
      </w:r>
      <w:r>
        <w:rPr>
          <w:rFonts w:hint="eastAsia" w:ascii="Cambria" w:hAnsi="Cambria"/>
          <w:bCs/>
          <w:color w:val="auto"/>
          <w:sz w:val="21"/>
          <w:szCs w:val="21"/>
          <w:highlight w:val="none"/>
        </w:rPr>
        <w:t>采购需求</w:t>
      </w:r>
      <w:r>
        <w:rPr>
          <w:rFonts w:hint="eastAsia" w:ascii="宋体" w:hAnsi="宋体" w:cs="宋体"/>
          <w:color w:val="auto"/>
          <w:kern w:val="0"/>
          <w:sz w:val="21"/>
          <w:szCs w:val="21"/>
          <w:highlight w:val="none"/>
        </w:rPr>
        <w:t>”中“需求一览表”的</w:t>
      </w:r>
      <w:r>
        <w:rPr>
          <w:rFonts w:hint="eastAsia" w:ascii="宋体" w:hAnsi="宋体" w:cs="宋体"/>
          <w:color w:val="auto"/>
          <w:kern w:val="0"/>
          <w:sz w:val="21"/>
          <w:szCs w:val="21"/>
          <w:highlight w:val="none"/>
          <w:lang w:eastAsia="zh-CN"/>
        </w:rPr>
        <w:t>技术要求</w:t>
      </w:r>
      <w:r>
        <w:rPr>
          <w:rFonts w:hint="eastAsia" w:ascii="宋体" w:hAnsi="宋体" w:cs="宋体"/>
          <w:color w:val="auto"/>
          <w:kern w:val="0"/>
          <w:sz w:val="21"/>
          <w:szCs w:val="21"/>
          <w:highlight w:val="none"/>
        </w:rPr>
        <w:t>条款逐条作出明确响应，并作出偏离说明。</w:t>
      </w:r>
    </w:p>
    <w:p>
      <w:pPr>
        <w:pStyle w:val="17"/>
        <w:spacing w:line="48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2.供应商应根据自身的承诺，对照磋商文件要求，在“偏离说明”中注明“正偏离”或者“负偏离”或者“无偏离”。既不属于“正偏离”也不属于“负偏离”即为“无偏离”。 当响应文件的</w:t>
      </w:r>
      <w:r>
        <w:rPr>
          <w:rFonts w:hint="eastAsia" w:ascii="宋体" w:hAnsi="宋体" w:eastAsia="宋体" w:cs="宋体"/>
          <w:color w:val="auto"/>
          <w:sz w:val="21"/>
          <w:szCs w:val="21"/>
          <w:highlight w:val="none"/>
          <w:lang w:eastAsia="zh-CN"/>
        </w:rPr>
        <w:t>技术要求</w:t>
      </w:r>
      <w:r>
        <w:rPr>
          <w:rFonts w:hint="eastAsia" w:ascii="宋体" w:hAnsi="宋体" w:eastAsia="宋体" w:cs="宋体"/>
          <w:color w:val="auto"/>
          <w:sz w:val="21"/>
          <w:szCs w:val="21"/>
          <w:highlight w:val="none"/>
        </w:rPr>
        <w:t>内容低于竞争性磋商文件要求时，供应商应当如实写明“负偏离”。</w:t>
      </w:r>
    </w:p>
    <w:p>
      <w:pPr>
        <w:spacing w:line="48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3.表格内容均需按要求填写并盖公章，不得留空，</w:t>
      </w:r>
      <w:r>
        <w:rPr>
          <w:rFonts w:hint="eastAsia" w:ascii="宋体" w:hAnsi="宋体" w:cs="宋体"/>
          <w:b/>
          <w:bCs/>
          <w:color w:val="auto"/>
          <w:kern w:val="0"/>
          <w:szCs w:val="21"/>
          <w:highlight w:val="none"/>
        </w:rPr>
        <w:t>否则按竞标无效处理。</w:t>
      </w:r>
    </w:p>
    <w:p>
      <w:pPr>
        <w:pStyle w:val="17"/>
        <w:spacing w:line="480" w:lineRule="auto"/>
        <w:ind w:firstLine="420" w:firstLineChars="200"/>
        <w:contextualSpacing/>
        <w:rPr>
          <w:rFonts w:hint="eastAsia" w:ascii="宋体" w:hAnsi="宋体" w:eastAsia="宋体" w:cs="宋体"/>
          <w:color w:val="auto"/>
          <w:sz w:val="21"/>
          <w:szCs w:val="21"/>
          <w:highlight w:val="none"/>
        </w:rPr>
      </w:pPr>
    </w:p>
    <w:p>
      <w:pPr>
        <w:snapToGrid w:val="0"/>
        <w:spacing w:line="360" w:lineRule="auto"/>
        <w:rPr>
          <w:rFonts w:hint="eastAsia" w:ascii="宋体" w:hAnsi="宋体" w:cs="宋体"/>
          <w:b/>
          <w:color w:val="auto"/>
          <w:sz w:val="30"/>
          <w:szCs w:val="30"/>
          <w:highlight w:val="none"/>
        </w:rPr>
      </w:pPr>
    </w:p>
    <w:p>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供应商名称（盖公章）：</w:t>
      </w:r>
    </w:p>
    <w:p>
      <w:pPr>
        <w:autoSpaceDE w:val="0"/>
        <w:autoSpaceDN w:val="0"/>
        <w:spacing w:line="360" w:lineRule="auto"/>
        <w:ind w:firstLine="6480" w:firstLineChars="27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napToGrid w:val="0"/>
        <w:spacing w:line="360" w:lineRule="auto"/>
        <w:rPr>
          <w:rFonts w:hint="eastAsia" w:ascii="宋体" w:hAnsi="宋体" w:cs="宋体"/>
          <w:b/>
          <w:color w:val="auto"/>
          <w:sz w:val="28"/>
          <w:szCs w:val="28"/>
          <w:highlight w:val="none"/>
        </w:rPr>
      </w:pPr>
    </w:p>
    <w:p>
      <w:pPr>
        <w:snapToGrid w:val="0"/>
        <w:spacing w:line="360" w:lineRule="auto"/>
        <w:rPr>
          <w:rFonts w:hint="eastAsia" w:ascii="宋体" w:hAnsi="宋体" w:cs="宋体"/>
          <w:b/>
          <w:color w:val="auto"/>
          <w:sz w:val="28"/>
          <w:szCs w:val="28"/>
          <w:highlight w:val="none"/>
        </w:rPr>
      </w:pPr>
    </w:p>
    <w:p>
      <w:pPr>
        <w:snapToGrid w:val="0"/>
        <w:spacing w:line="360" w:lineRule="auto"/>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val="en-US" w:eastAsia="zh-CN"/>
        </w:rPr>
        <w:t>10</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eastAsia="zh-CN"/>
        </w:rPr>
        <w:t>项目方案</w:t>
      </w:r>
    </w:p>
    <w:p>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（由供应商根据采购需求及采购文件要求编制）</w:t>
      </w:r>
    </w:p>
    <w:p>
      <w:pPr>
        <w:pStyle w:val="3"/>
        <w:rPr>
          <w:rFonts w:hint="eastAsia" w:ascii="宋体" w:hAnsi="宋体" w:cs="宋体"/>
          <w:color w:val="auto"/>
          <w:kern w:val="0"/>
          <w:sz w:val="24"/>
          <w:highlight w:val="none"/>
          <w:lang w:val="zh-CN"/>
        </w:rPr>
      </w:pPr>
    </w:p>
    <w:p>
      <w:pPr>
        <w:rPr>
          <w:rFonts w:hint="eastAsia" w:ascii="宋体" w:hAnsi="宋体" w:cs="宋体"/>
          <w:color w:val="auto"/>
          <w:kern w:val="0"/>
          <w:sz w:val="24"/>
          <w:highlight w:val="none"/>
          <w:lang w:val="zh-CN"/>
        </w:rPr>
      </w:pPr>
    </w:p>
    <w:p>
      <w:pPr>
        <w:pStyle w:val="3"/>
        <w:rPr>
          <w:rFonts w:hint="eastAsia" w:ascii="宋体" w:hAnsi="宋体" w:cs="宋体"/>
          <w:color w:val="auto"/>
          <w:kern w:val="0"/>
          <w:sz w:val="24"/>
          <w:highlight w:val="none"/>
          <w:lang w:val="zh-CN"/>
        </w:rPr>
      </w:pPr>
    </w:p>
    <w:p>
      <w:pPr>
        <w:rPr>
          <w:rFonts w:hint="eastAsia"/>
          <w:color w:val="auto"/>
          <w:highlight w:val="none"/>
          <w:lang w:val="zh-CN"/>
        </w:rPr>
      </w:pPr>
    </w:p>
    <w:p>
      <w:pPr>
        <w:rPr>
          <w:rFonts w:hint="eastAsia"/>
          <w:color w:val="auto"/>
          <w:highlight w:val="none"/>
          <w:lang w:val="zh-CN"/>
        </w:rPr>
      </w:pPr>
    </w:p>
    <w:p>
      <w:pPr>
        <w:pStyle w:val="3"/>
        <w:jc w:val="center"/>
        <w:rPr>
          <w:rFonts w:ascii="宋体" w:hAnsi="宋体" w:cs="宋体"/>
          <w:color w:val="auto"/>
          <w:kern w:val="0"/>
          <w:sz w:val="24"/>
          <w:highlight w:val="none"/>
        </w:rPr>
      </w:pPr>
      <w:r>
        <w:rPr>
          <w:rFonts w:hint="eastAsia" w:ascii="宋体" w:hAnsi="宋体" w:cs="宋体"/>
          <w:color w:val="auto"/>
          <w:kern w:val="0"/>
          <w:sz w:val="24"/>
          <w:highlight w:val="none"/>
        </w:rPr>
        <w:t>（格式自拟）</w:t>
      </w:r>
    </w:p>
    <w:p>
      <w:pPr>
        <w:rPr>
          <w:rFonts w:hint="eastAsia" w:ascii="宋体" w:hAnsi="宋体" w:cs="宋体"/>
          <w:color w:val="auto"/>
          <w:kern w:val="0"/>
          <w:sz w:val="24"/>
          <w:highlight w:val="none"/>
          <w:lang w:val="zh-CN"/>
        </w:rPr>
      </w:pPr>
    </w:p>
    <w:p>
      <w:pPr>
        <w:pStyle w:val="3"/>
        <w:rPr>
          <w:rFonts w:hint="eastAsia" w:ascii="宋体" w:hAnsi="宋体" w:cs="宋体"/>
          <w:color w:val="auto"/>
          <w:kern w:val="0"/>
          <w:sz w:val="24"/>
          <w:highlight w:val="none"/>
          <w:lang w:val="zh-CN"/>
        </w:rPr>
      </w:pPr>
    </w:p>
    <w:p>
      <w:pPr>
        <w:rPr>
          <w:rFonts w:hint="eastAsia" w:ascii="宋体" w:hAnsi="宋体" w:cs="宋体"/>
          <w:color w:val="auto"/>
          <w:kern w:val="0"/>
          <w:sz w:val="24"/>
          <w:highlight w:val="none"/>
          <w:lang w:val="zh-CN"/>
        </w:rPr>
      </w:pPr>
    </w:p>
    <w:p>
      <w:pPr>
        <w:pStyle w:val="3"/>
        <w:rPr>
          <w:rFonts w:hint="eastAsia"/>
          <w:color w:val="auto"/>
          <w:highlight w:val="none"/>
          <w:lang w:val="zh-CN"/>
        </w:rPr>
      </w:pPr>
    </w:p>
    <w:p>
      <w:pPr>
        <w:rPr>
          <w:rFonts w:hint="eastAsia"/>
          <w:color w:val="auto"/>
          <w:highlight w:val="none"/>
          <w:lang w:val="zh-CN"/>
        </w:rPr>
      </w:pPr>
    </w:p>
    <w:p>
      <w:pPr>
        <w:pStyle w:val="3"/>
        <w:ind w:firstLine="3840" w:firstLineChars="1600"/>
        <w:rPr>
          <w:rFonts w:hint="eastAsia" w:ascii="宋体" w:hAnsi="宋体" w:cs="宋体"/>
          <w:b w:val="0"/>
          <w:bCs w:val="0"/>
          <w:color w:val="auto"/>
          <w:kern w:val="0"/>
          <w:sz w:val="24"/>
          <w:highlight w:val="none"/>
          <w:lang w:val="zh-CN"/>
        </w:rPr>
      </w:pPr>
      <w:r>
        <w:rPr>
          <w:rFonts w:hint="eastAsia" w:ascii="宋体" w:hAnsi="宋体" w:cs="宋体"/>
          <w:b w:val="0"/>
          <w:bCs w:val="0"/>
          <w:color w:val="auto"/>
          <w:kern w:val="0"/>
          <w:sz w:val="24"/>
          <w:highlight w:val="none"/>
          <w:lang w:val="zh-CN"/>
        </w:rPr>
        <w:t>供应商名称（盖公章）：</w:t>
      </w:r>
    </w:p>
    <w:p>
      <w:pPr>
        <w:pStyle w:val="3"/>
        <w:ind w:firstLine="6000" w:firstLineChars="2500"/>
        <w:rPr>
          <w:rFonts w:hint="eastAsia" w:ascii="宋体" w:hAnsi="宋体" w:cs="宋体"/>
          <w:b w:val="0"/>
          <w:bCs w:val="0"/>
          <w:color w:val="auto"/>
          <w:kern w:val="0"/>
          <w:sz w:val="24"/>
          <w:highlight w:val="none"/>
          <w:lang w:val="zh-CN"/>
        </w:rPr>
      </w:pPr>
      <w:r>
        <w:rPr>
          <w:rFonts w:hint="eastAsia" w:ascii="宋体" w:hAnsi="宋体" w:cs="宋体"/>
          <w:b w:val="0"/>
          <w:bCs w:val="0"/>
          <w:color w:val="auto"/>
          <w:kern w:val="0"/>
          <w:sz w:val="24"/>
          <w:highlight w:val="none"/>
          <w:lang w:val="zh-CN"/>
        </w:rPr>
        <w:t>日期：  年  月   日</w:t>
      </w:r>
    </w:p>
    <w:p>
      <w:pPr>
        <w:autoSpaceDE w:val="0"/>
        <w:autoSpaceDN w:val="0"/>
        <w:spacing w:line="360" w:lineRule="auto"/>
        <w:ind w:firstLine="6480" w:firstLineChars="2700"/>
        <w:rPr>
          <w:rFonts w:hint="eastAsia" w:ascii="仿宋_GB2312" w:hAnsi="仿宋" w:eastAsia="仿宋_GB2312" w:cs="仿宋_GB2312"/>
          <w:color w:val="auto"/>
          <w:kern w:val="0"/>
          <w:sz w:val="24"/>
          <w:highlight w:val="none"/>
          <w:lang w:val="zh-CN"/>
        </w:rPr>
      </w:pPr>
    </w:p>
    <w:p>
      <w:pPr>
        <w:autoSpaceDE w:val="0"/>
        <w:autoSpaceDN w:val="0"/>
        <w:spacing w:line="360" w:lineRule="auto"/>
        <w:ind w:firstLine="8132" w:firstLineChars="2700"/>
        <w:rPr>
          <w:rFonts w:ascii="仿宋_GB2312" w:hAnsi="仿宋" w:eastAsia="仿宋_GB2312" w:cs="仿宋_GB2312"/>
          <w:b/>
          <w:bCs/>
          <w:color w:val="auto"/>
          <w:sz w:val="24"/>
          <w:highlight w:val="none"/>
        </w:rPr>
      </w:pPr>
      <w:r>
        <w:rPr>
          <w:rFonts w:hint="eastAsia" w:ascii="仿宋" w:hAnsi="仿宋" w:eastAsia="仿宋" w:cs="仿宋_GB2312"/>
          <w:b/>
          <w:color w:val="auto"/>
          <w:sz w:val="30"/>
          <w:szCs w:val="30"/>
          <w:highlight w:val="none"/>
        </w:rPr>
        <w:br w:type="page"/>
      </w:r>
    </w:p>
    <w:p>
      <w:pPr>
        <w:pStyle w:val="4"/>
        <w:jc w:val="center"/>
        <w:rPr>
          <w:rFonts w:hint="eastAsia" w:ascii="宋体" w:hAnsi="宋体"/>
          <w:color w:val="auto"/>
          <w:highlight w:val="none"/>
        </w:rPr>
      </w:pPr>
      <w:bookmarkStart w:id="141" w:name="_Toc31035"/>
      <w:bookmarkStart w:id="142" w:name="_Toc80205941"/>
      <w:bookmarkStart w:id="143" w:name="_Toc12611"/>
      <w:bookmarkStart w:id="144" w:name="_Toc80886945"/>
      <w:r>
        <w:rPr>
          <w:rFonts w:hint="eastAsia" w:ascii="宋体" w:hAnsi="宋体"/>
          <w:color w:val="auto"/>
          <w:highlight w:val="none"/>
        </w:rPr>
        <w:t>第三节 报价文件格式</w:t>
      </w:r>
      <w:bookmarkEnd w:id="141"/>
      <w:bookmarkEnd w:id="142"/>
      <w:bookmarkEnd w:id="143"/>
      <w:bookmarkEnd w:id="144"/>
    </w:p>
    <w:p>
      <w:pPr>
        <w:pStyle w:val="2"/>
        <w:rPr>
          <w:rFonts w:hint="eastAsia"/>
          <w:color w:val="auto"/>
          <w:highlight w:val="none"/>
          <w:lang w:val="zh-CN"/>
        </w:rPr>
      </w:pPr>
      <w:r>
        <w:rPr>
          <w:rFonts w:hint="eastAsia"/>
          <w:color w:val="auto"/>
          <w:sz w:val="24"/>
          <w:highlight w:val="none"/>
        </w:rPr>
        <w:t xml:space="preserve">  </w:t>
      </w:r>
      <w:r>
        <w:rPr>
          <w:rFonts w:hint="eastAsia" w:ascii="宋体" w:hAnsi="宋体" w:cs="宋体"/>
          <w:b/>
          <w:bCs/>
          <w:color w:val="auto"/>
          <w:sz w:val="28"/>
          <w:szCs w:val="28"/>
          <w:highlight w:val="none"/>
        </w:rPr>
        <w:t>1.报价文件封面的格式</w:t>
      </w:r>
      <w:r>
        <w:rPr>
          <w:rFonts w:hint="eastAsia" w:ascii="宋体" w:hAnsi="宋体" w:cs="宋体"/>
          <w:b/>
          <w:color w:val="auto"/>
          <w:sz w:val="28"/>
          <w:szCs w:val="28"/>
          <w:highlight w:val="none"/>
        </w:rPr>
        <w:t>（参照此格式自拟）</w:t>
      </w:r>
      <w:r>
        <w:rPr>
          <w:rFonts w:hint="eastAsia" w:ascii="宋体" w:hAnsi="宋体" w:cs="宋体"/>
          <w:b/>
          <w:bCs/>
          <w:color w:val="auto"/>
          <w:sz w:val="28"/>
          <w:szCs w:val="28"/>
          <w:highlight w:val="none"/>
        </w:rPr>
        <w:t>：</w:t>
      </w:r>
    </w:p>
    <w:p>
      <w:pPr>
        <w:snapToGrid w:val="0"/>
        <w:spacing w:before="120" w:beforeLines="50" w:after="50"/>
        <w:rPr>
          <w:rFonts w:hint="eastAsia"/>
          <w:color w:val="auto"/>
          <w:sz w:val="24"/>
          <w:highlight w:val="none"/>
        </w:rPr>
      </w:pPr>
      <w:r>
        <w:rPr>
          <w:rFonts w:hint="eastAsia"/>
          <w:color w:val="auto"/>
          <w:sz w:val="24"/>
          <w:highlight w:val="none"/>
        </w:rPr>
        <w:t xml:space="preserve">                                             </w:t>
      </w:r>
    </w:p>
    <w:p>
      <w:pPr>
        <w:snapToGrid w:val="0"/>
        <w:spacing w:before="120" w:beforeLines="50" w:after="50"/>
        <w:ind w:firstLine="6720" w:firstLineChars="3200"/>
        <w:rPr>
          <w:rFonts w:hint="eastAsia"/>
          <w:bCs/>
          <w:color w:val="auto"/>
          <w:sz w:val="32"/>
          <w:szCs w:val="20"/>
          <w:highlight w:val="none"/>
        </w:rPr>
      </w:pPr>
      <w:r>
        <w:rPr>
          <w:rFonts w:hint="eastAsia"/>
          <w:bCs/>
          <w:color w:val="auto"/>
          <w:highlight w:val="none"/>
        </w:rPr>
        <w:t>全流程电子文件</w:t>
      </w:r>
    </w:p>
    <w:p>
      <w:pPr>
        <w:snapToGrid w:val="0"/>
        <w:spacing w:before="120" w:beforeLines="50" w:after="50"/>
        <w:rPr>
          <w:rFonts w:hint="eastAsia"/>
          <w:color w:val="auto"/>
          <w:sz w:val="24"/>
          <w:szCs w:val="20"/>
          <w:highlight w:val="none"/>
        </w:rPr>
      </w:pPr>
    </w:p>
    <w:p>
      <w:pPr>
        <w:snapToGrid w:val="0"/>
        <w:spacing w:before="120" w:beforeLines="50" w:after="50"/>
        <w:rPr>
          <w:rFonts w:hint="eastAsia"/>
          <w:color w:val="auto"/>
          <w:sz w:val="24"/>
          <w:szCs w:val="20"/>
          <w:highlight w:val="none"/>
        </w:rPr>
      </w:pPr>
    </w:p>
    <w:p>
      <w:pPr>
        <w:snapToGrid w:val="0"/>
        <w:spacing w:before="120" w:beforeLines="50" w:after="50"/>
        <w:rPr>
          <w:rFonts w:hint="eastAsia"/>
          <w:color w:val="auto"/>
          <w:sz w:val="24"/>
          <w:szCs w:val="20"/>
          <w:highlight w:val="none"/>
        </w:rPr>
      </w:pPr>
    </w:p>
    <w:p>
      <w:pPr>
        <w:snapToGrid w:val="0"/>
        <w:spacing w:before="120" w:beforeLines="50" w:after="50"/>
        <w:jc w:val="center"/>
        <w:rPr>
          <w:rFonts w:hint="eastAsia"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 xml:space="preserve">报 </w:t>
      </w:r>
      <w:r>
        <w:rPr>
          <w:rFonts w:ascii="仿宋" w:hAnsi="仿宋" w:eastAsia="仿宋" w:cs="仿宋"/>
          <w:bCs/>
          <w:color w:val="auto"/>
          <w:sz w:val="44"/>
          <w:szCs w:val="44"/>
          <w:highlight w:val="none"/>
        </w:rPr>
        <w:t xml:space="preserve"> </w:t>
      </w:r>
      <w:r>
        <w:rPr>
          <w:rFonts w:hint="eastAsia" w:ascii="仿宋" w:hAnsi="仿宋" w:eastAsia="仿宋" w:cs="仿宋"/>
          <w:bCs/>
          <w:color w:val="auto"/>
          <w:sz w:val="44"/>
          <w:szCs w:val="44"/>
          <w:highlight w:val="none"/>
        </w:rPr>
        <w:t>价  文  件</w:t>
      </w:r>
    </w:p>
    <w:p>
      <w:pPr>
        <w:snapToGrid w:val="0"/>
        <w:spacing w:before="120" w:beforeLines="50" w:after="50"/>
        <w:rPr>
          <w:rFonts w:hint="eastAsia"/>
          <w:bCs/>
          <w:color w:val="auto"/>
          <w:sz w:val="24"/>
          <w:szCs w:val="20"/>
          <w:highlight w:val="none"/>
        </w:rPr>
      </w:pPr>
    </w:p>
    <w:p>
      <w:pPr>
        <w:snapToGrid w:val="0"/>
        <w:spacing w:before="120" w:beforeLines="50" w:after="50"/>
        <w:rPr>
          <w:rFonts w:hint="eastAsia"/>
          <w:bCs/>
          <w:color w:val="auto"/>
          <w:sz w:val="24"/>
          <w:szCs w:val="20"/>
          <w:highlight w:val="none"/>
        </w:rPr>
      </w:pPr>
    </w:p>
    <w:p>
      <w:pPr>
        <w:snapToGrid w:val="0"/>
        <w:spacing w:before="120" w:beforeLines="50" w:after="50"/>
        <w:rPr>
          <w:rFonts w:hint="eastAsia"/>
          <w:bCs/>
          <w:color w:val="auto"/>
          <w:sz w:val="24"/>
          <w:szCs w:val="20"/>
          <w:highlight w:val="none"/>
        </w:rPr>
      </w:pPr>
    </w:p>
    <w:p>
      <w:pPr>
        <w:snapToGrid w:val="0"/>
        <w:spacing w:before="120" w:beforeLines="50" w:after="50"/>
        <w:rPr>
          <w:rFonts w:hint="eastAsia"/>
          <w:bCs/>
          <w:color w:val="auto"/>
          <w:sz w:val="24"/>
          <w:szCs w:val="20"/>
          <w:highlight w:val="none"/>
        </w:rPr>
      </w:pPr>
    </w:p>
    <w:p>
      <w:pPr>
        <w:snapToGrid w:val="0"/>
        <w:spacing w:before="120" w:beforeLines="50" w:after="50"/>
        <w:rPr>
          <w:rFonts w:hint="eastAsia"/>
          <w:bCs/>
          <w:color w:val="auto"/>
          <w:sz w:val="24"/>
          <w:szCs w:val="20"/>
          <w:highlight w:val="none"/>
        </w:rPr>
      </w:pPr>
    </w:p>
    <w:p>
      <w:pPr>
        <w:snapToGrid w:val="0"/>
        <w:spacing w:before="120" w:beforeLines="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项目名称：</w:t>
      </w:r>
    </w:p>
    <w:p>
      <w:pPr>
        <w:snapToGrid w:val="0"/>
        <w:spacing w:before="120" w:beforeLines="50" w:after="50"/>
        <w:ind w:firstLine="720" w:firstLineChars="225"/>
        <w:rPr>
          <w:rFonts w:hint="eastAsia" w:cs="仿宋_GB2312"/>
          <w:bCs/>
          <w:color w:val="auto"/>
          <w:sz w:val="32"/>
          <w:szCs w:val="32"/>
          <w:highlight w:val="none"/>
        </w:rPr>
      </w:pPr>
    </w:p>
    <w:p>
      <w:pPr>
        <w:snapToGrid w:val="0"/>
        <w:spacing w:before="120" w:beforeLines="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项目编号：</w:t>
      </w:r>
    </w:p>
    <w:p>
      <w:pPr>
        <w:snapToGrid w:val="0"/>
        <w:spacing w:before="120" w:beforeLines="50" w:after="50"/>
        <w:ind w:firstLine="720" w:firstLineChars="225"/>
        <w:rPr>
          <w:rFonts w:hint="eastAsia" w:cs="仿宋_GB2312"/>
          <w:bCs/>
          <w:color w:val="auto"/>
          <w:sz w:val="32"/>
          <w:szCs w:val="32"/>
          <w:highlight w:val="none"/>
        </w:rPr>
      </w:pPr>
      <w:r>
        <w:rPr>
          <w:rFonts w:hint="eastAsia" w:cs="仿宋_GB2312"/>
          <w:bCs/>
          <w:color w:val="auto"/>
          <w:sz w:val="32"/>
          <w:szCs w:val="32"/>
          <w:highlight w:val="none"/>
        </w:rPr>
        <w:t xml:space="preserve"> </w:t>
      </w:r>
    </w:p>
    <w:p>
      <w:pPr>
        <w:snapToGrid w:val="0"/>
        <w:spacing w:before="120" w:beforeLines="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所竞分标（如有则填写，无分标时填写“无”或者留空）：</w:t>
      </w:r>
    </w:p>
    <w:p>
      <w:pPr>
        <w:snapToGrid w:val="0"/>
        <w:spacing w:before="120" w:beforeLines="50" w:after="50"/>
        <w:ind w:firstLine="720" w:firstLineChars="225"/>
        <w:rPr>
          <w:rFonts w:hint="eastAsia" w:cs="仿宋_GB2312"/>
          <w:bCs/>
          <w:color w:val="auto"/>
          <w:sz w:val="32"/>
          <w:szCs w:val="32"/>
          <w:highlight w:val="none"/>
        </w:rPr>
      </w:pPr>
    </w:p>
    <w:p>
      <w:pPr>
        <w:pStyle w:val="8"/>
        <w:snapToGrid w:val="0"/>
        <w:spacing w:before="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供应商名称：</w:t>
      </w:r>
    </w:p>
    <w:p>
      <w:pPr>
        <w:pStyle w:val="8"/>
        <w:snapToGrid w:val="0"/>
        <w:spacing w:before="50" w:after="50"/>
        <w:ind w:firstLine="720" w:firstLineChars="225"/>
        <w:rPr>
          <w:rFonts w:hint="eastAsia" w:cs="仿宋_GB2312"/>
          <w:bCs/>
          <w:color w:val="auto"/>
          <w:sz w:val="32"/>
          <w:szCs w:val="32"/>
          <w:highlight w:val="none"/>
        </w:rPr>
      </w:pPr>
    </w:p>
    <w:p>
      <w:pPr>
        <w:pStyle w:val="8"/>
        <w:snapToGrid w:val="0"/>
        <w:spacing w:before="50" w:after="50"/>
        <w:ind w:firstLine="720" w:firstLineChars="225"/>
        <w:rPr>
          <w:rFonts w:hint="eastAsia" w:cs="仿宋_GB2312"/>
          <w:bCs/>
          <w:color w:val="auto"/>
          <w:sz w:val="32"/>
          <w:szCs w:val="32"/>
          <w:highlight w:val="none"/>
        </w:rPr>
      </w:pPr>
    </w:p>
    <w:p>
      <w:pPr>
        <w:pStyle w:val="8"/>
        <w:snapToGrid w:val="0"/>
        <w:spacing w:before="50" w:after="50"/>
        <w:ind w:firstLine="1280" w:firstLineChars="400"/>
        <w:rPr>
          <w:rFonts w:hint="eastAsia" w:cs="仿宋_GB2312"/>
          <w:bCs/>
          <w:color w:val="auto"/>
          <w:sz w:val="32"/>
          <w:szCs w:val="32"/>
          <w:highlight w:val="none"/>
        </w:rPr>
      </w:pPr>
    </w:p>
    <w:p>
      <w:pPr>
        <w:snapToGrid w:val="0"/>
        <w:spacing w:before="120" w:beforeLines="50" w:after="50"/>
        <w:jc w:val="center"/>
        <w:rPr>
          <w:rFonts w:hint="eastAsia" w:cs="仿宋_GB2312"/>
          <w:color w:val="auto"/>
          <w:sz w:val="32"/>
          <w:szCs w:val="32"/>
          <w:highlight w:val="none"/>
        </w:rPr>
      </w:pPr>
      <w:r>
        <w:rPr>
          <w:rFonts w:hint="eastAsia" w:cs="仿宋_GB2312"/>
          <w:color w:val="auto"/>
          <w:sz w:val="32"/>
          <w:szCs w:val="32"/>
          <w:highlight w:val="none"/>
        </w:rPr>
        <w:t>年    月    日</w:t>
      </w:r>
    </w:p>
    <w:p>
      <w:pPr>
        <w:snapToGrid w:val="0"/>
        <w:spacing w:before="120" w:beforeLines="50" w:after="50" w:line="360" w:lineRule="auto"/>
        <w:jc w:val="left"/>
        <w:rPr>
          <w:rFonts w:hint="eastAsia" w:ascii="宋体" w:hAnsi="宋体" w:cs="宋体"/>
          <w:color w:val="auto"/>
          <w:sz w:val="28"/>
          <w:szCs w:val="28"/>
          <w:highlight w:val="none"/>
        </w:rPr>
      </w:pPr>
      <w:r>
        <w:rPr>
          <w:color w:val="auto"/>
          <w:sz w:val="24"/>
          <w:highlight w:val="none"/>
        </w:rPr>
        <w:br w:type="page"/>
      </w:r>
      <w:r>
        <w:rPr>
          <w:rFonts w:hint="eastAsia" w:ascii="宋体" w:hAnsi="宋体" w:cs="宋体"/>
          <w:b/>
          <w:color w:val="auto"/>
          <w:sz w:val="28"/>
          <w:szCs w:val="28"/>
          <w:highlight w:val="none"/>
        </w:rPr>
        <w:t>2.</w:t>
      </w:r>
      <w:r>
        <w:rPr>
          <w:rFonts w:hint="eastAsia" w:ascii="宋体" w:hAnsi="宋体" w:cs="宋体"/>
          <w:b/>
          <w:bCs/>
          <w:color w:val="auto"/>
          <w:sz w:val="28"/>
          <w:szCs w:val="28"/>
          <w:highlight w:val="none"/>
        </w:rPr>
        <w:t>报价文件目录</w:t>
      </w:r>
    </w:p>
    <w:p>
      <w:pPr>
        <w:snapToGrid w:val="0"/>
        <w:spacing w:before="50" w:after="120" w:afterLines="50" w:line="360" w:lineRule="auto"/>
        <w:jc w:val="left"/>
        <w:rPr>
          <w:rFonts w:hint="eastAsia" w:ascii="宋体" w:hAnsi="宋体" w:cs="宋体"/>
          <w:b/>
          <w:color w:val="auto"/>
          <w:sz w:val="28"/>
          <w:szCs w:val="28"/>
          <w:highlight w:val="none"/>
        </w:rPr>
      </w:pPr>
      <w:r>
        <w:rPr>
          <w:rFonts w:hint="eastAsia" w:ascii="宋体" w:hAnsi="宋体" w:cs="宋体"/>
          <w:color w:val="auto"/>
          <w:sz w:val="28"/>
          <w:szCs w:val="28"/>
          <w:highlight w:val="none"/>
        </w:rPr>
        <w:t>根据竞争性磋商文件规定及供应商提供的材料自行编写目录</w:t>
      </w:r>
      <w:r>
        <w:rPr>
          <w:rFonts w:hint="eastAsia" w:ascii="宋体" w:hAnsi="宋体" w:cs="宋体"/>
          <w:color w:val="auto"/>
          <w:kern w:val="0"/>
          <w:sz w:val="28"/>
          <w:szCs w:val="28"/>
          <w:highlight w:val="none"/>
        </w:rPr>
        <w:t>（部分格式后附）</w:t>
      </w:r>
      <w:r>
        <w:rPr>
          <w:rFonts w:hint="eastAsia" w:ascii="宋体" w:hAnsi="宋体" w:cs="宋体"/>
          <w:color w:val="auto"/>
          <w:sz w:val="28"/>
          <w:szCs w:val="28"/>
          <w:highlight w:val="none"/>
        </w:rPr>
        <w:t>。</w:t>
      </w:r>
    </w:p>
    <w:p>
      <w:pPr>
        <w:spacing w:line="360" w:lineRule="auto"/>
        <w:rPr>
          <w:rFonts w:hint="eastAsia" w:ascii="仿宋_GB2312" w:hAnsi="仿宋" w:eastAsia="仿宋_GB2312" w:cs="仿宋_GB2312"/>
          <w:color w:val="auto"/>
          <w:sz w:val="24"/>
          <w:highlight w:val="none"/>
        </w:rPr>
      </w:pPr>
    </w:p>
    <w:p>
      <w:pPr>
        <w:snapToGrid w:val="0"/>
        <w:spacing w:before="120" w:beforeLines="50" w:after="50" w:line="360" w:lineRule="auto"/>
        <w:ind w:left="142" w:firstLine="640" w:firstLineChars="200"/>
        <w:jc w:val="left"/>
        <w:rPr>
          <w:rFonts w:hint="eastAsia" w:ascii="仿宋_GB2312" w:hAnsi="仿宋_GB2312" w:eastAsia="仿宋_GB2312" w:cs="仿宋_GB2312"/>
          <w:color w:val="auto"/>
          <w:sz w:val="32"/>
          <w:szCs w:val="32"/>
          <w:highlight w:val="none"/>
        </w:rPr>
      </w:pPr>
    </w:p>
    <w:p>
      <w:pPr>
        <w:snapToGrid w:val="0"/>
        <w:spacing w:before="120" w:beforeLines="50" w:after="50" w:line="360" w:lineRule="auto"/>
        <w:jc w:val="left"/>
        <w:rPr>
          <w:rFonts w:ascii="Calibri" w:cs="仿宋_GB2312"/>
          <w:color w:val="auto"/>
          <w:sz w:val="24"/>
          <w:highlight w:val="none"/>
        </w:rPr>
      </w:pPr>
      <w:r>
        <w:rPr>
          <w:rFonts w:ascii="Calibri" w:cs="仿宋_GB2312"/>
          <w:color w:val="auto"/>
          <w:sz w:val="24"/>
          <w:highlight w:val="none"/>
        </w:rPr>
        <w:br w:type="page"/>
      </w:r>
      <w:r>
        <w:rPr>
          <w:rFonts w:hint="eastAsia" w:ascii="宋体" w:hAnsi="宋体" w:cs="宋体"/>
          <w:b/>
          <w:color w:val="auto"/>
          <w:sz w:val="28"/>
          <w:szCs w:val="28"/>
          <w:highlight w:val="none"/>
        </w:rPr>
        <w:t>3.</w:t>
      </w:r>
      <w:r>
        <w:rPr>
          <w:rFonts w:hint="eastAsia" w:ascii="宋体" w:hAnsi="宋体" w:cs="宋体"/>
          <w:b/>
          <w:color w:val="auto"/>
          <w:sz w:val="28"/>
          <w:szCs w:val="28"/>
          <w:highlight w:val="none"/>
          <w:lang w:val="zh-CN"/>
        </w:rPr>
        <w:t>响应函的格式：</w:t>
      </w:r>
    </w:p>
    <w:p>
      <w:pPr>
        <w:spacing w:line="500" w:lineRule="exact"/>
        <w:jc w:val="center"/>
        <w:rPr>
          <w:b/>
          <w:bCs/>
          <w:color w:val="auto"/>
          <w:kern w:val="0"/>
          <w:sz w:val="30"/>
          <w:szCs w:val="30"/>
          <w:highlight w:val="none"/>
        </w:rPr>
      </w:pPr>
      <w:r>
        <w:rPr>
          <w:rFonts w:hint="eastAsia"/>
          <w:b/>
          <w:bCs/>
          <w:color w:val="auto"/>
          <w:kern w:val="0"/>
          <w:sz w:val="30"/>
          <w:szCs w:val="30"/>
          <w:highlight w:val="none"/>
        </w:rPr>
        <w:t>响应函</w:t>
      </w:r>
    </w:p>
    <w:p>
      <w:pPr>
        <w:spacing w:line="460" w:lineRule="exact"/>
        <w:rPr>
          <w:color w:val="auto"/>
          <w:kern w:val="0"/>
          <w:sz w:val="24"/>
          <w:highlight w:val="none"/>
        </w:rPr>
      </w:pPr>
    </w:p>
    <w:p>
      <w:pPr>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（采购代理机构名称）</w:t>
      </w:r>
    </w:p>
    <w:p>
      <w:pPr>
        <w:spacing w:line="460" w:lineRule="exact"/>
        <w:ind w:firstLine="480" w:firstLineChars="200"/>
        <w:rPr>
          <w:rFonts w:hint="eastAsia" w:ascii="宋体" w:hAnsi="宋体" w:cs="宋体"/>
          <w:color w:val="auto"/>
          <w:kern w:val="0"/>
          <w:sz w:val="24"/>
          <w:highlight w:val="none"/>
        </w:rPr>
      </w:pPr>
    </w:p>
    <w:p>
      <w:pPr>
        <w:spacing w:line="4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我方已仔细阅读了贵方组织的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项目（项目编号：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）的竞争性磋商文件的全部内容，现正式递交下述文件参加贵方组织的本次政府采购活动： </w:t>
      </w:r>
    </w:p>
    <w:p>
      <w:pPr>
        <w:spacing w:line="4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一、首次报价文件电子版（包含按“第三章 供应商须知”提交的全部文件）；</w:t>
      </w:r>
    </w:p>
    <w:p>
      <w:pPr>
        <w:spacing w:line="4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二、技术文件电子版（包含按“第三章 供应商须知”提交的全部文件）；商务文件电子版（包含按“第三章 供应商须知”提交的全部文件）；</w:t>
      </w:r>
    </w:p>
    <w:p>
      <w:pPr>
        <w:spacing w:line="4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三、资格证明文件电子版（包含按“第三章供应商须知”提交的全部文件）。</w:t>
      </w:r>
    </w:p>
    <w:p>
      <w:pPr>
        <w:spacing w:line="4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据此函，</w:t>
      </w:r>
      <w:r>
        <w:rPr>
          <w:rFonts w:hint="eastAsia" w:ascii="宋体" w:hAnsi="宋体" w:cs="宋体"/>
          <w:color w:val="auto"/>
          <w:kern w:val="0"/>
          <w:sz w:val="24"/>
          <w:highlight w:val="none"/>
          <w:lang w:val="en-US" w:eastAsia="zh-CN"/>
        </w:rPr>
        <w:t>我方</w:t>
      </w:r>
      <w:r>
        <w:rPr>
          <w:rFonts w:hint="eastAsia" w:ascii="宋体" w:hAnsi="宋体" w:cs="宋体"/>
          <w:color w:val="auto"/>
          <w:kern w:val="0"/>
          <w:sz w:val="24"/>
          <w:highlight w:val="none"/>
        </w:rPr>
        <w:t>兹宣布：</w:t>
      </w:r>
    </w:p>
    <w:p>
      <w:pPr>
        <w:spacing w:line="460" w:lineRule="exact"/>
        <w:ind w:firstLine="482"/>
        <w:rPr>
          <w:rFonts w:hint="eastAsia" w:ascii="宋体" w:hAnsi="宋体" w:cs="宋体"/>
          <w:color w:val="auto"/>
          <w:kern w:val="0"/>
          <w:sz w:val="24"/>
          <w:highlight w:val="none"/>
        </w:rPr>
      </w:pPr>
      <w:r>
        <w:rPr>
          <w:rFonts w:hint="eastAsia" w:ascii="宋体" w:hAnsi="宋体" w:cs="宋体"/>
          <w:color w:val="auto"/>
          <w:kern w:val="0"/>
          <w:sz w:val="24"/>
          <w:highlight w:val="none"/>
        </w:rPr>
        <w:t>1、我方愿意以磋商时</w:t>
      </w:r>
      <w:r>
        <w:rPr>
          <w:rFonts w:hint="eastAsia" w:hAnsi="宋体" w:cs="宋体"/>
          <w:color w:val="auto"/>
          <w:sz w:val="24"/>
          <w:highlight w:val="none"/>
        </w:rPr>
        <w:t>提交的最后报价表中的竞标总</w:t>
      </w:r>
      <w:r>
        <w:rPr>
          <w:rFonts w:hint="eastAsia" w:ascii="宋体" w:hAnsi="宋体" w:cs="宋体"/>
          <w:color w:val="auto"/>
          <w:sz w:val="24"/>
          <w:highlight w:val="none"/>
        </w:rPr>
        <w:t>报价</w:t>
      </w:r>
      <w:r>
        <w:rPr>
          <w:rFonts w:hint="eastAsia" w:hAnsi="宋体" w:cs="宋体"/>
          <w:color w:val="auto"/>
          <w:sz w:val="24"/>
          <w:highlight w:val="none"/>
        </w:rPr>
        <w:t>，在承诺的</w:t>
      </w:r>
      <w:r>
        <w:rPr>
          <w:rFonts w:hint="eastAsia" w:ascii="宋体" w:hAnsi="宋体" w:cs="宋体"/>
          <w:color w:val="auto"/>
          <w:kern w:val="0"/>
          <w:sz w:val="24"/>
          <w:highlight w:val="none"/>
          <w:lang w:eastAsia="zh-CN"/>
        </w:rPr>
        <w:t>服务时间</w:t>
      </w:r>
      <w:r>
        <w:rPr>
          <w:rFonts w:hint="eastAsia" w:hAnsi="宋体" w:cs="宋体"/>
          <w:color w:val="auto"/>
          <w:sz w:val="24"/>
          <w:highlight w:val="none"/>
        </w:rPr>
        <w:t>内</w:t>
      </w:r>
      <w:r>
        <w:rPr>
          <w:rFonts w:hint="eastAsia" w:ascii="宋体" w:hAnsi="宋体" w:cs="宋体"/>
          <w:color w:val="auto"/>
          <w:kern w:val="0"/>
          <w:sz w:val="24"/>
          <w:highlight w:val="none"/>
        </w:rPr>
        <w:t>提供本项目竞争性磋商文件第二章“采购需求”中相应的采购内容</w:t>
      </w:r>
      <w:r>
        <w:rPr>
          <w:rFonts w:hint="eastAsia" w:hAnsi="宋体" w:cs="宋体"/>
          <w:color w:val="auto"/>
          <w:sz w:val="24"/>
          <w:highlight w:val="none"/>
        </w:rPr>
        <w:t>，具体详见最后报价表</w:t>
      </w:r>
      <w:r>
        <w:rPr>
          <w:rFonts w:hint="eastAsia" w:ascii="宋体" w:hAnsi="宋体" w:cs="宋体"/>
          <w:color w:val="auto"/>
          <w:kern w:val="0"/>
          <w:sz w:val="24"/>
          <w:highlight w:val="none"/>
        </w:rPr>
        <w:t>。</w:t>
      </w:r>
    </w:p>
    <w:p>
      <w:pPr>
        <w:spacing w:line="460" w:lineRule="exact"/>
        <w:ind w:firstLine="482"/>
        <w:rPr>
          <w:rFonts w:hint="eastAsia" w:ascii="宋体" w:hAnsi="宋体" w:cs="宋体"/>
          <w:color w:val="auto"/>
          <w:kern w:val="0"/>
          <w:sz w:val="24"/>
          <w:highlight w:val="none"/>
        </w:rPr>
      </w:pPr>
      <w:r>
        <w:rPr>
          <w:rFonts w:hint="eastAsia" w:ascii="宋体" w:hAnsi="宋体" w:cs="宋体"/>
          <w:color w:val="auto"/>
          <w:kern w:val="0"/>
          <w:sz w:val="24"/>
          <w:highlight w:val="none"/>
        </w:rPr>
        <w:t>2、我方同意自本项目竞争性磋商文件采购公告规定的提交响应文件截止时间起遵循本响应函，并承诺在“第三章 供应商须知”规定的竞标有效期内不修改、撤销响应文件。</w:t>
      </w:r>
    </w:p>
    <w:p>
      <w:pPr>
        <w:spacing w:line="460" w:lineRule="exact"/>
        <w:ind w:firstLine="482"/>
        <w:rPr>
          <w:rFonts w:hint="eastAsia" w:ascii="宋体" w:hAnsi="宋体" w:cs="宋体"/>
          <w:color w:val="auto"/>
          <w:kern w:val="0"/>
          <w:sz w:val="24"/>
          <w:highlight w:val="none"/>
        </w:rPr>
      </w:pPr>
      <w:r>
        <w:rPr>
          <w:rFonts w:hint="eastAsia" w:ascii="宋体" w:hAnsi="宋体" w:cs="宋体"/>
          <w:color w:val="auto"/>
          <w:kern w:val="0"/>
          <w:sz w:val="24"/>
          <w:highlight w:val="none"/>
        </w:rPr>
        <w:t>3、我方在此声明，所递交的响应文件及有关资料内容完整、真实和准确。</w:t>
      </w:r>
    </w:p>
    <w:p>
      <w:pPr>
        <w:spacing w:line="460" w:lineRule="exact"/>
        <w:ind w:firstLine="482"/>
        <w:rPr>
          <w:rFonts w:hint="eastAsia" w:ascii="宋体" w:hAnsi="宋体" w:cs="宋体"/>
          <w:color w:val="auto"/>
          <w:kern w:val="0"/>
          <w:sz w:val="24"/>
          <w:highlight w:val="none"/>
        </w:rPr>
      </w:pPr>
      <w:r>
        <w:rPr>
          <w:rFonts w:hint="eastAsia" w:ascii="宋体" w:hAnsi="宋体" w:cs="宋体"/>
          <w:color w:val="auto"/>
          <w:kern w:val="0"/>
          <w:sz w:val="24"/>
          <w:highlight w:val="none"/>
        </w:rPr>
        <w:t>4、如本项目采购内容涉及须符合国家强制规定的，我方承诺我方本次竞标均符合国家有关强制规定。</w:t>
      </w:r>
    </w:p>
    <w:p>
      <w:pPr>
        <w:spacing w:line="460" w:lineRule="exact"/>
        <w:ind w:firstLine="482"/>
        <w:rPr>
          <w:rFonts w:hint="eastAsia" w:ascii="宋体" w:hAnsi="宋体" w:cs="宋体"/>
          <w:color w:val="auto"/>
          <w:kern w:val="0"/>
          <w:sz w:val="24"/>
          <w:highlight w:val="none"/>
        </w:rPr>
      </w:pPr>
      <w:r>
        <w:rPr>
          <w:rFonts w:hint="eastAsia" w:ascii="宋体" w:hAnsi="宋体" w:cs="宋体"/>
          <w:color w:val="auto"/>
          <w:kern w:val="0"/>
          <w:sz w:val="24"/>
          <w:highlight w:val="none"/>
        </w:rPr>
        <w:t>5、如我方成交，我方承诺在收到成交通知书后，在成交通知书规定的期限内，根据竞争性磋商文件、我方的响应文件及有关澄清承诺书的要求按第六章“合同文本”与采购人订立书面合同，并按照合同约定承担完成合同的责任和义务。</w:t>
      </w:r>
    </w:p>
    <w:p>
      <w:pPr>
        <w:spacing w:line="460" w:lineRule="exact"/>
        <w:ind w:firstLine="482"/>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、我方已详细审核竞争性磋商文件，我方知道必须放弃提出含糊不清或误解问题的权利。</w:t>
      </w:r>
    </w:p>
    <w:p>
      <w:pPr>
        <w:spacing w:line="460" w:lineRule="exact"/>
        <w:ind w:firstLine="482"/>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、我方承诺满足竞争性磋商文件第六章“合同文本”的条款，承担完成合同的责任和义务。</w:t>
      </w:r>
    </w:p>
    <w:p>
      <w:pPr>
        <w:spacing w:line="460" w:lineRule="exact"/>
        <w:ind w:firstLine="482"/>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、我方同意应贵方要求提供与本竞标有关的任何数据或资料。若贵方需要，我方愿意提供我方作出的一切承诺的证明材料。</w:t>
      </w:r>
    </w:p>
    <w:p>
      <w:pPr>
        <w:spacing w:line="460" w:lineRule="exact"/>
        <w:ind w:firstLine="482"/>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、我方完全理解贵方不一定接受响应报价最低的供应商为成交供应商的行为。</w:t>
      </w:r>
    </w:p>
    <w:p>
      <w:pPr>
        <w:spacing w:line="460" w:lineRule="exact"/>
        <w:ind w:firstLine="482"/>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2"/>
        </w:numPr>
        <w:tabs>
          <w:tab w:val="left" w:pos="945"/>
        </w:tabs>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提供虚假材料谋取中标、成交的；</w:t>
      </w:r>
    </w:p>
    <w:p>
      <w:pPr>
        <w:numPr>
          <w:ilvl w:val="0"/>
          <w:numId w:val="2"/>
        </w:numPr>
        <w:tabs>
          <w:tab w:val="left" w:pos="945"/>
        </w:tabs>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采取不正当手段诋毁、排挤其他供应商的；</w:t>
      </w:r>
    </w:p>
    <w:p>
      <w:pPr>
        <w:numPr>
          <w:ilvl w:val="0"/>
          <w:numId w:val="2"/>
        </w:numPr>
        <w:tabs>
          <w:tab w:val="left" w:pos="945"/>
        </w:tabs>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与采购人、其他供应商或者采购代理机构恶意串通的；</w:t>
      </w:r>
    </w:p>
    <w:p>
      <w:pPr>
        <w:numPr>
          <w:ilvl w:val="0"/>
          <w:numId w:val="2"/>
        </w:numPr>
        <w:tabs>
          <w:tab w:val="left" w:pos="945"/>
        </w:tabs>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向采购人、采购代理机构行贿或者提供其他不正当利益的；</w:t>
      </w:r>
    </w:p>
    <w:p>
      <w:pPr>
        <w:numPr>
          <w:ilvl w:val="0"/>
          <w:numId w:val="2"/>
        </w:numPr>
        <w:tabs>
          <w:tab w:val="left" w:pos="945"/>
        </w:tabs>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在采购过程中与采购人进行协商磋商的；</w:t>
      </w:r>
    </w:p>
    <w:p>
      <w:pPr>
        <w:numPr>
          <w:ilvl w:val="0"/>
          <w:numId w:val="2"/>
        </w:numPr>
        <w:tabs>
          <w:tab w:val="left" w:pos="945"/>
        </w:tabs>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拒绝有关部门监督检查或提供虚假情况的。</w:t>
      </w:r>
    </w:p>
    <w:p>
      <w:pPr>
        <w:spacing w:line="460" w:lineRule="exact"/>
        <w:ind w:firstLine="42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1</w:t>
      </w:r>
      <w:r>
        <w:rPr>
          <w:rFonts w:hint="eastAsia" w:ascii="宋体" w:hAnsi="宋体" w:cs="宋体"/>
          <w:b/>
          <w:bCs/>
          <w:color w:val="auto"/>
          <w:kern w:val="0"/>
          <w:sz w:val="24"/>
          <w:highlight w:val="none"/>
          <w:lang w:val="en-US" w:eastAsia="zh-CN"/>
        </w:rPr>
        <w:t>1</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rPr>
        <w:t>以上事项如有虚假或者隐瞒，我方愿意承担一切后果，并不再寻求任何旨在减轻或者免除法律责任的辩解。</w:t>
      </w:r>
    </w:p>
    <w:p>
      <w:pPr>
        <w:spacing w:line="460" w:lineRule="exact"/>
        <w:ind w:firstLine="420"/>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12、</w:t>
      </w:r>
      <w:r>
        <w:rPr>
          <w:rFonts w:hint="eastAsia" w:ascii="宋体" w:hAnsi="宋体" w:cs="宋体"/>
          <w:b/>
          <w:bCs/>
          <w:color w:val="auto"/>
          <w:kern w:val="0"/>
          <w:sz w:val="24"/>
          <w:highlight w:val="none"/>
        </w:rPr>
        <w:t xml:space="preserve">与本磋商有关的一切正式往来信函请寄： </w:t>
      </w:r>
    </w:p>
    <w:p>
      <w:pPr>
        <w:spacing w:line="460" w:lineRule="exact"/>
        <w:ind w:firstLine="420"/>
        <w:rPr>
          <w:rFonts w:hint="eastAsia" w:ascii="宋体" w:hAnsi="宋体" w:cs="宋体"/>
          <w:color w:val="auto"/>
          <w:kern w:val="0"/>
          <w:sz w:val="24"/>
          <w:highlight w:val="non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pPr>
        <w:spacing w:line="460" w:lineRule="exact"/>
        <w:ind w:firstLine="42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电话：</w:t>
      </w:r>
      <w:r>
        <w:rPr>
          <w:rFonts w:hint="eastAsia" w:ascii="宋体" w:hAnsi="宋体" w:cs="宋体"/>
          <w:color w:val="auto"/>
          <w:kern w:val="0"/>
          <w:sz w:val="24"/>
          <w:highlight w:val="none"/>
          <w:u w:val="single"/>
        </w:rPr>
        <w:t xml:space="preserve">                                      　　　　　　　　　</w:t>
      </w:r>
    </w:p>
    <w:p>
      <w:pPr>
        <w:spacing w:line="460" w:lineRule="exact"/>
        <w:ind w:firstLine="42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传真：</w:t>
      </w:r>
      <w:r>
        <w:rPr>
          <w:rFonts w:hint="eastAsia" w:ascii="宋体" w:hAnsi="宋体" w:cs="宋体"/>
          <w:color w:val="auto"/>
          <w:kern w:val="0"/>
          <w:sz w:val="24"/>
          <w:highlight w:val="none"/>
          <w:u w:val="single"/>
        </w:rPr>
        <w:t>　　　　　　　　　　　　　　　　　　　　　　　　　　　　</w:t>
      </w:r>
    </w:p>
    <w:p>
      <w:pPr>
        <w:spacing w:line="460" w:lineRule="exact"/>
        <w:ind w:firstLine="420"/>
        <w:rPr>
          <w:rFonts w:hint="eastAsia" w:ascii="宋体" w:hAnsi="宋体" w:cs="宋体"/>
          <w:color w:val="auto"/>
          <w:sz w:val="24"/>
          <w:highlight w:val="none"/>
        </w:rPr>
      </w:pPr>
      <w:r>
        <w:rPr>
          <w:rFonts w:hint="eastAsia" w:ascii="宋体" w:hAnsi="宋体" w:cs="宋体"/>
          <w:color w:val="auto"/>
          <w:kern w:val="0"/>
          <w:sz w:val="24"/>
          <w:highlight w:val="none"/>
        </w:rPr>
        <w:t>电子邮箱：</w:t>
      </w:r>
      <w:r>
        <w:rPr>
          <w:rFonts w:hint="eastAsia" w:ascii="宋体" w:hAnsi="宋体" w:cs="宋体"/>
          <w:color w:val="auto"/>
          <w:kern w:val="0"/>
          <w:sz w:val="24"/>
          <w:highlight w:val="none"/>
          <w:u w:val="single"/>
        </w:rPr>
        <w:t>　　　　　　　　　　　　　　　　　　　　　　　　　　</w:t>
      </w:r>
    </w:p>
    <w:p>
      <w:pPr>
        <w:spacing w:line="460" w:lineRule="exact"/>
        <w:ind w:firstLine="42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邮政编码：</w:t>
      </w:r>
      <w:r>
        <w:rPr>
          <w:rFonts w:hint="eastAsia" w:ascii="宋体" w:hAnsi="宋体" w:cs="宋体"/>
          <w:color w:val="auto"/>
          <w:kern w:val="0"/>
          <w:sz w:val="24"/>
          <w:highlight w:val="none"/>
          <w:u w:val="single"/>
        </w:rPr>
        <w:t xml:space="preserve">                                                    </w:t>
      </w:r>
    </w:p>
    <w:p>
      <w:pPr>
        <w:spacing w:line="460" w:lineRule="exact"/>
        <w:ind w:firstLine="42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开户名称：</w:t>
      </w:r>
      <w:r>
        <w:rPr>
          <w:rFonts w:hint="eastAsia" w:ascii="宋体" w:hAnsi="宋体" w:cs="宋体"/>
          <w:color w:val="auto"/>
          <w:kern w:val="0"/>
          <w:sz w:val="24"/>
          <w:highlight w:val="none"/>
          <w:u w:val="single"/>
        </w:rPr>
        <w:t xml:space="preserve">                                                    </w:t>
      </w:r>
    </w:p>
    <w:p>
      <w:pPr>
        <w:spacing w:line="460" w:lineRule="exact"/>
        <w:ind w:firstLine="42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开户银行：</w:t>
      </w:r>
      <w:r>
        <w:rPr>
          <w:rFonts w:hint="eastAsia" w:ascii="宋体" w:hAnsi="宋体" w:cs="宋体"/>
          <w:color w:val="auto"/>
          <w:kern w:val="0"/>
          <w:sz w:val="24"/>
          <w:highlight w:val="none"/>
          <w:u w:val="single"/>
        </w:rPr>
        <w:t xml:space="preserve">                                                    </w:t>
      </w:r>
    </w:p>
    <w:p>
      <w:pPr>
        <w:spacing w:line="460" w:lineRule="exact"/>
        <w:ind w:firstLine="42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银行账号：</w:t>
      </w:r>
      <w:r>
        <w:rPr>
          <w:rFonts w:hint="eastAsia" w:ascii="宋体" w:hAnsi="宋体" w:cs="宋体"/>
          <w:color w:val="auto"/>
          <w:kern w:val="0"/>
          <w:sz w:val="24"/>
          <w:highlight w:val="none"/>
          <w:u w:val="single"/>
        </w:rPr>
        <w:t xml:space="preserve">                                                    </w:t>
      </w:r>
    </w:p>
    <w:p>
      <w:pPr>
        <w:pStyle w:val="19"/>
        <w:tabs>
          <w:tab w:val="left" w:pos="939"/>
        </w:tabs>
        <w:spacing w:line="460" w:lineRule="exact"/>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特此承诺。</w:t>
      </w:r>
    </w:p>
    <w:p>
      <w:pPr>
        <w:spacing w:line="360" w:lineRule="auto"/>
        <w:contextualSpacing/>
        <w:jc w:val="left"/>
        <w:rPr>
          <w:rFonts w:hint="eastAsia" w:ascii="宋体" w:hAnsi="宋体" w:cs="宋体"/>
          <w:color w:val="auto"/>
          <w:szCs w:val="21"/>
          <w:highlight w:val="none"/>
        </w:rPr>
      </w:pPr>
    </w:p>
    <w:p>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供应商名称（盖公章）：</w:t>
      </w:r>
    </w:p>
    <w:p>
      <w:pPr>
        <w:autoSpaceDE w:val="0"/>
        <w:autoSpaceDN w:val="0"/>
        <w:spacing w:line="360" w:lineRule="auto"/>
        <w:ind w:firstLine="6480" w:firstLineChars="27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500" w:lineRule="exact"/>
        <w:rPr>
          <w:rFonts w:hint="eastAsia" w:ascii="宋体" w:hAnsi="宋体" w:cs="宋体"/>
          <w:b/>
          <w:color w:val="auto"/>
          <w:sz w:val="28"/>
          <w:szCs w:val="28"/>
          <w:highlight w:val="none"/>
        </w:rPr>
      </w:pPr>
    </w:p>
    <w:p>
      <w:pPr>
        <w:spacing w:line="500" w:lineRule="exact"/>
        <w:rPr>
          <w:rFonts w:hint="eastAsia" w:ascii="仿宋" w:hAnsi="仿宋" w:eastAsia="仿宋" w:cs="仿宋_GB2312"/>
          <w:b/>
          <w:color w:val="auto"/>
          <w:sz w:val="30"/>
          <w:szCs w:val="30"/>
          <w:highlight w:val="none"/>
          <w:lang w:val="zh-CN"/>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4.</w:t>
      </w:r>
      <w:r>
        <w:rPr>
          <w:rFonts w:hint="eastAsia" w:ascii="宋体" w:hAnsi="宋体" w:cs="宋体"/>
          <w:b/>
          <w:color w:val="auto"/>
          <w:sz w:val="28"/>
          <w:szCs w:val="28"/>
          <w:highlight w:val="none"/>
          <w:lang w:val="zh-CN"/>
        </w:rPr>
        <w:t>响应报价表的格式：</w:t>
      </w:r>
      <w:r>
        <w:rPr>
          <w:rFonts w:hint="eastAsia" w:ascii="仿宋" w:hAnsi="仿宋" w:eastAsia="仿宋" w:cs="仿宋_GB2312"/>
          <w:b/>
          <w:color w:val="auto"/>
          <w:sz w:val="30"/>
          <w:szCs w:val="30"/>
          <w:highlight w:val="none"/>
          <w:lang w:val="zh-CN"/>
        </w:rPr>
        <w:t xml:space="preserve"> </w:t>
      </w:r>
    </w:p>
    <w:p>
      <w:pPr>
        <w:spacing w:line="520" w:lineRule="exact"/>
        <w:jc w:val="center"/>
        <w:rPr>
          <w:rFonts w:hint="eastAsia"/>
          <w:b/>
          <w:bCs/>
          <w:color w:val="auto"/>
          <w:sz w:val="32"/>
          <w:szCs w:val="32"/>
          <w:highlight w:val="none"/>
        </w:rPr>
      </w:pPr>
      <w:r>
        <w:rPr>
          <w:rFonts w:hint="eastAsia"/>
          <w:b/>
          <w:bCs/>
          <w:color w:val="auto"/>
          <w:sz w:val="32"/>
          <w:szCs w:val="32"/>
          <w:highlight w:val="none"/>
        </w:rPr>
        <w:t>响应报价表</w:t>
      </w:r>
    </w:p>
    <w:p>
      <w:pPr>
        <w:snapToGrid w:val="0"/>
        <w:spacing w:before="50" w:after="5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项目名称：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pPr>
        <w:snapToGrid w:val="0"/>
        <w:spacing w:before="50" w:after="5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rPr>
        <w:t xml:space="preserve">            </w:t>
      </w:r>
    </w:p>
    <w:p>
      <w:pPr>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所竞分标（如有则填写，无分标时填写“无”或者留空）：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tbl>
      <w:tblPr>
        <w:tblStyle w:val="31"/>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065"/>
        <w:gridCol w:w="2299"/>
        <w:gridCol w:w="890"/>
        <w:gridCol w:w="2659"/>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标的名称</w:t>
            </w: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服务内容</w:t>
            </w: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数量及单位</w:t>
            </w:r>
          </w:p>
        </w:tc>
        <w:tc>
          <w:tcPr>
            <w:tcW w:w="26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总报价(</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sz w:val="21"/>
                <w:szCs w:val="21"/>
                <w:highlight w:val="none"/>
              </w:rPr>
              <w:t>)</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w:t>
            </w:r>
            <w:r>
              <w:rPr>
                <w:rFonts w:hint="eastAsia" w:ascii="宋体" w:hAnsi="宋体" w:eastAsia="宋体" w:cs="宋体"/>
                <w:color w:val="auto"/>
                <w:sz w:val="21"/>
                <w:szCs w:val="21"/>
                <w:highlight w:val="none"/>
              </w:rPr>
              <w:t>服务需求偏离表</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响应文件响应的</w:t>
            </w:r>
            <w:r>
              <w:rPr>
                <w:rFonts w:hint="eastAsia" w:ascii="宋体" w:hAnsi="宋体" w:eastAsia="宋体" w:cs="宋体"/>
                <w:color w:val="auto"/>
                <w:sz w:val="21"/>
                <w:szCs w:val="21"/>
                <w:highlight w:val="none"/>
                <w:lang w:eastAsia="zh-CN"/>
              </w:rPr>
              <w:t>技术要求</w:t>
            </w:r>
            <w:r>
              <w:rPr>
                <w:rFonts w:hint="eastAsia" w:ascii="宋体" w:hAnsi="宋体" w:eastAsia="宋体" w:cs="宋体"/>
                <w:color w:val="auto"/>
                <w:sz w:val="21"/>
                <w:szCs w:val="21"/>
                <w:highlight w:val="none"/>
                <w:lang w:val="en-US" w:eastAsia="zh-CN"/>
              </w:rPr>
              <w:t>提供服务</w:t>
            </w: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w:t>
            </w:r>
          </w:p>
        </w:tc>
        <w:tc>
          <w:tcPr>
            <w:tcW w:w="2659"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 xml:space="preserve">¥           </w:t>
            </w:r>
          </w:p>
        </w:tc>
        <w:tc>
          <w:tcPr>
            <w:tcW w:w="110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33"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服务时间</w:t>
            </w: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973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宋体" w:hAnsi="宋体" w:eastAsia="宋体" w:cs="宋体"/>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报价合计(包含税费等所有费用):(大写)人民币</w:t>
            </w:r>
          </w:p>
        </w:tc>
      </w:tr>
    </w:tbl>
    <w:p>
      <w:pPr>
        <w:snapToGrid w:val="0"/>
        <w:spacing w:before="50" w:after="50" w:line="360" w:lineRule="auto"/>
        <w:ind w:firstLine="420" w:firstLineChars="200"/>
        <w:jc w:val="left"/>
        <w:rPr>
          <w:rFonts w:hint="eastAsia" w:ascii="宋体" w:hAnsi="宋体" w:cs="宋体"/>
          <w:color w:val="auto"/>
          <w:kern w:val="0"/>
          <w:sz w:val="21"/>
          <w:szCs w:val="21"/>
          <w:highlight w:val="none"/>
          <w:lang w:val="zh-CN"/>
        </w:rPr>
      </w:pPr>
    </w:p>
    <w:p>
      <w:pPr>
        <w:keepNext w:val="0"/>
        <w:keepLines w:val="0"/>
        <w:pageBreakBefore w:val="0"/>
        <w:widowControl w:val="0"/>
        <w:kinsoku/>
        <w:wordWrap/>
        <w:overflowPunct/>
        <w:topLinePunct w:val="0"/>
        <w:bidi w:val="0"/>
        <w:adjustRightInd/>
        <w:snapToGrid w:val="0"/>
        <w:spacing w:line="240" w:lineRule="auto"/>
        <w:ind w:firstLine="420" w:firstLineChars="200"/>
        <w:jc w:val="left"/>
        <w:textAlignment w:val="auto"/>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注： </w:t>
      </w:r>
    </w:p>
    <w:p>
      <w:pPr>
        <w:keepNext w:val="0"/>
        <w:keepLines w:val="0"/>
        <w:pageBreakBefore w:val="0"/>
        <w:widowControl w:val="0"/>
        <w:kinsoku/>
        <w:wordWrap/>
        <w:overflowPunct/>
        <w:topLinePunct w:val="0"/>
        <w:bidi w:val="0"/>
        <w:adjustRightInd/>
        <w:snapToGrid w:val="0"/>
        <w:spacing w:line="240" w:lineRule="auto"/>
        <w:ind w:firstLine="420" w:firstLineChars="200"/>
        <w:jc w:val="left"/>
        <w:textAlignment w:val="auto"/>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1、供应商需按本表格式填写，不得自行更改，也不得留空（</w:t>
      </w:r>
      <w:r>
        <w:rPr>
          <w:rFonts w:hint="eastAsia" w:ascii="宋体" w:hAnsi="宋体" w:cs="宋体"/>
          <w:color w:val="auto"/>
          <w:sz w:val="21"/>
          <w:szCs w:val="21"/>
          <w:highlight w:val="none"/>
        </w:rPr>
        <w:t>备注除外</w:t>
      </w:r>
      <w:r>
        <w:rPr>
          <w:rFonts w:hint="eastAsia" w:ascii="宋体" w:hAnsi="宋体" w:cs="宋体"/>
          <w:color w:val="auto"/>
          <w:kern w:val="0"/>
          <w:sz w:val="21"/>
          <w:szCs w:val="21"/>
          <w:highlight w:val="none"/>
          <w:lang w:val="zh-CN"/>
        </w:rPr>
        <w:t>）, 如有多分标，按分标分别提供响应报价表，</w:t>
      </w:r>
      <w:r>
        <w:rPr>
          <w:rFonts w:hint="eastAsia" w:ascii="宋体" w:hAnsi="宋体" w:cs="宋体"/>
          <w:b/>
          <w:color w:val="auto"/>
          <w:kern w:val="0"/>
          <w:sz w:val="21"/>
          <w:szCs w:val="21"/>
          <w:highlight w:val="none"/>
          <w:lang w:val="zh-CN"/>
        </w:rPr>
        <w:t>否则其响应按无效响应处理。</w:t>
      </w:r>
    </w:p>
    <w:p>
      <w:pPr>
        <w:keepNext w:val="0"/>
        <w:keepLines w:val="0"/>
        <w:pageBreakBefore w:val="0"/>
        <w:widowControl w:val="0"/>
        <w:kinsoku/>
        <w:wordWrap/>
        <w:overflowPunct/>
        <w:topLinePunct w:val="0"/>
        <w:bidi w:val="0"/>
        <w:adjustRightInd/>
        <w:snapToGrid w:val="0"/>
        <w:spacing w:line="240" w:lineRule="auto"/>
        <w:ind w:firstLine="420" w:firstLineChars="200"/>
        <w:jc w:val="left"/>
        <w:textAlignment w:val="auto"/>
        <w:rPr>
          <w:rFonts w:hint="eastAsia" w:ascii="宋体" w:hAnsi="宋体" w:cs="宋体"/>
          <w:b/>
          <w:color w:val="auto"/>
          <w:kern w:val="0"/>
          <w:sz w:val="21"/>
          <w:szCs w:val="21"/>
          <w:highlight w:val="none"/>
          <w:lang w:val="zh-CN"/>
        </w:rPr>
      </w:pPr>
      <w:r>
        <w:rPr>
          <w:rFonts w:hint="eastAsia" w:ascii="宋体" w:hAnsi="宋体" w:cs="宋体"/>
          <w:color w:val="auto"/>
          <w:kern w:val="0"/>
          <w:sz w:val="21"/>
          <w:szCs w:val="21"/>
          <w:highlight w:val="none"/>
          <w:lang w:val="zh-CN"/>
        </w:rPr>
        <w:t>2、如为联合体响应的，“供应商名称”处必须列明联合体各方名称，并标注联合体牵头人名称，且盖章处须加盖联合体各方公章，</w:t>
      </w:r>
      <w:r>
        <w:rPr>
          <w:rFonts w:hint="eastAsia" w:ascii="宋体" w:hAnsi="宋体" w:cs="宋体"/>
          <w:b/>
          <w:color w:val="auto"/>
          <w:kern w:val="0"/>
          <w:sz w:val="21"/>
          <w:szCs w:val="21"/>
          <w:highlight w:val="none"/>
          <w:lang w:val="zh-CN"/>
        </w:rPr>
        <w:t>否则其响应按无效响应处理。</w:t>
      </w:r>
    </w:p>
    <w:p>
      <w:pPr>
        <w:keepNext w:val="0"/>
        <w:keepLines w:val="0"/>
        <w:pageBreakBefore w:val="0"/>
        <w:widowControl w:val="0"/>
        <w:kinsoku/>
        <w:wordWrap/>
        <w:overflowPunct/>
        <w:topLinePunct w:val="0"/>
        <w:bidi w:val="0"/>
        <w:adjustRightInd/>
        <w:snapToGrid w:val="0"/>
        <w:spacing w:line="240" w:lineRule="auto"/>
        <w:ind w:firstLine="420" w:firstLineChars="200"/>
        <w:jc w:val="left"/>
        <w:textAlignment w:val="auto"/>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lang w:val="zh-CN"/>
        </w:rPr>
        <w:t>、特别提示：采购代理机构将对项目名称和项目编号，成交供应商名称、地址和成交金额，主要成交标的的名称、服务范围、服务要求、服务时间、服务标准等予以公示。</w:t>
      </w:r>
    </w:p>
    <w:p>
      <w:pPr>
        <w:keepNext w:val="0"/>
        <w:keepLines w:val="0"/>
        <w:pageBreakBefore w:val="0"/>
        <w:widowControl w:val="0"/>
        <w:kinsoku/>
        <w:wordWrap/>
        <w:overflowPunct/>
        <w:topLinePunct w:val="0"/>
        <w:autoSpaceDE w:val="0"/>
        <w:autoSpaceDN w:val="0"/>
        <w:bidi w:val="0"/>
        <w:adjustRightInd/>
        <w:spacing w:line="360" w:lineRule="auto"/>
        <w:ind w:firstLine="3990" w:firstLineChars="1900"/>
        <w:textAlignment w:val="auto"/>
        <w:rPr>
          <w:rFonts w:hint="eastAsia" w:ascii="宋体" w:hAnsi="宋体" w:cs="宋体"/>
          <w:color w:val="auto"/>
          <w:kern w:val="0"/>
          <w:sz w:val="21"/>
          <w:szCs w:val="21"/>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3990" w:firstLineChars="1900"/>
        <w:textAlignment w:val="auto"/>
        <w:rPr>
          <w:rFonts w:hint="eastAsia" w:ascii="宋体" w:hAnsi="宋体" w:cs="宋体"/>
          <w:color w:val="auto"/>
          <w:kern w:val="0"/>
          <w:sz w:val="21"/>
          <w:szCs w:val="21"/>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3990" w:firstLineChars="19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供应商名称（盖公章）：</w:t>
      </w:r>
    </w:p>
    <w:p>
      <w:pPr>
        <w:keepNext w:val="0"/>
        <w:keepLines w:val="0"/>
        <w:pageBreakBefore w:val="0"/>
        <w:widowControl w:val="0"/>
        <w:kinsoku/>
        <w:wordWrap/>
        <w:overflowPunct/>
        <w:topLinePunct w:val="0"/>
        <w:bidi w:val="0"/>
        <w:adjustRightInd/>
        <w:spacing w:line="360" w:lineRule="auto"/>
        <w:ind w:firstLine="5565" w:firstLineChars="2650"/>
        <w:textAlignment w:val="auto"/>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  年  月   日</w:t>
      </w:r>
    </w:p>
    <w:p>
      <w:pPr>
        <w:spacing w:line="500" w:lineRule="exact"/>
        <w:rPr>
          <w:rFonts w:hint="eastAsia" w:ascii="仿宋" w:hAnsi="仿宋" w:eastAsia="仿宋" w:cs="仿宋_GB2312"/>
          <w:b/>
          <w:color w:val="auto"/>
          <w:sz w:val="30"/>
          <w:szCs w:val="30"/>
          <w:highlight w:val="none"/>
          <w:lang w:val="zh-CN"/>
        </w:rPr>
      </w:pPr>
      <w:r>
        <w:rPr>
          <w:rFonts w:hint="eastAsia" w:ascii="宋体" w:hAnsi="宋体" w:cs="宋体"/>
          <w:color w:val="auto"/>
          <w:kern w:val="0"/>
          <w:sz w:val="24"/>
          <w:szCs w:val="21"/>
          <w:highlight w:val="none"/>
          <w:lang w:val="zh-CN"/>
        </w:rPr>
        <w:br w:type="page"/>
      </w:r>
      <w:r>
        <w:rPr>
          <w:rFonts w:hint="eastAsia" w:ascii="宋体" w:hAnsi="宋体" w:cs="宋体"/>
          <w:b/>
          <w:color w:val="auto"/>
          <w:sz w:val="28"/>
          <w:szCs w:val="28"/>
          <w:highlight w:val="none"/>
        </w:rPr>
        <w:t>5.</w:t>
      </w:r>
      <w:r>
        <w:rPr>
          <w:rFonts w:hint="eastAsia" w:ascii="宋体" w:hAnsi="宋体" w:cs="宋体"/>
          <w:b/>
          <w:color w:val="auto"/>
          <w:sz w:val="28"/>
          <w:szCs w:val="28"/>
          <w:highlight w:val="none"/>
          <w:lang w:val="zh-CN"/>
        </w:rPr>
        <w:t>最后报价表的格式：</w:t>
      </w:r>
      <w:r>
        <w:rPr>
          <w:rFonts w:hint="eastAsia" w:ascii="仿宋" w:hAnsi="仿宋" w:eastAsia="仿宋" w:cs="仿宋_GB2312"/>
          <w:b/>
          <w:color w:val="auto"/>
          <w:sz w:val="30"/>
          <w:szCs w:val="30"/>
          <w:highlight w:val="none"/>
          <w:lang w:val="zh-CN"/>
        </w:rPr>
        <w:t xml:space="preserve"> </w:t>
      </w:r>
    </w:p>
    <w:p>
      <w:pPr>
        <w:spacing w:line="520" w:lineRule="exact"/>
        <w:ind w:firstLine="420" w:firstLineChars="200"/>
        <w:rPr>
          <w:rFonts w:hint="eastAsia" w:ascii="Calibri" w:hAnsi="Calibri"/>
          <w:color w:val="auto"/>
          <w:highlight w:val="none"/>
        </w:rPr>
      </w:pPr>
    </w:p>
    <w:p>
      <w:pPr>
        <w:spacing w:line="520" w:lineRule="exact"/>
        <w:jc w:val="center"/>
        <w:rPr>
          <w:rFonts w:hint="eastAsia"/>
          <w:b/>
          <w:bCs/>
          <w:color w:val="auto"/>
          <w:sz w:val="32"/>
          <w:szCs w:val="32"/>
          <w:highlight w:val="none"/>
        </w:rPr>
      </w:pPr>
      <w:r>
        <w:rPr>
          <w:rFonts w:hint="eastAsia"/>
          <w:b/>
          <w:bCs/>
          <w:color w:val="auto"/>
          <w:sz w:val="32"/>
          <w:szCs w:val="32"/>
          <w:highlight w:val="none"/>
        </w:rPr>
        <w:t>最后报价表</w:t>
      </w:r>
    </w:p>
    <w:p>
      <w:pPr>
        <w:snapToGrid w:val="0"/>
        <w:spacing w:before="50"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snapToGrid w:val="0"/>
        <w:spacing w:before="50"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p>
    <w:p>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所竞分标（如有则填写，无分标时填写“无”或者留空）：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tbl>
      <w:tblPr>
        <w:tblStyle w:val="31"/>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065"/>
        <w:gridCol w:w="2299"/>
        <w:gridCol w:w="890"/>
        <w:gridCol w:w="2659"/>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标的名称</w:t>
            </w: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数量及单位</w:t>
            </w:r>
          </w:p>
        </w:tc>
        <w:tc>
          <w:tcPr>
            <w:tcW w:w="26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总报价(</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sz w:val="21"/>
                <w:szCs w:val="21"/>
                <w:highlight w:val="none"/>
              </w:rPr>
              <w:t>)</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w:t>
            </w:r>
            <w:r>
              <w:rPr>
                <w:rFonts w:hint="eastAsia" w:ascii="宋体" w:hAnsi="宋体" w:eastAsia="宋体" w:cs="宋体"/>
                <w:color w:val="auto"/>
                <w:sz w:val="21"/>
                <w:szCs w:val="21"/>
                <w:highlight w:val="none"/>
              </w:rPr>
              <w:t>服务需求偏离表</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响应文件响应的</w:t>
            </w:r>
            <w:r>
              <w:rPr>
                <w:rFonts w:hint="eastAsia" w:ascii="宋体" w:hAnsi="宋体" w:eastAsia="宋体" w:cs="宋体"/>
                <w:color w:val="auto"/>
                <w:sz w:val="21"/>
                <w:szCs w:val="21"/>
                <w:highlight w:val="none"/>
                <w:lang w:eastAsia="zh-CN"/>
              </w:rPr>
              <w:t>技术要求</w:t>
            </w:r>
            <w:r>
              <w:rPr>
                <w:rFonts w:hint="eastAsia" w:ascii="宋体" w:hAnsi="宋体" w:eastAsia="宋体" w:cs="宋体"/>
                <w:color w:val="auto"/>
                <w:sz w:val="21"/>
                <w:szCs w:val="21"/>
                <w:highlight w:val="none"/>
                <w:lang w:val="en-US" w:eastAsia="zh-CN"/>
              </w:rPr>
              <w:t>提供服务</w:t>
            </w: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w:t>
            </w:r>
          </w:p>
        </w:tc>
        <w:tc>
          <w:tcPr>
            <w:tcW w:w="2659"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p>
        </w:tc>
        <w:tc>
          <w:tcPr>
            <w:tcW w:w="110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33"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9733" w:type="dxa"/>
            <w:gridSpan w:val="6"/>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报价合计(包含税费等所有费用):(大写)人民币</w:t>
            </w:r>
          </w:p>
        </w:tc>
      </w:tr>
    </w:tbl>
    <w:p>
      <w:pPr>
        <w:snapToGrid w:val="0"/>
        <w:spacing w:before="50" w:after="50" w:line="360" w:lineRule="auto"/>
        <w:ind w:firstLine="420" w:firstLineChars="200"/>
        <w:jc w:val="left"/>
        <w:rPr>
          <w:rFonts w:hint="eastAsia" w:ascii="宋体" w:hAnsi="宋体" w:eastAsia="宋体" w:cs="宋体"/>
          <w:color w:val="auto"/>
          <w:kern w:val="0"/>
          <w:sz w:val="21"/>
          <w:szCs w:val="21"/>
          <w:highlight w:val="none"/>
          <w:lang w:val="zh-CN"/>
        </w:rPr>
      </w:pPr>
    </w:p>
    <w:p>
      <w:pPr>
        <w:keepNext w:val="0"/>
        <w:keepLines w:val="0"/>
        <w:pageBreakBefore w:val="0"/>
        <w:widowControl w:val="0"/>
        <w:kinsoku/>
        <w:wordWrap/>
        <w:overflowPunct/>
        <w:topLinePunct w:val="0"/>
        <w:bidi w:val="0"/>
        <w:adjustRightInd/>
        <w:snapToGrid w:val="0"/>
        <w:spacing w:line="240" w:lineRule="auto"/>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注： </w:t>
      </w:r>
    </w:p>
    <w:p>
      <w:pPr>
        <w:keepNext w:val="0"/>
        <w:keepLines w:val="0"/>
        <w:pageBreakBefore w:val="0"/>
        <w:widowControl w:val="0"/>
        <w:kinsoku/>
        <w:wordWrap/>
        <w:overflowPunct/>
        <w:topLinePunct w:val="0"/>
        <w:bidi w:val="0"/>
        <w:adjustRightInd/>
        <w:snapToGrid w:val="0"/>
        <w:spacing w:line="240" w:lineRule="auto"/>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1、供应商需按本表格式填写，不得自行更改，也不得留空（</w:t>
      </w:r>
      <w:r>
        <w:rPr>
          <w:rFonts w:hint="eastAsia" w:ascii="宋体" w:hAnsi="宋体" w:eastAsia="宋体" w:cs="宋体"/>
          <w:color w:val="auto"/>
          <w:sz w:val="21"/>
          <w:szCs w:val="21"/>
          <w:highlight w:val="none"/>
        </w:rPr>
        <w:t>备注除外</w:t>
      </w:r>
      <w:r>
        <w:rPr>
          <w:rFonts w:hint="eastAsia" w:ascii="宋体" w:hAnsi="宋体" w:eastAsia="宋体" w:cs="宋体"/>
          <w:color w:val="auto"/>
          <w:kern w:val="0"/>
          <w:sz w:val="21"/>
          <w:szCs w:val="21"/>
          <w:highlight w:val="none"/>
          <w:lang w:val="zh-CN"/>
        </w:rPr>
        <w:t>）, 如有多分标，按分标分别提供响应报价表，</w:t>
      </w:r>
      <w:r>
        <w:rPr>
          <w:rFonts w:hint="eastAsia" w:ascii="宋体" w:hAnsi="宋体" w:eastAsia="宋体" w:cs="宋体"/>
          <w:b/>
          <w:color w:val="auto"/>
          <w:kern w:val="0"/>
          <w:sz w:val="21"/>
          <w:szCs w:val="21"/>
          <w:highlight w:val="none"/>
          <w:lang w:val="zh-CN"/>
        </w:rPr>
        <w:t>否则其响应按无效响应处理。</w:t>
      </w:r>
    </w:p>
    <w:p>
      <w:pPr>
        <w:keepNext w:val="0"/>
        <w:keepLines w:val="0"/>
        <w:pageBreakBefore w:val="0"/>
        <w:widowControl w:val="0"/>
        <w:kinsoku/>
        <w:wordWrap/>
        <w:overflowPunct/>
        <w:topLinePunct w:val="0"/>
        <w:bidi w:val="0"/>
        <w:adjustRightInd/>
        <w:snapToGrid w:val="0"/>
        <w:spacing w:line="240" w:lineRule="auto"/>
        <w:ind w:firstLine="420" w:firstLineChars="20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2、如为联合体响应的，“供应商名称”处必须列明联合体各方名称，并标注联合体牵头人名称，且盖章处须加盖联合体各方公章，</w:t>
      </w:r>
      <w:r>
        <w:rPr>
          <w:rFonts w:hint="eastAsia" w:ascii="宋体" w:hAnsi="宋体" w:eastAsia="宋体" w:cs="宋体"/>
          <w:b/>
          <w:color w:val="auto"/>
          <w:kern w:val="0"/>
          <w:sz w:val="21"/>
          <w:szCs w:val="21"/>
          <w:highlight w:val="none"/>
          <w:lang w:val="zh-CN"/>
        </w:rPr>
        <w:t>否则其响应按无效响应处理。</w:t>
      </w:r>
    </w:p>
    <w:p>
      <w:pPr>
        <w:keepNext w:val="0"/>
        <w:keepLines w:val="0"/>
        <w:pageBreakBefore w:val="0"/>
        <w:widowControl w:val="0"/>
        <w:kinsoku/>
        <w:wordWrap/>
        <w:overflowPunct/>
        <w:topLinePunct w:val="0"/>
        <w:bidi w:val="0"/>
        <w:adjustRightInd/>
        <w:snapToGrid w:val="0"/>
        <w:spacing w:line="240" w:lineRule="auto"/>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zh-CN"/>
        </w:rPr>
        <w:t>、特别提示：采购代理机构将对项目名称和项目编号，成交供应商名称、地址和成交金额，主要成交标的的名称、服务范围、服务要求、服务时间、服务标准等予以公示。</w:t>
      </w:r>
    </w:p>
    <w:p>
      <w:pPr>
        <w:keepNext w:val="0"/>
        <w:keepLines w:val="0"/>
        <w:pageBreakBefore w:val="0"/>
        <w:widowControl w:val="0"/>
        <w:kinsoku/>
        <w:wordWrap/>
        <w:overflowPunct/>
        <w:topLinePunct w:val="0"/>
        <w:bidi w:val="0"/>
        <w:adjustRightInd/>
        <w:snapToGrid w:val="0"/>
        <w:spacing w:line="240" w:lineRule="auto"/>
        <w:ind w:firstLine="420" w:firstLineChars="200"/>
        <w:jc w:val="left"/>
        <w:textAlignment w:val="auto"/>
        <w:rPr>
          <w:rFonts w:hint="eastAsia" w:ascii="宋体" w:hAnsi="宋体" w:eastAsia="宋体" w:cs="宋体"/>
          <w:color w:val="auto"/>
          <w:kern w:val="0"/>
          <w:sz w:val="21"/>
          <w:szCs w:val="21"/>
          <w:highlight w:val="none"/>
          <w:lang w:val="zh-CN"/>
        </w:rPr>
      </w:pPr>
    </w:p>
    <w:p>
      <w:pPr>
        <w:keepNext w:val="0"/>
        <w:keepLines w:val="0"/>
        <w:pageBreakBefore w:val="0"/>
        <w:widowControl w:val="0"/>
        <w:kinsoku/>
        <w:wordWrap/>
        <w:overflowPunct/>
        <w:topLinePunct w:val="0"/>
        <w:autoSpaceDE w:val="0"/>
        <w:autoSpaceDN w:val="0"/>
        <w:bidi w:val="0"/>
        <w:adjustRightInd/>
        <w:spacing w:line="360" w:lineRule="auto"/>
        <w:ind w:firstLine="3990" w:firstLineChars="1900"/>
        <w:textAlignment w:val="auto"/>
        <w:rPr>
          <w:rFonts w:hint="eastAsia" w:ascii="宋体" w:hAnsi="宋体" w:eastAsia="宋体" w:cs="宋体"/>
          <w:color w:val="auto"/>
          <w:kern w:val="0"/>
          <w:sz w:val="21"/>
          <w:szCs w:val="21"/>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3990" w:firstLineChars="19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供应商名称（盖公章）：</w:t>
      </w:r>
    </w:p>
    <w:p>
      <w:pPr>
        <w:keepNext w:val="0"/>
        <w:keepLines w:val="0"/>
        <w:pageBreakBefore w:val="0"/>
        <w:widowControl w:val="0"/>
        <w:kinsoku/>
        <w:wordWrap/>
        <w:overflowPunct/>
        <w:topLinePunct w:val="0"/>
        <w:bidi w:val="0"/>
        <w:adjustRightInd/>
        <w:spacing w:line="360" w:lineRule="auto"/>
        <w:ind w:firstLine="5565" w:firstLineChars="265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  年  月   日</w:t>
      </w:r>
    </w:p>
    <w:p>
      <w:pPr>
        <w:spacing w:line="500" w:lineRule="exact"/>
        <w:ind w:firstLine="6360" w:firstLineChars="2650"/>
        <w:rPr>
          <w:rFonts w:hint="eastAsia" w:ascii="宋体" w:hAnsi="宋体" w:cs="宋体"/>
          <w:color w:val="auto"/>
          <w:sz w:val="24"/>
          <w:highlight w:val="none"/>
          <w:lang w:val="zh-CN"/>
        </w:rPr>
        <w:sectPr>
          <w:pgSz w:w="11911" w:h="16838"/>
          <w:pgMar w:top="1134" w:right="1134" w:bottom="1134" w:left="1134" w:header="720" w:footer="720" w:gutter="0"/>
          <w:cols w:space="720" w:num="1"/>
        </w:sectPr>
      </w:pPr>
    </w:p>
    <w:p>
      <w:pPr>
        <w:pStyle w:val="4"/>
        <w:jc w:val="center"/>
        <w:rPr>
          <w:rFonts w:ascii="宋体" w:hAnsi="宋体"/>
          <w:b w:val="0"/>
          <w:color w:val="auto"/>
          <w:highlight w:val="none"/>
        </w:rPr>
      </w:pPr>
      <w:bookmarkStart w:id="145" w:name="_Toc13936"/>
      <w:bookmarkStart w:id="146" w:name="_Toc80205942"/>
      <w:bookmarkStart w:id="147" w:name="_Toc18482"/>
      <w:bookmarkStart w:id="148" w:name="_Toc80886946"/>
      <w:r>
        <w:rPr>
          <w:rFonts w:hint="eastAsia" w:ascii="宋体" w:hAnsi="宋体"/>
          <w:color w:val="auto"/>
          <w:highlight w:val="none"/>
        </w:rPr>
        <w:t>第四节 其他文书、文件格式</w:t>
      </w:r>
      <w:bookmarkEnd w:id="145"/>
      <w:bookmarkEnd w:id="146"/>
      <w:bookmarkEnd w:id="147"/>
      <w:bookmarkEnd w:id="148"/>
    </w:p>
    <w:p>
      <w:pPr>
        <w:spacing w:line="500" w:lineRule="exact"/>
        <w:rPr>
          <w:rFonts w:hint="eastAsia" w:ascii="宋体" w:hAnsi="宋体" w:cs="宋体"/>
          <w:b/>
          <w:color w:val="auto"/>
          <w:sz w:val="30"/>
          <w:szCs w:val="30"/>
          <w:highlight w:val="none"/>
          <w:lang w:val="zh-CN"/>
        </w:rPr>
      </w:pPr>
      <w:r>
        <w:rPr>
          <w:rFonts w:hint="eastAsia" w:ascii="宋体" w:hAnsi="宋体" w:cs="宋体"/>
          <w:b/>
          <w:color w:val="auto"/>
          <w:sz w:val="30"/>
          <w:szCs w:val="30"/>
          <w:highlight w:val="none"/>
        </w:rPr>
        <w:t>1.</w:t>
      </w:r>
      <w:r>
        <w:rPr>
          <w:rFonts w:hint="eastAsia" w:ascii="宋体" w:hAnsi="宋体" w:cs="宋体"/>
          <w:b/>
          <w:color w:val="auto"/>
          <w:sz w:val="30"/>
          <w:szCs w:val="30"/>
          <w:highlight w:val="none"/>
          <w:lang w:val="zh-CN"/>
        </w:rPr>
        <w:t>中小企业声明函的格式：</w:t>
      </w:r>
    </w:p>
    <w:p>
      <w:pPr>
        <w:pStyle w:val="2"/>
        <w:rPr>
          <w:rFonts w:hint="eastAsia" w:ascii="宋体" w:hAnsi="宋体" w:cs="宋体"/>
          <w:color w:val="auto"/>
          <w:highlight w:val="none"/>
        </w:rPr>
      </w:pPr>
    </w:p>
    <w:p>
      <w:pPr>
        <w:spacing w:line="300" w:lineRule="auto"/>
        <w:ind w:firstLine="3520" w:firstLineChars="800"/>
        <w:rPr>
          <w:rFonts w:hint="eastAsia" w:ascii="宋体" w:hAnsi="宋体" w:cs="宋体"/>
          <w:color w:val="auto"/>
          <w:sz w:val="44"/>
          <w:szCs w:val="44"/>
          <w:highlight w:val="none"/>
        </w:rPr>
      </w:pPr>
      <w:r>
        <w:rPr>
          <w:rFonts w:hint="eastAsia" w:ascii="宋体" w:hAnsi="宋体" w:cs="宋体"/>
          <w:color w:val="auto"/>
          <w:sz w:val="44"/>
          <w:szCs w:val="44"/>
          <w:highlight w:val="none"/>
        </w:rPr>
        <w:t>中小企业声明函</w:t>
      </w:r>
    </w:p>
    <w:p>
      <w:pPr>
        <w:pStyle w:val="16"/>
        <w:spacing w:after="0" w:line="360" w:lineRule="auto"/>
        <w:ind w:left="-426" w:right="142" w:firstLine="640"/>
        <w:contextualSpacing/>
        <w:rPr>
          <w:rFonts w:hint="eastAsia" w:ascii="宋体" w:hAnsi="宋体" w:cs="宋体"/>
          <w:color w:val="auto"/>
          <w:sz w:val="24"/>
          <w:highlight w:val="none"/>
        </w:rPr>
      </w:pPr>
    </w:p>
    <w:p>
      <w:pPr>
        <w:pStyle w:val="16"/>
        <w:spacing w:after="0" w:line="360" w:lineRule="auto"/>
        <w:ind w:left="-426" w:right="142" w:firstLine="640"/>
        <w:contextualSpacing/>
        <w:rPr>
          <w:rFonts w:hint="eastAsia"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i/>
          <w:iCs/>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i/>
          <w:iCs/>
          <w:color w:val="auto"/>
          <w:sz w:val="24"/>
          <w:highlight w:val="none"/>
          <w:u w:val="single"/>
        </w:rPr>
        <w:t>（项目名称）</w:t>
      </w:r>
      <w:r>
        <w:rPr>
          <w:rFonts w:hint="eastAsia" w:ascii="宋体" w:hAnsi="宋体" w:cs="宋体"/>
          <w:color w:val="auto"/>
          <w:sz w:val="24"/>
          <w:highlight w:val="none"/>
        </w:rPr>
        <w:t>采购活动，</w:t>
      </w:r>
      <w:r>
        <w:rPr>
          <w:rFonts w:hint="eastAsia" w:ascii="宋体" w:hAnsi="宋体" w:cs="宋体"/>
          <w:color w:val="auto"/>
          <w:kern w:val="0"/>
          <w:sz w:val="24"/>
          <w:highlight w:val="none"/>
        </w:rPr>
        <w:t>服务全部由符合政策要求的中小企业承接</w:t>
      </w:r>
      <w:r>
        <w:rPr>
          <w:rFonts w:hint="eastAsia" w:ascii="宋体" w:hAnsi="宋体" w:cs="宋体"/>
          <w:color w:val="auto"/>
          <w:sz w:val="24"/>
          <w:highlight w:val="none"/>
        </w:rPr>
        <w:t>。相关企业（含联合体中的</w:t>
      </w:r>
      <w:r>
        <w:rPr>
          <w:rFonts w:hint="eastAsia" w:ascii="宋体" w:hAnsi="宋体" w:cs="宋体"/>
          <w:color w:val="auto"/>
          <w:kern w:val="0"/>
          <w:sz w:val="24"/>
          <w:highlight w:val="none"/>
        </w:rPr>
        <w:t>中小</w:t>
      </w:r>
      <w:r>
        <w:rPr>
          <w:rFonts w:hint="eastAsia" w:ascii="宋体" w:hAnsi="宋体" w:cs="宋体"/>
          <w:color w:val="auto"/>
          <w:sz w:val="24"/>
          <w:highlight w:val="none"/>
        </w:rPr>
        <w:t>企业、签订分包意向协议的中小企业）的具体情况如下：</w:t>
      </w:r>
    </w:p>
    <w:p>
      <w:pPr>
        <w:tabs>
          <w:tab w:val="left" w:pos="1384"/>
          <w:tab w:val="left" w:pos="4562"/>
          <w:tab w:val="left" w:pos="6803"/>
        </w:tabs>
        <w:spacing w:line="360" w:lineRule="auto"/>
        <w:ind w:left="-426" w:right="-58" w:firstLine="655"/>
        <w:contextualSpacing/>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标的名称</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采购文件中明确的所属行业</w:t>
      </w:r>
      <w:r>
        <w:rPr>
          <w:rFonts w:hint="eastAsia" w:ascii="宋体" w:hAnsi="宋体" w:cs="宋体"/>
          <w:color w:val="auto"/>
          <w:sz w:val="24"/>
          <w:highlight w:val="none"/>
          <w:u w:val="single"/>
        </w:rPr>
        <w:t>）</w:t>
      </w:r>
      <w:r>
        <w:rPr>
          <w:rFonts w:hint="eastAsia" w:ascii="宋体" w:hAnsi="宋体" w:cs="宋体"/>
          <w:color w:val="auto"/>
          <w:sz w:val="24"/>
          <w:highlight w:val="none"/>
        </w:rPr>
        <w:t>；</w:t>
      </w:r>
      <w:r>
        <w:rPr>
          <w:rFonts w:hint="eastAsia" w:ascii="宋体" w:hAnsi="宋体" w:cs="宋体"/>
          <w:color w:val="auto"/>
          <w:kern w:val="0"/>
          <w:sz w:val="24"/>
          <w:highlight w:val="none"/>
        </w:rPr>
        <w:t>承建（承接）企业</w:t>
      </w:r>
      <w:r>
        <w:rPr>
          <w:rFonts w:hint="eastAsia" w:ascii="宋体" w:hAnsi="宋体" w:cs="宋体"/>
          <w:color w:val="auto"/>
          <w:sz w:val="24"/>
          <w:highlight w:val="none"/>
        </w:rPr>
        <w:t>为</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企业名称</w:t>
      </w:r>
      <w:r>
        <w:rPr>
          <w:rFonts w:hint="eastAsia" w:ascii="宋体" w:hAnsi="宋体" w:cs="宋体"/>
          <w:color w:val="auto"/>
          <w:sz w:val="24"/>
          <w:highlight w:val="none"/>
          <w:u w:val="single"/>
        </w:rPr>
        <w:t>）</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中型企业、小型企业、微型企业</w:t>
      </w:r>
      <w:r>
        <w:rPr>
          <w:rFonts w:hint="eastAsia" w:ascii="宋体" w:hAnsi="宋体" w:cs="宋体"/>
          <w:color w:val="auto"/>
          <w:sz w:val="24"/>
          <w:highlight w:val="none"/>
          <w:u w:val="single"/>
        </w:rPr>
        <w:t>）</w:t>
      </w:r>
      <w:r>
        <w:rPr>
          <w:rFonts w:hint="eastAsia" w:ascii="宋体" w:hAnsi="宋体" w:cs="宋体"/>
          <w:color w:val="auto"/>
          <w:sz w:val="24"/>
          <w:highlight w:val="none"/>
        </w:rPr>
        <w:t>；</w:t>
      </w:r>
    </w:p>
    <w:p>
      <w:pPr>
        <w:tabs>
          <w:tab w:val="left" w:pos="1065"/>
          <w:tab w:val="left" w:pos="6477"/>
        </w:tabs>
        <w:spacing w:line="360" w:lineRule="auto"/>
        <w:ind w:left="-426" w:right="-58" w:firstLine="655"/>
        <w:contextualSpacing/>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标的名称</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采购文件中明确的所属行业</w:t>
      </w:r>
      <w:r>
        <w:rPr>
          <w:rFonts w:hint="eastAsia" w:ascii="宋体" w:hAnsi="宋体" w:cs="宋体"/>
          <w:color w:val="auto"/>
          <w:sz w:val="24"/>
          <w:highlight w:val="none"/>
          <w:u w:val="single"/>
        </w:rPr>
        <w:t>）</w:t>
      </w:r>
      <w:r>
        <w:rPr>
          <w:rFonts w:hint="eastAsia" w:ascii="宋体" w:hAnsi="宋体" w:cs="宋体"/>
          <w:color w:val="auto"/>
          <w:sz w:val="24"/>
          <w:highlight w:val="none"/>
        </w:rPr>
        <w:t>；</w:t>
      </w:r>
      <w:r>
        <w:rPr>
          <w:rFonts w:hint="eastAsia" w:ascii="宋体" w:hAnsi="宋体" w:cs="宋体"/>
          <w:color w:val="auto"/>
          <w:kern w:val="0"/>
          <w:sz w:val="24"/>
          <w:highlight w:val="none"/>
        </w:rPr>
        <w:t>承建（承接）企业</w:t>
      </w:r>
      <w:r>
        <w:rPr>
          <w:rFonts w:hint="eastAsia" w:ascii="宋体" w:hAnsi="宋体" w:cs="宋体"/>
          <w:color w:val="auto"/>
          <w:sz w:val="24"/>
          <w:highlight w:val="none"/>
        </w:rPr>
        <w:t>为</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企业名称</w:t>
      </w:r>
      <w:r>
        <w:rPr>
          <w:rFonts w:hint="eastAsia" w:ascii="宋体" w:hAnsi="宋体" w:cs="宋体"/>
          <w:color w:val="auto"/>
          <w:sz w:val="24"/>
          <w:highlight w:val="none"/>
          <w:u w:val="single"/>
        </w:rPr>
        <w:t>）</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中型企业、小型企业、微型企业</w:t>
      </w:r>
      <w:r>
        <w:rPr>
          <w:rFonts w:hint="eastAsia" w:ascii="宋体" w:hAnsi="宋体" w:cs="宋体"/>
          <w:color w:val="auto"/>
          <w:sz w:val="24"/>
          <w:highlight w:val="none"/>
          <w:u w:val="single"/>
        </w:rPr>
        <w:t>）</w:t>
      </w:r>
      <w:r>
        <w:rPr>
          <w:rFonts w:hint="eastAsia" w:ascii="宋体" w:hAnsi="宋体" w:cs="宋体"/>
          <w:color w:val="auto"/>
          <w:sz w:val="24"/>
          <w:highlight w:val="none"/>
        </w:rPr>
        <w:t>；</w:t>
      </w:r>
    </w:p>
    <w:p>
      <w:pPr>
        <w:pStyle w:val="16"/>
        <w:spacing w:after="0" w:line="360" w:lineRule="auto"/>
        <w:ind w:left="142" w:right="142"/>
        <w:contextualSpacing/>
        <w:rPr>
          <w:rFonts w:hint="eastAsia" w:ascii="宋体" w:hAnsi="宋体" w:cs="宋体"/>
          <w:color w:val="auto"/>
          <w:sz w:val="24"/>
          <w:highlight w:val="none"/>
        </w:rPr>
      </w:pPr>
      <w:r>
        <w:rPr>
          <w:rFonts w:hint="eastAsia" w:ascii="宋体" w:hAnsi="宋体" w:cs="宋体"/>
          <w:color w:val="auto"/>
          <w:sz w:val="24"/>
          <w:highlight w:val="none"/>
        </w:rPr>
        <w:t xml:space="preserve">…… </w:t>
      </w:r>
    </w:p>
    <w:p>
      <w:pPr>
        <w:pStyle w:val="16"/>
        <w:spacing w:after="0" w:line="360" w:lineRule="auto"/>
        <w:ind w:left="-405" w:leftChars="-193" w:right="142" w:firstLine="453" w:firstLineChars="189"/>
        <w:contextualSpacing/>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pStyle w:val="16"/>
        <w:spacing w:after="0" w:line="360" w:lineRule="auto"/>
        <w:ind w:left="-426" w:right="142" w:firstLine="567"/>
        <w:contextualSpacing/>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pStyle w:val="16"/>
        <w:spacing w:after="0" w:line="360" w:lineRule="auto"/>
        <w:ind w:left="3960" w:right="1808"/>
        <w:contextualSpacing/>
        <w:rPr>
          <w:rFonts w:hint="eastAsia" w:ascii="宋体" w:hAnsi="宋体" w:cs="宋体"/>
          <w:color w:val="auto"/>
          <w:sz w:val="24"/>
          <w:highlight w:val="none"/>
        </w:rPr>
      </w:pPr>
    </w:p>
    <w:p>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供应商名称（盖公章）：</w:t>
      </w:r>
    </w:p>
    <w:p>
      <w:pPr>
        <w:autoSpaceDE w:val="0"/>
        <w:autoSpaceDN w:val="0"/>
        <w:spacing w:line="360" w:lineRule="auto"/>
        <w:ind w:firstLine="6480" w:firstLineChars="27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pStyle w:val="16"/>
        <w:spacing w:after="0" w:line="360" w:lineRule="auto"/>
        <w:ind w:left="3960" w:right="1808"/>
        <w:contextualSpacing/>
        <w:rPr>
          <w:rFonts w:hint="eastAsia" w:ascii="宋体" w:hAnsi="宋体" w:cs="宋体"/>
          <w:color w:val="auto"/>
          <w:highlight w:val="none"/>
        </w:rPr>
      </w:pPr>
    </w:p>
    <w:p>
      <w:pPr>
        <w:spacing w:line="360" w:lineRule="auto"/>
        <w:ind w:firstLine="480" w:firstLineChars="200"/>
        <w:contextualSpacing/>
        <w:jc w:val="left"/>
        <w:rPr>
          <w:rFonts w:hint="eastAsia" w:ascii="宋体" w:hAnsi="宋体" w:cs="宋体"/>
          <w:color w:val="auto"/>
          <w:kern w:val="0"/>
          <w:sz w:val="24"/>
          <w:highlight w:val="none"/>
        </w:rPr>
      </w:pPr>
      <w:r>
        <w:rPr>
          <w:rFonts w:hint="eastAsia" w:ascii="宋体" w:hAnsi="宋体" w:cs="宋体"/>
          <w:color w:val="auto"/>
          <w:sz w:val="24"/>
          <w:highlight w:val="none"/>
        </w:rPr>
        <w:t>注：享受《政府采购促进中小企业发展管理办法》（财库〔2020〕46号）规定的中小企业扶持政策的，采购人或者采购代理机构应当随成交结果公开成交供应商的《</w:t>
      </w:r>
      <w:r>
        <w:rPr>
          <w:rFonts w:hint="eastAsia" w:ascii="宋体" w:hAnsi="宋体" w:cs="宋体"/>
          <w:color w:val="auto"/>
          <w:sz w:val="24"/>
          <w:highlight w:val="none"/>
          <w:lang w:val="en-US" w:eastAsia="zh-CN"/>
        </w:rPr>
        <w:t>中小</w:t>
      </w:r>
      <w:r>
        <w:rPr>
          <w:rFonts w:hint="eastAsia" w:ascii="宋体" w:hAnsi="宋体" w:cs="宋体"/>
          <w:color w:val="auto"/>
          <w:sz w:val="24"/>
          <w:highlight w:val="none"/>
        </w:rPr>
        <w:t>企业声明函》，接受社会监督。从业人员、营业收入、资产总额填报上一年度数据，无上一年度数据的新成立企业可不填报。</w:t>
      </w:r>
    </w:p>
    <w:p>
      <w:pPr>
        <w:snapToGrid w:val="0"/>
        <w:spacing w:before="120" w:beforeLines="50" w:after="50" w:line="360" w:lineRule="auto"/>
        <w:outlineLvl w:val="1"/>
        <w:rPr>
          <w:rFonts w:hint="eastAsia" w:ascii="宋体" w:hAnsi="宋体" w:cs="宋体"/>
          <w:b/>
          <w:bCs/>
          <w:color w:val="auto"/>
          <w:sz w:val="32"/>
          <w:szCs w:val="32"/>
          <w:highlight w:val="none"/>
        </w:rPr>
        <w:sectPr>
          <w:pgSz w:w="11911" w:h="16838"/>
          <w:pgMar w:top="1134" w:right="1134" w:bottom="1134" w:left="1134" w:header="720" w:footer="720" w:gutter="0"/>
          <w:cols w:space="720" w:num="1"/>
        </w:sectPr>
      </w:pPr>
    </w:p>
    <w:p>
      <w:pPr>
        <w:spacing w:line="520" w:lineRule="exact"/>
        <w:rPr>
          <w:rFonts w:hint="eastAsia" w:hAnsi="宋体" w:cs="宋体"/>
          <w:b/>
          <w:color w:val="auto"/>
          <w:sz w:val="28"/>
          <w:szCs w:val="28"/>
          <w:highlight w:val="none"/>
        </w:rPr>
      </w:pPr>
      <w:r>
        <w:rPr>
          <w:rFonts w:hint="eastAsia" w:ascii="宋体" w:hAnsi="宋体" w:cs="宋体"/>
          <w:b/>
          <w:color w:val="auto"/>
          <w:sz w:val="28"/>
          <w:szCs w:val="28"/>
          <w:highlight w:val="none"/>
        </w:rPr>
        <w:t>2.</w:t>
      </w:r>
      <w:r>
        <w:rPr>
          <w:rFonts w:hint="eastAsia" w:hAnsi="宋体" w:cs="宋体"/>
          <w:b/>
          <w:color w:val="auto"/>
          <w:sz w:val="28"/>
          <w:szCs w:val="28"/>
          <w:highlight w:val="none"/>
        </w:rPr>
        <w:t>残疾人福利性单位声明函的格式：</w:t>
      </w:r>
    </w:p>
    <w:p>
      <w:pPr>
        <w:pStyle w:val="2"/>
        <w:rPr>
          <w:color w:val="auto"/>
          <w:highlight w:val="none"/>
        </w:rPr>
      </w:pPr>
    </w:p>
    <w:p>
      <w:pPr>
        <w:spacing w:line="520" w:lineRule="exact"/>
        <w:jc w:val="center"/>
        <w:rPr>
          <w:rFonts w:hint="eastAsia" w:ascii="仿宋" w:hAnsi="仿宋" w:eastAsia="仿宋" w:cs="仿宋"/>
          <w:color w:val="auto"/>
          <w:sz w:val="44"/>
          <w:szCs w:val="44"/>
          <w:highlight w:val="none"/>
        </w:rPr>
      </w:pPr>
    </w:p>
    <w:p>
      <w:pPr>
        <w:spacing w:line="520" w:lineRule="exact"/>
        <w:jc w:val="center"/>
        <w:rPr>
          <w:rFonts w:hint="eastAsia" w:ascii="仿宋" w:hAnsi="仿宋" w:eastAsia="仿宋" w:cs="仿宋"/>
          <w:color w:val="auto"/>
          <w:sz w:val="44"/>
          <w:szCs w:val="44"/>
          <w:highlight w:val="none"/>
        </w:rPr>
      </w:pPr>
    </w:p>
    <w:p>
      <w:pPr>
        <w:spacing w:line="520" w:lineRule="exact"/>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残疾人福利性单位声明函</w:t>
      </w:r>
    </w:p>
    <w:p>
      <w:pPr>
        <w:spacing w:line="520" w:lineRule="exact"/>
        <w:rPr>
          <w:rFonts w:hint="eastAsia" w:ascii="宋体" w:hAnsi="宋体" w:cs="宋体"/>
          <w:color w:val="auto"/>
          <w:sz w:val="32"/>
          <w:szCs w:val="32"/>
          <w:highlight w:val="none"/>
        </w:rPr>
      </w:pPr>
    </w:p>
    <w:p>
      <w:pPr>
        <w:spacing w:line="360" w:lineRule="auto"/>
        <w:ind w:firstLine="480" w:firstLineChars="200"/>
        <w:contextualSpacing/>
        <w:rPr>
          <w:rFonts w:hint="eastAsia" w:ascii="宋体" w:hAnsi="宋体" w:cs="宋体"/>
          <w:color w:val="auto"/>
          <w:sz w:val="24"/>
          <w:highlight w:val="none"/>
        </w:rPr>
      </w:pP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contextualSpacing/>
        <w:rPr>
          <w:rFonts w:hint="eastAsia" w:ascii="宋体" w:hAnsi="宋体" w:cs="宋体"/>
          <w:color w:val="auto"/>
          <w:sz w:val="24"/>
          <w:highlight w:val="none"/>
        </w:rPr>
      </w:pPr>
    </w:p>
    <w:p>
      <w:pPr>
        <w:spacing w:line="360" w:lineRule="auto"/>
        <w:contextualSpacing/>
        <w:rPr>
          <w:rFonts w:hint="eastAsia" w:ascii="宋体" w:hAnsi="宋体" w:cs="宋体"/>
          <w:color w:val="auto"/>
          <w:sz w:val="24"/>
          <w:highlight w:val="none"/>
        </w:rPr>
      </w:pPr>
    </w:p>
    <w:p>
      <w:pPr>
        <w:spacing w:line="360" w:lineRule="auto"/>
        <w:contextualSpacing/>
        <w:rPr>
          <w:rFonts w:hint="eastAsia" w:ascii="宋体" w:hAnsi="宋体" w:cs="宋体"/>
          <w:color w:val="auto"/>
          <w:sz w:val="24"/>
          <w:highlight w:val="none"/>
        </w:rPr>
      </w:pPr>
    </w:p>
    <w:p>
      <w:pPr>
        <w:spacing w:line="360" w:lineRule="auto"/>
        <w:ind w:firstLine="2400" w:firstLineChars="1000"/>
        <w:contextualSpacing/>
        <w:rPr>
          <w:rFonts w:hint="eastAsia" w:ascii="宋体" w:hAnsi="宋体" w:cs="宋体"/>
          <w:color w:val="auto"/>
          <w:sz w:val="24"/>
          <w:highlight w:val="none"/>
        </w:rPr>
      </w:pPr>
      <w:r>
        <w:rPr>
          <w:rFonts w:hint="eastAsia" w:ascii="宋体" w:hAnsi="宋体" w:cs="宋体"/>
          <w:color w:val="auto"/>
          <w:sz w:val="24"/>
          <w:highlight w:val="none"/>
        </w:rPr>
        <w:t>供应商名称（盖公章）：</w:t>
      </w:r>
    </w:p>
    <w:p>
      <w:pPr>
        <w:spacing w:line="360" w:lineRule="auto"/>
        <w:ind w:firstLine="4320" w:firstLineChars="1800"/>
        <w:contextualSpacing/>
        <w:rPr>
          <w:rFonts w:hint="eastAsia" w:ascii="宋体" w:hAnsi="宋体" w:cs="宋体"/>
          <w:color w:val="auto"/>
          <w:sz w:val="24"/>
          <w:highlight w:val="none"/>
        </w:rPr>
      </w:pPr>
      <w:r>
        <w:rPr>
          <w:rFonts w:hint="eastAsia" w:ascii="宋体" w:hAnsi="宋体" w:cs="宋体"/>
          <w:color w:val="auto"/>
          <w:sz w:val="24"/>
          <w:highlight w:val="none"/>
        </w:rPr>
        <w:t>日  期：     年   月   日</w:t>
      </w:r>
    </w:p>
    <w:p>
      <w:pPr>
        <w:spacing w:line="360" w:lineRule="auto"/>
        <w:contextualSpacing/>
        <w:rPr>
          <w:rFonts w:hint="eastAsia" w:ascii="宋体" w:hAnsi="宋体" w:cs="宋体"/>
          <w:color w:val="auto"/>
          <w:sz w:val="24"/>
          <w:highlight w:val="none"/>
        </w:rPr>
      </w:pPr>
    </w:p>
    <w:p>
      <w:pPr>
        <w:spacing w:line="360" w:lineRule="auto"/>
        <w:contextualSpacing/>
        <w:rPr>
          <w:rFonts w:hint="eastAsia" w:ascii="宋体" w:hAnsi="宋体" w:cs="宋体"/>
          <w:color w:val="auto"/>
          <w:sz w:val="24"/>
          <w:highlight w:val="none"/>
        </w:rPr>
      </w:pPr>
    </w:p>
    <w:p>
      <w:pPr>
        <w:spacing w:line="360" w:lineRule="auto"/>
        <w:contextualSpacing/>
        <w:rPr>
          <w:rFonts w:hint="eastAsia" w:ascii="宋体" w:hAnsi="宋体" w:cs="宋体"/>
          <w:color w:val="auto"/>
          <w:sz w:val="24"/>
          <w:highlight w:val="none"/>
        </w:rPr>
      </w:pP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注：请根据自己的真实情况出具《残疾人福利性单位声明函》。依法享受中小企业扶持政策的，采购人或者采购代理机构在公告成交结果时，同时公告其《残疾人福利性单位声明函》，接受社会监督。</w:t>
      </w:r>
    </w:p>
    <w:p>
      <w:pPr>
        <w:widowControl/>
        <w:shd w:val="clear" w:color="auto" w:fill="FFFFFF"/>
        <w:spacing w:line="480" w:lineRule="atLeast"/>
        <w:rPr>
          <w:rFonts w:hint="eastAsia" w:ascii="宋体" w:hAnsi="宋体" w:cs="宋体"/>
          <w:color w:val="auto"/>
          <w:kern w:val="0"/>
          <w:sz w:val="28"/>
          <w:szCs w:val="28"/>
          <w:highlight w:val="none"/>
        </w:rPr>
      </w:pPr>
      <w:r>
        <w:rPr>
          <w:rFonts w:hint="eastAsia" w:ascii="宋体" w:hAnsi="宋体" w:cs="宋体"/>
          <w:color w:val="auto"/>
          <w:sz w:val="24"/>
          <w:highlight w:val="none"/>
        </w:rPr>
        <w:br w:type="page"/>
      </w:r>
      <w:r>
        <w:rPr>
          <w:rFonts w:hint="eastAsia" w:ascii="宋体" w:hAnsi="宋体" w:cs="宋体"/>
          <w:color w:val="auto"/>
          <w:sz w:val="28"/>
          <w:szCs w:val="28"/>
          <w:highlight w:val="none"/>
        </w:rPr>
        <w:t>3.</w:t>
      </w:r>
      <w:r>
        <w:rPr>
          <w:rFonts w:hint="eastAsia" w:ascii="宋体" w:hAnsi="宋体" w:cs="宋体"/>
          <w:color w:val="auto"/>
          <w:kern w:val="0"/>
          <w:sz w:val="28"/>
          <w:szCs w:val="28"/>
          <w:highlight w:val="none"/>
        </w:rPr>
        <w:t>广西壮族自治区政府采购项目合同验收书的格式：</w:t>
      </w:r>
    </w:p>
    <w:p>
      <w:pPr>
        <w:spacing w:line="360" w:lineRule="auto"/>
        <w:ind w:firstLine="480" w:firstLineChars="200"/>
        <w:contextualSpacing/>
        <w:rPr>
          <w:rFonts w:cs="仿宋_GB2312"/>
          <w:color w:val="auto"/>
          <w:sz w:val="24"/>
          <w:highlight w:val="none"/>
        </w:rPr>
      </w:pPr>
    </w:p>
    <w:p>
      <w:pPr>
        <w:widowControl/>
        <w:shd w:val="clear" w:color="auto" w:fill="FFFFFF"/>
        <w:spacing w:line="480" w:lineRule="atLeast"/>
        <w:jc w:val="center"/>
        <w:rPr>
          <w:rFonts w:hint="eastAsia"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w:t>
      </w:r>
    </w:p>
    <w:p>
      <w:pPr>
        <w:widowControl/>
        <w:shd w:val="clear" w:color="auto" w:fill="FFFFFF"/>
        <w:spacing w:line="480" w:lineRule="atLeast"/>
        <w:jc w:val="center"/>
        <w:rPr>
          <w:rFonts w:hint="eastAsia" w:ascii="仿宋" w:hAnsi="仿宋" w:eastAsia="仿宋" w:cs="宋体"/>
          <w:color w:val="auto"/>
          <w:kern w:val="0"/>
          <w:sz w:val="32"/>
          <w:szCs w:val="32"/>
          <w:highlight w:val="none"/>
        </w:rPr>
      </w:pPr>
    </w:p>
    <w:p>
      <w:pPr>
        <w:widowControl/>
        <w:shd w:val="clear" w:color="auto" w:fill="FFFFFF"/>
        <w:snapToGrid w:val="0"/>
        <w:spacing w:line="320" w:lineRule="atLeast"/>
        <w:ind w:firstLine="48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根据政府采购项目（</w:t>
      </w:r>
      <w:r>
        <w:rPr>
          <w:rFonts w:hint="eastAsia" w:ascii="宋体" w:hAnsi="宋体" w:cs="宋体"/>
          <w:color w:val="auto"/>
          <w:kern w:val="0"/>
          <w:sz w:val="24"/>
          <w:highlight w:val="none"/>
          <w:u w:val="single"/>
        </w:rPr>
        <w:t>采购合同编号：</w:t>
      </w:r>
      <w:r>
        <w:rPr>
          <w:rFonts w:hint="eastAsia" w:ascii="宋体" w:hAnsi="宋体" w:cs="宋体"/>
          <w:color w:val="auto"/>
          <w:kern w:val="0"/>
          <w:sz w:val="24"/>
          <w:highlight w:val="none"/>
          <w:u w:val="single"/>
        </w:rPr>
        <w:softHyphen/>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）的约定，我单位对（</w:t>
      </w:r>
      <w:r>
        <w:rPr>
          <w:rFonts w:hint="eastAsia" w:ascii="宋体" w:hAnsi="宋体" w:cs="宋体"/>
          <w:color w:val="auto"/>
          <w:kern w:val="0"/>
          <w:sz w:val="24"/>
          <w:highlight w:val="none"/>
          <w:u w:val="single"/>
        </w:rPr>
        <w:t xml:space="preserve"> 项目名称 </w:t>
      </w:r>
      <w:r>
        <w:rPr>
          <w:rFonts w:hint="eastAsia" w:ascii="宋体" w:hAnsi="宋体" w:cs="宋体"/>
          <w:color w:val="auto"/>
          <w:kern w:val="0"/>
          <w:sz w:val="24"/>
          <w:highlight w:val="none"/>
        </w:rPr>
        <w:t>） 政府采购项目成交供应商（</w:t>
      </w:r>
      <w:r>
        <w:rPr>
          <w:rFonts w:hint="eastAsia" w:ascii="宋体" w:hAnsi="宋体" w:cs="宋体"/>
          <w:color w:val="auto"/>
          <w:kern w:val="0"/>
          <w:sz w:val="24"/>
          <w:highlight w:val="none"/>
          <w:u w:val="single"/>
        </w:rPr>
        <w:t xml:space="preserve"> 公司名称 </w:t>
      </w:r>
      <w:r>
        <w:rPr>
          <w:rFonts w:hint="eastAsia" w:ascii="宋体" w:hAnsi="宋体" w:cs="宋体"/>
          <w:color w:val="auto"/>
          <w:kern w:val="0"/>
          <w:sz w:val="24"/>
          <w:highlight w:val="none"/>
        </w:rPr>
        <w:t>） 提供的货物（或者工程、服务）进行了验收，验收情况如下：</w:t>
      </w:r>
    </w:p>
    <w:tbl>
      <w:tblPr>
        <w:tblStyle w:val="31"/>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hint="eastAsia" w:ascii="宋体" w:hAnsi="宋体" w:cs="宋体"/>
                <w:color w:val="auto"/>
                <w:kern w:val="0"/>
                <w:szCs w:val="21"/>
                <w:highlight w:val="none"/>
              </w:rPr>
              <w:t>□</w:t>
            </w:r>
            <w:r>
              <w:rPr>
                <w:rFonts w:ascii="Verdana" w:hAnsi="Verdana" w:cs="宋体"/>
                <w:color w:val="auto"/>
                <w:kern w:val="0"/>
                <w:szCs w:val="21"/>
                <w:highlight w:val="none"/>
              </w:rPr>
              <w:t xml:space="preserve">自行验收 </w:t>
            </w:r>
            <w:r>
              <w:rPr>
                <w:rFonts w:hint="eastAsia" w:ascii="宋体" w:hAnsi="宋体" w:cs="宋体"/>
                <w:color w:val="auto"/>
                <w:kern w:val="0"/>
                <w:szCs w:val="21"/>
                <w:highlight w:val="none"/>
              </w:rPr>
              <w:t>□</w:t>
            </w:r>
            <w:r>
              <w:rPr>
                <w:rFonts w:ascii="Verdana" w:hAnsi="Verdana" w:cs="宋体"/>
                <w:color w:val="auto"/>
                <w:kern w:val="0"/>
                <w:szCs w:val="21"/>
                <w:highlight w:val="none"/>
              </w:rPr>
              <w:t>委托验收</w:t>
            </w:r>
          </w:p>
        </w:tc>
      </w:tr>
      <w:tr>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金额</w:t>
            </w: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万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元</w:t>
            </w:r>
          </w:p>
        </w:tc>
      </w:tr>
      <w:tr>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Verdana" w:hAnsi="Verdana"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监督人员或者</w:t>
            </w:r>
            <w:r>
              <w:rPr>
                <w:rFonts w:hint="eastAsia" w:ascii="Verdana" w:hAnsi="Verdana" w:cs="宋体"/>
                <w:color w:val="auto"/>
                <w:kern w:val="0"/>
                <w:szCs w:val="21"/>
                <w:highlight w:val="none"/>
              </w:rPr>
              <w:t>其他</w:t>
            </w:r>
            <w:r>
              <w:rPr>
                <w:rFonts w:ascii="Verdana" w:hAnsi="Verdana" w:cs="宋体"/>
                <w:color w:val="auto"/>
                <w:kern w:val="0"/>
                <w:szCs w:val="21"/>
                <w:highlight w:val="none"/>
              </w:rPr>
              <w:t>相关人员签字：</w:t>
            </w:r>
          </w:p>
          <w:p>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成交供应商负责人签字或者盖章：</w:t>
            </w:r>
          </w:p>
          <w:p>
            <w:pPr>
              <w:widowControl/>
              <w:spacing w:before="100" w:beforeAutospacing="1" w:after="100" w:afterAutospacing="1" w:line="320" w:lineRule="atLeast"/>
              <w:jc w:val="left"/>
              <w:rPr>
                <w:rFonts w:ascii="Verdana" w:hAnsi="Verdana" w:cs="宋体"/>
                <w:color w:val="auto"/>
                <w:kern w:val="0"/>
                <w:szCs w:val="21"/>
                <w:highlight w:val="none"/>
              </w:rPr>
            </w:pPr>
          </w:p>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日</w:t>
            </w:r>
          </w:p>
        </w:tc>
        <w:tc>
          <w:tcPr>
            <w:tcW w:w="4293" w:type="dxa"/>
            <w:gridSpan w:val="4"/>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采购人或者受托机构的意见（盖章）：</w:t>
            </w: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日</w:t>
            </w:r>
          </w:p>
        </w:tc>
      </w:tr>
    </w:tbl>
    <w:p>
      <w:pPr>
        <w:shd w:val="clear" w:color="auto" w:fill="FFFFFF"/>
        <w:spacing w:line="360" w:lineRule="auto"/>
        <w:ind w:firstLine="2730" w:firstLineChars="1300"/>
        <w:jc w:val="left"/>
        <w:rPr>
          <w:color w:val="auto"/>
          <w:sz w:val="24"/>
          <w:highlight w:val="none"/>
        </w:rPr>
      </w:pPr>
      <w:r>
        <w:rPr>
          <w:rFonts w:hAnsi="宋体"/>
          <w:color w:val="auto"/>
          <w:highlight w:val="none"/>
        </w:rPr>
        <w:br w:type="page"/>
      </w:r>
    </w:p>
    <w:p>
      <w:pPr>
        <w:pStyle w:val="3"/>
        <w:jc w:val="center"/>
        <w:rPr>
          <w:rFonts w:hint="eastAsia"/>
          <w:b w:val="0"/>
          <w:bCs w:val="0"/>
          <w:color w:val="auto"/>
          <w:highlight w:val="none"/>
        </w:rPr>
      </w:pPr>
      <w:bookmarkStart w:id="149" w:name="_Toc15154"/>
      <w:bookmarkStart w:id="150" w:name="_Toc15161"/>
      <w:bookmarkStart w:id="151" w:name="_Toc4005"/>
      <w:bookmarkStart w:id="152" w:name="_Toc24786"/>
      <w:bookmarkStart w:id="153" w:name="_Toc9343"/>
      <w:bookmarkStart w:id="154" w:name="_Toc18676"/>
      <w:bookmarkStart w:id="155" w:name="_Toc80886947"/>
      <w:bookmarkStart w:id="156" w:name="_Toc12748"/>
    </w:p>
    <w:p>
      <w:pPr>
        <w:pStyle w:val="3"/>
        <w:jc w:val="center"/>
        <w:rPr>
          <w:rFonts w:hint="eastAsia"/>
          <w:b w:val="0"/>
          <w:bCs w:val="0"/>
          <w:color w:val="auto"/>
          <w:highlight w:val="none"/>
        </w:rPr>
      </w:pPr>
    </w:p>
    <w:p>
      <w:pPr>
        <w:pStyle w:val="3"/>
        <w:jc w:val="center"/>
        <w:rPr>
          <w:rFonts w:hint="eastAsia"/>
          <w:b w:val="0"/>
          <w:bCs w:val="0"/>
          <w:color w:val="auto"/>
          <w:highlight w:val="none"/>
        </w:rPr>
      </w:pPr>
    </w:p>
    <w:p>
      <w:pPr>
        <w:pStyle w:val="3"/>
        <w:jc w:val="center"/>
        <w:rPr>
          <w:rFonts w:hint="eastAsia"/>
          <w:b w:val="0"/>
          <w:bCs w:val="0"/>
          <w:color w:val="auto"/>
          <w:highlight w:val="none"/>
        </w:rPr>
      </w:pPr>
      <w:r>
        <w:rPr>
          <w:rFonts w:hint="eastAsia"/>
          <w:b w:val="0"/>
          <w:bCs w:val="0"/>
          <w:color w:val="auto"/>
          <w:highlight w:val="none"/>
        </w:rPr>
        <w:t xml:space="preserve">第六章 </w:t>
      </w:r>
      <w:r>
        <w:rPr>
          <w:b w:val="0"/>
          <w:bCs w:val="0"/>
          <w:color w:val="auto"/>
          <w:highlight w:val="none"/>
        </w:rPr>
        <w:t xml:space="preserve"> </w:t>
      </w:r>
      <w:r>
        <w:rPr>
          <w:rFonts w:hint="eastAsia"/>
          <w:b w:val="0"/>
          <w:bCs w:val="0"/>
          <w:color w:val="auto"/>
          <w:highlight w:val="none"/>
        </w:rPr>
        <w:t>合同文本</w:t>
      </w:r>
      <w:bookmarkEnd w:id="149"/>
      <w:bookmarkEnd w:id="150"/>
      <w:bookmarkEnd w:id="151"/>
      <w:bookmarkEnd w:id="152"/>
      <w:bookmarkEnd w:id="153"/>
      <w:bookmarkEnd w:id="154"/>
      <w:bookmarkEnd w:id="155"/>
    </w:p>
    <w:p>
      <w:pPr>
        <w:snapToGrid w:val="0"/>
        <w:rPr>
          <w:rFonts w:hint="eastAsia" w:ascii="宋体" w:hAnsi="宋体" w:cs="宋体"/>
          <w:b/>
          <w:bCs/>
          <w:color w:val="auto"/>
          <w:sz w:val="32"/>
          <w:szCs w:val="32"/>
          <w:highlight w:val="none"/>
        </w:rPr>
      </w:pPr>
      <w:r>
        <w:rPr>
          <w:b/>
          <w:bCs/>
          <w:color w:val="auto"/>
          <w:highlight w:val="none"/>
        </w:rPr>
        <w:br w:type="page"/>
      </w:r>
      <w:bookmarkEnd w:id="156"/>
    </w:p>
    <w:p>
      <w:pPr>
        <w:spacing w:line="500" w:lineRule="exact"/>
        <w:rPr>
          <w:rFonts w:ascii="宋体" w:hAnsi="宋体" w:eastAsia="宋体" w:cs="Times New Roman"/>
          <w:b/>
          <w:color w:val="auto"/>
          <w:sz w:val="28"/>
          <w:szCs w:val="28"/>
          <w:highlight w:val="none"/>
        </w:rPr>
      </w:pPr>
      <w:r>
        <w:rPr>
          <w:rFonts w:ascii="宋体" w:hAnsi="宋体" w:eastAsia="宋体" w:cs="Times New Roman"/>
          <w:b/>
          <w:color w:val="auto"/>
          <w:sz w:val="28"/>
          <w:szCs w:val="28"/>
          <w:highlight w:val="none"/>
        </w:rPr>
        <w:t>合同格式</w:t>
      </w:r>
    </w:p>
    <w:p>
      <w:pPr>
        <w:spacing w:line="340" w:lineRule="exact"/>
        <w:rPr>
          <w:rFonts w:ascii="黑体" w:hAnsi="Courier New" w:eastAsia="黑体" w:cs="Times New Roman"/>
          <w:b/>
          <w:bCs/>
          <w:color w:val="auto"/>
          <w:sz w:val="72"/>
          <w:szCs w:val="20"/>
          <w:highlight w:val="none"/>
        </w:rPr>
      </w:pPr>
    </w:p>
    <w:p>
      <w:pPr>
        <w:spacing w:line="340" w:lineRule="exact"/>
        <w:rPr>
          <w:rFonts w:ascii="黑体" w:hAnsi="Courier New" w:eastAsia="黑体" w:cs="Times New Roman"/>
          <w:b/>
          <w:bCs/>
          <w:color w:val="auto"/>
          <w:sz w:val="72"/>
          <w:szCs w:val="20"/>
          <w:highlight w:val="none"/>
        </w:rPr>
      </w:pPr>
    </w:p>
    <w:p>
      <w:pPr>
        <w:spacing w:line="340" w:lineRule="exact"/>
        <w:rPr>
          <w:rFonts w:ascii="黑体" w:hAnsi="Courier New" w:eastAsia="黑体" w:cs="Times New Roman"/>
          <w:b/>
          <w:bCs/>
          <w:color w:val="auto"/>
          <w:sz w:val="72"/>
          <w:szCs w:val="20"/>
          <w:highlight w:val="none"/>
        </w:rPr>
      </w:pPr>
    </w:p>
    <w:p>
      <w:pPr>
        <w:spacing w:line="340" w:lineRule="exact"/>
        <w:rPr>
          <w:rFonts w:ascii="黑体" w:hAnsi="Courier New" w:eastAsia="黑体" w:cs="Times New Roman"/>
          <w:b/>
          <w:bCs/>
          <w:color w:val="auto"/>
          <w:sz w:val="72"/>
          <w:szCs w:val="20"/>
          <w:highlight w:val="none"/>
        </w:rPr>
      </w:pPr>
    </w:p>
    <w:p>
      <w:pPr>
        <w:spacing w:line="340" w:lineRule="exact"/>
        <w:rPr>
          <w:rFonts w:ascii="黑体" w:hAnsi="Courier New" w:eastAsia="黑体" w:cs="Times New Roman"/>
          <w:b/>
          <w:bCs/>
          <w:color w:val="auto"/>
          <w:sz w:val="72"/>
          <w:szCs w:val="20"/>
          <w:highlight w:val="none"/>
        </w:rPr>
      </w:pPr>
    </w:p>
    <w:p>
      <w:pPr>
        <w:spacing w:line="340" w:lineRule="exact"/>
        <w:rPr>
          <w:rFonts w:ascii="黑体" w:hAnsi="Courier New" w:eastAsia="黑体" w:cs="Times New Roman"/>
          <w:b/>
          <w:bCs/>
          <w:color w:val="auto"/>
          <w:sz w:val="72"/>
          <w:szCs w:val="20"/>
          <w:highlight w:val="none"/>
        </w:rPr>
      </w:pPr>
    </w:p>
    <w:p>
      <w:pPr>
        <w:spacing w:line="340" w:lineRule="exact"/>
        <w:rPr>
          <w:rFonts w:ascii="黑体" w:hAnsi="Courier New" w:eastAsia="黑体" w:cs="Times New Roman"/>
          <w:b/>
          <w:bCs/>
          <w:color w:val="auto"/>
          <w:sz w:val="72"/>
          <w:szCs w:val="20"/>
          <w:highlight w:val="none"/>
        </w:rPr>
      </w:pPr>
    </w:p>
    <w:p>
      <w:pPr>
        <w:spacing w:line="340" w:lineRule="exact"/>
        <w:rPr>
          <w:rFonts w:ascii="黑体" w:hAnsi="Courier New" w:eastAsia="黑体" w:cs="Times New Roman"/>
          <w:b/>
          <w:bCs/>
          <w:color w:val="auto"/>
          <w:sz w:val="72"/>
          <w:szCs w:val="20"/>
          <w:highlight w:val="none"/>
        </w:rPr>
      </w:pPr>
    </w:p>
    <w:p>
      <w:pPr>
        <w:tabs>
          <w:tab w:val="left" w:pos="2520"/>
        </w:tabs>
        <w:spacing w:line="840" w:lineRule="exact"/>
        <w:ind w:firstLine="420"/>
        <w:jc w:val="center"/>
        <w:rPr>
          <w:rFonts w:hint="eastAsia" w:ascii="宋体" w:hAnsi="宋体" w:eastAsia="宋体" w:cs="宋体"/>
          <w:b/>
          <w:bCs/>
          <w:color w:val="auto"/>
          <w:sz w:val="72"/>
          <w:szCs w:val="20"/>
          <w:highlight w:val="none"/>
        </w:rPr>
      </w:pPr>
      <w:r>
        <w:rPr>
          <w:rFonts w:hint="eastAsia" w:ascii="宋体" w:hAnsi="宋体" w:eastAsia="宋体" w:cs="宋体"/>
          <w:b/>
          <w:bCs/>
          <w:color w:val="auto"/>
          <w:sz w:val="72"/>
          <w:szCs w:val="20"/>
          <w:highlight w:val="none"/>
        </w:rPr>
        <w:t>采购合同书</w:t>
      </w:r>
    </w:p>
    <w:p>
      <w:pPr>
        <w:tabs>
          <w:tab w:val="left" w:pos="2835"/>
        </w:tabs>
        <w:spacing w:line="400" w:lineRule="exact"/>
        <w:rPr>
          <w:rFonts w:hint="eastAsia" w:ascii="宋体" w:hAnsi="宋体" w:eastAsia="宋体" w:cs="宋体"/>
          <w:color w:val="auto"/>
          <w:szCs w:val="20"/>
          <w:highlight w:val="none"/>
        </w:rPr>
      </w:pPr>
    </w:p>
    <w:p>
      <w:pPr>
        <w:tabs>
          <w:tab w:val="left" w:pos="2835"/>
        </w:tabs>
        <w:spacing w:line="400" w:lineRule="exact"/>
        <w:rPr>
          <w:rFonts w:hint="eastAsia" w:ascii="宋体" w:hAnsi="宋体" w:eastAsia="宋体" w:cs="宋体"/>
          <w:color w:val="auto"/>
          <w:szCs w:val="20"/>
          <w:highlight w:val="none"/>
        </w:rPr>
      </w:pPr>
    </w:p>
    <w:p>
      <w:pPr>
        <w:tabs>
          <w:tab w:val="left" w:pos="2835"/>
        </w:tabs>
        <w:spacing w:line="400" w:lineRule="exact"/>
        <w:rPr>
          <w:rFonts w:hint="eastAsia" w:ascii="宋体" w:hAnsi="宋体" w:eastAsia="宋体" w:cs="宋体"/>
          <w:color w:val="auto"/>
          <w:szCs w:val="20"/>
          <w:highlight w:val="none"/>
        </w:rPr>
      </w:pPr>
    </w:p>
    <w:p>
      <w:pPr>
        <w:tabs>
          <w:tab w:val="left" w:pos="2835"/>
        </w:tabs>
        <w:spacing w:line="400" w:lineRule="exact"/>
        <w:rPr>
          <w:rFonts w:hint="eastAsia" w:ascii="宋体" w:hAnsi="宋体" w:eastAsia="宋体" w:cs="宋体"/>
          <w:color w:val="auto"/>
          <w:szCs w:val="20"/>
          <w:highlight w:val="none"/>
        </w:rPr>
      </w:pPr>
    </w:p>
    <w:p>
      <w:pPr>
        <w:tabs>
          <w:tab w:val="left" w:pos="2835"/>
          <w:tab w:val="left" w:pos="3240"/>
        </w:tabs>
        <w:spacing w:line="360" w:lineRule="auto"/>
        <w:jc w:val="center"/>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val="en-US" w:eastAsia="zh-CN"/>
        </w:rPr>
        <w:t>项目</w:t>
      </w:r>
      <w:r>
        <w:rPr>
          <w:rFonts w:hint="eastAsia" w:ascii="宋体" w:hAnsi="宋体" w:eastAsia="宋体" w:cs="宋体"/>
          <w:b/>
          <w:color w:val="auto"/>
          <w:sz w:val="30"/>
          <w:szCs w:val="30"/>
          <w:highlight w:val="none"/>
        </w:rPr>
        <w:t>名称：</w:t>
      </w:r>
    </w:p>
    <w:p>
      <w:pPr>
        <w:tabs>
          <w:tab w:val="left" w:pos="2835"/>
        </w:tabs>
        <w:spacing w:line="360" w:lineRule="auto"/>
        <w:jc w:val="center"/>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项目编号：</w:t>
      </w:r>
    </w:p>
    <w:p>
      <w:pPr>
        <w:tabs>
          <w:tab w:val="left" w:pos="2835"/>
        </w:tabs>
        <w:spacing w:line="360" w:lineRule="auto"/>
        <w:rPr>
          <w:rFonts w:hint="eastAsia" w:ascii="宋体" w:hAnsi="宋体" w:eastAsia="宋体" w:cs="宋体"/>
          <w:b/>
          <w:color w:val="auto"/>
          <w:sz w:val="30"/>
          <w:szCs w:val="30"/>
          <w:highlight w:val="none"/>
        </w:rPr>
      </w:pPr>
    </w:p>
    <w:p>
      <w:pPr>
        <w:tabs>
          <w:tab w:val="left" w:pos="2835"/>
        </w:tabs>
        <w:spacing w:line="360" w:lineRule="auto"/>
        <w:rPr>
          <w:rFonts w:hint="eastAsia" w:ascii="宋体" w:hAnsi="宋体" w:eastAsia="宋体" w:cs="宋体"/>
          <w:b/>
          <w:color w:val="auto"/>
          <w:sz w:val="30"/>
          <w:szCs w:val="30"/>
          <w:highlight w:val="none"/>
        </w:rPr>
      </w:pPr>
    </w:p>
    <w:p>
      <w:pPr>
        <w:tabs>
          <w:tab w:val="left" w:pos="2835"/>
        </w:tabs>
        <w:spacing w:line="360" w:lineRule="auto"/>
        <w:rPr>
          <w:rFonts w:hint="eastAsia" w:ascii="宋体" w:hAnsi="宋体" w:eastAsia="宋体" w:cs="宋体"/>
          <w:b/>
          <w:color w:val="auto"/>
          <w:sz w:val="30"/>
          <w:szCs w:val="30"/>
          <w:highlight w:val="none"/>
        </w:rPr>
      </w:pPr>
    </w:p>
    <w:p>
      <w:pPr>
        <w:tabs>
          <w:tab w:val="left" w:pos="2835"/>
        </w:tabs>
        <w:spacing w:line="360" w:lineRule="auto"/>
        <w:rPr>
          <w:rFonts w:hint="eastAsia" w:ascii="宋体" w:hAnsi="宋体" w:eastAsia="宋体" w:cs="宋体"/>
          <w:b/>
          <w:color w:val="auto"/>
          <w:sz w:val="30"/>
          <w:szCs w:val="30"/>
          <w:highlight w:val="none"/>
        </w:rPr>
      </w:pPr>
    </w:p>
    <w:p>
      <w:pPr>
        <w:tabs>
          <w:tab w:val="left" w:pos="2835"/>
        </w:tabs>
        <w:spacing w:line="360" w:lineRule="auto"/>
        <w:jc w:val="center"/>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val="en-US" w:eastAsia="zh-CN"/>
        </w:rPr>
        <w:t>采购单位</w:t>
      </w:r>
      <w:r>
        <w:rPr>
          <w:rFonts w:hint="eastAsia" w:ascii="宋体" w:hAnsi="宋体" w:eastAsia="宋体" w:cs="宋体"/>
          <w:b/>
          <w:color w:val="auto"/>
          <w:sz w:val="30"/>
          <w:szCs w:val="30"/>
          <w:highlight w:val="none"/>
        </w:rPr>
        <w:t>(甲方)：</w:t>
      </w:r>
      <w:r>
        <w:rPr>
          <w:rFonts w:hint="eastAsia" w:ascii="宋体" w:hAnsi="宋体" w:eastAsia="宋体" w:cs="宋体"/>
          <w:b/>
          <w:color w:val="auto"/>
          <w:sz w:val="30"/>
          <w:szCs w:val="30"/>
          <w:highlight w:val="none"/>
          <w:u w:val="single"/>
          <w:lang w:val="en-US" w:eastAsia="zh-CN"/>
        </w:rPr>
        <w:t xml:space="preserve">           </w:t>
      </w:r>
    </w:p>
    <w:p>
      <w:pPr>
        <w:tabs>
          <w:tab w:val="left" w:pos="2835"/>
        </w:tabs>
        <w:spacing w:line="360" w:lineRule="auto"/>
        <w:ind w:left="0" w:leftChars="0" w:firstLine="2409" w:firstLineChars="800"/>
        <w:rPr>
          <w:rFonts w:hint="default"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供应商</w:t>
      </w:r>
      <w:r>
        <w:rPr>
          <w:rFonts w:hint="eastAsia" w:ascii="宋体" w:hAnsi="宋体" w:eastAsia="宋体" w:cs="宋体"/>
          <w:b/>
          <w:color w:val="auto"/>
          <w:sz w:val="30"/>
          <w:szCs w:val="30"/>
          <w:highlight w:val="none"/>
        </w:rPr>
        <w:t>(乙方)：</w:t>
      </w:r>
      <w:r>
        <w:rPr>
          <w:rFonts w:hint="eastAsia" w:ascii="宋体" w:hAnsi="宋体" w:eastAsia="宋体" w:cs="宋体"/>
          <w:b/>
          <w:color w:val="auto"/>
          <w:sz w:val="30"/>
          <w:szCs w:val="30"/>
          <w:highlight w:val="none"/>
          <w:u w:val="single"/>
          <w:lang w:val="en-US" w:eastAsia="zh-CN"/>
        </w:rPr>
        <w:t xml:space="preserve">                    </w:t>
      </w:r>
    </w:p>
    <w:p>
      <w:pPr>
        <w:tabs>
          <w:tab w:val="left" w:pos="2835"/>
        </w:tabs>
        <w:spacing w:line="360" w:lineRule="auto"/>
        <w:rPr>
          <w:rFonts w:hint="eastAsia" w:ascii="宋体" w:hAnsi="宋体" w:eastAsia="宋体" w:cs="宋体"/>
          <w:b/>
          <w:color w:val="auto"/>
          <w:sz w:val="30"/>
          <w:szCs w:val="30"/>
          <w:highlight w:val="none"/>
        </w:rPr>
      </w:pPr>
    </w:p>
    <w:p>
      <w:pPr>
        <w:tabs>
          <w:tab w:val="left" w:pos="2835"/>
        </w:tabs>
        <w:spacing w:line="360" w:lineRule="auto"/>
        <w:jc w:val="center"/>
        <w:rPr>
          <w:rFonts w:hint="eastAsia" w:ascii="宋体" w:hAnsi="宋体" w:eastAsia="宋体" w:cs="宋体"/>
          <w:b w:val="0"/>
          <w:bCs/>
          <w:color w:val="auto"/>
          <w:sz w:val="24"/>
          <w:szCs w:val="24"/>
          <w:highlight w:val="none"/>
        </w:rPr>
      </w:pPr>
    </w:p>
    <w:p>
      <w:pPr>
        <w:tabs>
          <w:tab w:val="left" w:pos="2835"/>
        </w:tabs>
        <w:spacing w:line="360" w:lineRule="auto"/>
        <w:jc w:val="center"/>
        <w:rPr>
          <w:rFonts w:hint="eastAsia" w:ascii="宋体" w:hAnsi="宋体" w:eastAsia="宋体" w:cs="宋体"/>
          <w:b w:val="0"/>
          <w:bCs/>
          <w:color w:val="auto"/>
          <w:sz w:val="24"/>
          <w:szCs w:val="24"/>
          <w:highlight w:val="none"/>
        </w:rPr>
      </w:pPr>
    </w:p>
    <w:p>
      <w:pPr>
        <w:tabs>
          <w:tab w:val="left" w:pos="2835"/>
        </w:tabs>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签订合同时间：202</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年</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月</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日</w:t>
      </w:r>
    </w:p>
    <w:p>
      <w:pPr>
        <w:rPr>
          <w:rFonts w:hint="eastAsia" w:ascii="宋体" w:hAnsi="Courier New" w:eastAsia="宋体" w:cs="Times New Roman"/>
          <w:b/>
          <w:color w:val="auto"/>
          <w:sz w:val="44"/>
          <w:szCs w:val="44"/>
          <w:highlight w:val="none"/>
        </w:rPr>
      </w:pPr>
    </w:p>
    <w:p>
      <w:pPr>
        <w:rPr>
          <w:rFonts w:hint="eastAsia" w:ascii="宋体" w:hAnsi="Courier New" w:eastAsia="宋体" w:cs="Times New Roman"/>
          <w:b/>
          <w:color w:val="auto"/>
          <w:sz w:val="44"/>
          <w:szCs w:val="44"/>
          <w:highlight w:val="none"/>
        </w:rPr>
      </w:pPr>
      <w:r>
        <w:rPr>
          <w:rFonts w:hint="eastAsia" w:ascii="宋体" w:hAnsi="Courier New" w:eastAsia="宋体" w:cs="Times New Roman"/>
          <w:b/>
          <w:color w:val="auto"/>
          <w:sz w:val="44"/>
          <w:szCs w:val="44"/>
          <w:highlight w:val="none"/>
        </w:rPr>
        <w:br w:type="page"/>
      </w:r>
    </w:p>
    <w:p>
      <w:pPr>
        <w:rPr>
          <w:rFonts w:hint="eastAsia" w:ascii="宋体" w:hAnsi="Courier New" w:eastAsia="宋体" w:cs="Times New Roman"/>
          <w:b/>
          <w:color w:val="auto"/>
          <w:sz w:val="44"/>
          <w:szCs w:val="44"/>
          <w:highlight w:val="none"/>
        </w:rPr>
      </w:pPr>
    </w:p>
    <w:p>
      <w:pPr>
        <w:jc w:val="center"/>
        <w:rPr>
          <w:rFonts w:hint="eastAsia" w:ascii="宋体" w:hAnsi="宋体" w:eastAsia="宋体" w:cs="宋体"/>
          <w:b/>
          <w:bCs/>
          <w:color w:val="auto"/>
          <w:spacing w:val="0"/>
          <w:w w:val="100"/>
          <w:sz w:val="48"/>
          <w:szCs w:val="48"/>
          <w:highlight w:val="none"/>
        </w:rPr>
      </w:pPr>
      <w:r>
        <w:rPr>
          <w:rFonts w:hint="eastAsia"/>
          <w:color w:val="auto"/>
          <w:sz w:val="48"/>
          <w:szCs w:val="48"/>
          <w:highlight w:val="none"/>
        </w:rPr>
        <w:t>目</w:t>
      </w:r>
      <w:r>
        <w:rPr>
          <w:rFonts w:hint="eastAsia"/>
          <w:color w:val="auto"/>
          <w:sz w:val="48"/>
          <w:szCs w:val="48"/>
          <w:highlight w:val="none"/>
          <w:lang w:val="en-US" w:eastAsia="zh-CN"/>
        </w:rPr>
        <w:t xml:space="preserve">  </w:t>
      </w:r>
      <w:r>
        <w:rPr>
          <w:rFonts w:hint="eastAsia"/>
          <w:color w:val="auto"/>
          <w:sz w:val="48"/>
          <w:szCs w:val="48"/>
          <w:highlight w:val="none"/>
        </w:rPr>
        <w:t>录</w:t>
      </w:r>
    </w:p>
    <w:p>
      <w:pPr>
        <w:spacing w:line="600" w:lineRule="exact"/>
        <w:ind w:left="0" w:leftChars="0" w:firstLine="2940" w:firstLineChars="1050"/>
        <w:rPr>
          <w:rFonts w:hint="eastAsia" w:ascii="宋体" w:hAnsi="宋体" w:eastAsia="宋体" w:cs="宋体"/>
          <w:color w:val="auto"/>
          <w:spacing w:val="0"/>
          <w:w w:val="100"/>
          <w:sz w:val="28"/>
          <w:szCs w:val="28"/>
          <w:highlight w:val="none"/>
        </w:rPr>
      </w:pPr>
    </w:p>
    <w:p>
      <w:pPr>
        <w:spacing w:line="700" w:lineRule="exact"/>
        <w:ind w:left="0" w:leftChars="0" w:firstLine="2318" w:firstLineChars="828"/>
        <w:rPr>
          <w:rFonts w:hint="eastAsia" w:ascii="宋体" w:hAnsi="宋体" w:eastAsia="宋体" w:cs="宋体"/>
          <w:color w:val="auto"/>
          <w:spacing w:val="0"/>
          <w:w w:val="100"/>
          <w:sz w:val="28"/>
          <w:szCs w:val="28"/>
          <w:highlight w:val="none"/>
          <w:lang w:val="en-US" w:eastAsia="zh-CN"/>
        </w:rPr>
      </w:pPr>
      <w:r>
        <w:rPr>
          <w:rFonts w:hint="eastAsia" w:ascii="宋体" w:hAnsi="宋体" w:eastAsia="宋体" w:cs="宋体"/>
          <w:color w:val="auto"/>
          <w:spacing w:val="0"/>
          <w:w w:val="100"/>
          <w:sz w:val="28"/>
          <w:szCs w:val="28"/>
          <w:highlight w:val="none"/>
        </w:rPr>
        <w:t>1.合同</w:t>
      </w:r>
      <w:r>
        <w:rPr>
          <w:rFonts w:hint="eastAsia" w:ascii="宋体" w:hAnsi="宋体" w:eastAsia="宋体" w:cs="宋体"/>
          <w:color w:val="auto"/>
          <w:spacing w:val="0"/>
          <w:w w:val="100"/>
          <w:sz w:val="28"/>
          <w:szCs w:val="28"/>
          <w:highlight w:val="none"/>
          <w:lang w:val="en-US" w:eastAsia="zh-CN"/>
        </w:rPr>
        <w:t>书</w:t>
      </w:r>
    </w:p>
    <w:p>
      <w:pPr>
        <w:spacing w:line="700" w:lineRule="exact"/>
        <w:ind w:left="0" w:leftChars="0" w:firstLine="2318" w:firstLineChars="828"/>
        <w:rPr>
          <w:rFonts w:hint="eastAsia" w:ascii="宋体" w:hAnsi="宋体" w:eastAsia="宋体" w:cs="宋体"/>
          <w:color w:val="auto"/>
          <w:spacing w:val="0"/>
          <w:w w:val="100"/>
          <w:sz w:val="28"/>
          <w:szCs w:val="28"/>
          <w:highlight w:val="none"/>
        </w:rPr>
      </w:pPr>
      <w:r>
        <w:rPr>
          <w:rFonts w:hint="eastAsia" w:ascii="宋体" w:hAnsi="宋体" w:eastAsia="宋体" w:cs="宋体"/>
          <w:color w:val="auto"/>
          <w:spacing w:val="0"/>
          <w:w w:val="100"/>
          <w:sz w:val="28"/>
          <w:szCs w:val="28"/>
          <w:highlight w:val="none"/>
        </w:rPr>
        <w:t>2.采购需求</w:t>
      </w:r>
    </w:p>
    <w:p>
      <w:pPr>
        <w:spacing w:line="700" w:lineRule="exact"/>
        <w:ind w:left="0" w:leftChars="0" w:firstLine="2318" w:firstLineChars="828"/>
        <w:rPr>
          <w:rFonts w:hint="eastAsia" w:ascii="宋体" w:hAnsi="宋体" w:eastAsia="宋体" w:cs="宋体"/>
          <w:color w:val="auto"/>
          <w:spacing w:val="0"/>
          <w:w w:val="100"/>
          <w:sz w:val="28"/>
          <w:szCs w:val="28"/>
          <w:highlight w:val="none"/>
          <w:lang w:val="en-US" w:eastAsia="zh-CN"/>
        </w:rPr>
      </w:pPr>
      <w:r>
        <w:rPr>
          <w:rFonts w:hint="eastAsia" w:ascii="宋体" w:hAnsi="宋体" w:eastAsia="宋体" w:cs="宋体"/>
          <w:color w:val="auto"/>
          <w:spacing w:val="0"/>
          <w:w w:val="100"/>
          <w:sz w:val="28"/>
          <w:szCs w:val="28"/>
          <w:highlight w:val="none"/>
        </w:rPr>
        <w:t>3.响应函</w:t>
      </w:r>
    </w:p>
    <w:p>
      <w:pPr>
        <w:spacing w:line="700" w:lineRule="exact"/>
        <w:ind w:left="0" w:leftChars="0" w:firstLine="2318" w:firstLineChars="828"/>
        <w:rPr>
          <w:rFonts w:hint="eastAsia" w:ascii="宋体" w:hAnsi="宋体" w:eastAsia="宋体" w:cs="宋体"/>
          <w:color w:val="auto"/>
          <w:spacing w:val="0"/>
          <w:w w:val="100"/>
          <w:sz w:val="28"/>
          <w:szCs w:val="28"/>
          <w:highlight w:val="none"/>
        </w:rPr>
      </w:pPr>
      <w:r>
        <w:rPr>
          <w:rFonts w:hint="eastAsia" w:ascii="宋体" w:hAnsi="宋体" w:eastAsia="宋体" w:cs="宋体"/>
          <w:color w:val="auto"/>
          <w:spacing w:val="0"/>
          <w:w w:val="100"/>
          <w:sz w:val="28"/>
          <w:szCs w:val="28"/>
          <w:highlight w:val="none"/>
        </w:rPr>
        <w:t>4.响应报价表</w:t>
      </w:r>
    </w:p>
    <w:p>
      <w:pPr>
        <w:spacing w:line="700" w:lineRule="exact"/>
        <w:ind w:left="0" w:leftChars="0" w:firstLine="2318" w:firstLineChars="828"/>
        <w:rPr>
          <w:rFonts w:hint="eastAsia" w:ascii="宋体" w:hAnsi="宋体" w:eastAsia="宋体" w:cs="宋体"/>
          <w:color w:val="auto"/>
          <w:spacing w:val="0"/>
          <w:w w:val="100"/>
          <w:sz w:val="28"/>
          <w:szCs w:val="28"/>
          <w:highlight w:val="none"/>
          <w:lang w:eastAsia="zh-CN"/>
        </w:rPr>
      </w:pPr>
      <w:r>
        <w:rPr>
          <w:rFonts w:hint="eastAsia" w:ascii="宋体" w:hAnsi="宋体" w:eastAsia="宋体" w:cs="宋体"/>
          <w:color w:val="auto"/>
          <w:spacing w:val="0"/>
          <w:w w:val="100"/>
          <w:sz w:val="28"/>
          <w:szCs w:val="28"/>
          <w:highlight w:val="none"/>
        </w:rPr>
        <w:t>5.磋商记录</w:t>
      </w:r>
      <w:r>
        <w:rPr>
          <w:rFonts w:hint="eastAsia" w:ascii="宋体" w:hAnsi="宋体" w:eastAsia="宋体" w:cs="宋体"/>
          <w:color w:val="auto"/>
          <w:spacing w:val="0"/>
          <w:w w:val="100"/>
          <w:sz w:val="28"/>
          <w:szCs w:val="28"/>
          <w:highlight w:val="none"/>
          <w:lang w:eastAsia="zh-CN"/>
        </w:rPr>
        <w:t>（</w:t>
      </w:r>
      <w:r>
        <w:rPr>
          <w:rFonts w:hint="eastAsia" w:ascii="宋体" w:hAnsi="宋体" w:eastAsia="宋体" w:cs="宋体"/>
          <w:color w:val="auto"/>
          <w:spacing w:val="0"/>
          <w:w w:val="100"/>
          <w:sz w:val="28"/>
          <w:szCs w:val="28"/>
          <w:highlight w:val="none"/>
          <w:lang w:val="en-US" w:eastAsia="zh-CN"/>
        </w:rPr>
        <w:t>如有</w:t>
      </w:r>
      <w:r>
        <w:rPr>
          <w:rFonts w:hint="eastAsia" w:ascii="宋体" w:hAnsi="宋体" w:eastAsia="宋体" w:cs="宋体"/>
          <w:color w:val="auto"/>
          <w:spacing w:val="0"/>
          <w:w w:val="100"/>
          <w:sz w:val="28"/>
          <w:szCs w:val="28"/>
          <w:highlight w:val="none"/>
          <w:lang w:eastAsia="zh-CN"/>
        </w:rPr>
        <w:t>）</w:t>
      </w:r>
    </w:p>
    <w:p>
      <w:pPr>
        <w:spacing w:line="700" w:lineRule="exact"/>
        <w:ind w:left="0" w:leftChars="0" w:firstLine="2318" w:firstLineChars="828"/>
        <w:rPr>
          <w:rFonts w:hint="eastAsia" w:ascii="宋体" w:hAnsi="宋体" w:eastAsia="宋体" w:cs="宋体"/>
          <w:color w:val="auto"/>
          <w:spacing w:val="0"/>
          <w:w w:val="100"/>
          <w:sz w:val="28"/>
          <w:szCs w:val="28"/>
          <w:highlight w:val="none"/>
        </w:rPr>
      </w:pPr>
      <w:r>
        <w:rPr>
          <w:rFonts w:hint="eastAsia" w:ascii="宋体" w:hAnsi="宋体" w:eastAsia="宋体" w:cs="宋体"/>
          <w:color w:val="auto"/>
          <w:spacing w:val="0"/>
          <w:w w:val="100"/>
          <w:sz w:val="28"/>
          <w:szCs w:val="28"/>
          <w:highlight w:val="none"/>
        </w:rPr>
        <w:t>6.最后报价表</w:t>
      </w:r>
    </w:p>
    <w:p>
      <w:pPr>
        <w:spacing w:line="700" w:lineRule="exact"/>
        <w:ind w:left="0" w:leftChars="0" w:firstLine="2318" w:firstLineChars="828"/>
        <w:rPr>
          <w:rFonts w:hint="eastAsia" w:ascii="宋体" w:hAnsi="宋体" w:eastAsia="宋体" w:cs="宋体"/>
          <w:color w:val="auto"/>
          <w:spacing w:val="0"/>
          <w:w w:val="100"/>
          <w:sz w:val="28"/>
          <w:szCs w:val="28"/>
          <w:highlight w:val="none"/>
        </w:rPr>
      </w:pPr>
      <w:r>
        <w:rPr>
          <w:rFonts w:hint="eastAsia" w:ascii="宋体" w:hAnsi="宋体" w:eastAsia="宋体" w:cs="宋体"/>
          <w:color w:val="auto"/>
          <w:spacing w:val="0"/>
          <w:w w:val="100"/>
          <w:sz w:val="28"/>
          <w:szCs w:val="28"/>
          <w:highlight w:val="none"/>
        </w:rPr>
        <w:t>7.商务条款偏离表</w:t>
      </w:r>
    </w:p>
    <w:p>
      <w:pPr>
        <w:spacing w:line="700" w:lineRule="exact"/>
        <w:ind w:left="0" w:leftChars="0" w:firstLine="2318" w:firstLineChars="828"/>
        <w:rPr>
          <w:rFonts w:hint="eastAsia" w:ascii="宋体" w:hAnsi="宋体" w:eastAsia="宋体" w:cs="宋体"/>
          <w:color w:val="auto"/>
          <w:spacing w:val="0"/>
          <w:w w:val="100"/>
          <w:sz w:val="28"/>
          <w:szCs w:val="28"/>
          <w:highlight w:val="none"/>
          <w:lang w:val="en-US" w:eastAsia="zh-CN"/>
        </w:rPr>
      </w:pPr>
      <w:r>
        <w:rPr>
          <w:rFonts w:hint="eastAsia" w:ascii="宋体" w:hAnsi="宋体" w:eastAsia="宋体" w:cs="宋体"/>
          <w:color w:val="auto"/>
          <w:spacing w:val="0"/>
          <w:w w:val="100"/>
          <w:sz w:val="28"/>
          <w:szCs w:val="28"/>
          <w:highlight w:val="none"/>
        </w:rPr>
        <w:t>8.</w:t>
      </w:r>
      <w:r>
        <w:rPr>
          <w:rFonts w:hint="eastAsia" w:ascii="宋体" w:hAnsi="宋体" w:eastAsia="宋体" w:cs="宋体"/>
          <w:color w:val="auto"/>
          <w:spacing w:val="0"/>
          <w:w w:val="100"/>
          <w:sz w:val="28"/>
          <w:szCs w:val="28"/>
          <w:highlight w:val="none"/>
          <w:lang w:val="en-US" w:eastAsia="zh-CN"/>
        </w:rPr>
        <w:t>服务需求偏离表</w:t>
      </w:r>
    </w:p>
    <w:p>
      <w:pPr>
        <w:spacing w:line="700" w:lineRule="exact"/>
        <w:ind w:left="0" w:leftChars="0" w:firstLine="2318" w:firstLineChars="828"/>
        <w:rPr>
          <w:rFonts w:hint="eastAsia" w:ascii="宋体" w:hAnsi="宋体" w:eastAsia="宋体" w:cs="宋体"/>
          <w:color w:val="auto"/>
          <w:spacing w:val="0"/>
          <w:w w:val="100"/>
          <w:sz w:val="28"/>
          <w:szCs w:val="28"/>
          <w:highlight w:val="none"/>
        </w:rPr>
      </w:pPr>
      <w:r>
        <w:rPr>
          <w:rFonts w:hint="eastAsia" w:ascii="宋体" w:hAnsi="宋体" w:eastAsia="宋体" w:cs="宋体"/>
          <w:color w:val="auto"/>
          <w:spacing w:val="0"/>
          <w:w w:val="100"/>
          <w:sz w:val="28"/>
          <w:szCs w:val="28"/>
          <w:highlight w:val="none"/>
        </w:rPr>
        <w:t>9.成交通知书</w:t>
      </w:r>
    </w:p>
    <w:p>
      <w:pPr>
        <w:spacing w:line="700" w:lineRule="exact"/>
        <w:ind w:firstLine="2871" w:firstLineChars="650"/>
        <w:rPr>
          <w:rFonts w:hint="eastAsia" w:ascii="宋体" w:hAnsi="Courier New" w:eastAsia="宋体" w:cs="Times New Roman"/>
          <w:b/>
          <w:color w:val="auto"/>
          <w:sz w:val="44"/>
          <w:szCs w:val="44"/>
          <w:highlight w:val="none"/>
        </w:rPr>
      </w:pPr>
      <w:r>
        <w:rPr>
          <w:rFonts w:hint="eastAsia" w:ascii="宋体" w:hAnsi="Courier New" w:eastAsia="宋体" w:cs="Times New Roman"/>
          <w:b/>
          <w:color w:val="auto"/>
          <w:sz w:val="44"/>
          <w:szCs w:val="44"/>
          <w:highlight w:val="none"/>
        </w:rPr>
        <w:br w:type="page"/>
      </w:r>
    </w:p>
    <w:p>
      <w:pPr>
        <w:spacing w:line="240" w:lineRule="auto"/>
        <w:jc w:val="center"/>
        <w:rPr>
          <w:rFonts w:hint="eastAsia" w:ascii="宋体" w:hAnsi="Courier New" w:eastAsia="宋体" w:cs="Times New Roman"/>
          <w:b/>
          <w:color w:val="auto"/>
          <w:sz w:val="44"/>
          <w:szCs w:val="44"/>
          <w:highlight w:val="none"/>
        </w:rPr>
      </w:pPr>
      <w:r>
        <w:rPr>
          <w:rFonts w:hint="eastAsia" w:ascii="宋体" w:hAnsi="Courier New" w:eastAsia="宋体" w:cs="Times New Roman"/>
          <w:b/>
          <w:color w:val="auto"/>
          <w:sz w:val="44"/>
          <w:szCs w:val="44"/>
          <w:highlight w:val="none"/>
        </w:rPr>
        <w:t>合 同 书</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 xml:space="preserve">                                    </w:t>
      </w:r>
    </w:p>
    <w:p>
      <w:pPr>
        <w:spacing w:line="360" w:lineRule="auto"/>
        <w:rPr>
          <w:rFonts w:ascii="宋体" w:hAnsi="宋体" w:eastAsia="宋体" w:cs="宋体"/>
          <w:kern w:val="0"/>
        </w:rPr>
      </w:pPr>
      <w:r>
        <w:rPr>
          <w:rFonts w:hint="eastAsia" w:ascii="宋体" w:hAnsi="宋体" w:eastAsia="宋体" w:cs="宋体"/>
          <w:kern w:val="0"/>
        </w:rPr>
        <w:t>采购计划号：</w:t>
      </w:r>
      <w:r>
        <w:rPr>
          <w:rFonts w:hint="eastAsia" w:ascii="宋体" w:hAnsi="宋体" w:eastAsia="宋体" w:cs="宋体"/>
          <w:u w:val="single"/>
        </w:rPr>
        <w:t xml:space="preserve">                                            </w:t>
      </w:r>
    </w:p>
    <w:p>
      <w:pPr>
        <w:spacing w:line="360" w:lineRule="auto"/>
        <w:rPr>
          <w:rFonts w:ascii="宋体" w:hAnsi="宋体" w:eastAsia="宋体" w:cs="宋体"/>
          <w:kern w:val="0"/>
        </w:rPr>
      </w:pPr>
      <w:r>
        <w:rPr>
          <w:rFonts w:hint="eastAsia" w:ascii="宋体" w:hAnsi="宋体" w:eastAsia="宋体" w:cs="宋体"/>
          <w:kern w:val="0"/>
        </w:rPr>
        <w:t>项目名称：</w:t>
      </w:r>
      <w:r>
        <w:rPr>
          <w:rFonts w:hint="eastAsia" w:ascii="宋体" w:hAnsi="宋体" w:eastAsia="宋体" w:cs="宋体"/>
          <w:u w:val="single"/>
        </w:rPr>
        <w:t xml:space="preserve">      </w:t>
      </w:r>
      <w:r>
        <w:rPr>
          <w:rFonts w:hint="eastAsia" w:ascii="宋体" w:hAnsi="宋体" w:eastAsia="宋体" w:cs="宋体"/>
          <w:u w:val="single"/>
          <w:lang w:eastAsia="zh-CN"/>
        </w:rPr>
        <w:t>劳务服务项目采购</w:t>
      </w:r>
      <w:r>
        <w:rPr>
          <w:rFonts w:hint="eastAsia" w:ascii="宋体" w:hAnsi="宋体" w:eastAsia="宋体" w:cs="宋体"/>
          <w:u w:val="single"/>
        </w:rPr>
        <w:t xml:space="preserve">                 </w:t>
      </w:r>
    </w:p>
    <w:p>
      <w:pPr>
        <w:spacing w:line="360" w:lineRule="auto"/>
        <w:rPr>
          <w:rFonts w:ascii="宋体" w:hAnsi="宋体" w:eastAsia="宋体" w:cs="宋体"/>
          <w:kern w:val="0"/>
          <w:u w:val="single"/>
        </w:rPr>
      </w:pPr>
      <w:r>
        <w:rPr>
          <w:rFonts w:hint="eastAsia" w:ascii="宋体" w:hAnsi="宋体" w:eastAsia="宋体" w:cs="宋体"/>
          <w:kern w:val="0"/>
        </w:rPr>
        <w:t>项目编号：</w:t>
      </w:r>
      <w:r>
        <w:rPr>
          <w:rFonts w:hint="eastAsia" w:ascii="宋体" w:hAnsi="宋体" w:eastAsia="宋体" w:cs="宋体"/>
          <w:kern w:val="0"/>
          <w:u w:val="single"/>
        </w:rPr>
        <w:t xml:space="preserve"> </w:t>
      </w:r>
      <w:r>
        <w:rPr>
          <w:rFonts w:hint="eastAsia" w:ascii="宋体" w:hAnsi="宋体" w:eastAsia="宋体" w:cs="宋体"/>
          <w:u w:val="single"/>
        </w:rPr>
        <w:t xml:space="preserve">                                             </w:t>
      </w:r>
    </w:p>
    <w:p>
      <w:pPr>
        <w:spacing w:line="360" w:lineRule="auto"/>
        <w:rPr>
          <w:rFonts w:ascii="宋体" w:hAnsi="宋体" w:eastAsia="宋体" w:cs="宋体"/>
          <w:kern w:val="0"/>
        </w:rPr>
      </w:pPr>
      <w:r>
        <w:rPr>
          <w:rFonts w:hint="eastAsia" w:ascii="宋体" w:hAnsi="宋体" w:eastAsia="宋体" w:cs="宋体"/>
          <w:kern w:val="0"/>
        </w:rPr>
        <w:t>签订地点：</w:t>
      </w:r>
      <w:r>
        <w:rPr>
          <w:rFonts w:hint="eastAsia" w:ascii="宋体" w:hAnsi="宋体" w:eastAsia="宋体" w:cs="宋体"/>
          <w:u w:val="single"/>
        </w:rPr>
        <w:t xml:space="preserve">       </w:t>
      </w:r>
      <w:r>
        <w:rPr>
          <w:rFonts w:hint="eastAsia" w:ascii="宋体" w:hAnsi="宋体" w:eastAsia="宋体" w:cs="宋体"/>
          <w:u w:val="single"/>
          <w:lang w:eastAsia="zh-CN"/>
        </w:rPr>
        <w:t>青秀区</w:t>
      </w:r>
      <w:r>
        <w:rPr>
          <w:rFonts w:hint="eastAsia" w:ascii="宋体" w:hAnsi="宋体" w:eastAsia="宋体" w:cs="宋体"/>
          <w:u w:val="single"/>
        </w:rPr>
        <w:t xml:space="preserve">                                       </w:t>
      </w:r>
    </w:p>
    <w:p>
      <w:pPr>
        <w:spacing w:line="360" w:lineRule="auto"/>
        <w:rPr>
          <w:rFonts w:ascii="宋体" w:hAnsi="宋体" w:eastAsia="宋体" w:cs="宋体"/>
          <w:kern w:val="0"/>
        </w:rPr>
      </w:pPr>
      <w:r>
        <w:rPr>
          <w:rFonts w:hint="eastAsia" w:ascii="宋体" w:hAnsi="宋体" w:eastAsia="宋体" w:cs="宋体"/>
          <w:kern w:val="0"/>
        </w:rPr>
        <w:t>签订时间：</w:t>
      </w:r>
      <w:r>
        <w:rPr>
          <w:rFonts w:hint="eastAsia" w:ascii="宋体" w:hAnsi="宋体" w:eastAsia="宋体" w:cs="宋体"/>
          <w:u w:val="single"/>
        </w:rPr>
        <w:t xml:space="preserve">                                              </w:t>
      </w:r>
    </w:p>
    <w:p>
      <w:pPr>
        <w:spacing w:line="360" w:lineRule="auto"/>
        <w:rPr>
          <w:rFonts w:hint="eastAsia" w:ascii="宋体" w:hAnsi="宋体" w:eastAsia="宋体" w:cs="宋体"/>
          <w:sz w:val="30"/>
          <w:szCs w:val="30"/>
          <w:lang w:eastAsia="zh-CN"/>
        </w:rPr>
      </w:pPr>
      <w:r>
        <w:rPr>
          <w:rFonts w:hint="eastAsia" w:ascii="宋体" w:hAnsi="宋体" w:eastAsia="宋体" w:cs="宋体"/>
          <w:color w:val="auto"/>
          <w:szCs w:val="21"/>
        </w:rPr>
        <w:t>本合同</w:t>
      </w:r>
      <w:r>
        <w:rPr>
          <w:rFonts w:hint="eastAsia" w:ascii="宋体" w:hAnsi="宋体" w:eastAsia="宋体" w:cs="宋体"/>
          <w:color w:val="auto"/>
          <w:szCs w:val="21"/>
          <w:lang w:val="en-US" w:eastAsia="zh-CN"/>
        </w:rPr>
        <w:t>是否</w:t>
      </w:r>
      <w:r>
        <w:rPr>
          <w:rFonts w:hint="eastAsia" w:ascii="宋体" w:hAnsi="宋体" w:eastAsia="宋体" w:cs="宋体"/>
          <w:color w:val="auto"/>
          <w:szCs w:val="21"/>
        </w:rPr>
        <w:t>为中小企业预留合同：</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lang w:eastAsia="zh-CN"/>
        </w:rPr>
        <w:t>。</w:t>
      </w:r>
    </w:p>
    <w:p>
      <w:pPr>
        <w:spacing w:line="440" w:lineRule="exact"/>
        <w:ind w:firstLine="420" w:firstLineChars="200"/>
        <w:jc w:val="left"/>
        <w:rPr>
          <w:rFonts w:ascii="宋体" w:hAnsi="宋体" w:eastAsia="宋体" w:cs="宋体"/>
          <w:szCs w:val="21"/>
        </w:rPr>
      </w:pPr>
      <w:r>
        <w:rPr>
          <w:rFonts w:hint="eastAsia" w:ascii="宋体" w:hAnsi="宋体" w:eastAsia="宋体" w:cs="宋体"/>
          <w:szCs w:val="21"/>
        </w:rPr>
        <w:t>根据《中华人民共和国政府采购法》《中华人民共和国民法典》等法律、法规规定，按照招标文件（采购文件）规定条款和投标文件及承诺，甲乙双方签订本合同。</w:t>
      </w:r>
    </w:p>
    <w:p>
      <w:pPr>
        <w:spacing w:line="440" w:lineRule="exact"/>
        <w:ind w:firstLine="420" w:firstLineChars="200"/>
        <w:rPr>
          <w:rFonts w:ascii="宋体" w:hAnsi="宋体" w:eastAsia="宋体" w:cs="宋体"/>
          <w:bCs/>
          <w:szCs w:val="21"/>
        </w:rPr>
      </w:pPr>
      <w:r>
        <w:rPr>
          <w:rFonts w:hint="eastAsia" w:ascii="宋体" w:hAnsi="宋体" w:eastAsia="宋体" w:cs="宋体"/>
          <w:bCs/>
          <w:szCs w:val="21"/>
        </w:rPr>
        <w:t>第一条　合同标的</w:t>
      </w:r>
    </w:p>
    <w:p>
      <w:pPr>
        <w:spacing w:line="440" w:lineRule="exact"/>
        <w:ind w:firstLine="420" w:firstLineChars="200"/>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
        </w:rPr>
        <w:t>.</w:t>
      </w:r>
      <w:r>
        <w:rPr>
          <w:rFonts w:hint="eastAsia" w:ascii="宋体" w:hAnsi="宋体" w:eastAsia="宋体" w:cs="宋体"/>
          <w:szCs w:val="21"/>
        </w:rPr>
        <w:t>服务一览表</w:t>
      </w:r>
    </w:p>
    <w:tbl>
      <w:tblPr>
        <w:tblStyle w:val="31"/>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937"/>
        <w:gridCol w:w="2564"/>
        <w:gridCol w:w="763"/>
        <w:gridCol w:w="941"/>
        <w:gridCol w:w="1350"/>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eastAsia="宋体" w:cs="宋体"/>
                <w:szCs w:val="21"/>
              </w:rPr>
            </w:pPr>
            <w:r>
              <w:rPr>
                <w:rFonts w:hint="eastAsia" w:ascii="宋体" w:hAnsi="宋体" w:eastAsia="宋体" w:cs="宋体"/>
                <w:szCs w:val="21"/>
              </w:rPr>
              <w:t>序号</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eastAsia="宋体" w:cs="宋体"/>
                <w:szCs w:val="21"/>
              </w:rPr>
            </w:pPr>
            <w:r>
              <w:rPr>
                <w:rFonts w:hint="eastAsia" w:ascii="宋体" w:hAnsi="宋体" w:eastAsia="宋体" w:cs="宋体"/>
                <w:szCs w:val="21"/>
              </w:rPr>
              <w:t>名称</w:t>
            </w:r>
          </w:p>
        </w:tc>
        <w:tc>
          <w:tcPr>
            <w:tcW w:w="25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eastAsia="宋体" w:cs="宋体"/>
                <w:szCs w:val="21"/>
              </w:rPr>
            </w:pPr>
            <w:r>
              <w:rPr>
                <w:rFonts w:hint="eastAsia" w:ascii="宋体" w:hAnsi="宋体" w:eastAsia="宋体" w:cs="宋体"/>
                <w:szCs w:val="21"/>
              </w:rPr>
              <w:t>服务内容</w:t>
            </w: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eastAsia="宋体" w:cs="宋体"/>
                <w:szCs w:val="21"/>
              </w:rPr>
            </w:pPr>
            <w:r>
              <w:rPr>
                <w:rFonts w:hint="eastAsia" w:ascii="宋体" w:hAnsi="宋体" w:eastAsia="宋体" w:cs="宋体"/>
                <w:szCs w:val="21"/>
              </w:rPr>
              <w:t>数量</w:t>
            </w: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eastAsia="宋体" w:cs="宋体"/>
                <w:szCs w:val="21"/>
              </w:rPr>
            </w:pPr>
            <w:r>
              <w:rPr>
                <w:rFonts w:hint="eastAsia" w:ascii="宋体" w:hAnsi="宋体" w:eastAsia="宋体" w:cs="宋体"/>
                <w:szCs w:val="21"/>
              </w:rPr>
              <w:t>单位</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eastAsia="宋体" w:cs="宋体"/>
                <w:szCs w:val="21"/>
              </w:rPr>
            </w:pPr>
            <w:r>
              <w:rPr>
                <w:rFonts w:hint="eastAsia" w:ascii="宋体" w:hAnsi="宋体" w:eastAsia="宋体" w:cs="宋体"/>
                <w:szCs w:val="21"/>
              </w:rPr>
              <w:t>单  价</w:t>
            </w:r>
          </w:p>
          <w:p>
            <w:pPr>
              <w:spacing w:line="440" w:lineRule="exact"/>
              <w:jc w:val="center"/>
              <w:rPr>
                <w:rFonts w:ascii="宋体" w:hAnsi="宋体" w:eastAsia="宋体" w:cs="宋体"/>
                <w:szCs w:val="21"/>
              </w:rPr>
            </w:pPr>
            <w:r>
              <w:rPr>
                <w:rFonts w:hint="eastAsia" w:ascii="宋体" w:hAnsi="宋体" w:eastAsia="宋体" w:cs="宋体"/>
                <w:szCs w:val="21"/>
              </w:rPr>
              <w:t>（元）</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eastAsia="宋体" w:cs="宋体"/>
                <w:szCs w:val="21"/>
              </w:rPr>
            </w:pPr>
            <w:r>
              <w:rPr>
                <w:rFonts w:hint="eastAsia" w:ascii="宋体" w:hAnsi="宋体" w:eastAsia="宋体" w:cs="宋体"/>
                <w:szCs w:val="21"/>
              </w:rPr>
              <w:t>总  价</w:t>
            </w:r>
          </w:p>
          <w:p>
            <w:pPr>
              <w:spacing w:line="440" w:lineRule="exact"/>
              <w:jc w:val="center"/>
              <w:rPr>
                <w:rFonts w:ascii="宋体" w:hAnsi="宋体" w:eastAsia="宋体" w:cs="宋体"/>
                <w:szCs w:val="21"/>
              </w:rPr>
            </w:pPr>
            <w:r>
              <w:rPr>
                <w:rFonts w:hint="eastAsia" w:ascii="宋体" w:hAnsi="宋体" w:eastAsia="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eastAsia="宋体" w:cs="宋体"/>
                <w:szCs w:val="21"/>
              </w:rPr>
            </w:pPr>
            <w:r>
              <w:rPr>
                <w:rFonts w:hint="eastAsia" w:ascii="宋体" w:hAnsi="宋体" w:eastAsia="宋体" w:cs="宋体"/>
                <w:szCs w:val="21"/>
              </w:rPr>
              <w:t>1</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eastAsia="宋体" w:cs="宋体"/>
                <w:szCs w:val="21"/>
              </w:rPr>
            </w:pPr>
          </w:p>
        </w:tc>
        <w:tc>
          <w:tcPr>
            <w:tcW w:w="25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eastAsia="宋体" w:cs="宋体"/>
                <w:szCs w:val="21"/>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eastAsia="宋体" w:cs="宋体"/>
                <w:szCs w:val="21"/>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eastAsia="宋体" w:cs="宋体"/>
                <w:szCs w:val="21"/>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eastAsia="宋体" w:cs="宋体"/>
                <w:szCs w:val="21"/>
                <w:lang w:val="en"/>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eastAsia="宋体" w:cs="宋体"/>
                <w:szCs w:val="21"/>
              </w:rPr>
            </w:pPr>
            <w:r>
              <w:rPr>
                <w:rFonts w:hint="eastAsia" w:ascii="宋体" w:hAnsi="宋体" w:eastAsia="宋体" w:cs="宋体"/>
                <w:szCs w:val="21"/>
              </w:rPr>
              <w:t>2</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eastAsia="宋体" w:cs="宋体"/>
                <w:szCs w:val="21"/>
              </w:rPr>
            </w:pPr>
          </w:p>
        </w:tc>
        <w:tc>
          <w:tcPr>
            <w:tcW w:w="25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eastAsia="宋体" w:cs="宋体"/>
                <w:szCs w:val="21"/>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eastAsia="宋体" w:cs="宋体"/>
                <w:szCs w:val="21"/>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eastAsia="宋体" w:cs="宋体"/>
                <w:szCs w:val="21"/>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eastAsia="宋体" w:cs="宋体"/>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eastAsia="宋体" w:cs="宋体"/>
                <w:szCs w:val="21"/>
              </w:rPr>
            </w:pPr>
            <w:r>
              <w:rPr>
                <w:rFonts w:hint="eastAsia" w:ascii="宋体" w:hAnsi="宋体" w:eastAsia="宋体" w:cs="宋体"/>
                <w:szCs w:val="21"/>
              </w:rPr>
              <w:t>…</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eastAsia="宋体" w:cs="宋体"/>
                <w:szCs w:val="21"/>
              </w:rPr>
            </w:pPr>
          </w:p>
        </w:tc>
        <w:tc>
          <w:tcPr>
            <w:tcW w:w="25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eastAsia="宋体" w:cs="宋体"/>
                <w:szCs w:val="21"/>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eastAsia="宋体" w:cs="宋体"/>
                <w:szCs w:val="21"/>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eastAsia="宋体" w:cs="宋体"/>
                <w:szCs w:val="21"/>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eastAsia="宋体" w:cs="宋体"/>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9465" w:type="dxa"/>
            <w:gridSpan w:val="7"/>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eastAsia="宋体" w:cs="宋体"/>
                <w:szCs w:val="21"/>
              </w:rPr>
            </w:pPr>
            <w:r>
              <w:rPr>
                <w:rFonts w:hint="eastAsia" w:ascii="宋体" w:hAnsi="宋体" w:eastAsia="宋体" w:cs="宋体"/>
                <w:szCs w:val="21"/>
              </w:rPr>
              <w:t>合同合计金额（人民币，大写）：</w:t>
            </w:r>
            <w:r>
              <w:rPr>
                <w:rFonts w:hint="eastAsia" w:ascii="宋体" w:hAnsi="宋体" w:eastAsia="宋体" w:cs="宋体"/>
                <w:szCs w:val="21"/>
                <w:u w:val="single"/>
              </w:rPr>
              <w:t xml:space="preserve">                             </w:t>
            </w:r>
            <w:r>
              <w:rPr>
                <w:rFonts w:hint="eastAsia" w:ascii="宋体" w:hAnsi="宋体" w:eastAsia="宋体" w:cs="宋体"/>
                <w:szCs w:val="21"/>
              </w:rPr>
              <w:t>元整（￥</w:t>
            </w:r>
            <w:r>
              <w:rPr>
                <w:rFonts w:hint="eastAsia" w:ascii="宋体" w:hAnsi="宋体" w:eastAsia="宋体" w:cs="宋体"/>
                <w:szCs w:val="21"/>
                <w:u w:val="single"/>
              </w:rPr>
              <w:t xml:space="preserve">              </w:t>
            </w:r>
            <w:r>
              <w:rPr>
                <w:rFonts w:hint="eastAsia" w:ascii="宋体" w:hAnsi="宋体" w:eastAsia="宋体" w:cs="宋体"/>
                <w:szCs w:val="21"/>
              </w:rPr>
              <w:t>）</w:t>
            </w:r>
          </w:p>
        </w:tc>
      </w:tr>
    </w:tbl>
    <w:p>
      <w:pPr>
        <w:spacing w:line="440" w:lineRule="exact"/>
        <w:ind w:firstLine="420" w:firstLineChars="200"/>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
        </w:rPr>
        <w:t>.</w:t>
      </w:r>
      <w:r>
        <w:rPr>
          <w:rFonts w:hint="eastAsia" w:ascii="宋体" w:hAnsi="宋体" w:eastAsia="宋体" w:cs="宋体"/>
          <w:szCs w:val="21"/>
        </w:rPr>
        <w:t>合同合计金额包括但不限于满足本次招标全部采购需求所应提供的服务，以及伴随的货物和工程（如有）的价格。</w:t>
      </w:r>
    </w:p>
    <w:p>
      <w:pPr>
        <w:spacing w:line="440" w:lineRule="exact"/>
        <w:ind w:firstLine="420" w:firstLineChars="200"/>
        <w:rPr>
          <w:rFonts w:ascii="宋体" w:hAnsi="宋体" w:eastAsia="宋体" w:cs="宋体"/>
          <w:b/>
          <w:szCs w:val="21"/>
        </w:rPr>
      </w:pPr>
      <w:r>
        <w:rPr>
          <w:rFonts w:hint="eastAsia" w:ascii="宋体" w:hAnsi="宋体" w:eastAsia="宋体" w:cs="宋体"/>
          <w:bCs/>
          <w:szCs w:val="21"/>
        </w:rPr>
        <w:t>第二条　质量保证</w:t>
      </w:r>
    </w:p>
    <w:p>
      <w:pPr>
        <w:spacing w:line="440" w:lineRule="exact"/>
        <w:ind w:firstLine="420" w:firstLineChars="200"/>
        <w:rPr>
          <w:rFonts w:ascii="宋体" w:hAnsi="宋体" w:eastAsia="宋体" w:cs="宋体"/>
          <w:szCs w:val="21"/>
        </w:rPr>
      </w:pPr>
      <w:r>
        <w:rPr>
          <w:rFonts w:hint="eastAsia" w:ascii="宋体" w:hAnsi="宋体" w:eastAsia="宋体" w:cs="宋体"/>
          <w:szCs w:val="21"/>
        </w:rPr>
        <w:t>乙方所提供的服务、服务质量及服务内容必须与合同、采购文件、响应文件及承诺相一致，有国家强制性标准的，还必须符合国家强制性标准的规定，没有国家强制性标准但有其他国家、行业或习惯标准的，必须符合其他标准的规定。</w:t>
      </w:r>
    </w:p>
    <w:p>
      <w:pPr>
        <w:spacing w:line="440" w:lineRule="exact"/>
        <w:ind w:firstLine="420" w:firstLineChars="200"/>
        <w:rPr>
          <w:rFonts w:ascii="宋体" w:hAnsi="宋体" w:eastAsia="宋体" w:cs="宋体"/>
          <w:szCs w:val="21"/>
        </w:rPr>
      </w:pPr>
      <w:r>
        <w:rPr>
          <w:rFonts w:hint="eastAsia" w:ascii="宋体" w:hAnsi="宋体" w:eastAsia="宋体" w:cs="宋体"/>
          <w:szCs w:val="21"/>
        </w:rPr>
        <w:t>第三条　权利保证</w:t>
      </w:r>
    </w:p>
    <w:p>
      <w:pPr>
        <w:spacing w:line="440" w:lineRule="exact"/>
        <w:ind w:firstLine="420" w:firstLineChars="200"/>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
        </w:rPr>
        <w:t>.</w:t>
      </w:r>
      <w:r>
        <w:rPr>
          <w:rFonts w:hint="eastAsia" w:ascii="宋体" w:hAnsi="宋体" w:eastAsia="宋体" w:cs="宋体"/>
          <w:szCs w:val="21"/>
        </w:rPr>
        <w:t>甲方有权随时向乙方了解服务进度并进行监督、检查，并要求乙方提供相关资料。</w:t>
      </w:r>
    </w:p>
    <w:p>
      <w:pPr>
        <w:spacing w:line="440" w:lineRule="exact"/>
        <w:ind w:firstLine="420" w:firstLineChars="200"/>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
        </w:rPr>
        <w:t>.</w:t>
      </w:r>
      <w:r>
        <w:rPr>
          <w:rFonts w:hint="eastAsia" w:ascii="宋体" w:hAnsi="宋体" w:eastAsia="宋体" w:cs="宋体"/>
          <w:szCs w:val="21"/>
        </w:rPr>
        <w:t>甲方有权按照合同约定或有关法律法规、政府管理的相关职能规定，对乙方服务进行质量监督和检查，有权要求乙方按照监督检查情况制定相应措施并加以整改。甲方不因行使该监督和检查权而承担任何责任，也不因此而减轻或免除乙方根据合同约定或相关法律法规规定应承担的任何义务或责任。</w:t>
      </w:r>
    </w:p>
    <w:p>
      <w:pPr>
        <w:spacing w:line="440" w:lineRule="exact"/>
        <w:ind w:firstLine="420" w:firstLineChars="200"/>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
        </w:rPr>
        <w:t>.</w:t>
      </w:r>
      <w:r>
        <w:rPr>
          <w:rFonts w:hint="eastAsia" w:ascii="宋体" w:hAnsi="宋体" w:eastAsia="宋体" w:cs="宋体"/>
          <w:szCs w:val="21"/>
        </w:rPr>
        <w:t>乙方应保证所提供服务在使用时不会侵犯任何第三方的专利权、商标权、工业设计权等知识产权及其他合法权利，且所有权、处分权等没有受到任何限制。</w:t>
      </w:r>
    </w:p>
    <w:p>
      <w:pPr>
        <w:spacing w:line="440" w:lineRule="exact"/>
        <w:ind w:firstLine="420" w:firstLineChars="200"/>
        <w:rPr>
          <w:rFonts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lang w:val="en"/>
        </w:rPr>
        <w:t>.</w:t>
      </w:r>
      <w:r>
        <w:rPr>
          <w:rFonts w:hint="eastAsia" w:ascii="宋体" w:hAnsi="宋体" w:eastAsia="宋体" w:cs="宋体"/>
          <w:szCs w:val="21"/>
        </w:rPr>
        <w:t>没有甲方事先书面同意，乙方不得将由甲方提供的有关合同或者任何合同条文、规格、计划、图纸、样品或者资料提供给与履行本合同无关的任何其他人。即使向履行合同有关的人员提供，也应注意保密并限于履行合同的必需范围。乙方的保密义务持续有效，不因为本合同履行终止、解除或者无效而解除。</w:t>
      </w:r>
    </w:p>
    <w:p>
      <w:pPr>
        <w:spacing w:line="440" w:lineRule="exact"/>
        <w:ind w:firstLine="420" w:firstLineChars="200"/>
        <w:rPr>
          <w:rFonts w:ascii="宋体" w:hAnsi="宋体" w:eastAsia="宋体" w:cs="宋体"/>
          <w:szCs w:val="21"/>
        </w:rPr>
      </w:pPr>
      <w:r>
        <w:rPr>
          <w:rFonts w:hint="eastAsia" w:ascii="宋体" w:hAnsi="宋体" w:eastAsia="宋体" w:cs="宋体"/>
          <w:szCs w:val="21"/>
        </w:rPr>
        <w:t>5</w:t>
      </w:r>
      <w:r>
        <w:rPr>
          <w:rFonts w:hint="eastAsia" w:ascii="宋体" w:hAnsi="宋体" w:eastAsia="宋体" w:cs="宋体"/>
          <w:szCs w:val="21"/>
          <w:lang w:val="en"/>
        </w:rPr>
        <w:t>.</w:t>
      </w:r>
      <w:r>
        <w:rPr>
          <w:rFonts w:hint="eastAsia" w:ascii="宋体" w:hAnsi="宋体" w:eastAsia="宋体" w:cs="宋体"/>
          <w:szCs w:val="21"/>
        </w:rPr>
        <w:t>乙方保证所交付的服务成果的所有权完全属于乙方且无任何抵押、质押、查封等产权瑕疵。如乙方所交付服务成果有产权瑕疵的，视为乙方违约。但在已经全部支付完合同款后才发现有产权瑕疵的，乙方除了支付违约金，还应负担甲方由此产生的一切损失。未经甲方书面同意，乙方不能将监测数据、报告转发任何第三方。</w:t>
      </w:r>
    </w:p>
    <w:p>
      <w:pPr>
        <w:spacing w:line="440" w:lineRule="exact"/>
        <w:ind w:firstLine="420" w:firstLineChars="200"/>
        <w:rPr>
          <w:rFonts w:ascii="宋体" w:hAnsi="宋体" w:eastAsia="宋体" w:cs="宋体"/>
          <w:szCs w:val="21"/>
        </w:rPr>
      </w:pPr>
      <w:r>
        <w:rPr>
          <w:rFonts w:hint="eastAsia" w:ascii="宋体" w:hAnsi="宋体" w:eastAsia="宋体" w:cs="宋体"/>
          <w:szCs w:val="21"/>
        </w:rPr>
        <w:t>第四条　交付和验收</w:t>
      </w:r>
    </w:p>
    <w:p>
      <w:pPr>
        <w:spacing w:line="44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1.服务时间：自合同签订之日起</w:t>
      </w:r>
      <w:r>
        <w:rPr>
          <w:rFonts w:hint="eastAsia" w:ascii="宋体" w:hAnsi="宋体" w:eastAsia="宋体" w:cs="宋体"/>
          <w:color w:val="auto"/>
          <w:szCs w:val="21"/>
          <w:u w:val="single"/>
          <w:lang w:eastAsia="zh-CN"/>
        </w:rPr>
        <w:t>一</w:t>
      </w:r>
      <w:r>
        <w:rPr>
          <w:rFonts w:hint="eastAsia" w:ascii="宋体" w:hAnsi="宋体" w:eastAsia="宋体" w:cs="宋体"/>
          <w:color w:val="auto"/>
          <w:szCs w:val="21"/>
          <w:u w:val="single"/>
        </w:rPr>
        <w:t>年内有效。</w:t>
      </w:r>
    </w:p>
    <w:p>
      <w:pPr>
        <w:spacing w:line="44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2.服务地点：</w:t>
      </w:r>
      <w:r>
        <w:rPr>
          <w:rFonts w:hint="eastAsia" w:ascii="宋体" w:hAnsi="宋体" w:eastAsia="宋体" w:cs="宋体"/>
          <w:color w:val="auto"/>
          <w:szCs w:val="21"/>
          <w:u w:val="single"/>
          <w:lang w:val="en-US" w:eastAsia="zh-CN"/>
        </w:rPr>
        <w:t>甲方指定地点</w:t>
      </w:r>
      <w:r>
        <w:rPr>
          <w:rFonts w:hint="eastAsia" w:ascii="宋体" w:hAnsi="宋体" w:eastAsia="宋体" w:cs="宋体"/>
          <w:color w:val="auto"/>
          <w:szCs w:val="21"/>
          <w:u w:val="single"/>
        </w:rPr>
        <w:t>。</w:t>
      </w:r>
    </w:p>
    <w:p>
      <w:pPr>
        <w:spacing w:line="440" w:lineRule="exact"/>
        <w:ind w:firstLine="420" w:firstLineChars="200"/>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
        </w:rPr>
        <w:t>.</w:t>
      </w:r>
      <w:r>
        <w:rPr>
          <w:rFonts w:hint="eastAsia" w:ascii="宋体" w:hAnsi="宋体" w:eastAsia="宋体" w:cs="宋体"/>
          <w:szCs w:val="21"/>
        </w:rPr>
        <w:t>乙方应按合同、采购文件、响应文件及承诺向甲方提供相应的服务，并提供服务质量和服务内容的相关技术资料。</w:t>
      </w:r>
    </w:p>
    <w:p>
      <w:pPr>
        <w:spacing w:line="440" w:lineRule="exact"/>
        <w:ind w:firstLine="420" w:firstLineChars="200"/>
        <w:rPr>
          <w:rFonts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lang w:val="en"/>
        </w:rPr>
        <w:t>.</w:t>
      </w:r>
      <w:r>
        <w:rPr>
          <w:rFonts w:hint="eastAsia" w:ascii="宋体" w:hAnsi="宋体" w:eastAsia="宋体" w:cs="宋体"/>
          <w:szCs w:val="21"/>
        </w:rPr>
        <w:t>乙方提供不符合合同、采购文件、响应文件规定的服务成果，甲方有权拒绝接受。</w:t>
      </w:r>
    </w:p>
    <w:p>
      <w:pPr>
        <w:spacing w:line="440" w:lineRule="exact"/>
        <w:ind w:firstLine="420" w:firstLineChars="200"/>
        <w:rPr>
          <w:rFonts w:ascii="宋体" w:hAnsi="宋体" w:eastAsia="宋体" w:cs="宋体"/>
          <w:szCs w:val="21"/>
        </w:rPr>
      </w:pPr>
      <w:r>
        <w:rPr>
          <w:rFonts w:hint="eastAsia" w:ascii="宋体" w:hAnsi="宋体" w:eastAsia="宋体" w:cs="宋体"/>
          <w:szCs w:val="21"/>
        </w:rPr>
        <w:t>5</w:t>
      </w:r>
      <w:r>
        <w:rPr>
          <w:rFonts w:hint="eastAsia" w:ascii="宋体" w:hAnsi="宋体" w:eastAsia="宋体" w:cs="宋体"/>
          <w:szCs w:val="21"/>
          <w:lang w:val="en"/>
        </w:rPr>
        <w:t>.</w:t>
      </w:r>
      <w:r>
        <w:rPr>
          <w:rFonts w:hint="eastAsia" w:ascii="宋体" w:hAnsi="宋体" w:eastAsia="宋体" w:cs="宋体"/>
          <w:szCs w:val="21"/>
        </w:rPr>
        <w:t>乙方在完成服务前应对服务作出全面检查和对验收文件进行整理，并列出清单，作为甲方服务验收的技术依据，清单应随提交的服务成果交给甲方。</w:t>
      </w:r>
    </w:p>
    <w:p>
      <w:pPr>
        <w:spacing w:line="440" w:lineRule="exact"/>
        <w:ind w:firstLine="420" w:firstLineChars="200"/>
        <w:rPr>
          <w:rFonts w:ascii="宋体" w:hAnsi="宋体" w:eastAsia="宋体" w:cs="宋体"/>
          <w:szCs w:val="21"/>
        </w:rPr>
      </w:pPr>
      <w:r>
        <w:rPr>
          <w:rFonts w:hint="eastAsia" w:ascii="宋体" w:hAnsi="宋体" w:eastAsia="宋体" w:cs="宋体"/>
          <w:szCs w:val="21"/>
        </w:rPr>
        <w:t>6</w:t>
      </w:r>
      <w:r>
        <w:rPr>
          <w:rFonts w:hint="eastAsia" w:ascii="宋体" w:hAnsi="宋体" w:eastAsia="宋体" w:cs="宋体"/>
          <w:szCs w:val="21"/>
          <w:lang w:val="en"/>
        </w:rPr>
        <w:t>.</w:t>
      </w:r>
      <w:r>
        <w:rPr>
          <w:rFonts w:hint="eastAsia" w:ascii="宋体" w:hAnsi="宋体" w:eastAsia="宋体" w:cs="宋体"/>
          <w:szCs w:val="21"/>
        </w:rPr>
        <w:t>乙方完成服务后应及时书面通知甲方进行验收，甲方应在收到通知后十个工作日内进行验收，逾期不开始验收的，乙方可视同验收合格。</w:t>
      </w:r>
    </w:p>
    <w:p>
      <w:pPr>
        <w:spacing w:line="440" w:lineRule="exact"/>
        <w:ind w:firstLine="420" w:firstLineChars="200"/>
        <w:rPr>
          <w:rFonts w:ascii="宋体" w:hAnsi="宋体" w:eastAsia="宋体" w:cs="宋体"/>
          <w:szCs w:val="21"/>
        </w:rPr>
      </w:pPr>
      <w:r>
        <w:rPr>
          <w:rFonts w:hint="eastAsia" w:ascii="宋体" w:hAnsi="宋体" w:eastAsia="宋体" w:cs="宋体"/>
          <w:szCs w:val="21"/>
        </w:rPr>
        <w:t>7</w:t>
      </w:r>
      <w:r>
        <w:rPr>
          <w:rFonts w:hint="eastAsia" w:ascii="宋体" w:hAnsi="宋体" w:eastAsia="宋体" w:cs="宋体"/>
          <w:szCs w:val="21"/>
          <w:lang w:val="en"/>
        </w:rPr>
        <w:t>.</w:t>
      </w:r>
      <w:r>
        <w:rPr>
          <w:rFonts w:hint="eastAsia" w:ascii="宋体" w:hAnsi="宋体" w:eastAsia="宋体" w:cs="宋体"/>
          <w:szCs w:val="21"/>
        </w:rPr>
        <w:t>甲乙双方应按照《广西壮族自治区政府采购项目履约验收管理办法》、合同、采购文件、响应文件验收，验收时乙方必须在现场，验收费用由乙方负责。服务质量和服务内容符合合同、采购文件、响应文件规定的要求的，由甲乙双方签署验收合格单并加盖甲方公章，甲乙双方各执一份。</w:t>
      </w:r>
    </w:p>
    <w:p>
      <w:pPr>
        <w:spacing w:line="440" w:lineRule="exact"/>
        <w:ind w:firstLine="420" w:firstLineChars="200"/>
        <w:rPr>
          <w:rFonts w:ascii="宋体" w:hAnsi="宋体" w:eastAsia="宋体" w:cs="宋体"/>
          <w:szCs w:val="21"/>
        </w:rPr>
      </w:pPr>
      <w:r>
        <w:rPr>
          <w:rFonts w:hint="eastAsia" w:ascii="宋体" w:hAnsi="宋体" w:eastAsia="宋体" w:cs="宋体"/>
          <w:szCs w:val="21"/>
        </w:rPr>
        <w:t>8</w:t>
      </w:r>
      <w:r>
        <w:rPr>
          <w:rFonts w:hint="eastAsia" w:ascii="宋体" w:hAnsi="宋体" w:eastAsia="宋体" w:cs="宋体"/>
          <w:szCs w:val="21"/>
          <w:lang w:val="en"/>
        </w:rPr>
        <w:t>.</w:t>
      </w:r>
      <w:r>
        <w:rPr>
          <w:rFonts w:hint="eastAsia" w:ascii="宋体" w:hAnsi="宋体" w:eastAsia="宋体" w:cs="宋体"/>
          <w:szCs w:val="21"/>
        </w:rPr>
        <w:t>甲方在验收过程中发现乙方提供的服务、服务质量或服务内容不满足合同、采购文件、响应文件规定的，可暂缓向乙方付款，直到乙方及时完善并提交相应的服务成果且经甲方验收合格后，方可办理付款。</w:t>
      </w:r>
    </w:p>
    <w:p>
      <w:pPr>
        <w:spacing w:line="440" w:lineRule="exact"/>
        <w:ind w:firstLine="420" w:firstLineChars="200"/>
        <w:rPr>
          <w:rFonts w:ascii="宋体" w:hAnsi="宋体" w:eastAsia="宋体" w:cs="宋体"/>
          <w:szCs w:val="21"/>
        </w:rPr>
      </w:pPr>
      <w:r>
        <w:rPr>
          <w:rFonts w:hint="eastAsia" w:ascii="宋体" w:hAnsi="宋体" w:eastAsia="宋体" w:cs="宋体"/>
          <w:szCs w:val="21"/>
        </w:rPr>
        <w:t>9</w:t>
      </w:r>
      <w:r>
        <w:rPr>
          <w:rFonts w:hint="eastAsia" w:ascii="宋体" w:hAnsi="宋体" w:eastAsia="宋体" w:cs="宋体"/>
          <w:szCs w:val="21"/>
          <w:lang w:val="en"/>
        </w:rPr>
        <w:t>.</w:t>
      </w:r>
      <w:r>
        <w:rPr>
          <w:rFonts w:hint="eastAsia" w:ascii="宋体" w:hAnsi="宋体" w:eastAsia="宋体" w:cs="宋体"/>
          <w:szCs w:val="21"/>
        </w:rPr>
        <w:t>甲方验收时发现乙方提供的服务、服务质量或服务内容不满足合同、采购文件、响应文件规定并以书面形式提出异议的，乙方应自收到甲方书面异议后五个工作日内予以解决，否则甲方有权不出具验收合格单。乙方因解决异议问题而造成逾期的，按乙方逾期交付处理。</w:t>
      </w:r>
    </w:p>
    <w:p>
      <w:pPr>
        <w:spacing w:line="440" w:lineRule="exact"/>
        <w:ind w:firstLine="420" w:firstLineChars="200"/>
        <w:rPr>
          <w:rFonts w:ascii="宋体" w:hAnsi="宋体" w:eastAsia="宋体" w:cs="宋体"/>
          <w:szCs w:val="21"/>
        </w:rPr>
      </w:pPr>
      <w:r>
        <w:rPr>
          <w:rFonts w:hint="eastAsia" w:ascii="宋体" w:hAnsi="宋体" w:eastAsia="宋体" w:cs="宋体"/>
          <w:szCs w:val="21"/>
        </w:rPr>
        <w:t>第五条　售后服务、服务质量保证期及培训</w:t>
      </w:r>
    </w:p>
    <w:p>
      <w:pPr>
        <w:spacing w:line="440" w:lineRule="exact"/>
        <w:ind w:firstLine="420" w:firstLineChars="200"/>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
        </w:rPr>
        <w:t>.</w:t>
      </w:r>
      <w:r>
        <w:rPr>
          <w:rFonts w:hint="eastAsia" w:ascii="宋体" w:hAnsi="宋体" w:eastAsia="宋体" w:cs="宋体"/>
          <w:szCs w:val="21"/>
        </w:rPr>
        <w:t>乙方应按照国家有关法律法规、合同、采购文件、响应文件所附的《服务承诺》要求为甲方提供相应的服务。</w:t>
      </w:r>
    </w:p>
    <w:p>
      <w:pPr>
        <w:spacing w:line="440" w:lineRule="exact"/>
        <w:ind w:firstLine="420" w:firstLineChars="200"/>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
        </w:rPr>
        <w:t>.</w:t>
      </w:r>
      <w:r>
        <w:rPr>
          <w:rFonts w:hint="eastAsia" w:ascii="宋体" w:hAnsi="宋体" w:eastAsia="宋体" w:cs="宋体"/>
          <w:szCs w:val="21"/>
        </w:rPr>
        <w:t>乙方提供服务的质量保证期按交付服务成果验收合格并签署验收合格单之日起计算，为60个工作日，在质量保证期内因服务成果本身的技术问题，乙方应对服务出现的问题负责处理解决并承担一切费用。</w:t>
      </w:r>
    </w:p>
    <w:p>
      <w:pPr>
        <w:spacing w:line="440" w:lineRule="exact"/>
        <w:ind w:firstLine="420" w:firstLineChars="200"/>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
        </w:rPr>
        <w:t>.</w:t>
      </w:r>
      <w:r>
        <w:rPr>
          <w:rFonts w:hint="eastAsia" w:ascii="宋体" w:hAnsi="宋体" w:eastAsia="宋体" w:cs="宋体"/>
          <w:szCs w:val="21"/>
        </w:rPr>
        <w:t>在质量保证期内发生技术服务问题，乙方应在接到甲方通知后24小时内到达甲方现场在甲方指定的期限内解决问题。</w:t>
      </w:r>
    </w:p>
    <w:p>
      <w:pPr>
        <w:spacing w:line="440" w:lineRule="exact"/>
        <w:ind w:firstLine="420" w:firstLineChars="200"/>
        <w:rPr>
          <w:rFonts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lang w:val="en"/>
        </w:rPr>
        <w:t>.</w:t>
      </w:r>
      <w:r>
        <w:rPr>
          <w:rFonts w:hint="eastAsia" w:ascii="宋体" w:hAnsi="宋体" w:eastAsia="宋体" w:cs="宋体"/>
          <w:szCs w:val="21"/>
        </w:rPr>
        <w:t>乙方负责甲方有关人员的现场培训，培训人数6-10人。</w:t>
      </w:r>
    </w:p>
    <w:p>
      <w:pPr>
        <w:spacing w:line="440" w:lineRule="exact"/>
        <w:ind w:firstLine="420" w:firstLineChars="200"/>
        <w:rPr>
          <w:rFonts w:ascii="宋体" w:hAnsi="宋体" w:eastAsia="宋体" w:cs="宋体"/>
          <w:szCs w:val="21"/>
        </w:rPr>
      </w:pPr>
      <w:r>
        <w:rPr>
          <w:rFonts w:hint="eastAsia" w:ascii="宋体" w:hAnsi="宋体" w:eastAsia="宋体" w:cs="宋体"/>
          <w:szCs w:val="21"/>
        </w:rPr>
        <w:t>培训时间：</w:t>
      </w:r>
      <w:r>
        <w:rPr>
          <w:rFonts w:hint="eastAsia" w:ascii="宋体" w:hAnsi="宋体" w:eastAsia="宋体" w:cs="宋体"/>
          <w:szCs w:val="21"/>
          <w:u w:val="single"/>
        </w:rPr>
        <w:t>　　　　　　　　　　　　　　　</w:t>
      </w:r>
      <w:r>
        <w:rPr>
          <w:rFonts w:hint="eastAsia" w:ascii="宋体" w:hAnsi="宋体" w:eastAsia="宋体" w:cs="宋体"/>
          <w:szCs w:val="21"/>
        </w:rPr>
        <w:t>。</w:t>
      </w:r>
    </w:p>
    <w:p>
      <w:pPr>
        <w:spacing w:line="440" w:lineRule="exact"/>
        <w:ind w:firstLine="420" w:firstLineChars="200"/>
        <w:rPr>
          <w:rFonts w:ascii="宋体" w:hAnsi="宋体" w:eastAsia="宋体" w:cs="宋体"/>
          <w:szCs w:val="21"/>
          <w:u w:val="single"/>
        </w:rPr>
      </w:pPr>
      <w:r>
        <w:rPr>
          <w:rFonts w:hint="eastAsia" w:ascii="宋体" w:hAnsi="宋体" w:eastAsia="宋体" w:cs="宋体"/>
          <w:szCs w:val="21"/>
        </w:rPr>
        <w:t>培训地点：</w:t>
      </w:r>
      <w:r>
        <w:rPr>
          <w:rFonts w:hint="eastAsia" w:ascii="宋体" w:hAnsi="宋体" w:eastAsia="宋体" w:cs="宋体"/>
          <w:szCs w:val="21"/>
          <w:u w:val="single"/>
        </w:rPr>
        <w:t>　　　　　　　　　　　　　　　</w:t>
      </w:r>
      <w:r>
        <w:rPr>
          <w:rFonts w:hint="eastAsia" w:ascii="宋体" w:hAnsi="宋体" w:eastAsia="宋体" w:cs="宋体"/>
          <w:szCs w:val="21"/>
        </w:rPr>
        <w:t>。</w:t>
      </w:r>
    </w:p>
    <w:p>
      <w:pPr>
        <w:spacing w:line="440" w:lineRule="exact"/>
        <w:ind w:firstLine="420" w:firstLineChars="200"/>
        <w:rPr>
          <w:rFonts w:ascii="宋体" w:hAnsi="宋体" w:eastAsia="宋体" w:cs="宋体"/>
          <w:b/>
          <w:szCs w:val="21"/>
          <w:u w:val="single"/>
        </w:rPr>
      </w:pPr>
      <w:r>
        <w:rPr>
          <w:rFonts w:hint="eastAsia" w:ascii="宋体" w:hAnsi="宋体" w:eastAsia="宋体" w:cs="宋体"/>
          <w:bCs/>
          <w:szCs w:val="21"/>
        </w:rPr>
        <w:t>第六条　付款方式</w:t>
      </w:r>
    </w:p>
    <w:p>
      <w:pPr>
        <w:spacing w:line="440" w:lineRule="exact"/>
        <w:ind w:firstLine="420" w:firstLineChars="200"/>
        <w:rPr>
          <w:rFonts w:ascii="宋体" w:hAnsi="宋体" w:eastAsia="宋体" w:cs="宋体"/>
          <w:szCs w:val="21"/>
          <w:u w:val="single"/>
        </w:rPr>
      </w:pPr>
      <w:r>
        <w:rPr>
          <w:rFonts w:hint="eastAsia" w:ascii="宋体" w:hAnsi="宋体" w:eastAsia="宋体" w:cs="宋体"/>
          <w:szCs w:val="21"/>
        </w:rPr>
        <w:t>1</w:t>
      </w:r>
      <w:r>
        <w:rPr>
          <w:rFonts w:hint="eastAsia" w:ascii="宋体" w:hAnsi="宋体" w:eastAsia="宋体" w:cs="宋体"/>
          <w:szCs w:val="21"/>
          <w:lang w:val="en"/>
        </w:rPr>
        <w:t>.</w:t>
      </w:r>
      <w:r>
        <w:rPr>
          <w:rFonts w:hint="eastAsia" w:ascii="宋体" w:hAnsi="宋体" w:eastAsia="宋体" w:cs="宋体"/>
          <w:szCs w:val="21"/>
        </w:rPr>
        <w:t>资金性质：</w:t>
      </w:r>
      <w:r>
        <w:rPr>
          <w:rFonts w:hint="eastAsia" w:ascii="宋体" w:hAnsi="宋体" w:eastAsia="宋体" w:cs="宋体"/>
          <w:szCs w:val="21"/>
          <w:u w:val="single"/>
        </w:rPr>
        <w:t>财政资金。</w:t>
      </w:r>
    </w:p>
    <w:p>
      <w:pPr>
        <w:spacing w:line="44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2</w:t>
      </w:r>
      <w:r>
        <w:rPr>
          <w:rFonts w:hint="eastAsia" w:ascii="宋体" w:hAnsi="宋体" w:eastAsia="宋体" w:cs="宋体"/>
          <w:color w:val="auto"/>
          <w:szCs w:val="21"/>
          <w:lang w:val="en"/>
        </w:rPr>
        <w:t>.</w:t>
      </w:r>
      <w:r>
        <w:rPr>
          <w:rFonts w:hint="eastAsia" w:ascii="宋体" w:hAnsi="宋体" w:eastAsia="宋体" w:cs="宋体"/>
          <w:color w:val="auto"/>
          <w:szCs w:val="21"/>
        </w:rPr>
        <w:t>付款方式</w:t>
      </w:r>
      <w:r>
        <w:rPr>
          <w:rFonts w:hint="eastAsia" w:ascii="宋体" w:hAnsi="宋体" w:eastAsia="宋体" w:cs="宋体"/>
          <w:color w:val="auto"/>
          <w:szCs w:val="21"/>
          <w:lang w:eastAsia="zh-CN"/>
        </w:rPr>
        <w:t>：</w:t>
      </w:r>
    </w:p>
    <w:p>
      <w:pPr>
        <w:spacing w:line="440" w:lineRule="exact"/>
        <w:ind w:firstLine="420" w:firstLineChars="200"/>
        <w:rPr>
          <w:rFonts w:hint="eastAsia" w:ascii="宋体" w:hAnsi="宋体" w:eastAsia="宋体" w:cs="宋体"/>
          <w:color w:val="auto"/>
          <w:szCs w:val="21"/>
          <w:u w:val="single"/>
          <w:lang w:eastAsia="zh-CN"/>
        </w:rPr>
      </w:pPr>
      <w:r>
        <w:rPr>
          <w:rFonts w:hint="eastAsia" w:ascii="宋体" w:hAnsi="宋体" w:eastAsia="宋体" w:cs="宋体"/>
          <w:color w:val="auto"/>
          <w:szCs w:val="21"/>
          <w:u w:val="single"/>
          <w:lang w:eastAsia="zh-CN"/>
        </w:rPr>
        <w:t>（</w:t>
      </w:r>
      <w:r>
        <w:rPr>
          <w:rFonts w:hint="eastAsia" w:ascii="宋体" w:hAnsi="宋体" w:eastAsia="宋体" w:cs="宋体"/>
          <w:color w:val="auto"/>
          <w:szCs w:val="21"/>
          <w:u w:val="single"/>
          <w:lang w:val="en-US" w:eastAsia="zh-CN"/>
        </w:rPr>
        <w:t>1</w:t>
      </w:r>
      <w:r>
        <w:rPr>
          <w:rFonts w:hint="eastAsia" w:ascii="宋体" w:hAnsi="宋体" w:eastAsia="宋体" w:cs="宋体"/>
          <w:color w:val="auto"/>
          <w:szCs w:val="21"/>
          <w:u w:val="single"/>
          <w:lang w:eastAsia="zh-CN"/>
        </w:rPr>
        <w:t>）</w:t>
      </w:r>
      <w:r>
        <w:rPr>
          <w:rFonts w:hint="eastAsia" w:ascii="宋体" w:hAnsi="宋体" w:cs="宋体"/>
          <w:color w:val="auto"/>
          <w:szCs w:val="21"/>
          <w:u w:val="single"/>
          <w:lang w:val="en-US" w:eastAsia="zh-CN"/>
        </w:rPr>
        <w:t>甲方</w:t>
      </w:r>
      <w:r>
        <w:rPr>
          <w:rFonts w:hint="eastAsia" w:ascii="宋体" w:hAnsi="宋体" w:eastAsia="宋体" w:cs="宋体"/>
          <w:color w:val="auto"/>
          <w:szCs w:val="21"/>
          <w:u w:val="single"/>
          <w:lang w:eastAsia="zh-CN"/>
        </w:rPr>
        <w:t>应向</w:t>
      </w:r>
      <w:r>
        <w:rPr>
          <w:rFonts w:hint="eastAsia" w:ascii="宋体" w:hAnsi="宋体" w:cs="宋体"/>
          <w:color w:val="auto"/>
          <w:szCs w:val="21"/>
          <w:u w:val="single"/>
          <w:lang w:val="en-US" w:eastAsia="zh-CN"/>
        </w:rPr>
        <w:t>乙方</w:t>
      </w:r>
      <w:r>
        <w:rPr>
          <w:rFonts w:hint="eastAsia" w:ascii="宋体" w:hAnsi="宋体" w:eastAsia="宋体" w:cs="宋体"/>
          <w:color w:val="auto"/>
          <w:szCs w:val="21"/>
          <w:u w:val="single"/>
          <w:lang w:eastAsia="zh-CN"/>
        </w:rPr>
        <w:t>支付的劳务服务费用</w:t>
      </w:r>
      <w:r>
        <w:rPr>
          <w:rFonts w:hint="eastAsia" w:ascii="宋体" w:hAnsi="宋体" w:cs="宋体"/>
          <w:color w:val="auto"/>
          <w:szCs w:val="21"/>
          <w:u w:val="single"/>
          <w:lang w:eastAsia="zh-CN"/>
        </w:rPr>
        <w:t>：</w:t>
      </w:r>
      <w:r>
        <w:rPr>
          <w:rFonts w:hint="eastAsia" w:ascii="宋体" w:hAnsi="宋体" w:eastAsia="宋体" w:cs="宋体"/>
          <w:color w:val="auto"/>
          <w:szCs w:val="21"/>
          <w:u w:val="single"/>
          <w:lang w:eastAsia="zh-CN"/>
        </w:rPr>
        <w:t>包括拟投入人员工资(由</w:t>
      </w:r>
      <w:r>
        <w:rPr>
          <w:rFonts w:hint="eastAsia" w:ascii="宋体" w:hAnsi="宋体" w:cs="宋体"/>
          <w:color w:val="auto"/>
          <w:szCs w:val="21"/>
          <w:u w:val="single"/>
          <w:lang w:val="en-US" w:eastAsia="zh-CN"/>
        </w:rPr>
        <w:t>甲方</w:t>
      </w:r>
      <w:r>
        <w:rPr>
          <w:rFonts w:hint="eastAsia" w:ascii="宋体" w:hAnsi="宋体" w:eastAsia="宋体" w:cs="宋体"/>
          <w:color w:val="auto"/>
          <w:szCs w:val="21"/>
          <w:u w:val="single"/>
          <w:lang w:eastAsia="zh-CN"/>
        </w:rPr>
        <w:t>核定标准的工资及其它福利待遇）、五险一金（按照自治区规定的相关政策办理。如缴费政策出现调整的，按照政策调整通知及</w:t>
      </w:r>
      <w:r>
        <w:rPr>
          <w:rFonts w:hint="eastAsia" w:ascii="宋体" w:hAnsi="宋体" w:cs="宋体"/>
          <w:color w:val="auto"/>
          <w:szCs w:val="21"/>
          <w:u w:val="single"/>
          <w:lang w:val="en-US" w:eastAsia="zh-CN"/>
        </w:rPr>
        <w:t>甲方</w:t>
      </w:r>
      <w:r>
        <w:rPr>
          <w:rFonts w:hint="eastAsia" w:ascii="宋体" w:hAnsi="宋体" w:eastAsia="宋体" w:cs="宋体"/>
          <w:color w:val="auto"/>
          <w:szCs w:val="21"/>
          <w:u w:val="single"/>
          <w:lang w:eastAsia="zh-CN"/>
        </w:rPr>
        <w:t>确定的基数为准）和劳务服务管理费等相关费用。</w:t>
      </w:r>
    </w:p>
    <w:p>
      <w:pPr>
        <w:spacing w:line="44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lang w:eastAsia="zh-CN"/>
        </w:rPr>
        <w:t>（2）</w:t>
      </w:r>
      <w:r>
        <w:rPr>
          <w:rFonts w:hint="eastAsia" w:ascii="宋体" w:hAnsi="宋体" w:cs="宋体"/>
          <w:color w:val="auto"/>
          <w:szCs w:val="21"/>
          <w:u w:val="single"/>
          <w:lang w:val="en-US" w:eastAsia="zh-CN"/>
        </w:rPr>
        <w:t>甲方</w:t>
      </w:r>
      <w:r>
        <w:rPr>
          <w:rFonts w:hint="eastAsia" w:ascii="宋体" w:hAnsi="宋体" w:eastAsia="宋体" w:cs="宋体"/>
          <w:color w:val="auto"/>
          <w:szCs w:val="21"/>
          <w:u w:val="single"/>
          <w:lang w:eastAsia="zh-CN"/>
        </w:rPr>
        <w:t>按合同金额分2次支付，即签订合同后的</w:t>
      </w:r>
      <w:r>
        <w:rPr>
          <w:rFonts w:hint="eastAsia" w:ascii="宋体" w:hAnsi="宋体" w:cs="宋体"/>
          <w:color w:val="auto"/>
          <w:szCs w:val="21"/>
          <w:u w:val="single"/>
          <w:lang w:val="en-US" w:eastAsia="zh-CN"/>
        </w:rPr>
        <w:t>30个工作</w:t>
      </w:r>
      <w:r>
        <w:rPr>
          <w:rFonts w:hint="eastAsia" w:ascii="宋体" w:hAnsi="宋体" w:eastAsia="宋体" w:cs="宋体"/>
          <w:color w:val="auto"/>
          <w:szCs w:val="21"/>
          <w:u w:val="single"/>
          <w:lang w:eastAsia="zh-CN"/>
        </w:rPr>
        <w:t>日内支付合同金额的60%，签订合同之日起3个月后支付合同款40%，</w:t>
      </w:r>
      <w:r>
        <w:rPr>
          <w:rFonts w:hint="eastAsia" w:ascii="宋体" w:hAnsi="宋体" w:cs="宋体"/>
          <w:color w:val="auto"/>
          <w:szCs w:val="21"/>
          <w:u w:val="single"/>
          <w:lang w:val="en-US" w:eastAsia="zh-CN"/>
        </w:rPr>
        <w:t>乙方</w:t>
      </w:r>
      <w:r>
        <w:rPr>
          <w:rFonts w:hint="eastAsia" w:ascii="宋体" w:hAnsi="宋体" w:eastAsia="宋体" w:cs="宋体"/>
          <w:color w:val="auto"/>
          <w:szCs w:val="21"/>
          <w:u w:val="single"/>
          <w:lang w:eastAsia="zh-CN"/>
        </w:rPr>
        <w:t>自收到款之日起五个工作日内向</w:t>
      </w:r>
      <w:r>
        <w:rPr>
          <w:rFonts w:hint="eastAsia" w:ascii="宋体" w:hAnsi="宋体" w:cs="宋体"/>
          <w:color w:val="auto"/>
          <w:szCs w:val="21"/>
          <w:u w:val="single"/>
          <w:lang w:val="en-US" w:eastAsia="zh-CN"/>
        </w:rPr>
        <w:t>甲方</w:t>
      </w:r>
      <w:r>
        <w:rPr>
          <w:rFonts w:hint="eastAsia" w:ascii="宋体" w:hAnsi="宋体" w:eastAsia="宋体" w:cs="宋体"/>
          <w:color w:val="auto"/>
          <w:szCs w:val="21"/>
          <w:u w:val="single"/>
          <w:lang w:eastAsia="zh-CN"/>
        </w:rPr>
        <w:t>开具等额发票。</w:t>
      </w:r>
    </w:p>
    <w:p>
      <w:pPr>
        <w:spacing w:line="440" w:lineRule="exact"/>
        <w:ind w:firstLine="420" w:firstLineChars="200"/>
        <w:rPr>
          <w:rFonts w:ascii="宋体" w:hAnsi="宋体" w:eastAsia="宋体" w:cs="宋体"/>
          <w:szCs w:val="21"/>
        </w:rPr>
      </w:pPr>
      <w:r>
        <w:rPr>
          <w:rFonts w:hint="eastAsia" w:ascii="宋体" w:hAnsi="宋体" w:eastAsia="宋体" w:cs="宋体"/>
          <w:color w:val="auto"/>
          <w:szCs w:val="21"/>
        </w:rPr>
        <w:t>3</w:t>
      </w:r>
      <w:r>
        <w:rPr>
          <w:rFonts w:hint="eastAsia" w:ascii="宋体" w:hAnsi="宋体" w:eastAsia="宋体" w:cs="宋体"/>
          <w:color w:val="auto"/>
          <w:szCs w:val="21"/>
          <w:lang w:val="en"/>
        </w:rPr>
        <w:t>.</w:t>
      </w:r>
      <w:r>
        <w:rPr>
          <w:rFonts w:hint="eastAsia" w:ascii="宋体" w:hAnsi="宋体" w:eastAsia="宋体" w:cs="宋体"/>
          <w:color w:val="auto"/>
          <w:szCs w:val="21"/>
        </w:rPr>
        <w:t>乙方指定以下账户为接受本合同价款的账户，并对其指定的下列账户信息真实性、安全性、准</w:t>
      </w:r>
      <w:r>
        <w:rPr>
          <w:rFonts w:hint="eastAsia" w:ascii="宋体" w:hAnsi="宋体" w:eastAsia="宋体" w:cs="宋体"/>
          <w:szCs w:val="21"/>
        </w:rPr>
        <w:t>确性负责。</w:t>
      </w:r>
    </w:p>
    <w:p>
      <w:pPr>
        <w:spacing w:line="440" w:lineRule="exact"/>
        <w:ind w:firstLine="420" w:firstLineChars="200"/>
        <w:rPr>
          <w:rFonts w:ascii="宋体" w:hAnsi="宋体" w:eastAsia="宋体" w:cs="宋体"/>
          <w:szCs w:val="21"/>
        </w:rPr>
      </w:pPr>
      <w:r>
        <w:rPr>
          <w:rFonts w:hint="eastAsia" w:ascii="宋体" w:hAnsi="宋体" w:eastAsia="宋体" w:cs="宋体"/>
          <w:szCs w:val="21"/>
        </w:rPr>
        <w:t>账户名称：</w:t>
      </w:r>
      <w:r>
        <w:rPr>
          <w:rFonts w:hint="eastAsia" w:ascii="宋体" w:hAnsi="宋体" w:eastAsia="宋体" w:cs="宋体"/>
          <w:szCs w:val="21"/>
          <w:u w:val="single"/>
        </w:rPr>
        <w:t>　　　　　　　　　　　　　　　　　　</w:t>
      </w:r>
      <w:r>
        <w:rPr>
          <w:rFonts w:hint="eastAsia" w:ascii="宋体" w:hAnsi="宋体" w:eastAsia="宋体" w:cs="宋体"/>
          <w:szCs w:val="21"/>
        </w:rPr>
        <w:t>；</w:t>
      </w:r>
    </w:p>
    <w:p>
      <w:pPr>
        <w:spacing w:line="440" w:lineRule="exact"/>
        <w:ind w:firstLine="420" w:firstLineChars="200"/>
        <w:rPr>
          <w:rFonts w:ascii="宋体" w:hAnsi="宋体" w:eastAsia="宋体" w:cs="宋体"/>
          <w:szCs w:val="21"/>
          <w:u w:val="single"/>
        </w:rPr>
      </w:pPr>
      <w:r>
        <w:rPr>
          <w:rFonts w:hint="eastAsia" w:ascii="宋体" w:hAnsi="宋体" w:eastAsia="宋体" w:cs="宋体"/>
          <w:szCs w:val="21"/>
        </w:rPr>
        <w:t>开户银行：</w:t>
      </w:r>
      <w:r>
        <w:rPr>
          <w:rFonts w:hint="eastAsia" w:ascii="宋体" w:hAnsi="宋体" w:eastAsia="宋体" w:cs="宋体"/>
          <w:szCs w:val="21"/>
          <w:u w:val="single"/>
        </w:rPr>
        <w:t>　　　　　　　　　　　　　　　　　　</w:t>
      </w:r>
      <w:r>
        <w:rPr>
          <w:rFonts w:hint="eastAsia" w:ascii="宋体" w:hAnsi="宋体" w:eastAsia="宋体" w:cs="宋体"/>
          <w:szCs w:val="21"/>
        </w:rPr>
        <w:t>；</w:t>
      </w:r>
    </w:p>
    <w:p>
      <w:pPr>
        <w:spacing w:line="440" w:lineRule="exact"/>
        <w:ind w:firstLine="420" w:firstLineChars="200"/>
        <w:rPr>
          <w:rFonts w:ascii="宋体" w:hAnsi="宋体" w:eastAsia="宋体" w:cs="宋体"/>
          <w:szCs w:val="21"/>
          <w:u w:val="single"/>
        </w:rPr>
      </w:pPr>
      <w:r>
        <w:rPr>
          <w:rFonts w:hint="eastAsia" w:ascii="宋体" w:hAnsi="宋体" w:eastAsia="宋体" w:cs="宋体"/>
          <w:szCs w:val="21"/>
        </w:rPr>
        <w:t>银行账号：</w:t>
      </w:r>
      <w:r>
        <w:rPr>
          <w:rFonts w:hint="eastAsia" w:ascii="宋体" w:hAnsi="宋体" w:eastAsia="宋体" w:cs="宋体"/>
          <w:szCs w:val="21"/>
          <w:u w:val="single"/>
        </w:rPr>
        <w:t>　　　　　　　　　　　　　　　　　　</w:t>
      </w:r>
      <w:r>
        <w:rPr>
          <w:rFonts w:hint="eastAsia" w:ascii="宋体" w:hAnsi="宋体" w:eastAsia="宋体" w:cs="宋体"/>
          <w:szCs w:val="21"/>
        </w:rPr>
        <w:t>；</w:t>
      </w:r>
    </w:p>
    <w:p>
      <w:pPr>
        <w:spacing w:line="440" w:lineRule="exact"/>
        <w:ind w:firstLine="420" w:firstLineChars="200"/>
        <w:rPr>
          <w:rFonts w:ascii="宋体" w:hAnsi="宋体" w:eastAsia="宋体" w:cs="宋体"/>
          <w:szCs w:val="21"/>
          <w:u w:val="single"/>
        </w:rPr>
      </w:pPr>
      <w:r>
        <w:rPr>
          <w:rFonts w:hint="eastAsia" w:ascii="宋体" w:hAnsi="宋体" w:eastAsia="宋体" w:cs="宋体"/>
          <w:szCs w:val="21"/>
        </w:rPr>
        <w:t>联系人：</w:t>
      </w:r>
      <w:r>
        <w:rPr>
          <w:rFonts w:hint="eastAsia" w:ascii="宋体" w:hAnsi="宋体" w:eastAsia="宋体" w:cs="宋体"/>
          <w:szCs w:val="21"/>
          <w:u w:val="single"/>
        </w:rPr>
        <w:t>　　　　　　　　　　　　　　　　　　　</w:t>
      </w:r>
      <w:r>
        <w:rPr>
          <w:rFonts w:hint="eastAsia" w:ascii="宋体" w:hAnsi="宋体" w:eastAsia="宋体" w:cs="宋体"/>
          <w:szCs w:val="21"/>
        </w:rPr>
        <w:t>；</w:t>
      </w:r>
    </w:p>
    <w:p>
      <w:pPr>
        <w:spacing w:line="440" w:lineRule="exact"/>
        <w:ind w:firstLine="420" w:firstLineChars="200"/>
        <w:rPr>
          <w:rFonts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　　　　　　　　　　　　　　　　　　</w:t>
      </w:r>
      <w:r>
        <w:rPr>
          <w:rFonts w:hint="eastAsia" w:ascii="宋体" w:hAnsi="宋体" w:eastAsia="宋体" w:cs="宋体"/>
          <w:szCs w:val="21"/>
        </w:rPr>
        <w:t>。</w:t>
      </w:r>
    </w:p>
    <w:p>
      <w:pPr>
        <w:spacing w:line="440" w:lineRule="exact"/>
        <w:ind w:firstLine="420" w:firstLineChars="200"/>
        <w:rPr>
          <w:rFonts w:ascii="宋体" w:hAnsi="宋体" w:eastAsia="宋体" w:cs="宋体"/>
          <w:szCs w:val="21"/>
        </w:rPr>
      </w:pPr>
      <w:r>
        <w:rPr>
          <w:rFonts w:hint="eastAsia" w:ascii="宋体" w:hAnsi="宋体" w:eastAsia="宋体" w:cs="宋体"/>
          <w:szCs w:val="21"/>
        </w:rPr>
        <w:t>如乙方上述账户信息发生变更，乙方应提前向甲方发送书面通知，未能提前书面通知而产生的不利后果由乙方自行承担。</w:t>
      </w:r>
    </w:p>
    <w:p>
      <w:pPr>
        <w:spacing w:line="440" w:lineRule="exact"/>
        <w:ind w:firstLine="420" w:firstLineChars="200"/>
        <w:rPr>
          <w:rFonts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lang w:val="en"/>
        </w:rPr>
        <w:t>.</w:t>
      </w:r>
      <w:r>
        <w:rPr>
          <w:rFonts w:hint="eastAsia" w:ascii="宋体" w:hAnsi="宋体" w:eastAsia="宋体" w:cs="宋体"/>
          <w:bCs/>
          <w:szCs w:val="21"/>
        </w:rPr>
        <w:t>甲方在支付每笔款项前，乙方应当</w:t>
      </w:r>
      <w:r>
        <w:rPr>
          <w:rFonts w:hint="eastAsia" w:ascii="宋体" w:hAnsi="宋体" w:eastAsia="宋体" w:cs="宋体"/>
          <w:szCs w:val="21"/>
        </w:rPr>
        <w:t>提供</w:t>
      </w:r>
      <w:r>
        <w:rPr>
          <w:rFonts w:hint="eastAsia" w:ascii="宋体" w:hAnsi="宋体" w:eastAsia="宋体" w:cs="宋体"/>
          <w:bCs/>
          <w:szCs w:val="21"/>
        </w:rPr>
        <w:t>可供政府审计并且</w:t>
      </w:r>
      <w:r>
        <w:rPr>
          <w:rFonts w:hint="eastAsia" w:ascii="宋体" w:hAnsi="宋体" w:eastAsia="宋体" w:cs="宋体"/>
          <w:szCs w:val="21"/>
        </w:rPr>
        <w:t>符合税务规定</w:t>
      </w:r>
      <w:r>
        <w:rPr>
          <w:rFonts w:hint="eastAsia" w:ascii="宋体" w:hAnsi="宋体" w:eastAsia="宋体" w:cs="宋体"/>
          <w:bCs/>
          <w:szCs w:val="21"/>
        </w:rPr>
        <w:t>的正式发票，</w:t>
      </w:r>
      <w:r>
        <w:rPr>
          <w:rFonts w:hint="eastAsia" w:ascii="宋体" w:hAnsi="宋体" w:eastAsia="宋体" w:cs="宋体"/>
          <w:spacing w:val="-6"/>
          <w:szCs w:val="21"/>
        </w:rPr>
        <w:t>否则甲方有权拒付相应款项直至乙方能提供符合规定的发票为止。</w:t>
      </w:r>
    </w:p>
    <w:p>
      <w:pPr>
        <w:spacing w:line="440" w:lineRule="exact"/>
        <w:ind w:firstLine="420" w:firstLineChars="200"/>
        <w:rPr>
          <w:rFonts w:ascii="宋体" w:hAnsi="宋体" w:eastAsia="宋体" w:cs="宋体"/>
          <w:bCs/>
          <w:szCs w:val="21"/>
        </w:rPr>
      </w:pPr>
      <w:r>
        <w:rPr>
          <w:rFonts w:hint="eastAsia" w:ascii="宋体" w:hAnsi="宋体" w:eastAsia="宋体" w:cs="宋体"/>
          <w:bCs/>
          <w:szCs w:val="21"/>
        </w:rPr>
        <w:t>第</w:t>
      </w:r>
      <w:r>
        <w:rPr>
          <w:rFonts w:hint="eastAsia" w:ascii="宋体" w:hAnsi="宋体" w:cs="宋体"/>
          <w:bCs/>
          <w:szCs w:val="21"/>
          <w:lang w:val="en-US" w:eastAsia="zh-CN"/>
        </w:rPr>
        <w:t>七</w:t>
      </w:r>
      <w:r>
        <w:rPr>
          <w:rFonts w:hint="eastAsia" w:ascii="宋体" w:hAnsi="宋体" w:eastAsia="宋体" w:cs="宋体"/>
          <w:bCs/>
          <w:szCs w:val="21"/>
        </w:rPr>
        <w:t>条　税费</w:t>
      </w:r>
    </w:p>
    <w:p>
      <w:pPr>
        <w:spacing w:line="440" w:lineRule="exact"/>
        <w:ind w:firstLine="420" w:firstLineChars="200"/>
        <w:rPr>
          <w:rFonts w:ascii="宋体" w:hAnsi="宋体" w:eastAsia="宋体" w:cs="宋体"/>
          <w:szCs w:val="21"/>
        </w:rPr>
      </w:pPr>
      <w:r>
        <w:rPr>
          <w:rFonts w:hint="eastAsia" w:ascii="宋体" w:hAnsi="宋体" w:eastAsia="宋体" w:cs="宋体"/>
          <w:szCs w:val="21"/>
        </w:rPr>
        <w:t>合同执行中相关的一切税费均由乙方负担。</w:t>
      </w:r>
    </w:p>
    <w:p>
      <w:pPr>
        <w:spacing w:line="440" w:lineRule="exact"/>
        <w:ind w:firstLine="420" w:firstLineChars="200"/>
        <w:rPr>
          <w:rFonts w:ascii="宋体" w:hAnsi="宋体" w:eastAsia="宋体" w:cs="宋体"/>
          <w:bCs/>
          <w:szCs w:val="21"/>
        </w:rPr>
      </w:pPr>
      <w:r>
        <w:rPr>
          <w:rFonts w:hint="eastAsia" w:ascii="宋体" w:hAnsi="宋体" w:eastAsia="宋体" w:cs="宋体"/>
          <w:bCs/>
          <w:szCs w:val="21"/>
        </w:rPr>
        <w:t>第</w:t>
      </w:r>
      <w:r>
        <w:rPr>
          <w:rFonts w:hint="eastAsia" w:ascii="宋体" w:hAnsi="宋体" w:cs="宋体"/>
          <w:bCs/>
          <w:szCs w:val="21"/>
          <w:lang w:val="en-US" w:eastAsia="zh-CN"/>
        </w:rPr>
        <w:t>八</w:t>
      </w:r>
      <w:r>
        <w:rPr>
          <w:rFonts w:hint="eastAsia" w:ascii="宋体" w:hAnsi="宋体" w:eastAsia="宋体" w:cs="宋体"/>
          <w:bCs/>
          <w:szCs w:val="21"/>
        </w:rPr>
        <w:t>条　违约责任</w:t>
      </w:r>
    </w:p>
    <w:p>
      <w:pPr>
        <w:spacing w:line="440" w:lineRule="exact"/>
        <w:ind w:firstLine="420" w:firstLineChars="200"/>
        <w:rPr>
          <w:rFonts w:ascii="宋体" w:hAnsi="宋体" w:eastAsia="宋体" w:cs="宋体"/>
          <w:szCs w:val="21"/>
        </w:rPr>
      </w:pPr>
      <w:r>
        <w:rPr>
          <w:rFonts w:hint="eastAsia" w:ascii="宋体" w:hAnsi="宋体" w:eastAsia="宋体" w:cs="宋体"/>
          <w:color w:val="000000"/>
          <w:szCs w:val="21"/>
        </w:rPr>
        <w:t>1</w:t>
      </w:r>
      <w:r>
        <w:rPr>
          <w:rFonts w:hint="eastAsia" w:ascii="宋体" w:hAnsi="宋体" w:eastAsia="宋体" w:cs="宋体"/>
          <w:color w:val="000000"/>
          <w:szCs w:val="21"/>
          <w:lang w:val="en"/>
        </w:rPr>
        <w:t>.</w:t>
      </w:r>
      <w:r>
        <w:rPr>
          <w:rFonts w:hint="eastAsia" w:ascii="宋体" w:hAnsi="宋体" w:eastAsia="宋体" w:cs="宋体"/>
          <w:color w:val="000000"/>
          <w:szCs w:val="21"/>
        </w:rPr>
        <w:t>乙方没有按照合同、采购文件、响应文件规定的时间或期限提供服务的，逾期10个工作日以上提交成果的，每逾期1个工作日，支付0.1%合同款的违约金（账户由采购人指定）；逾期超过30个工作日的，甲方有权单方解除合同，并要求乙方退还已收取的款项。</w:t>
      </w:r>
    </w:p>
    <w:p>
      <w:pPr>
        <w:spacing w:line="440" w:lineRule="exact"/>
        <w:ind w:firstLine="420" w:firstLineChars="200"/>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
        </w:rPr>
        <w:t>.</w:t>
      </w:r>
      <w:r>
        <w:rPr>
          <w:rFonts w:hint="eastAsia" w:ascii="宋体" w:hAnsi="宋体" w:eastAsia="宋体" w:cs="宋体"/>
          <w:szCs w:val="21"/>
        </w:rPr>
        <w:t>乙方所提供的服务、服务质量、服务内容等不符合合同、采购文件、响应文件规定的要求的，应按甲方的要求、在甲方指定的期限内予以更换或改进，未在甲方指定的期限内更换或改进的，按乙方逾期提供服务承担违约责任。</w:t>
      </w:r>
    </w:p>
    <w:p>
      <w:pPr>
        <w:spacing w:line="440" w:lineRule="exact"/>
        <w:ind w:firstLine="420" w:firstLineChars="200"/>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
        </w:rPr>
        <w:t>.</w:t>
      </w:r>
      <w:r>
        <w:rPr>
          <w:rFonts w:hint="eastAsia" w:ascii="宋体" w:hAnsi="宋体" w:eastAsia="宋体" w:cs="宋体"/>
          <w:szCs w:val="21"/>
        </w:rPr>
        <w:t>乙方提供的服务如侵犯了第三方合法权益而引发的任何纠纷或者诉讼，均由乙方负责交涉并承担全部责任，如甲方为解决纠纷矛盾先期支付了费用的，乙方应当自收到甲方要求偿还费用的函之日起五日内向甲方偿还完毕。</w:t>
      </w:r>
    </w:p>
    <w:p>
      <w:pPr>
        <w:spacing w:line="440" w:lineRule="exact"/>
        <w:ind w:firstLine="420" w:firstLineChars="200"/>
        <w:rPr>
          <w:rFonts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lang w:val="en"/>
        </w:rPr>
        <w:t>.</w:t>
      </w:r>
      <w:r>
        <w:rPr>
          <w:rFonts w:hint="eastAsia" w:ascii="宋体" w:hAnsi="宋体" w:eastAsia="宋体" w:cs="宋体"/>
          <w:szCs w:val="21"/>
        </w:rPr>
        <w:t>乙方因履行合同所发生的其他违约行为，每违约一次，应按合同合计金额的5%向甲方支付违约金，并赔偿甲方因此所造成全部损失。</w:t>
      </w:r>
    </w:p>
    <w:p>
      <w:pPr>
        <w:spacing w:line="440" w:lineRule="exact"/>
        <w:ind w:firstLine="420" w:firstLineChars="200"/>
        <w:rPr>
          <w:rFonts w:ascii="宋体" w:hAnsi="宋体" w:eastAsia="宋体" w:cs="宋体"/>
          <w:szCs w:val="21"/>
        </w:rPr>
      </w:pPr>
      <w:r>
        <w:rPr>
          <w:rFonts w:hint="eastAsia" w:ascii="宋体" w:hAnsi="宋体" w:eastAsia="宋体" w:cs="宋体"/>
          <w:szCs w:val="21"/>
        </w:rPr>
        <w:t>5</w:t>
      </w:r>
      <w:r>
        <w:rPr>
          <w:rFonts w:hint="eastAsia" w:ascii="宋体" w:hAnsi="宋体" w:eastAsia="宋体" w:cs="宋体"/>
          <w:szCs w:val="21"/>
          <w:lang w:val="en"/>
        </w:rPr>
        <w:t>.</w:t>
      </w:r>
      <w:r>
        <w:rPr>
          <w:rFonts w:hint="eastAsia" w:ascii="宋体" w:hAnsi="宋体" w:eastAsia="宋体" w:cs="宋体"/>
          <w:szCs w:val="21"/>
        </w:rPr>
        <w:t>乙方支付的违约金不足以弥补甲方损失的，应承担赔偿责任，甲方有权继续向乙方追偿。乙方应支付给甲方的任何款项，甲方有权从任何应支付未支付给乙方的款项中直接抵扣。</w:t>
      </w:r>
    </w:p>
    <w:p>
      <w:pPr>
        <w:spacing w:line="440" w:lineRule="exact"/>
        <w:ind w:firstLine="420" w:firstLineChars="200"/>
        <w:rPr>
          <w:rFonts w:ascii="宋体" w:hAnsi="宋体" w:eastAsia="宋体" w:cs="宋体"/>
          <w:szCs w:val="21"/>
        </w:rPr>
      </w:pPr>
      <w:r>
        <w:rPr>
          <w:rFonts w:hint="eastAsia" w:ascii="宋体" w:hAnsi="宋体" w:eastAsia="宋体" w:cs="宋体"/>
          <w:szCs w:val="21"/>
        </w:rPr>
        <w:t>6</w:t>
      </w:r>
      <w:r>
        <w:rPr>
          <w:rFonts w:hint="eastAsia" w:ascii="宋体" w:hAnsi="宋体" w:eastAsia="宋体" w:cs="宋体"/>
          <w:szCs w:val="21"/>
          <w:lang w:val="en"/>
        </w:rPr>
        <w:t>.</w:t>
      </w:r>
      <w:r>
        <w:rPr>
          <w:rFonts w:hint="eastAsia" w:ascii="宋体" w:hAnsi="宋体" w:eastAsia="宋体" w:cs="宋体"/>
          <w:szCs w:val="21"/>
        </w:rPr>
        <w:t>本合同所称的甲方经济损失或者甲方损失，包括甲方遭受的全部直接经济损失及为此支出的合理费用（包括但不限于为此支出的调查费、诉讼费、保全费、律师费、差旅费等）。</w:t>
      </w:r>
    </w:p>
    <w:p>
      <w:pPr>
        <w:spacing w:line="440" w:lineRule="exact"/>
        <w:ind w:firstLine="420" w:firstLineChars="200"/>
        <w:rPr>
          <w:rFonts w:ascii="宋体" w:hAnsi="宋体" w:eastAsia="宋体" w:cs="宋体"/>
          <w:bCs/>
          <w:szCs w:val="21"/>
        </w:rPr>
      </w:pPr>
      <w:r>
        <w:rPr>
          <w:rFonts w:hint="eastAsia" w:ascii="宋体" w:hAnsi="宋体" w:eastAsia="宋体" w:cs="宋体"/>
          <w:bCs/>
          <w:szCs w:val="21"/>
        </w:rPr>
        <w:t>第</w:t>
      </w:r>
      <w:r>
        <w:rPr>
          <w:rFonts w:hint="eastAsia" w:ascii="宋体" w:hAnsi="宋体" w:cs="宋体"/>
          <w:bCs/>
          <w:szCs w:val="21"/>
          <w:lang w:val="en-US" w:eastAsia="zh-CN"/>
        </w:rPr>
        <w:t>九</w:t>
      </w:r>
      <w:r>
        <w:rPr>
          <w:rFonts w:hint="eastAsia" w:ascii="宋体" w:hAnsi="宋体" w:eastAsia="宋体" w:cs="宋体"/>
          <w:bCs/>
          <w:szCs w:val="21"/>
        </w:rPr>
        <w:t>条　知识产权归属</w:t>
      </w:r>
    </w:p>
    <w:p>
      <w:pPr>
        <w:spacing w:line="440" w:lineRule="exact"/>
        <w:ind w:firstLine="420" w:firstLineChars="200"/>
        <w:rPr>
          <w:rFonts w:ascii="宋体" w:hAnsi="宋体" w:eastAsia="宋体" w:cs="宋体"/>
          <w:szCs w:val="21"/>
        </w:rPr>
      </w:pPr>
      <w:r>
        <w:rPr>
          <w:rFonts w:hint="eastAsia" w:ascii="宋体" w:hAnsi="宋体" w:eastAsia="宋体" w:cs="宋体"/>
          <w:szCs w:val="21"/>
        </w:rPr>
        <w:t>乙方保证，甲乙双方在本合同执行中形成的任何成果或知识产权的所有权，归甲方所有，而且乙方应当完成甲方知识产权所有权确认所必需的全部行为、证书和文件等，并提供相应的支持和协助。</w:t>
      </w:r>
    </w:p>
    <w:p>
      <w:pPr>
        <w:spacing w:line="440" w:lineRule="exact"/>
        <w:ind w:firstLine="420" w:firstLineChars="200"/>
        <w:rPr>
          <w:rFonts w:ascii="宋体" w:hAnsi="宋体" w:eastAsia="宋体" w:cs="宋体"/>
          <w:bCs/>
          <w:szCs w:val="21"/>
        </w:rPr>
      </w:pPr>
      <w:r>
        <w:rPr>
          <w:rFonts w:hint="eastAsia" w:ascii="宋体" w:hAnsi="宋体" w:eastAsia="宋体" w:cs="宋体"/>
          <w:bCs/>
          <w:szCs w:val="21"/>
        </w:rPr>
        <w:t>第十条　保密条款</w:t>
      </w:r>
    </w:p>
    <w:p>
      <w:pPr>
        <w:spacing w:line="440" w:lineRule="exact"/>
        <w:ind w:firstLine="420" w:firstLineChars="200"/>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
        </w:rPr>
        <w:t>.</w:t>
      </w:r>
      <w:r>
        <w:rPr>
          <w:rFonts w:hint="eastAsia" w:ascii="宋体" w:hAnsi="宋体" w:eastAsia="宋体" w:cs="宋体"/>
          <w:szCs w:val="21"/>
        </w:rPr>
        <w:t>甲乙双方都负有保守对方的单位机密或商业秘密的义务，保密范围包括但不限于技术情报、数据资料及其他公开后对对方造成影响或损失的秘密。</w:t>
      </w:r>
    </w:p>
    <w:p>
      <w:pPr>
        <w:spacing w:line="440" w:lineRule="exact"/>
        <w:ind w:firstLine="420" w:firstLineChars="200"/>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
        </w:rPr>
        <w:t>.</w:t>
      </w:r>
      <w:r>
        <w:rPr>
          <w:rFonts w:hint="eastAsia" w:ascii="宋体" w:hAnsi="宋体" w:eastAsia="宋体" w:cs="宋体"/>
          <w:szCs w:val="21"/>
        </w:rPr>
        <w:t>任何一方违反保密条款，给对方造成损失，应按对方的实际损失承担赔偿责任。</w:t>
      </w:r>
    </w:p>
    <w:p>
      <w:pPr>
        <w:spacing w:line="440" w:lineRule="exact"/>
        <w:ind w:firstLine="420" w:firstLineChars="200"/>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
        </w:rPr>
        <w:t>.</w:t>
      </w:r>
      <w:r>
        <w:rPr>
          <w:rFonts w:hint="eastAsia" w:ascii="宋体" w:hAnsi="宋体" w:eastAsia="宋体" w:cs="宋体"/>
          <w:szCs w:val="21"/>
        </w:rPr>
        <w:t>本条款不因合同的变更、解除和终止而失效。</w:t>
      </w:r>
    </w:p>
    <w:p>
      <w:pPr>
        <w:spacing w:line="440" w:lineRule="exact"/>
        <w:ind w:firstLine="420" w:firstLineChars="200"/>
        <w:rPr>
          <w:rFonts w:ascii="宋体" w:hAnsi="宋体" w:eastAsia="宋体" w:cs="宋体"/>
          <w:bCs/>
          <w:szCs w:val="21"/>
        </w:rPr>
      </w:pPr>
      <w:r>
        <w:rPr>
          <w:rFonts w:hint="eastAsia" w:ascii="宋体" w:hAnsi="宋体" w:eastAsia="宋体" w:cs="宋体"/>
          <w:bCs/>
          <w:szCs w:val="21"/>
        </w:rPr>
        <w:t>第十</w:t>
      </w:r>
      <w:r>
        <w:rPr>
          <w:rFonts w:hint="eastAsia" w:ascii="宋体" w:hAnsi="宋体" w:cs="宋体"/>
          <w:bCs/>
          <w:szCs w:val="21"/>
          <w:lang w:val="en-US" w:eastAsia="zh-CN"/>
        </w:rPr>
        <w:t>一</w:t>
      </w:r>
      <w:r>
        <w:rPr>
          <w:rFonts w:hint="eastAsia" w:ascii="宋体" w:hAnsi="宋体" w:eastAsia="宋体" w:cs="宋体"/>
          <w:bCs/>
          <w:szCs w:val="21"/>
        </w:rPr>
        <w:t>条　不可抗力事件处理</w:t>
      </w:r>
    </w:p>
    <w:p>
      <w:pPr>
        <w:spacing w:line="440" w:lineRule="exact"/>
        <w:ind w:firstLine="420" w:firstLineChars="200"/>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
        </w:rPr>
        <w:t>.</w:t>
      </w:r>
      <w:r>
        <w:rPr>
          <w:rFonts w:hint="eastAsia" w:ascii="宋体" w:hAnsi="宋体" w:eastAsia="宋体" w:cs="宋体"/>
          <w:szCs w:val="21"/>
        </w:rPr>
        <w:t>在合同有效期内，任何一方因不可抗力事件导致不能履行合同，则合同履行期可延长，其延长期与不可抗力影响期相同。</w:t>
      </w:r>
    </w:p>
    <w:p>
      <w:pPr>
        <w:spacing w:line="440" w:lineRule="exact"/>
        <w:ind w:firstLine="420" w:firstLineChars="200"/>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
        </w:rPr>
        <w:t>.</w:t>
      </w:r>
      <w:r>
        <w:rPr>
          <w:rFonts w:hint="eastAsia" w:ascii="宋体" w:hAnsi="宋体" w:eastAsia="宋体" w:cs="宋体"/>
          <w:szCs w:val="21"/>
        </w:rPr>
        <w:t>不可抗力事件发生后，应立即通知对方，并寄送有关权威机构出具的证明。</w:t>
      </w:r>
    </w:p>
    <w:p>
      <w:pPr>
        <w:spacing w:line="440" w:lineRule="exact"/>
        <w:ind w:firstLine="420" w:firstLineChars="200"/>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
        </w:rPr>
        <w:t>.</w:t>
      </w:r>
      <w:r>
        <w:rPr>
          <w:rFonts w:hint="eastAsia" w:ascii="宋体" w:hAnsi="宋体" w:eastAsia="宋体" w:cs="宋体"/>
          <w:szCs w:val="21"/>
        </w:rPr>
        <w:t>不可抗力事件延续一百二十天以上，双方应通过友好协商，确定是否继续履行合同。</w:t>
      </w:r>
    </w:p>
    <w:p>
      <w:pPr>
        <w:spacing w:line="440" w:lineRule="exact"/>
        <w:ind w:firstLine="420" w:firstLineChars="200"/>
        <w:rPr>
          <w:rFonts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lang w:val="en"/>
        </w:rPr>
        <w:t>.</w:t>
      </w:r>
      <w:r>
        <w:rPr>
          <w:rFonts w:hint="eastAsia" w:ascii="宋体" w:hAnsi="宋体" w:eastAsia="宋体" w:cs="宋体"/>
          <w:szCs w:val="21"/>
        </w:rPr>
        <w:t>合同履行过程中，因接受政府行政指令而无法履行的，接受政府行政指令的一方可以免除责任。</w:t>
      </w:r>
    </w:p>
    <w:p>
      <w:pPr>
        <w:spacing w:line="440" w:lineRule="exact"/>
        <w:ind w:firstLine="420" w:firstLineChars="200"/>
        <w:rPr>
          <w:rFonts w:ascii="宋体" w:hAnsi="宋体" w:eastAsia="宋体" w:cs="宋体"/>
          <w:bCs/>
          <w:szCs w:val="21"/>
        </w:rPr>
      </w:pPr>
      <w:r>
        <w:rPr>
          <w:rFonts w:hint="eastAsia" w:ascii="宋体" w:hAnsi="宋体" w:eastAsia="宋体" w:cs="宋体"/>
          <w:bCs/>
          <w:szCs w:val="21"/>
        </w:rPr>
        <w:t>第十</w:t>
      </w:r>
      <w:r>
        <w:rPr>
          <w:rFonts w:hint="eastAsia" w:ascii="宋体" w:hAnsi="宋体" w:cs="宋体"/>
          <w:bCs/>
          <w:szCs w:val="21"/>
          <w:lang w:val="en-US" w:eastAsia="zh-CN"/>
        </w:rPr>
        <w:t>二</w:t>
      </w:r>
      <w:r>
        <w:rPr>
          <w:rFonts w:hint="eastAsia" w:ascii="宋体" w:hAnsi="宋体" w:eastAsia="宋体" w:cs="宋体"/>
          <w:bCs/>
          <w:szCs w:val="21"/>
        </w:rPr>
        <w:t>条　合同争议解决</w:t>
      </w:r>
    </w:p>
    <w:p>
      <w:pPr>
        <w:spacing w:line="440" w:lineRule="exact"/>
        <w:ind w:firstLine="420" w:firstLineChars="200"/>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
        </w:rPr>
        <w:t>.</w:t>
      </w:r>
      <w:r>
        <w:rPr>
          <w:rFonts w:hint="eastAsia" w:ascii="宋体" w:hAnsi="宋体" w:eastAsia="宋体" w:cs="宋体"/>
          <w:szCs w:val="21"/>
        </w:rPr>
        <w:t>因服务质量问题发生争议的，甲方应提交具有相应资质的机构进行鉴定。服务符合标准的，鉴定费由甲方承担；服务不符合标准的，鉴定费由乙方承担。</w:t>
      </w:r>
    </w:p>
    <w:p>
      <w:pPr>
        <w:spacing w:line="440" w:lineRule="exact"/>
        <w:ind w:firstLine="420" w:firstLineChars="200"/>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
        </w:rPr>
        <w:t>.</w:t>
      </w:r>
      <w:r>
        <w:rPr>
          <w:rFonts w:hint="eastAsia" w:ascii="宋体" w:hAnsi="宋体" w:eastAsia="宋体" w:cs="宋体"/>
          <w:szCs w:val="21"/>
        </w:rPr>
        <w:t>因履行本合同引起的或者与本合同有关的争议，甲乙双方应首先通过友好协商解决，如果协商不能解决，可向甲方所在地有管辖权人民法院提起诉讼。</w:t>
      </w:r>
    </w:p>
    <w:p>
      <w:pPr>
        <w:spacing w:line="440" w:lineRule="exact"/>
        <w:ind w:firstLine="420" w:firstLineChars="200"/>
        <w:rPr>
          <w:rFonts w:ascii="宋体" w:hAnsi="宋体" w:eastAsia="宋体" w:cs="宋体"/>
          <w:bCs/>
          <w:szCs w:val="21"/>
        </w:rPr>
      </w:pPr>
      <w:r>
        <w:rPr>
          <w:rFonts w:hint="eastAsia" w:ascii="宋体" w:hAnsi="宋体" w:eastAsia="宋体" w:cs="宋体"/>
          <w:bCs/>
          <w:szCs w:val="21"/>
        </w:rPr>
        <w:t>第十</w:t>
      </w:r>
      <w:r>
        <w:rPr>
          <w:rFonts w:hint="eastAsia" w:ascii="宋体" w:hAnsi="宋体" w:cs="宋体"/>
          <w:bCs/>
          <w:szCs w:val="21"/>
          <w:lang w:val="en-US" w:eastAsia="zh-CN"/>
        </w:rPr>
        <w:t>三</w:t>
      </w:r>
      <w:r>
        <w:rPr>
          <w:rFonts w:hint="eastAsia" w:ascii="宋体" w:hAnsi="宋体" w:eastAsia="宋体" w:cs="宋体"/>
          <w:bCs/>
          <w:szCs w:val="21"/>
        </w:rPr>
        <w:t>条　合同生效及其他</w:t>
      </w:r>
    </w:p>
    <w:p>
      <w:pPr>
        <w:spacing w:line="440" w:lineRule="exact"/>
        <w:ind w:firstLine="420" w:firstLineChars="200"/>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
        </w:rPr>
        <w:t>.</w:t>
      </w:r>
      <w:r>
        <w:rPr>
          <w:rFonts w:hint="eastAsia" w:ascii="宋体" w:hAnsi="宋体" w:eastAsia="宋体" w:cs="宋体"/>
          <w:szCs w:val="21"/>
        </w:rPr>
        <w:t>合同经甲乙双方法定代表人或者授权代表签字并加盖单位公章后生效。</w:t>
      </w:r>
    </w:p>
    <w:p>
      <w:pPr>
        <w:spacing w:line="440" w:lineRule="exact"/>
        <w:ind w:firstLine="420" w:firstLineChars="200"/>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
        </w:rPr>
        <w:t>.</w:t>
      </w:r>
      <w:r>
        <w:rPr>
          <w:rFonts w:hint="eastAsia" w:ascii="宋体" w:hAnsi="宋体" w:eastAsia="宋体" w:cs="宋体"/>
          <w:szCs w:val="21"/>
        </w:rPr>
        <w:t>合同执行中涉及采购资金和采购内容修改或者补充的，须经政府采购监管部门审批，并签书面补充协议报政府采购监管部门备案，方可作为主合同不可分割的一部分。</w:t>
      </w:r>
    </w:p>
    <w:p>
      <w:pPr>
        <w:spacing w:line="440" w:lineRule="exact"/>
        <w:ind w:firstLine="420" w:firstLineChars="200"/>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
        </w:rPr>
        <w:t>.</w:t>
      </w:r>
      <w:r>
        <w:rPr>
          <w:rFonts w:hint="eastAsia" w:ascii="宋体" w:hAnsi="宋体" w:eastAsia="宋体" w:cs="宋体"/>
          <w:szCs w:val="21"/>
        </w:rPr>
        <w:t>合同未尽事宜，遵照《中华人民共和国民法典》等相关法律、法规规定有关条文执行。</w:t>
      </w:r>
    </w:p>
    <w:p>
      <w:pPr>
        <w:spacing w:line="440" w:lineRule="exact"/>
        <w:ind w:firstLine="420" w:firstLineChars="200"/>
        <w:rPr>
          <w:rFonts w:ascii="宋体" w:hAnsi="宋体" w:eastAsia="宋体" w:cs="宋体"/>
          <w:bCs/>
          <w:szCs w:val="21"/>
        </w:rPr>
      </w:pPr>
      <w:r>
        <w:rPr>
          <w:rFonts w:hint="eastAsia" w:ascii="宋体" w:hAnsi="宋体" w:eastAsia="宋体" w:cs="宋体"/>
          <w:bCs/>
          <w:szCs w:val="21"/>
        </w:rPr>
        <w:t>第十</w:t>
      </w:r>
      <w:r>
        <w:rPr>
          <w:rFonts w:hint="eastAsia" w:ascii="宋体" w:hAnsi="宋体" w:cs="宋体"/>
          <w:bCs/>
          <w:szCs w:val="21"/>
          <w:lang w:val="en-US" w:eastAsia="zh-CN"/>
        </w:rPr>
        <w:t>四</w:t>
      </w:r>
      <w:r>
        <w:rPr>
          <w:rFonts w:hint="eastAsia" w:ascii="宋体" w:hAnsi="宋体" w:eastAsia="宋体" w:cs="宋体"/>
          <w:bCs/>
          <w:szCs w:val="21"/>
        </w:rPr>
        <w:t>条　合同的变更、终止与转让</w:t>
      </w:r>
    </w:p>
    <w:p>
      <w:pPr>
        <w:spacing w:line="440" w:lineRule="exact"/>
        <w:ind w:firstLine="420" w:firstLineChars="200"/>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
        </w:rPr>
        <w:t>.</w:t>
      </w:r>
      <w:r>
        <w:rPr>
          <w:rFonts w:hint="eastAsia" w:ascii="宋体" w:hAnsi="宋体" w:eastAsia="宋体" w:cs="宋体"/>
          <w:szCs w:val="21"/>
        </w:rPr>
        <w:t>除《中华人民共和国政府采购法》第五十条规定的情形外，本合同一经签订，甲乙双方不得擅自变更、中止或者终止。</w:t>
      </w:r>
    </w:p>
    <w:p>
      <w:pPr>
        <w:spacing w:line="440" w:lineRule="exact"/>
        <w:ind w:firstLine="420" w:firstLineChars="200"/>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
        </w:rPr>
        <w:t>.</w:t>
      </w:r>
      <w:r>
        <w:rPr>
          <w:rFonts w:hint="eastAsia" w:ascii="宋体" w:hAnsi="宋体" w:eastAsia="宋体" w:cs="宋体"/>
          <w:szCs w:val="21"/>
        </w:rPr>
        <w:t>未经甲方书面同意，乙方不得擅自转让其应履行的合同义务。</w:t>
      </w:r>
    </w:p>
    <w:p>
      <w:pPr>
        <w:spacing w:line="440" w:lineRule="exact"/>
        <w:ind w:firstLine="420" w:firstLineChars="200"/>
        <w:rPr>
          <w:rFonts w:ascii="宋体" w:hAnsi="宋体" w:eastAsia="宋体" w:cs="宋体"/>
          <w:b/>
          <w:szCs w:val="21"/>
        </w:rPr>
      </w:pPr>
      <w:r>
        <w:rPr>
          <w:rFonts w:hint="eastAsia" w:ascii="宋体" w:hAnsi="宋体" w:eastAsia="宋体" w:cs="宋体"/>
          <w:bCs/>
          <w:szCs w:val="21"/>
        </w:rPr>
        <w:t>第十</w:t>
      </w:r>
      <w:r>
        <w:rPr>
          <w:rFonts w:hint="eastAsia" w:ascii="宋体" w:hAnsi="宋体" w:cs="宋体"/>
          <w:bCs/>
          <w:szCs w:val="21"/>
          <w:lang w:val="en-US" w:eastAsia="zh-CN"/>
        </w:rPr>
        <w:t>五</w:t>
      </w:r>
      <w:r>
        <w:rPr>
          <w:rFonts w:hint="eastAsia" w:ascii="宋体" w:hAnsi="宋体" w:eastAsia="宋体" w:cs="宋体"/>
          <w:bCs/>
          <w:szCs w:val="21"/>
        </w:rPr>
        <w:t>条</w:t>
      </w:r>
      <w:r>
        <w:rPr>
          <w:rFonts w:hint="eastAsia" w:ascii="宋体" w:hAnsi="宋体" w:eastAsia="宋体" w:cs="宋体"/>
          <w:b/>
          <w:szCs w:val="21"/>
        </w:rPr>
        <w:t>　</w:t>
      </w:r>
      <w:r>
        <w:rPr>
          <w:rFonts w:hint="eastAsia" w:ascii="宋体" w:hAnsi="宋体" w:eastAsia="宋体" w:cs="宋体"/>
          <w:spacing w:val="-2"/>
          <w:kern w:val="0"/>
          <w:szCs w:val="21"/>
        </w:rPr>
        <w:t>本</w:t>
      </w:r>
      <w:r>
        <w:rPr>
          <w:rFonts w:hint="eastAsia" w:ascii="宋体" w:hAnsi="宋体" w:eastAsia="宋体" w:cs="宋体"/>
          <w:kern w:val="0"/>
          <w:szCs w:val="21"/>
        </w:rPr>
        <w:t>合同</w:t>
      </w:r>
      <w:r>
        <w:rPr>
          <w:rFonts w:hint="eastAsia" w:ascii="宋体" w:hAnsi="宋体" w:eastAsia="宋体" w:cs="宋体"/>
          <w:spacing w:val="-2"/>
          <w:kern w:val="0"/>
          <w:szCs w:val="21"/>
        </w:rPr>
        <w:t>与</w:t>
      </w:r>
      <w:r>
        <w:rPr>
          <w:rFonts w:hint="eastAsia" w:ascii="宋体" w:hAnsi="宋体" w:eastAsia="宋体" w:cs="宋体"/>
          <w:kern w:val="0"/>
          <w:szCs w:val="21"/>
        </w:rPr>
        <w:t>下</w:t>
      </w:r>
      <w:r>
        <w:rPr>
          <w:rFonts w:hint="eastAsia" w:ascii="宋体" w:hAnsi="宋体" w:eastAsia="宋体" w:cs="宋体"/>
          <w:spacing w:val="-2"/>
          <w:kern w:val="0"/>
          <w:szCs w:val="21"/>
        </w:rPr>
        <w:t>列</w:t>
      </w:r>
      <w:r>
        <w:rPr>
          <w:rFonts w:hint="eastAsia" w:ascii="宋体" w:hAnsi="宋体" w:eastAsia="宋体" w:cs="宋体"/>
          <w:kern w:val="0"/>
          <w:szCs w:val="21"/>
        </w:rPr>
        <w:t>文</w:t>
      </w:r>
      <w:r>
        <w:rPr>
          <w:rFonts w:hint="eastAsia" w:ascii="宋体" w:hAnsi="宋体" w:eastAsia="宋体" w:cs="宋体"/>
          <w:spacing w:val="-2"/>
          <w:kern w:val="0"/>
          <w:szCs w:val="21"/>
        </w:rPr>
        <w:t>件一</w:t>
      </w:r>
      <w:r>
        <w:rPr>
          <w:rFonts w:hint="eastAsia" w:ascii="宋体" w:hAnsi="宋体" w:eastAsia="宋体" w:cs="宋体"/>
          <w:kern w:val="0"/>
          <w:szCs w:val="21"/>
        </w:rPr>
        <w:t>起构</w:t>
      </w:r>
      <w:r>
        <w:rPr>
          <w:rFonts w:hint="eastAsia" w:ascii="宋体" w:hAnsi="宋体" w:eastAsia="宋体" w:cs="宋体"/>
          <w:spacing w:val="-2"/>
          <w:kern w:val="0"/>
          <w:szCs w:val="21"/>
        </w:rPr>
        <w:t>成</w:t>
      </w:r>
      <w:r>
        <w:rPr>
          <w:rFonts w:hint="eastAsia" w:ascii="宋体" w:hAnsi="宋体" w:eastAsia="宋体" w:cs="宋体"/>
          <w:kern w:val="0"/>
          <w:szCs w:val="21"/>
        </w:rPr>
        <w:t>合</w:t>
      </w:r>
      <w:r>
        <w:rPr>
          <w:rFonts w:hint="eastAsia" w:ascii="宋体" w:hAnsi="宋体" w:eastAsia="宋体" w:cs="宋体"/>
          <w:spacing w:val="-2"/>
          <w:kern w:val="0"/>
          <w:szCs w:val="21"/>
        </w:rPr>
        <w:t>同</w:t>
      </w:r>
      <w:r>
        <w:rPr>
          <w:rFonts w:hint="eastAsia" w:ascii="宋体" w:hAnsi="宋体" w:eastAsia="宋体" w:cs="宋体"/>
          <w:kern w:val="0"/>
          <w:szCs w:val="21"/>
        </w:rPr>
        <w:t>文</w:t>
      </w:r>
      <w:r>
        <w:rPr>
          <w:rFonts w:hint="eastAsia" w:ascii="宋体" w:hAnsi="宋体" w:eastAsia="宋体" w:cs="宋体"/>
          <w:spacing w:val="-2"/>
          <w:kern w:val="0"/>
          <w:szCs w:val="21"/>
        </w:rPr>
        <w:t>件</w:t>
      </w:r>
    </w:p>
    <w:p>
      <w:pPr>
        <w:spacing w:line="440" w:lineRule="exact"/>
        <w:ind w:firstLine="420" w:firstLineChars="200"/>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
        </w:rPr>
        <w:t>.</w:t>
      </w:r>
      <w:r>
        <w:rPr>
          <w:rFonts w:hint="eastAsia" w:ascii="宋体" w:hAnsi="宋体" w:eastAsia="宋体" w:cs="宋体"/>
          <w:szCs w:val="21"/>
        </w:rPr>
        <w:t>中标通知书；</w:t>
      </w:r>
    </w:p>
    <w:p>
      <w:pPr>
        <w:spacing w:line="440" w:lineRule="exact"/>
        <w:ind w:firstLine="420" w:firstLineChars="200"/>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
        </w:rPr>
        <w:t>.</w:t>
      </w:r>
      <w:r>
        <w:rPr>
          <w:rFonts w:hint="eastAsia" w:ascii="宋体" w:hAnsi="宋体" w:eastAsia="宋体" w:cs="宋体"/>
          <w:szCs w:val="21"/>
        </w:rPr>
        <w:t>开标一览表；</w:t>
      </w:r>
    </w:p>
    <w:p>
      <w:pPr>
        <w:spacing w:line="440" w:lineRule="exact"/>
        <w:ind w:firstLine="420" w:firstLineChars="200"/>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
        </w:rPr>
        <w:t>.</w:t>
      </w:r>
      <w:r>
        <w:rPr>
          <w:rFonts w:hint="eastAsia" w:ascii="宋体" w:hAnsi="宋体" w:eastAsia="宋体" w:cs="宋体"/>
          <w:szCs w:val="21"/>
        </w:rPr>
        <w:t>采购需求；</w:t>
      </w:r>
    </w:p>
    <w:p>
      <w:pPr>
        <w:spacing w:line="440" w:lineRule="exact"/>
        <w:ind w:firstLine="420" w:firstLineChars="200"/>
        <w:rPr>
          <w:rFonts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lang w:val="en"/>
        </w:rPr>
        <w:t>.</w:t>
      </w:r>
      <w:r>
        <w:rPr>
          <w:rFonts w:hint="eastAsia" w:ascii="宋体" w:hAnsi="宋体" w:eastAsia="宋体" w:cs="宋体"/>
          <w:szCs w:val="21"/>
        </w:rPr>
        <w:t>投标函；</w:t>
      </w:r>
    </w:p>
    <w:p>
      <w:pPr>
        <w:spacing w:line="440" w:lineRule="exact"/>
        <w:ind w:firstLine="420" w:firstLineChars="200"/>
        <w:rPr>
          <w:rFonts w:ascii="宋体" w:hAnsi="宋体" w:eastAsia="宋体" w:cs="宋体"/>
          <w:szCs w:val="21"/>
        </w:rPr>
      </w:pPr>
      <w:r>
        <w:rPr>
          <w:rFonts w:hint="eastAsia" w:ascii="宋体" w:hAnsi="宋体" w:eastAsia="宋体" w:cs="宋体"/>
          <w:szCs w:val="21"/>
        </w:rPr>
        <w:t>5</w:t>
      </w:r>
      <w:r>
        <w:rPr>
          <w:rFonts w:hint="eastAsia" w:ascii="宋体" w:hAnsi="宋体" w:eastAsia="宋体" w:cs="宋体"/>
          <w:szCs w:val="21"/>
          <w:lang w:val="en"/>
        </w:rPr>
        <w:t>.</w:t>
      </w:r>
      <w:r>
        <w:rPr>
          <w:rFonts w:hint="eastAsia" w:ascii="宋体" w:hAnsi="宋体" w:eastAsia="宋体" w:cs="宋体"/>
          <w:szCs w:val="21"/>
        </w:rPr>
        <w:t>商务条款偏离表和服务需求偏离表；</w:t>
      </w:r>
    </w:p>
    <w:p>
      <w:pPr>
        <w:spacing w:line="440" w:lineRule="exact"/>
        <w:ind w:firstLine="420" w:firstLineChars="200"/>
        <w:rPr>
          <w:rFonts w:ascii="宋体" w:hAnsi="宋体" w:eastAsia="宋体" w:cs="宋体"/>
          <w:szCs w:val="21"/>
        </w:rPr>
      </w:pPr>
      <w:r>
        <w:rPr>
          <w:rFonts w:hint="eastAsia" w:ascii="宋体" w:hAnsi="宋体" w:eastAsia="宋体" w:cs="宋体"/>
          <w:szCs w:val="21"/>
        </w:rPr>
        <w:t>6</w:t>
      </w:r>
      <w:r>
        <w:rPr>
          <w:rFonts w:hint="eastAsia" w:ascii="宋体" w:hAnsi="宋体" w:eastAsia="宋体" w:cs="宋体"/>
          <w:szCs w:val="21"/>
          <w:lang w:val="en"/>
        </w:rPr>
        <w:t>.</w:t>
      </w:r>
      <w:r>
        <w:rPr>
          <w:rFonts w:hint="eastAsia" w:ascii="宋体" w:hAnsi="宋体" w:eastAsia="宋体" w:cs="宋体"/>
          <w:szCs w:val="21"/>
        </w:rPr>
        <w:t>服务方案；</w:t>
      </w:r>
    </w:p>
    <w:p>
      <w:pPr>
        <w:spacing w:line="440" w:lineRule="exact"/>
        <w:ind w:firstLine="420" w:firstLineChars="200"/>
        <w:rPr>
          <w:rFonts w:ascii="宋体" w:hAnsi="宋体" w:eastAsia="宋体" w:cs="宋体"/>
          <w:szCs w:val="21"/>
        </w:rPr>
      </w:pPr>
      <w:r>
        <w:rPr>
          <w:rFonts w:hint="eastAsia" w:ascii="宋体" w:hAnsi="宋体" w:eastAsia="宋体" w:cs="宋体"/>
          <w:szCs w:val="21"/>
        </w:rPr>
        <w:t>7</w:t>
      </w:r>
      <w:r>
        <w:rPr>
          <w:rFonts w:hint="eastAsia" w:ascii="宋体" w:hAnsi="宋体" w:eastAsia="宋体" w:cs="宋体"/>
          <w:szCs w:val="21"/>
          <w:lang w:val="en"/>
        </w:rPr>
        <w:t>.</w:t>
      </w:r>
      <w:r>
        <w:rPr>
          <w:rFonts w:hint="eastAsia" w:ascii="宋体" w:hAnsi="宋体" w:eastAsia="宋体" w:cs="宋体"/>
          <w:szCs w:val="21"/>
        </w:rPr>
        <w:t>投标文件中的其他相关文件。</w:t>
      </w:r>
    </w:p>
    <w:p>
      <w:pPr>
        <w:spacing w:line="440" w:lineRule="exact"/>
        <w:ind w:firstLine="420" w:firstLineChars="200"/>
        <w:rPr>
          <w:rFonts w:ascii="宋体" w:hAnsi="宋体" w:eastAsia="宋体" w:cs="宋体"/>
          <w:szCs w:val="21"/>
        </w:rPr>
      </w:pPr>
      <w:r>
        <w:rPr>
          <w:rFonts w:hint="eastAsia" w:ascii="宋体" w:hAnsi="宋体" w:eastAsia="宋体" w:cs="宋体"/>
          <w:szCs w:val="21"/>
        </w:rPr>
        <w:t>上述合同文件互相补充和解释。如果合同文件之间存在矛盾或者不一致之处，以本合同、上述文件的排列顺序在先者为准。</w:t>
      </w:r>
    </w:p>
    <w:p>
      <w:pPr>
        <w:spacing w:line="440" w:lineRule="exact"/>
        <w:ind w:firstLine="420" w:firstLineChars="200"/>
        <w:rPr>
          <w:rFonts w:ascii="宋体" w:hAnsi="宋体" w:eastAsia="宋体" w:cs="宋体"/>
          <w:bCs/>
          <w:szCs w:val="21"/>
        </w:rPr>
      </w:pPr>
      <w:r>
        <w:rPr>
          <w:rFonts w:hint="eastAsia" w:ascii="宋体" w:hAnsi="宋体" w:eastAsia="宋体" w:cs="宋体"/>
          <w:bCs/>
          <w:szCs w:val="21"/>
        </w:rPr>
        <w:t>第十</w:t>
      </w:r>
      <w:r>
        <w:rPr>
          <w:rFonts w:hint="eastAsia" w:ascii="宋体" w:hAnsi="宋体" w:cs="宋体"/>
          <w:bCs/>
          <w:szCs w:val="21"/>
          <w:lang w:val="en-US" w:eastAsia="zh-CN"/>
        </w:rPr>
        <w:t>六</w:t>
      </w:r>
      <w:r>
        <w:rPr>
          <w:rFonts w:hint="eastAsia" w:ascii="宋体" w:hAnsi="宋体" w:eastAsia="宋体" w:cs="宋体"/>
          <w:bCs/>
          <w:szCs w:val="21"/>
        </w:rPr>
        <w:t>条　其他约定事项</w:t>
      </w:r>
    </w:p>
    <w:p>
      <w:pPr>
        <w:spacing w:line="440" w:lineRule="exact"/>
        <w:ind w:firstLine="420" w:firstLineChars="200"/>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
        </w:rPr>
        <w:t>.</w:t>
      </w:r>
      <w:r>
        <w:rPr>
          <w:rFonts w:hint="eastAsia" w:ascii="宋体" w:hAnsi="宋体" w:eastAsia="宋体" w:cs="宋体"/>
          <w:szCs w:val="21"/>
        </w:rPr>
        <w:t>本合同所有附件及相关文件均为本合同的有效组成部分，与本合同具有同等法律效力。若合同附件与本合同存在不一致的，则以本合同为准。</w:t>
      </w:r>
    </w:p>
    <w:p>
      <w:pPr>
        <w:spacing w:line="440" w:lineRule="exact"/>
        <w:ind w:firstLine="420" w:firstLineChars="200"/>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
        </w:rPr>
        <w:t>.</w:t>
      </w:r>
      <w:r>
        <w:rPr>
          <w:rFonts w:hint="eastAsia" w:ascii="宋体" w:hAnsi="宋体" w:eastAsia="宋体" w:cs="宋体"/>
          <w:szCs w:val="21"/>
        </w:rPr>
        <w:t>在履行本合同过程中，所有经甲乙双方签署确认的文件（包括会议纪要、补充协议、往来信函、电子邮件等）即成为本合同的有效组成部分。</w:t>
      </w:r>
    </w:p>
    <w:p>
      <w:pPr>
        <w:spacing w:line="440" w:lineRule="exact"/>
        <w:ind w:firstLine="420" w:firstLineChars="200"/>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
        </w:rPr>
        <w:t>.甲乙</w:t>
      </w:r>
      <w:r>
        <w:rPr>
          <w:rFonts w:hint="eastAsia" w:ascii="宋体" w:hAnsi="宋体" w:eastAsia="宋体" w:cs="宋体"/>
          <w:szCs w:val="21"/>
        </w:rPr>
        <w:t>双方确认，以下为各方真实有效通讯地址：</w:t>
      </w:r>
    </w:p>
    <w:p>
      <w:pPr>
        <w:spacing w:line="440" w:lineRule="exact"/>
        <w:ind w:firstLine="420" w:firstLineChars="200"/>
        <w:rPr>
          <w:rFonts w:ascii="宋体" w:hAnsi="宋体" w:eastAsia="宋体" w:cs="宋体"/>
          <w:szCs w:val="21"/>
        </w:rPr>
      </w:pPr>
      <w:r>
        <w:rPr>
          <w:rFonts w:hint="eastAsia" w:ascii="宋体" w:hAnsi="宋体" w:eastAsia="宋体" w:cs="宋体"/>
          <w:szCs w:val="21"/>
        </w:rPr>
        <w:t>甲方：</w:t>
      </w:r>
      <w:r>
        <w:rPr>
          <w:rFonts w:hint="eastAsia" w:ascii="宋体" w:hAnsi="Times New Roman" w:eastAsia="宋体" w:cs="Times New Roman"/>
          <w:szCs w:val="21"/>
          <w:u w:val="single"/>
          <w:lang w:eastAsia="zh-CN"/>
        </w:rPr>
        <w:t>广西壮族自治区卫生健康委员会</w:t>
      </w:r>
      <w:r>
        <w:rPr>
          <w:rFonts w:hint="eastAsia" w:ascii="宋体" w:hAnsi="宋体" w:eastAsia="宋体" w:cs="宋体"/>
          <w:szCs w:val="21"/>
          <w:u w:val="single"/>
        </w:rPr>
        <w:t>　　　　　</w:t>
      </w:r>
      <w:r>
        <w:rPr>
          <w:rFonts w:hint="eastAsia" w:ascii="宋体" w:hAnsi="宋体" w:eastAsia="宋体" w:cs="宋体"/>
          <w:szCs w:val="21"/>
        </w:rPr>
        <w:t>，地址：</w:t>
      </w:r>
      <w:r>
        <w:rPr>
          <w:rFonts w:hint="eastAsia" w:ascii="宋体" w:hAnsi="宋体" w:eastAsia="宋体" w:cs="宋体"/>
          <w:szCs w:val="21"/>
          <w:u w:val="single"/>
        </w:rPr>
        <w:t>　</w:t>
      </w:r>
      <w:r>
        <w:rPr>
          <w:rFonts w:hint="eastAsia" w:ascii="宋体" w:hAnsi="宋体" w:eastAsia="宋体" w:cs="宋体"/>
          <w:szCs w:val="21"/>
          <w:u w:val="single"/>
          <w:lang w:eastAsia="zh-CN"/>
        </w:rPr>
        <w:t>南宁市青秀区新民路</w:t>
      </w:r>
      <w:r>
        <w:rPr>
          <w:rFonts w:hint="eastAsia" w:ascii="宋体" w:hAnsi="宋体" w:eastAsia="宋体" w:cs="宋体"/>
          <w:szCs w:val="21"/>
          <w:u w:val="single"/>
          <w:lang w:val="en-US" w:eastAsia="zh-CN"/>
        </w:rPr>
        <w:t>2号</w:t>
      </w:r>
      <w:r>
        <w:rPr>
          <w:rFonts w:hint="eastAsia" w:ascii="宋体" w:hAnsi="宋体" w:eastAsia="宋体" w:cs="宋体"/>
          <w:szCs w:val="21"/>
          <w:u w:val="single"/>
        </w:rPr>
        <w:t>　</w:t>
      </w:r>
      <w:r>
        <w:rPr>
          <w:rFonts w:hint="eastAsia" w:ascii="宋体" w:hAnsi="宋体" w:eastAsia="宋体" w:cs="宋体"/>
          <w:szCs w:val="21"/>
        </w:rPr>
        <w:t>，收件人：</w:t>
      </w:r>
      <w:r>
        <w:rPr>
          <w:rFonts w:hint="eastAsia" w:ascii="宋体" w:hAnsi="宋体" w:eastAsia="宋体" w:cs="宋体"/>
          <w:szCs w:val="21"/>
          <w:u w:val="single"/>
        </w:rPr>
        <w:t>　</w:t>
      </w:r>
      <w:r>
        <w:rPr>
          <w:rFonts w:hint="eastAsia" w:ascii="宋体" w:hAnsi="宋体" w:cs="宋体"/>
          <w:szCs w:val="21"/>
          <w:u w:val="single"/>
          <w:lang w:val="en-US" w:eastAsia="zh-CN"/>
        </w:rPr>
        <w:t>岳文容</w:t>
      </w:r>
      <w:r>
        <w:rPr>
          <w:rFonts w:hint="eastAsia" w:ascii="宋体" w:hAnsi="宋体" w:eastAsia="宋体" w:cs="宋体"/>
          <w:szCs w:val="21"/>
          <w:u w:val="single"/>
        </w:rPr>
        <w:t>　</w:t>
      </w:r>
      <w:r>
        <w:rPr>
          <w:rFonts w:hint="eastAsia" w:ascii="宋体" w:hAnsi="宋体" w:eastAsia="宋体" w:cs="宋体"/>
          <w:szCs w:val="21"/>
        </w:rPr>
        <w:t>，联系电话：</w:t>
      </w:r>
      <w:r>
        <w:rPr>
          <w:rFonts w:hint="eastAsia" w:ascii="宋体" w:hAnsi="宋体" w:eastAsia="宋体" w:cs="宋体"/>
          <w:szCs w:val="21"/>
          <w:u w:val="single"/>
        </w:rPr>
        <w:t>　</w:t>
      </w:r>
      <w:r>
        <w:rPr>
          <w:rFonts w:hint="eastAsia" w:ascii="宋体" w:hAnsi="宋体" w:eastAsia="宋体" w:cs="宋体"/>
          <w:szCs w:val="21"/>
          <w:u w:val="single"/>
          <w:lang w:val="en-US" w:eastAsia="zh-CN"/>
        </w:rPr>
        <w:t>0771-</w:t>
      </w:r>
      <w:r>
        <w:rPr>
          <w:rFonts w:hint="eastAsia" w:ascii="宋体" w:hAnsi="宋体" w:cs="宋体"/>
          <w:szCs w:val="21"/>
          <w:u w:val="single"/>
          <w:lang w:val="en-US" w:eastAsia="zh-CN"/>
        </w:rPr>
        <w:t>2811659</w:t>
      </w:r>
      <w:r>
        <w:rPr>
          <w:rFonts w:hint="eastAsia" w:ascii="宋体" w:hAnsi="宋体" w:eastAsia="宋体" w:cs="宋体"/>
          <w:szCs w:val="21"/>
          <w:u w:val="single"/>
          <w:lang w:val="en-US" w:eastAsia="zh-CN"/>
        </w:rPr>
        <w:t xml:space="preserve"> </w:t>
      </w:r>
      <w:r>
        <w:rPr>
          <w:rFonts w:hint="eastAsia" w:ascii="宋体" w:hAnsi="宋体" w:eastAsia="宋体" w:cs="宋体"/>
          <w:szCs w:val="21"/>
        </w:rPr>
        <w:t>，电子邮箱：</w:t>
      </w:r>
      <w:r>
        <w:rPr>
          <w:rFonts w:hint="eastAsia" w:ascii="宋体" w:hAnsi="宋体" w:eastAsia="宋体" w:cs="宋体"/>
          <w:szCs w:val="21"/>
          <w:u w:val="single"/>
        </w:rPr>
        <w:t>　gxwjwjgfwzx</w:t>
      </w:r>
      <w:r>
        <w:rPr>
          <w:rFonts w:hint="eastAsia" w:ascii="宋体" w:hAnsi="宋体" w:eastAsia="宋体" w:cs="宋体"/>
          <w:szCs w:val="21"/>
          <w:u w:val="single"/>
          <w:lang w:val="en-US" w:eastAsia="zh-CN"/>
        </w:rPr>
        <w:t>@163.com</w:t>
      </w:r>
      <w:r>
        <w:rPr>
          <w:rFonts w:hint="eastAsia" w:ascii="宋体" w:hAnsi="宋体" w:eastAsia="宋体" w:cs="宋体"/>
          <w:szCs w:val="21"/>
          <w:u w:val="single"/>
        </w:rPr>
        <w:t>　</w:t>
      </w:r>
      <w:r>
        <w:rPr>
          <w:rFonts w:hint="eastAsia" w:ascii="宋体" w:hAnsi="宋体" w:eastAsia="宋体" w:cs="宋体"/>
          <w:szCs w:val="21"/>
        </w:rPr>
        <w:t>。</w:t>
      </w:r>
    </w:p>
    <w:p>
      <w:pPr>
        <w:spacing w:line="440" w:lineRule="exact"/>
        <w:ind w:firstLine="420" w:firstLineChars="200"/>
        <w:rPr>
          <w:rFonts w:ascii="宋体" w:hAnsi="宋体" w:eastAsia="宋体" w:cs="宋体"/>
          <w:szCs w:val="21"/>
        </w:rPr>
      </w:pPr>
      <w:r>
        <w:rPr>
          <w:rFonts w:hint="eastAsia" w:ascii="宋体" w:hAnsi="宋体" w:eastAsia="宋体" w:cs="宋体"/>
          <w:szCs w:val="21"/>
        </w:rPr>
        <w:t>乙方：</w:t>
      </w:r>
      <w:r>
        <w:rPr>
          <w:rFonts w:hint="eastAsia" w:ascii="宋体" w:hAnsi="宋体" w:eastAsia="宋体" w:cs="宋体"/>
          <w:szCs w:val="21"/>
          <w:u w:val="single"/>
        </w:rPr>
        <w:t>　　　　　</w:t>
      </w:r>
      <w:r>
        <w:rPr>
          <w:rFonts w:hint="eastAsia" w:ascii="宋体" w:hAnsi="宋体" w:eastAsia="宋体" w:cs="宋体"/>
          <w:szCs w:val="21"/>
        </w:rPr>
        <w:t>，地址：</w:t>
      </w:r>
      <w:r>
        <w:rPr>
          <w:rFonts w:hint="eastAsia" w:ascii="宋体" w:hAnsi="宋体" w:eastAsia="宋体" w:cs="宋体"/>
          <w:szCs w:val="21"/>
          <w:u w:val="single"/>
        </w:rPr>
        <w:t>　　　　　　　　　　　　</w:t>
      </w:r>
      <w:r>
        <w:rPr>
          <w:rFonts w:hint="eastAsia" w:ascii="宋体" w:hAnsi="宋体" w:eastAsia="宋体" w:cs="宋体"/>
          <w:szCs w:val="21"/>
        </w:rPr>
        <w:t>，收件人：</w:t>
      </w:r>
      <w:r>
        <w:rPr>
          <w:rFonts w:hint="eastAsia" w:ascii="宋体" w:hAnsi="宋体" w:eastAsia="宋体" w:cs="宋体"/>
          <w:szCs w:val="21"/>
          <w:u w:val="single"/>
        </w:rPr>
        <w:t>　　　　　</w:t>
      </w:r>
      <w:r>
        <w:rPr>
          <w:rFonts w:hint="eastAsia" w:ascii="宋体" w:hAnsi="宋体" w:eastAsia="宋体" w:cs="宋体"/>
          <w:szCs w:val="21"/>
        </w:rPr>
        <w:t>，联系电话：</w:t>
      </w:r>
      <w:r>
        <w:rPr>
          <w:rFonts w:hint="eastAsia" w:ascii="宋体" w:hAnsi="宋体" w:eastAsia="宋体" w:cs="宋体"/>
          <w:szCs w:val="21"/>
          <w:u w:val="single"/>
        </w:rPr>
        <w:t>　　　　　　　　　　　</w:t>
      </w:r>
      <w:r>
        <w:rPr>
          <w:rFonts w:hint="eastAsia" w:ascii="宋体" w:hAnsi="宋体" w:eastAsia="宋体" w:cs="宋体"/>
          <w:szCs w:val="21"/>
        </w:rPr>
        <w:t>，电子邮箱：</w:t>
      </w:r>
      <w:r>
        <w:rPr>
          <w:rFonts w:hint="eastAsia" w:ascii="宋体" w:hAnsi="宋体" w:eastAsia="宋体" w:cs="宋体"/>
          <w:szCs w:val="21"/>
          <w:u w:val="single"/>
        </w:rPr>
        <w:t>　　　　　　　</w:t>
      </w:r>
      <w:r>
        <w:rPr>
          <w:rFonts w:hint="eastAsia" w:ascii="宋体" w:hAnsi="宋体" w:eastAsia="宋体" w:cs="宋体"/>
          <w:szCs w:val="21"/>
        </w:rPr>
        <w:t>。</w:t>
      </w:r>
    </w:p>
    <w:p>
      <w:pPr>
        <w:spacing w:line="440" w:lineRule="exact"/>
        <w:ind w:firstLine="420" w:firstLineChars="200"/>
        <w:rPr>
          <w:rFonts w:ascii="宋体" w:hAnsi="宋体" w:eastAsia="宋体" w:cs="宋体"/>
          <w:szCs w:val="21"/>
        </w:rPr>
      </w:pPr>
      <w:r>
        <w:rPr>
          <w:rFonts w:hint="eastAsia" w:ascii="宋体" w:hAnsi="宋体" w:eastAsia="宋体" w:cs="宋体"/>
          <w:szCs w:val="21"/>
        </w:rPr>
        <w:t>一方向对方发出的任何通知、信函和文件，以挂号信函或快递信函方式向对方地址邮寄有关通知、信函和文件的，自发出之日起第三日视为送达对方，挂号信函或快递信函的邮寄凭证即视为成功送达的有效凭证。一方地址变更的，应及时书面通知对方，否则上述地址仍为真实有效通讯地址。</w:t>
      </w:r>
    </w:p>
    <w:p>
      <w:pPr>
        <w:spacing w:line="440" w:lineRule="exact"/>
        <w:ind w:firstLine="420" w:firstLineChars="200"/>
        <w:rPr>
          <w:rFonts w:ascii="宋体" w:hAnsi="宋体" w:eastAsia="宋体" w:cs="宋体"/>
          <w:szCs w:val="21"/>
        </w:rPr>
      </w:pPr>
      <w:r>
        <w:rPr>
          <w:rFonts w:hint="eastAsia" w:ascii="宋体" w:hAnsi="宋体" w:eastAsia="宋体" w:cs="宋体"/>
          <w:szCs w:val="21"/>
          <w:lang w:val="en"/>
        </w:rPr>
        <w:t>4.</w:t>
      </w:r>
      <w:r>
        <w:rPr>
          <w:rFonts w:hint="eastAsia" w:ascii="宋体" w:hAnsi="宋体" w:eastAsia="宋体" w:cs="宋体"/>
          <w:szCs w:val="21"/>
        </w:rPr>
        <w:t>本合同一式</w:t>
      </w:r>
      <w:r>
        <w:rPr>
          <w:rFonts w:hint="eastAsia" w:ascii="宋体" w:hAnsi="宋体" w:cs="宋体"/>
          <w:szCs w:val="21"/>
          <w:u w:val="single"/>
          <w:lang w:val="en-US" w:eastAsia="zh-CN"/>
        </w:rPr>
        <w:t>陆</w:t>
      </w:r>
      <w:r>
        <w:rPr>
          <w:rFonts w:hint="eastAsia" w:ascii="宋体" w:hAnsi="宋体" w:eastAsia="宋体" w:cs="宋体"/>
          <w:szCs w:val="21"/>
        </w:rPr>
        <w:t>份，具有同等法律效力，政府采购监管部门、采购代理机构各一份，甲乙双方各</w:t>
      </w:r>
      <w:r>
        <w:rPr>
          <w:rFonts w:hint="eastAsia" w:ascii="宋体" w:hAnsi="宋体" w:cs="宋体"/>
          <w:szCs w:val="21"/>
          <w:u w:val="single"/>
          <w:lang w:val="en-US" w:eastAsia="zh-CN"/>
        </w:rPr>
        <w:t>贰</w:t>
      </w:r>
      <w:r>
        <w:rPr>
          <w:rFonts w:hint="eastAsia" w:ascii="宋体" w:hAnsi="宋体" w:eastAsia="宋体" w:cs="宋体"/>
          <w:szCs w:val="21"/>
        </w:rPr>
        <w:t>份。</w:t>
      </w:r>
    </w:p>
    <w:p>
      <w:pPr>
        <w:spacing w:line="440" w:lineRule="exact"/>
        <w:ind w:firstLine="420" w:firstLineChars="200"/>
        <w:rPr>
          <w:rFonts w:hint="eastAsia" w:ascii="Times New Roman Regular" w:hAnsi="Times New Roman Regular" w:cs="Times New Roman Regular"/>
          <w:color w:val="auto"/>
          <w:szCs w:val="21"/>
          <w:highlight w:val="none"/>
          <w:lang w:eastAsia="zh-CN"/>
        </w:rPr>
      </w:pPr>
      <w:r>
        <w:rPr>
          <w:rFonts w:hint="eastAsia" w:ascii="宋体" w:hAnsi="宋体" w:eastAsia="宋体" w:cs="宋体"/>
          <w:szCs w:val="21"/>
        </w:rPr>
        <w:t>本条款不因合同的变更、解除和终止而失效。</w:t>
      </w:r>
    </w:p>
    <w:p>
      <w:pPr>
        <w:rPr>
          <w:rFonts w:hint="eastAsia"/>
          <w:lang w:eastAsia="zh-CN"/>
        </w:rPr>
      </w:pPr>
    </w:p>
    <w:p>
      <w:pPr>
        <w:spacing w:line="360" w:lineRule="auto"/>
        <w:jc w:val="center"/>
        <w:rPr>
          <w:rFonts w:hint="eastAsia" w:ascii="Times New Roman Regular" w:hAnsi="Times New Roman Regular" w:cs="Times New Roman Regular"/>
          <w:color w:val="auto"/>
          <w:szCs w:val="21"/>
          <w:highlight w:val="none"/>
          <w:lang w:eastAsia="zh-CN"/>
        </w:rPr>
      </w:pPr>
      <w:r>
        <w:rPr>
          <w:rFonts w:hint="eastAsia" w:ascii="Times New Roman Regular" w:hAnsi="Times New Roman Regular" w:cs="Times New Roman Regular"/>
          <w:color w:val="auto"/>
          <w:szCs w:val="21"/>
          <w:highlight w:val="none"/>
          <w:lang w:eastAsia="zh-CN"/>
        </w:rPr>
        <w:t>（</w:t>
      </w:r>
      <w:r>
        <w:rPr>
          <w:rFonts w:hint="eastAsia" w:ascii="Times New Roman Regular" w:hAnsi="Times New Roman Regular" w:cs="Times New Roman Regular"/>
          <w:color w:val="auto"/>
          <w:szCs w:val="21"/>
          <w:highlight w:val="none"/>
          <w:lang w:val="en-US" w:eastAsia="zh-CN"/>
        </w:rPr>
        <w:t>以下无正文</w:t>
      </w:r>
      <w:r>
        <w:rPr>
          <w:rFonts w:hint="eastAsia" w:ascii="Times New Roman Regular" w:hAnsi="Times New Roman Regular" w:cs="Times New Roman Regular"/>
          <w:color w:val="auto"/>
          <w:szCs w:val="21"/>
          <w:highlight w:val="none"/>
          <w:lang w:eastAsia="zh-CN"/>
        </w:rPr>
        <w:t>）</w:t>
      </w:r>
    </w:p>
    <w:p>
      <w:pPr>
        <w:rPr>
          <w:rFonts w:hint="eastAsia"/>
          <w:lang w:eastAsia="zh-CN"/>
        </w:rPr>
      </w:pPr>
      <w:r>
        <w:rPr>
          <w:rFonts w:hint="eastAsia"/>
          <w:lang w:eastAsia="zh-CN"/>
        </w:rPr>
        <w:br w:type="page"/>
      </w:r>
    </w:p>
    <w:p>
      <w:pPr>
        <w:rPr>
          <w:rFonts w:hint="eastAsia"/>
          <w:lang w:eastAsia="zh-CN"/>
        </w:rPr>
      </w:pPr>
    </w:p>
    <w:tbl>
      <w:tblPr>
        <w:tblStyle w:val="31"/>
        <w:tblW w:w="0" w:type="auto"/>
        <w:jc w:val="center"/>
        <w:tblLayout w:type="fixed"/>
        <w:tblCellMar>
          <w:top w:w="0" w:type="dxa"/>
          <w:left w:w="0" w:type="dxa"/>
          <w:bottom w:w="0" w:type="dxa"/>
          <w:right w:w="0" w:type="dxa"/>
        </w:tblCellMar>
      </w:tblPr>
      <w:tblGrid>
        <w:gridCol w:w="4516"/>
        <w:gridCol w:w="4517"/>
      </w:tblGrid>
      <w:tr>
        <w:tblPrEx>
          <w:tblCellMar>
            <w:top w:w="0" w:type="dxa"/>
            <w:left w:w="0" w:type="dxa"/>
            <w:bottom w:w="0" w:type="dxa"/>
            <w:right w:w="0" w:type="dxa"/>
          </w:tblCellMar>
        </w:tblPrEx>
        <w:trPr>
          <w:trHeight w:val="1081" w:hRule="atLeast"/>
          <w:jc w:val="center"/>
        </w:trPr>
        <w:tc>
          <w:tcPr>
            <w:tcW w:w="45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甲方（章）</w:t>
            </w:r>
          </w:p>
          <w:p>
            <w:pPr>
              <w:snapToGrid w:val="0"/>
              <w:spacing w:line="360" w:lineRule="auto"/>
              <w:rPr>
                <w:rFonts w:hint="eastAsia" w:ascii="宋体" w:hAnsi="宋体" w:eastAsia="宋体" w:cs="宋体"/>
                <w:color w:val="auto"/>
                <w:kern w:val="0"/>
                <w:sz w:val="21"/>
                <w:szCs w:val="21"/>
                <w:highlight w:val="none"/>
              </w:rPr>
            </w:pPr>
          </w:p>
          <w:p>
            <w:pPr>
              <w:pStyle w:val="2"/>
              <w:rPr>
                <w:rFonts w:hint="eastAsia"/>
              </w:rPr>
            </w:pPr>
          </w:p>
          <w:p>
            <w:pPr>
              <w:snapToGrid w:val="0"/>
              <w:spacing w:line="360" w:lineRule="auto"/>
              <w:rPr>
                <w:rFonts w:hint="eastAsia" w:ascii="宋体" w:hAnsi="宋体" w:eastAsia="宋体" w:cs="宋体"/>
                <w:color w:val="auto"/>
                <w:sz w:val="21"/>
                <w:szCs w:val="21"/>
                <w:highlight w:val="none"/>
              </w:rPr>
            </w:pPr>
          </w:p>
          <w:p>
            <w:pPr>
              <w:snapToGrid w:val="0"/>
              <w:spacing w:line="360" w:lineRule="auto"/>
              <w:ind w:firstLine="1080"/>
              <w:jc w:val="righ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2025</w:t>
            </w:r>
            <w:r>
              <w:rPr>
                <w:rFonts w:hint="eastAsia" w:ascii="宋体" w:hAnsi="宋体" w:eastAsia="宋体" w:cs="宋体"/>
                <w:color w:val="auto"/>
                <w:kern w:val="0"/>
                <w:sz w:val="21"/>
                <w:szCs w:val="21"/>
                <w:highlight w:val="none"/>
              </w:rPr>
              <w:t>年 月 日</w:t>
            </w:r>
          </w:p>
        </w:tc>
        <w:tc>
          <w:tcPr>
            <w:tcW w:w="45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乙方（章）</w:t>
            </w:r>
          </w:p>
          <w:p>
            <w:pPr>
              <w:snapToGrid w:val="0"/>
              <w:spacing w:line="360" w:lineRule="auto"/>
              <w:rPr>
                <w:rFonts w:hint="eastAsia" w:ascii="宋体" w:hAnsi="宋体" w:eastAsia="宋体" w:cs="宋体"/>
                <w:color w:val="auto"/>
                <w:kern w:val="0"/>
                <w:sz w:val="21"/>
                <w:szCs w:val="21"/>
                <w:highlight w:val="none"/>
              </w:rPr>
            </w:pPr>
          </w:p>
          <w:p>
            <w:pPr>
              <w:snapToGrid w:val="0"/>
              <w:spacing w:line="360" w:lineRule="auto"/>
              <w:rPr>
                <w:rFonts w:hint="eastAsia" w:ascii="宋体" w:hAnsi="宋体" w:eastAsia="宋体" w:cs="宋体"/>
                <w:color w:val="auto"/>
                <w:kern w:val="0"/>
                <w:sz w:val="21"/>
                <w:szCs w:val="21"/>
                <w:highlight w:val="none"/>
              </w:rPr>
            </w:pPr>
          </w:p>
          <w:p>
            <w:pPr>
              <w:snapToGrid w:val="0"/>
              <w:spacing w:line="360" w:lineRule="auto"/>
              <w:rPr>
                <w:rFonts w:hint="eastAsia" w:ascii="宋体" w:hAnsi="宋体" w:eastAsia="宋体" w:cs="宋体"/>
                <w:color w:val="auto"/>
                <w:kern w:val="0"/>
                <w:sz w:val="21"/>
                <w:szCs w:val="21"/>
                <w:highlight w:val="none"/>
              </w:rPr>
            </w:pPr>
          </w:p>
          <w:p>
            <w:pPr>
              <w:snapToGrid w:val="0"/>
              <w:spacing w:line="360" w:lineRule="auto"/>
              <w:jc w:val="righ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2025</w:t>
            </w:r>
            <w:r>
              <w:rPr>
                <w:rFonts w:hint="eastAsia" w:ascii="宋体" w:hAnsi="宋体" w:eastAsia="宋体" w:cs="宋体"/>
                <w:color w:val="auto"/>
                <w:kern w:val="0"/>
                <w:sz w:val="21"/>
                <w:szCs w:val="21"/>
                <w:highlight w:val="none"/>
              </w:rPr>
              <w:t>年 月 日</w:t>
            </w:r>
          </w:p>
        </w:tc>
      </w:tr>
      <w:tr>
        <w:tblPrEx>
          <w:tblCellMar>
            <w:top w:w="0" w:type="dxa"/>
            <w:left w:w="0" w:type="dxa"/>
            <w:bottom w:w="0" w:type="dxa"/>
            <w:right w:w="0" w:type="dxa"/>
          </w:tblCellMar>
        </w:tblPrEx>
        <w:trPr>
          <w:trHeight w:val="630" w:hRule="atLeast"/>
          <w:jc w:val="center"/>
        </w:trPr>
        <w:tc>
          <w:tcPr>
            <w:tcW w:w="45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单位地址：</w:t>
            </w:r>
          </w:p>
        </w:tc>
        <w:tc>
          <w:tcPr>
            <w:tcW w:w="45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单位地址：</w:t>
            </w:r>
          </w:p>
        </w:tc>
      </w:tr>
      <w:tr>
        <w:tblPrEx>
          <w:tblCellMar>
            <w:top w:w="0" w:type="dxa"/>
            <w:left w:w="0" w:type="dxa"/>
            <w:bottom w:w="0" w:type="dxa"/>
            <w:right w:w="0" w:type="dxa"/>
          </w:tblCellMar>
        </w:tblPrEx>
        <w:trPr>
          <w:trHeight w:val="662" w:hRule="atLeast"/>
          <w:jc w:val="center"/>
        </w:trPr>
        <w:tc>
          <w:tcPr>
            <w:tcW w:w="4516"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rPr>
                <w:rFonts w:hint="default" w:ascii="宋体" w:hAnsi="宋体" w:eastAsia="宋体" w:cs="宋体"/>
                <w:color w:val="auto"/>
                <w:kern w:val="0"/>
                <w:sz w:val="21"/>
                <w:szCs w:val="21"/>
                <w:highlight w:val="none"/>
                <w:lang w:val="en-US"/>
              </w:rPr>
            </w:pPr>
          </w:p>
          <w:p>
            <w:pPr>
              <w:snapToGrid w:val="0"/>
              <w:spacing w:line="360" w:lineRule="auto"/>
              <w:rPr>
                <w:rFonts w:hint="default" w:ascii="宋体" w:hAnsi="宋体" w:eastAsia="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委托代理人</w:t>
            </w:r>
            <w:r>
              <w:rPr>
                <w:rFonts w:hint="eastAsia" w:ascii="宋体" w:hAnsi="宋体" w:eastAsia="宋体" w:cs="宋体"/>
                <w:color w:val="auto"/>
                <w:kern w:val="0"/>
                <w:sz w:val="21"/>
                <w:szCs w:val="21"/>
                <w:highlight w:val="none"/>
              </w:rPr>
              <w:t>：</w:t>
            </w:r>
          </w:p>
          <w:p>
            <w:pPr>
              <w:snapToGrid w:val="0"/>
              <w:spacing w:line="360" w:lineRule="auto"/>
              <w:rPr>
                <w:rFonts w:hint="eastAsia" w:ascii="宋体" w:hAnsi="宋体" w:eastAsia="宋体" w:cs="宋体"/>
                <w:color w:val="auto"/>
                <w:kern w:val="0"/>
                <w:sz w:val="21"/>
                <w:szCs w:val="21"/>
                <w:highlight w:val="none"/>
              </w:rPr>
            </w:pPr>
          </w:p>
        </w:tc>
        <w:tc>
          <w:tcPr>
            <w:tcW w:w="45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负责人</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t>
            </w:r>
          </w:p>
        </w:tc>
      </w:tr>
      <w:tr>
        <w:tblPrEx>
          <w:tblCellMar>
            <w:top w:w="0" w:type="dxa"/>
            <w:left w:w="0" w:type="dxa"/>
            <w:bottom w:w="0" w:type="dxa"/>
            <w:right w:w="0" w:type="dxa"/>
          </w:tblCellMar>
        </w:tblPrEx>
        <w:trPr>
          <w:trHeight w:val="559" w:hRule="atLeast"/>
          <w:jc w:val="center"/>
        </w:trPr>
        <w:tc>
          <w:tcPr>
            <w:tcW w:w="4516"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rPr>
                <w:rFonts w:hint="eastAsia" w:ascii="宋体" w:hAnsi="宋体" w:eastAsia="宋体" w:cs="宋体"/>
                <w:color w:val="auto"/>
                <w:kern w:val="0"/>
                <w:sz w:val="21"/>
                <w:szCs w:val="21"/>
                <w:highlight w:val="none"/>
              </w:rPr>
            </w:pPr>
          </w:p>
        </w:tc>
        <w:tc>
          <w:tcPr>
            <w:tcW w:w="45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委托代理人：</w:t>
            </w:r>
          </w:p>
        </w:tc>
      </w:tr>
      <w:tr>
        <w:tblPrEx>
          <w:tblCellMar>
            <w:top w:w="0" w:type="dxa"/>
            <w:left w:w="0" w:type="dxa"/>
            <w:bottom w:w="0" w:type="dxa"/>
            <w:right w:w="0" w:type="dxa"/>
          </w:tblCellMar>
        </w:tblPrEx>
        <w:trPr>
          <w:trHeight w:val="567" w:hRule="atLeast"/>
          <w:jc w:val="center"/>
        </w:trPr>
        <w:tc>
          <w:tcPr>
            <w:tcW w:w="45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w:t>
            </w:r>
          </w:p>
        </w:tc>
        <w:tc>
          <w:tcPr>
            <w:tcW w:w="45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w:t>
            </w:r>
          </w:p>
        </w:tc>
      </w:tr>
      <w:tr>
        <w:tblPrEx>
          <w:tblCellMar>
            <w:top w:w="0" w:type="dxa"/>
            <w:left w:w="0" w:type="dxa"/>
            <w:bottom w:w="0" w:type="dxa"/>
            <w:right w:w="0" w:type="dxa"/>
          </w:tblCellMar>
        </w:tblPrEx>
        <w:trPr>
          <w:trHeight w:val="558" w:hRule="atLeast"/>
          <w:jc w:val="center"/>
        </w:trPr>
        <w:tc>
          <w:tcPr>
            <w:tcW w:w="45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开户银行：</w:t>
            </w:r>
          </w:p>
        </w:tc>
        <w:tc>
          <w:tcPr>
            <w:tcW w:w="45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开户银行：</w:t>
            </w:r>
          </w:p>
        </w:tc>
      </w:tr>
      <w:tr>
        <w:tblPrEx>
          <w:tblCellMar>
            <w:top w:w="0" w:type="dxa"/>
            <w:left w:w="0" w:type="dxa"/>
            <w:bottom w:w="0" w:type="dxa"/>
            <w:right w:w="0" w:type="dxa"/>
          </w:tblCellMar>
        </w:tblPrEx>
        <w:trPr>
          <w:trHeight w:val="612" w:hRule="atLeast"/>
          <w:jc w:val="center"/>
        </w:trPr>
        <w:tc>
          <w:tcPr>
            <w:tcW w:w="45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账号：</w:t>
            </w:r>
          </w:p>
        </w:tc>
        <w:tc>
          <w:tcPr>
            <w:tcW w:w="45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账号： </w:t>
            </w:r>
          </w:p>
        </w:tc>
      </w:tr>
      <w:tr>
        <w:tblPrEx>
          <w:tblCellMar>
            <w:top w:w="0" w:type="dxa"/>
            <w:left w:w="0" w:type="dxa"/>
            <w:bottom w:w="0" w:type="dxa"/>
            <w:right w:w="0" w:type="dxa"/>
          </w:tblCellMar>
        </w:tblPrEx>
        <w:trPr>
          <w:trHeight w:val="567" w:hRule="atLeast"/>
          <w:jc w:val="center"/>
        </w:trPr>
        <w:tc>
          <w:tcPr>
            <w:tcW w:w="45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邮政编码：</w:t>
            </w:r>
          </w:p>
        </w:tc>
        <w:tc>
          <w:tcPr>
            <w:tcW w:w="45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邮政编码：</w:t>
            </w:r>
          </w:p>
        </w:tc>
      </w:tr>
    </w:tbl>
    <w:p>
      <w:pPr>
        <w:rPr>
          <w:rFonts w:cs="仿宋_GB2312"/>
          <w:b/>
          <w:color w:val="auto"/>
          <w:sz w:val="44"/>
          <w:szCs w:val="44"/>
          <w:highlight w:val="none"/>
        </w:rPr>
      </w:pPr>
      <w:r>
        <w:rPr>
          <w:rFonts w:cs="仿宋_GB2312"/>
          <w:b/>
          <w:color w:val="auto"/>
          <w:sz w:val="44"/>
          <w:szCs w:val="44"/>
          <w:highlight w:val="none"/>
        </w:rPr>
        <w:br w:type="page"/>
      </w:r>
    </w:p>
    <w:p>
      <w:pPr>
        <w:pStyle w:val="3"/>
        <w:rPr>
          <w:color w:val="auto"/>
          <w:highlight w:val="none"/>
        </w:rPr>
      </w:pPr>
    </w:p>
    <w:p>
      <w:pPr>
        <w:tabs>
          <w:tab w:val="left" w:pos="3261"/>
        </w:tabs>
        <w:spacing w:line="360" w:lineRule="auto"/>
        <w:contextualSpacing/>
        <w:jc w:val="center"/>
        <w:rPr>
          <w:rFonts w:cs="仿宋_GB2312"/>
          <w:b/>
          <w:color w:val="auto"/>
          <w:sz w:val="44"/>
          <w:szCs w:val="44"/>
          <w:highlight w:val="none"/>
        </w:rPr>
      </w:pPr>
    </w:p>
    <w:p>
      <w:pPr>
        <w:tabs>
          <w:tab w:val="left" w:pos="3261"/>
        </w:tabs>
        <w:spacing w:line="360" w:lineRule="auto"/>
        <w:contextualSpacing/>
        <w:jc w:val="center"/>
        <w:rPr>
          <w:rFonts w:cs="仿宋_GB2312"/>
          <w:b/>
          <w:color w:val="auto"/>
          <w:sz w:val="44"/>
          <w:szCs w:val="44"/>
          <w:highlight w:val="none"/>
        </w:rPr>
      </w:pPr>
    </w:p>
    <w:p>
      <w:pPr>
        <w:tabs>
          <w:tab w:val="left" w:pos="3261"/>
        </w:tabs>
        <w:spacing w:line="360" w:lineRule="auto"/>
        <w:contextualSpacing/>
        <w:jc w:val="center"/>
        <w:rPr>
          <w:rFonts w:cs="仿宋_GB2312"/>
          <w:b/>
          <w:color w:val="auto"/>
          <w:sz w:val="44"/>
          <w:szCs w:val="44"/>
          <w:highlight w:val="none"/>
        </w:rPr>
      </w:pPr>
    </w:p>
    <w:p>
      <w:pPr>
        <w:pStyle w:val="3"/>
        <w:jc w:val="center"/>
        <w:rPr>
          <w:rFonts w:hint="eastAsia" w:cs="仿宋_GB2312"/>
          <w:b w:val="0"/>
          <w:color w:val="auto"/>
          <w:highlight w:val="none"/>
        </w:rPr>
      </w:pPr>
      <w:bookmarkStart w:id="157" w:name="_Toc28283"/>
      <w:bookmarkStart w:id="158" w:name="_Toc610"/>
      <w:bookmarkStart w:id="159" w:name="_Toc80886951"/>
      <w:bookmarkStart w:id="160" w:name="_Toc13011"/>
      <w:bookmarkStart w:id="161" w:name="_Toc8963"/>
      <w:bookmarkStart w:id="162" w:name="_Toc29624"/>
      <w:bookmarkStart w:id="163" w:name="_Toc20915"/>
      <w:bookmarkStart w:id="164" w:name="_Toc178"/>
    </w:p>
    <w:p>
      <w:pPr>
        <w:pStyle w:val="3"/>
        <w:jc w:val="center"/>
        <w:rPr>
          <w:rFonts w:hint="eastAsia" w:cs="仿宋_GB2312"/>
          <w:b w:val="0"/>
          <w:color w:val="auto"/>
          <w:highlight w:val="none"/>
        </w:rPr>
      </w:pPr>
    </w:p>
    <w:p>
      <w:pPr>
        <w:pStyle w:val="3"/>
        <w:jc w:val="center"/>
        <w:rPr>
          <w:rFonts w:hint="eastAsia" w:cs="仿宋_GB2312"/>
          <w:color w:val="auto"/>
          <w:highlight w:val="none"/>
        </w:rPr>
        <w:sectPr>
          <w:pgSz w:w="11911" w:h="16838"/>
          <w:pgMar w:top="1134" w:right="1134" w:bottom="1134" w:left="1134" w:header="720" w:footer="720" w:gutter="0"/>
          <w:cols w:space="720" w:num="1"/>
        </w:sectPr>
      </w:pPr>
      <w:r>
        <w:rPr>
          <w:rFonts w:hint="eastAsia" w:cs="仿宋_GB2312"/>
          <w:b w:val="0"/>
          <w:color w:val="auto"/>
          <w:highlight w:val="none"/>
        </w:rPr>
        <w:t>第七章 质疑、投诉材料格式</w:t>
      </w:r>
      <w:bookmarkEnd w:id="157"/>
      <w:bookmarkEnd w:id="158"/>
      <w:bookmarkEnd w:id="159"/>
      <w:bookmarkEnd w:id="160"/>
      <w:bookmarkEnd w:id="161"/>
      <w:bookmarkEnd w:id="162"/>
      <w:bookmarkEnd w:id="163"/>
      <w:bookmarkEnd w:id="164"/>
    </w:p>
    <w:p>
      <w:pPr>
        <w:spacing w:line="360" w:lineRule="auto"/>
        <w:jc w:val="center"/>
        <w:rPr>
          <w:rFonts w:hint="eastAsia"/>
          <w:b/>
          <w:bCs/>
          <w:color w:val="auto"/>
          <w:sz w:val="32"/>
          <w:szCs w:val="32"/>
          <w:highlight w:val="none"/>
        </w:rPr>
      </w:pPr>
      <w:r>
        <w:rPr>
          <w:rFonts w:hint="eastAsia"/>
          <w:b/>
          <w:bCs/>
          <w:color w:val="auto"/>
          <w:sz w:val="32"/>
          <w:szCs w:val="32"/>
          <w:highlight w:val="none"/>
        </w:rPr>
        <w:t>质疑函（格式）</w:t>
      </w:r>
    </w:p>
    <w:p>
      <w:pPr>
        <w:spacing w:line="360" w:lineRule="auto"/>
        <w:ind w:firstLine="482" w:firstLineChars="200"/>
        <w:contextualSpacing/>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一、质疑供应商基本信息：</w:t>
      </w:r>
    </w:p>
    <w:p>
      <w:pPr>
        <w:spacing w:line="360" w:lineRule="auto"/>
        <w:ind w:firstLine="480" w:firstLineChars="200"/>
        <w:contextualSpacing/>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rPr>
        <w:t>质疑供应商：</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pPr>
        <w:spacing w:line="360" w:lineRule="auto"/>
        <w:ind w:firstLine="480" w:firstLineChars="200"/>
        <w:contextualSpacing/>
        <w:rPr>
          <w:rFonts w:hint="eastAsia" w:ascii="宋体" w:hAnsi="宋体" w:cs="宋体"/>
          <w:bCs/>
          <w:color w:val="auto"/>
          <w:kern w:val="0"/>
          <w:sz w:val="24"/>
          <w:highlight w:val="non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邮编：</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pPr>
        <w:spacing w:line="360" w:lineRule="auto"/>
        <w:ind w:firstLine="480" w:firstLineChars="200"/>
        <w:contextualSpacing/>
        <w:rPr>
          <w:rFonts w:hint="eastAsia" w:ascii="宋体" w:hAnsi="宋体" w:cs="宋体"/>
          <w:bCs/>
          <w:color w:val="auto"/>
          <w:kern w:val="0"/>
          <w:sz w:val="24"/>
          <w:highlight w:val="none"/>
        </w:rPr>
      </w:pPr>
      <w:r>
        <w:rPr>
          <w:rFonts w:hint="eastAsia" w:ascii="宋体" w:hAnsi="宋体" w:cs="宋体"/>
          <w:bCs/>
          <w:color w:val="auto"/>
          <w:kern w:val="0"/>
          <w:sz w:val="24"/>
          <w:highlight w:val="none"/>
        </w:rPr>
        <w:t>联系人：</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u w:val="single"/>
        </w:rPr>
        <w:t xml:space="preserve">                 </w:t>
      </w:r>
    </w:p>
    <w:p>
      <w:pPr>
        <w:spacing w:line="360" w:lineRule="auto"/>
        <w:ind w:firstLine="480" w:firstLineChars="200"/>
        <w:contextualSpacing/>
        <w:rPr>
          <w:rFonts w:hint="eastAsia" w:ascii="宋体" w:hAnsi="宋体" w:cs="宋体"/>
          <w:bCs/>
          <w:color w:val="auto"/>
          <w:kern w:val="0"/>
          <w:sz w:val="24"/>
          <w:highlight w:val="none"/>
        </w:rPr>
      </w:pPr>
      <w:r>
        <w:rPr>
          <w:rFonts w:hint="eastAsia" w:ascii="宋体" w:hAnsi="宋体" w:cs="宋体"/>
          <w:bCs/>
          <w:color w:val="auto"/>
          <w:kern w:val="0"/>
          <w:sz w:val="24"/>
          <w:highlight w:val="none"/>
        </w:rPr>
        <w:t>授权代表：</w:t>
      </w:r>
      <w:r>
        <w:rPr>
          <w:rFonts w:hint="eastAsia" w:ascii="宋体" w:hAnsi="宋体" w:cs="宋体"/>
          <w:bCs/>
          <w:color w:val="auto"/>
          <w:kern w:val="0"/>
          <w:sz w:val="24"/>
          <w:highlight w:val="none"/>
          <w:u w:val="single"/>
        </w:rPr>
        <w:t xml:space="preserve">                      </w:t>
      </w:r>
    </w:p>
    <w:p>
      <w:pPr>
        <w:spacing w:line="360" w:lineRule="auto"/>
        <w:ind w:firstLine="480" w:firstLineChars="200"/>
        <w:contextualSpacing/>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u w:val="single"/>
        </w:rPr>
        <w:t xml:space="preserve">                      </w:t>
      </w:r>
    </w:p>
    <w:p>
      <w:pPr>
        <w:spacing w:line="360" w:lineRule="auto"/>
        <w:ind w:firstLine="480" w:firstLineChars="200"/>
        <w:contextualSpacing/>
        <w:rPr>
          <w:rFonts w:hint="eastAsia" w:ascii="宋体" w:hAnsi="宋体" w:cs="宋体"/>
          <w:bCs/>
          <w:color w:val="auto"/>
          <w:kern w:val="0"/>
          <w:sz w:val="24"/>
          <w:highlight w:val="non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邮编：</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pPr>
        <w:spacing w:line="360" w:lineRule="auto"/>
        <w:ind w:firstLine="482" w:firstLineChars="200"/>
        <w:contextualSpacing/>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二、质疑项目基本情况：</w:t>
      </w:r>
    </w:p>
    <w:p>
      <w:pPr>
        <w:spacing w:line="360" w:lineRule="auto"/>
        <w:ind w:left="25" w:leftChars="12" w:firstLine="472" w:firstLineChars="197"/>
        <w:contextualSpacing/>
        <w:rPr>
          <w:rFonts w:hint="eastAsia" w:ascii="宋体" w:hAnsi="宋体" w:cs="宋体"/>
          <w:color w:val="auto"/>
          <w:kern w:val="0"/>
          <w:sz w:val="24"/>
          <w:highlight w:val="none"/>
        </w:rPr>
      </w:pPr>
      <w:r>
        <w:rPr>
          <w:rFonts w:hint="eastAsia" w:ascii="宋体" w:hAnsi="宋体" w:cs="宋体"/>
          <w:bCs/>
          <w:color w:val="auto"/>
          <w:kern w:val="0"/>
          <w:sz w:val="24"/>
          <w:highlight w:val="none"/>
        </w:rPr>
        <w:t>质疑</w:t>
      </w:r>
      <w:r>
        <w:rPr>
          <w:rFonts w:hint="eastAsia" w:ascii="宋体" w:hAnsi="宋体" w:cs="宋体"/>
          <w:color w:val="auto"/>
          <w:kern w:val="0"/>
          <w:sz w:val="24"/>
          <w:highlight w:val="none"/>
        </w:rPr>
        <w:t>项目的名称：</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contextualSpacing/>
        <w:rPr>
          <w:rFonts w:hint="eastAsia" w:ascii="宋体" w:hAnsi="宋体" w:cs="宋体"/>
          <w:color w:val="auto"/>
          <w:kern w:val="0"/>
          <w:sz w:val="24"/>
          <w:highlight w:val="none"/>
        </w:rPr>
      </w:pPr>
      <w:r>
        <w:rPr>
          <w:rFonts w:hint="eastAsia" w:ascii="宋体" w:hAnsi="宋体" w:cs="宋体"/>
          <w:bCs/>
          <w:color w:val="auto"/>
          <w:kern w:val="0"/>
          <w:sz w:val="24"/>
          <w:highlight w:val="none"/>
        </w:rPr>
        <w:t>质疑</w:t>
      </w:r>
      <w:r>
        <w:rPr>
          <w:rFonts w:hint="eastAsia" w:ascii="宋体" w:hAnsi="宋体" w:cs="宋体"/>
          <w:color w:val="auto"/>
          <w:kern w:val="0"/>
          <w:sz w:val="24"/>
          <w:highlight w:val="none"/>
        </w:rPr>
        <w:t>项目的编号：</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采购人名称：</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质疑事项：</w:t>
      </w:r>
    </w:p>
    <w:p>
      <w:pPr>
        <w:spacing w:line="360" w:lineRule="auto"/>
        <w:ind w:left="25" w:leftChars="12" w:firstLine="352" w:firstLineChars="147"/>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□采购文件   采购文件获取日期：</w:t>
      </w:r>
      <w:r>
        <w:rPr>
          <w:rFonts w:hint="eastAsia" w:ascii="宋体" w:hAnsi="宋体" w:cs="宋体"/>
          <w:bCs/>
          <w:color w:val="auto"/>
          <w:kern w:val="0"/>
          <w:sz w:val="24"/>
          <w:highlight w:val="none"/>
          <w:u w:val="single"/>
        </w:rPr>
        <w:t xml:space="preserve">                                   </w:t>
      </w:r>
    </w:p>
    <w:p>
      <w:pPr>
        <w:spacing w:line="360" w:lineRule="auto"/>
        <w:ind w:left="25" w:leftChars="12" w:firstLine="352" w:firstLineChars="147"/>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□采购过程   </w:t>
      </w:r>
    </w:p>
    <w:p>
      <w:pPr>
        <w:spacing w:line="360" w:lineRule="auto"/>
        <w:ind w:left="25" w:leftChars="12" w:firstLine="352" w:firstLineChars="147"/>
        <w:contextualSpacing/>
        <w:rPr>
          <w:rFonts w:hint="eastAsia" w:ascii="宋体" w:hAnsi="宋体" w:cs="宋体"/>
          <w:bCs/>
          <w:color w:val="auto"/>
          <w:kern w:val="0"/>
          <w:sz w:val="24"/>
          <w:highlight w:val="none"/>
          <w:u w:val="single"/>
        </w:rPr>
      </w:pPr>
      <w:r>
        <w:rPr>
          <w:rFonts w:hint="eastAsia" w:ascii="宋体" w:hAnsi="宋体" w:cs="宋体"/>
          <w:color w:val="auto"/>
          <w:kern w:val="0"/>
          <w:sz w:val="24"/>
          <w:highlight w:val="none"/>
        </w:rPr>
        <w:t xml:space="preserve">□成交结果   </w:t>
      </w:r>
    </w:p>
    <w:p>
      <w:pPr>
        <w:spacing w:line="360" w:lineRule="auto"/>
        <w:ind w:left="25" w:leftChars="12" w:firstLine="472" w:firstLineChars="196"/>
        <w:contextualSpacing/>
        <w:rPr>
          <w:rFonts w:hint="eastAsia" w:ascii="宋体" w:hAnsi="宋体" w:cs="宋体"/>
          <w:b/>
          <w:color w:val="auto"/>
          <w:kern w:val="0"/>
          <w:sz w:val="24"/>
          <w:highlight w:val="none"/>
        </w:rPr>
      </w:pPr>
      <w:r>
        <w:rPr>
          <w:rFonts w:hint="eastAsia" w:ascii="宋体" w:hAnsi="宋体" w:cs="宋体"/>
          <w:b/>
          <w:color w:val="auto"/>
          <w:kern w:val="0"/>
          <w:sz w:val="24"/>
          <w:highlight w:val="none"/>
        </w:rPr>
        <w:t>三、质疑事项具体内容</w:t>
      </w:r>
    </w:p>
    <w:p>
      <w:pPr>
        <w:spacing w:line="360" w:lineRule="auto"/>
        <w:ind w:left="25" w:leftChars="12" w:firstLine="472" w:firstLineChars="197"/>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质疑事项1：</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事实依据：</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法律依据：</w:t>
      </w:r>
      <w:r>
        <w:rPr>
          <w:rFonts w:hint="eastAsia" w:ascii="宋体" w:hAnsi="宋体" w:cs="宋体"/>
          <w:color w:val="auto"/>
          <w:kern w:val="0"/>
          <w:sz w:val="24"/>
          <w:highlight w:val="none"/>
          <w:u w:val="single"/>
        </w:rPr>
        <w:t xml:space="preserve">                                                        </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质疑事项2</w:t>
      </w:r>
    </w:p>
    <w:p>
      <w:pPr>
        <w:spacing w:line="360" w:lineRule="auto"/>
        <w:ind w:left="25" w:leftChars="12" w:firstLine="472" w:firstLineChars="197"/>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w:t>
      </w:r>
    </w:p>
    <w:p>
      <w:pPr>
        <w:spacing w:line="360" w:lineRule="auto"/>
        <w:ind w:left="25" w:leftChars="12" w:firstLine="472" w:firstLineChars="197"/>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四、与质疑事项相关的质疑请求：</w:t>
      </w:r>
    </w:p>
    <w:p>
      <w:pPr>
        <w:spacing w:line="360" w:lineRule="auto"/>
        <w:ind w:left="25" w:leftChars="12" w:firstLine="472" w:firstLineChars="197"/>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请求：</w:t>
      </w:r>
      <w:r>
        <w:rPr>
          <w:rFonts w:hint="eastAsia" w:ascii="宋体" w:hAnsi="宋体" w:cs="宋体"/>
          <w:bCs/>
          <w:color w:val="auto"/>
          <w:kern w:val="0"/>
          <w:sz w:val="24"/>
          <w:highlight w:val="none"/>
          <w:u w:val="single"/>
        </w:rPr>
        <w:t xml:space="preserve">                                                                </w:t>
      </w:r>
    </w:p>
    <w:p>
      <w:pPr>
        <w:spacing w:line="360" w:lineRule="auto"/>
        <w:ind w:left="25" w:leftChars="12" w:firstLine="352" w:firstLineChars="147"/>
        <w:contextualSpacing/>
        <w:rPr>
          <w:rFonts w:hint="eastAsia" w:ascii="宋体" w:hAnsi="宋体" w:cs="宋体"/>
          <w:color w:val="auto"/>
          <w:kern w:val="0"/>
          <w:sz w:val="24"/>
          <w:highlight w:val="none"/>
        </w:rPr>
      </w:pPr>
    </w:p>
    <w:p>
      <w:pPr>
        <w:spacing w:line="360" w:lineRule="auto"/>
        <w:ind w:left="25" w:leftChars="12" w:firstLine="472" w:firstLineChars="197"/>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签字（签章）：                                       公章：</w:t>
      </w:r>
    </w:p>
    <w:p>
      <w:pPr>
        <w:spacing w:line="360" w:lineRule="auto"/>
        <w:ind w:left="25" w:leftChars="12" w:firstLine="352" w:firstLineChars="147"/>
        <w:contextualSpacing/>
        <w:rPr>
          <w:rFonts w:hint="eastAsia" w:ascii="宋体" w:hAnsi="宋体" w:cs="宋体"/>
          <w:color w:val="auto"/>
          <w:kern w:val="0"/>
          <w:sz w:val="24"/>
          <w:highlight w:val="none"/>
        </w:rPr>
      </w:pPr>
    </w:p>
    <w:p>
      <w:pPr>
        <w:spacing w:line="360" w:lineRule="auto"/>
        <w:ind w:left="25" w:leftChars="12" w:firstLine="472" w:firstLineChars="197"/>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日期：</w:t>
      </w:r>
    </w:p>
    <w:p>
      <w:pPr>
        <w:spacing w:line="360" w:lineRule="auto"/>
        <w:contextualSpacing/>
        <w:rPr>
          <w:rFonts w:hint="eastAsia"/>
          <w:b/>
          <w:color w:val="auto"/>
          <w:kern w:val="0"/>
          <w:sz w:val="24"/>
          <w:highlight w:val="none"/>
        </w:rPr>
      </w:pPr>
    </w:p>
    <w:p>
      <w:pPr>
        <w:spacing w:line="360" w:lineRule="auto"/>
        <w:contextualSpacing/>
        <w:rPr>
          <w:rFonts w:hint="eastAsia"/>
          <w:b/>
          <w:color w:val="auto"/>
          <w:kern w:val="0"/>
          <w:sz w:val="24"/>
          <w:highlight w:val="none"/>
        </w:rPr>
      </w:pPr>
    </w:p>
    <w:p>
      <w:pPr>
        <w:pStyle w:val="40"/>
        <w:rPr>
          <w:rFonts w:hint="eastAsia"/>
          <w:color w:val="auto"/>
          <w:highlight w:val="none"/>
        </w:rPr>
      </w:pPr>
    </w:p>
    <w:p>
      <w:pPr>
        <w:spacing w:line="360" w:lineRule="auto"/>
        <w:contextualSpacing/>
        <w:rPr>
          <w:rFonts w:hint="eastAsia"/>
          <w:b/>
          <w:color w:val="auto"/>
          <w:kern w:val="0"/>
          <w:sz w:val="24"/>
          <w:highlight w:val="none"/>
        </w:rPr>
      </w:pPr>
      <w:r>
        <w:rPr>
          <w:rFonts w:hint="eastAsia"/>
          <w:b/>
          <w:color w:val="auto"/>
          <w:kern w:val="0"/>
          <w:sz w:val="24"/>
          <w:highlight w:val="none"/>
        </w:rPr>
        <w:t>说明：</w:t>
      </w:r>
    </w:p>
    <w:p>
      <w:pPr>
        <w:spacing w:line="360" w:lineRule="auto"/>
        <w:ind w:left="25" w:leftChars="12" w:firstLine="354" w:firstLineChars="147"/>
        <w:contextualSpacing/>
        <w:rPr>
          <w:rFonts w:hint="eastAsia" w:ascii="宋体" w:hAnsi="宋体" w:cs="宋体"/>
          <w:b/>
          <w:bCs/>
          <w:color w:val="auto"/>
          <w:kern w:val="0"/>
          <w:sz w:val="24"/>
          <w:highlight w:val="none"/>
        </w:rPr>
      </w:pPr>
      <w:r>
        <w:rPr>
          <w:rFonts w:hint="eastAsia" w:ascii="宋体" w:hAnsi="宋体" w:cs="宋体"/>
          <w:b/>
          <w:color w:val="auto"/>
          <w:kern w:val="0"/>
          <w:sz w:val="24"/>
          <w:highlight w:val="none"/>
        </w:rPr>
        <w:t>1.供应商提出质疑时，应提交质疑函和必要的证明材料</w:t>
      </w:r>
      <w:r>
        <w:rPr>
          <w:rFonts w:hint="eastAsia" w:ascii="宋体" w:hAnsi="宋体" w:cs="宋体"/>
          <w:b/>
          <w:bCs/>
          <w:color w:val="auto"/>
          <w:kern w:val="0"/>
          <w:sz w:val="24"/>
          <w:highlight w:val="none"/>
        </w:rPr>
        <w:t>。</w:t>
      </w:r>
    </w:p>
    <w:p>
      <w:pPr>
        <w:spacing w:line="360" w:lineRule="auto"/>
        <w:ind w:left="25" w:leftChars="12" w:firstLine="354" w:firstLineChars="147"/>
        <w:contextualSpacing/>
        <w:rPr>
          <w:rFonts w:hint="eastAsia" w:ascii="宋体" w:hAnsi="宋体" w:cs="宋体"/>
          <w:b/>
          <w:color w:val="auto"/>
          <w:kern w:val="0"/>
          <w:sz w:val="24"/>
          <w:highlight w:val="none"/>
        </w:rPr>
      </w:pPr>
      <w:r>
        <w:rPr>
          <w:rFonts w:hint="eastAsia" w:ascii="宋体" w:hAnsi="宋体" w:cs="宋体"/>
          <w:b/>
          <w:color w:val="auto"/>
          <w:kern w:val="0"/>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left="25" w:leftChars="12" w:firstLine="354" w:firstLineChars="147"/>
        <w:contextualSpacing/>
        <w:rPr>
          <w:rFonts w:hint="eastAsia" w:ascii="宋体" w:hAnsi="宋体" w:cs="宋体"/>
          <w:b/>
          <w:color w:val="auto"/>
          <w:kern w:val="0"/>
          <w:sz w:val="24"/>
          <w:highlight w:val="none"/>
        </w:rPr>
      </w:pPr>
      <w:r>
        <w:rPr>
          <w:rFonts w:hint="eastAsia" w:ascii="宋体" w:hAnsi="宋体" w:cs="宋体"/>
          <w:b/>
          <w:color w:val="auto"/>
          <w:kern w:val="0"/>
          <w:sz w:val="24"/>
          <w:highlight w:val="none"/>
        </w:rPr>
        <w:t>3.质疑函的质疑事项应具体、明确，并有必要的事实依据和法律依据。</w:t>
      </w:r>
    </w:p>
    <w:p>
      <w:pPr>
        <w:spacing w:line="360" w:lineRule="auto"/>
        <w:ind w:left="25" w:leftChars="12" w:firstLine="354" w:firstLineChars="147"/>
        <w:contextualSpacing/>
        <w:rPr>
          <w:rFonts w:hint="eastAsia" w:ascii="宋体" w:hAnsi="宋体" w:cs="宋体"/>
          <w:b/>
          <w:color w:val="auto"/>
          <w:kern w:val="0"/>
          <w:sz w:val="24"/>
          <w:highlight w:val="none"/>
        </w:rPr>
      </w:pPr>
      <w:r>
        <w:rPr>
          <w:rFonts w:hint="eastAsia" w:ascii="宋体" w:hAnsi="宋体" w:cs="宋体"/>
          <w:b/>
          <w:color w:val="auto"/>
          <w:kern w:val="0"/>
          <w:sz w:val="24"/>
          <w:highlight w:val="none"/>
        </w:rPr>
        <w:t>4.质疑函的质疑请求应与质疑事项相关。</w:t>
      </w:r>
    </w:p>
    <w:p>
      <w:pPr>
        <w:spacing w:line="360" w:lineRule="auto"/>
        <w:ind w:left="25" w:leftChars="12" w:firstLine="354" w:firstLineChars="147"/>
        <w:contextualSpacing/>
        <w:rPr>
          <w:rFonts w:hint="eastAsia" w:ascii="宋体" w:hAnsi="宋体" w:cs="宋体"/>
          <w:b/>
          <w:color w:val="auto"/>
          <w:kern w:val="0"/>
          <w:sz w:val="20"/>
          <w:szCs w:val="21"/>
          <w:highlight w:val="none"/>
        </w:rPr>
      </w:pPr>
      <w:r>
        <w:rPr>
          <w:rFonts w:hint="eastAsia" w:ascii="宋体" w:hAnsi="宋体" w:cs="宋体"/>
          <w:b/>
          <w:color w:val="auto"/>
          <w:kern w:val="0"/>
          <w:sz w:val="24"/>
          <w:highlight w:val="none"/>
        </w:rPr>
        <w:t>5.质疑供应商为法人或者其他组织的，质疑函应由法定代表人、主要负责人，或者其授权代表签字或者盖章，并加盖公章。</w:t>
      </w:r>
    </w:p>
    <w:p>
      <w:pPr>
        <w:snapToGrid w:val="0"/>
        <w:rPr>
          <w:rFonts w:hint="eastAsia" w:hAnsi="Courier New"/>
          <w:b/>
          <w:color w:val="auto"/>
          <w:kern w:val="0"/>
          <w:sz w:val="24"/>
          <w:highlight w:val="none"/>
        </w:rPr>
      </w:pPr>
    </w:p>
    <w:p>
      <w:pPr>
        <w:spacing w:line="460" w:lineRule="exact"/>
        <w:jc w:val="center"/>
        <w:rPr>
          <w:rFonts w:hint="eastAsia" w:ascii="Calibri" w:hAnsi="Calibri" w:eastAsia="隶书"/>
          <w:color w:val="auto"/>
          <w:sz w:val="44"/>
          <w:highlight w:val="none"/>
        </w:rPr>
      </w:pPr>
      <w:r>
        <w:rPr>
          <w:rFonts w:ascii="Calibri" w:hAnsi="Calibri" w:eastAsia="隶书"/>
          <w:color w:val="auto"/>
          <w:sz w:val="44"/>
          <w:highlight w:val="none"/>
        </w:rPr>
        <w:br w:type="page"/>
      </w:r>
    </w:p>
    <w:p>
      <w:pPr>
        <w:spacing w:line="360" w:lineRule="auto"/>
        <w:jc w:val="center"/>
        <w:rPr>
          <w:rFonts w:hint="eastAsia"/>
          <w:b/>
          <w:bCs/>
          <w:color w:val="auto"/>
          <w:sz w:val="32"/>
          <w:szCs w:val="32"/>
          <w:highlight w:val="none"/>
        </w:rPr>
      </w:pPr>
      <w:r>
        <w:rPr>
          <w:rFonts w:hint="eastAsia"/>
          <w:b/>
          <w:bCs/>
          <w:color w:val="auto"/>
          <w:sz w:val="32"/>
          <w:szCs w:val="32"/>
          <w:highlight w:val="none"/>
        </w:rPr>
        <w:t>投诉书（格式）</w:t>
      </w:r>
    </w:p>
    <w:p>
      <w:pPr>
        <w:snapToGrid w:val="0"/>
        <w:spacing w:line="360" w:lineRule="auto"/>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一、投诉相关主体基本情况：</w:t>
      </w:r>
    </w:p>
    <w:p>
      <w:pPr>
        <w:snapToGrid w:val="0"/>
        <w:spacing w:line="360" w:lineRule="auto"/>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rPr>
        <w:t>供应商：</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pPr>
        <w:snapToGrid w:val="0"/>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邮编：</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pPr>
        <w:snapToGrid w:val="0"/>
        <w:spacing w:line="360" w:lineRule="auto"/>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rPr>
        <w:t>法定代表人/主要负责人：</w:t>
      </w:r>
      <w:r>
        <w:rPr>
          <w:rFonts w:hint="eastAsia" w:ascii="宋体" w:hAnsi="宋体" w:cs="宋体"/>
          <w:bCs/>
          <w:color w:val="auto"/>
          <w:kern w:val="0"/>
          <w:sz w:val="24"/>
          <w:highlight w:val="none"/>
          <w:u w:val="single"/>
        </w:rPr>
        <w:t xml:space="preserve">                                                         </w:t>
      </w:r>
    </w:p>
    <w:p>
      <w:pPr>
        <w:snapToGrid w:val="0"/>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u w:val="single"/>
        </w:rPr>
        <w:t xml:space="preserve">                                         </w:t>
      </w:r>
    </w:p>
    <w:p>
      <w:pPr>
        <w:snapToGrid w:val="0"/>
        <w:spacing w:line="360" w:lineRule="auto"/>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rPr>
        <w:t>授权代表：</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u w:val="single"/>
        </w:rPr>
        <w:t xml:space="preserve">                   </w:t>
      </w:r>
    </w:p>
    <w:p>
      <w:pPr>
        <w:snapToGrid w:val="0"/>
        <w:spacing w:line="360" w:lineRule="auto"/>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u w:val="single"/>
        </w:rPr>
        <w:t xml:space="preserve">                                                            </w:t>
      </w:r>
    </w:p>
    <w:p>
      <w:pPr>
        <w:snapToGrid w:val="0"/>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邮编：</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pPr>
        <w:snapToGrid w:val="0"/>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被投诉人1：</w:t>
      </w:r>
    </w:p>
    <w:p>
      <w:pPr>
        <w:snapToGrid w:val="0"/>
        <w:spacing w:line="360" w:lineRule="auto"/>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u w:val="single"/>
        </w:rPr>
        <w:t xml:space="preserve">                                                            </w:t>
      </w:r>
    </w:p>
    <w:p>
      <w:pPr>
        <w:snapToGrid w:val="0"/>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邮编：</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pPr>
        <w:snapToGrid w:val="0"/>
        <w:spacing w:line="360" w:lineRule="auto"/>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rPr>
        <w:t>联系人：</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u w:val="single"/>
        </w:rPr>
        <w:t xml:space="preserve">                </w:t>
      </w:r>
    </w:p>
    <w:p>
      <w:pPr>
        <w:snapToGrid w:val="0"/>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被投诉人2：</w:t>
      </w:r>
    </w:p>
    <w:p>
      <w:pPr>
        <w:snapToGrid w:val="0"/>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w:t>
      </w:r>
    </w:p>
    <w:p>
      <w:pPr>
        <w:snapToGrid w:val="0"/>
        <w:spacing w:line="360" w:lineRule="auto"/>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rPr>
        <w:t>相关供应商：</w:t>
      </w:r>
      <w:r>
        <w:rPr>
          <w:rFonts w:hint="eastAsia" w:ascii="宋体" w:hAnsi="宋体" w:cs="宋体"/>
          <w:bCs/>
          <w:color w:val="auto"/>
          <w:kern w:val="0"/>
          <w:sz w:val="24"/>
          <w:highlight w:val="none"/>
          <w:u w:val="single"/>
        </w:rPr>
        <w:t xml:space="preserve">                                                                       </w:t>
      </w:r>
    </w:p>
    <w:p>
      <w:pPr>
        <w:snapToGrid w:val="0"/>
        <w:spacing w:line="360" w:lineRule="auto"/>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邮编：</w:t>
      </w:r>
      <w:r>
        <w:rPr>
          <w:rFonts w:hint="eastAsia" w:ascii="宋体" w:hAnsi="宋体" w:cs="宋体"/>
          <w:bCs/>
          <w:color w:val="auto"/>
          <w:kern w:val="0"/>
          <w:sz w:val="24"/>
          <w:highlight w:val="none"/>
          <w:u w:val="single"/>
        </w:rPr>
        <w:t xml:space="preserve">                         </w:t>
      </w:r>
    </w:p>
    <w:p>
      <w:pPr>
        <w:snapToGrid w:val="0"/>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联系人：</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pPr>
        <w:snapToGrid w:val="0"/>
        <w:spacing w:line="360" w:lineRule="auto"/>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二、投诉项目基本情况：</w:t>
      </w:r>
    </w:p>
    <w:p>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bCs/>
          <w:color w:val="auto"/>
          <w:kern w:val="0"/>
          <w:sz w:val="24"/>
          <w:highlight w:val="none"/>
        </w:rPr>
        <w:t>采购</w:t>
      </w:r>
      <w:r>
        <w:rPr>
          <w:rFonts w:hint="eastAsia" w:ascii="宋体" w:hAnsi="宋体" w:cs="宋体"/>
          <w:color w:val="auto"/>
          <w:kern w:val="0"/>
          <w:sz w:val="24"/>
          <w:highlight w:val="none"/>
        </w:rPr>
        <w:t>项目的名称：</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bCs/>
          <w:color w:val="auto"/>
          <w:kern w:val="0"/>
          <w:sz w:val="24"/>
          <w:highlight w:val="none"/>
        </w:rPr>
        <w:t>采购</w:t>
      </w:r>
      <w:r>
        <w:rPr>
          <w:rFonts w:hint="eastAsia" w:ascii="宋体" w:hAnsi="宋体" w:cs="宋体"/>
          <w:color w:val="auto"/>
          <w:kern w:val="0"/>
          <w:sz w:val="24"/>
          <w:highlight w:val="none"/>
        </w:rPr>
        <w:t>项目的编号：</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rPr>
          <w:rFonts w:hint="eastAsia" w:ascii="宋体" w:hAnsi="宋体" w:cs="宋体"/>
          <w:bCs/>
          <w:color w:val="auto"/>
          <w:kern w:val="0"/>
          <w:sz w:val="24"/>
          <w:highlight w:val="none"/>
          <w:u w:val="single"/>
        </w:rPr>
      </w:pPr>
      <w:r>
        <w:rPr>
          <w:rFonts w:hint="eastAsia" w:ascii="宋体" w:hAnsi="宋体" w:cs="宋体"/>
          <w:color w:val="auto"/>
          <w:kern w:val="0"/>
          <w:sz w:val="24"/>
          <w:highlight w:val="none"/>
        </w:rPr>
        <w:t>采购人名称：</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rPr>
          <w:rFonts w:hint="eastAsia" w:ascii="宋体" w:hAnsi="宋体" w:cs="宋体"/>
          <w:bCs/>
          <w:color w:val="auto"/>
          <w:kern w:val="0"/>
          <w:sz w:val="24"/>
          <w:highlight w:val="none"/>
          <w:u w:val="single"/>
        </w:rPr>
      </w:pPr>
      <w:r>
        <w:rPr>
          <w:rFonts w:hint="eastAsia" w:ascii="宋体" w:hAnsi="宋体" w:cs="宋体"/>
          <w:color w:val="auto"/>
          <w:kern w:val="0"/>
          <w:sz w:val="24"/>
          <w:highlight w:val="none"/>
        </w:rPr>
        <w:t>代理机构名称：</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rPr>
        <w:t>采购文件公告：</w:t>
      </w:r>
      <w:r>
        <w:rPr>
          <w:rFonts w:hint="eastAsia" w:ascii="宋体" w:hAnsi="宋体" w:cs="宋体"/>
          <w:bCs/>
          <w:color w:val="auto"/>
          <w:kern w:val="0"/>
          <w:sz w:val="24"/>
          <w:highlight w:val="none"/>
          <w:u w:val="single"/>
        </w:rPr>
        <w:t>是/否</w:t>
      </w:r>
      <w:r>
        <w:rPr>
          <w:rFonts w:hint="eastAsia" w:ascii="宋体" w:hAnsi="宋体" w:cs="宋体"/>
          <w:bCs/>
          <w:color w:val="auto"/>
          <w:kern w:val="0"/>
          <w:sz w:val="24"/>
          <w:highlight w:val="none"/>
        </w:rPr>
        <w:t>公告期限：</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rPr>
          <w:rFonts w:hint="eastAsia" w:ascii="宋体" w:hAnsi="宋体" w:cs="宋体"/>
          <w:b/>
          <w:color w:val="auto"/>
          <w:kern w:val="0"/>
          <w:sz w:val="24"/>
          <w:highlight w:val="none"/>
        </w:rPr>
      </w:pPr>
      <w:r>
        <w:rPr>
          <w:rFonts w:hint="eastAsia" w:ascii="宋体" w:hAnsi="宋体" w:cs="宋体"/>
          <w:bCs/>
          <w:color w:val="auto"/>
          <w:kern w:val="0"/>
          <w:sz w:val="24"/>
          <w:highlight w:val="none"/>
        </w:rPr>
        <w:t>采购结果公告：</w:t>
      </w:r>
      <w:r>
        <w:rPr>
          <w:rFonts w:hint="eastAsia" w:ascii="宋体" w:hAnsi="宋体" w:cs="宋体"/>
          <w:bCs/>
          <w:color w:val="auto"/>
          <w:kern w:val="0"/>
          <w:sz w:val="24"/>
          <w:highlight w:val="none"/>
          <w:u w:val="single"/>
        </w:rPr>
        <w:t>是/否</w:t>
      </w:r>
      <w:r>
        <w:rPr>
          <w:rFonts w:hint="eastAsia" w:ascii="宋体" w:hAnsi="宋体" w:cs="宋体"/>
          <w:bCs/>
          <w:color w:val="auto"/>
          <w:kern w:val="0"/>
          <w:sz w:val="24"/>
          <w:highlight w:val="none"/>
        </w:rPr>
        <w:t>公告期限：</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三、质疑基本情况</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投诉人于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日，向</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提出质疑，质疑事项为：</w:t>
      </w:r>
    </w:p>
    <w:p>
      <w:pPr>
        <w:spacing w:line="360" w:lineRule="auto"/>
        <w:ind w:firstLine="241"/>
        <w:rPr>
          <w:rFonts w:hint="eastAsia" w:ascii="宋体" w:hAnsi="宋体" w:cs="宋体"/>
          <w:bCs/>
          <w:color w:val="auto"/>
          <w:kern w:val="0"/>
          <w:sz w:val="24"/>
          <w:highlight w:val="none"/>
          <w:u w:val="single"/>
        </w:rPr>
      </w:pPr>
      <w:r>
        <w:rPr>
          <w:rFonts w:hint="eastAsia" w:ascii="宋体" w:hAnsi="宋体" w:cs="宋体"/>
          <w:color w:val="auto"/>
          <w:kern w:val="0"/>
          <w:sz w:val="24"/>
          <w:highlight w:val="none"/>
        </w:rPr>
        <w:t xml:space="preserve">    </w:t>
      </w:r>
      <w:r>
        <w:rPr>
          <w:rFonts w:hint="eastAsia" w:ascii="宋体" w:hAnsi="宋体" w:cs="宋体"/>
          <w:bCs/>
          <w:color w:val="auto"/>
          <w:kern w:val="0"/>
          <w:sz w:val="24"/>
          <w:highlight w:val="none"/>
          <w:u w:val="single"/>
        </w:rPr>
        <w:t xml:space="preserve">                                                                                      </w:t>
      </w:r>
    </w:p>
    <w:p>
      <w:pPr>
        <w:spacing w:line="360" w:lineRule="auto"/>
        <w:ind w:firstLine="241"/>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rPr>
        <w:t xml:space="preserve">    </w:t>
      </w:r>
      <w:r>
        <w:rPr>
          <w:rFonts w:hint="eastAsia" w:ascii="宋体" w:hAnsi="宋体" w:cs="宋体"/>
          <w:bCs/>
          <w:color w:val="auto"/>
          <w:kern w:val="0"/>
          <w:sz w:val="24"/>
          <w:highlight w:val="none"/>
          <w:u w:val="single"/>
        </w:rPr>
        <w:t xml:space="preserve">                                                                                      </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bCs/>
          <w:color w:val="auto"/>
          <w:kern w:val="0"/>
          <w:sz w:val="24"/>
          <w:highlight w:val="none"/>
          <w:u w:val="single"/>
        </w:rPr>
        <w:t>采购人/采购代理机构</w:t>
      </w:r>
      <w:r>
        <w:rPr>
          <w:rFonts w:hint="eastAsia" w:ascii="宋体" w:hAnsi="宋体" w:cs="宋体"/>
          <w:bCs/>
          <w:color w:val="auto"/>
          <w:kern w:val="0"/>
          <w:sz w:val="24"/>
          <w:highlight w:val="none"/>
        </w:rPr>
        <w:t>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w:t>
      </w:r>
      <w:r>
        <w:rPr>
          <w:rFonts w:hint="eastAsia" w:ascii="宋体" w:hAnsi="宋体" w:cs="宋体"/>
          <w:bCs/>
          <w:color w:val="auto"/>
          <w:kern w:val="0"/>
          <w:sz w:val="24"/>
          <w:highlight w:val="none"/>
        </w:rPr>
        <w:t xml:space="preserve">就质疑事项作出了答复/没有在法定期限内作出答复。                                                                                             </w:t>
      </w:r>
    </w:p>
    <w:p>
      <w:pPr>
        <w:spacing w:line="360" w:lineRule="auto"/>
        <w:ind w:left="25" w:leftChars="12"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四、投诉事项具体内容</w:t>
      </w:r>
    </w:p>
    <w:p>
      <w:pPr>
        <w:spacing w:line="360" w:lineRule="auto"/>
        <w:ind w:left="25" w:leftChars="12" w:firstLine="472" w:firstLineChars="197"/>
        <w:rPr>
          <w:rFonts w:hint="eastAsia" w:ascii="宋体" w:hAnsi="宋体" w:cs="宋体"/>
          <w:bCs/>
          <w:color w:val="auto"/>
          <w:kern w:val="0"/>
          <w:sz w:val="24"/>
          <w:highlight w:val="none"/>
          <w:u w:val="single"/>
        </w:rPr>
      </w:pPr>
      <w:r>
        <w:rPr>
          <w:rFonts w:hint="eastAsia" w:ascii="宋体" w:hAnsi="宋体" w:cs="宋体"/>
          <w:color w:val="auto"/>
          <w:kern w:val="0"/>
          <w:sz w:val="24"/>
          <w:highlight w:val="none"/>
        </w:rPr>
        <w:t>投诉事项1：</w:t>
      </w:r>
      <w:r>
        <w:rPr>
          <w:rFonts w:hint="eastAsia" w:ascii="宋体" w:hAnsi="宋体" w:cs="宋体"/>
          <w:bCs/>
          <w:color w:val="auto"/>
          <w:kern w:val="0"/>
          <w:sz w:val="24"/>
          <w:highlight w:val="none"/>
          <w:u w:val="single"/>
        </w:rPr>
        <w:t xml:space="preserve">                                                                           </w:t>
      </w:r>
    </w:p>
    <w:p>
      <w:pPr>
        <w:spacing w:line="360" w:lineRule="auto"/>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rPr>
        <w:t>事实依据：</w:t>
      </w:r>
      <w:r>
        <w:rPr>
          <w:rFonts w:hint="eastAsia" w:ascii="宋体" w:hAnsi="宋体" w:cs="宋体"/>
          <w:color w:val="auto"/>
          <w:kern w:val="0"/>
          <w:sz w:val="24"/>
          <w:highlight w:val="none"/>
        </w:rPr>
        <w:t xml:space="preserve"> </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bCs/>
          <w:color w:val="auto"/>
          <w:kern w:val="0"/>
          <w:sz w:val="24"/>
          <w:highlight w:val="none"/>
          <w:u w:val="single"/>
        </w:rPr>
        <w:t xml:space="preserve">                                                                                        </w:t>
      </w:r>
    </w:p>
    <w:p>
      <w:pPr>
        <w:spacing w:line="360" w:lineRule="auto"/>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rPr>
        <w:t>法律依据：</w:t>
      </w:r>
      <w:r>
        <w:rPr>
          <w:rFonts w:hint="eastAsia" w:ascii="宋体" w:hAnsi="宋体" w:cs="宋体"/>
          <w:color w:val="auto"/>
          <w:kern w:val="0"/>
          <w:sz w:val="24"/>
          <w:highlight w:val="none"/>
        </w:rPr>
        <w:t xml:space="preserve"> </w:t>
      </w:r>
      <w:r>
        <w:rPr>
          <w:rFonts w:hint="eastAsia" w:ascii="宋体" w:hAnsi="宋体" w:cs="宋体"/>
          <w:bCs/>
          <w:color w:val="auto"/>
          <w:kern w:val="0"/>
          <w:sz w:val="24"/>
          <w:highlight w:val="none"/>
          <w:u w:val="single"/>
        </w:rPr>
        <w:t xml:space="preserve">                                                                                      </w:t>
      </w:r>
    </w:p>
    <w:p>
      <w:pPr>
        <w:spacing w:line="360" w:lineRule="auto"/>
        <w:ind w:left="25" w:leftChars="12" w:firstLine="352" w:firstLineChars="147"/>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rPr>
        <w:t xml:space="preserve"> </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rPr>
          <w:rFonts w:hint="eastAsia" w:ascii="宋体" w:hAnsi="宋体" w:cs="宋体"/>
          <w:bCs/>
          <w:color w:val="auto"/>
          <w:kern w:val="0"/>
          <w:sz w:val="24"/>
          <w:highlight w:val="none"/>
        </w:rPr>
      </w:pPr>
      <w:r>
        <w:rPr>
          <w:rFonts w:hint="eastAsia" w:ascii="宋体" w:hAnsi="宋体" w:cs="宋体"/>
          <w:color w:val="auto"/>
          <w:kern w:val="0"/>
          <w:sz w:val="24"/>
          <w:highlight w:val="none"/>
        </w:rPr>
        <w:t xml:space="preserve">投诉事项2  </w:t>
      </w:r>
      <w:r>
        <w:rPr>
          <w:rFonts w:hint="eastAsia" w:ascii="宋体" w:hAnsi="宋体" w:cs="宋体"/>
          <w:bCs/>
          <w:color w:val="auto"/>
          <w:kern w:val="0"/>
          <w:sz w:val="24"/>
          <w:highlight w:val="none"/>
        </w:rPr>
        <w:t xml:space="preserve">   </w:t>
      </w:r>
    </w:p>
    <w:p>
      <w:pPr>
        <w:spacing w:line="360" w:lineRule="auto"/>
        <w:ind w:left="25" w:leftChars="12" w:firstLine="472" w:firstLineChars="197"/>
        <w:rPr>
          <w:rFonts w:hint="eastAsia" w:ascii="宋体" w:hAnsi="宋体" w:cs="宋体"/>
          <w:bCs/>
          <w:color w:val="auto"/>
          <w:kern w:val="0"/>
          <w:sz w:val="24"/>
          <w:highlight w:val="none"/>
        </w:rPr>
      </w:pPr>
      <w:r>
        <w:rPr>
          <w:rFonts w:hint="eastAsia" w:ascii="宋体" w:hAnsi="宋体" w:cs="宋体"/>
          <w:bCs/>
          <w:color w:val="auto"/>
          <w:kern w:val="0"/>
          <w:sz w:val="24"/>
          <w:highlight w:val="none"/>
        </w:rPr>
        <w:t>……</w:t>
      </w:r>
    </w:p>
    <w:p>
      <w:pPr>
        <w:spacing w:line="360" w:lineRule="auto"/>
        <w:ind w:left="25" w:leftChars="12"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五、与投诉事项相关的投诉请求：</w:t>
      </w:r>
    </w:p>
    <w:p>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请求：</w:t>
      </w:r>
      <w:r>
        <w:rPr>
          <w:rFonts w:hint="eastAsia" w:ascii="宋体" w:hAnsi="宋体" w:cs="宋体"/>
          <w:bCs/>
          <w:color w:val="auto"/>
          <w:kern w:val="0"/>
          <w:sz w:val="24"/>
          <w:highlight w:val="none"/>
          <w:u w:val="single"/>
        </w:rPr>
        <w:t xml:space="preserve">                                                                                 </w:t>
      </w:r>
    </w:p>
    <w:p>
      <w:pPr>
        <w:spacing w:line="360" w:lineRule="auto"/>
        <w:ind w:left="25" w:leftChars="12" w:firstLine="352" w:firstLineChars="147"/>
        <w:rPr>
          <w:rFonts w:hint="eastAsia" w:ascii="宋体" w:hAnsi="宋体" w:cs="宋体"/>
          <w:color w:val="auto"/>
          <w:kern w:val="0"/>
          <w:sz w:val="24"/>
          <w:highlight w:val="none"/>
        </w:rPr>
      </w:pPr>
    </w:p>
    <w:p>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签字（签章）：                                       公章：</w:t>
      </w:r>
    </w:p>
    <w:p>
      <w:pPr>
        <w:spacing w:line="360" w:lineRule="auto"/>
        <w:ind w:left="25" w:leftChars="12" w:firstLine="352" w:firstLineChars="147"/>
        <w:rPr>
          <w:rFonts w:hint="eastAsia" w:ascii="宋体" w:hAnsi="宋体" w:cs="宋体"/>
          <w:color w:val="auto"/>
          <w:kern w:val="0"/>
          <w:sz w:val="24"/>
          <w:highlight w:val="none"/>
        </w:rPr>
      </w:pPr>
    </w:p>
    <w:p>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日期：</w:t>
      </w:r>
    </w:p>
    <w:p>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bCs/>
          <w:color w:val="auto"/>
          <w:kern w:val="0"/>
          <w:sz w:val="24"/>
          <w:highlight w:val="none"/>
        </w:rPr>
        <w:t xml:space="preserve">                                                                                 </w:t>
      </w:r>
    </w:p>
    <w:p>
      <w:pPr>
        <w:snapToGrid w:val="0"/>
        <w:spacing w:line="360" w:lineRule="auto"/>
        <w:rPr>
          <w:rFonts w:hint="eastAsia" w:ascii="宋体" w:hAnsi="宋体" w:cs="宋体"/>
          <w:b/>
          <w:color w:val="auto"/>
          <w:kern w:val="0"/>
          <w:sz w:val="24"/>
          <w:highlight w:val="none"/>
        </w:rPr>
      </w:pPr>
    </w:p>
    <w:p>
      <w:pPr>
        <w:snapToGrid w:val="0"/>
        <w:spacing w:line="360" w:lineRule="auto"/>
        <w:rPr>
          <w:rFonts w:hint="eastAsia" w:ascii="宋体" w:hAnsi="宋体" w:cs="宋体"/>
          <w:b/>
          <w:color w:val="auto"/>
          <w:kern w:val="0"/>
          <w:sz w:val="24"/>
          <w:highlight w:val="none"/>
        </w:rPr>
      </w:pPr>
      <w:r>
        <w:rPr>
          <w:rFonts w:hint="eastAsia" w:ascii="宋体" w:hAnsi="宋体" w:cs="宋体"/>
          <w:b/>
          <w:color w:val="auto"/>
          <w:kern w:val="0"/>
          <w:sz w:val="24"/>
          <w:highlight w:val="none"/>
        </w:rPr>
        <w:t>说明：</w:t>
      </w:r>
    </w:p>
    <w:p>
      <w:pPr>
        <w:spacing w:line="360" w:lineRule="auto"/>
        <w:ind w:left="25" w:leftChars="12" w:firstLine="354" w:firstLineChars="147"/>
        <w:rPr>
          <w:rFonts w:hint="eastAsia" w:ascii="宋体" w:hAnsi="宋体" w:cs="宋体"/>
          <w:b/>
          <w:bCs/>
          <w:color w:val="auto"/>
          <w:kern w:val="0"/>
          <w:sz w:val="24"/>
          <w:highlight w:val="none"/>
        </w:rPr>
      </w:pPr>
      <w:r>
        <w:rPr>
          <w:rFonts w:hint="eastAsia" w:ascii="宋体" w:hAnsi="宋体" w:cs="宋体"/>
          <w:b/>
          <w:color w:val="auto"/>
          <w:kern w:val="0"/>
          <w:sz w:val="24"/>
          <w:highlight w:val="none"/>
        </w:rPr>
        <w:t>1.投诉人提起投诉时，应当提交投诉书和必要的证明材料，并按照被投诉人和与投诉事项有关的供应商数量提供投诉书副本</w:t>
      </w:r>
      <w:r>
        <w:rPr>
          <w:rFonts w:hint="eastAsia" w:ascii="宋体" w:hAnsi="宋体" w:cs="宋体"/>
          <w:b/>
          <w:bCs/>
          <w:color w:val="auto"/>
          <w:kern w:val="0"/>
          <w:sz w:val="24"/>
          <w:highlight w:val="none"/>
        </w:rPr>
        <w:t>。</w:t>
      </w:r>
    </w:p>
    <w:p>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3.投诉书应简要列明质疑事项，质疑函、质疑答复等作为附件材料提供。</w:t>
      </w:r>
    </w:p>
    <w:p>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4.投诉书的投诉事项应具体、明确，并有必要的事实依据和法律依据。</w:t>
      </w:r>
    </w:p>
    <w:p>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5.投诉书的投诉请求应与投诉事项相关。</w:t>
      </w:r>
    </w:p>
    <w:p>
      <w:pPr>
        <w:spacing w:line="360" w:lineRule="auto"/>
        <w:ind w:left="25" w:leftChars="12" w:firstLine="354" w:firstLineChars="147"/>
        <w:rPr>
          <w:rFonts w:hint="eastAsia" w:ascii="宋体" w:hAnsi="宋体" w:cs="宋体"/>
          <w:color w:val="auto"/>
          <w:highlight w:val="none"/>
        </w:rPr>
      </w:pPr>
      <w:r>
        <w:rPr>
          <w:rFonts w:hint="eastAsia" w:ascii="宋体" w:hAnsi="宋体" w:cs="宋体"/>
          <w:b/>
          <w:color w:val="auto"/>
          <w:kern w:val="0"/>
          <w:sz w:val="24"/>
          <w:highlight w:val="none"/>
        </w:rPr>
        <w:t>6.投诉人为法人或者其他组织的，投诉书应由法定代表人、主要负责人，或者其授权代表签字或者盖章，并加盖公章。</w:t>
      </w:r>
    </w:p>
    <w:p>
      <w:pPr>
        <w:rPr>
          <w:rFonts w:hint="eastAsia"/>
          <w:color w:val="auto"/>
          <w:highlight w:val="none"/>
        </w:rPr>
      </w:pPr>
    </w:p>
    <w:sectPr>
      <w:headerReference r:id="rId12" w:type="default"/>
      <w:footerReference r:id="rId13" w:type="default"/>
      <w:pgSz w:w="11911" w:h="16838"/>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404EF5-793F-49DE-AAE8-3928F9528679}"/>
  </w:font>
  <w:font w:name="Courier New">
    <w:panose1 w:val="02070309020205020404"/>
    <w:charset w:val="01"/>
    <w:family w:val="modern"/>
    <w:pitch w:val="default"/>
    <w:sig w:usb0="E0002EFF" w:usb1="C0007843" w:usb2="00000009" w:usb3="00000000" w:csb0="400001FF" w:csb1="FFFF0000"/>
    <w:embedRegular r:id="rId2" w:fontKey="{8D10018B-99D9-47EF-82D9-06E6E62D2EB8}"/>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529569D8-9291-4B0D-BA5A-28045854DC36}"/>
  </w:font>
  <w:font w:name="Cambria">
    <w:panose1 w:val="02040503050406030204"/>
    <w:charset w:val="00"/>
    <w:family w:val="roman"/>
    <w:pitch w:val="default"/>
    <w:sig w:usb0="E00006FF" w:usb1="420024FF" w:usb2="02000000" w:usb3="00000000" w:csb0="2000019F" w:csb1="00000000"/>
    <w:embedRegular r:id="rId4" w:fontKey="{F1EAC1C3-A077-44AE-AD0F-63CC8727F833}"/>
  </w:font>
  <w:font w:name="等线 Light">
    <w:panose1 w:val="02010600030101010101"/>
    <w:charset w:val="86"/>
    <w:family w:val="auto"/>
    <w:pitch w:val="default"/>
    <w:sig w:usb0="A00002BF" w:usb1="38CF7CFA" w:usb2="00000016" w:usb3="00000000" w:csb0="0004000F" w:csb1="00000000"/>
  </w:font>
  <w:font w:name="DejaVu Sans">
    <w:altName w:val="Times New Roman"/>
    <w:panose1 w:val="00000000000000000000"/>
    <w:charset w:val="00"/>
    <w:family w:val="roman"/>
    <w:pitch w:val="default"/>
    <w:sig w:usb0="00000000" w:usb1="00000000" w:usb2="00000008" w:usb3="00000000" w:csb0="000001FF" w:csb1="00000000"/>
  </w:font>
  <w:font w:name="方正黑体_GBK">
    <w:altName w:val="Arial Unicode MS"/>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5" w:fontKey="{918D4EDB-BAD4-4DFA-9897-147B0A60C205}"/>
  </w:font>
  <w:font w:name="Arial Unicode MS">
    <w:panose1 w:val="020B0604020202020204"/>
    <w:charset w:val="86"/>
    <w:family w:val="swiss"/>
    <w:pitch w:val="default"/>
    <w:sig w:usb0="FFFFFFFF" w:usb1="E9FFFFFF" w:usb2="0000003F" w:usb3="00000000" w:csb0="603F01FF" w:csb1="FFFF0000"/>
    <w:embedRegular r:id="rId6" w:fontKey="{6A040EFB-9B48-4723-99A3-DD5A12A4474B}"/>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7" w:fontKey="{DCA0E2B6-BA72-404A-8171-D7753E76FFB3}"/>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embedRegular r:id="rId8" w:fontKey="{F5BE3E27-E730-4686-AE11-4FF22D79E383}"/>
  </w:font>
  <w:font w:name="Times New Roman Regular">
    <w:altName w:val="Times New Roman"/>
    <w:panose1 w:val="02020503050405090304"/>
    <w:charset w:val="00"/>
    <w:family w:val="auto"/>
    <w:pitch w:val="default"/>
    <w:sig w:usb0="00000000" w:usb1="00000000" w:usb2="00000001" w:usb3="00000000" w:csb0="400001BF" w:csb1="DFF70000"/>
    <w:embedRegular r:id="rId9" w:fontKey="{F8D16E6B-CEE6-4280-80DF-23EF0739F51D}"/>
  </w:font>
  <w:font w:name="隶书">
    <w:panose1 w:val="02010509060101010101"/>
    <w:charset w:val="86"/>
    <w:family w:val="modern"/>
    <w:pitch w:val="default"/>
    <w:sig w:usb0="00000001" w:usb1="080E0000" w:usb2="00000000" w:usb3="00000000" w:csb0="00040000" w:csb1="00000000"/>
    <w:embedRegular r:id="rId10" w:fontKey="{C73BB5A7-DB18-4098-9E20-04E66B67F31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35"/>
        <w:rFonts w:ascii="Calibri" w:hAnsi="Calibri"/>
        <w:sz w:val="21"/>
      </w:rPr>
    </w:pPr>
    <w:r>
      <w:rPr>
        <w:rFonts w:ascii="Calibri" w:hAnsi="Calibri"/>
        <w:sz w:val="21"/>
      </w:rPr>
      <w:fldChar w:fldCharType="begin"/>
    </w:r>
    <w:r>
      <w:rPr>
        <w:rStyle w:val="35"/>
        <w:rFonts w:ascii="Calibri" w:hAnsi="Calibri"/>
        <w:sz w:val="21"/>
      </w:rPr>
      <w:instrText xml:space="preserve">PAGE  </w:instrText>
    </w:r>
    <w:r>
      <w:rPr>
        <w:rFonts w:ascii="Calibri" w:hAnsi="Calibri"/>
        <w:sz w:val="21"/>
      </w:rPr>
      <w:fldChar w:fldCharType="separate"/>
    </w:r>
    <w:r>
      <w:rPr>
        <w:rStyle w:val="35"/>
        <w:rFonts w:ascii="Calibri" w:hAnsi="Calibri"/>
        <w:sz w:val="21"/>
      </w:rPr>
      <w:t>0</w:t>
    </w:r>
    <w:r>
      <w:rPr>
        <w:rFonts w:ascii="Calibri" w:hAnsi="Calibri"/>
        <w:sz w:val="21"/>
      </w:rPr>
      <w:fldChar w:fldCharType="end"/>
    </w:r>
  </w:p>
  <w:p>
    <w:pPr>
      <w:pStyle w:val="2"/>
      <w:rPr>
        <w:rFonts w:ascii="Calibri" w:hAnsi="Calibri"/>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39"/>
        <w:tab w:val="clear" w:pos="4153"/>
      </w:tabs>
      <w:jc w:val="both"/>
      <w:rPr>
        <w:rFonts w:ascii="Calibri" w:hAnsi="Calibr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p>
                      </w:txbxContent>
                    </wps:txbx>
                    <wps:bodyPr wrap="none" lIns="0" tIns="0" rIns="0" bIns="0" upright="1">
                      <a:spAutoFit/>
                    </wps:bodyPr>
                  </wps:wsp>
                </a:graphicData>
              </a:graphic>
            </wp:anchor>
          </w:drawing>
        </mc:Choice>
        <mc:Fallback>
          <w:pict>
            <v:shape id="文本框 513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Ay05HLAQAAnAMAAA4AAAAAAAAAAQAgAAAAHgEAAGRycy9lMm9E&#10;b2MueG1sUEsFBgAAAAAGAAYAWQEAAFsFA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39"/>
        <w:tab w:val="clear" w:pos="4153"/>
      </w:tabs>
      <w:rPr>
        <w:rFonts w:ascii="Calibri" w:hAnsi="Calibri"/>
      </w:rPr>
    </w:pPr>
    <w:r>
      <w:rPr>
        <w:rFonts w:ascii="Calibri" w:hAnsi="Calibri"/>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ascii="Calibri" w:hAnsi="Calibri"/>
                            </w:rPr>
                          </w:pPr>
                        </w:p>
                      </w:txbxContent>
                    </wps:txbx>
                    <wps:bodyPr wrap="none" lIns="0" tIns="0" rIns="0" bIns="0" upright="1">
                      <a:spAutoFit/>
                    </wps:bodyPr>
                  </wps:wsp>
                </a:graphicData>
              </a:graphic>
            </wp:anchor>
          </w:drawing>
        </mc:Choice>
        <mc:Fallback>
          <w:pict>
            <v:shape id="文本框 51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vjubLzAEAAJwDAAAOAAAAAAAAAAEAIAAAAB4BAABkcnMvZTJv&#10;RG9jLnhtbFBLBQYAAAAABgAGAFkBAABcBQAAAAA=&#10;">
              <v:fill on="f" focussize="0,0"/>
              <v:stroke on="f"/>
              <v:imagedata o:title=""/>
              <o:lock v:ext="edit" aspectratio="f"/>
              <v:textbox inset="0mm,0mm,0mm,0mm" style="mso-fit-shape-to-text:t;">
                <w:txbxContent>
                  <w:p>
                    <w:pPr>
                      <w:rPr>
                        <w:rFonts w:ascii="Calibri" w:hAnsi="Calibri"/>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Calibri" w:hAnsi="Calibr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3</w:t>
                          </w:r>
                          <w:r>
                            <w:rPr>
                              <w:rFonts w:hint="eastAsia"/>
                            </w:rPr>
                            <w:fldChar w:fldCharType="end"/>
                          </w:r>
                        </w:p>
                      </w:txbxContent>
                    </wps:txbx>
                    <wps:bodyPr wrap="none" lIns="0" tIns="0" rIns="0" bIns="0" upright="1">
                      <a:spAutoFit/>
                    </wps:bodyPr>
                  </wps:wsp>
                </a:graphicData>
              </a:graphic>
            </wp:anchor>
          </w:drawing>
        </mc:Choice>
        <mc:Fallback>
          <w:pict>
            <v:shape id="文本框 513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24GEKzAEAAJwDAAAOAAAAAAAAAAEAIAAAAB4BAABkcnMvZTJv&#10;RG9jLnhtbFBLBQYAAAAABgAGAFkBAABcBQ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3</w:t>
                    </w:r>
                    <w:r>
                      <w:rPr>
                        <w:rFonts w:hint="eastAsia"/>
                      </w:rPr>
                      <w:fldChar w:fldCharType="end"/>
                    </w:r>
                  </w:p>
                </w:txbxContent>
              </v:textbox>
            </v:shape>
          </w:pict>
        </mc:Fallback>
      </mc:AlternateContent>
    </w:r>
  </w:p>
  <w:p>
    <w:pPr>
      <w:pStyle w:val="2"/>
      <w:rPr>
        <w:rFonts w:ascii="Calibri" w:hAnsi="Calibr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87</w:t>
                          </w:r>
                          <w:r>
                            <w:rPr>
                              <w:rFonts w:hint="eastAsia"/>
                            </w:rPr>
                            <w:fldChar w:fldCharType="end"/>
                          </w:r>
                        </w:p>
                      </w:txbxContent>
                    </wps:txbx>
                    <wps:bodyPr wrap="none" lIns="0" tIns="0" rIns="0" bIns="0" upright="1">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Q6w3RzAEAAJwDAAAOAAAAAAAAAAEAIAAAAB4BAABkcnMvZTJv&#10;RG9jLnhtbFBLBQYAAAAABgAGAFkBAABcBQAAAAA=&#10;">
              <v:fill on="f" focussize="0,0"/>
              <v:stroke on="f"/>
              <v:imagedata o:title=""/>
              <o:lock v:ext="edit" aspectratio="f"/>
              <v:textbox inset="0mm,0mm,0mm,0mm" style="mso-fit-shape-to-text:t;">
                <w:txbxContent>
                  <w:p>
                    <w:pPr>
                      <w:pStyle w:val="2"/>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87</w:t>
                    </w:r>
                    <w:r>
                      <w:rPr>
                        <w:rFonts w:hint="eastAsia"/>
                      </w:rPr>
                      <w:fldChar w:fldCharType="end"/>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0"/>
        <w:tab w:val="clear" w:pos="4153"/>
      </w:tabs>
      <w:rPr>
        <w:rFonts w:ascii="Calibri" w:hAnsi="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0"/>
        <w:tab w:val="clear" w:pos="4153"/>
      </w:tabs>
      <w:rPr>
        <w:rFonts w:ascii="Calibri" w:hAnsi="Calibri"/>
      </w:rPr>
    </w:pPr>
    <w:r>
      <w:rPr>
        <w:rFonts w:hint="eastAsia" w:ascii="Calibri" w:hAnsi="Calibri"/>
      </w:rPr>
      <w:t>南宁市政府采购竞争性磋商采购文件（项目编号：NNZC2021-C3--KLZB）</w:t>
    </w:r>
  </w:p>
  <w:p>
    <w:pPr>
      <w:pStyle w:val="24"/>
      <w:pBdr>
        <w:bottom w:val="none" w:color="auto" w:sz="0" w:space="1"/>
      </w:pBdr>
      <w:rPr>
        <w:rFonts w:ascii="Calibri" w:hAnsi="Calibr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0"/>
        <w:tab w:val="clear" w:pos="4153"/>
      </w:tabs>
    </w:pPr>
    <w:r>
      <w:rPr>
        <w:vanish/>
        <w:highlight w:val="yellow"/>
      </w:rPr>
      <w:t>&gt;</w:t>
    </w:r>
  </w:p>
  <w:p>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595501A"/>
    <w:multiLevelType w:val="multilevel"/>
    <w:tmpl w:val="0595501A"/>
    <w:lvl w:ilvl="0" w:tentative="0">
      <w:start w:val="1"/>
      <w:numFmt w:val="decimal"/>
      <w:suff w:val="space"/>
      <w:lvlText w:val="%1."/>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pStyle w:val="92"/>
      <w:isLgl/>
      <w:suff w:val="space"/>
      <w:lvlText w:val="%1.%2.%3"/>
      <w:lvlJc w:val="left"/>
      <w:pPr>
        <w:ind w:left="0" w:firstLine="0"/>
      </w:pPr>
      <w:rPr>
        <w:rFonts w:hint="eastAsia"/>
        <w:b w:val="0"/>
        <w:i w:val="0"/>
        <w:color w:val="auto"/>
      </w:rPr>
    </w:lvl>
    <w:lvl w:ilvl="3" w:tentative="0">
      <w:start w:val="1"/>
      <w:numFmt w:val="decimal"/>
      <w:isLgl/>
      <w:suff w:val="space"/>
      <w:lvlText w:val="%1.%2.%3.%4"/>
      <w:lvlJc w:val="left"/>
      <w:pPr>
        <w:ind w:left="0" w:firstLine="0"/>
      </w:pPr>
      <w:rPr>
        <w:rFonts w:hint="eastAsia"/>
      </w:rPr>
    </w:lvl>
    <w:lvl w:ilvl="4" w:tentative="0">
      <w:start w:val="1"/>
      <w:numFmt w:val="decimal"/>
      <w:isLgl/>
      <w:lvlText w:val="%1.%2.%3.%4.%5"/>
      <w:lvlJc w:val="left"/>
      <w:pPr>
        <w:tabs>
          <w:tab w:val="left" w:pos="0"/>
        </w:tabs>
        <w:ind w:left="0" w:firstLine="0"/>
      </w:pPr>
      <w:rPr>
        <w:rFonts w:hint="eastAsia"/>
      </w:rPr>
    </w:lvl>
    <w:lvl w:ilvl="5" w:tentative="0">
      <w:start w:val="1"/>
      <w:numFmt w:val="decimal"/>
      <w:lvlText w:val="%1.%2.%3.%4.%5.%6"/>
      <w:lvlJc w:val="left"/>
      <w:pPr>
        <w:tabs>
          <w:tab w:val="left" w:pos="6086"/>
        </w:tabs>
        <w:ind w:left="3260" w:hanging="1134"/>
      </w:pPr>
      <w:rPr>
        <w:rFonts w:hint="eastAsia"/>
      </w:rPr>
    </w:lvl>
    <w:lvl w:ilvl="6" w:tentative="0">
      <w:start w:val="1"/>
      <w:numFmt w:val="decimal"/>
      <w:lvlText w:val="%1.%2.%3.%4.%5.%6.%7"/>
      <w:lvlJc w:val="left"/>
      <w:pPr>
        <w:tabs>
          <w:tab w:val="left" w:pos="7231"/>
        </w:tabs>
        <w:ind w:left="3827" w:hanging="1276"/>
      </w:pPr>
      <w:rPr>
        <w:rFonts w:hint="eastAsia"/>
      </w:rPr>
    </w:lvl>
    <w:lvl w:ilvl="7" w:tentative="0">
      <w:start w:val="1"/>
      <w:numFmt w:val="decimal"/>
      <w:lvlText w:val="%1.%2.%3.%4.%5.%6.%7.%8"/>
      <w:lvlJc w:val="left"/>
      <w:pPr>
        <w:tabs>
          <w:tab w:val="left" w:pos="8376"/>
        </w:tabs>
        <w:ind w:left="4394" w:hanging="1418"/>
      </w:pPr>
      <w:rPr>
        <w:rFonts w:hint="eastAsia"/>
      </w:rPr>
    </w:lvl>
    <w:lvl w:ilvl="8" w:tentative="0">
      <w:start w:val="1"/>
      <w:numFmt w:val="decimal"/>
      <w:lvlText w:val="%1.%2.%3.%4.%5.%6.%7.%8.%9"/>
      <w:lvlJc w:val="left"/>
      <w:pPr>
        <w:tabs>
          <w:tab w:val="left" w:pos="9522"/>
        </w:tabs>
        <w:ind w:left="5102" w:hanging="1700"/>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5,6,7"/>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NTE4Y2EwNGUwNTA5ZTk0ODVmYmYwNWU3YjQyYWUifQ=="/>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6C5"/>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2E5A"/>
    <w:rsid w:val="00034390"/>
    <w:rsid w:val="000352E9"/>
    <w:rsid w:val="00035494"/>
    <w:rsid w:val="00036125"/>
    <w:rsid w:val="00036A07"/>
    <w:rsid w:val="0003780B"/>
    <w:rsid w:val="00040571"/>
    <w:rsid w:val="00040973"/>
    <w:rsid w:val="0004156E"/>
    <w:rsid w:val="00041713"/>
    <w:rsid w:val="0004440C"/>
    <w:rsid w:val="00046B5E"/>
    <w:rsid w:val="000470CB"/>
    <w:rsid w:val="000509D9"/>
    <w:rsid w:val="00051316"/>
    <w:rsid w:val="00051ACB"/>
    <w:rsid w:val="00052451"/>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40"/>
    <w:rsid w:val="000707FD"/>
    <w:rsid w:val="00070949"/>
    <w:rsid w:val="000711E4"/>
    <w:rsid w:val="000724D9"/>
    <w:rsid w:val="00072AED"/>
    <w:rsid w:val="00073F47"/>
    <w:rsid w:val="0007492F"/>
    <w:rsid w:val="00074ED8"/>
    <w:rsid w:val="000752AF"/>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552E"/>
    <w:rsid w:val="000B6A6B"/>
    <w:rsid w:val="000B6C95"/>
    <w:rsid w:val="000B79FC"/>
    <w:rsid w:val="000B7BD1"/>
    <w:rsid w:val="000C02B1"/>
    <w:rsid w:val="000C1679"/>
    <w:rsid w:val="000C1EE3"/>
    <w:rsid w:val="000C3AE7"/>
    <w:rsid w:val="000C3CC9"/>
    <w:rsid w:val="000C5ED6"/>
    <w:rsid w:val="000C6DE4"/>
    <w:rsid w:val="000C7202"/>
    <w:rsid w:val="000D0A89"/>
    <w:rsid w:val="000D0AFC"/>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7E5"/>
    <w:rsid w:val="000F1A1B"/>
    <w:rsid w:val="000F2A95"/>
    <w:rsid w:val="000F3281"/>
    <w:rsid w:val="000F32FD"/>
    <w:rsid w:val="000F3733"/>
    <w:rsid w:val="000F439E"/>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5B2"/>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4EC8"/>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6F1B"/>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2BB8"/>
    <w:rsid w:val="001F3356"/>
    <w:rsid w:val="001F3C63"/>
    <w:rsid w:val="001F4460"/>
    <w:rsid w:val="001F4F4F"/>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060F"/>
    <w:rsid w:val="002114C7"/>
    <w:rsid w:val="0021302C"/>
    <w:rsid w:val="00213B1C"/>
    <w:rsid w:val="00214202"/>
    <w:rsid w:val="002148E3"/>
    <w:rsid w:val="00214FD7"/>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097B"/>
    <w:rsid w:val="00250A51"/>
    <w:rsid w:val="00251043"/>
    <w:rsid w:val="00251C4A"/>
    <w:rsid w:val="0025271C"/>
    <w:rsid w:val="002529E4"/>
    <w:rsid w:val="002533CD"/>
    <w:rsid w:val="002535EA"/>
    <w:rsid w:val="00253CB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2293"/>
    <w:rsid w:val="002723C8"/>
    <w:rsid w:val="00273C2A"/>
    <w:rsid w:val="00273CBE"/>
    <w:rsid w:val="002746B1"/>
    <w:rsid w:val="00274BAD"/>
    <w:rsid w:val="002754D6"/>
    <w:rsid w:val="00282D56"/>
    <w:rsid w:val="002835B0"/>
    <w:rsid w:val="00283C74"/>
    <w:rsid w:val="0028407E"/>
    <w:rsid w:val="0028410F"/>
    <w:rsid w:val="00284572"/>
    <w:rsid w:val="00285221"/>
    <w:rsid w:val="00286FB5"/>
    <w:rsid w:val="00287763"/>
    <w:rsid w:val="00287FCB"/>
    <w:rsid w:val="00290606"/>
    <w:rsid w:val="002909B2"/>
    <w:rsid w:val="00290A98"/>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A16"/>
    <w:rsid w:val="002B0C16"/>
    <w:rsid w:val="002B2AC5"/>
    <w:rsid w:val="002B3528"/>
    <w:rsid w:val="002B3539"/>
    <w:rsid w:val="002B4532"/>
    <w:rsid w:val="002B4625"/>
    <w:rsid w:val="002B5042"/>
    <w:rsid w:val="002B69CC"/>
    <w:rsid w:val="002B6D71"/>
    <w:rsid w:val="002C0C1C"/>
    <w:rsid w:val="002C54C2"/>
    <w:rsid w:val="002C5D34"/>
    <w:rsid w:val="002C5D7F"/>
    <w:rsid w:val="002C60BB"/>
    <w:rsid w:val="002C661A"/>
    <w:rsid w:val="002D0D6F"/>
    <w:rsid w:val="002D25FC"/>
    <w:rsid w:val="002D4AC6"/>
    <w:rsid w:val="002D5BF5"/>
    <w:rsid w:val="002D5E31"/>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1A1E"/>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1E3"/>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683B"/>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BCB"/>
    <w:rsid w:val="00335EA1"/>
    <w:rsid w:val="0033691E"/>
    <w:rsid w:val="00336A6A"/>
    <w:rsid w:val="00336CCB"/>
    <w:rsid w:val="003411D1"/>
    <w:rsid w:val="003416BA"/>
    <w:rsid w:val="00342148"/>
    <w:rsid w:val="00342F99"/>
    <w:rsid w:val="0034575A"/>
    <w:rsid w:val="00345F57"/>
    <w:rsid w:val="0034638A"/>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1F7"/>
    <w:rsid w:val="00370316"/>
    <w:rsid w:val="00370DC7"/>
    <w:rsid w:val="00371CBD"/>
    <w:rsid w:val="00371F20"/>
    <w:rsid w:val="003721E3"/>
    <w:rsid w:val="00372B98"/>
    <w:rsid w:val="003737B7"/>
    <w:rsid w:val="003740CC"/>
    <w:rsid w:val="003745F4"/>
    <w:rsid w:val="00374AFA"/>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38A"/>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3367"/>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56F"/>
    <w:rsid w:val="00455A6E"/>
    <w:rsid w:val="00455EAD"/>
    <w:rsid w:val="00456783"/>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6D31"/>
    <w:rsid w:val="0049797C"/>
    <w:rsid w:val="004A00E1"/>
    <w:rsid w:val="004A0943"/>
    <w:rsid w:val="004A1405"/>
    <w:rsid w:val="004A1FC6"/>
    <w:rsid w:val="004A2E5F"/>
    <w:rsid w:val="004A32EC"/>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4AF"/>
    <w:rsid w:val="004B57DF"/>
    <w:rsid w:val="004B5976"/>
    <w:rsid w:val="004B7137"/>
    <w:rsid w:val="004B722E"/>
    <w:rsid w:val="004B72E8"/>
    <w:rsid w:val="004C01A5"/>
    <w:rsid w:val="004C0412"/>
    <w:rsid w:val="004C1142"/>
    <w:rsid w:val="004C2138"/>
    <w:rsid w:val="004C2333"/>
    <w:rsid w:val="004C3940"/>
    <w:rsid w:val="004C51FD"/>
    <w:rsid w:val="004C65A8"/>
    <w:rsid w:val="004C65C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05CC4"/>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5F6"/>
    <w:rsid w:val="005227D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3733"/>
    <w:rsid w:val="00573F8B"/>
    <w:rsid w:val="00574554"/>
    <w:rsid w:val="00574E06"/>
    <w:rsid w:val="005751BB"/>
    <w:rsid w:val="00576089"/>
    <w:rsid w:val="005764B1"/>
    <w:rsid w:val="00576852"/>
    <w:rsid w:val="00576D06"/>
    <w:rsid w:val="00577287"/>
    <w:rsid w:val="005779E4"/>
    <w:rsid w:val="00577F9F"/>
    <w:rsid w:val="00580093"/>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32F"/>
    <w:rsid w:val="005A252B"/>
    <w:rsid w:val="005A2A8F"/>
    <w:rsid w:val="005A3204"/>
    <w:rsid w:val="005A3341"/>
    <w:rsid w:val="005A3C3D"/>
    <w:rsid w:val="005A46EC"/>
    <w:rsid w:val="005A5EAE"/>
    <w:rsid w:val="005A6407"/>
    <w:rsid w:val="005A726C"/>
    <w:rsid w:val="005B07EC"/>
    <w:rsid w:val="005B222F"/>
    <w:rsid w:val="005B2B11"/>
    <w:rsid w:val="005B32A4"/>
    <w:rsid w:val="005B3371"/>
    <w:rsid w:val="005B338D"/>
    <w:rsid w:val="005B36D7"/>
    <w:rsid w:val="005B3BAF"/>
    <w:rsid w:val="005B4DA3"/>
    <w:rsid w:val="005B5362"/>
    <w:rsid w:val="005B5BEE"/>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068E"/>
    <w:rsid w:val="005E2442"/>
    <w:rsid w:val="005E3111"/>
    <w:rsid w:val="005E3F85"/>
    <w:rsid w:val="005E4A5F"/>
    <w:rsid w:val="005E57B0"/>
    <w:rsid w:val="005E5B01"/>
    <w:rsid w:val="005E6D3B"/>
    <w:rsid w:val="005F009E"/>
    <w:rsid w:val="005F0DF1"/>
    <w:rsid w:val="005F1516"/>
    <w:rsid w:val="005F229E"/>
    <w:rsid w:val="005F2564"/>
    <w:rsid w:val="005F2D0F"/>
    <w:rsid w:val="005F368B"/>
    <w:rsid w:val="005F3822"/>
    <w:rsid w:val="005F4635"/>
    <w:rsid w:val="005F4900"/>
    <w:rsid w:val="005F4E52"/>
    <w:rsid w:val="005F6D58"/>
    <w:rsid w:val="005F7383"/>
    <w:rsid w:val="0060058E"/>
    <w:rsid w:val="00601F77"/>
    <w:rsid w:val="00602A3C"/>
    <w:rsid w:val="00603E47"/>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27A44"/>
    <w:rsid w:val="00634367"/>
    <w:rsid w:val="00640082"/>
    <w:rsid w:val="00640291"/>
    <w:rsid w:val="00640EFE"/>
    <w:rsid w:val="00641D6D"/>
    <w:rsid w:val="00641FAC"/>
    <w:rsid w:val="00643664"/>
    <w:rsid w:val="00643CAA"/>
    <w:rsid w:val="00644F16"/>
    <w:rsid w:val="006455EB"/>
    <w:rsid w:val="006456C2"/>
    <w:rsid w:val="00645A65"/>
    <w:rsid w:val="006463B2"/>
    <w:rsid w:val="006477F0"/>
    <w:rsid w:val="006478E4"/>
    <w:rsid w:val="00650091"/>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76A"/>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40"/>
    <w:rsid w:val="006A1772"/>
    <w:rsid w:val="006A1780"/>
    <w:rsid w:val="006A17DA"/>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10BB"/>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5573"/>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3ED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5EEA"/>
    <w:rsid w:val="007777CC"/>
    <w:rsid w:val="00777B32"/>
    <w:rsid w:val="0078051E"/>
    <w:rsid w:val="00780B59"/>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1BC2"/>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4998"/>
    <w:rsid w:val="007E4A9C"/>
    <w:rsid w:val="007E6914"/>
    <w:rsid w:val="007E7884"/>
    <w:rsid w:val="007E7F78"/>
    <w:rsid w:val="007F0179"/>
    <w:rsid w:val="007F2C13"/>
    <w:rsid w:val="007F2CEC"/>
    <w:rsid w:val="007F3435"/>
    <w:rsid w:val="007F4BBE"/>
    <w:rsid w:val="007F55DE"/>
    <w:rsid w:val="007F762D"/>
    <w:rsid w:val="007F78F0"/>
    <w:rsid w:val="007F78FF"/>
    <w:rsid w:val="008001C5"/>
    <w:rsid w:val="00800F6C"/>
    <w:rsid w:val="00801065"/>
    <w:rsid w:val="00802C0B"/>
    <w:rsid w:val="00804F88"/>
    <w:rsid w:val="008051FC"/>
    <w:rsid w:val="008055A9"/>
    <w:rsid w:val="008056C4"/>
    <w:rsid w:val="008057FD"/>
    <w:rsid w:val="00805D8B"/>
    <w:rsid w:val="00810A63"/>
    <w:rsid w:val="00810BB6"/>
    <w:rsid w:val="00810E8E"/>
    <w:rsid w:val="008124BC"/>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352"/>
    <w:rsid w:val="00831758"/>
    <w:rsid w:val="008317D9"/>
    <w:rsid w:val="0083279F"/>
    <w:rsid w:val="008334DB"/>
    <w:rsid w:val="00833B7F"/>
    <w:rsid w:val="00833E8E"/>
    <w:rsid w:val="00834906"/>
    <w:rsid w:val="00836075"/>
    <w:rsid w:val="00836417"/>
    <w:rsid w:val="00836A3E"/>
    <w:rsid w:val="00837526"/>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1DE4"/>
    <w:rsid w:val="008532BF"/>
    <w:rsid w:val="008539B2"/>
    <w:rsid w:val="00853BF4"/>
    <w:rsid w:val="00854294"/>
    <w:rsid w:val="0085572E"/>
    <w:rsid w:val="00856D46"/>
    <w:rsid w:val="0085788B"/>
    <w:rsid w:val="00857A9E"/>
    <w:rsid w:val="00857DE2"/>
    <w:rsid w:val="00863A8E"/>
    <w:rsid w:val="0086407F"/>
    <w:rsid w:val="008645E3"/>
    <w:rsid w:val="00864E79"/>
    <w:rsid w:val="008655D2"/>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77B8F"/>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5A7"/>
    <w:rsid w:val="008A0FC9"/>
    <w:rsid w:val="008A1956"/>
    <w:rsid w:val="008A1A7C"/>
    <w:rsid w:val="008A2CE2"/>
    <w:rsid w:val="008A40D3"/>
    <w:rsid w:val="008A469C"/>
    <w:rsid w:val="008A51D1"/>
    <w:rsid w:val="008A5DCE"/>
    <w:rsid w:val="008A75D3"/>
    <w:rsid w:val="008B00D4"/>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9F2"/>
    <w:rsid w:val="008E0B29"/>
    <w:rsid w:val="008E141A"/>
    <w:rsid w:val="008E1A44"/>
    <w:rsid w:val="008E1E55"/>
    <w:rsid w:val="008E28E6"/>
    <w:rsid w:val="008E3232"/>
    <w:rsid w:val="008E3674"/>
    <w:rsid w:val="008E3B6C"/>
    <w:rsid w:val="008E3DE7"/>
    <w:rsid w:val="008E562C"/>
    <w:rsid w:val="008E6540"/>
    <w:rsid w:val="008E6D26"/>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2F5"/>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110"/>
    <w:rsid w:val="009608E6"/>
    <w:rsid w:val="00960F57"/>
    <w:rsid w:val="00961C90"/>
    <w:rsid w:val="00965443"/>
    <w:rsid w:val="00965954"/>
    <w:rsid w:val="00965A21"/>
    <w:rsid w:val="00965E55"/>
    <w:rsid w:val="0096608E"/>
    <w:rsid w:val="00966522"/>
    <w:rsid w:val="00966C33"/>
    <w:rsid w:val="00966FCB"/>
    <w:rsid w:val="00967285"/>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3D"/>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3DFA"/>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44D"/>
    <w:rsid w:val="00A2253D"/>
    <w:rsid w:val="00A2267F"/>
    <w:rsid w:val="00A22CDB"/>
    <w:rsid w:val="00A247B8"/>
    <w:rsid w:val="00A2495A"/>
    <w:rsid w:val="00A24C7A"/>
    <w:rsid w:val="00A24D8F"/>
    <w:rsid w:val="00A250DD"/>
    <w:rsid w:val="00A25B8B"/>
    <w:rsid w:val="00A25C5D"/>
    <w:rsid w:val="00A2689F"/>
    <w:rsid w:val="00A26ECA"/>
    <w:rsid w:val="00A26EFD"/>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0155"/>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792"/>
    <w:rsid w:val="00AB4AEB"/>
    <w:rsid w:val="00AB4E5F"/>
    <w:rsid w:val="00AB5256"/>
    <w:rsid w:val="00AB5352"/>
    <w:rsid w:val="00AB56AE"/>
    <w:rsid w:val="00AB62D5"/>
    <w:rsid w:val="00AB65B5"/>
    <w:rsid w:val="00AB6DCD"/>
    <w:rsid w:val="00AB6EE0"/>
    <w:rsid w:val="00AC17A2"/>
    <w:rsid w:val="00AC18CD"/>
    <w:rsid w:val="00AC3581"/>
    <w:rsid w:val="00AC40B7"/>
    <w:rsid w:val="00AC531F"/>
    <w:rsid w:val="00AC5B36"/>
    <w:rsid w:val="00AC6377"/>
    <w:rsid w:val="00AC66A4"/>
    <w:rsid w:val="00AC6CB1"/>
    <w:rsid w:val="00AC7D6D"/>
    <w:rsid w:val="00AD0091"/>
    <w:rsid w:val="00AD23EF"/>
    <w:rsid w:val="00AD2662"/>
    <w:rsid w:val="00AD307B"/>
    <w:rsid w:val="00AD4014"/>
    <w:rsid w:val="00AD41B3"/>
    <w:rsid w:val="00AD42F3"/>
    <w:rsid w:val="00AD5721"/>
    <w:rsid w:val="00AD5C4D"/>
    <w:rsid w:val="00AD69F0"/>
    <w:rsid w:val="00AD7127"/>
    <w:rsid w:val="00AD730C"/>
    <w:rsid w:val="00AD7795"/>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AF48DB"/>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4F86"/>
    <w:rsid w:val="00B2504A"/>
    <w:rsid w:val="00B25EE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10"/>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786"/>
    <w:rsid w:val="00BE3917"/>
    <w:rsid w:val="00BE50FD"/>
    <w:rsid w:val="00BE51CA"/>
    <w:rsid w:val="00BE537F"/>
    <w:rsid w:val="00BE5D77"/>
    <w:rsid w:val="00BE6D47"/>
    <w:rsid w:val="00BE7032"/>
    <w:rsid w:val="00BE7330"/>
    <w:rsid w:val="00BF01C5"/>
    <w:rsid w:val="00BF061A"/>
    <w:rsid w:val="00BF066A"/>
    <w:rsid w:val="00BF14CC"/>
    <w:rsid w:val="00BF1821"/>
    <w:rsid w:val="00BF3C42"/>
    <w:rsid w:val="00BF4342"/>
    <w:rsid w:val="00BF4704"/>
    <w:rsid w:val="00BF4FFC"/>
    <w:rsid w:val="00BF5050"/>
    <w:rsid w:val="00BF50D1"/>
    <w:rsid w:val="00BF5422"/>
    <w:rsid w:val="00BF59B1"/>
    <w:rsid w:val="00BF6A78"/>
    <w:rsid w:val="00BF7695"/>
    <w:rsid w:val="00BF79B4"/>
    <w:rsid w:val="00BF7C61"/>
    <w:rsid w:val="00C00037"/>
    <w:rsid w:val="00C01427"/>
    <w:rsid w:val="00C014C7"/>
    <w:rsid w:val="00C047AB"/>
    <w:rsid w:val="00C058AF"/>
    <w:rsid w:val="00C075B6"/>
    <w:rsid w:val="00C124C1"/>
    <w:rsid w:val="00C128AE"/>
    <w:rsid w:val="00C12BA8"/>
    <w:rsid w:val="00C136D6"/>
    <w:rsid w:val="00C13902"/>
    <w:rsid w:val="00C13D5B"/>
    <w:rsid w:val="00C141D7"/>
    <w:rsid w:val="00C16F84"/>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4B60"/>
    <w:rsid w:val="00C35D01"/>
    <w:rsid w:val="00C360B3"/>
    <w:rsid w:val="00C37027"/>
    <w:rsid w:val="00C37B19"/>
    <w:rsid w:val="00C413CB"/>
    <w:rsid w:val="00C42752"/>
    <w:rsid w:val="00C42973"/>
    <w:rsid w:val="00C44C69"/>
    <w:rsid w:val="00C4712A"/>
    <w:rsid w:val="00C5034F"/>
    <w:rsid w:val="00C50830"/>
    <w:rsid w:val="00C52479"/>
    <w:rsid w:val="00C5266E"/>
    <w:rsid w:val="00C5280F"/>
    <w:rsid w:val="00C52C59"/>
    <w:rsid w:val="00C5349E"/>
    <w:rsid w:val="00C539FF"/>
    <w:rsid w:val="00C544BD"/>
    <w:rsid w:val="00C54D3D"/>
    <w:rsid w:val="00C55A30"/>
    <w:rsid w:val="00C56384"/>
    <w:rsid w:val="00C60AD0"/>
    <w:rsid w:val="00C60F8C"/>
    <w:rsid w:val="00C61794"/>
    <w:rsid w:val="00C62A48"/>
    <w:rsid w:val="00C62AC4"/>
    <w:rsid w:val="00C62B59"/>
    <w:rsid w:val="00C62F96"/>
    <w:rsid w:val="00C631E1"/>
    <w:rsid w:val="00C638D8"/>
    <w:rsid w:val="00C63AE7"/>
    <w:rsid w:val="00C63D26"/>
    <w:rsid w:val="00C6540A"/>
    <w:rsid w:val="00C6625C"/>
    <w:rsid w:val="00C668A1"/>
    <w:rsid w:val="00C67223"/>
    <w:rsid w:val="00C707B8"/>
    <w:rsid w:val="00C712AC"/>
    <w:rsid w:val="00C71C15"/>
    <w:rsid w:val="00C71F3D"/>
    <w:rsid w:val="00C72F53"/>
    <w:rsid w:val="00C74035"/>
    <w:rsid w:val="00C748EA"/>
    <w:rsid w:val="00C77818"/>
    <w:rsid w:val="00C8063F"/>
    <w:rsid w:val="00C806ED"/>
    <w:rsid w:val="00C81282"/>
    <w:rsid w:val="00C827B4"/>
    <w:rsid w:val="00C83214"/>
    <w:rsid w:val="00C8329F"/>
    <w:rsid w:val="00C8468A"/>
    <w:rsid w:val="00C84F8A"/>
    <w:rsid w:val="00C85BA4"/>
    <w:rsid w:val="00C8618F"/>
    <w:rsid w:val="00C8625D"/>
    <w:rsid w:val="00C90372"/>
    <w:rsid w:val="00C9041F"/>
    <w:rsid w:val="00C90F54"/>
    <w:rsid w:val="00C9166B"/>
    <w:rsid w:val="00C91A45"/>
    <w:rsid w:val="00C91FB4"/>
    <w:rsid w:val="00C92150"/>
    <w:rsid w:val="00C92328"/>
    <w:rsid w:val="00C92D42"/>
    <w:rsid w:val="00C938C2"/>
    <w:rsid w:val="00C93F8A"/>
    <w:rsid w:val="00C94EA1"/>
    <w:rsid w:val="00C9511B"/>
    <w:rsid w:val="00C95745"/>
    <w:rsid w:val="00C95902"/>
    <w:rsid w:val="00C962E3"/>
    <w:rsid w:val="00C9712D"/>
    <w:rsid w:val="00C97246"/>
    <w:rsid w:val="00C978E2"/>
    <w:rsid w:val="00C97997"/>
    <w:rsid w:val="00CA10A2"/>
    <w:rsid w:val="00CA1D83"/>
    <w:rsid w:val="00CA25C0"/>
    <w:rsid w:val="00CA3451"/>
    <w:rsid w:val="00CA35C6"/>
    <w:rsid w:val="00CA4948"/>
    <w:rsid w:val="00CA52F9"/>
    <w:rsid w:val="00CA5368"/>
    <w:rsid w:val="00CA568B"/>
    <w:rsid w:val="00CA573A"/>
    <w:rsid w:val="00CA5C58"/>
    <w:rsid w:val="00CA7D80"/>
    <w:rsid w:val="00CB1775"/>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72A"/>
    <w:rsid w:val="00CC4ACD"/>
    <w:rsid w:val="00CC4AD3"/>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46F1"/>
    <w:rsid w:val="00CD5DAD"/>
    <w:rsid w:val="00CD72C5"/>
    <w:rsid w:val="00CD79A7"/>
    <w:rsid w:val="00CE0789"/>
    <w:rsid w:val="00CE0E8D"/>
    <w:rsid w:val="00CE1A03"/>
    <w:rsid w:val="00CE2346"/>
    <w:rsid w:val="00CE25B2"/>
    <w:rsid w:val="00CE2687"/>
    <w:rsid w:val="00CE27B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08A"/>
    <w:rsid w:val="00D27185"/>
    <w:rsid w:val="00D30EF8"/>
    <w:rsid w:val="00D32518"/>
    <w:rsid w:val="00D33488"/>
    <w:rsid w:val="00D33AB3"/>
    <w:rsid w:val="00D33F24"/>
    <w:rsid w:val="00D34160"/>
    <w:rsid w:val="00D346B8"/>
    <w:rsid w:val="00D34DCA"/>
    <w:rsid w:val="00D35AC8"/>
    <w:rsid w:val="00D35CBB"/>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955"/>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D9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35A"/>
    <w:rsid w:val="00DD64DE"/>
    <w:rsid w:val="00DD7859"/>
    <w:rsid w:val="00DD7B41"/>
    <w:rsid w:val="00DE0784"/>
    <w:rsid w:val="00DE0A1D"/>
    <w:rsid w:val="00DE15B2"/>
    <w:rsid w:val="00DE1A9A"/>
    <w:rsid w:val="00DE3D2C"/>
    <w:rsid w:val="00DE5E82"/>
    <w:rsid w:val="00DE5FA6"/>
    <w:rsid w:val="00DE6792"/>
    <w:rsid w:val="00DE6AA1"/>
    <w:rsid w:val="00DE795F"/>
    <w:rsid w:val="00DE7AAB"/>
    <w:rsid w:val="00DE7EF7"/>
    <w:rsid w:val="00DF015B"/>
    <w:rsid w:val="00DF02EC"/>
    <w:rsid w:val="00DF10FC"/>
    <w:rsid w:val="00DF1185"/>
    <w:rsid w:val="00DF1299"/>
    <w:rsid w:val="00DF1A70"/>
    <w:rsid w:val="00DF1E5F"/>
    <w:rsid w:val="00DF1F03"/>
    <w:rsid w:val="00DF23A8"/>
    <w:rsid w:val="00DF2F27"/>
    <w:rsid w:val="00DF36B6"/>
    <w:rsid w:val="00DF4296"/>
    <w:rsid w:val="00DF53F0"/>
    <w:rsid w:val="00DF5F38"/>
    <w:rsid w:val="00DF6608"/>
    <w:rsid w:val="00DF6CCC"/>
    <w:rsid w:val="00DF6D0C"/>
    <w:rsid w:val="00DF6F64"/>
    <w:rsid w:val="00DF721E"/>
    <w:rsid w:val="00DF7B8A"/>
    <w:rsid w:val="00DF7C87"/>
    <w:rsid w:val="00DF7D05"/>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3409"/>
    <w:rsid w:val="00E24071"/>
    <w:rsid w:val="00E24EBC"/>
    <w:rsid w:val="00E2522C"/>
    <w:rsid w:val="00E2552F"/>
    <w:rsid w:val="00E2599B"/>
    <w:rsid w:val="00E2710C"/>
    <w:rsid w:val="00E27428"/>
    <w:rsid w:val="00E305B4"/>
    <w:rsid w:val="00E31182"/>
    <w:rsid w:val="00E3197A"/>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47E2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1E6"/>
    <w:rsid w:val="00EA48F3"/>
    <w:rsid w:val="00EA60BF"/>
    <w:rsid w:val="00EA7365"/>
    <w:rsid w:val="00EA763F"/>
    <w:rsid w:val="00EA77E9"/>
    <w:rsid w:val="00EA7875"/>
    <w:rsid w:val="00EB05D0"/>
    <w:rsid w:val="00EB1151"/>
    <w:rsid w:val="00EB1D49"/>
    <w:rsid w:val="00EB23D9"/>
    <w:rsid w:val="00EB39A0"/>
    <w:rsid w:val="00EB559F"/>
    <w:rsid w:val="00EB566C"/>
    <w:rsid w:val="00EB5F3D"/>
    <w:rsid w:val="00EB77E5"/>
    <w:rsid w:val="00EC1CEB"/>
    <w:rsid w:val="00EC1DC0"/>
    <w:rsid w:val="00EC1DC2"/>
    <w:rsid w:val="00EC21EC"/>
    <w:rsid w:val="00EC24B8"/>
    <w:rsid w:val="00EC268C"/>
    <w:rsid w:val="00EC3753"/>
    <w:rsid w:val="00EC4E71"/>
    <w:rsid w:val="00EC5F1C"/>
    <w:rsid w:val="00ED0365"/>
    <w:rsid w:val="00ED0865"/>
    <w:rsid w:val="00ED1C60"/>
    <w:rsid w:val="00ED2057"/>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885"/>
    <w:rsid w:val="00EE490C"/>
    <w:rsid w:val="00EE4E57"/>
    <w:rsid w:val="00EE5738"/>
    <w:rsid w:val="00EE58BD"/>
    <w:rsid w:val="00EE5E59"/>
    <w:rsid w:val="00EE6549"/>
    <w:rsid w:val="00EE73D0"/>
    <w:rsid w:val="00EE7CB0"/>
    <w:rsid w:val="00EF08A8"/>
    <w:rsid w:val="00EF08FA"/>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291D"/>
    <w:rsid w:val="00F13599"/>
    <w:rsid w:val="00F13B28"/>
    <w:rsid w:val="00F14E01"/>
    <w:rsid w:val="00F156A0"/>
    <w:rsid w:val="00F15730"/>
    <w:rsid w:val="00F16CE3"/>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088F"/>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4E4F"/>
    <w:rsid w:val="00F85B72"/>
    <w:rsid w:val="00F86540"/>
    <w:rsid w:val="00F865CE"/>
    <w:rsid w:val="00F8766F"/>
    <w:rsid w:val="00F91082"/>
    <w:rsid w:val="00F9116D"/>
    <w:rsid w:val="00F91A9A"/>
    <w:rsid w:val="00F9203B"/>
    <w:rsid w:val="00F93ABB"/>
    <w:rsid w:val="00F94D79"/>
    <w:rsid w:val="00F963A2"/>
    <w:rsid w:val="00F9658C"/>
    <w:rsid w:val="00F97A7F"/>
    <w:rsid w:val="00FA0889"/>
    <w:rsid w:val="00FA16E7"/>
    <w:rsid w:val="00FA2505"/>
    <w:rsid w:val="00FA31C7"/>
    <w:rsid w:val="00FA3E7F"/>
    <w:rsid w:val="00FA472D"/>
    <w:rsid w:val="00FA6283"/>
    <w:rsid w:val="00FB0CBF"/>
    <w:rsid w:val="00FB18F6"/>
    <w:rsid w:val="00FB2A52"/>
    <w:rsid w:val="00FB3F92"/>
    <w:rsid w:val="00FB4C2B"/>
    <w:rsid w:val="00FB52C7"/>
    <w:rsid w:val="00FB57DC"/>
    <w:rsid w:val="00FB6E19"/>
    <w:rsid w:val="00FB71F6"/>
    <w:rsid w:val="00FC0AF8"/>
    <w:rsid w:val="00FC1483"/>
    <w:rsid w:val="00FC1C47"/>
    <w:rsid w:val="00FC3102"/>
    <w:rsid w:val="00FC3493"/>
    <w:rsid w:val="00FC39ED"/>
    <w:rsid w:val="00FC4419"/>
    <w:rsid w:val="00FC47E2"/>
    <w:rsid w:val="00FC4AA5"/>
    <w:rsid w:val="00FC4B88"/>
    <w:rsid w:val="00FC4BB8"/>
    <w:rsid w:val="00FC5148"/>
    <w:rsid w:val="00FC623A"/>
    <w:rsid w:val="00FC6524"/>
    <w:rsid w:val="00FC708F"/>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70B"/>
    <w:rsid w:val="00FE7A68"/>
    <w:rsid w:val="00FE7D72"/>
    <w:rsid w:val="00FF0231"/>
    <w:rsid w:val="00FF1C9B"/>
    <w:rsid w:val="00FF1D49"/>
    <w:rsid w:val="00FF203B"/>
    <w:rsid w:val="00FF2562"/>
    <w:rsid w:val="00FF3A41"/>
    <w:rsid w:val="00FF3E5B"/>
    <w:rsid w:val="00FF57E4"/>
    <w:rsid w:val="00FF78E5"/>
    <w:rsid w:val="0103398B"/>
    <w:rsid w:val="011E1F3A"/>
    <w:rsid w:val="012D0F5C"/>
    <w:rsid w:val="014C1D05"/>
    <w:rsid w:val="015C7AD5"/>
    <w:rsid w:val="0168437B"/>
    <w:rsid w:val="01907316"/>
    <w:rsid w:val="01A433EB"/>
    <w:rsid w:val="01AF3D99"/>
    <w:rsid w:val="01B90B97"/>
    <w:rsid w:val="01C628D4"/>
    <w:rsid w:val="01E3453D"/>
    <w:rsid w:val="01FF3BC3"/>
    <w:rsid w:val="01FF4BEC"/>
    <w:rsid w:val="021741B2"/>
    <w:rsid w:val="02204683"/>
    <w:rsid w:val="022E44A8"/>
    <w:rsid w:val="02511F9D"/>
    <w:rsid w:val="025F06CD"/>
    <w:rsid w:val="026117FA"/>
    <w:rsid w:val="026954E1"/>
    <w:rsid w:val="02827C52"/>
    <w:rsid w:val="028C24AD"/>
    <w:rsid w:val="029F225D"/>
    <w:rsid w:val="02A57908"/>
    <w:rsid w:val="02B0089B"/>
    <w:rsid w:val="02C76111"/>
    <w:rsid w:val="02D6235F"/>
    <w:rsid w:val="02D81256"/>
    <w:rsid w:val="030532A9"/>
    <w:rsid w:val="03286A1E"/>
    <w:rsid w:val="032B79A4"/>
    <w:rsid w:val="03305A68"/>
    <w:rsid w:val="033F12EC"/>
    <w:rsid w:val="03407951"/>
    <w:rsid w:val="03535D6B"/>
    <w:rsid w:val="039A08B0"/>
    <w:rsid w:val="03A314B8"/>
    <w:rsid w:val="03C8711A"/>
    <w:rsid w:val="03D25887"/>
    <w:rsid w:val="03D82B98"/>
    <w:rsid w:val="03D964F4"/>
    <w:rsid w:val="03F83E8B"/>
    <w:rsid w:val="046B682D"/>
    <w:rsid w:val="04902A30"/>
    <w:rsid w:val="049570A7"/>
    <w:rsid w:val="04AE2FA6"/>
    <w:rsid w:val="04AF7A85"/>
    <w:rsid w:val="04B74446"/>
    <w:rsid w:val="04BA414C"/>
    <w:rsid w:val="04C505BB"/>
    <w:rsid w:val="04CD2CEE"/>
    <w:rsid w:val="04E87914"/>
    <w:rsid w:val="04FA60EF"/>
    <w:rsid w:val="04FC24D4"/>
    <w:rsid w:val="05023BEB"/>
    <w:rsid w:val="05096B07"/>
    <w:rsid w:val="050E5E84"/>
    <w:rsid w:val="05102192"/>
    <w:rsid w:val="054F7686"/>
    <w:rsid w:val="05557587"/>
    <w:rsid w:val="05681A7F"/>
    <w:rsid w:val="057F4E2B"/>
    <w:rsid w:val="0585008B"/>
    <w:rsid w:val="058F6224"/>
    <w:rsid w:val="05C56868"/>
    <w:rsid w:val="05D74547"/>
    <w:rsid w:val="05EF3F4F"/>
    <w:rsid w:val="06040198"/>
    <w:rsid w:val="060774EA"/>
    <w:rsid w:val="06083B9D"/>
    <w:rsid w:val="06211C5A"/>
    <w:rsid w:val="06737835"/>
    <w:rsid w:val="06B25549"/>
    <w:rsid w:val="06B96E5F"/>
    <w:rsid w:val="06C91C0B"/>
    <w:rsid w:val="06D86BC4"/>
    <w:rsid w:val="072940AD"/>
    <w:rsid w:val="072E4C95"/>
    <w:rsid w:val="07325DEE"/>
    <w:rsid w:val="07633118"/>
    <w:rsid w:val="07736840"/>
    <w:rsid w:val="07746E01"/>
    <w:rsid w:val="078132CC"/>
    <w:rsid w:val="078627A3"/>
    <w:rsid w:val="07966D78"/>
    <w:rsid w:val="07A5201F"/>
    <w:rsid w:val="07B72767"/>
    <w:rsid w:val="07C23DE6"/>
    <w:rsid w:val="07D41D57"/>
    <w:rsid w:val="08077E72"/>
    <w:rsid w:val="080E162A"/>
    <w:rsid w:val="08203C28"/>
    <w:rsid w:val="083B22F1"/>
    <w:rsid w:val="083C419B"/>
    <w:rsid w:val="083C4C73"/>
    <w:rsid w:val="084C5E23"/>
    <w:rsid w:val="0886060D"/>
    <w:rsid w:val="08882DD0"/>
    <w:rsid w:val="08BE34E2"/>
    <w:rsid w:val="08F821C8"/>
    <w:rsid w:val="09006769"/>
    <w:rsid w:val="091A48F3"/>
    <w:rsid w:val="09783845"/>
    <w:rsid w:val="097E7AC3"/>
    <w:rsid w:val="09860032"/>
    <w:rsid w:val="09921955"/>
    <w:rsid w:val="09CC2AAC"/>
    <w:rsid w:val="09D26E76"/>
    <w:rsid w:val="09DE2A8F"/>
    <w:rsid w:val="0A171D19"/>
    <w:rsid w:val="0A331AD7"/>
    <w:rsid w:val="0A3A3B56"/>
    <w:rsid w:val="0A4412A4"/>
    <w:rsid w:val="0A477589"/>
    <w:rsid w:val="0A5C3ECC"/>
    <w:rsid w:val="0A652D3E"/>
    <w:rsid w:val="0A6A1AA6"/>
    <w:rsid w:val="0A767E3E"/>
    <w:rsid w:val="0A9D4A5C"/>
    <w:rsid w:val="0AAB5F5D"/>
    <w:rsid w:val="0AB6063D"/>
    <w:rsid w:val="0ADA366D"/>
    <w:rsid w:val="0B193B77"/>
    <w:rsid w:val="0B325243"/>
    <w:rsid w:val="0B326F2A"/>
    <w:rsid w:val="0B3D510B"/>
    <w:rsid w:val="0B475F57"/>
    <w:rsid w:val="0B5B05C2"/>
    <w:rsid w:val="0B5E289E"/>
    <w:rsid w:val="0B5F4157"/>
    <w:rsid w:val="0B623221"/>
    <w:rsid w:val="0BA40399"/>
    <w:rsid w:val="0BB40771"/>
    <w:rsid w:val="0BBB2AC4"/>
    <w:rsid w:val="0BE93715"/>
    <w:rsid w:val="0BEA3C78"/>
    <w:rsid w:val="0C11238F"/>
    <w:rsid w:val="0C1E2888"/>
    <w:rsid w:val="0C2D753D"/>
    <w:rsid w:val="0C2E225D"/>
    <w:rsid w:val="0C3B6140"/>
    <w:rsid w:val="0C4502C0"/>
    <w:rsid w:val="0C530F2E"/>
    <w:rsid w:val="0C5361CC"/>
    <w:rsid w:val="0C591AD6"/>
    <w:rsid w:val="0C6A764E"/>
    <w:rsid w:val="0C6F29D6"/>
    <w:rsid w:val="0C92213C"/>
    <w:rsid w:val="0C9F5D63"/>
    <w:rsid w:val="0CA737D5"/>
    <w:rsid w:val="0CAB5D64"/>
    <w:rsid w:val="0CB33F28"/>
    <w:rsid w:val="0CD304AC"/>
    <w:rsid w:val="0D0114AE"/>
    <w:rsid w:val="0D29001E"/>
    <w:rsid w:val="0D325EDF"/>
    <w:rsid w:val="0D445D4C"/>
    <w:rsid w:val="0D535069"/>
    <w:rsid w:val="0D6B3036"/>
    <w:rsid w:val="0D6D5644"/>
    <w:rsid w:val="0D84032B"/>
    <w:rsid w:val="0D953396"/>
    <w:rsid w:val="0D994191"/>
    <w:rsid w:val="0DA2594C"/>
    <w:rsid w:val="0DBD35C9"/>
    <w:rsid w:val="0DD17D5D"/>
    <w:rsid w:val="0DE53B38"/>
    <w:rsid w:val="0DF4443C"/>
    <w:rsid w:val="0E071437"/>
    <w:rsid w:val="0E2B3D03"/>
    <w:rsid w:val="0E556B89"/>
    <w:rsid w:val="0E5B282E"/>
    <w:rsid w:val="0E5F47DD"/>
    <w:rsid w:val="0E6772B0"/>
    <w:rsid w:val="0E6B66E8"/>
    <w:rsid w:val="0E8F2DCE"/>
    <w:rsid w:val="0E9434CC"/>
    <w:rsid w:val="0EB36C82"/>
    <w:rsid w:val="0ED45624"/>
    <w:rsid w:val="0EE04BDF"/>
    <w:rsid w:val="0EE44AEB"/>
    <w:rsid w:val="0F150F54"/>
    <w:rsid w:val="0F2A74C4"/>
    <w:rsid w:val="0F377C68"/>
    <w:rsid w:val="0F553015"/>
    <w:rsid w:val="0F620A17"/>
    <w:rsid w:val="0F7543D3"/>
    <w:rsid w:val="0F7A6CDB"/>
    <w:rsid w:val="0FE030CE"/>
    <w:rsid w:val="0FEE5277"/>
    <w:rsid w:val="10021BDB"/>
    <w:rsid w:val="10136B03"/>
    <w:rsid w:val="10202CC1"/>
    <w:rsid w:val="103B47DC"/>
    <w:rsid w:val="10730C95"/>
    <w:rsid w:val="107E2A9F"/>
    <w:rsid w:val="10A27F31"/>
    <w:rsid w:val="10A753AB"/>
    <w:rsid w:val="10AA5CB1"/>
    <w:rsid w:val="10B54EB2"/>
    <w:rsid w:val="10BF682C"/>
    <w:rsid w:val="10CB29C5"/>
    <w:rsid w:val="10CC3A02"/>
    <w:rsid w:val="10CC6281"/>
    <w:rsid w:val="10D20B24"/>
    <w:rsid w:val="10D87300"/>
    <w:rsid w:val="10DA48AD"/>
    <w:rsid w:val="10E33AF2"/>
    <w:rsid w:val="110B438A"/>
    <w:rsid w:val="115D3DF2"/>
    <w:rsid w:val="1167339E"/>
    <w:rsid w:val="11785740"/>
    <w:rsid w:val="118E435A"/>
    <w:rsid w:val="11927058"/>
    <w:rsid w:val="119423C1"/>
    <w:rsid w:val="11A02DC7"/>
    <w:rsid w:val="11AB0C22"/>
    <w:rsid w:val="11B50F78"/>
    <w:rsid w:val="11B5291B"/>
    <w:rsid w:val="11B73349"/>
    <w:rsid w:val="11C1301D"/>
    <w:rsid w:val="11EE4343"/>
    <w:rsid w:val="11EF6FB9"/>
    <w:rsid w:val="12086E43"/>
    <w:rsid w:val="120D4199"/>
    <w:rsid w:val="120F3D85"/>
    <w:rsid w:val="12171B57"/>
    <w:rsid w:val="12573688"/>
    <w:rsid w:val="127F4FEA"/>
    <w:rsid w:val="12AA40AD"/>
    <w:rsid w:val="12BC14E9"/>
    <w:rsid w:val="12D720A5"/>
    <w:rsid w:val="12EF08E6"/>
    <w:rsid w:val="133E327C"/>
    <w:rsid w:val="13467E71"/>
    <w:rsid w:val="134E47DC"/>
    <w:rsid w:val="13542B43"/>
    <w:rsid w:val="13617E51"/>
    <w:rsid w:val="138C43DE"/>
    <w:rsid w:val="139C5DE4"/>
    <w:rsid w:val="139D71F2"/>
    <w:rsid w:val="13AC3968"/>
    <w:rsid w:val="13AF4F03"/>
    <w:rsid w:val="13F75519"/>
    <w:rsid w:val="13FD47FE"/>
    <w:rsid w:val="140A4F68"/>
    <w:rsid w:val="140F2E16"/>
    <w:rsid w:val="144401A2"/>
    <w:rsid w:val="14670F31"/>
    <w:rsid w:val="14736E66"/>
    <w:rsid w:val="147F458F"/>
    <w:rsid w:val="148954D3"/>
    <w:rsid w:val="14911257"/>
    <w:rsid w:val="14D43C93"/>
    <w:rsid w:val="14D958EC"/>
    <w:rsid w:val="14FA3E00"/>
    <w:rsid w:val="151657BE"/>
    <w:rsid w:val="1531036E"/>
    <w:rsid w:val="1534169A"/>
    <w:rsid w:val="156D25A1"/>
    <w:rsid w:val="15812F88"/>
    <w:rsid w:val="158939BB"/>
    <w:rsid w:val="1589729F"/>
    <w:rsid w:val="158D0E46"/>
    <w:rsid w:val="158E1BEE"/>
    <w:rsid w:val="15911585"/>
    <w:rsid w:val="159513FB"/>
    <w:rsid w:val="159C0EE7"/>
    <w:rsid w:val="15A27358"/>
    <w:rsid w:val="15B14FA7"/>
    <w:rsid w:val="15C03E03"/>
    <w:rsid w:val="15C3785B"/>
    <w:rsid w:val="15D26520"/>
    <w:rsid w:val="15EE508B"/>
    <w:rsid w:val="160F4148"/>
    <w:rsid w:val="162A25EB"/>
    <w:rsid w:val="16473933"/>
    <w:rsid w:val="16775078"/>
    <w:rsid w:val="168B7C8B"/>
    <w:rsid w:val="169F56FE"/>
    <w:rsid w:val="16A267A7"/>
    <w:rsid w:val="16BD39C5"/>
    <w:rsid w:val="16BD6398"/>
    <w:rsid w:val="16BD6B43"/>
    <w:rsid w:val="16D31DF9"/>
    <w:rsid w:val="16D67838"/>
    <w:rsid w:val="16FD2A55"/>
    <w:rsid w:val="17067C1A"/>
    <w:rsid w:val="172045B4"/>
    <w:rsid w:val="172F08F7"/>
    <w:rsid w:val="17366761"/>
    <w:rsid w:val="17393A34"/>
    <w:rsid w:val="173A76F6"/>
    <w:rsid w:val="175A043F"/>
    <w:rsid w:val="17672074"/>
    <w:rsid w:val="177C01F0"/>
    <w:rsid w:val="177E17B7"/>
    <w:rsid w:val="17A1706E"/>
    <w:rsid w:val="17C50D78"/>
    <w:rsid w:val="17CE6630"/>
    <w:rsid w:val="17D32A08"/>
    <w:rsid w:val="17EB3722"/>
    <w:rsid w:val="17EF65A5"/>
    <w:rsid w:val="17FA1D25"/>
    <w:rsid w:val="180E6351"/>
    <w:rsid w:val="1810355D"/>
    <w:rsid w:val="181235D5"/>
    <w:rsid w:val="18750DB1"/>
    <w:rsid w:val="187B48A5"/>
    <w:rsid w:val="187C2A7B"/>
    <w:rsid w:val="18A419CD"/>
    <w:rsid w:val="18AC51E6"/>
    <w:rsid w:val="18EE2472"/>
    <w:rsid w:val="19002335"/>
    <w:rsid w:val="19206078"/>
    <w:rsid w:val="19314F92"/>
    <w:rsid w:val="193F68F3"/>
    <w:rsid w:val="19434380"/>
    <w:rsid w:val="19491239"/>
    <w:rsid w:val="19537014"/>
    <w:rsid w:val="19621891"/>
    <w:rsid w:val="197A7D49"/>
    <w:rsid w:val="19915DD8"/>
    <w:rsid w:val="19934424"/>
    <w:rsid w:val="19A5109C"/>
    <w:rsid w:val="19AD5CB2"/>
    <w:rsid w:val="19BD66DD"/>
    <w:rsid w:val="19C607E7"/>
    <w:rsid w:val="19F6165F"/>
    <w:rsid w:val="1A0B68A8"/>
    <w:rsid w:val="1A1B0F5C"/>
    <w:rsid w:val="1A232551"/>
    <w:rsid w:val="1A614813"/>
    <w:rsid w:val="1A6962BC"/>
    <w:rsid w:val="1A782658"/>
    <w:rsid w:val="1A7D68F1"/>
    <w:rsid w:val="1A7F33F1"/>
    <w:rsid w:val="1A8573D4"/>
    <w:rsid w:val="1A867FDC"/>
    <w:rsid w:val="1AB74F63"/>
    <w:rsid w:val="1AC3132A"/>
    <w:rsid w:val="1AE94689"/>
    <w:rsid w:val="1AF65A4C"/>
    <w:rsid w:val="1AFF0AFE"/>
    <w:rsid w:val="1B0C4085"/>
    <w:rsid w:val="1B34103B"/>
    <w:rsid w:val="1B39650C"/>
    <w:rsid w:val="1B4F19F8"/>
    <w:rsid w:val="1B5C2F75"/>
    <w:rsid w:val="1B6B7470"/>
    <w:rsid w:val="1BAE3D4C"/>
    <w:rsid w:val="1BC81E14"/>
    <w:rsid w:val="1BD26805"/>
    <w:rsid w:val="1BE91714"/>
    <w:rsid w:val="1BEE7729"/>
    <w:rsid w:val="1BF5620B"/>
    <w:rsid w:val="1C100CC6"/>
    <w:rsid w:val="1C1A42E7"/>
    <w:rsid w:val="1C1F28DB"/>
    <w:rsid w:val="1C226F03"/>
    <w:rsid w:val="1C3F670D"/>
    <w:rsid w:val="1C55025E"/>
    <w:rsid w:val="1C9A50D4"/>
    <w:rsid w:val="1CA823CD"/>
    <w:rsid w:val="1CB515F6"/>
    <w:rsid w:val="1CDE1F2F"/>
    <w:rsid w:val="1CE61E5F"/>
    <w:rsid w:val="1CF93E51"/>
    <w:rsid w:val="1D132A9A"/>
    <w:rsid w:val="1D1C46B8"/>
    <w:rsid w:val="1D3943AC"/>
    <w:rsid w:val="1D7C700E"/>
    <w:rsid w:val="1D805CF0"/>
    <w:rsid w:val="1D8F637F"/>
    <w:rsid w:val="1D996796"/>
    <w:rsid w:val="1DA07F2F"/>
    <w:rsid w:val="1DD106A3"/>
    <w:rsid w:val="1DE75398"/>
    <w:rsid w:val="1E0450B5"/>
    <w:rsid w:val="1E2734BD"/>
    <w:rsid w:val="1E375346"/>
    <w:rsid w:val="1E5624EB"/>
    <w:rsid w:val="1E657FE9"/>
    <w:rsid w:val="1E6B39C7"/>
    <w:rsid w:val="1E72152A"/>
    <w:rsid w:val="1E842C7C"/>
    <w:rsid w:val="1E8C24F9"/>
    <w:rsid w:val="1EA7798B"/>
    <w:rsid w:val="1ECC44FA"/>
    <w:rsid w:val="1ECE7147"/>
    <w:rsid w:val="1EE53F41"/>
    <w:rsid w:val="1F002542"/>
    <w:rsid w:val="1F063325"/>
    <w:rsid w:val="1F066139"/>
    <w:rsid w:val="1F206483"/>
    <w:rsid w:val="1F4D240C"/>
    <w:rsid w:val="1F50678E"/>
    <w:rsid w:val="1F6A3BA7"/>
    <w:rsid w:val="1F80168B"/>
    <w:rsid w:val="1F843156"/>
    <w:rsid w:val="1F885ACE"/>
    <w:rsid w:val="1F91158B"/>
    <w:rsid w:val="1FBC5DF5"/>
    <w:rsid w:val="1FC16863"/>
    <w:rsid w:val="1FEA075F"/>
    <w:rsid w:val="1FEF662C"/>
    <w:rsid w:val="1FF26E0D"/>
    <w:rsid w:val="1FF90588"/>
    <w:rsid w:val="201167D2"/>
    <w:rsid w:val="20134907"/>
    <w:rsid w:val="201474B7"/>
    <w:rsid w:val="20213923"/>
    <w:rsid w:val="20233DBF"/>
    <w:rsid w:val="20245062"/>
    <w:rsid w:val="204D2ACD"/>
    <w:rsid w:val="20874471"/>
    <w:rsid w:val="20914128"/>
    <w:rsid w:val="20BB6724"/>
    <w:rsid w:val="20BF7883"/>
    <w:rsid w:val="20C3623F"/>
    <w:rsid w:val="20D84C09"/>
    <w:rsid w:val="20F12AC3"/>
    <w:rsid w:val="20F25B07"/>
    <w:rsid w:val="211041C1"/>
    <w:rsid w:val="212B4272"/>
    <w:rsid w:val="2144147A"/>
    <w:rsid w:val="21781212"/>
    <w:rsid w:val="21833156"/>
    <w:rsid w:val="21AB0864"/>
    <w:rsid w:val="21B83F86"/>
    <w:rsid w:val="21E069CE"/>
    <w:rsid w:val="22106A4D"/>
    <w:rsid w:val="221178A8"/>
    <w:rsid w:val="221213CF"/>
    <w:rsid w:val="2231132F"/>
    <w:rsid w:val="22327A92"/>
    <w:rsid w:val="227D782B"/>
    <w:rsid w:val="22A84DFE"/>
    <w:rsid w:val="22BB3EC7"/>
    <w:rsid w:val="22DB129D"/>
    <w:rsid w:val="22F47D51"/>
    <w:rsid w:val="22FA4C94"/>
    <w:rsid w:val="230436F8"/>
    <w:rsid w:val="231D53A2"/>
    <w:rsid w:val="23435214"/>
    <w:rsid w:val="234401DF"/>
    <w:rsid w:val="235477BA"/>
    <w:rsid w:val="236D5383"/>
    <w:rsid w:val="23811F5D"/>
    <w:rsid w:val="23A41B75"/>
    <w:rsid w:val="23B134E6"/>
    <w:rsid w:val="23B74A16"/>
    <w:rsid w:val="23B7504C"/>
    <w:rsid w:val="23BA654A"/>
    <w:rsid w:val="23C509CD"/>
    <w:rsid w:val="240D25B5"/>
    <w:rsid w:val="241E5A1E"/>
    <w:rsid w:val="24205BC8"/>
    <w:rsid w:val="242C0CB6"/>
    <w:rsid w:val="24354590"/>
    <w:rsid w:val="24571307"/>
    <w:rsid w:val="247C7D19"/>
    <w:rsid w:val="24B34021"/>
    <w:rsid w:val="24BE0ABD"/>
    <w:rsid w:val="24CB4B0D"/>
    <w:rsid w:val="24E91BBE"/>
    <w:rsid w:val="25006BE0"/>
    <w:rsid w:val="25110A2A"/>
    <w:rsid w:val="251513DA"/>
    <w:rsid w:val="251569DF"/>
    <w:rsid w:val="252F3220"/>
    <w:rsid w:val="25647DF0"/>
    <w:rsid w:val="256C0944"/>
    <w:rsid w:val="25773D5F"/>
    <w:rsid w:val="257751E6"/>
    <w:rsid w:val="257E73F2"/>
    <w:rsid w:val="25A979D1"/>
    <w:rsid w:val="25BE7679"/>
    <w:rsid w:val="25C00F8A"/>
    <w:rsid w:val="25D53DA4"/>
    <w:rsid w:val="25E410EC"/>
    <w:rsid w:val="25EC2CF7"/>
    <w:rsid w:val="261F4447"/>
    <w:rsid w:val="263050F1"/>
    <w:rsid w:val="26381F9B"/>
    <w:rsid w:val="26446DE3"/>
    <w:rsid w:val="267B0CDC"/>
    <w:rsid w:val="269669E7"/>
    <w:rsid w:val="26A744DB"/>
    <w:rsid w:val="26D4005A"/>
    <w:rsid w:val="26D7699F"/>
    <w:rsid w:val="26DA34CC"/>
    <w:rsid w:val="26DA3B4A"/>
    <w:rsid w:val="26E26183"/>
    <w:rsid w:val="26E36ACC"/>
    <w:rsid w:val="26F73A2A"/>
    <w:rsid w:val="26FF2BB8"/>
    <w:rsid w:val="270417B7"/>
    <w:rsid w:val="27102C21"/>
    <w:rsid w:val="27227C57"/>
    <w:rsid w:val="2750171F"/>
    <w:rsid w:val="275122E4"/>
    <w:rsid w:val="2769156F"/>
    <w:rsid w:val="27793F5D"/>
    <w:rsid w:val="27A2622E"/>
    <w:rsid w:val="27A60F83"/>
    <w:rsid w:val="27C12412"/>
    <w:rsid w:val="27D24FCB"/>
    <w:rsid w:val="28124EAE"/>
    <w:rsid w:val="28785F5E"/>
    <w:rsid w:val="2895115B"/>
    <w:rsid w:val="28BA46FA"/>
    <w:rsid w:val="28BE38E2"/>
    <w:rsid w:val="28F14595"/>
    <w:rsid w:val="28F416F8"/>
    <w:rsid w:val="29063629"/>
    <w:rsid w:val="291137B2"/>
    <w:rsid w:val="2913753A"/>
    <w:rsid w:val="29227FEE"/>
    <w:rsid w:val="293D6B2E"/>
    <w:rsid w:val="29462E61"/>
    <w:rsid w:val="295E2317"/>
    <w:rsid w:val="296B020D"/>
    <w:rsid w:val="297D3FFE"/>
    <w:rsid w:val="29802F8C"/>
    <w:rsid w:val="29AD0C8B"/>
    <w:rsid w:val="29BB39AC"/>
    <w:rsid w:val="29C2444D"/>
    <w:rsid w:val="29C5574F"/>
    <w:rsid w:val="29C67FA0"/>
    <w:rsid w:val="29D00278"/>
    <w:rsid w:val="29DC3BA0"/>
    <w:rsid w:val="29E44D13"/>
    <w:rsid w:val="29E509C9"/>
    <w:rsid w:val="29EF6C45"/>
    <w:rsid w:val="2A007C29"/>
    <w:rsid w:val="2A1769A3"/>
    <w:rsid w:val="2A4D3396"/>
    <w:rsid w:val="2A541720"/>
    <w:rsid w:val="2A834AE2"/>
    <w:rsid w:val="2A83619E"/>
    <w:rsid w:val="2A9F38E6"/>
    <w:rsid w:val="2AA66A22"/>
    <w:rsid w:val="2AC53F93"/>
    <w:rsid w:val="2ACF406E"/>
    <w:rsid w:val="2AD830F7"/>
    <w:rsid w:val="2AE241C5"/>
    <w:rsid w:val="2B253E47"/>
    <w:rsid w:val="2B6A0459"/>
    <w:rsid w:val="2B774624"/>
    <w:rsid w:val="2B8A5BDD"/>
    <w:rsid w:val="2B8C3FB1"/>
    <w:rsid w:val="2B9D1BD3"/>
    <w:rsid w:val="2BA80578"/>
    <w:rsid w:val="2BC83AB9"/>
    <w:rsid w:val="2BEA293F"/>
    <w:rsid w:val="2BF5056F"/>
    <w:rsid w:val="2BFE1C90"/>
    <w:rsid w:val="2C1B56AB"/>
    <w:rsid w:val="2C4402A1"/>
    <w:rsid w:val="2C534988"/>
    <w:rsid w:val="2C796B75"/>
    <w:rsid w:val="2C7A72BE"/>
    <w:rsid w:val="2C890BCA"/>
    <w:rsid w:val="2C8A7A52"/>
    <w:rsid w:val="2C9A7D75"/>
    <w:rsid w:val="2CB734DA"/>
    <w:rsid w:val="2CBC587B"/>
    <w:rsid w:val="2CBF4377"/>
    <w:rsid w:val="2CC17412"/>
    <w:rsid w:val="2CCB04B9"/>
    <w:rsid w:val="2CD40732"/>
    <w:rsid w:val="2CEA1907"/>
    <w:rsid w:val="2CF26A4B"/>
    <w:rsid w:val="2CF350E3"/>
    <w:rsid w:val="2CFE48F4"/>
    <w:rsid w:val="2CFF7BB9"/>
    <w:rsid w:val="2D04594C"/>
    <w:rsid w:val="2D0C5851"/>
    <w:rsid w:val="2D1C1975"/>
    <w:rsid w:val="2D1F543F"/>
    <w:rsid w:val="2D3E4B0D"/>
    <w:rsid w:val="2D446A9B"/>
    <w:rsid w:val="2D863EDD"/>
    <w:rsid w:val="2DA120C4"/>
    <w:rsid w:val="2DAC6336"/>
    <w:rsid w:val="2DC65BA0"/>
    <w:rsid w:val="2DD85E2E"/>
    <w:rsid w:val="2E41718B"/>
    <w:rsid w:val="2E554EA6"/>
    <w:rsid w:val="2E5F03A4"/>
    <w:rsid w:val="2E6A1892"/>
    <w:rsid w:val="2E717F8B"/>
    <w:rsid w:val="2E88190D"/>
    <w:rsid w:val="2E8E1E30"/>
    <w:rsid w:val="2E9976CE"/>
    <w:rsid w:val="2ECE34C2"/>
    <w:rsid w:val="2EDE539C"/>
    <w:rsid w:val="2F134027"/>
    <w:rsid w:val="2F330F99"/>
    <w:rsid w:val="2F3951BF"/>
    <w:rsid w:val="2F401D3C"/>
    <w:rsid w:val="2F562EC0"/>
    <w:rsid w:val="2F572D25"/>
    <w:rsid w:val="2F5B24E1"/>
    <w:rsid w:val="2F704EEA"/>
    <w:rsid w:val="2F7E1D1C"/>
    <w:rsid w:val="2F7F4483"/>
    <w:rsid w:val="2F8026D7"/>
    <w:rsid w:val="2F8F65C7"/>
    <w:rsid w:val="2FA95C88"/>
    <w:rsid w:val="2FC97926"/>
    <w:rsid w:val="2FD471C0"/>
    <w:rsid w:val="2FF9770A"/>
    <w:rsid w:val="300833DF"/>
    <w:rsid w:val="3019031A"/>
    <w:rsid w:val="301C38BE"/>
    <w:rsid w:val="30242658"/>
    <w:rsid w:val="302F4907"/>
    <w:rsid w:val="303B3107"/>
    <w:rsid w:val="3041370F"/>
    <w:rsid w:val="30506D05"/>
    <w:rsid w:val="306D5836"/>
    <w:rsid w:val="3097349C"/>
    <w:rsid w:val="30A03F6A"/>
    <w:rsid w:val="30AD7887"/>
    <w:rsid w:val="30BF083E"/>
    <w:rsid w:val="30D32298"/>
    <w:rsid w:val="30EC5E2A"/>
    <w:rsid w:val="30ED1946"/>
    <w:rsid w:val="311B0A1E"/>
    <w:rsid w:val="31216B3F"/>
    <w:rsid w:val="31295B5B"/>
    <w:rsid w:val="312B50A3"/>
    <w:rsid w:val="313C4010"/>
    <w:rsid w:val="317172BB"/>
    <w:rsid w:val="318E6873"/>
    <w:rsid w:val="31B46ACE"/>
    <w:rsid w:val="31F51115"/>
    <w:rsid w:val="32003808"/>
    <w:rsid w:val="32172470"/>
    <w:rsid w:val="321A6930"/>
    <w:rsid w:val="32364B30"/>
    <w:rsid w:val="32432DA9"/>
    <w:rsid w:val="32453A27"/>
    <w:rsid w:val="3263064A"/>
    <w:rsid w:val="3265766A"/>
    <w:rsid w:val="327D2533"/>
    <w:rsid w:val="329842A9"/>
    <w:rsid w:val="329B7A68"/>
    <w:rsid w:val="32A43132"/>
    <w:rsid w:val="32AB00DA"/>
    <w:rsid w:val="32AC0C06"/>
    <w:rsid w:val="32AD0CCA"/>
    <w:rsid w:val="32C33CD3"/>
    <w:rsid w:val="32D54349"/>
    <w:rsid w:val="32E04E37"/>
    <w:rsid w:val="32E15130"/>
    <w:rsid w:val="33027836"/>
    <w:rsid w:val="3331060D"/>
    <w:rsid w:val="33344EF5"/>
    <w:rsid w:val="33496CCF"/>
    <w:rsid w:val="3378161D"/>
    <w:rsid w:val="339C3B02"/>
    <w:rsid w:val="33A05880"/>
    <w:rsid w:val="33A35F1E"/>
    <w:rsid w:val="33B22505"/>
    <w:rsid w:val="33D36651"/>
    <w:rsid w:val="33E85CE2"/>
    <w:rsid w:val="341D0201"/>
    <w:rsid w:val="34246B9F"/>
    <w:rsid w:val="342A2472"/>
    <w:rsid w:val="342B0F4F"/>
    <w:rsid w:val="344D3742"/>
    <w:rsid w:val="347B2D6D"/>
    <w:rsid w:val="348F70D1"/>
    <w:rsid w:val="34AB2475"/>
    <w:rsid w:val="34B52163"/>
    <w:rsid w:val="34B92637"/>
    <w:rsid w:val="34D72013"/>
    <w:rsid w:val="34EB7D5F"/>
    <w:rsid w:val="34EE1C44"/>
    <w:rsid w:val="35007447"/>
    <w:rsid w:val="35293FD9"/>
    <w:rsid w:val="352C24DC"/>
    <w:rsid w:val="3537750C"/>
    <w:rsid w:val="3537798C"/>
    <w:rsid w:val="357005A7"/>
    <w:rsid w:val="357A579A"/>
    <w:rsid w:val="358E312C"/>
    <w:rsid w:val="35C13FC9"/>
    <w:rsid w:val="35E07056"/>
    <w:rsid w:val="35E91989"/>
    <w:rsid w:val="35EF4FE4"/>
    <w:rsid w:val="35F2040C"/>
    <w:rsid w:val="35F9471D"/>
    <w:rsid w:val="36085EA6"/>
    <w:rsid w:val="36266D8A"/>
    <w:rsid w:val="36410A9D"/>
    <w:rsid w:val="364257B6"/>
    <w:rsid w:val="36636B8E"/>
    <w:rsid w:val="36741335"/>
    <w:rsid w:val="369E4AB8"/>
    <w:rsid w:val="36AC6498"/>
    <w:rsid w:val="370419F2"/>
    <w:rsid w:val="3705788F"/>
    <w:rsid w:val="37190CFB"/>
    <w:rsid w:val="3724059E"/>
    <w:rsid w:val="3729538A"/>
    <w:rsid w:val="374E4FB2"/>
    <w:rsid w:val="376462CF"/>
    <w:rsid w:val="37725F65"/>
    <w:rsid w:val="37734E19"/>
    <w:rsid w:val="377868E8"/>
    <w:rsid w:val="379C5435"/>
    <w:rsid w:val="37DE378C"/>
    <w:rsid w:val="37EA5922"/>
    <w:rsid w:val="380C2E7F"/>
    <w:rsid w:val="38134D6C"/>
    <w:rsid w:val="381C20D2"/>
    <w:rsid w:val="38205CA3"/>
    <w:rsid w:val="38276B93"/>
    <w:rsid w:val="38336FC4"/>
    <w:rsid w:val="384C0C8E"/>
    <w:rsid w:val="384D3BF2"/>
    <w:rsid w:val="386A2AA2"/>
    <w:rsid w:val="388D1222"/>
    <w:rsid w:val="389430F0"/>
    <w:rsid w:val="38A43E6B"/>
    <w:rsid w:val="38AC3431"/>
    <w:rsid w:val="38B9690B"/>
    <w:rsid w:val="38C26745"/>
    <w:rsid w:val="38CD0AA7"/>
    <w:rsid w:val="38E67108"/>
    <w:rsid w:val="38F06097"/>
    <w:rsid w:val="38FE35D2"/>
    <w:rsid w:val="39226DE8"/>
    <w:rsid w:val="392F2E16"/>
    <w:rsid w:val="39406F09"/>
    <w:rsid w:val="396554F4"/>
    <w:rsid w:val="39791C92"/>
    <w:rsid w:val="398147FC"/>
    <w:rsid w:val="39854459"/>
    <w:rsid w:val="39A85265"/>
    <w:rsid w:val="39B614C9"/>
    <w:rsid w:val="39BE755C"/>
    <w:rsid w:val="39D678CC"/>
    <w:rsid w:val="39D94185"/>
    <w:rsid w:val="39E00529"/>
    <w:rsid w:val="39E359C2"/>
    <w:rsid w:val="39E9733C"/>
    <w:rsid w:val="3A0B6254"/>
    <w:rsid w:val="3A0B64A7"/>
    <w:rsid w:val="3A1C7B1C"/>
    <w:rsid w:val="3A271BC8"/>
    <w:rsid w:val="3A2F182B"/>
    <w:rsid w:val="3A36312B"/>
    <w:rsid w:val="3A3B5CDC"/>
    <w:rsid w:val="3A520B7E"/>
    <w:rsid w:val="3A574DDA"/>
    <w:rsid w:val="3A7C0B25"/>
    <w:rsid w:val="3A952A43"/>
    <w:rsid w:val="3AA73CF1"/>
    <w:rsid w:val="3AAA5A75"/>
    <w:rsid w:val="3AD3075A"/>
    <w:rsid w:val="3AD5142D"/>
    <w:rsid w:val="3AD71232"/>
    <w:rsid w:val="3AF74C02"/>
    <w:rsid w:val="3AFC126E"/>
    <w:rsid w:val="3B0754C5"/>
    <w:rsid w:val="3B761717"/>
    <w:rsid w:val="3B831369"/>
    <w:rsid w:val="3B8B5350"/>
    <w:rsid w:val="3B954BE0"/>
    <w:rsid w:val="3B9F1620"/>
    <w:rsid w:val="3BB84161"/>
    <w:rsid w:val="3BCD4E66"/>
    <w:rsid w:val="3BD53F3C"/>
    <w:rsid w:val="3C0059A5"/>
    <w:rsid w:val="3C067321"/>
    <w:rsid w:val="3C07120D"/>
    <w:rsid w:val="3C134E78"/>
    <w:rsid w:val="3C15518D"/>
    <w:rsid w:val="3C2528F1"/>
    <w:rsid w:val="3C2A0F17"/>
    <w:rsid w:val="3C33057E"/>
    <w:rsid w:val="3C334EAF"/>
    <w:rsid w:val="3C3D49BD"/>
    <w:rsid w:val="3C6D16C6"/>
    <w:rsid w:val="3C921FB2"/>
    <w:rsid w:val="3C9333AF"/>
    <w:rsid w:val="3C9E1EBC"/>
    <w:rsid w:val="3CD21D29"/>
    <w:rsid w:val="3CF52957"/>
    <w:rsid w:val="3D147205"/>
    <w:rsid w:val="3D187F39"/>
    <w:rsid w:val="3D2E6923"/>
    <w:rsid w:val="3D33169F"/>
    <w:rsid w:val="3D506996"/>
    <w:rsid w:val="3D5257CC"/>
    <w:rsid w:val="3D614B55"/>
    <w:rsid w:val="3D67163F"/>
    <w:rsid w:val="3D6871A7"/>
    <w:rsid w:val="3D817764"/>
    <w:rsid w:val="3D873FCE"/>
    <w:rsid w:val="3DB17E6C"/>
    <w:rsid w:val="3DCE1FF5"/>
    <w:rsid w:val="3DE61DFF"/>
    <w:rsid w:val="3DEC7285"/>
    <w:rsid w:val="3DF6345D"/>
    <w:rsid w:val="3E2B5515"/>
    <w:rsid w:val="3E310A54"/>
    <w:rsid w:val="3E3E5EF1"/>
    <w:rsid w:val="3E4D4F28"/>
    <w:rsid w:val="3E5325C6"/>
    <w:rsid w:val="3E5840E2"/>
    <w:rsid w:val="3E706639"/>
    <w:rsid w:val="3E7F32DC"/>
    <w:rsid w:val="3EB11AC7"/>
    <w:rsid w:val="3EBF3622"/>
    <w:rsid w:val="3EC9706E"/>
    <w:rsid w:val="3ED818CD"/>
    <w:rsid w:val="3EE13701"/>
    <w:rsid w:val="3EE25742"/>
    <w:rsid w:val="3F0C5D2F"/>
    <w:rsid w:val="3F144FB4"/>
    <w:rsid w:val="3F1A4BB3"/>
    <w:rsid w:val="3F372168"/>
    <w:rsid w:val="3F4A64D9"/>
    <w:rsid w:val="3F571CFE"/>
    <w:rsid w:val="3F60225A"/>
    <w:rsid w:val="3F632CDC"/>
    <w:rsid w:val="3F79605C"/>
    <w:rsid w:val="3F934E86"/>
    <w:rsid w:val="3FD67EFE"/>
    <w:rsid w:val="3FD921B4"/>
    <w:rsid w:val="3FF317AE"/>
    <w:rsid w:val="3FFA2455"/>
    <w:rsid w:val="40010575"/>
    <w:rsid w:val="400E712D"/>
    <w:rsid w:val="40192BA6"/>
    <w:rsid w:val="401D2E8B"/>
    <w:rsid w:val="402C58F5"/>
    <w:rsid w:val="40484D68"/>
    <w:rsid w:val="40761BDC"/>
    <w:rsid w:val="408D092B"/>
    <w:rsid w:val="40963BF6"/>
    <w:rsid w:val="40991CAB"/>
    <w:rsid w:val="40B15F11"/>
    <w:rsid w:val="40BE68D5"/>
    <w:rsid w:val="40D43427"/>
    <w:rsid w:val="41071387"/>
    <w:rsid w:val="41184017"/>
    <w:rsid w:val="411D2299"/>
    <w:rsid w:val="413D6CFA"/>
    <w:rsid w:val="4144773B"/>
    <w:rsid w:val="414E40BA"/>
    <w:rsid w:val="4151394D"/>
    <w:rsid w:val="415560AD"/>
    <w:rsid w:val="41766EA9"/>
    <w:rsid w:val="41906B0F"/>
    <w:rsid w:val="4192330C"/>
    <w:rsid w:val="41F6509D"/>
    <w:rsid w:val="42145CCA"/>
    <w:rsid w:val="42207F06"/>
    <w:rsid w:val="42241EB7"/>
    <w:rsid w:val="423035D9"/>
    <w:rsid w:val="42550A18"/>
    <w:rsid w:val="425A4BD1"/>
    <w:rsid w:val="427B1BBB"/>
    <w:rsid w:val="429C7597"/>
    <w:rsid w:val="429D496A"/>
    <w:rsid w:val="42B81FA5"/>
    <w:rsid w:val="42CC751E"/>
    <w:rsid w:val="42E0276A"/>
    <w:rsid w:val="42EB6093"/>
    <w:rsid w:val="42F473A1"/>
    <w:rsid w:val="42F61AFB"/>
    <w:rsid w:val="42F80FA5"/>
    <w:rsid w:val="4305361D"/>
    <w:rsid w:val="431C26D3"/>
    <w:rsid w:val="431F637C"/>
    <w:rsid w:val="434E3AB8"/>
    <w:rsid w:val="43537F8A"/>
    <w:rsid w:val="43805D73"/>
    <w:rsid w:val="43D83C99"/>
    <w:rsid w:val="43DD4E0B"/>
    <w:rsid w:val="44107EE3"/>
    <w:rsid w:val="441E62C0"/>
    <w:rsid w:val="44380293"/>
    <w:rsid w:val="443E50E2"/>
    <w:rsid w:val="44406167"/>
    <w:rsid w:val="44967985"/>
    <w:rsid w:val="44974521"/>
    <w:rsid w:val="44FB65C3"/>
    <w:rsid w:val="45097E82"/>
    <w:rsid w:val="45147341"/>
    <w:rsid w:val="45192471"/>
    <w:rsid w:val="45235D5B"/>
    <w:rsid w:val="452802B4"/>
    <w:rsid w:val="452F1A92"/>
    <w:rsid w:val="45325D14"/>
    <w:rsid w:val="453A5298"/>
    <w:rsid w:val="454F4D0B"/>
    <w:rsid w:val="456A5852"/>
    <w:rsid w:val="456B6447"/>
    <w:rsid w:val="457D0B54"/>
    <w:rsid w:val="45811C7C"/>
    <w:rsid w:val="4588349D"/>
    <w:rsid w:val="45906116"/>
    <w:rsid w:val="45A0305D"/>
    <w:rsid w:val="45A03571"/>
    <w:rsid w:val="45B44292"/>
    <w:rsid w:val="45B72BF8"/>
    <w:rsid w:val="45C96298"/>
    <w:rsid w:val="45DD1BD3"/>
    <w:rsid w:val="45E356FB"/>
    <w:rsid w:val="45F51AEF"/>
    <w:rsid w:val="460B016C"/>
    <w:rsid w:val="46263C87"/>
    <w:rsid w:val="465219D4"/>
    <w:rsid w:val="465716AD"/>
    <w:rsid w:val="46745ABF"/>
    <w:rsid w:val="46830E83"/>
    <w:rsid w:val="468B3EFB"/>
    <w:rsid w:val="46AB5C9A"/>
    <w:rsid w:val="46AE3D43"/>
    <w:rsid w:val="46C44510"/>
    <w:rsid w:val="46CC1041"/>
    <w:rsid w:val="46CD455E"/>
    <w:rsid w:val="46D5130D"/>
    <w:rsid w:val="46E15B1B"/>
    <w:rsid w:val="46FF778E"/>
    <w:rsid w:val="470A6193"/>
    <w:rsid w:val="471B4E2C"/>
    <w:rsid w:val="47385210"/>
    <w:rsid w:val="474C2DD7"/>
    <w:rsid w:val="474D5830"/>
    <w:rsid w:val="47543636"/>
    <w:rsid w:val="475C3001"/>
    <w:rsid w:val="47625066"/>
    <w:rsid w:val="47690E29"/>
    <w:rsid w:val="47767EAB"/>
    <w:rsid w:val="47864E13"/>
    <w:rsid w:val="478F1033"/>
    <w:rsid w:val="479A5F27"/>
    <w:rsid w:val="47A837E0"/>
    <w:rsid w:val="47D31E5D"/>
    <w:rsid w:val="47DC4F5C"/>
    <w:rsid w:val="47DD36B3"/>
    <w:rsid w:val="47F32E64"/>
    <w:rsid w:val="48177172"/>
    <w:rsid w:val="481C7304"/>
    <w:rsid w:val="482C6A5C"/>
    <w:rsid w:val="485C15EC"/>
    <w:rsid w:val="486F432D"/>
    <w:rsid w:val="48783354"/>
    <w:rsid w:val="488D3FC9"/>
    <w:rsid w:val="48992B03"/>
    <w:rsid w:val="48B40671"/>
    <w:rsid w:val="48D8429F"/>
    <w:rsid w:val="48E34F9B"/>
    <w:rsid w:val="48F52BF7"/>
    <w:rsid w:val="48F73DFC"/>
    <w:rsid w:val="490D112E"/>
    <w:rsid w:val="493C2711"/>
    <w:rsid w:val="495664BB"/>
    <w:rsid w:val="49724D22"/>
    <w:rsid w:val="49751310"/>
    <w:rsid w:val="49973F6B"/>
    <w:rsid w:val="499B5738"/>
    <w:rsid w:val="499F244D"/>
    <w:rsid w:val="4A105051"/>
    <w:rsid w:val="4A280204"/>
    <w:rsid w:val="4A2D0198"/>
    <w:rsid w:val="4A420EE7"/>
    <w:rsid w:val="4A973F3F"/>
    <w:rsid w:val="4AE6282E"/>
    <w:rsid w:val="4AED2A70"/>
    <w:rsid w:val="4AF4108E"/>
    <w:rsid w:val="4AF50338"/>
    <w:rsid w:val="4AF96BC7"/>
    <w:rsid w:val="4B090BDC"/>
    <w:rsid w:val="4B136101"/>
    <w:rsid w:val="4B1C090F"/>
    <w:rsid w:val="4B203103"/>
    <w:rsid w:val="4B2E1D56"/>
    <w:rsid w:val="4B32607A"/>
    <w:rsid w:val="4B464533"/>
    <w:rsid w:val="4B496045"/>
    <w:rsid w:val="4B545C08"/>
    <w:rsid w:val="4B5A416B"/>
    <w:rsid w:val="4B5D14C2"/>
    <w:rsid w:val="4B662EDE"/>
    <w:rsid w:val="4B667F55"/>
    <w:rsid w:val="4B6A63A2"/>
    <w:rsid w:val="4B6E0A3F"/>
    <w:rsid w:val="4B7C6990"/>
    <w:rsid w:val="4B8273D5"/>
    <w:rsid w:val="4B862A85"/>
    <w:rsid w:val="4B8B200B"/>
    <w:rsid w:val="4B98008D"/>
    <w:rsid w:val="4BAC4867"/>
    <w:rsid w:val="4BD242CF"/>
    <w:rsid w:val="4BF16188"/>
    <w:rsid w:val="4BF417D4"/>
    <w:rsid w:val="4BF92147"/>
    <w:rsid w:val="4C01654C"/>
    <w:rsid w:val="4C3A28DD"/>
    <w:rsid w:val="4C8018E7"/>
    <w:rsid w:val="4C8624FC"/>
    <w:rsid w:val="4C8A38D4"/>
    <w:rsid w:val="4C992E82"/>
    <w:rsid w:val="4C9C27CC"/>
    <w:rsid w:val="4CA20A24"/>
    <w:rsid w:val="4CB755B1"/>
    <w:rsid w:val="4CC4300C"/>
    <w:rsid w:val="4CEF36E2"/>
    <w:rsid w:val="4CEF4DC5"/>
    <w:rsid w:val="4CF23DD6"/>
    <w:rsid w:val="4CF25996"/>
    <w:rsid w:val="4D171C3B"/>
    <w:rsid w:val="4D353E59"/>
    <w:rsid w:val="4D3D7D51"/>
    <w:rsid w:val="4D411D80"/>
    <w:rsid w:val="4D482BAA"/>
    <w:rsid w:val="4D4873F2"/>
    <w:rsid w:val="4D54264D"/>
    <w:rsid w:val="4D6A5813"/>
    <w:rsid w:val="4D922FBD"/>
    <w:rsid w:val="4D9A766C"/>
    <w:rsid w:val="4DA62246"/>
    <w:rsid w:val="4DB54B95"/>
    <w:rsid w:val="4DC17B81"/>
    <w:rsid w:val="4DC23F1C"/>
    <w:rsid w:val="4DEE41E3"/>
    <w:rsid w:val="4DF21879"/>
    <w:rsid w:val="4DF71805"/>
    <w:rsid w:val="4E0A3FBD"/>
    <w:rsid w:val="4E17231F"/>
    <w:rsid w:val="4E180C61"/>
    <w:rsid w:val="4E257655"/>
    <w:rsid w:val="4E2670DE"/>
    <w:rsid w:val="4E352A01"/>
    <w:rsid w:val="4E8E7871"/>
    <w:rsid w:val="4EA85542"/>
    <w:rsid w:val="4EAB47D5"/>
    <w:rsid w:val="4EC4406A"/>
    <w:rsid w:val="4EC455C1"/>
    <w:rsid w:val="4EF86E3C"/>
    <w:rsid w:val="4F06496B"/>
    <w:rsid w:val="4F083F21"/>
    <w:rsid w:val="4F0C1AC6"/>
    <w:rsid w:val="4F127C58"/>
    <w:rsid w:val="4F365F84"/>
    <w:rsid w:val="4F367AC5"/>
    <w:rsid w:val="4F372380"/>
    <w:rsid w:val="4F372FFB"/>
    <w:rsid w:val="4F4B5D83"/>
    <w:rsid w:val="4F71142E"/>
    <w:rsid w:val="4F7A6CA5"/>
    <w:rsid w:val="4F9C17F9"/>
    <w:rsid w:val="4FA72457"/>
    <w:rsid w:val="4FA7341A"/>
    <w:rsid w:val="4FAF6BE4"/>
    <w:rsid w:val="4FC66A35"/>
    <w:rsid w:val="4FE34F88"/>
    <w:rsid w:val="4FEF4AC6"/>
    <w:rsid w:val="5025116D"/>
    <w:rsid w:val="50310AE7"/>
    <w:rsid w:val="503D7DBA"/>
    <w:rsid w:val="507725C3"/>
    <w:rsid w:val="50811214"/>
    <w:rsid w:val="508A158E"/>
    <w:rsid w:val="50BF67C9"/>
    <w:rsid w:val="50C85235"/>
    <w:rsid w:val="50CA0599"/>
    <w:rsid w:val="50ED7CC8"/>
    <w:rsid w:val="50FB62A0"/>
    <w:rsid w:val="511E0283"/>
    <w:rsid w:val="515158DB"/>
    <w:rsid w:val="515A7AB7"/>
    <w:rsid w:val="516623C4"/>
    <w:rsid w:val="519A02E5"/>
    <w:rsid w:val="51B05107"/>
    <w:rsid w:val="51DA39DC"/>
    <w:rsid w:val="51E0241A"/>
    <w:rsid w:val="51F1394A"/>
    <w:rsid w:val="5201085F"/>
    <w:rsid w:val="521819BF"/>
    <w:rsid w:val="522024E6"/>
    <w:rsid w:val="52314419"/>
    <w:rsid w:val="52395ECD"/>
    <w:rsid w:val="526D1B33"/>
    <w:rsid w:val="526D4E29"/>
    <w:rsid w:val="52735E8B"/>
    <w:rsid w:val="52917E8F"/>
    <w:rsid w:val="5298444C"/>
    <w:rsid w:val="52B44696"/>
    <w:rsid w:val="52BB5DFD"/>
    <w:rsid w:val="52C10D75"/>
    <w:rsid w:val="52D55821"/>
    <w:rsid w:val="52EB2FB5"/>
    <w:rsid w:val="53376E09"/>
    <w:rsid w:val="53581F49"/>
    <w:rsid w:val="53655BA8"/>
    <w:rsid w:val="53A303CC"/>
    <w:rsid w:val="53C27FF8"/>
    <w:rsid w:val="53D0274A"/>
    <w:rsid w:val="53EA1FF6"/>
    <w:rsid w:val="53EC03B2"/>
    <w:rsid w:val="540B5AE5"/>
    <w:rsid w:val="54167271"/>
    <w:rsid w:val="54457E2A"/>
    <w:rsid w:val="544A1D81"/>
    <w:rsid w:val="544E00F4"/>
    <w:rsid w:val="5475679C"/>
    <w:rsid w:val="548850A3"/>
    <w:rsid w:val="548E3F00"/>
    <w:rsid w:val="548E485C"/>
    <w:rsid w:val="549E1A80"/>
    <w:rsid w:val="54AB108A"/>
    <w:rsid w:val="54BA25DB"/>
    <w:rsid w:val="54BC3176"/>
    <w:rsid w:val="54C658F4"/>
    <w:rsid w:val="54CB45B1"/>
    <w:rsid w:val="54CF22DF"/>
    <w:rsid w:val="54E0494C"/>
    <w:rsid w:val="54E171CD"/>
    <w:rsid w:val="54E7784F"/>
    <w:rsid w:val="550C4BD7"/>
    <w:rsid w:val="55322669"/>
    <w:rsid w:val="5539470A"/>
    <w:rsid w:val="554C1D56"/>
    <w:rsid w:val="55572986"/>
    <w:rsid w:val="555761AA"/>
    <w:rsid w:val="555E236D"/>
    <w:rsid w:val="55805785"/>
    <w:rsid w:val="55A82C22"/>
    <w:rsid w:val="55C062DD"/>
    <w:rsid w:val="55C84FE2"/>
    <w:rsid w:val="55CB0F14"/>
    <w:rsid w:val="55E822CC"/>
    <w:rsid w:val="5607446A"/>
    <w:rsid w:val="56081243"/>
    <w:rsid w:val="56182C00"/>
    <w:rsid w:val="56245CC2"/>
    <w:rsid w:val="56293A3C"/>
    <w:rsid w:val="56330E85"/>
    <w:rsid w:val="565340FA"/>
    <w:rsid w:val="565C3ECA"/>
    <w:rsid w:val="56636EEC"/>
    <w:rsid w:val="56790914"/>
    <w:rsid w:val="567D64C6"/>
    <w:rsid w:val="568E01E7"/>
    <w:rsid w:val="569A7860"/>
    <w:rsid w:val="56B25952"/>
    <w:rsid w:val="56FC519F"/>
    <w:rsid w:val="571B3688"/>
    <w:rsid w:val="571F4860"/>
    <w:rsid w:val="5723343E"/>
    <w:rsid w:val="573D7EAB"/>
    <w:rsid w:val="57580904"/>
    <w:rsid w:val="578057C8"/>
    <w:rsid w:val="578231ED"/>
    <w:rsid w:val="57856002"/>
    <w:rsid w:val="57893184"/>
    <w:rsid w:val="57A66BAB"/>
    <w:rsid w:val="57AA18F7"/>
    <w:rsid w:val="57C55108"/>
    <w:rsid w:val="57D21B1D"/>
    <w:rsid w:val="57DD34B9"/>
    <w:rsid w:val="57E6392C"/>
    <w:rsid w:val="57F706C9"/>
    <w:rsid w:val="58017793"/>
    <w:rsid w:val="58244E5C"/>
    <w:rsid w:val="58685C59"/>
    <w:rsid w:val="58697500"/>
    <w:rsid w:val="5874230E"/>
    <w:rsid w:val="58843841"/>
    <w:rsid w:val="5891308F"/>
    <w:rsid w:val="589236B1"/>
    <w:rsid w:val="58C86B99"/>
    <w:rsid w:val="58DB0E48"/>
    <w:rsid w:val="58F830CC"/>
    <w:rsid w:val="58F8696B"/>
    <w:rsid w:val="5904102E"/>
    <w:rsid w:val="590A564B"/>
    <w:rsid w:val="59415D84"/>
    <w:rsid w:val="5944577D"/>
    <w:rsid w:val="594D2B53"/>
    <w:rsid w:val="598813E0"/>
    <w:rsid w:val="59914276"/>
    <w:rsid w:val="5999679A"/>
    <w:rsid w:val="599B7268"/>
    <w:rsid w:val="599C38F2"/>
    <w:rsid w:val="59A03BB4"/>
    <w:rsid w:val="59AA0FB1"/>
    <w:rsid w:val="59B91F8C"/>
    <w:rsid w:val="59D14FBA"/>
    <w:rsid w:val="59EF6A42"/>
    <w:rsid w:val="59F20EF7"/>
    <w:rsid w:val="5A1030D6"/>
    <w:rsid w:val="5A2F2CC8"/>
    <w:rsid w:val="5A317807"/>
    <w:rsid w:val="5A5017A5"/>
    <w:rsid w:val="5A6059E2"/>
    <w:rsid w:val="5A673F93"/>
    <w:rsid w:val="5A723722"/>
    <w:rsid w:val="5A7D02BC"/>
    <w:rsid w:val="5A84088B"/>
    <w:rsid w:val="5AAA4EE2"/>
    <w:rsid w:val="5AC95C92"/>
    <w:rsid w:val="5B436D5A"/>
    <w:rsid w:val="5B487697"/>
    <w:rsid w:val="5B570637"/>
    <w:rsid w:val="5B79092D"/>
    <w:rsid w:val="5B7D33AD"/>
    <w:rsid w:val="5B7F28A2"/>
    <w:rsid w:val="5B8E36FB"/>
    <w:rsid w:val="5B9C3F03"/>
    <w:rsid w:val="5BA26962"/>
    <w:rsid w:val="5BA85879"/>
    <w:rsid w:val="5BAF1477"/>
    <w:rsid w:val="5BAF6C35"/>
    <w:rsid w:val="5BB978F4"/>
    <w:rsid w:val="5BC1259B"/>
    <w:rsid w:val="5BEF222A"/>
    <w:rsid w:val="5C10702D"/>
    <w:rsid w:val="5C14136F"/>
    <w:rsid w:val="5C152601"/>
    <w:rsid w:val="5C20614F"/>
    <w:rsid w:val="5C591F03"/>
    <w:rsid w:val="5C697AAA"/>
    <w:rsid w:val="5C8A1B2F"/>
    <w:rsid w:val="5C9257B9"/>
    <w:rsid w:val="5C96399E"/>
    <w:rsid w:val="5CAF3DCD"/>
    <w:rsid w:val="5CEA4062"/>
    <w:rsid w:val="5D2C1215"/>
    <w:rsid w:val="5D4D4133"/>
    <w:rsid w:val="5D857790"/>
    <w:rsid w:val="5D861815"/>
    <w:rsid w:val="5D8936D2"/>
    <w:rsid w:val="5D914004"/>
    <w:rsid w:val="5DD80331"/>
    <w:rsid w:val="5DD95E29"/>
    <w:rsid w:val="5DDD16DD"/>
    <w:rsid w:val="5DF41766"/>
    <w:rsid w:val="5E015F08"/>
    <w:rsid w:val="5E615889"/>
    <w:rsid w:val="5E727AB0"/>
    <w:rsid w:val="5E847BF7"/>
    <w:rsid w:val="5E936FAE"/>
    <w:rsid w:val="5EAA1124"/>
    <w:rsid w:val="5EC8520A"/>
    <w:rsid w:val="5ED25050"/>
    <w:rsid w:val="5F0341A4"/>
    <w:rsid w:val="5F0A7504"/>
    <w:rsid w:val="5F114CB9"/>
    <w:rsid w:val="5F174D94"/>
    <w:rsid w:val="5F350C33"/>
    <w:rsid w:val="5F4F5E24"/>
    <w:rsid w:val="5F561B72"/>
    <w:rsid w:val="5F811AD3"/>
    <w:rsid w:val="5F8E3288"/>
    <w:rsid w:val="5F92448C"/>
    <w:rsid w:val="5FA13309"/>
    <w:rsid w:val="5FAB21DA"/>
    <w:rsid w:val="5FB646B2"/>
    <w:rsid w:val="5FBB0ADC"/>
    <w:rsid w:val="5FC2179D"/>
    <w:rsid w:val="5FE00927"/>
    <w:rsid w:val="5FE24EDD"/>
    <w:rsid w:val="5FE437FC"/>
    <w:rsid w:val="5FED0446"/>
    <w:rsid w:val="5FF87C07"/>
    <w:rsid w:val="60014470"/>
    <w:rsid w:val="602A626F"/>
    <w:rsid w:val="603E60FC"/>
    <w:rsid w:val="60504C82"/>
    <w:rsid w:val="606007BB"/>
    <w:rsid w:val="606163EC"/>
    <w:rsid w:val="608E10F9"/>
    <w:rsid w:val="6095423F"/>
    <w:rsid w:val="60AC7F66"/>
    <w:rsid w:val="60C13070"/>
    <w:rsid w:val="60C32094"/>
    <w:rsid w:val="6100382D"/>
    <w:rsid w:val="61042335"/>
    <w:rsid w:val="611E12A8"/>
    <w:rsid w:val="61226064"/>
    <w:rsid w:val="61497909"/>
    <w:rsid w:val="614E0C9F"/>
    <w:rsid w:val="614F0CAD"/>
    <w:rsid w:val="6189448A"/>
    <w:rsid w:val="61A475B0"/>
    <w:rsid w:val="61A66546"/>
    <w:rsid w:val="61BD42A4"/>
    <w:rsid w:val="61BF10D9"/>
    <w:rsid w:val="61BF1193"/>
    <w:rsid w:val="61DA3D4C"/>
    <w:rsid w:val="61F215C9"/>
    <w:rsid w:val="61F734FF"/>
    <w:rsid w:val="62052E11"/>
    <w:rsid w:val="6265481D"/>
    <w:rsid w:val="626A5412"/>
    <w:rsid w:val="626D7B14"/>
    <w:rsid w:val="62AC22DC"/>
    <w:rsid w:val="62B22B31"/>
    <w:rsid w:val="62BF2D76"/>
    <w:rsid w:val="62FA4283"/>
    <w:rsid w:val="630871F9"/>
    <w:rsid w:val="630A6917"/>
    <w:rsid w:val="63177FBC"/>
    <w:rsid w:val="632630D2"/>
    <w:rsid w:val="633575E4"/>
    <w:rsid w:val="633E67A6"/>
    <w:rsid w:val="63493F8F"/>
    <w:rsid w:val="635251C8"/>
    <w:rsid w:val="6354469B"/>
    <w:rsid w:val="635A3E88"/>
    <w:rsid w:val="635C1FFD"/>
    <w:rsid w:val="63606311"/>
    <w:rsid w:val="63607FA4"/>
    <w:rsid w:val="63724593"/>
    <w:rsid w:val="637833E8"/>
    <w:rsid w:val="63DE0947"/>
    <w:rsid w:val="63F14628"/>
    <w:rsid w:val="63F30799"/>
    <w:rsid w:val="64481274"/>
    <w:rsid w:val="645F0D81"/>
    <w:rsid w:val="648743E5"/>
    <w:rsid w:val="64941CD4"/>
    <w:rsid w:val="649C0CDE"/>
    <w:rsid w:val="64AF189F"/>
    <w:rsid w:val="64B10E28"/>
    <w:rsid w:val="64BB10E5"/>
    <w:rsid w:val="64C0006E"/>
    <w:rsid w:val="64C210FC"/>
    <w:rsid w:val="64D8014C"/>
    <w:rsid w:val="64E45EF7"/>
    <w:rsid w:val="64E536C8"/>
    <w:rsid w:val="650D635E"/>
    <w:rsid w:val="651240A3"/>
    <w:rsid w:val="6528541A"/>
    <w:rsid w:val="652C53ED"/>
    <w:rsid w:val="6544472C"/>
    <w:rsid w:val="65465871"/>
    <w:rsid w:val="654866C3"/>
    <w:rsid w:val="654E2D83"/>
    <w:rsid w:val="6555098E"/>
    <w:rsid w:val="65AE15F5"/>
    <w:rsid w:val="65D06BA5"/>
    <w:rsid w:val="65F12154"/>
    <w:rsid w:val="661D63AD"/>
    <w:rsid w:val="6630196A"/>
    <w:rsid w:val="665253D0"/>
    <w:rsid w:val="667F3F32"/>
    <w:rsid w:val="66815672"/>
    <w:rsid w:val="66873275"/>
    <w:rsid w:val="6691014E"/>
    <w:rsid w:val="66C1066D"/>
    <w:rsid w:val="66C87CCE"/>
    <w:rsid w:val="66D23840"/>
    <w:rsid w:val="66E1028C"/>
    <w:rsid w:val="66E73D86"/>
    <w:rsid w:val="66FB490A"/>
    <w:rsid w:val="670006DA"/>
    <w:rsid w:val="67220FA2"/>
    <w:rsid w:val="67592253"/>
    <w:rsid w:val="677435B2"/>
    <w:rsid w:val="6779688C"/>
    <w:rsid w:val="67814D8C"/>
    <w:rsid w:val="678801E7"/>
    <w:rsid w:val="678D2EAE"/>
    <w:rsid w:val="679D472E"/>
    <w:rsid w:val="67AC1EB3"/>
    <w:rsid w:val="67E35B9E"/>
    <w:rsid w:val="67EF75F1"/>
    <w:rsid w:val="67F323FA"/>
    <w:rsid w:val="682062DD"/>
    <w:rsid w:val="6828218F"/>
    <w:rsid w:val="68327BBE"/>
    <w:rsid w:val="68836ACA"/>
    <w:rsid w:val="688D5804"/>
    <w:rsid w:val="689736F8"/>
    <w:rsid w:val="68B35F15"/>
    <w:rsid w:val="69124F16"/>
    <w:rsid w:val="692556B9"/>
    <w:rsid w:val="69280117"/>
    <w:rsid w:val="693022D8"/>
    <w:rsid w:val="694A5205"/>
    <w:rsid w:val="694C59EB"/>
    <w:rsid w:val="69874AA4"/>
    <w:rsid w:val="69AD518D"/>
    <w:rsid w:val="69CD5C14"/>
    <w:rsid w:val="69CF0D33"/>
    <w:rsid w:val="69D8686C"/>
    <w:rsid w:val="69D96AC3"/>
    <w:rsid w:val="69F567A0"/>
    <w:rsid w:val="6A1A7186"/>
    <w:rsid w:val="6A2D3C19"/>
    <w:rsid w:val="6A36068B"/>
    <w:rsid w:val="6A434A35"/>
    <w:rsid w:val="6A4B2209"/>
    <w:rsid w:val="6A5066CB"/>
    <w:rsid w:val="6A512713"/>
    <w:rsid w:val="6A542D51"/>
    <w:rsid w:val="6A5F0F50"/>
    <w:rsid w:val="6A6030C4"/>
    <w:rsid w:val="6A676547"/>
    <w:rsid w:val="6A767148"/>
    <w:rsid w:val="6A7F05D0"/>
    <w:rsid w:val="6AAB324D"/>
    <w:rsid w:val="6AB235AF"/>
    <w:rsid w:val="6ABD719F"/>
    <w:rsid w:val="6AC13E4D"/>
    <w:rsid w:val="6ADA17F5"/>
    <w:rsid w:val="6AE644C3"/>
    <w:rsid w:val="6AE71A96"/>
    <w:rsid w:val="6AE805FF"/>
    <w:rsid w:val="6AF64E0B"/>
    <w:rsid w:val="6AFD4928"/>
    <w:rsid w:val="6B14078A"/>
    <w:rsid w:val="6B175FBC"/>
    <w:rsid w:val="6B297797"/>
    <w:rsid w:val="6B2F4D3E"/>
    <w:rsid w:val="6B303F71"/>
    <w:rsid w:val="6B374E7A"/>
    <w:rsid w:val="6B4317B4"/>
    <w:rsid w:val="6B4A10E4"/>
    <w:rsid w:val="6B5C4B71"/>
    <w:rsid w:val="6B614E02"/>
    <w:rsid w:val="6B623CC4"/>
    <w:rsid w:val="6B7E2908"/>
    <w:rsid w:val="6B9946B3"/>
    <w:rsid w:val="6BF5106A"/>
    <w:rsid w:val="6C130BDB"/>
    <w:rsid w:val="6C211E68"/>
    <w:rsid w:val="6C241930"/>
    <w:rsid w:val="6C2D0A9C"/>
    <w:rsid w:val="6C372961"/>
    <w:rsid w:val="6C4052D5"/>
    <w:rsid w:val="6C431EF3"/>
    <w:rsid w:val="6C4B0DE1"/>
    <w:rsid w:val="6C4E6902"/>
    <w:rsid w:val="6C5B59F4"/>
    <w:rsid w:val="6C6278D3"/>
    <w:rsid w:val="6C662189"/>
    <w:rsid w:val="6C6B22D7"/>
    <w:rsid w:val="6C6C2F38"/>
    <w:rsid w:val="6C7007C7"/>
    <w:rsid w:val="6C8C2B67"/>
    <w:rsid w:val="6C8D38AF"/>
    <w:rsid w:val="6C8D7684"/>
    <w:rsid w:val="6CA13443"/>
    <w:rsid w:val="6CA83959"/>
    <w:rsid w:val="6CB04275"/>
    <w:rsid w:val="6CDC07DA"/>
    <w:rsid w:val="6CDF720B"/>
    <w:rsid w:val="6CEB7CE9"/>
    <w:rsid w:val="6CF92C55"/>
    <w:rsid w:val="6D21360D"/>
    <w:rsid w:val="6D3A3B10"/>
    <w:rsid w:val="6D415399"/>
    <w:rsid w:val="6D4C7D54"/>
    <w:rsid w:val="6D5E0131"/>
    <w:rsid w:val="6D60703C"/>
    <w:rsid w:val="6D616805"/>
    <w:rsid w:val="6D68310A"/>
    <w:rsid w:val="6D6D4330"/>
    <w:rsid w:val="6D8B0FD6"/>
    <w:rsid w:val="6D915D95"/>
    <w:rsid w:val="6D94625C"/>
    <w:rsid w:val="6D9B53CB"/>
    <w:rsid w:val="6DA32372"/>
    <w:rsid w:val="6DB63374"/>
    <w:rsid w:val="6DC643D2"/>
    <w:rsid w:val="6DE76850"/>
    <w:rsid w:val="6DF8337B"/>
    <w:rsid w:val="6E030A47"/>
    <w:rsid w:val="6E1A3980"/>
    <w:rsid w:val="6E2B50E3"/>
    <w:rsid w:val="6E506EFF"/>
    <w:rsid w:val="6E8059E4"/>
    <w:rsid w:val="6E930639"/>
    <w:rsid w:val="6E9E45BF"/>
    <w:rsid w:val="6EA34CC4"/>
    <w:rsid w:val="6EC00BE3"/>
    <w:rsid w:val="6EE14809"/>
    <w:rsid w:val="6EE54F57"/>
    <w:rsid w:val="6F055DD7"/>
    <w:rsid w:val="6F2E0D5F"/>
    <w:rsid w:val="6F395B8B"/>
    <w:rsid w:val="6F4A6530"/>
    <w:rsid w:val="6F6B76CB"/>
    <w:rsid w:val="6F6E0ACF"/>
    <w:rsid w:val="6F753C1F"/>
    <w:rsid w:val="6F964F3B"/>
    <w:rsid w:val="6F993A2D"/>
    <w:rsid w:val="6FB20BD4"/>
    <w:rsid w:val="6FB650F7"/>
    <w:rsid w:val="6FB75277"/>
    <w:rsid w:val="6FBA59BE"/>
    <w:rsid w:val="6FD64135"/>
    <w:rsid w:val="6FF16C9A"/>
    <w:rsid w:val="6FF2418B"/>
    <w:rsid w:val="6FF3192C"/>
    <w:rsid w:val="702726F0"/>
    <w:rsid w:val="70296B3E"/>
    <w:rsid w:val="704255C1"/>
    <w:rsid w:val="704751B9"/>
    <w:rsid w:val="70497291"/>
    <w:rsid w:val="705B357E"/>
    <w:rsid w:val="70611204"/>
    <w:rsid w:val="70BF0EE0"/>
    <w:rsid w:val="70C20C9C"/>
    <w:rsid w:val="70C57C29"/>
    <w:rsid w:val="70D01410"/>
    <w:rsid w:val="70D036E5"/>
    <w:rsid w:val="70D32204"/>
    <w:rsid w:val="70F15847"/>
    <w:rsid w:val="710A582E"/>
    <w:rsid w:val="71147BFE"/>
    <w:rsid w:val="713116FD"/>
    <w:rsid w:val="71370AC8"/>
    <w:rsid w:val="713D46C5"/>
    <w:rsid w:val="71434E47"/>
    <w:rsid w:val="71486F7F"/>
    <w:rsid w:val="715F2A54"/>
    <w:rsid w:val="71662A10"/>
    <w:rsid w:val="71926986"/>
    <w:rsid w:val="71982A8B"/>
    <w:rsid w:val="71A17BB2"/>
    <w:rsid w:val="72204649"/>
    <w:rsid w:val="722C5869"/>
    <w:rsid w:val="72326EE7"/>
    <w:rsid w:val="72450FB0"/>
    <w:rsid w:val="72487743"/>
    <w:rsid w:val="725E1213"/>
    <w:rsid w:val="727D6954"/>
    <w:rsid w:val="72844D41"/>
    <w:rsid w:val="72862C7E"/>
    <w:rsid w:val="728976DF"/>
    <w:rsid w:val="72936E2F"/>
    <w:rsid w:val="72CF4F19"/>
    <w:rsid w:val="72EA7F26"/>
    <w:rsid w:val="72EC79FB"/>
    <w:rsid w:val="72F67BF9"/>
    <w:rsid w:val="731178E3"/>
    <w:rsid w:val="73240DF9"/>
    <w:rsid w:val="732C6F33"/>
    <w:rsid w:val="732F2D1B"/>
    <w:rsid w:val="733D16A9"/>
    <w:rsid w:val="73425548"/>
    <w:rsid w:val="73445350"/>
    <w:rsid w:val="73514DB1"/>
    <w:rsid w:val="736A73D7"/>
    <w:rsid w:val="737C5261"/>
    <w:rsid w:val="73857E8A"/>
    <w:rsid w:val="738A77D2"/>
    <w:rsid w:val="73A553FF"/>
    <w:rsid w:val="73AC15DC"/>
    <w:rsid w:val="73E07E7C"/>
    <w:rsid w:val="73F27930"/>
    <w:rsid w:val="74121260"/>
    <w:rsid w:val="743462D3"/>
    <w:rsid w:val="74365CEE"/>
    <w:rsid w:val="743E7D5E"/>
    <w:rsid w:val="7441374C"/>
    <w:rsid w:val="744149C3"/>
    <w:rsid w:val="74474E71"/>
    <w:rsid w:val="74A93E5A"/>
    <w:rsid w:val="74C633BB"/>
    <w:rsid w:val="74C92291"/>
    <w:rsid w:val="74FA2C30"/>
    <w:rsid w:val="751D1A0B"/>
    <w:rsid w:val="7533222E"/>
    <w:rsid w:val="753B09F7"/>
    <w:rsid w:val="754D5C4B"/>
    <w:rsid w:val="756C78B0"/>
    <w:rsid w:val="75775737"/>
    <w:rsid w:val="757939B3"/>
    <w:rsid w:val="757E50F6"/>
    <w:rsid w:val="75855224"/>
    <w:rsid w:val="75A05064"/>
    <w:rsid w:val="75A85DA3"/>
    <w:rsid w:val="75AB5440"/>
    <w:rsid w:val="75CB60C0"/>
    <w:rsid w:val="75E76F6F"/>
    <w:rsid w:val="75EC127C"/>
    <w:rsid w:val="75F142DB"/>
    <w:rsid w:val="75F23E97"/>
    <w:rsid w:val="760B3F34"/>
    <w:rsid w:val="76334397"/>
    <w:rsid w:val="765B4F30"/>
    <w:rsid w:val="766C4E79"/>
    <w:rsid w:val="766D6FAF"/>
    <w:rsid w:val="767D07C6"/>
    <w:rsid w:val="768F7316"/>
    <w:rsid w:val="76A143E8"/>
    <w:rsid w:val="76BF1D66"/>
    <w:rsid w:val="76C240A7"/>
    <w:rsid w:val="76C8773D"/>
    <w:rsid w:val="76F263F7"/>
    <w:rsid w:val="770F3331"/>
    <w:rsid w:val="77285125"/>
    <w:rsid w:val="77315AC4"/>
    <w:rsid w:val="775246B7"/>
    <w:rsid w:val="77583C37"/>
    <w:rsid w:val="775974AF"/>
    <w:rsid w:val="778264A7"/>
    <w:rsid w:val="77930B55"/>
    <w:rsid w:val="77977DAD"/>
    <w:rsid w:val="77CA234A"/>
    <w:rsid w:val="781E69D1"/>
    <w:rsid w:val="782A2DF7"/>
    <w:rsid w:val="78715547"/>
    <w:rsid w:val="788D27B5"/>
    <w:rsid w:val="78DE4305"/>
    <w:rsid w:val="79091C23"/>
    <w:rsid w:val="797F0359"/>
    <w:rsid w:val="7988495F"/>
    <w:rsid w:val="79962040"/>
    <w:rsid w:val="799A2861"/>
    <w:rsid w:val="79A4105F"/>
    <w:rsid w:val="79BC014A"/>
    <w:rsid w:val="79BC34FC"/>
    <w:rsid w:val="79C95D86"/>
    <w:rsid w:val="79D042C8"/>
    <w:rsid w:val="79D90DD4"/>
    <w:rsid w:val="7A263B6B"/>
    <w:rsid w:val="7A2A6E84"/>
    <w:rsid w:val="7A2D01BD"/>
    <w:rsid w:val="7A447E0C"/>
    <w:rsid w:val="7A573C85"/>
    <w:rsid w:val="7A6D67DD"/>
    <w:rsid w:val="7A7106D0"/>
    <w:rsid w:val="7A8E7E6B"/>
    <w:rsid w:val="7A9F3904"/>
    <w:rsid w:val="7AF46346"/>
    <w:rsid w:val="7AF753E6"/>
    <w:rsid w:val="7B0F5EBF"/>
    <w:rsid w:val="7B125252"/>
    <w:rsid w:val="7B130FB9"/>
    <w:rsid w:val="7B14483E"/>
    <w:rsid w:val="7B1C0A25"/>
    <w:rsid w:val="7B2611AB"/>
    <w:rsid w:val="7B4E6A0D"/>
    <w:rsid w:val="7B641BCE"/>
    <w:rsid w:val="7B770612"/>
    <w:rsid w:val="7B875F34"/>
    <w:rsid w:val="7BDD6F19"/>
    <w:rsid w:val="7BF64EDE"/>
    <w:rsid w:val="7C10151B"/>
    <w:rsid w:val="7C141428"/>
    <w:rsid w:val="7C216B71"/>
    <w:rsid w:val="7C221C6B"/>
    <w:rsid w:val="7C3311E0"/>
    <w:rsid w:val="7C370186"/>
    <w:rsid w:val="7C400C1E"/>
    <w:rsid w:val="7C99714C"/>
    <w:rsid w:val="7CA07DE8"/>
    <w:rsid w:val="7CA53FD5"/>
    <w:rsid w:val="7CB50883"/>
    <w:rsid w:val="7CBE6D5D"/>
    <w:rsid w:val="7CCF481C"/>
    <w:rsid w:val="7CDD1808"/>
    <w:rsid w:val="7CF57CC1"/>
    <w:rsid w:val="7D0B5456"/>
    <w:rsid w:val="7D2B12B1"/>
    <w:rsid w:val="7D352792"/>
    <w:rsid w:val="7D3F7658"/>
    <w:rsid w:val="7D563551"/>
    <w:rsid w:val="7D6F6791"/>
    <w:rsid w:val="7D7558BB"/>
    <w:rsid w:val="7D830B9D"/>
    <w:rsid w:val="7D905E8D"/>
    <w:rsid w:val="7DB23C3E"/>
    <w:rsid w:val="7DD11708"/>
    <w:rsid w:val="7DE5430C"/>
    <w:rsid w:val="7DE64899"/>
    <w:rsid w:val="7DF813B2"/>
    <w:rsid w:val="7DFC32D8"/>
    <w:rsid w:val="7DFD7978"/>
    <w:rsid w:val="7E0763E6"/>
    <w:rsid w:val="7E1202A7"/>
    <w:rsid w:val="7E156055"/>
    <w:rsid w:val="7E2D7872"/>
    <w:rsid w:val="7E522C19"/>
    <w:rsid w:val="7E5C0F61"/>
    <w:rsid w:val="7E786F03"/>
    <w:rsid w:val="7E7B37EB"/>
    <w:rsid w:val="7E8E6EBF"/>
    <w:rsid w:val="7EAA7A04"/>
    <w:rsid w:val="7EAD21C3"/>
    <w:rsid w:val="7EBD579E"/>
    <w:rsid w:val="7EC167BD"/>
    <w:rsid w:val="7ED56D33"/>
    <w:rsid w:val="7EFC345C"/>
    <w:rsid w:val="7F1A6960"/>
    <w:rsid w:val="7F272D9E"/>
    <w:rsid w:val="7F376DBE"/>
    <w:rsid w:val="7F397426"/>
    <w:rsid w:val="7F507488"/>
    <w:rsid w:val="7F657C66"/>
    <w:rsid w:val="7F687D9B"/>
    <w:rsid w:val="7F7848F6"/>
    <w:rsid w:val="7FF54CAF"/>
    <w:rsid w:val="7FFD5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qFormat="1" w:unhideWhenUsed="0" w:uiPriority="99" w:semiHidden="0"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autoRedefine/>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7"/>
    <w:autoRedefine/>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48"/>
    <w:autoRedefine/>
    <w:qFormat/>
    <w:uiPriority w:val="99"/>
    <w:pPr>
      <w:keepNext/>
      <w:keepLines/>
      <w:spacing w:before="260" w:after="260" w:line="416" w:lineRule="auto"/>
      <w:outlineLvl w:val="2"/>
    </w:pPr>
    <w:rPr>
      <w:b/>
      <w:bCs/>
      <w:sz w:val="32"/>
      <w:szCs w:val="32"/>
    </w:rPr>
  </w:style>
  <w:style w:type="paragraph" w:styleId="6">
    <w:name w:val="heading 4"/>
    <w:basedOn w:val="1"/>
    <w:next w:val="1"/>
    <w:link w:val="49"/>
    <w:autoRedefine/>
    <w:qFormat/>
    <w:uiPriority w:val="9"/>
    <w:pPr>
      <w:keepNext/>
      <w:keepLines/>
      <w:spacing w:before="280" w:after="290" w:line="372" w:lineRule="auto"/>
      <w:outlineLvl w:val="3"/>
    </w:pPr>
    <w:rPr>
      <w:rFonts w:ascii="Arial" w:hAnsi="Arial" w:eastAsia="黑体"/>
      <w:b/>
      <w:sz w:val="28"/>
    </w:rPr>
  </w:style>
  <w:style w:type="paragraph" w:styleId="7">
    <w:name w:val="heading 5"/>
    <w:basedOn w:val="1"/>
    <w:next w:val="8"/>
    <w:link w:val="50"/>
    <w:autoRedefine/>
    <w:qFormat/>
    <w:uiPriority w:val="9"/>
    <w:pPr>
      <w:keepNext/>
      <w:keepLines/>
      <w:spacing w:before="280" w:after="290" w:line="376" w:lineRule="auto"/>
      <w:outlineLvl w:val="4"/>
    </w:pPr>
    <w:rPr>
      <w:b/>
      <w:bCs/>
      <w:sz w:val="28"/>
      <w:szCs w:val="28"/>
    </w:rPr>
  </w:style>
  <w:style w:type="paragraph" w:styleId="9">
    <w:name w:val="heading 8"/>
    <w:basedOn w:val="1"/>
    <w:next w:val="1"/>
    <w:link w:val="51"/>
    <w:autoRedefine/>
    <w:qFormat/>
    <w:uiPriority w:val="9"/>
    <w:pPr>
      <w:keepNext/>
      <w:keepLines/>
      <w:spacing w:before="240" w:after="64" w:line="320" w:lineRule="auto"/>
      <w:outlineLvl w:val="7"/>
    </w:pPr>
    <w:rPr>
      <w:rFonts w:ascii="等线 Light" w:hAnsi="等线 Light" w:eastAsia="等线 Light"/>
      <w:sz w:val="24"/>
    </w:rPr>
  </w:style>
  <w:style w:type="character" w:default="1" w:styleId="33">
    <w:name w:val="Default Paragraph Font"/>
    <w:autoRedefine/>
    <w:unhideWhenUsed/>
    <w:qFormat/>
    <w:uiPriority w:val="1"/>
  </w:style>
  <w:style w:type="table" w:default="1" w:styleId="31">
    <w:name w:val="Normal Table"/>
    <w:autoRedefine/>
    <w:unhideWhenUsed/>
    <w:qFormat/>
    <w:uiPriority w:val="99"/>
    <w:tblPr>
      <w:tblCellMar>
        <w:top w:w="0" w:type="dxa"/>
        <w:left w:w="108" w:type="dxa"/>
        <w:bottom w:w="0" w:type="dxa"/>
        <w:right w:w="108" w:type="dxa"/>
      </w:tblCellMar>
    </w:tblPr>
  </w:style>
  <w:style w:type="paragraph" w:styleId="2">
    <w:name w:val="footer"/>
    <w:basedOn w:val="1"/>
    <w:next w:val="1"/>
    <w:link w:val="56"/>
    <w:autoRedefine/>
    <w:unhideWhenUsed/>
    <w:qFormat/>
    <w:uiPriority w:val="99"/>
    <w:pPr>
      <w:tabs>
        <w:tab w:val="center" w:pos="4153"/>
        <w:tab w:val="right" w:pos="8306"/>
      </w:tabs>
      <w:snapToGrid w:val="0"/>
      <w:jc w:val="left"/>
    </w:pPr>
    <w:rPr>
      <w:kern w:val="0"/>
      <w:sz w:val="18"/>
      <w:szCs w:val="18"/>
    </w:rPr>
  </w:style>
  <w:style w:type="paragraph" w:styleId="8">
    <w:name w:val="Normal Indent"/>
    <w:basedOn w:val="1"/>
    <w:autoRedefine/>
    <w:qFormat/>
    <w:uiPriority w:val="99"/>
    <w:pPr>
      <w:ind w:firstLine="420"/>
    </w:pPr>
    <w:rPr>
      <w:szCs w:val="20"/>
    </w:rPr>
  </w:style>
  <w:style w:type="paragraph" w:styleId="10">
    <w:name w:val="table of authorities"/>
    <w:basedOn w:val="1"/>
    <w:next w:val="1"/>
    <w:autoRedefine/>
    <w:qFormat/>
    <w:uiPriority w:val="99"/>
    <w:pPr>
      <w:ind w:left="420" w:leftChars="200"/>
    </w:pPr>
    <w:rPr>
      <w:rFonts w:ascii="Calibri" w:hAnsi="Calibri"/>
    </w:rPr>
  </w:style>
  <w:style w:type="paragraph" w:styleId="11">
    <w:name w:val="index 8"/>
    <w:basedOn w:val="1"/>
    <w:next w:val="1"/>
    <w:autoRedefine/>
    <w:qFormat/>
    <w:uiPriority w:val="0"/>
    <w:pPr>
      <w:ind w:left="2940"/>
    </w:pPr>
  </w:style>
  <w:style w:type="paragraph" w:styleId="12">
    <w:name w:val="List Number"/>
    <w:basedOn w:val="1"/>
    <w:autoRedefine/>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3">
    <w:name w:val="caption"/>
    <w:basedOn w:val="1"/>
    <w:next w:val="1"/>
    <w:autoRedefine/>
    <w:qFormat/>
    <w:uiPriority w:val="0"/>
    <w:rPr>
      <w:rFonts w:ascii="DejaVu Sans" w:hAnsi="DejaVu Sans" w:eastAsia="方正黑体_GBK"/>
      <w:sz w:val="20"/>
    </w:rPr>
  </w:style>
  <w:style w:type="paragraph" w:styleId="14">
    <w:name w:val="annotation text"/>
    <w:basedOn w:val="1"/>
    <w:link w:val="43"/>
    <w:autoRedefine/>
    <w:qFormat/>
    <w:uiPriority w:val="99"/>
    <w:pPr>
      <w:jc w:val="left"/>
    </w:pPr>
  </w:style>
  <w:style w:type="paragraph" w:styleId="15">
    <w:name w:val="Body Text 3"/>
    <w:basedOn w:val="1"/>
    <w:link w:val="52"/>
    <w:autoRedefine/>
    <w:unhideWhenUsed/>
    <w:qFormat/>
    <w:uiPriority w:val="99"/>
    <w:pPr>
      <w:spacing w:after="120"/>
    </w:pPr>
    <w:rPr>
      <w:sz w:val="16"/>
      <w:szCs w:val="16"/>
    </w:rPr>
  </w:style>
  <w:style w:type="paragraph" w:styleId="16">
    <w:name w:val="Body Text"/>
    <w:basedOn w:val="1"/>
    <w:next w:val="1"/>
    <w:link w:val="53"/>
    <w:autoRedefine/>
    <w:unhideWhenUsed/>
    <w:qFormat/>
    <w:uiPriority w:val="0"/>
    <w:pPr>
      <w:spacing w:after="120"/>
    </w:pPr>
  </w:style>
  <w:style w:type="paragraph" w:styleId="17">
    <w:name w:val="Body Text Indent"/>
    <w:basedOn w:val="1"/>
    <w:next w:val="18"/>
    <w:link w:val="42"/>
    <w:autoRedefine/>
    <w:qFormat/>
    <w:uiPriority w:val="99"/>
    <w:pPr>
      <w:ind w:firstLine="830" w:firstLineChars="352"/>
    </w:pPr>
    <w:rPr>
      <w:rFonts w:ascii="仿宋_GB2312" w:eastAsia="仿宋_GB2312"/>
      <w:kern w:val="0"/>
      <w:sz w:val="32"/>
      <w:szCs w:val="20"/>
    </w:rPr>
  </w:style>
  <w:style w:type="paragraph" w:styleId="18">
    <w:name w:val="annotation subject"/>
    <w:basedOn w:val="14"/>
    <w:next w:val="1"/>
    <w:link w:val="44"/>
    <w:autoRedefine/>
    <w:qFormat/>
    <w:uiPriority w:val="99"/>
    <w:rPr>
      <w:b/>
      <w:bCs/>
    </w:rPr>
  </w:style>
  <w:style w:type="paragraph" w:styleId="19">
    <w:name w:val="List 2"/>
    <w:basedOn w:val="1"/>
    <w:autoRedefine/>
    <w:unhideWhenUsed/>
    <w:qFormat/>
    <w:uiPriority w:val="99"/>
    <w:pPr>
      <w:ind w:left="100" w:leftChars="200" w:hanging="200" w:hangingChars="200"/>
      <w:contextualSpacing/>
    </w:pPr>
  </w:style>
  <w:style w:type="paragraph" w:styleId="20">
    <w:name w:val="toc 3"/>
    <w:basedOn w:val="1"/>
    <w:next w:val="1"/>
    <w:autoRedefine/>
    <w:unhideWhenUsed/>
    <w:qFormat/>
    <w:uiPriority w:val="39"/>
    <w:pPr>
      <w:ind w:left="840" w:leftChars="400"/>
    </w:pPr>
  </w:style>
  <w:style w:type="paragraph" w:styleId="21">
    <w:name w:val="Plain Text"/>
    <w:basedOn w:val="1"/>
    <w:next w:val="6"/>
    <w:link w:val="54"/>
    <w:autoRedefine/>
    <w:qFormat/>
    <w:uiPriority w:val="0"/>
    <w:rPr>
      <w:rFonts w:ascii="宋体" w:hAnsi="Courier New"/>
      <w:kern w:val="0"/>
      <w:sz w:val="20"/>
      <w:szCs w:val="21"/>
    </w:rPr>
  </w:style>
  <w:style w:type="paragraph" w:styleId="22">
    <w:name w:val="Date"/>
    <w:basedOn w:val="1"/>
    <w:next w:val="1"/>
    <w:link w:val="55"/>
    <w:autoRedefine/>
    <w:unhideWhenUsed/>
    <w:qFormat/>
    <w:uiPriority w:val="99"/>
    <w:pPr>
      <w:ind w:left="100" w:leftChars="2500"/>
    </w:pPr>
  </w:style>
  <w:style w:type="paragraph" w:styleId="23">
    <w:name w:val="Balloon Text"/>
    <w:basedOn w:val="1"/>
    <w:autoRedefine/>
    <w:semiHidden/>
    <w:qFormat/>
    <w:uiPriority w:val="0"/>
    <w:rPr>
      <w:sz w:val="18"/>
      <w:szCs w:val="18"/>
    </w:rPr>
  </w:style>
  <w:style w:type="paragraph" w:styleId="24">
    <w:name w:val="header"/>
    <w:basedOn w:val="1"/>
    <w:link w:val="57"/>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autoRedefine/>
    <w:unhideWhenUsed/>
    <w:qFormat/>
    <w:uiPriority w:val="39"/>
  </w:style>
  <w:style w:type="paragraph" w:styleId="26">
    <w:name w:val="List"/>
    <w:basedOn w:val="1"/>
    <w:autoRedefine/>
    <w:unhideWhenUsed/>
    <w:qFormat/>
    <w:uiPriority w:val="99"/>
    <w:pPr>
      <w:ind w:left="200" w:hanging="200" w:hangingChars="200"/>
      <w:contextualSpacing/>
    </w:pPr>
  </w:style>
  <w:style w:type="paragraph" w:styleId="27">
    <w:name w:val="toc 2"/>
    <w:basedOn w:val="1"/>
    <w:next w:val="1"/>
    <w:autoRedefine/>
    <w:unhideWhenUsed/>
    <w:qFormat/>
    <w:uiPriority w:val="39"/>
    <w:pPr>
      <w:tabs>
        <w:tab w:val="right" w:leader="dot" w:pos="8296"/>
      </w:tabs>
      <w:ind w:left="420" w:leftChars="200"/>
    </w:pPr>
  </w:style>
  <w:style w:type="paragraph" w:styleId="28">
    <w:name w:val="Normal (Web)"/>
    <w:basedOn w:val="1"/>
    <w:autoRedefine/>
    <w:unhideWhenUsed/>
    <w:qFormat/>
    <w:uiPriority w:val="99"/>
    <w:rPr>
      <w:rFonts w:ascii="Calibri" w:hAnsi="Calibri"/>
      <w:kern w:val="0"/>
      <w:sz w:val="24"/>
    </w:rPr>
  </w:style>
  <w:style w:type="paragraph" w:styleId="29">
    <w:name w:val="Body Text First Indent"/>
    <w:basedOn w:val="16"/>
    <w:autoRedefine/>
    <w:qFormat/>
    <w:uiPriority w:val="0"/>
    <w:pPr>
      <w:ind w:firstLine="420" w:firstLineChars="100"/>
    </w:pPr>
  </w:style>
  <w:style w:type="paragraph" w:styleId="30">
    <w:name w:val="Body Text First Indent 2"/>
    <w:basedOn w:val="17"/>
    <w:link w:val="45"/>
    <w:autoRedefine/>
    <w:qFormat/>
    <w:uiPriority w:val="99"/>
    <w:pPr>
      <w:autoSpaceDE w:val="0"/>
      <w:autoSpaceDN w:val="0"/>
      <w:spacing w:after="120" w:line="360" w:lineRule="auto"/>
      <w:ind w:left="420" w:leftChars="200" w:firstLine="420" w:firstLineChars="200"/>
    </w:pPr>
    <w:rPr>
      <w:sz w:val="21"/>
      <w:szCs w:val="24"/>
    </w:rPr>
  </w:style>
  <w:style w:type="table" w:styleId="32">
    <w:name w:val="Table Grid"/>
    <w:basedOn w:val="31"/>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autoRedefine/>
    <w:unhideWhenUsed/>
    <w:qFormat/>
    <w:uiPriority w:val="99"/>
    <w:rPr>
      <w:vertAlign w:val="superscript"/>
    </w:rPr>
  </w:style>
  <w:style w:type="character" w:styleId="35">
    <w:name w:val="page number"/>
    <w:autoRedefine/>
    <w:qFormat/>
    <w:uiPriority w:val="0"/>
  </w:style>
  <w:style w:type="character" w:styleId="36">
    <w:name w:val="FollowedHyperlink"/>
    <w:autoRedefine/>
    <w:unhideWhenUsed/>
    <w:qFormat/>
    <w:uiPriority w:val="99"/>
    <w:rPr>
      <w:color w:val="800080"/>
      <w:u w:val="single"/>
    </w:rPr>
  </w:style>
  <w:style w:type="character" w:styleId="37">
    <w:name w:val="Emphasis"/>
    <w:basedOn w:val="33"/>
    <w:autoRedefine/>
    <w:qFormat/>
    <w:uiPriority w:val="20"/>
    <w:rPr>
      <w:i/>
    </w:rPr>
  </w:style>
  <w:style w:type="character" w:styleId="38">
    <w:name w:val="Hyperlink"/>
    <w:autoRedefine/>
    <w:unhideWhenUsed/>
    <w:qFormat/>
    <w:uiPriority w:val="99"/>
    <w:rPr>
      <w:color w:val="0000FF"/>
      <w:u w:val="single"/>
    </w:rPr>
  </w:style>
  <w:style w:type="character" w:styleId="39">
    <w:name w:val="annotation reference"/>
    <w:autoRedefine/>
    <w:qFormat/>
    <w:uiPriority w:val="99"/>
    <w:rPr>
      <w:sz w:val="21"/>
      <w:szCs w:val="21"/>
    </w:rPr>
  </w:style>
  <w:style w:type="paragraph" w:customStyle="1" w:styleId="40">
    <w:name w:val="正文 首行缩进:  2 字符"/>
    <w:basedOn w:val="1"/>
    <w:autoRedefine/>
    <w:qFormat/>
    <w:uiPriority w:val="0"/>
    <w:pPr>
      <w:spacing w:line="360" w:lineRule="auto"/>
      <w:ind w:firstLine="200" w:firstLineChars="200"/>
    </w:pPr>
    <w:rPr>
      <w:rFonts w:ascii="Times New Roman" w:hAnsi="Times New Roman" w:eastAsia="宋体" w:cs="宋体"/>
      <w:sz w:val="24"/>
      <w:szCs w:val="20"/>
    </w:rPr>
  </w:style>
  <w:style w:type="paragraph" w:customStyle="1" w:styleId="41">
    <w:name w:val="Heading2"/>
    <w:basedOn w:val="1"/>
    <w:next w:val="1"/>
    <w:autoRedefine/>
    <w:qFormat/>
    <w:uiPriority w:val="0"/>
    <w:pPr>
      <w:keepNext/>
      <w:keepLines/>
      <w:spacing w:before="260" w:after="260" w:line="416" w:lineRule="auto"/>
    </w:pPr>
    <w:rPr>
      <w:rFonts w:ascii="Arial" w:hAnsi="Arial" w:eastAsia="黑体" w:cs="Times New Roman"/>
      <w:b/>
      <w:bCs/>
      <w:kern w:val="0"/>
      <w:sz w:val="32"/>
      <w:szCs w:val="32"/>
    </w:rPr>
  </w:style>
  <w:style w:type="character" w:customStyle="1" w:styleId="42">
    <w:name w:val="正文文本缩进 字符"/>
    <w:link w:val="17"/>
    <w:autoRedefine/>
    <w:qFormat/>
    <w:uiPriority w:val="99"/>
    <w:rPr>
      <w:rFonts w:ascii="仿宋_GB2312" w:hAnsi="Times New Roman" w:eastAsia="仿宋_GB2312" w:cs="Times New Roman"/>
      <w:sz w:val="32"/>
      <w:szCs w:val="20"/>
    </w:rPr>
  </w:style>
  <w:style w:type="character" w:customStyle="1" w:styleId="43">
    <w:name w:val="批注文字 字符2"/>
    <w:link w:val="14"/>
    <w:autoRedefine/>
    <w:qFormat/>
    <w:uiPriority w:val="99"/>
    <w:rPr>
      <w:rFonts w:ascii="Times New Roman" w:hAnsi="Times New Roman"/>
      <w:kern w:val="2"/>
      <w:sz w:val="21"/>
      <w:szCs w:val="24"/>
    </w:rPr>
  </w:style>
  <w:style w:type="character" w:customStyle="1" w:styleId="44">
    <w:name w:val="批注主题 字符"/>
    <w:link w:val="18"/>
    <w:autoRedefine/>
    <w:qFormat/>
    <w:uiPriority w:val="99"/>
    <w:rPr>
      <w:rFonts w:ascii="Times New Roman" w:hAnsi="Times New Roman"/>
      <w:b/>
      <w:bCs/>
      <w:kern w:val="2"/>
      <w:sz w:val="21"/>
      <w:szCs w:val="24"/>
    </w:rPr>
  </w:style>
  <w:style w:type="character" w:customStyle="1" w:styleId="45">
    <w:name w:val="正文首行缩进 2 字符"/>
    <w:link w:val="30"/>
    <w:autoRedefine/>
    <w:qFormat/>
    <w:uiPriority w:val="99"/>
    <w:rPr>
      <w:kern w:val="2"/>
      <w:sz w:val="21"/>
      <w:szCs w:val="24"/>
    </w:rPr>
  </w:style>
  <w:style w:type="character" w:customStyle="1" w:styleId="46">
    <w:name w:val="标题 1 字符"/>
    <w:link w:val="3"/>
    <w:autoRedefine/>
    <w:qFormat/>
    <w:uiPriority w:val="99"/>
    <w:rPr>
      <w:b/>
      <w:bCs/>
      <w:kern w:val="44"/>
      <w:sz w:val="44"/>
      <w:szCs w:val="44"/>
    </w:rPr>
  </w:style>
  <w:style w:type="character" w:customStyle="1" w:styleId="47">
    <w:name w:val="标题 2 字符"/>
    <w:link w:val="4"/>
    <w:autoRedefine/>
    <w:qFormat/>
    <w:uiPriority w:val="9"/>
    <w:rPr>
      <w:rFonts w:ascii="Cambria" w:hAnsi="Cambria" w:eastAsia="宋体" w:cs="Times New Roman"/>
      <w:b/>
      <w:bCs/>
      <w:kern w:val="2"/>
      <w:sz w:val="32"/>
      <w:szCs w:val="32"/>
    </w:rPr>
  </w:style>
  <w:style w:type="character" w:customStyle="1" w:styleId="48">
    <w:name w:val="标题 3 字符"/>
    <w:link w:val="5"/>
    <w:autoRedefine/>
    <w:qFormat/>
    <w:uiPriority w:val="99"/>
    <w:rPr>
      <w:b/>
      <w:bCs/>
      <w:kern w:val="2"/>
      <w:sz w:val="32"/>
      <w:szCs w:val="32"/>
    </w:rPr>
  </w:style>
  <w:style w:type="character" w:customStyle="1" w:styleId="49">
    <w:name w:val="标题 4 字符"/>
    <w:link w:val="6"/>
    <w:autoRedefine/>
    <w:qFormat/>
    <w:uiPriority w:val="9"/>
    <w:rPr>
      <w:rFonts w:ascii="Arial" w:hAnsi="Arial" w:eastAsia="黑体"/>
      <w:b/>
      <w:kern w:val="2"/>
      <w:sz w:val="28"/>
      <w:szCs w:val="24"/>
    </w:rPr>
  </w:style>
  <w:style w:type="character" w:customStyle="1" w:styleId="50">
    <w:name w:val="标题 5 字符"/>
    <w:link w:val="7"/>
    <w:autoRedefine/>
    <w:qFormat/>
    <w:uiPriority w:val="9"/>
    <w:rPr>
      <w:rFonts w:ascii="Times New Roman" w:hAnsi="Times New Roman"/>
      <w:b/>
      <w:bCs/>
      <w:kern w:val="2"/>
      <w:sz w:val="28"/>
      <w:szCs w:val="28"/>
    </w:rPr>
  </w:style>
  <w:style w:type="character" w:customStyle="1" w:styleId="51">
    <w:name w:val="标题 8 字符"/>
    <w:link w:val="9"/>
    <w:autoRedefine/>
    <w:semiHidden/>
    <w:qFormat/>
    <w:uiPriority w:val="9"/>
    <w:rPr>
      <w:rFonts w:ascii="等线 Light" w:hAnsi="等线 Light" w:eastAsia="等线 Light" w:cs="Times New Roman"/>
      <w:kern w:val="2"/>
      <w:sz w:val="24"/>
      <w:szCs w:val="24"/>
    </w:rPr>
  </w:style>
  <w:style w:type="character" w:customStyle="1" w:styleId="52">
    <w:name w:val="正文文本 3 字符"/>
    <w:link w:val="15"/>
    <w:autoRedefine/>
    <w:semiHidden/>
    <w:qFormat/>
    <w:uiPriority w:val="99"/>
    <w:rPr>
      <w:kern w:val="2"/>
      <w:sz w:val="16"/>
      <w:szCs w:val="16"/>
    </w:rPr>
  </w:style>
  <w:style w:type="character" w:customStyle="1" w:styleId="53">
    <w:name w:val="正文文本 字符1"/>
    <w:link w:val="16"/>
    <w:autoRedefine/>
    <w:qFormat/>
    <w:uiPriority w:val="0"/>
    <w:rPr>
      <w:rFonts w:ascii="Times New Roman" w:hAnsi="Times New Roman"/>
      <w:kern w:val="2"/>
      <w:sz w:val="21"/>
      <w:szCs w:val="24"/>
    </w:rPr>
  </w:style>
  <w:style w:type="character" w:customStyle="1" w:styleId="54">
    <w:name w:val="纯文本 字符3"/>
    <w:link w:val="21"/>
    <w:autoRedefine/>
    <w:qFormat/>
    <w:uiPriority w:val="0"/>
    <w:rPr>
      <w:rFonts w:ascii="宋体" w:hAnsi="Courier New" w:eastAsia="宋体" w:cs="Courier New"/>
      <w:szCs w:val="21"/>
    </w:rPr>
  </w:style>
  <w:style w:type="character" w:customStyle="1" w:styleId="55">
    <w:name w:val="日期 字符"/>
    <w:link w:val="22"/>
    <w:autoRedefine/>
    <w:semiHidden/>
    <w:qFormat/>
    <w:uiPriority w:val="99"/>
    <w:rPr>
      <w:rFonts w:ascii="Times New Roman" w:hAnsi="Times New Roman"/>
      <w:kern w:val="2"/>
      <w:sz w:val="21"/>
      <w:szCs w:val="24"/>
    </w:rPr>
  </w:style>
  <w:style w:type="character" w:customStyle="1" w:styleId="56">
    <w:name w:val="页脚 字符"/>
    <w:link w:val="2"/>
    <w:autoRedefine/>
    <w:qFormat/>
    <w:uiPriority w:val="99"/>
    <w:rPr>
      <w:sz w:val="18"/>
      <w:szCs w:val="18"/>
    </w:rPr>
  </w:style>
  <w:style w:type="character" w:customStyle="1" w:styleId="57">
    <w:name w:val="页眉 字符"/>
    <w:link w:val="24"/>
    <w:autoRedefine/>
    <w:qFormat/>
    <w:uiPriority w:val="99"/>
    <w:rPr>
      <w:sz w:val="18"/>
      <w:szCs w:val="18"/>
    </w:rPr>
  </w:style>
  <w:style w:type="character" w:customStyle="1" w:styleId="58">
    <w:name w:val="textcontents"/>
    <w:autoRedefine/>
    <w:qFormat/>
    <w:uiPriority w:val="0"/>
  </w:style>
  <w:style w:type="character" w:customStyle="1" w:styleId="59">
    <w:name w:val="标题 2 Char"/>
    <w:autoRedefine/>
    <w:qFormat/>
    <w:uiPriority w:val="99"/>
    <w:rPr>
      <w:rFonts w:ascii="Cambria" w:hAnsi="Cambria" w:eastAsia="宋体" w:cs="Times New Roman"/>
      <w:b/>
      <w:bCs/>
      <w:kern w:val="2"/>
      <w:sz w:val="32"/>
      <w:szCs w:val="32"/>
    </w:rPr>
  </w:style>
  <w:style w:type="character" w:customStyle="1" w:styleId="60">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1">
    <w:name w:val="纯文本 字符2"/>
    <w:autoRedefine/>
    <w:qFormat/>
    <w:uiPriority w:val="0"/>
    <w:rPr>
      <w:rFonts w:ascii="宋体" w:hAnsi="Courier New" w:eastAsia="宋体" w:cs="Courier New"/>
      <w:szCs w:val="21"/>
    </w:rPr>
  </w:style>
  <w:style w:type="character" w:customStyle="1" w:styleId="62">
    <w:name w:val="正文文本 字符"/>
    <w:autoRedefine/>
    <w:qFormat/>
    <w:uiPriority w:val="0"/>
    <w:rPr>
      <w:rFonts w:ascii="Times New Roman" w:hAnsi="Times New Roman"/>
      <w:kern w:val="2"/>
      <w:sz w:val="21"/>
      <w:szCs w:val="24"/>
    </w:rPr>
  </w:style>
  <w:style w:type="character" w:customStyle="1" w:styleId="63">
    <w:name w:val="批注文字 字符1"/>
    <w:autoRedefine/>
    <w:qFormat/>
    <w:uiPriority w:val="0"/>
    <w:rPr>
      <w:rFonts w:ascii="Times New Roman" w:hAnsi="Times New Roman"/>
      <w:kern w:val="2"/>
      <w:sz w:val="21"/>
      <w:szCs w:val="24"/>
    </w:rPr>
  </w:style>
  <w:style w:type="character" w:customStyle="1" w:styleId="64">
    <w:name w:val="正文文本 Char"/>
    <w:autoRedefine/>
    <w:qFormat/>
    <w:uiPriority w:val="99"/>
    <w:rPr>
      <w:rFonts w:ascii="Times New Roman" w:hAnsi="Times New Roman"/>
      <w:kern w:val="2"/>
      <w:sz w:val="21"/>
      <w:szCs w:val="24"/>
    </w:rPr>
  </w:style>
  <w:style w:type="character" w:customStyle="1" w:styleId="65">
    <w:name w:val="纯文本 字符"/>
    <w:autoRedefine/>
    <w:qFormat/>
    <w:uiPriority w:val="0"/>
    <w:rPr>
      <w:rFonts w:ascii="宋体" w:hAnsi="Courier New" w:eastAsia="宋体" w:cs="Courier New"/>
      <w:szCs w:val="21"/>
    </w:rPr>
  </w:style>
  <w:style w:type="character" w:customStyle="1" w:styleId="66">
    <w:name w:val="标题 1 字符1"/>
    <w:autoRedefine/>
    <w:qFormat/>
    <w:uiPriority w:val="0"/>
    <w:rPr>
      <w:b/>
      <w:bCs/>
      <w:kern w:val="44"/>
      <w:sz w:val="44"/>
      <w:szCs w:val="44"/>
    </w:rPr>
  </w:style>
  <w:style w:type="character" w:customStyle="1" w:styleId="67">
    <w:name w:val="正文2 Char Char"/>
    <w:link w:val="68"/>
    <w:autoRedefine/>
    <w:qFormat/>
    <w:uiPriority w:val="0"/>
    <w:rPr>
      <w:sz w:val="24"/>
    </w:rPr>
  </w:style>
  <w:style w:type="paragraph" w:customStyle="1" w:styleId="68">
    <w:name w:val="正文2"/>
    <w:basedOn w:val="1"/>
    <w:link w:val="67"/>
    <w:autoRedefine/>
    <w:qFormat/>
    <w:uiPriority w:val="0"/>
    <w:pPr>
      <w:adjustRightInd w:val="0"/>
      <w:spacing w:before="156" w:line="360" w:lineRule="auto"/>
      <w:ind w:firstLine="510" w:firstLineChars="200"/>
    </w:pPr>
    <w:rPr>
      <w:kern w:val="0"/>
      <w:sz w:val="24"/>
      <w:szCs w:val="20"/>
    </w:rPr>
  </w:style>
  <w:style w:type="character" w:customStyle="1" w:styleId="69">
    <w:name w:val="标题 8 Char"/>
    <w:autoRedefine/>
    <w:qFormat/>
    <w:uiPriority w:val="0"/>
    <w:rPr>
      <w:rFonts w:ascii="Arial" w:hAnsi="Arial" w:eastAsia="黑体"/>
      <w:kern w:val="2"/>
      <w:sz w:val="24"/>
      <w:szCs w:val="24"/>
    </w:rPr>
  </w:style>
  <w:style w:type="character" w:customStyle="1" w:styleId="70">
    <w:name w:val="纯文本 Char"/>
    <w:autoRedefine/>
    <w:qFormat/>
    <w:uiPriority w:val="99"/>
    <w:rPr>
      <w:rFonts w:ascii="宋体" w:hAnsi="Courier New" w:eastAsia="宋体" w:cs="Courier New"/>
      <w:szCs w:val="21"/>
    </w:rPr>
  </w:style>
  <w:style w:type="character" w:customStyle="1" w:styleId="71">
    <w:name w:val="批注文字 Char"/>
    <w:autoRedefine/>
    <w:qFormat/>
    <w:uiPriority w:val="99"/>
    <w:rPr>
      <w:rFonts w:ascii="Times New Roman" w:hAnsi="Times New Roman"/>
      <w:kern w:val="2"/>
      <w:sz w:val="21"/>
      <w:szCs w:val="24"/>
    </w:rPr>
  </w:style>
  <w:style w:type="character" w:customStyle="1" w:styleId="72">
    <w:name w:val="纯文本 字符1"/>
    <w:autoRedefine/>
    <w:qFormat/>
    <w:uiPriority w:val="0"/>
    <w:rPr>
      <w:rFonts w:ascii="宋体" w:hAnsi="Courier New"/>
    </w:rPr>
  </w:style>
  <w:style w:type="character" w:customStyle="1" w:styleId="73">
    <w:name w:val="未处理的提及"/>
    <w:autoRedefine/>
    <w:unhideWhenUsed/>
    <w:qFormat/>
    <w:uiPriority w:val="99"/>
    <w:rPr>
      <w:color w:val="605E5C"/>
      <w:shd w:val="clear" w:color="auto" w:fill="E1DFDD"/>
    </w:rPr>
  </w:style>
  <w:style w:type="character" w:customStyle="1" w:styleId="74">
    <w:name w:val="apple-style-span"/>
    <w:autoRedefine/>
    <w:qFormat/>
    <w:uiPriority w:val="0"/>
  </w:style>
  <w:style w:type="character" w:customStyle="1" w:styleId="75">
    <w:name w:val="批注文字 字符"/>
    <w:autoRedefine/>
    <w:qFormat/>
    <w:uiPriority w:val="0"/>
    <w:rPr>
      <w:rFonts w:ascii="Times New Roman" w:hAnsi="Times New Roman"/>
      <w:kern w:val="2"/>
      <w:sz w:val="21"/>
      <w:szCs w:val="24"/>
    </w:rPr>
  </w:style>
  <w:style w:type="paragraph" w:customStyle="1" w:styleId="76">
    <w:name w:val="正文 A"/>
    <w:autoRedefine/>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77">
    <w:name w:val="表头"/>
    <w:basedOn w:val="1"/>
    <w:autoRedefine/>
    <w:qFormat/>
    <w:uiPriority w:val="0"/>
    <w:pPr>
      <w:widowControl/>
      <w:jc w:val="center"/>
    </w:pPr>
    <w:rPr>
      <w:rFonts w:ascii="仿宋_GB2312" w:hAnsi="宋体" w:eastAsia="仿宋_GB2312" w:cs="等线"/>
      <w:b/>
      <w:bCs/>
      <w:kern w:val="0"/>
      <w:sz w:val="24"/>
    </w:rPr>
  </w:style>
  <w:style w:type="paragraph" w:customStyle="1" w:styleId="78">
    <w:name w:val="TOC Heading"/>
    <w:basedOn w:val="3"/>
    <w:next w:val="1"/>
    <w:autoRedefine/>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79">
    <w:name w:val="_Style 3"/>
    <w:next w:val="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81">
    <w:name w:val="Char Char Char Char"/>
    <w:basedOn w:val="1"/>
    <w:autoRedefine/>
    <w:qFormat/>
    <w:uiPriority w:val="0"/>
    <w:pPr>
      <w:widowControl/>
      <w:spacing w:after="160" w:line="240" w:lineRule="exact"/>
      <w:jc w:val="left"/>
    </w:pPr>
  </w:style>
  <w:style w:type="paragraph" w:customStyle="1" w:styleId="82">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83">
    <w:name w:val="列出段落3"/>
    <w:basedOn w:val="1"/>
    <w:autoRedefine/>
    <w:unhideWhenUsed/>
    <w:qFormat/>
    <w:uiPriority w:val="99"/>
    <w:pPr>
      <w:ind w:firstLine="420"/>
    </w:pPr>
  </w:style>
  <w:style w:type="paragraph" w:customStyle="1" w:styleId="84">
    <w:name w:val="Table Paragraph"/>
    <w:basedOn w:val="1"/>
    <w:autoRedefine/>
    <w:qFormat/>
    <w:uiPriority w:val="1"/>
    <w:pPr>
      <w:jc w:val="left"/>
    </w:pPr>
    <w:rPr>
      <w:rFonts w:ascii="Calibri" w:hAnsi="Calibri"/>
      <w:kern w:val="0"/>
      <w:sz w:val="22"/>
      <w:szCs w:val="22"/>
      <w:lang w:eastAsia="en-US"/>
    </w:rPr>
  </w:style>
  <w:style w:type="paragraph" w:customStyle="1" w:styleId="85">
    <w:name w:val="列出段落2"/>
    <w:basedOn w:val="1"/>
    <w:autoRedefine/>
    <w:unhideWhenUsed/>
    <w:qFormat/>
    <w:uiPriority w:val="99"/>
    <w:pPr>
      <w:spacing w:line="360" w:lineRule="auto"/>
      <w:ind w:firstLine="420" w:firstLineChars="200"/>
    </w:pPr>
    <w:rPr>
      <w:rFonts w:ascii="Calibri" w:hAnsi="Calibri" w:eastAsia="仿宋"/>
      <w:sz w:val="28"/>
      <w:szCs w:val="22"/>
    </w:rPr>
  </w:style>
  <w:style w:type="paragraph" w:customStyle="1" w:styleId="86">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7">
    <w:name w:val="表格内容"/>
    <w:basedOn w:val="1"/>
    <w:autoRedefine/>
    <w:qFormat/>
    <w:uiPriority w:val="0"/>
    <w:pPr>
      <w:widowControl/>
      <w:jc w:val="left"/>
    </w:pPr>
    <w:rPr>
      <w:rFonts w:ascii="仿宋_GB2312" w:hAnsi="宋体" w:cs="等线"/>
      <w:kern w:val="0"/>
      <w:sz w:val="24"/>
    </w:rPr>
  </w:style>
  <w:style w:type="paragraph" w:styleId="88">
    <w:name w:val="List Paragraph"/>
    <w:basedOn w:val="1"/>
    <w:autoRedefine/>
    <w:qFormat/>
    <w:uiPriority w:val="34"/>
    <w:pPr>
      <w:ind w:firstLine="420" w:firstLineChars="200"/>
    </w:pPr>
  </w:style>
  <w:style w:type="paragraph" w:customStyle="1" w:styleId="89">
    <w:name w:val="默认段落字体 Para Char Char Char Char Char Char Char Char Char1 Char Char Char Char"/>
    <w:basedOn w:val="1"/>
    <w:autoRedefine/>
    <w:qFormat/>
    <w:uiPriority w:val="0"/>
    <w:rPr>
      <w:rFonts w:ascii="Tahoma" w:hAnsi="Tahoma"/>
      <w:sz w:val="24"/>
      <w:szCs w:val="20"/>
    </w:rPr>
  </w:style>
  <w:style w:type="paragraph" w:customStyle="1" w:styleId="90">
    <w:name w:val="正文缩进1"/>
    <w:basedOn w:val="1"/>
    <w:next w:val="17"/>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91">
    <w:name w:val="正文-2字符首行缩进"/>
    <w:basedOn w:val="1"/>
    <w:autoRedefine/>
    <w:qFormat/>
    <w:uiPriority w:val="0"/>
    <w:pPr>
      <w:spacing w:line="360" w:lineRule="auto"/>
      <w:ind w:firstLine="200" w:firstLineChars="200"/>
    </w:pPr>
    <w:rPr>
      <w:rFonts w:ascii="仿宋_GB2312" w:hAnsi="宋体" w:eastAsia="仿宋_GB2312"/>
      <w:sz w:val="28"/>
      <w:szCs w:val="22"/>
    </w:rPr>
  </w:style>
  <w:style w:type="paragraph" w:customStyle="1" w:styleId="92">
    <w:name w:val="样式1"/>
    <w:basedOn w:val="1"/>
    <w:autoRedefine/>
    <w:qFormat/>
    <w:uiPriority w:val="0"/>
    <w:pPr>
      <w:numPr>
        <w:ilvl w:val="2"/>
        <w:numId w:val="1"/>
      </w:numPr>
    </w:pPr>
  </w:style>
  <w:style w:type="paragraph" w:customStyle="1" w:styleId="93">
    <w:name w:val="样式 0正文 + 首行缩进:  2 字符1"/>
    <w:autoRedefine/>
    <w:qFormat/>
    <w:uiPriority w:val="99"/>
    <w:pPr>
      <w:widowControl w:val="0"/>
      <w:spacing w:line="360" w:lineRule="auto"/>
      <w:ind w:firstLine="200" w:firstLineChars="200"/>
      <w:jc w:val="both"/>
    </w:pPr>
    <w:rPr>
      <w:rFonts w:ascii="Times New Roman" w:hAnsi="Times New Roman" w:eastAsia="宋体" w:cs="Times New Roman"/>
      <w:kern w:val="2"/>
      <w:sz w:val="21"/>
      <w:lang w:val="en-US" w:eastAsia="zh-CN" w:bidi="ar-SA"/>
    </w:rPr>
  </w:style>
  <w:style w:type="paragraph" w:customStyle="1" w:styleId="94">
    <w:name w:val="正文首行缩进两字"/>
    <w:autoRedefine/>
    <w:qFormat/>
    <w:uiPriority w:val="0"/>
    <w:pPr>
      <w:widowControl w:val="0"/>
      <w:spacing w:line="360" w:lineRule="auto"/>
      <w:ind w:right="245"/>
      <w:jc w:val="center"/>
    </w:pPr>
    <w:rPr>
      <w:rFonts w:ascii="Arial" w:hAnsi="Arial" w:eastAsia="宋体" w:cs="Arial"/>
      <w:bCs/>
      <w:sz w:val="24"/>
      <w:szCs w:val="24"/>
      <w:lang w:val="en-US" w:eastAsia="zh-CN" w:bidi="ar-SA"/>
    </w:rPr>
  </w:style>
  <w:style w:type="paragraph" w:customStyle="1" w:styleId="95">
    <w:name w:val="Revision"/>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96">
    <w:name w:val="列出段落1"/>
    <w:basedOn w:val="1"/>
    <w:autoRedefine/>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79</Pages>
  <Words>2486</Words>
  <Characters>2974</Characters>
  <Lines>460</Lines>
  <Paragraphs>129</Paragraphs>
  <TotalTime>423</TotalTime>
  <ScaleCrop>false</ScaleCrop>
  <LinksUpToDate>false</LinksUpToDate>
  <CharactersWithSpaces>3026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2023-11-01T08:20:00Z</dcterms:created>
  <dc:creator>唐冰</dc:creator>
  <cp:lastModifiedBy>欧明聪</cp:lastModifiedBy>
  <cp:lastPrinted>2025-04-14T08:18:00Z</cp:lastPrinted>
  <dcterms:modified xsi:type="dcterms:W3CDTF">2025-04-21T07:32:28Z</dcterms:modified>
  <dc:title>竞争性谈判文件规范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6583DA68AC7A43C3AF26C8EEBECD629D_13</vt:lpwstr>
  </property>
  <property fmtid="{D5CDD505-2E9C-101B-9397-08002B2CF9AE}" pid="4" name="KSOTemplateDocerSaveRecord">
    <vt:lpwstr>eyJoZGlkIjoiNjM0MjEyZTBlNmZkNzkwMzBhODU4YjhhNWM5NmU3OWEiLCJ1c2VySWQiOiIxNTkyMzUzNDk3In0=</vt:lpwstr>
  </property>
</Properties>
</file>