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sz w:val="52"/>
          <w:szCs w:val="52"/>
          <w:highlight w:val="none"/>
        </w:rPr>
      </w:pPr>
    </w:p>
    <w:p>
      <w:pPr>
        <w:spacing w:before="120" w:beforeLines="50" w:line="360" w:lineRule="auto"/>
        <w:jc w:val="center"/>
        <w:rPr>
          <w:rFonts w:hint="eastAsia"/>
          <w:sz w:val="36"/>
          <w:szCs w:val="36"/>
          <w:highlight w:val="none"/>
        </w:rPr>
      </w:pPr>
    </w:p>
    <w:p>
      <w:pPr>
        <w:snapToGrid w:val="0"/>
        <w:spacing w:before="120" w:beforeLines="50" w:line="360" w:lineRule="auto"/>
        <w:jc w:val="center"/>
        <w:rPr>
          <w:rFonts w:hint="eastAsia" w:ascii="宋体" w:hAnsi="宋体" w:cs="宋体"/>
          <w:sz w:val="44"/>
          <w:szCs w:val="44"/>
          <w:highlight w:val="none"/>
        </w:rPr>
      </w:pPr>
      <w:r>
        <w:rPr>
          <w:rFonts w:hint="eastAsia" w:ascii="宋体" w:hAnsi="宋体" w:cs="宋体"/>
          <w:sz w:val="72"/>
          <w:szCs w:val="72"/>
          <w:highlight w:val="none"/>
        </w:rPr>
        <w:t>竞争性磋商文件</w:t>
      </w:r>
    </w:p>
    <w:p>
      <w:pPr>
        <w:spacing w:before="240" w:beforeLines="100" w:after="120" w:afterLines="50" w:line="360" w:lineRule="auto"/>
        <w:jc w:val="center"/>
        <w:rPr>
          <w:rFonts w:hint="eastAsia" w:ascii="宋体" w:hAnsi="宋体" w:cs="宋体"/>
          <w:szCs w:val="21"/>
          <w:highlight w:val="none"/>
        </w:rPr>
      </w:pPr>
      <w:r>
        <w:rPr>
          <w:rFonts w:hint="eastAsia" w:ascii="宋体" w:hAnsi="宋体" w:cs="宋体"/>
          <w:szCs w:val="21"/>
          <w:highlight w:val="none"/>
        </w:rPr>
        <w:t>（全流程电子化评标）</w:t>
      </w:r>
    </w:p>
    <w:p>
      <w:pPr>
        <w:spacing w:line="360" w:lineRule="auto"/>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napToGrid w:val="0"/>
        <w:spacing w:before="50" w:after="120" w:line="360" w:lineRule="auto"/>
        <w:ind w:firstLine="1684" w:firstLineChars="559"/>
        <w:rPr>
          <w:rFonts w:hint="eastAsia" w:ascii="宋体" w:hAnsi="宋体" w:cs="宋体"/>
          <w:b/>
          <w:bCs/>
          <w:kern w:val="0"/>
          <w:sz w:val="30"/>
          <w:szCs w:val="30"/>
          <w:highlight w:val="none"/>
        </w:rPr>
      </w:pPr>
    </w:p>
    <w:p>
      <w:pPr>
        <w:snapToGrid w:val="0"/>
        <w:spacing w:before="50" w:after="120" w:line="360" w:lineRule="auto"/>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项目</w:t>
      </w:r>
      <w:r>
        <w:rPr>
          <w:rFonts w:hint="eastAsia" w:ascii="宋体" w:hAnsi="宋体" w:cs="宋体"/>
          <w:b/>
          <w:bCs/>
          <w:w w:val="95"/>
          <w:kern w:val="0"/>
          <w:sz w:val="30"/>
          <w:szCs w:val="30"/>
          <w:highlight w:val="none"/>
        </w:rPr>
        <w:t>名称</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eastAsia="zh-CN"/>
        </w:rPr>
        <w:t>广西壮族自治区财政厅</w:t>
      </w:r>
      <w:r>
        <w:rPr>
          <w:rFonts w:hint="eastAsia" w:ascii="宋体" w:hAnsi="宋体" w:cs="宋体"/>
          <w:b/>
          <w:bCs/>
          <w:kern w:val="0"/>
          <w:sz w:val="30"/>
          <w:szCs w:val="30"/>
          <w:highlight w:val="none"/>
        </w:rPr>
        <w:t>202</w:t>
      </w:r>
      <w:r>
        <w:rPr>
          <w:rFonts w:hint="eastAsia" w:ascii="宋体" w:hAnsi="宋体" w:cs="宋体"/>
          <w:b/>
          <w:bCs/>
          <w:kern w:val="0"/>
          <w:sz w:val="30"/>
          <w:szCs w:val="30"/>
          <w:highlight w:val="none"/>
          <w:lang w:val="en-US" w:eastAsia="zh-CN"/>
        </w:rPr>
        <w:t>5</w:t>
      </w:r>
      <w:r>
        <w:rPr>
          <w:rFonts w:hint="eastAsia" w:ascii="宋体" w:hAnsi="宋体" w:cs="宋体"/>
          <w:b/>
          <w:bCs/>
          <w:kern w:val="0"/>
          <w:sz w:val="30"/>
          <w:szCs w:val="30"/>
          <w:highlight w:val="none"/>
        </w:rPr>
        <w:t>年网络安全保障服务</w:t>
      </w:r>
    </w:p>
    <w:p>
      <w:pPr>
        <w:snapToGrid w:val="0"/>
        <w:spacing w:before="50" w:after="120" w:line="360" w:lineRule="auto"/>
        <w:jc w:val="center"/>
        <w:rPr>
          <w:rFonts w:hint="eastAsia" w:ascii="宋体" w:hAnsi="宋体" w:eastAsia="仿宋_GB2312" w:cs="宋体"/>
          <w:b/>
          <w:bCs/>
          <w:kern w:val="0"/>
          <w:sz w:val="30"/>
          <w:szCs w:val="30"/>
          <w:highlight w:val="none"/>
          <w:lang w:eastAsia="zh-CN"/>
        </w:rPr>
      </w:pPr>
      <w:r>
        <w:rPr>
          <w:rFonts w:hint="eastAsia" w:ascii="宋体" w:hAnsi="宋体" w:cs="宋体"/>
          <w:b/>
          <w:bCs/>
          <w:kern w:val="0"/>
          <w:sz w:val="30"/>
          <w:szCs w:val="30"/>
          <w:highlight w:val="none"/>
        </w:rPr>
        <w:t>项目编号：</w:t>
      </w:r>
      <w:r>
        <w:rPr>
          <w:rFonts w:hint="eastAsia" w:ascii="仿宋_GB2312" w:hAnsi="仿宋_GB2312" w:eastAsia="仿宋_GB2312" w:cs="仿宋_GB2312"/>
          <w:b/>
          <w:bCs/>
          <w:kern w:val="0"/>
          <w:sz w:val="30"/>
          <w:szCs w:val="30"/>
          <w:highlight w:val="none"/>
        </w:rPr>
        <w:t>GXZC2025-C3-000958-GXKL</w:t>
      </w:r>
    </w:p>
    <w:p>
      <w:pPr>
        <w:snapToGrid w:val="0"/>
        <w:spacing w:before="50" w:after="120" w:line="360" w:lineRule="auto"/>
        <w:ind w:firstLine="1684" w:firstLineChars="559"/>
        <w:rPr>
          <w:rFonts w:hint="eastAsia" w:ascii="宋体" w:hAnsi="宋体" w:cs="宋体"/>
          <w:b/>
          <w:bCs/>
          <w:kern w:val="0"/>
          <w:sz w:val="30"/>
          <w:szCs w:val="30"/>
          <w:highlight w:val="none"/>
        </w:rPr>
      </w:pPr>
    </w:p>
    <w:p>
      <w:pPr>
        <w:snapToGrid w:val="0"/>
        <w:spacing w:before="50" w:after="120" w:line="360" w:lineRule="auto"/>
        <w:ind w:firstLine="1807" w:firstLineChars="600"/>
        <w:rPr>
          <w:rFonts w:hint="eastAsia" w:ascii="宋体" w:hAnsi="宋体" w:cs="宋体"/>
          <w:b/>
          <w:bCs/>
          <w:kern w:val="0"/>
          <w:sz w:val="30"/>
          <w:szCs w:val="30"/>
          <w:highlight w:val="none"/>
        </w:rPr>
      </w:pPr>
    </w:p>
    <w:p>
      <w:pPr>
        <w:snapToGrid w:val="0"/>
        <w:spacing w:before="50" w:after="120" w:line="360" w:lineRule="auto"/>
        <w:ind w:firstLine="1807" w:firstLineChars="600"/>
        <w:rPr>
          <w:rFonts w:hint="eastAsia" w:ascii="宋体" w:hAnsi="宋体" w:cs="宋体"/>
          <w:b/>
          <w:bCs/>
          <w:kern w:val="0"/>
          <w:sz w:val="30"/>
          <w:szCs w:val="30"/>
          <w:highlight w:val="none"/>
        </w:rPr>
      </w:pPr>
    </w:p>
    <w:p>
      <w:pPr>
        <w:snapToGrid w:val="0"/>
        <w:spacing w:before="50" w:after="120" w:line="360" w:lineRule="auto"/>
        <w:jc w:val="center"/>
        <w:rPr>
          <w:rFonts w:ascii="宋体" w:hAnsi="宋体" w:cs="宋体"/>
          <w:b/>
          <w:bCs/>
          <w:kern w:val="0"/>
          <w:sz w:val="30"/>
          <w:szCs w:val="30"/>
          <w:highlight w:val="none"/>
        </w:rPr>
      </w:pPr>
      <w:r>
        <w:rPr>
          <w:rFonts w:hint="eastAsia" w:ascii="宋体" w:hAnsi="宋体" w:cs="宋体"/>
          <w:b/>
          <w:bCs/>
          <w:kern w:val="0"/>
          <w:sz w:val="30"/>
          <w:szCs w:val="30"/>
          <w:highlight w:val="none"/>
        </w:rPr>
        <w:t>采购人：广西财政信息管理中心</w:t>
      </w:r>
    </w:p>
    <w:p>
      <w:pPr>
        <w:snapToGrid w:val="0"/>
        <w:spacing w:before="50" w:after="120" w:line="360" w:lineRule="auto"/>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采购代理机构：</w:t>
      </w:r>
      <w:bookmarkStart w:id="0" w:name="PO_3000001866_PM031"/>
      <w:r>
        <w:rPr>
          <w:rFonts w:hint="eastAsia" w:ascii="宋体" w:hAnsi="宋体" w:cs="宋体"/>
          <w:b/>
          <w:bCs/>
          <w:kern w:val="0"/>
          <w:sz w:val="30"/>
          <w:szCs w:val="30"/>
          <w:highlight w:val="none"/>
        </w:rPr>
        <w:t>广西科联招标中心有限公司</w:t>
      </w:r>
      <w:bookmarkEnd w:id="0"/>
    </w:p>
    <w:p>
      <w:pPr>
        <w:spacing w:line="360" w:lineRule="auto"/>
        <w:jc w:val="center"/>
        <w:rPr>
          <w:rFonts w:hint="eastAsia"/>
          <w:b/>
          <w:sz w:val="44"/>
          <w:szCs w:val="44"/>
          <w:highlight w:val="none"/>
        </w:rPr>
      </w:pPr>
    </w:p>
    <w:p>
      <w:pPr>
        <w:pStyle w:val="7"/>
        <w:rPr>
          <w:rFonts w:hint="eastAsia"/>
          <w:b/>
          <w:sz w:val="44"/>
          <w:szCs w:val="44"/>
          <w:highlight w:val="none"/>
        </w:rPr>
      </w:pPr>
    </w:p>
    <w:p>
      <w:pPr>
        <w:pStyle w:val="7"/>
        <w:rPr>
          <w:rFonts w:hint="eastAsia" w:ascii="宋体" w:hAnsi="宋体" w:eastAsia="宋体" w:cs="宋体"/>
          <w:b/>
          <w:bCs/>
          <w:kern w:val="0"/>
          <w:sz w:val="30"/>
          <w:szCs w:val="30"/>
          <w:highlight w:val="none"/>
          <w:lang w:val="en-US" w:eastAsia="zh-CN" w:bidi="ar-SA"/>
        </w:rPr>
      </w:pPr>
    </w:p>
    <w:p>
      <w:pPr>
        <w:pStyle w:val="7"/>
        <w:jc w:val="center"/>
        <w:rPr>
          <w:rFonts w:hint="default" w:ascii="宋体" w:hAnsi="宋体" w:eastAsia="宋体" w:cs="宋体"/>
          <w:b/>
          <w:bCs/>
          <w:kern w:val="0"/>
          <w:sz w:val="30"/>
          <w:szCs w:val="30"/>
          <w:highlight w:val="none"/>
          <w:lang w:val="en-US" w:eastAsia="zh-CN" w:bidi="ar-SA"/>
        </w:rPr>
        <w:sectPr>
          <w:headerReference r:id="rId3" w:type="first"/>
          <w:footerReference r:id="rId5" w:type="first"/>
          <w:footerReference r:id="rId4" w:type="default"/>
          <w:pgSz w:w="11911" w:h="16838"/>
          <w:pgMar w:top="1134" w:right="1134" w:bottom="1134" w:left="1134" w:header="720" w:footer="720" w:gutter="0"/>
          <w:cols w:space="720" w:num="1"/>
          <w:docGrid w:linePitch="312" w:charSpace="0"/>
        </w:sectPr>
      </w:pPr>
      <w:r>
        <w:rPr>
          <w:rFonts w:hint="eastAsia" w:ascii="宋体" w:hAnsi="宋体" w:eastAsia="宋体" w:cs="宋体"/>
          <w:b/>
          <w:bCs/>
          <w:kern w:val="0"/>
          <w:sz w:val="30"/>
          <w:szCs w:val="30"/>
          <w:highlight w:val="none"/>
          <w:lang w:val="en-US" w:eastAsia="zh-CN" w:bidi="ar-SA"/>
        </w:rPr>
        <w:t>2025年</w:t>
      </w:r>
      <w:r>
        <w:rPr>
          <w:rFonts w:hint="eastAsia" w:ascii="宋体" w:hAnsi="宋体" w:cs="宋体"/>
          <w:b/>
          <w:bCs/>
          <w:kern w:val="0"/>
          <w:sz w:val="30"/>
          <w:szCs w:val="30"/>
          <w:highlight w:val="none"/>
          <w:lang w:val="en-US" w:eastAsia="zh-CN" w:bidi="ar-SA"/>
        </w:rPr>
        <w:t>4</w:t>
      </w:r>
      <w:r>
        <w:rPr>
          <w:rFonts w:hint="eastAsia" w:ascii="宋体" w:hAnsi="宋体" w:eastAsia="宋体" w:cs="宋体"/>
          <w:b/>
          <w:bCs/>
          <w:kern w:val="0"/>
          <w:sz w:val="30"/>
          <w:szCs w:val="30"/>
          <w:highlight w:val="none"/>
          <w:lang w:val="en-US" w:eastAsia="zh-CN" w:bidi="ar-SA"/>
        </w:rPr>
        <w:t>月</w:t>
      </w:r>
    </w:p>
    <w:p>
      <w:pPr>
        <w:pStyle w:val="7"/>
        <w:rPr>
          <w:rFonts w:hint="eastAsia"/>
          <w:highlight w:val="none"/>
        </w:rPr>
      </w:pPr>
    </w:p>
    <w:p>
      <w:pPr>
        <w:spacing w:line="360" w:lineRule="auto"/>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目   录</w:t>
      </w:r>
    </w:p>
    <w:p>
      <w:pPr>
        <w:spacing w:line="400" w:lineRule="exact"/>
        <w:jc w:val="center"/>
        <w:rPr>
          <w:rFonts w:hint="eastAsia"/>
          <w:b/>
          <w:sz w:val="44"/>
          <w:szCs w:val="44"/>
          <w:highlight w:val="none"/>
        </w:rPr>
      </w:pPr>
    </w:p>
    <w:p>
      <w:pPr>
        <w:pStyle w:val="22"/>
        <w:tabs>
          <w:tab w:val="right" w:leader="dot" w:pos="9643"/>
        </w:tabs>
        <w:spacing w:line="10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fldChar w:fldCharType="begin"/>
      </w:r>
      <w:r>
        <w:rPr>
          <w:rFonts w:hint="eastAsia" w:ascii="仿宋_GB2312" w:hAnsi="仿宋_GB2312" w:eastAsia="仿宋_GB2312" w:cs="仿宋_GB2312"/>
          <w:b/>
          <w:sz w:val="32"/>
          <w:szCs w:val="32"/>
          <w:highlight w:val="none"/>
        </w:rPr>
        <w:instrText xml:space="preserve">TOC \o "1-1" \h \u </w:instrText>
      </w:r>
      <w:r>
        <w:rPr>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_Toc32264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第一章 竞争性磋商公告</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_Toc32264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22"/>
        <w:tabs>
          <w:tab w:val="right" w:leader="dot" w:pos="9643"/>
        </w:tabs>
        <w:spacing w:line="10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_Toc26836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第二章 采购需求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_Toc26836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22"/>
        <w:tabs>
          <w:tab w:val="right" w:leader="dot" w:pos="9643"/>
        </w:tabs>
        <w:spacing w:line="10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_Toc2072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第三章 供应商须知</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_Toc2072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22"/>
        <w:tabs>
          <w:tab w:val="right" w:leader="dot" w:pos="9643"/>
        </w:tabs>
        <w:spacing w:line="10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_Toc1088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第四章 评审程序、评审方法和评审标准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_Toc1088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49</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22"/>
        <w:tabs>
          <w:tab w:val="right" w:leader="dot" w:pos="9643"/>
        </w:tabs>
        <w:spacing w:line="10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_Toc22302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第五章 响应文件格式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_Toc22302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58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22"/>
        <w:tabs>
          <w:tab w:val="right" w:leader="dot" w:pos="9643"/>
        </w:tabs>
        <w:spacing w:line="10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_Toc18676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第六章 合同文本</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_Toc18676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22"/>
        <w:tabs>
          <w:tab w:val="right" w:leader="dot" w:pos="9643"/>
        </w:tabs>
        <w:spacing w:line="10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_Toc13011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第七章 质疑、投诉材料格式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_Toc13011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99</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24"/>
        <w:spacing w:line="1000" w:lineRule="exact"/>
        <w:rPr>
          <w:rFonts w:hint="eastAsia" w:ascii="宋体" w:hAnsi="宋体" w:cs="宋体"/>
          <w:sz w:val="24"/>
          <w:highlight w:val="none"/>
        </w:rPr>
      </w:pPr>
      <w:r>
        <w:rPr>
          <w:rFonts w:hint="eastAsia" w:ascii="仿宋_GB2312" w:hAnsi="仿宋_GB2312" w:eastAsia="仿宋_GB2312" w:cs="仿宋_GB2312"/>
          <w:sz w:val="32"/>
          <w:szCs w:val="32"/>
          <w:highlight w:val="none"/>
        </w:rPr>
        <w:fldChar w:fldCharType="end"/>
      </w:r>
    </w:p>
    <w:p>
      <w:pPr>
        <w:spacing w:line="400" w:lineRule="exact"/>
        <w:jc w:val="left"/>
        <w:rPr>
          <w:rFonts w:hint="eastAsia"/>
          <w:b/>
          <w:sz w:val="32"/>
          <w:szCs w:val="32"/>
          <w:highlight w:val="none"/>
        </w:rPr>
      </w:pPr>
    </w:p>
    <w:p>
      <w:pPr>
        <w:spacing w:line="400" w:lineRule="exact"/>
        <w:jc w:val="center"/>
        <w:rPr>
          <w:rFonts w:hint="eastAsia"/>
          <w:b/>
          <w:sz w:val="32"/>
          <w:szCs w:val="32"/>
          <w:highlight w:val="none"/>
        </w:rPr>
      </w:pPr>
    </w:p>
    <w:p>
      <w:pPr>
        <w:spacing w:line="400" w:lineRule="exact"/>
        <w:jc w:val="center"/>
        <w:rPr>
          <w:rFonts w:hint="eastAsia"/>
          <w:b/>
          <w:sz w:val="32"/>
          <w:szCs w:val="32"/>
          <w:highlight w:val="none"/>
        </w:rPr>
      </w:pPr>
    </w:p>
    <w:p>
      <w:pPr>
        <w:spacing w:line="400" w:lineRule="exact"/>
        <w:jc w:val="center"/>
        <w:rPr>
          <w:rFonts w:hint="eastAsia"/>
          <w:b/>
          <w:sz w:val="32"/>
          <w:szCs w:val="32"/>
          <w:highlight w:val="none"/>
        </w:rPr>
      </w:pPr>
    </w:p>
    <w:p>
      <w:pPr>
        <w:spacing w:line="400" w:lineRule="exact"/>
        <w:jc w:val="center"/>
        <w:rPr>
          <w:rFonts w:hint="eastAsia"/>
          <w:b/>
          <w:sz w:val="32"/>
          <w:szCs w:val="32"/>
          <w:highlight w:val="none"/>
        </w:rPr>
      </w:pPr>
    </w:p>
    <w:p>
      <w:pPr>
        <w:spacing w:line="400" w:lineRule="exact"/>
        <w:rPr>
          <w:rFonts w:hint="eastAsia"/>
          <w:b/>
          <w:sz w:val="32"/>
          <w:szCs w:val="32"/>
          <w:highlight w:val="none"/>
        </w:rPr>
        <w:sectPr>
          <w:footerReference r:id="rId6" w:type="default"/>
          <w:pgSz w:w="11911" w:h="16838"/>
          <w:pgMar w:top="1134" w:right="1134" w:bottom="1134" w:left="1134" w:header="720" w:footer="720" w:gutter="0"/>
          <w:pgNumType w:start="1"/>
          <w:cols w:space="720" w:num="1"/>
          <w:docGrid w:linePitch="312" w:charSpace="0"/>
        </w:sectPr>
      </w:pPr>
    </w:p>
    <w:p>
      <w:pPr>
        <w:pStyle w:val="2"/>
        <w:spacing w:line="400" w:lineRule="exact"/>
        <w:jc w:val="center"/>
        <w:rPr>
          <w:rFonts w:hint="eastAsia" w:ascii="Calibri" w:hAnsi="Calibri"/>
          <w:highlight w:val="none"/>
        </w:rPr>
      </w:pPr>
      <w:bookmarkStart w:id="1" w:name="_Toc80886925"/>
      <w:bookmarkStart w:id="2" w:name="_Toc15624"/>
      <w:bookmarkStart w:id="3" w:name="_Toc12242"/>
      <w:bookmarkStart w:id="4" w:name="_Toc11989"/>
      <w:bookmarkStart w:id="5" w:name="_Toc32264"/>
      <w:bookmarkStart w:id="6" w:name="_Toc27000"/>
      <w:bookmarkStart w:id="7" w:name="_Toc11382"/>
      <w:bookmarkStart w:id="8" w:name="_Toc18838"/>
      <w:r>
        <w:rPr>
          <w:rFonts w:hint="eastAsia" w:ascii="Calibri" w:hAnsi="Calibri"/>
          <w:highlight w:val="none"/>
        </w:rPr>
        <w:t>第一章 竞争性磋商公告</w:t>
      </w:r>
      <w:bookmarkEnd w:id="1"/>
      <w:bookmarkEnd w:id="2"/>
      <w:bookmarkEnd w:id="3"/>
      <w:bookmarkEnd w:id="4"/>
      <w:bookmarkEnd w:id="5"/>
      <w:bookmarkEnd w:id="6"/>
      <w:bookmarkEnd w:id="7"/>
      <w:bookmarkEnd w:id="8"/>
      <w:bookmarkStart w:id="9" w:name="_Toc35393629"/>
      <w:bookmarkStart w:id="10" w:name="_Toc28359012"/>
      <w:bookmarkStart w:id="11" w:name="_Toc28359089"/>
      <w:bookmarkStart w:id="12" w:name="_Toc44229878"/>
      <w:bookmarkStart w:id="13" w:name="_Toc35393798"/>
      <w:bookmarkStart w:id="14" w:name="_Toc28359081"/>
      <w:bookmarkStart w:id="15" w:name="_Toc35393623"/>
      <w:bookmarkStart w:id="16" w:name="_Toc35393792"/>
      <w:bookmarkStart w:id="17" w:name="_Toc28359004"/>
    </w:p>
    <w:p>
      <w:pPr>
        <w:spacing w:line="560" w:lineRule="exact"/>
        <w:jc w:val="center"/>
        <w:rPr>
          <w:rFonts w:hint="eastAsia" w:ascii="方正小标宋简体" w:eastAsia="方正小标宋简体"/>
          <w:sz w:val="40"/>
          <w:szCs w:val="44"/>
          <w:highlight w:val="none"/>
        </w:rPr>
      </w:pPr>
      <w:r>
        <w:rPr>
          <w:rFonts w:hint="eastAsia" w:ascii="方正小标宋简体" w:eastAsia="方正小标宋简体"/>
          <w:sz w:val="40"/>
          <w:szCs w:val="44"/>
          <w:highlight w:val="none"/>
        </w:rPr>
        <w:t>广西科联招标中心有限公司</w:t>
      </w:r>
    </w:p>
    <w:p>
      <w:pPr>
        <w:spacing w:line="560" w:lineRule="exact"/>
        <w:jc w:val="center"/>
        <w:rPr>
          <w:rFonts w:hint="eastAsia" w:ascii="方正小标宋简体" w:eastAsia="方正小标宋简体"/>
          <w:sz w:val="40"/>
          <w:szCs w:val="44"/>
          <w:highlight w:val="none"/>
        </w:rPr>
      </w:pPr>
      <w:r>
        <w:rPr>
          <w:rFonts w:hint="eastAsia" w:ascii="方正小标宋简体" w:eastAsia="方正小标宋简体"/>
          <w:sz w:val="40"/>
          <w:szCs w:val="44"/>
          <w:highlight w:val="none"/>
        </w:rPr>
        <w:t>广西壮族自治区财政厅2025年网络安全保障服务</w:t>
      </w:r>
    </w:p>
    <w:p>
      <w:pPr>
        <w:spacing w:line="560" w:lineRule="exact"/>
        <w:jc w:val="center"/>
        <w:rPr>
          <w:rFonts w:hint="eastAsia" w:ascii="方正小标宋简体" w:eastAsia="方正小标宋简体"/>
          <w:sz w:val="40"/>
          <w:szCs w:val="44"/>
          <w:highlight w:val="none"/>
        </w:rPr>
      </w:pPr>
      <w:r>
        <w:rPr>
          <w:rFonts w:hint="eastAsia" w:ascii="方正小标宋简体" w:eastAsia="方正小标宋简体"/>
          <w:sz w:val="40"/>
          <w:szCs w:val="44"/>
          <w:highlight w:val="none"/>
        </w:rPr>
        <w:t>（GXZC2025-C3-000958-GXKL）</w:t>
      </w:r>
    </w:p>
    <w:p>
      <w:pPr>
        <w:jc w:val="center"/>
        <w:rPr>
          <w:highlight w:val="none"/>
        </w:rPr>
      </w:pPr>
      <w:r>
        <w:rPr>
          <w:rFonts w:hint="eastAsia" w:ascii="方正小标宋简体" w:eastAsia="方正小标宋简体"/>
          <w:sz w:val="40"/>
          <w:szCs w:val="44"/>
          <w:highlight w:val="none"/>
        </w:rPr>
        <w:t>竞争性磋商公告</w:t>
      </w:r>
    </w:p>
    <w:p>
      <w:pPr>
        <w:rPr>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9" w:type="dxa"/>
            <w:noWrap w:val="0"/>
            <w:vAlign w:val="top"/>
          </w:tcPr>
          <w:p>
            <w:pPr>
              <w:spacing w:line="360" w:lineRule="auto"/>
              <w:ind w:firstLine="420" w:firstLineChars="200"/>
              <w:rPr>
                <w:rFonts w:hint="eastAsia"/>
                <w:szCs w:val="21"/>
                <w:highlight w:val="none"/>
              </w:rPr>
            </w:pPr>
            <w:r>
              <w:rPr>
                <w:rFonts w:hint="eastAsia"/>
                <w:szCs w:val="21"/>
                <w:highlight w:val="none"/>
              </w:rPr>
              <w:t>项目概况</w:t>
            </w:r>
          </w:p>
          <w:p>
            <w:pPr>
              <w:spacing w:line="360" w:lineRule="auto"/>
              <w:ind w:firstLine="420" w:firstLineChars="200"/>
              <w:rPr>
                <w:rFonts w:hint="eastAsia" w:ascii="黑体" w:hAnsi="黑体" w:eastAsia="黑体" w:cs="宋体"/>
                <w:bCs/>
                <w:sz w:val="24"/>
                <w:highlight w:val="none"/>
              </w:rPr>
            </w:pPr>
            <w:r>
              <w:rPr>
                <w:rFonts w:hint="eastAsia"/>
                <w:szCs w:val="21"/>
                <w:highlight w:val="none"/>
              </w:rPr>
              <w:t>广西</w:t>
            </w:r>
            <w:r>
              <w:rPr>
                <w:rFonts w:hint="eastAsia"/>
                <w:szCs w:val="21"/>
                <w:highlight w:val="none"/>
                <w:lang w:eastAsia="zh-CN"/>
              </w:rPr>
              <w:t>壮族自治区</w:t>
            </w:r>
            <w:r>
              <w:rPr>
                <w:rFonts w:hint="eastAsia"/>
                <w:szCs w:val="21"/>
                <w:highlight w:val="none"/>
              </w:rPr>
              <w:t>财政厅</w:t>
            </w:r>
            <w:r>
              <w:rPr>
                <w:rFonts w:hint="eastAsia"/>
                <w:szCs w:val="21"/>
                <w:highlight w:val="none"/>
                <w:lang w:val="en-US" w:eastAsia="zh-CN"/>
              </w:rPr>
              <w:t>2025年</w:t>
            </w:r>
            <w:r>
              <w:rPr>
                <w:rFonts w:hint="eastAsia"/>
                <w:szCs w:val="21"/>
                <w:highlight w:val="none"/>
              </w:rPr>
              <w:t>网络安全保障服务</w:t>
            </w:r>
            <w:r>
              <w:rPr>
                <w:rFonts w:hint="eastAsia" w:ascii="宋体" w:hAnsi="宋体"/>
                <w:color w:val="000000"/>
                <w:szCs w:val="21"/>
                <w:highlight w:val="none"/>
              </w:rPr>
              <w:t>采购项目</w:t>
            </w:r>
            <w:r>
              <w:rPr>
                <w:rFonts w:hint="eastAsia"/>
                <w:szCs w:val="21"/>
                <w:highlight w:val="none"/>
              </w:rPr>
              <w:t>的潜在供应商应在</w:t>
            </w:r>
            <w:r>
              <w:rPr>
                <w:rFonts w:hint="eastAsia" w:ascii="宋体" w:hAnsi="宋体" w:cs="宋体"/>
                <w:szCs w:val="21"/>
                <w:highlight w:val="none"/>
              </w:rPr>
              <w:t>广西政府采购云平台（https://www.gcy.zfcg.gxzf.gov.cn/）</w:t>
            </w:r>
            <w:r>
              <w:rPr>
                <w:rFonts w:hint="eastAsia"/>
                <w:szCs w:val="21"/>
                <w:highlight w:val="none"/>
              </w:rPr>
              <w:t>获取采购文件，并于202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9</w:t>
            </w:r>
            <w:r>
              <w:rPr>
                <w:rFonts w:hint="eastAsia"/>
                <w:szCs w:val="21"/>
                <w:highlight w:val="none"/>
              </w:rPr>
              <w:t>日</w:t>
            </w:r>
            <w:r>
              <w:rPr>
                <w:rFonts w:hint="eastAsia"/>
                <w:szCs w:val="21"/>
                <w:highlight w:val="none"/>
                <w:lang w:val="en-US" w:eastAsia="zh-CN"/>
              </w:rPr>
              <w:t>15</w:t>
            </w:r>
            <w:r>
              <w:rPr>
                <w:rFonts w:hint="eastAsia"/>
                <w:szCs w:val="21"/>
                <w:highlight w:val="none"/>
              </w:rPr>
              <w:t>:00（北京时间）前提交响应文件。</w:t>
            </w:r>
          </w:p>
        </w:tc>
      </w:tr>
    </w:tbl>
    <w:p>
      <w:pPr>
        <w:spacing w:line="360" w:lineRule="auto"/>
        <w:ind w:firstLine="480" w:firstLineChars="200"/>
        <w:rPr>
          <w:rFonts w:ascii="Calibri" w:hAnsi="Calibri"/>
          <w:highlight w:val="none"/>
        </w:rPr>
      </w:pPr>
      <w:r>
        <w:rPr>
          <w:rFonts w:hint="eastAsia" w:ascii="黑体" w:hAnsi="黑体" w:eastAsia="黑体" w:cs="宋体"/>
          <w:bCs/>
          <w:sz w:val="24"/>
          <w:highlight w:val="none"/>
        </w:rPr>
        <w:t>一、项目基本情况</w:t>
      </w:r>
      <w:bookmarkEnd w:id="9"/>
      <w:bookmarkEnd w:id="10"/>
      <w:bookmarkEnd w:id="11"/>
      <w:bookmarkEnd w:id="12"/>
      <w:bookmarkEnd w:id="13"/>
    </w:p>
    <w:p>
      <w:pPr>
        <w:spacing w:line="360" w:lineRule="auto"/>
        <w:ind w:firstLine="420" w:firstLineChars="200"/>
        <w:rPr>
          <w:rFonts w:hint="eastAsia"/>
          <w:szCs w:val="21"/>
          <w:highlight w:val="none"/>
        </w:rPr>
      </w:pPr>
      <w:r>
        <w:rPr>
          <w:rFonts w:hint="eastAsia"/>
          <w:szCs w:val="21"/>
          <w:highlight w:val="none"/>
        </w:rPr>
        <w:t>项目编号：GXZC2025-C3-000958-GXKL</w:t>
      </w:r>
    </w:p>
    <w:p>
      <w:pPr>
        <w:spacing w:line="360" w:lineRule="auto"/>
        <w:ind w:firstLine="420" w:firstLineChars="200"/>
        <w:rPr>
          <w:rFonts w:hint="eastAsia"/>
          <w:szCs w:val="21"/>
          <w:highlight w:val="none"/>
          <w:u w:val="single"/>
        </w:rPr>
      </w:pPr>
      <w:r>
        <w:rPr>
          <w:rFonts w:hint="eastAsia"/>
          <w:szCs w:val="21"/>
          <w:highlight w:val="none"/>
        </w:rPr>
        <w:t>项目名称：广西</w:t>
      </w:r>
      <w:r>
        <w:rPr>
          <w:rFonts w:hint="eastAsia"/>
          <w:szCs w:val="21"/>
          <w:highlight w:val="none"/>
          <w:lang w:eastAsia="zh-CN"/>
        </w:rPr>
        <w:t>壮族自治区</w:t>
      </w:r>
      <w:r>
        <w:rPr>
          <w:rFonts w:hint="eastAsia"/>
          <w:szCs w:val="21"/>
          <w:highlight w:val="none"/>
        </w:rPr>
        <w:t>财政厅202</w:t>
      </w:r>
      <w:r>
        <w:rPr>
          <w:rFonts w:hint="eastAsia"/>
          <w:szCs w:val="21"/>
          <w:highlight w:val="none"/>
          <w:lang w:val="en-US" w:eastAsia="zh-CN"/>
        </w:rPr>
        <w:t>5</w:t>
      </w:r>
      <w:r>
        <w:rPr>
          <w:rFonts w:hint="eastAsia"/>
          <w:szCs w:val="21"/>
          <w:highlight w:val="none"/>
        </w:rPr>
        <w:t>年网络安全保障服务</w:t>
      </w:r>
    </w:p>
    <w:p>
      <w:pPr>
        <w:spacing w:line="360" w:lineRule="auto"/>
        <w:ind w:firstLine="420" w:firstLineChars="200"/>
        <w:rPr>
          <w:szCs w:val="21"/>
          <w:highlight w:val="none"/>
        </w:rPr>
      </w:pPr>
      <w:r>
        <w:rPr>
          <w:rFonts w:hint="eastAsia"/>
          <w:szCs w:val="21"/>
          <w:highlight w:val="none"/>
        </w:rPr>
        <w:t>采购方式：</w:t>
      </w:r>
      <w:r>
        <w:rPr>
          <w:rFonts w:hint="eastAsia" w:ascii="宋体" w:hAnsi="宋体"/>
          <w:color w:val="000000"/>
          <w:szCs w:val="21"/>
          <w:highlight w:val="none"/>
        </w:rPr>
        <w:t>□ 竞争性谈判 ☑竞争性磋商 □询价</w:t>
      </w:r>
    </w:p>
    <w:p>
      <w:pPr>
        <w:spacing w:line="360" w:lineRule="auto"/>
        <w:ind w:firstLine="420" w:firstLineChars="200"/>
        <w:rPr>
          <w:rFonts w:hint="default" w:eastAsia="宋体"/>
          <w:szCs w:val="21"/>
          <w:highlight w:val="none"/>
          <w:lang w:val="en-US" w:eastAsia="zh-CN"/>
        </w:rPr>
      </w:pPr>
      <w:r>
        <w:rPr>
          <w:rFonts w:hint="eastAsia"/>
          <w:szCs w:val="21"/>
          <w:highlight w:val="none"/>
        </w:rPr>
        <w:t>预算金额（</w:t>
      </w:r>
      <w:r>
        <w:rPr>
          <w:rFonts w:hint="eastAsia"/>
          <w:szCs w:val="21"/>
          <w:highlight w:val="none"/>
          <w:lang w:eastAsia="zh-CN"/>
        </w:rPr>
        <w:t>万</w:t>
      </w:r>
      <w:r>
        <w:rPr>
          <w:rFonts w:hint="eastAsia"/>
          <w:szCs w:val="21"/>
          <w:highlight w:val="none"/>
        </w:rPr>
        <w:t>元）：1</w:t>
      </w:r>
      <w:r>
        <w:rPr>
          <w:rFonts w:hint="eastAsia"/>
          <w:szCs w:val="21"/>
          <w:highlight w:val="none"/>
          <w:lang w:val="en-US" w:eastAsia="zh-CN"/>
        </w:rPr>
        <w:t>94</w:t>
      </w:r>
      <w:r>
        <w:rPr>
          <w:rFonts w:hint="eastAsia"/>
          <w:szCs w:val="21"/>
          <w:highlight w:val="none"/>
        </w:rPr>
        <w:t>.</w:t>
      </w:r>
      <w:r>
        <w:rPr>
          <w:rFonts w:hint="eastAsia"/>
          <w:szCs w:val="21"/>
          <w:highlight w:val="none"/>
          <w:lang w:val="en-US" w:eastAsia="zh-CN"/>
        </w:rPr>
        <w:t>69</w:t>
      </w:r>
    </w:p>
    <w:p>
      <w:pPr>
        <w:spacing w:line="360" w:lineRule="auto"/>
        <w:ind w:firstLine="420" w:firstLineChars="200"/>
        <w:rPr>
          <w:rFonts w:hint="eastAsia"/>
          <w:szCs w:val="21"/>
          <w:highlight w:val="none"/>
        </w:rPr>
      </w:pPr>
      <w:r>
        <w:rPr>
          <w:rFonts w:hint="eastAsia"/>
          <w:szCs w:val="21"/>
          <w:highlight w:val="none"/>
        </w:rPr>
        <w:t>最高限价</w:t>
      </w:r>
      <w:r>
        <w:rPr>
          <w:rFonts w:hint="eastAsia" w:ascii="宋体" w:hAnsi="宋体"/>
          <w:color w:val="000000"/>
          <w:szCs w:val="21"/>
          <w:highlight w:val="none"/>
        </w:rPr>
        <w:t>（如有）</w:t>
      </w:r>
      <w:r>
        <w:rPr>
          <w:rFonts w:hint="eastAsia"/>
          <w:szCs w:val="21"/>
          <w:highlight w:val="none"/>
        </w:rPr>
        <w:t>：/</w:t>
      </w:r>
    </w:p>
    <w:p>
      <w:pPr>
        <w:spacing w:line="360" w:lineRule="auto"/>
        <w:ind w:firstLine="420" w:firstLineChars="200"/>
        <w:rPr>
          <w:rFonts w:hint="eastAsia" w:ascii="宋体" w:hAnsi="宋体" w:cs="宋体"/>
          <w:szCs w:val="21"/>
          <w:highlight w:val="none"/>
        </w:rPr>
      </w:pPr>
      <w:r>
        <w:rPr>
          <w:rFonts w:hint="eastAsia"/>
          <w:szCs w:val="21"/>
          <w:highlight w:val="none"/>
        </w:rPr>
        <w:t>采购需求：</w:t>
      </w:r>
      <w:r>
        <w:rPr>
          <w:rFonts w:hint="eastAsia" w:ascii="宋体" w:hAnsi="宋体" w:cs="宋体"/>
          <w:szCs w:val="21"/>
          <w:highlight w:val="none"/>
        </w:rPr>
        <w:t xml:space="preserve"> </w:t>
      </w:r>
    </w:p>
    <w:p>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标项名称：</w:t>
      </w:r>
      <w:r>
        <w:rPr>
          <w:rFonts w:hint="eastAsia"/>
          <w:szCs w:val="21"/>
          <w:highlight w:val="none"/>
        </w:rPr>
        <w:t>广西壮族自治区财政厅2025年网络安全保障服务</w:t>
      </w:r>
      <w:r>
        <w:rPr>
          <w:rFonts w:hint="eastAsia" w:ascii="宋体" w:hAnsi="宋体" w:cs="宋体"/>
          <w:szCs w:val="21"/>
          <w:highlight w:val="none"/>
        </w:rPr>
        <w:t>。 </w:t>
      </w:r>
      <w:r>
        <w:rPr>
          <w:rFonts w:hint="eastAsia" w:ascii="宋体" w:hAnsi="宋体" w:cs="宋体"/>
          <w:szCs w:val="21"/>
          <w:highlight w:val="none"/>
        </w:rPr>
        <w:br w:type="textWrapping"/>
      </w:r>
      <w:r>
        <w:rPr>
          <w:rFonts w:hint="eastAsia" w:ascii="宋体" w:hAnsi="宋体" w:cs="宋体"/>
          <w:szCs w:val="21"/>
          <w:highlight w:val="none"/>
        </w:rPr>
        <w:t>    数量：1 </w:t>
      </w:r>
      <w:r>
        <w:rPr>
          <w:rFonts w:hint="eastAsia" w:ascii="宋体" w:hAnsi="宋体" w:cs="宋体"/>
          <w:szCs w:val="21"/>
          <w:highlight w:val="none"/>
        </w:rPr>
        <w:br w:type="textWrapping"/>
      </w:r>
      <w:r>
        <w:rPr>
          <w:rFonts w:hint="eastAsia" w:ascii="宋体" w:hAnsi="宋体" w:cs="宋体"/>
          <w:szCs w:val="21"/>
          <w:highlight w:val="none"/>
        </w:rPr>
        <w:t>    预算金额（</w:t>
      </w:r>
      <w:r>
        <w:rPr>
          <w:rFonts w:hint="eastAsia" w:ascii="宋体" w:hAnsi="宋体" w:cs="宋体"/>
          <w:szCs w:val="21"/>
          <w:highlight w:val="none"/>
          <w:lang w:eastAsia="zh-CN"/>
        </w:rPr>
        <w:t>万</w:t>
      </w:r>
      <w:r>
        <w:rPr>
          <w:rFonts w:hint="eastAsia" w:ascii="宋体" w:hAnsi="宋体" w:cs="宋体"/>
          <w:szCs w:val="21"/>
          <w:highlight w:val="none"/>
        </w:rPr>
        <w:t>元）：</w:t>
      </w:r>
      <w:r>
        <w:rPr>
          <w:rFonts w:hint="eastAsia"/>
          <w:szCs w:val="21"/>
          <w:highlight w:val="none"/>
          <w:lang w:val="en-US" w:eastAsia="zh-CN"/>
        </w:rPr>
        <w:t>194.69</w:t>
      </w:r>
      <w:r>
        <w:rPr>
          <w:rFonts w:hint="eastAsia" w:ascii="宋体" w:hAnsi="宋体" w:cs="宋体"/>
          <w:szCs w:val="21"/>
          <w:highlight w:val="none"/>
        </w:rPr>
        <w:br w:type="textWrapping"/>
      </w:r>
      <w:r>
        <w:rPr>
          <w:rFonts w:hint="eastAsia" w:ascii="宋体" w:hAnsi="宋体" w:cs="宋体"/>
          <w:szCs w:val="21"/>
          <w:highlight w:val="none"/>
        </w:rPr>
        <w:t xml:space="preserve">      简要规格描述或项目基本概况介绍、用途：</w:t>
      </w:r>
      <w:r>
        <w:rPr>
          <w:rFonts w:hint="eastAsia"/>
          <w:szCs w:val="21"/>
          <w:highlight w:val="none"/>
        </w:rPr>
        <w:t>广西壮族自治区财政厅2025年网络安全保障服务</w:t>
      </w:r>
      <w:r>
        <w:rPr>
          <w:rFonts w:hint="eastAsia" w:ascii="宋体" w:hAnsi="宋体" w:cs="宋体"/>
          <w:szCs w:val="21"/>
          <w:highlight w:val="none"/>
        </w:rPr>
        <w:t>1项，详见</w:t>
      </w:r>
      <w:r>
        <w:rPr>
          <w:rFonts w:hint="eastAsia"/>
          <w:highlight w:val="none"/>
        </w:rPr>
        <w:t>本公告</w:t>
      </w:r>
      <w:r>
        <w:rPr>
          <w:rFonts w:hint="eastAsia" w:ascii="宋体" w:hAnsi="宋体" w:cs="宋体"/>
          <w:szCs w:val="21"/>
          <w:highlight w:val="none"/>
        </w:rPr>
        <w:t>附件</w:t>
      </w:r>
      <w:r>
        <w:rPr>
          <w:rFonts w:hint="eastAsia" w:ascii="宋体" w:hAnsi="宋体" w:cs="宋体"/>
          <w:kern w:val="0"/>
          <w:sz w:val="22"/>
          <w:szCs w:val="22"/>
          <w:highlight w:val="none"/>
          <w:lang w:bidi="ar"/>
        </w:rPr>
        <w:t>。</w:t>
      </w:r>
      <w:r>
        <w:rPr>
          <w:rFonts w:hint="eastAsia" w:ascii="宋体" w:hAnsi="宋体" w:cs="宋体"/>
          <w:szCs w:val="21"/>
          <w:highlight w:val="none"/>
        </w:rPr>
        <w:br w:type="textWrapping"/>
      </w:r>
      <w:r>
        <w:rPr>
          <w:rFonts w:hint="eastAsia" w:ascii="宋体" w:hAnsi="宋体" w:cs="宋体"/>
          <w:szCs w:val="21"/>
          <w:highlight w:val="none"/>
        </w:rPr>
        <w:t>    最高限价（万元）：/</w:t>
      </w:r>
    </w:p>
    <w:p>
      <w:pPr>
        <w:spacing w:line="360" w:lineRule="auto"/>
        <w:ind w:firstLine="630" w:firstLineChars="300"/>
        <w:rPr>
          <w:rFonts w:hint="eastAsia"/>
          <w:szCs w:val="21"/>
          <w:highlight w:val="none"/>
          <w:u w:val="single"/>
        </w:rPr>
      </w:pPr>
      <w:r>
        <w:rPr>
          <w:rFonts w:hint="eastAsia"/>
          <w:szCs w:val="21"/>
          <w:highlight w:val="none"/>
        </w:rPr>
        <w:t>合同履行期限：</w:t>
      </w:r>
      <w:r>
        <w:rPr>
          <w:rFonts w:hint="eastAsia" w:hAnsi="宋体" w:cs="宋体"/>
          <w:szCs w:val="22"/>
          <w:highlight w:val="none"/>
        </w:rPr>
        <w:t>自合同签订之日起1年</w:t>
      </w:r>
      <w:r>
        <w:rPr>
          <w:rFonts w:hint="eastAsia" w:ascii="宋体" w:hAnsi="宋体"/>
          <w:szCs w:val="21"/>
          <w:highlight w:val="none"/>
        </w:rPr>
        <w:t>。</w:t>
      </w:r>
    </w:p>
    <w:p>
      <w:pPr>
        <w:spacing w:line="360" w:lineRule="auto"/>
        <w:ind w:firstLine="630" w:firstLineChars="300"/>
        <w:rPr>
          <w:rFonts w:hint="eastAsia"/>
          <w:szCs w:val="21"/>
          <w:highlight w:val="none"/>
        </w:rPr>
      </w:pPr>
      <w:r>
        <w:rPr>
          <w:rFonts w:hint="eastAsia" w:ascii="宋体" w:hAnsi="宋体"/>
          <w:szCs w:val="21"/>
          <w:highlight w:val="none"/>
        </w:rPr>
        <w:t>本项目（</w:t>
      </w:r>
      <w:r>
        <w:rPr>
          <w:rFonts w:hint="eastAsia" w:ascii="宋体" w:hAnsi="宋体"/>
          <w:i/>
          <w:iCs/>
          <w:szCs w:val="21"/>
          <w:highlight w:val="none"/>
        </w:rPr>
        <w:t>是</w:t>
      </w:r>
      <w:r>
        <w:rPr>
          <w:rFonts w:ascii="宋体" w:hAnsi="宋体"/>
          <w:i/>
          <w:iCs/>
          <w:szCs w:val="21"/>
          <w:highlight w:val="none"/>
        </w:rPr>
        <w:t>/否</w:t>
      </w:r>
      <w:r>
        <w:rPr>
          <w:rFonts w:hint="eastAsia" w:ascii="宋体" w:hAnsi="宋体"/>
          <w:szCs w:val="21"/>
          <w:highlight w:val="none"/>
        </w:rPr>
        <w:t>）接受联合体</w:t>
      </w:r>
      <w:r>
        <w:rPr>
          <w:rFonts w:hint="eastAsia"/>
          <w:szCs w:val="21"/>
          <w:highlight w:val="none"/>
        </w:rPr>
        <w:t>：</w:t>
      </w:r>
      <w:r>
        <w:rPr>
          <w:rFonts w:hint="eastAsia" w:ascii="宋体" w:hAnsi="宋体"/>
          <w:szCs w:val="21"/>
          <w:highlight w:val="none"/>
        </w:rPr>
        <w:t>□是/</w:t>
      </w:r>
      <w:r>
        <w:rPr>
          <w:rFonts w:hint="eastAsia" w:ascii="宋体" w:hAnsi="宋体"/>
          <w:szCs w:val="21"/>
          <w:highlight w:val="none"/>
        </w:rPr>
        <w:sym w:font="Wingdings 2" w:char="0052"/>
      </w:r>
      <w:r>
        <w:rPr>
          <w:rFonts w:hint="eastAsia" w:ascii="宋体" w:hAnsi="宋体"/>
          <w:szCs w:val="21"/>
          <w:highlight w:val="none"/>
        </w:rPr>
        <w:t>否</w:t>
      </w:r>
      <w:r>
        <w:rPr>
          <w:rFonts w:hint="eastAsia"/>
          <w:szCs w:val="21"/>
          <w:highlight w:val="none"/>
        </w:rPr>
        <w:t>。</w:t>
      </w:r>
    </w:p>
    <w:p>
      <w:pPr>
        <w:spacing w:line="360" w:lineRule="auto"/>
        <w:ind w:firstLine="630" w:firstLineChars="300"/>
        <w:rPr>
          <w:szCs w:val="21"/>
          <w:highlight w:val="none"/>
        </w:rPr>
      </w:pPr>
      <w:r>
        <w:rPr>
          <w:rFonts w:hint="eastAsia" w:ascii="宋体" w:hAnsi="宋体" w:cs="宋体"/>
          <w:szCs w:val="21"/>
          <w:highlight w:val="none"/>
        </w:rPr>
        <w:t>备注：</w:t>
      </w:r>
      <w:r>
        <w:rPr>
          <w:rFonts w:hint="eastAsia" w:ascii="宋体" w:hAnsi="宋体" w:cs="宋体"/>
          <w:szCs w:val="21"/>
          <w:highlight w:val="none"/>
          <w:lang w:val="en-US" w:eastAsia="zh-CN"/>
        </w:rPr>
        <w:t>无</w:t>
      </w:r>
    </w:p>
    <w:p>
      <w:pPr>
        <w:spacing w:line="360" w:lineRule="auto"/>
        <w:ind w:firstLine="482" w:firstLineChars="200"/>
        <w:rPr>
          <w:rFonts w:hint="eastAsia" w:ascii="黑体" w:hAnsi="黑体" w:eastAsia="黑体" w:cs="宋体"/>
          <w:bCs/>
          <w:sz w:val="24"/>
          <w:highlight w:val="none"/>
        </w:rPr>
      </w:pPr>
      <w:bookmarkStart w:id="18" w:name="_Toc35393630"/>
      <w:bookmarkStart w:id="19" w:name="_Toc44229879"/>
      <w:bookmarkStart w:id="20" w:name="_Toc35393799"/>
      <w:bookmarkStart w:id="21" w:name="_Toc28359013"/>
      <w:bookmarkStart w:id="22" w:name="_Toc28359090"/>
      <w:r>
        <w:rPr>
          <w:rFonts w:hint="eastAsia" w:ascii="黑体" w:hAnsi="黑体" w:eastAsia="黑体" w:cs="宋体"/>
          <w:b/>
          <w:kern w:val="44"/>
          <w:sz w:val="24"/>
          <w:highlight w:val="none"/>
        </w:rPr>
        <w:t>二、申请人的资格</w:t>
      </w:r>
      <w:bookmarkEnd w:id="18"/>
      <w:bookmarkEnd w:id="19"/>
      <w:bookmarkEnd w:id="20"/>
      <w:bookmarkEnd w:id="21"/>
      <w:bookmarkEnd w:id="22"/>
      <w:r>
        <w:rPr>
          <w:rFonts w:hint="eastAsia" w:ascii="黑体" w:hAnsi="黑体" w:eastAsia="黑体" w:cs="宋体"/>
          <w:b/>
          <w:kern w:val="44"/>
          <w:sz w:val="24"/>
          <w:highlight w:val="none"/>
        </w:rPr>
        <w:t>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1.满足《中华人民共和国政府采购法》第二十二条规定；</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2.落实政府采购政策需满足的资格要求：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3.本项目的特定资格要求：</w:t>
      </w:r>
      <w:r>
        <w:rPr>
          <w:rFonts w:hint="eastAsia" w:ascii="宋体" w:hAnsi="宋体" w:cs="宋体"/>
          <w:color w:val="000000"/>
          <w:szCs w:val="21"/>
          <w:highlight w:val="none"/>
        </w:rPr>
        <w:t>无</w:t>
      </w:r>
    </w:p>
    <w:p>
      <w:pPr>
        <w:spacing w:line="360" w:lineRule="auto"/>
        <w:ind w:firstLine="482" w:firstLineChars="200"/>
        <w:rPr>
          <w:rFonts w:ascii="黑体" w:hAnsi="黑体" w:eastAsia="黑体"/>
          <w:b/>
          <w:bCs/>
          <w:sz w:val="24"/>
          <w:highlight w:val="none"/>
        </w:rPr>
      </w:pPr>
      <w:r>
        <w:rPr>
          <w:rFonts w:hint="eastAsia" w:ascii="黑体" w:hAnsi="黑体" w:eastAsia="黑体"/>
          <w:b/>
          <w:bCs/>
          <w:sz w:val="24"/>
          <w:highlight w:val="none"/>
        </w:rPr>
        <w:t>三、获取采购文件</w:t>
      </w:r>
      <w:bookmarkEnd w:id="14"/>
      <w:bookmarkEnd w:id="15"/>
      <w:bookmarkEnd w:id="16"/>
      <w:bookmarkEnd w:id="17"/>
    </w:p>
    <w:p>
      <w:pPr>
        <w:spacing w:line="360" w:lineRule="auto"/>
        <w:ind w:firstLine="420" w:firstLineChars="200"/>
        <w:rPr>
          <w:rFonts w:hint="eastAsia" w:ascii="宋体" w:hAnsi="宋体" w:cs="宋体"/>
          <w:szCs w:val="21"/>
          <w:highlight w:val="none"/>
        </w:rPr>
      </w:pPr>
      <w:bookmarkStart w:id="23" w:name="_Toc35393624"/>
      <w:bookmarkStart w:id="24" w:name="_Toc28359005"/>
      <w:bookmarkStart w:id="25" w:name="_Toc35393793"/>
      <w:bookmarkStart w:id="26" w:name="_Toc28359082"/>
      <w:r>
        <w:rPr>
          <w:rFonts w:hint="eastAsia" w:ascii="宋体" w:hAnsi="宋体" w:cs="宋体"/>
          <w:szCs w:val="21"/>
          <w:highlight w:val="none"/>
        </w:rPr>
        <w:t>时间：202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8</w:t>
      </w:r>
      <w:r>
        <w:rPr>
          <w:rFonts w:hint="eastAsia" w:ascii="宋体" w:hAnsi="宋体" w:cs="宋体"/>
          <w:szCs w:val="21"/>
          <w:highlight w:val="none"/>
        </w:rPr>
        <w:t>日，每天上午00:00至12:00，下午12:00至23:59（北京时间，法定节假日除外）。</w:t>
      </w:r>
    </w:p>
    <w:p>
      <w:pPr>
        <w:pStyle w:val="11"/>
        <w:spacing w:line="360" w:lineRule="auto"/>
        <w:ind w:firstLine="420" w:firstLineChars="200"/>
        <w:rPr>
          <w:rFonts w:hint="eastAsia" w:ascii="宋体" w:hAnsi="宋体" w:cs="宋体"/>
          <w:szCs w:val="21"/>
          <w:highlight w:val="none"/>
        </w:rPr>
      </w:pPr>
      <w:r>
        <w:rPr>
          <w:rFonts w:hint="eastAsia" w:ascii="宋体" w:hAnsi="宋体" w:cs="宋体"/>
          <w:bCs/>
          <w:color w:val="000000"/>
          <w:kern w:val="0"/>
          <w:szCs w:val="21"/>
          <w:highlight w:val="none"/>
        </w:rPr>
        <w:t>地点：</w:t>
      </w:r>
      <w:r>
        <w:rPr>
          <w:rFonts w:hint="eastAsia" w:ascii="宋体" w:hAnsi="宋体" w:cs="宋体"/>
          <w:szCs w:val="21"/>
          <w:highlight w:val="none"/>
        </w:rPr>
        <w:t>广西政府采购云平台（https://www.gcy.zfcg.gxzf.gov.cn/）</w:t>
      </w:r>
    </w:p>
    <w:p>
      <w:pPr>
        <w:pStyle w:val="11"/>
        <w:spacing w:line="360" w:lineRule="auto"/>
        <w:rPr>
          <w:rFonts w:hint="eastAsia" w:ascii="宋体" w:hAnsi="宋体" w:cs="宋体"/>
          <w:b/>
          <w:bCs/>
          <w:sz w:val="24"/>
          <w:highlight w:val="none"/>
        </w:rPr>
      </w:pPr>
      <w:r>
        <w:rPr>
          <w:rFonts w:hint="eastAsia" w:ascii="宋体" w:hAnsi="宋体" w:cs="宋体"/>
          <w:szCs w:val="21"/>
          <w:highlight w:val="none"/>
        </w:rPr>
        <w:t>　　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售价：人民币0元。</w:t>
      </w:r>
    </w:p>
    <w:p>
      <w:pPr>
        <w:spacing w:line="360" w:lineRule="auto"/>
        <w:ind w:firstLine="482" w:firstLineChars="200"/>
        <w:rPr>
          <w:rFonts w:ascii="黑体" w:hAnsi="黑体" w:eastAsia="黑体"/>
          <w:b/>
          <w:bCs/>
          <w:sz w:val="24"/>
          <w:highlight w:val="none"/>
        </w:rPr>
      </w:pPr>
      <w:r>
        <w:rPr>
          <w:rFonts w:hint="eastAsia" w:ascii="黑体" w:hAnsi="黑体" w:eastAsia="黑体"/>
          <w:b/>
          <w:bCs/>
          <w:sz w:val="24"/>
          <w:highlight w:val="none"/>
        </w:rPr>
        <w:t>四、</w:t>
      </w:r>
      <w:bookmarkEnd w:id="23"/>
      <w:bookmarkEnd w:id="24"/>
      <w:bookmarkEnd w:id="25"/>
      <w:bookmarkEnd w:id="26"/>
      <w:r>
        <w:rPr>
          <w:rFonts w:hint="eastAsia" w:ascii="黑体" w:hAnsi="黑体" w:eastAsia="黑体"/>
          <w:b/>
          <w:bCs/>
          <w:sz w:val="24"/>
          <w:highlight w:val="none"/>
        </w:rPr>
        <w:t>响应文件提交</w:t>
      </w:r>
    </w:p>
    <w:p>
      <w:pPr>
        <w:spacing w:line="360" w:lineRule="auto"/>
        <w:ind w:firstLine="420" w:firstLineChars="200"/>
        <w:rPr>
          <w:rFonts w:hint="eastAsia" w:ascii="宋体" w:hAnsi="宋体" w:cs="宋体"/>
          <w:i/>
          <w:iCs/>
          <w:szCs w:val="21"/>
          <w:highlight w:val="none"/>
          <w:u w:val="single"/>
        </w:rPr>
      </w:pPr>
      <w:r>
        <w:rPr>
          <w:rFonts w:hint="eastAsia" w:ascii="宋体" w:hAnsi="宋体" w:cs="宋体"/>
          <w:szCs w:val="21"/>
          <w:highlight w:val="none"/>
        </w:rPr>
        <w:t>1.首次响应文件提交截止时间</w:t>
      </w:r>
      <w:r>
        <w:rPr>
          <w:rFonts w:hint="eastAsia" w:ascii="宋体" w:hAnsi="宋体" w:cs="宋体"/>
          <w:bCs/>
          <w:szCs w:val="21"/>
          <w:highlight w:val="none"/>
        </w:rPr>
        <w:t>：</w:t>
      </w:r>
      <w:bookmarkStart w:id="27" w:name="PO_3000001868_PM015"/>
      <w:r>
        <w:rPr>
          <w:rFonts w:hint="eastAsia" w:ascii="宋体" w:hAnsi="宋体" w:cs="宋体"/>
          <w:bCs/>
          <w:szCs w:val="21"/>
          <w:highlight w:val="none"/>
          <w:u w:val="single"/>
        </w:rPr>
        <w:t>202</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rPr>
        <w:t>年</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9</w:t>
      </w:r>
      <w:r>
        <w:rPr>
          <w:rFonts w:hint="eastAsia" w:ascii="宋体" w:hAnsi="宋体" w:cs="宋体"/>
          <w:bCs/>
          <w:szCs w:val="21"/>
          <w:highlight w:val="none"/>
          <w:u w:val="single"/>
        </w:rPr>
        <w:t>日</w:t>
      </w:r>
      <w:bookmarkEnd w:id="27"/>
      <w:r>
        <w:rPr>
          <w:rFonts w:hint="eastAsia" w:ascii="宋体" w:hAnsi="宋体" w:cs="宋体"/>
          <w:bCs/>
          <w:szCs w:val="21"/>
          <w:highlight w:val="none"/>
          <w:u w:val="single"/>
          <w:lang w:val="en-US" w:eastAsia="zh-CN"/>
        </w:rPr>
        <w:t>15</w:t>
      </w:r>
      <w:r>
        <w:rPr>
          <w:rFonts w:hint="eastAsia" w:ascii="宋体" w:hAnsi="宋体" w:cs="宋体"/>
          <w:bCs/>
          <w:szCs w:val="21"/>
          <w:highlight w:val="none"/>
          <w:u w:val="single"/>
        </w:rPr>
        <w:t>：00</w:t>
      </w:r>
      <w:r>
        <w:rPr>
          <w:rFonts w:hint="eastAsia" w:ascii="宋体" w:hAnsi="宋体" w:cs="宋体"/>
          <w:bCs/>
          <w:szCs w:val="21"/>
          <w:highlight w:val="none"/>
        </w:rPr>
        <w:t>（北京时间）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2.首次响应文件提交地点：</w:t>
      </w:r>
      <w:r>
        <w:rPr>
          <w:rFonts w:hint="eastAsia" w:ascii="宋体" w:hAnsi="宋体" w:cs="宋体"/>
          <w:szCs w:val="21"/>
          <w:highlight w:val="none"/>
          <w:lang w:bidi="ar"/>
        </w:rPr>
        <w:t>通过</w:t>
      </w:r>
      <w:r>
        <w:rPr>
          <w:rFonts w:hint="eastAsia" w:ascii="宋体" w:hAnsi="宋体" w:cs="宋体"/>
          <w:szCs w:val="21"/>
          <w:highlight w:val="none"/>
        </w:rPr>
        <w:t>广西政府采购云平台</w:t>
      </w:r>
      <w:r>
        <w:rPr>
          <w:rFonts w:hint="eastAsia" w:ascii="宋体" w:hAnsi="宋体" w:cs="宋体"/>
          <w:szCs w:val="21"/>
          <w:highlight w:val="none"/>
          <w:lang w:bidi="ar"/>
        </w:rPr>
        <w:t>在线提交</w:t>
      </w:r>
    </w:p>
    <w:p>
      <w:pPr>
        <w:spacing w:line="360" w:lineRule="auto"/>
        <w:ind w:firstLine="482" w:firstLineChars="200"/>
        <w:rPr>
          <w:rFonts w:ascii="黑体" w:hAnsi="黑体" w:eastAsia="黑体"/>
          <w:b/>
          <w:bCs/>
          <w:sz w:val="24"/>
          <w:highlight w:val="none"/>
        </w:rPr>
      </w:pPr>
      <w:r>
        <w:rPr>
          <w:rFonts w:hint="eastAsia" w:ascii="黑体" w:hAnsi="黑体" w:eastAsia="黑体"/>
          <w:b/>
          <w:bCs/>
          <w:sz w:val="24"/>
          <w:highlight w:val="none"/>
        </w:rPr>
        <w:t>五、开启（首次响应文件开启时间）</w:t>
      </w:r>
    </w:p>
    <w:p>
      <w:pPr>
        <w:spacing w:line="360" w:lineRule="auto"/>
        <w:ind w:firstLine="420" w:firstLineChars="200"/>
        <w:rPr>
          <w:bCs/>
          <w:szCs w:val="21"/>
          <w:highlight w:val="none"/>
          <w:u w:val="single"/>
        </w:rPr>
      </w:pPr>
      <w:bookmarkStart w:id="28" w:name="_Toc35393794"/>
      <w:bookmarkStart w:id="29" w:name="_Toc35393625"/>
      <w:bookmarkStart w:id="30" w:name="_Toc28359084"/>
      <w:bookmarkStart w:id="31" w:name="_Toc28359007"/>
      <w:r>
        <w:rPr>
          <w:rFonts w:hint="eastAsia"/>
          <w:szCs w:val="21"/>
          <w:highlight w:val="none"/>
        </w:rPr>
        <w:t>时间：</w:t>
      </w:r>
      <w:bookmarkStart w:id="32" w:name="PO_3000001868_PM015_1"/>
      <w:r>
        <w:rPr>
          <w:rFonts w:hint="eastAsia"/>
          <w:szCs w:val="21"/>
          <w:highlight w:val="none"/>
          <w:u w:val="single"/>
        </w:rPr>
        <w:t>202</w:t>
      </w:r>
      <w:r>
        <w:rPr>
          <w:rFonts w:hint="eastAsia"/>
          <w:szCs w:val="21"/>
          <w:highlight w:val="none"/>
          <w:u w:val="single"/>
          <w:lang w:val="en-US" w:eastAsia="zh-CN"/>
        </w:rPr>
        <w:t>5</w:t>
      </w:r>
      <w:r>
        <w:rPr>
          <w:rFonts w:hint="eastAsia"/>
          <w:szCs w:val="21"/>
          <w:highlight w:val="none"/>
          <w:u w:val="single"/>
        </w:rPr>
        <w:t>年</w:t>
      </w:r>
      <w:r>
        <w:rPr>
          <w:rFonts w:hint="eastAsia"/>
          <w:szCs w:val="21"/>
          <w:highlight w:val="none"/>
          <w:u w:val="single"/>
          <w:lang w:val="en-US" w:eastAsia="zh-CN"/>
        </w:rPr>
        <w:t>5</w:t>
      </w:r>
      <w:r>
        <w:rPr>
          <w:rFonts w:hint="eastAsia"/>
          <w:szCs w:val="21"/>
          <w:highlight w:val="none"/>
          <w:u w:val="single"/>
        </w:rPr>
        <w:t>月</w:t>
      </w:r>
      <w:r>
        <w:rPr>
          <w:rFonts w:hint="eastAsia"/>
          <w:szCs w:val="21"/>
          <w:highlight w:val="none"/>
          <w:u w:val="single"/>
          <w:lang w:val="en-US" w:eastAsia="zh-CN"/>
        </w:rPr>
        <w:t>9</w:t>
      </w:r>
      <w:r>
        <w:rPr>
          <w:rFonts w:hint="eastAsia"/>
          <w:szCs w:val="21"/>
          <w:highlight w:val="none"/>
          <w:u w:val="single"/>
        </w:rPr>
        <w:t>日</w:t>
      </w:r>
      <w:bookmarkEnd w:id="32"/>
      <w:r>
        <w:rPr>
          <w:rFonts w:hint="eastAsia"/>
          <w:szCs w:val="21"/>
          <w:highlight w:val="none"/>
          <w:u w:val="single"/>
          <w:lang w:val="en-US" w:eastAsia="zh-CN"/>
        </w:rPr>
        <w:t>15</w:t>
      </w:r>
      <w:r>
        <w:rPr>
          <w:rFonts w:hint="eastAsia"/>
          <w:szCs w:val="21"/>
          <w:highlight w:val="none"/>
          <w:u w:val="single"/>
        </w:rPr>
        <w:t>:00</w:t>
      </w:r>
      <w:r>
        <w:rPr>
          <w:rFonts w:hint="eastAsia"/>
          <w:bCs/>
          <w:szCs w:val="21"/>
          <w:highlight w:val="none"/>
        </w:rPr>
        <w:t>（北京时间）</w:t>
      </w:r>
      <w:r>
        <w:rPr>
          <w:rFonts w:hint="eastAsia"/>
          <w:szCs w:val="21"/>
          <w:highlight w:val="none"/>
        </w:rPr>
        <w:t>后</w:t>
      </w:r>
    </w:p>
    <w:p>
      <w:pPr>
        <w:spacing w:line="360" w:lineRule="auto"/>
        <w:ind w:firstLine="420" w:firstLineChars="200"/>
        <w:rPr>
          <w:rFonts w:hint="eastAsia"/>
          <w:bCs/>
          <w:szCs w:val="21"/>
          <w:highlight w:val="none"/>
          <w:u w:val="single"/>
        </w:rPr>
      </w:pPr>
      <w:r>
        <w:rPr>
          <w:rFonts w:hint="eastAsia"/>
          <w:szCs w:val="21"/>
          <w:highlight w:val="none"/>
        </w:rPr>
        <w:t>地点：</w:t>
      </w:r>
      <w:r>
        <w:rPr>
          <w:rFonts w:hint="eastAsia" w:ascii="宋体" w:hAnsi="宋体" w:cs="宋体"/>
          <w:szCs w:val="21"/>
          <w:highlight w:val="none"/>
        </w:rPr>
        <w:t>广西政府采购云平台</w:t>
      </w:r>
      <w:r>
        <w:rPr>
          <w:rFonts w:hint="eastAsia"/>
          <w:szCs w:val="21"/>
          <w:highlight w:val="none"/>
        </w:rPr>
        <w:t xml:space="preserve"> </w:t>
      </w:r>
    </w:p>
    <w:p>
      <w:pPr>
        <w:spacing w:line="360" w:lineRule="auto"/>
        <w:ind w:firstLine="482" w:firstLineChars="200"/>
        <w:rPr>
          <w:rFonts w:ascii="黑体" w:hAnsi="黑体" w:eastAsia="黑体"/>
          <w:b/>
          <w:bCs/>
          <w:sz w:val="24"/>
          <w:highlight w:val="none"/>
        </w:rPr>
      </w:pPr>
      <w:r>
        <w:rPr>
          <w:rFonts w:hint="eastAsia" w:ascii="黑体" w:hAnsi="黑体" w:eastAsia="黑体"/>
          <w:b/>
          <w:bCs/>
          <w:sz w:val="24"/>
          <w:highlight w:val="none"/>
        </w:rPr>
        <w:t>六、公告期限</w:t>
      </w:r>
      <w:bookmarkEnd w:id="28"/>
      <w:bookmarkEnd w:id="29"/>
      <w:bookmarkEnd w:id="30"/>
      <w:bookmarkEnd w:id="31"/>
    </w:p>
    <w:p>
      <w:pPr>
        <w:spacing w:line="360" w:lineRule="auto"/>
        <w:ind w:firstLine="420" w:firstLineChars="200"/>
        <w:rPr>
          <w:rFonts w:cs="宋体"/>
          <w:kern w:val="0"/>
          <w:szCs w:val="21"/>
          <w:highlight w:val="none"/>
        </w:rPr>
      </w:pPr>
      <w:r>
        <w:rPr>
          <w:rFonts w:hint="eastAsia" w:cs="宋体"/>
          <w:kern w:val="0"/>
          <w:szCs w:val="21"/>
          <w:highlight w:val="none"/>
        </w:rPr>
        <w:t>自本公告发布之日起</w:t>
      </w:r>
      <w:r>
        <w:rPr>
          <w:rFonts w:hint="eastAsia" w:cs="宋体"/>
          <w:kern w:val="0"/>
          <w:szCs w:val="21"/>
          <w:highlight w:val="none"/>
          <w:lang w:val="en-US" w:eastAsia="zh-CN"/>
        </w:rPr>
        <w:t>5</w:t>
      </w:r>
      <w:r>
        <w:rPr>
          <w:rFonts w:hint="eastAsia" w:cs="宋体"/>
          <w:kern w:val="0"/>
          <w:szCs w:val="21"/>
          <w:highlight w:val="none"/>
        </w:rPr>
        <w:t>个工作日。</w:t>
      </w:r>
    </w:p>
    <w:p>
      <w:pPr>
        <w:spacing w:line="360" w:lineRule="auto"/>
        <w:ind w:firstLine="482" w:firstLineChars="200"/>
        <w:rPr>
          <w:rFonts w:ascii="黑体" w:hAnsi="黑体" w:eastAsia="黑体"/>
          <w:b/>
          <w:bCs/>
          <w:sz w:val="24"/>
          <w:highlight w:val="none"/>
        </w:rPr>
      </w:pPr>
      <w:bookmarkStart w:id="33" w:name="_Toc35393626"/>
      <w:bookmarkStart w:id="34" w:name="_Toc35393795"/>
      <w:r>
        <w:rPr>
          <w:rFonts w:hint="eastAsia" w:ascii="黑体" w:hAnsi="黑体" w:eastAsia="黑体"/>
          <w:b/>
          <w:bCs/>
          <w:sz w:val="24"/>
          <w:highlight w:val="none"/>
        </w:rPr>
        <w:t>七、其他补充事宜</w:t>
      </w:r>
      <w:bookmarkEnd w:id="33"/>
      <w:bookmarkEnd w:id="34"/>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1.磋商保证金：</w:t>
      </w:r>
    </w:p>
    <w:p>
      <w:pPr>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 本项目不需要缴</w:t>
      </w:r>
      <w:r>
        <w:rPr>
          <w:rFonts w:hint="eastAsia" w:ascii="宋体" w:hAnsi="宋体" w:cs="宋体"/>
          <w:b/>
          <w:bCs/>
          <w:color w:val="000000"/>
          <w:kern w:val="0"/>
          <w:szCs w:val="21"/>
          <w:highlight w:val="none"/>
        </w:rPr>
        <w:t>纳</w:t>
      </w:r>
      <w:r>
        <w:rPr>
          <w:rFonts w:hint="eastAsia" w:ascii="宋体" w:hAnsi="宋体" w:cs="宋体"/>
          <w:b/>
          <w:bCs/>
          <w:color w:val="000000"/>
          <w:szCs w:val="21"/>
          <w:highlight w:val="none"/>
        </w:rPr>
        <w:t>磋商保证金。</w:t>
      </w:r>
    </w:p>
    <w:p>
      <w:pPr>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sym w:font="Wingdings 2" w:char="0052"/>
      </w:r>
      <w:r>
        <w:rPr>
          <w:rFonts w:hint="eastAsia" w:ascii="宋体" w:hAnsi="宋体" w:cs="宋体"/>
          <w:b/>
          <w:bCs/>
          <w:color w:val="000000"/>
          <w:szCs w:val="21"/>
          <w:highlight w:val="none"/>
        </w:rPr>
        <w:t xml:space="preserve"> 本项目需要缴</w:t>
      </w:r>
      <w:r>
        <w:rPr>
          <w:rFonts w:hint="eastAsia" w:ascii="宋体" w:hAnsi="宋体" w:cs="宋体"/>
          <w:b/>
          <w:bCs/>
          <w:color w:val="000000"/>
          <w:kern w:val="0"/>
          <w:szCs w:val="21"/>
          <w:highlight w:val="none"/>
        </w:rPr>
        <w:t>纳</w:t>
      </w:r>
      <w:r>
        <w:rPr>
          <w:rFonts w:hint="eastAsia" w:ascii="宋体" w:hAnsi="宋体" w:cs="宋体"/>
          <w:b/>
          <w:bCs/>
          <w:color w:val="000000"/>
          <w:szCs w:val="21"/>
          <w:highlight w:val="none"/>
        </w:rPr>
        <w:t>磋商保证金，相关要求：</w:t>
      </w:r>
    </w:p>
    <w:p>
      <w:pPr>
        <w:spacing w:line="360" w:lineRule="auto"/>
        <w:ind w:firstLine="420" w:firstLineChars="200"/>
        <w:rPr>
          <w:rFonts w:hint="eastAsia" w:ascii="宋体" w:hAnsi="宋体"/>
          <w:szCs w:val="21"/>
          <w:highlight w:val="none"/>
        </w:rPr>
      </w:pPr>
      <w:r>
        <w:rPr>
          <w:rFonts w:hint="eastAsia" w:ascii="宋体" w:hAnsi="宋体" w:cs="宋体"/>
          <w:kern w:val="0"/>
          <w:szCs w:val="21"/>
          <w:highlight w:val="none"/>
        </w:rPr>
        <w:t>磋商保证金金额：</w:t>
      </w:r>
      <w:r>
        <w:rPr>
          <w:rFonts w:hint="eastAsia" w:ascii="宋体" w:hAnsi="宋体"/>
          <w:szCs w:val="21"/>
          <w:highlight w:val="none"/>
        </w:rPr>
        <w:t>19000元。</w:t>
      </w:r>
    </w:p>
    <w:p>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磋商保证金的</w:t>
      </w:r>
      <w:r>
        <w:rPr>
          <w:rFonts w:hint="eastAsia" w:ascii="宋体" w:hAnsi="宋体" w:cs="宋体"/>
          <w:color w:val="000000"/>
          <w:szCs w:val="21"/>
          <w:highlight w:val="none"/>
        </w:rPr>
        <w:t>缴</w:t>
      </w:r>
      <w:r>
        <w:rPr>
          <w:rFonts w:hint="eastAsia" w:ascii="宋体" w:hAnsi="宋体" w:cs="宋体"/>
          <w:color w:val="000000"/>
          <w:kern w:val="0"/>
          <w:szCs w:val="21"/>
          <w:highlight w:val="none"/>
        </w:rPr>
        <w:t>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autoSpaceDE w:val="0"/>
        <w:autoSpaceDN w:val="0"/>
        <w:snapToGrid w:val="0"/>
        <w:spacing w:line="360" w:lineRule="auto"/>
        <w:ind w:firstLine="420" w:firstLineChars="200"/>
        <w:textAlignment w:val="bottom"/>
        <w:rPr>
          <w:rFonts w:ascii="宋体" w:cs="宋体"/>
          <w:szCs w:val="21"/>
          <w:highlight w:val="none"/>
        </w:rPr>
      </w:pPr>
      <w:r>
        <w:rPr>
          <w:rFonts w:hint="eastAsia" w:ascii="宋体" w:hAnsi="宋体" w:cs="宋体"/>
          <w:szCs w:val="21"/>
          <w:highlight w:val="none"/>
        </w:rPr>
        <w:t>开户名称：广西科联招标中心有限公司</w:t>
      </w:r>
    </w:p>
    <w:p>
      <w:pPr>
        <w:autoSpaceDE w:val="0"/>
        <w:autoSpaceDN w:val="0"/>
        <w:snapToGrid w:val="0"/>
        <w:spacing w:line="360" w:lineRule="auto"/>
        <w:ind w:firstLine="420" w:firstLineChars="200"/>
        <w:textAlignment w:val="bottom"/>
        <w:rPr>
          <w:rFonts w:ascii="宋体" w:cs="宋体"/>
          <w:szCs w:val="21"/>
          <w:highlight w:val="none"/>
        </w:rPr>
      </w:pPr>
      <w:r>
        <w:rPr>
          <w:rFonts w:hint="eastAsia" w:ascii="宋体" w:hAnsi="宋体" w:cs="宋体"/>
          <w:szCs w:val="21"/>
          <w:highlight w:val="none"/>
        </w:rPr>
        <w:t>开户银行：</w:t>
      </w:r>
      <w:r>
        <w:rPr>
          <w:rFonts w:hint="eastAsia" w:ascii="宋体" w:hAnsi="宋体" w:cs="宋体"/>
          <w:bCs/>
          <w:szCs w:val="21"/>
          <w:highlight w:val="none"/>
        </w:rPr>
        <w:t>招商银行南宁市双拥路支行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银行账号：771901196910333300000</w:t>
      </w:r>
      <w:r>
        <w:rPr>
          <w:rFonts w:hint="eastAsia" w:ascii="宋体" w:hAnsi="宋体" w:cs="宋体"/>
          <w:b/>
          <w:bCs/>
          <w:szCs w:val="21"/>
          <w:highlight w:val="none"/>
        </w:rPr>
        <w:t>8610</w:t>
      </w:r>
      <w:r>
        <w:rPr>
          <w:rFonts w:hint="eastAsia" w:ascii="宋体" w:hAnsi="宋体" w:cs="宋体"/>
          <w:szCs w:val="21"/>
          <w:highlight w:val="none"/>
        </w:rPr>
        <w:t>；</w:t>
      </w:r>
    </w:p>
    <w:p>
      <w:pPr>
        <w:spacing w:line="360" w:lineRule="auto"/>
        <w:ind w:firstLine="420" w:firstLineChars="200"/>
        <w:rPr>
          <w:rFonts w:hint="eastAsia" w:ascii="宋体" w:hAnsi="宋体" w:cs="宋体"/>
          <w:kern w:val="0"/>
          <w:szCs w:val="21"/>
          <w:highlight w:val="none"/>
        </w:rPr>
      </w:pPr>
      <w:r>
        <w:rPr>
          <w:rFonts w:hint="eastAsia" w:ascii="宋体" w:hAnsi="宋体" w:cs="宋体"/>
          <w:color w:val="000000"/>
          <w:kern w:val="0"/>
          <w:szCs w:val="21"/>
          <w:highlight w:val="none"/>
        </w:rPr>
        <w:t>采用支票、汇票、本票或者保函等方式的，在首次响应文件提交截止时间前，供应商必须提交单独密封的支票、汇票、本票或者保函</w:t>
      </w:r>
      <w:r>
        <w:rPr>
          <w:rFonts w:hint="eastAsia" w:ascii="宋体" w:hAnsi="宋体" w:cs="宋体"/>
          <w:kern w:val="0"/>
          <w:szCs w:val="21"/>
          <w:highlight w:val="none"/>
        </w:rPr>
        <w:t>（电子保函除外）</w:t>
      </w:r>
      <w:r>
        <w:rPr>
          <w:rFonts w:hint="eastAsia" w:ascii="宋体" w:hAnsi="宋体" w:cs="宋体"/>
          <w:color w:val="000000"/>
          <w:kern w:val="0"/>
          <w:szCs w:val="21"/>
          <w:highlight w:val="none"/>
        </w:rPr>
        <w:t>等原件给采购代理机构。</w:t>
      </w:r>
      <w:r>
        <w:rPr>
          <w:rFonts w:hint="eastAsia" w:ascii="宋体" w:hAnsi="宋体" w:cs="宋体"/>
          <w:b/>
          <w:bCs/>
          <w:color w:val="000000"/>
          <w:kern w:val="0"/>
          <w:szCs w:val="21"/>
          <w:highlight w:val="none"/>
        </w:rPr>
        <w:t>否则视为无效磋商保证金。</w:t>
      </w:r>
    </w:p>
    <w:p>
      <w:pPr>
        <w:spacing w:line="360" w:lineRule="auto"/>
        <w:ind w:firstLine="420" w:firstLineChars="200"/>
        <w:rPr>
          <w:rFonts w:hint="eastAsia" w:ascii="宋体" w:hAnsi="宋体" w:cs="宋体"/>
          <w:kern w:val="0"/>
          <w:szCs w:val="21"/>
          <w:highlight w:val="none"/>
        </w:rPr>
      </w:pPr>
      <w:bookmarkStart w:id="35" w:name="_Hlk37429585"/>
      <w:r>
        <w:rPr>
          <w:rFonts w:hint="eastAsia" w:ascii="宋体" w:hAnsi="宋体" w:cs="宋体"/>
          <w:kern w:val="0"/>
          <w:szCs w:val="21"/>
          <w:highlight w:val="none"/>
        </w:rPr>
        <w:t>2.</w:t>
      </w:r>
      <w:bookmarkStart w:id="36" w:name="_Hlk37429595"/>
      <w:r>
        <w:rPr>
          <w:rFonts w:hint="eastAsia" w:ascii="宋体" w:hAnsi="宋体" w:cs="宋体"/>
          <w:kern w:val="0"/>
          <w:szCs w:val="21"/>
          <w:highlight w:val="none"/>
        </w:rPr>
        <w:t>网上查询地址</w:t>
      </w:r>
    </w:p>
    <w:bookmarkEnd w:id="35"/>
    <w:bookmarkEnd w:id="36"/>
    <w:p>
      <w:pPr>
        <w:spacing w:line="360" w:lineRule="auto"/>
        <w:ind w:firstLine="420" w:firstLineChars="200"/>
        <w:rPr>
          <w:rFonts w:hint="eastAsia" w:ascii="宋体" w:hAnsi="宋体" w:cs="宋体"/>
          <w:kern w:val="0"/>
          <w:szCs w:val="21"/>
          <w:highlight w:val="none"/>
        </w:rPr>
      </w:pPr>
      <w:bookmarkStart w:id="37" w:name="_Hlk37429674"/>
      <w:r>
        <w:rPr>
          <w:rFonts w:hint="eastAsia" w:ascii="宋体" w:hAnsi="宋体" w:cs="宋体"/>
          <w:kern w:val="0"/>
          <w:szCs w:val="21"/>
          <w:highlight w:val="none"/>
        </w:rPr>
        <w:t>http://www.ccgp.gov.cn/（中国政府采购网）、</w:t>
      </w:r>
      <w:r>
        <w:rPr>
          <w:rFonts w:hint="eastAsia" w:ascii="宋体" w:hAnsi="宋体" w:cs="宋体"/>
          <w:szCs w:val="21"/>
          <w:highlight w:val="none"/>
        </w:rPr>
        <w:t>http://zfcg.gxzf.gov.cn/</w:t>
      </w:r>
      <w:r>
        <w:rPr>
          <w:rFonts w:hint="eastAsia" w:ascii="宋体" w:hAnsi="宋体" w:cs="宋体"/>
          <w:kern w:val="0"/>
          <w:szCs w:val="21"/>
          <w:highlight w:val="none"/>
        </w:rPr>
        <w:t xml:space="preserve">  (广西政府采购网)。</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szCs w:val="21"/>
          <w:highlight w:val="none"/>
        </w:rPr>
        <w:t xml:space="preserve">. </w:t>
      </w:r>
      <w:r>
        <w:rPr>
          <w:rFonts w:hint="eastAsia" w:ascii="宋体" w:hAnsi="宋体" w:cs="宋体"/>
          <w:kern w:val="0"/>
          <w:szCs w:val="21"/>
          <w:highlight w:val="none"/>
        </w:rPr>
        <w:t>本项目需要落实的政府采购政策</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（1）政府采购促进中小企业发展。</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（2）政府采购支持采用本国产品的政策。</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（4）政府采购促进残疾人就业政策。</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（5）政府采购支持监狱企业发展。</w:t>
      </w:r>
      <w:bookmarkEnd w:id="37"/>
    </w:p>
    <w:p>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kern w:val="0"/>
          <w:szCs w:val="21"/>
          <w:highlight w:val="none"/>
        </w:rPr>
        <w:t>4.</w:t>
      </w:r>
      <w:r>
        <w:rPr>
          <w:rFonts w:hint="eastAsia" w:ascii="宋体" w:hAnsi="宋体" w:cs="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s="宋体"/>
          <w:kern w:val="0"/>
          <w:szCs w:val="21"/>
          <w:highlight w:val="none"/>
        </w:rPr>
      </w:pPr>
      <w:r>
        <w:rPr>
          <w:rFonts w:hint="eastAsia" w:ascii="宋体" w:hAnsi="宋体" w:cs="宋体"/>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2" w:firstLineChars="200"/>
        <w:rPr>
          <w:rFonts w:hint="eastAsia" w:ascii="宋体" w:hAnsi="宋体" w:cs="宋体"/>
          <w:kern w:val="0"/>
          <w:szCs w:val="21"/>
          <w:highlight w:val="none"/>
        </w:rPr>
      </w:pPr>
      <w:r>
        <w:rPr>
          <w:rFonts w:hint="eastAsia" w:ascii="宋体" w:hAnsi="宋体" w:cs="宋体"/>
          <w:b/>
          <w:bCs/>
          <w:kern w:val="0"/>
          <w:szCs w:val="21"/>
          <w:highlight w:val="none"/>
        </w:rPr>
        <w:t>6.</w:t>
      </w:r>
      <w:r>
        <w:rPr>
          <w:rFonts w:hint="eastAsia" w:ascii="宋体" w:hAnsi="宋体" w:cs="宋体"/>
          <w:b/>
          <w:bCs/>
          <w:szCs w:val="21"/>
          <w:highlight w:val="none"/>
        </w:rPr>
        <w:t>在线竞标的有关说明</w:t>
      </w:r>
      <w:r>
        <w:rPr>
          <w:rFonts w:hint="eastAsia" w:ascii="宋体" w:hAnsi="宋体" w:cs="宋体"/>
          <w:b/>
          <w:bCs/>
          <w:color w:val="000000"/>
          <w:kern w:val="0"/>
          <w:szCs w:val="21"/>
          <w:highlight w:val="none"/>
        </w:rPr>
        <w:t>：</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w:t>
      </w:r>
      <w:r>
        <w:rPr>
          <w:rFonts w:hint="eastAsia" w:ascii="宋体" w:hAnsi="宋体" w:cs="宋体"/>
          <w:b/>
          <w:szCs w:val="21"/>
          <w:highlight w:val="none"/>
        </w:rPr>
        <w:t>供应商在广西政府采购云平台提交电子版响应文件时，请填写参加远程</w:t>
      </w:r>
      <w:r>
        <w:rPr>
          <w:rFonts w:hint="eastAsia" w:ascii="宋体" w:hAnsi="宋体" w:cs="宋体"/>
          <w:b/>
          <w:color w:val="000000"/>
          <w:szCs w:val="21"/>
          <w:highlight w:val="none"/>
        </w:rPr>
        <w:t>开标</w:t>
      </w:r>
      <w:r>
        <w:rPr>
          <w:rFonts w:hint="eastAsia" w:ascii="宋体" w:hAnsi="宋体" w:cs="宋体"/>
          <w:b/>
          <w:szCs w:val="21"/>
          <w:highlight w:val="none"/>
        </w:rPr>
        <w:t>活动经办人联系方式</w:t>
      </w:r>
      <w:r>
        <w:rPr>
          <w:rFonts w:hint="eastAsia" w:ascii="宋体" w:hAnsi="宋体" w:cs="宋体"/>
          <w:szCs w:val="21"/>
          <w:highlight w:val="none"/>
        </w:rPr>
        <w:t>。</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2" w:firstLineChars="200"/>
        <w:rPr>
          <w:rFonts w:hint="eastAsia" w:ascii="宋体" w:hAnsi="宋体" w:cs="宋体"/>
          <w:b/>
          <w:szCs w:val="21"/>
          <w:highlight w:val="none"/>
          <w:u w:val="single"/>
        </w:rPr>
      </w:pPr>
      <w:r>
        <w:rPr>
          <w:rFonts w:hint="eastAsia" w:ascii="宋体" w:hAnsi="宋体" w:cs="宋体"/>
          <w:b/>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szCs w:val="21"/>
          <w:highlight w:val="none"/>
        </w:rPr>
        <w:t>响应文件提交</w:t>
      </w:r>
      <w:r>
        <w:rPr>
          <w:rFonts w:hint="eastAsia" w:ascii="宋体" w:hAnsi="宋体" w:cs="宋体"/>
          <w:b/>
          <w:szCs w:val="21"/>
          <w:highlight w:val="none"/>
          <w:u w:val="single"/>
        </w:rPr>
        <w:t>截止时间前未完成上传、递交的，视为撤回响应文件。响应文件提交截止时间以后上传递交的响应文件的，广西政府采购云平台将予以拒收。</w:t>
      </w:r>
    </w:p>
    <w:p>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（4）CA证书在线解密：首次响应文件开启时，需要供应商携带制作响应文件时用来加密的有效数字证书（CA认证）登录</w:t>
      </w:r>
      <w:r>
        <w:rPr>
          <w:rFonts w:hint="eastAsia" w:ascii="宋体" w:hAnsi="宋体" w:cs="宋体"/>
          <w:szCs w:val="21"/>
          <w:highlight w:val="none"/>
        </w:rPr>
        <w:t>广西政府采购云平台</w:t>
      </w:r>
      <w:r>
        <w:rPr>
          <w:rFonts w:hint="eastAsia" w:ascii="宋体" w:hAnsi="宋体" w:cs="宋体"/>
          <w:kern w:val="0"/>
          <w:szCs w:val="21"/>
          <w:highlight w:val="none"/>
        </w:rPr>
        <w:t>电子开标大厅现场按规定时间对加密的响应文件进行解密。</w:t>
      </w:r>
    </w:p>
    <w:p>
      <w:pPr>
        <w:spacing w:line="360" w:lineRule="auto"/>
        <w:ind w:firstLine="420" w:firstLineChars="200"/>
        <w:rPr>
          <w:rFonts w:hint="eastAsia" w:ascii="宋体" w:hAnsi="宋体" w:cs="宋体"/>
          <w:highlight w:val="none"/>
        </w:rPr>
      </w:pPr>
      <w:r>
        <w:rPr>
          <w:rFonts w:hint="eastAsia" w:ascii="宋体" w:hAnsi="宋体" w:cs="宋体"/>
          <w:kern w:val="0"/>
          <w:szCs w:val="21"/>
          <w:highlight w:val="none"/>
        </w:rPr>
        <w:t>（5）供应商需要在具备有摄像头及语音功能且互联网网络状况良好的电脑登录</w:t>
      </w:r>
      <w:r>
        <w:rPr>
          <w:rFonts w:hint="eastAsia" w:ascii="宋体" w:hAnsi="宋体" w:cs="宋体"/>
          <w:szCs w:val="21"/>
          <w:highlight w:val="none"/>
        </w:rPr>
        <w:t>广西政府采购云平台</w:t>
      </w:r>
      <w:r>
        <w:rPr>
          <w:rFonts w:hint="eastAsia" w:ascii="宋体" w:hAnsi="宋体" w:cs="宋体"/>
          <w:kern w:val="0"/>
          <w:szCs w:val="21"/>
          <w:highlight w:val="none"/>
        </w:rPr>
        <w:t>远程开标大厅参与本次磋商，否则后果自负。</w:t>
      </w:r>
    </w:p>
    <w:p>
      <w:pPr>
        <w:pStyle w:val="11"/>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7. 若对项目采购电子交易系统操作有疑问，可登录</w:t>
      </w:r>
      <w:r>
        <w:rPr>
          <w:rFonts w:hint="eastAsia" w:ascii="宋体" w:hAnsi="宋体" w:cs="宋体"/>
          <w:szCs w:val="21"/>
          <w:highlight w:val="none"/>
        </w:rPr>
        <w:t>广西政府采购云平台（https://www.gcy.zfcg.gxzf.gov.cn/）</w:t>
      </w:r>
      <w:r>
        <w:rPr>
          <w:rFonts w:hint="eastAsia" w:ascii="宋体" w:hAnsi="宋体" w:cs="宋体"/>
          <w:kern w:val="0"/>
          <w:szCs w:val="21"/>
          <w:highlight w:val="none"/>
        </w:rPr>
        <w:t>，点击右侧咨询小采，获取采小蜜智能服务管家帮助，或拨打</w:t>
      </w:r>
      <w:r>
        <w:rPr>
          <w:rFonts w:hint="eastAsia" w:ascii="宋体" w:hAnsi="宋体" w:cs="宋体"/>
          <w:szCs w:val="21"/>
          <w:highlight w:val="none"/>
        </w:rPr>
        <w:t>广西政府采购云平台</w:t>
      </w:r>
      <w:r>
        <w:rPr>
          <w:rFonts w:hint="eastAsia" w:ascii="宋体" w:hAnsi="宋体" w:cs="宋体"/>
          <w:kern w:val="0"/>
          <w:szCs w:val="21"/>
          <w:highlight w:val="none"/>
        </w:rPr>
        <w:t xml:space="preserve">服务热线95763获取热线服务帮助。 </w:t>
      </w:r>
    </w:p>
    <w:p>
      <w:pPr>
        <w:spacing w:line="360" w:lineRule="auto"/>
        <w:ind w:firstLine="482" w:firstLineChars="200"/>
        <w:rPr>
          <w:rFonts w:hint="eastAsia" w:ascii="黑体" w:hAnsi="黑体" w:eastAsia="黑体" w:cs="宋体"/>
          <w:bCs/>
          <w:sz w:val="24"/>
          <w:highlight w:val="none"/>
        </w:rPr>
      </w:pPr>
      <w:r>
        <w:rPr>
          <w:rFonts w:hint="eastAsia" w:ascii="黑体" w:hAnsi="黑体" w:eastAsia="黑体" w:cs="宋体"/>
          <w:b/>
          <w:kern w:val="44"/>
          <w:sz w:val="24"/>
          <w:highlight w:val="none"/>
        </w:rPr>
        <w:t>八、凡对本次采购提出询问，请按</w:t>
      </w:r>
      <w:r>
        <w:rPr>
          <w:rFonts w:ascii="黑体" w:hAnsi="黑体" w:eastAsia="黑体" w:cs="宋体"/>
          <w:b/>
          <w:kern w:val="44"/>
          <w:sz w:val="24"/>
          <w:highlight w:val="none"/>
        </w:rPr>
        <w:t>以下方式</w:t>
      </w:r>
      <w:r>
        <w:rPr>
          <w:rFonts w:hint="eastAsia" w:ascii="黑体" w:hAnsi="黑体" w:eastAsia="黑体" w:cs="宋体"/>
          <w:b/>
          <w:kern w:val="44"/>
          <w:sz w:val="24"/>
          <w:highlight w:val="none"/>
        </w:rPr>
        <w:t>联系。</w:t>
      </w:r>
    </w:p>
    <w:p>
      <w:pPr>
        <w:spacing w:line="360" w:lineRule="auto"/>
        <w:ind w:firstLine="735" w:firstLineChars="350"/>
        <w:jc w:val="left"/>
        <w:rPr>
          <w:rFonts w:hint="eastAsia" w:ascii="宋体" w:hAnsi="宋体" w:cs="宋体"/>
          <w:szCs w:val="21"/>
          <w:highlight w:val="none"/>
        </w:rPr>
      </w:pPr>
      <w:r>
        <w:rPr>
          <w:rFonts w:hint="eastAsia" w:ascii="宋体" w:hAnsi="宋体" w:cs="宋体"/>
          <w:szCs w:val="21"/>
          <w:highlight w:val="none"/>
        </w:rPr>
        <w:t>1.采购人信息</w:t>
      </w:r>
    </w:p>
    <w:p>
      <w:pPr>
        <w:spacing w:line="360" w:lineRule="auto"/>
        <w:ind w:left="1041" w:leftChars="371" w:hanging="262" w:hangingChars="125"/>
        <w:jc w:val="left"/>
        <w:rPr>
          <w:rFonts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color w:val="000000"/>
          <w:kern w:val="0"/>
          <w:szCs w:val="21"/>
          <w:highlight w:val="none"/>
        </w:rPr>
        <w:t>广西财政信息管理中心</w:t>
      </w:r>
    </w:p>
    <w:p>
      <w:pPr>
        <w:spacing w:line="360" w:lineRule="auto"/>
        <w:ind w:left="1041" w:leftChars="371" w:hanging="262" w:hangingChars="125"/>
        <w:jc w:val="left"/>
        <w:rPr>
          <w:rFonts w:hint="eastAsia" w:ascii="宋体" w:hAnsi="宋体" w:cs="宋体"/>
          <w:szCs w:val="21"/>
          <w:highlight w:val="none"/>
        </w:rPr>
      </w:pPr>
      <w:r>
        <w:rPr>
          <w:rFonts w:hint="eastAsia" w:ascii="宋体" w:hAnsi="宋体" w:cs="宋体"/>
          <w:szCs w:val="21"/>
          <w:highlight w:val="none"/>
        </w:rPr>
        <w:t>地  址：</w:t>
      </w:r>
      <w:r>
        <w:rPr>
          <w:rFonts w:hint="eastAsia" w:cs="宋体"/>
          <w:kern w:val="0"/>
          <w:szCs w:val="21"/>
          <w:highlight w:val="none"/>
        </w:rPr>
        <w:t>广西南宁市桃源路69号</w:t>
      </w:r>
    </w:p>
    <w:p>
      <w:pPr>
        <w:spacing w:line="360" w:lineRule="auto"/>
        <w:ind w:left="1041" w:leftChars="371" w:hanging="262" w:hangingChars="125"/>
        <w:jc w:val="left"/>
        <w:rPr>
          <w:rFonts w:ascii="宋体" w:hAnsi="宋体" w:cs="宋体"/>
          <w:szCs w:val="21"/>
          <w:highlight w:val="none"/>
          <w:u w:val="single"/>
        </w:rPr>
      </w:pPr>
      <w:r>
        <w:rPr>
          <w:rFonts w:hint="eastAsia" w:ascii="宋体" w:hAnsi="宋体" w:cs="宋体"/>
          <w:szCs w:val="21"/>
          <w:highlight w:val="none"/>
        </w:rPr>
        <w:t>联系方式：</w:t>
      </w:r>
      <w:r>
        <w:rPr>
          <w:rFonts w:hint="eastAsia" w:ascii="宋体" w:hAnsi="宋体" w:cs="宋体"/>
          <w:szCs w:val="21"/>
          <w:highlight w:val="none"/>
          <w:lang w:val="en-US" w:eastAsia="zh-CN"/>
        </w:rPr>
        <w:t>李永陵，</w:t>
      </w:r>
      <w:r>
        <w:rPr>
          <w:rFonts w:hint="eastAsia" w:ascii="宋体" w:hAnsi="宋体" w:cs="宋体"/>
          <w:szCs w:val="21"/>
          <w:highlight w:val="none"/>
        </w:rPr>
        <w:t>0771-5307301</w:t>
      </w:r>
    </w:p>
    <w:p>
      <w:pPr>
        <w:spacing w:line="360" w:lineRule="auto"/>
        <w:ind w:left="1041" w:leftChars="371" w:hanging="262" w:hangingChars="125"/>
        <w:jc w:val="left"/>
        <w:rPr>
          <w:rFonts w:hint="eastAsia" w:ascii="宋体" w:hAnsi="宋体" w:cs="宋体"/>
          <w:szCs w:val="21"/>
          <w:highlight w:val="none"/>
        </w:rPr>
      </w:pPr>
      <w:r>
        <w:rPr>
          <w:rFonts w:hint="eastAsia" w:ascii="宋体" w:hAnsi="宋体" w:cs="宋体"/>
          <w:szCs w:val="21"/>
          <w:highlight w:val="none"/>
        </w:rPr>
        <w:t>2.采购代理机构信息</w:t>
      </w:r>
    </w:p>
    <w:p>
      <w:pPr>
        <w:spacing w:line="360" w:lineRule="auto"/>
        <w:ind w:firstLine="840" w:firstLineChars="400"/>
        <w:rPr>
          <w:rFonts w:hint="eastAsia" w:cs="宋体"/>
          <w:kern w:val="0"/>
          <w:szCs w:val="21"/>
          <w:highlight w:val="none"/>
        </w:rPr>
      </w:pPr>
      <w:r>
        <w:rPr>
          <w:rFonts w:hint="eastAsia" w:cs="宋体"/>
          <w:kern w:val="0"/>
          <w:szCs w:val="21"/>
          <w:highlight w:val="none"/>
        </w:rPr>
        <w:t>名    称：广西科联招标中心有限公司</w:t>
      </w:r>
    </w:p>
    <w:p>
      <w:pPr>
        <w:spacing w:line="360" w:lineRule="auto"/>
        <w:ind w:firstLine="840" w:firstLineChars="400"/>
        <w:rPr>
          <w:rFonts w:hint="eastAsia" w:cs="宋体"/>
          <w:kern w:val="0"/>
          <w:szCs w:val="21"/>
          <w:highlight w:val="none"/>
        </w:rPr>
      </w:pPr>
      <w:r>
        <w:rPr>
          <w:rFonts w:hint="eastAsia" w:cs="宋体"/>
          <w:kern w:val="0"/>
          <w:szCs w:val="21"/>
          <w:highlight w:val="none"/>
        </w:rPr>
        <w:t>地　　址：广西南宁市大学东路170号</w:t>
      </w:r>
    </w:p>
    <w:p>
      <w:pPr>
        <w:spacing w:line="360" w:lineRule="auto"/>
        <w:ind w:firstLine="840" w:firstLineChars="400"/>
        <w:rPr>
          <w:rFonts w:hint="default" w:eastAsia="宋体" w:cs="宋体"/>
          <w:kern w:val="0"/>
          <w:szCs w:val="21"/>
          <w:highlight w:val="none"/>
          <w:lang w:val="en-US" w:eastAsia="zh-CN"/>
        </w:rPr>
      </w:pPr>
      <w:r>
        <w:rPr>
          <w:rFonts w:hint="eastAsia" w:cs="宋体"/>
          <w:kern w:val="0"/>
          <w:szCs w:val="21"/>
          <w:highlight w:val="none"/>
        </w:rPr>
        <w:t>联系方式：0771-2381520</w:t>
      </w:r>
      <w:r>
        <w:rPr>
          <w:rFonts w:hint="eastAsia" w:cs="宋体"/>
          <w:kern w:val="0"/>
          <w:szCs w:val="21"/>
          <w:highlight w:val="none"/>
          <w:lang w:eastAsia="zh-CN"/>
        </w:rPr>
        <w:t>、</w:t>
      </w:r>
      <w:r>
        <w:rPr>
          <w:rFonts w:hint="eastAsia" w:cs="宋体"/>
          <w:kern w:val="0"/>
          <w:szCs w:val="21"/>
          <w:highlight w:val="none"/>
          <w:lang w:val="en-US" w:eastAsia="zh-CN"/>
        </w:rPr>
        <w:t>0771-3482237</w:t>
      </w:r>
    </w:p>
    <w:p>
      <w:pPr>
        <w:spacing w:line="360" w:lineRule="auto"/>
        <w:ind w:firstLine="735" w:firstLineChars="350"/>
        <w:rPr>
          <w:rFonts w:hint="eastAsia" w:ascii="宋体" w:hAnsi="宋体" w:cs="宋体"/>
          <w:szCs w:val="21"/>
          <w:highlight w:val="none"/>
        </w:rPr>
      </w:pPr>
      <w:r>
        <w:rPr>
          <w:rFonts w:hint="eastAsia" w:ascii="宋体" w:hAnsi="宋体" w:cs="宋体"/>
          <w:szCs w:val="21"/>
          <w:highlight w:val="none"/>
        </w:rPr>
        <w:t>3.项目联系方式</w:t>
      </w:r>
    </w:p>
    <w:p>
      <w:pPr>
        <w:spacing w:line="360" w:lineRule="auto"/>
        <w:ind w:firstLine="840" w:firstLineChars="400"/>
        <w:rPr>
          <w:rFonts w:hint="default" w:eastAsia="宋体" w:cs="宋体"/>
          <w:kern w:val="0"/>
          <w:szCs w:val="21"/>
          <w:highlight w:val="none"/>
          <w:lang w:val="en-US" w:eastAsia="zh-CN"/>
        </w:rPr>
      </w:pPr>
      <w:r>
        <w:rPr>
          <w:rFonts w:hint="eastAsia" w:cs="宋体"/>
          <w:kern w:val="0"/>
          <w:szCs w:val="21"/>
          <w:highlight w:val="none"/>
        </w:rPr>
        <w:t>项目联系人：黎旭华</w:t>
      </w:r>
      <w:r>
        <w:rPr>
          <w:rFonts w:hint="eastAsia" w:cs="宋体"/>
          <w:kern w:val="0"/>
          <w:szCs w:val="21"/>
          <w:highlight w:val="none"/>
          <w:lang w:eastAsia="zh-CN"/>
        </w:rPr>
        <w:t>、</w:t>
      </w:r>
      <w:r>
        <w:rPr>
          <w:rFonts w:hint="eastAsia" w:cs="宋体"/>
          <w:kern w:val="0"/>
          <w:szCs w:val="21"/>
          <w:highlight w:val="none"/>
          <w:lang w:val="en-US" w:eastAsia="zh-CN"/>
        </w:rPr>
        <w:t>欧明聪</w:t>
      </w:r>
    </w:p>
    <w:p>
      <w:pPr>
        <w:spacing w:line="360" w:lineRule="auto"/>
        <w:ind w:firstLine="840" w:firstLineChars="400"/>
        <w:rPr>
          <w:rFonts w:hint="default" w:eastAsia="宋体" w:cs="宋体"/>
          <w:kern w:val="0"/>
          <w:szCs w:val="21"/>
          <w:highlight w:val="none"/>
          <w:lang w:val="en-US" w:eastAsia="zh-CN"/>
        </w:rPr>
      </w:pPr>
      <w:r>
        <w:rPr>
          <w:rFonts w:hint="eastAsia" w:cs="宋体"/>
          <w:kern w:val="0"/>
          <w:szCs w:val="21"/>
          <w:highlight w:val="none"/>
        </w:rPr>
        <w:t>电    话：0771-2381520</w:t>
      </w:r>
      <w:r>
        <w:rPr>
          <w:rFonts w:hint="eastAsia" w:cs="宋体"/>
          <w:kern w:val="0"/>
          <w:szCs w:val="21"/>
          <w:highlight w:val="none"/>
          <w:lang w:eastAsia="zh-CN"/>
        </w:rPr>
        <w:t>、</w:t>
      </w:r>
      <w:r>
        <w:rPr>
          <w:rFonts w:hint="eastAsia" w:cs="宋体"/>
          <w:kern w:val="0"/>
          <w:szCs w:val="21"/>
          <w:highlight w:val="none"/>
          <w:lang w:val="en-US" w:eastAsia="zh-CN"/>
        </w:rPr>
        <w:t>0771-3482237</w:t>
      </w:r>
    </w:p>
    <w:p>
      <w:pPr>
        <w:spacing w:line="380" w:lineRule="exact"/>
        <w:ind w:firstLine="735" w:firstLineChars="350"/>
        <w:rPr>
          <w:rFonts w:hint="eastAsia" w:ascii="宋体" w:hAnsi="宋体" w:cs="宋体"/>
          <w:szCs w:val="21"/>
          <w:highlight w:val="none"/>
        </w:rPr>
      </w:pPr>
    </w:p>
    <w:p>
      <w:pPr>
        <w:spacing w:line="360" w:lineRule="auto"/>
        <w:ind w:firstLine="420" w:firstLineChars="200"/>
        <w:rPr>
          <w:szCs w:val="21"/>
          <w:highlight w:val="none"/>
        </w:rPr>
      </w:pPr>
    </w:p>
    <w:p>
      <w:pPr>
        <w:pStyle w:val="11"/>
        <w:spacing w:line="360" w:lineRule="auto"/>
        <w:ind w:firstLine="420" w:firstLineChars="200"/>
        <w:rPr>
          <w:rFonts w:hint="eastAsia"/>
          <w:szCs w:val="21"/>
          <w:highlight w:val="none"/>
        </w:rPr>
      </w:pPr>
    </w:p>
    <w:p>
      <w:pPr>
        <w:spacing w:line="360" w:lineRule="auto"/>
        <w:ind w:firstLine="420" w:firstLineChars="200"/>
        <w:jc w:val="right"/>
        <w:rPr>
          <w:rFonts w:hint="eastAsia"/>
          <w:szCs w:val="21"/>
          <w:highlight w:val="none"/>
        </w:rPr>
      </w:pPr>
    </w:p>
    <w:p>
      <w:pPr>
        <w:spacing w:line="360" w:lineRule="auto"/>
        <w:ind w:firstLine="640" w:firstLineChars="200"/>
        <w:jc w:val="right"/>
        <w:rPr>
          <w:sz w:val="32"/>
          <w:szCs w:val="32"/>
          <w:highlight w:val="none"/>
        </w:rPr>
      </w:pPr>
    </w:p>
    <w:p>
      <w:pPr>
        <w:pStyle w:val="2"/>
        <w:jc w:val="center"/>
        <w:rPr>
          <w:rFonts w:hint="eastAsia" w:ascii="Cambria" w:hAnsi="Cambria"/>
          <w:bCs w:val="0"/>
          <w:sz w:val="32"/>
          <w:szCs w:val="32"/>
          <w:highlight w:val="none"/>
        </w:rPr>
      </w:pPr>
      <w:bookmarkStart w:id="38" w:name="_Toc22325"/>
      <w:bookmarkStart w:id="39" w:name="_Toc25520"/>
      <w:bookmarkStart w:id="40" w:name="_Toc7184"/>
      <w:bookmarkStart w:id="41" w:name="_Toc9127"/>
      <w:bookmarkStart w:id="42" w:name="_Toc26836"/>
      <w:bookmarkStart w:id="43" w:name="_Toc80886926"/>
      <w:bookmarkStart w:id="44" w:name="_Toc11093"/>
      <w:bookmarkStart w:id="45" w:name="_Toc22760"/>
      <w:r>
        <w:rPr>
          <w:rFonts w:hint="eastAsia" w:ascii="Cambria" w:hAnsi="Cambria"/>
          <w:bCs w:val="0"/>
          <w:sz w:val="32"/>
          <w:szCs w:val="32"/>
          <w:highlight w:val="none"/>
        </w:rPr>
        <w:br w:type="page"/>
      </w:r>
      <w:r>
        <w:rPr>
          <w:rFonts w:hint="eastAsia" w:ascii="Cambria" w:hAnsi="Cambria"/>
          <w:bCs w:val="0"/>
          <w:sz w:val="32"/>
          <w:szCs w:val="32"/>
          <w:highlight w:val="none"/>
        </w:rPr>
        <w:t xml:space="preserve">第二章 </w:t>
      </w:r>
      <w:bookmarkStart w:id="166" w:name="_GoBack"/>
      <w:r>
        <w:rPr>
          <w:rFonts w:hint="eastAsia" w:ascii="Cambria" w:hAnsi="Cambria"/>
          <w:bCs w:val="0"/>
          <w:sz w:val="32"/>
          <w:szCs w:val="32"/>
          <w:highlight w:val="none"/>
        </w:rPr>
        <w:t>采购需求</w:t>
      </w:r>
      <w:bookmarkEnd w:id="38"/>
      <w:bookmarkEnd w:id="39"/>
      <w:bookmarkEnd w:id="40"/>
      <w:bookmarkEnd w:id="41"/>
      <w:bookmarkEnd w:id="42"/>
      <w:bookmarkEnd w:id="43"/>
      <w:bookmarkEnd w:id="44"/>
    </w:p>
    <w:bookmarkEnd w:id="45"/>
    <w:p>
      <w:pPr>
        <w:spacing w:line="420" w:lineRule="exact"/>
        <w:jc w:val="left"/>
        <w:rPr>
          <w:rFonts w:hint="eastAsia" w:cs="宋体"/>
          <w:szCs w:val="21"/>
          <w:highlight w:val="none"/>
        </w:rPr>
      </w:pPr>
      <w:r>
        <w:rPr>
          <w:rFonts w:hint="eastAsia" w:cs="宋体"/>
          <w:szCs w:val="21"/>
          <w:highlight w:val="none"/>
        </w:rPr>
        <w:t>说明：</w:t>
      </w:r>
    </w:p>
    <w:p>
      <w:pPr>
        <w:spacing w:line="420" w:lineRule="exact"/>
        <w:ind w:firstLine="420" w:firstLineChars="200"/>
        <w:jc w:val="left"/>
        <w:rPr>
          <w:rFonts w:hint="eastAsia" w:ascii="宋体" w:hAnsi="宋体" w:cs="宋体"/>
          <w:szCs w:val="21"/>
          <w:highlight w:val="none"/>
        </w:rPr>
      </w:pPr>
      <w:r>
        <w:rPr>
          <w:rFonts w:hint="eastAsia" w:ascii="宋体" w:hAnsi="宋体" w:cs="宋体"/>
          <w:highlight w:val="none"/>
        </w:rPr>
        <w:t>1. 为落实政府采购政策需满足的要求：</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（1）本竞争性磋商文件所称中小企业必须符合《政府采购促进中小企业发展管理办法》（财库〔2020〕46号）的规定。</w:t>
      </w:r>
    </w:p>
    <w:p>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szCs w:val="21"/>
          <w:highlight w:val="none"/>
        </w:rPr>
        <w:t>供应商必须在响应文件中提供所竞标产品</w:t>
      </w:r>
      <w:r>
        <w:rPr>
          <w:rFonts w:hint="eastAsia" w:ascii="宋体" w:hAnsi="宋体" w:cs="宋体"/>
          <w:b/>
          <w:bCs/>
          <w:color w:val="000000"/>
          <w:szCs w:val="21"/>
          <w:highlight w:val="none"/>
        </w:rPr>
        <w:t>有效期内</w:t>
      </w:r>
      <w:r>
        <w:rPr>
          <w:rFonts w:hint="eastAsia" w:ascii="宋体" w:hAnsi="宋体" w:cs="宋体"/>
          <w:b/>
          <w:bCs/>
          <w:szCs w:val="21"/>
          <w:highlight w:val="none"/>
        </w:rPr>
        <w:t>的节能产品认证证书复印件（加盖供应商公章），否则响应文件按无效处理</w:t>
      </w:r>
      <w:r>
        <w:rPr>
          <w:rFonts w:hint="eastAsia" w:ascii="宋体" w:hAnsi="宋体" w:cs="宋体"/>
          <w:szCs w:val="21"/>
          <w:highlight w:val="none"/>
        </w:rPr>
        <w:t xml:space="preserve">。如本项目包含的配套货物属于品目清单内非标注“★”的产品时，应优先采购，具体详见“第四章 </w:t>
      </w:r>
      <w:r>
        <w:rPr>
          <w:rStyle w:val="36"/>
          <w:rFonts w:hint="eastAsia" w:ascii="宋体" w:hAnsi="宋体" w:cs="宋体"/>
          <w:color w:val="auto"/>
          <w:highlight w:val="none"/>
        </w:rPr>
        <w:t>评审程序、评审方法和评审标准</w:t>
      </w:r>
      <w:r>
        <w:rPr>
          <w:rFonts w:hint="eastAsia" w:ascii="宋体" w:hAnsi="宋体" w:cs="宋体"/>
          <w:szCs w:val="21"/>
          <w:highlight w:val="none"/>
        </w:rPr>
        <w:t>”。</w:t>
      </w:r>
    </w:p>
    <w:p>
      <w:pPr>
        <w:spacing w:line="420" w:lineRule="exact"/>
        <w:ind w:firstLine="413" w:firstLineChars="196"/>
        <w:rPr>
          <w:rFonts w:hint="eastAsia" w:ascii="宋体" w:hAnsi="宋体" w:cs="宋体"/>
          <w:b/>
          <w:bCs/>
          <w:szCs w:val="21"/>
          <w:highlight w:val="none"/>
        </w:rPr>
      </w:pPr>
      <w:r>
        <w:rPr>
          <w:rFonts w:hint="eastAsia" w:ascii="宋体" w:hAnsi="宋体" w:cs="宋体"/>
          <w:b/>
          <w:bCs/>
          <w:szCs w:val="21"/>
          <w:highlight w:val="none"/>
        </w:rPr>
        <w:t>2.“实质性要求”是指磋商文件中已经指明不满足则响应文件按无效响应处理的条款，或者不能负偏离的条款，或者采购需求中带“▲”的条款。</w:t>
      </w:r>
    </w:p>
    <w:p>
      <w:pPr>
        <w:pStyle w:val="11"/>
        <w:spacing w:line="420" w:lineRule="exact"/>
        <w:ind w:firstLine="420" w:firstLineChars="200"/>
        <w:rPr>
          <w:rFonts w:hint="eastAsia" w:ascii="宋体" w:hAnsi="宋体" w:cs="宋体"/>
          <w:highlight w:val="none"/>
        </w:rPr>
      </w:pPr>
      <w:r>
        <w:rPr>
          <w:rFonts w:hint="eastAsia" w:ascii="宋体" w:hAnsi="宋体" w:cs="宋体"/>
          <w:szCs w:val="21"/>
          <w:highlight w:val="none"/>
        </w:rPr>
        <w:t xml:space="preserve">3. </w:t>
      </w:r>
      <w:r>
        <w:rPr>
          <w:rFonts w:hint="eastAsia" w:ascii="宋体" w:hAnsi="宋体" w:cs="宋体"/>
          <w:highlight w:val="none"/>
        </w:rPr>
        <w:t>如竞标产品存在侵犯他人的知识产权或者专利成果行为的，应承担相应法律责任。</w:t>
      </w:r>
    </w:p>
    <w:p>
      <w:pPr>
        <w:tabs>
          <w:tab w:val="left" w:pos="180"/>
          <w:tab w:val="left" w:pos="1620"/>
        </w:tabs>
        <w:spacing w:line="420" w:lineRule="exact"/>
        <w:ind w:firstLine="420" w:firstLineChars="200"/>
        <w:rPr>
          <w:rFonts w:hint="eastAsia" w:ascii="宋体" w:hAnsi="宋体" w:cs="宋体"/>
          <w:i/>
          <w:iCs/>
          <w:highlight w:val="none"/>
        </w:rPr>
      </w:pPr>
      <w:r>
        <w:rPr>
          <w:rFonts w:hint="eastAsia" w:ascii="宋体" w:hAnsi="宋体" w:cs="宋体"/>
          <w:highlight w:val="none"/>
        </w:rPr>
        <w:t>4.</w:t>
      </w:r>
      <w:r>
        <w:rPr>
          <w:rFonts w:hint="eastAsia" w:ascii="宋体" w:hAnsi="宋体" w:cs="宋体"/>
          <w:color w:val="000000"/>
          <w:highlight w:val="none"/>
        </w:rPr>
        <w:t>采购内容所属行业：软件和信息技术服务业</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9"/>
        <w:gridCol w:w="937"/>
        <w:gridCol w:w="291"/>
        <w:gridCol w:w="85"/>
        <w:gridCol w:w="7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519" w:type="dxa"/>
            <w:gridSpan w:val="5"/>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cs="宋体"/>
                <w:b/>
                <w:szCs w:val="21"/>
                <w:highlight w:val="none"/>
              </w:rPr>
            </w:pPr>
            <w:r>
              <w:rPr>
                <w:rFonts w:hint="eastAsia" w:ascii="宋体" w:hAnsi="宋体" w:cs="宋体"/>
                <w:b/>
                <w:szCs w:val="21"/>
                <w:highlight w:val="none"/>
              </w:rPr>
              <w:t>一、项目总体要求及技术需求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cs="宋体"/>
                <w:szCs w:val="21"/>
                <w:highlight w:val="none"/>
              </w:rPr>
            </w:pPr>
            <w:r>
              <w:rPr>
                <w:rFonts w:hint="eastAsia" w:ascii="宋体" w:hAnsi="宋体" w:cs="宋体"/>
                <w:b/>
                <w:bCs/>
                <w:kern w:val="0"/>
                <w:szCs w:val="21"/>
                <w:highlight w:val="none"/>
              </w:rPr>
              <w:t>序号</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cs="宋体"/>
                <w:szCs w:val="21"/>
                <w:highlight w:val="none"/>
              </w:rPr>
            </w:pPr>
            <w:r>
              <w:rPr>
                <w:rFonts w:hint="eastAsia" w:ascii="宋体" w:hAnsi="宋体" w:cs="宋体"/>
                <w:b/>
                <w:bCs/>
                <w:kern w:val="0"/>
                <w:szCs w:val="21"/>
                <w:highlight w:val="none"/>
              </w:rPr>
              <w:t>标的的名称</w:t>
            </w:r>
          </w:p>
        </w:tc>
        <w:tc>
          <w:tcPr>
            <w:tcW w:w="3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77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szCs w:val="21"/>
                <w:highlight w:val="none"/>
              </w:rPr>
            </w:pPr>
            <w:r>
              <w:rPr>
                <w:rFonts w:hint="eastAsia" w:ascii="宋体" w:hAnsi="宋体" w:cs="宋体"/>
                <w:b/>
                <w:bCs/>
                <w:szCs w:val="21"/>
                <w:highlight w:val="none"/>
              </w:rPr>
              <w:t>服务参数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w:t>
            </w: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szCs w:val="21"/>
                <w:highlight w:val="none"/>
              </w:rPr>
            </w:pPr>
            <w:r>
              <w:rPr>
                <w:rFonts w:hint="eastAsia" w:ascii="宋体" w:hAnsi="宋体" w:cs="宋体"/>
                <w:szCs w:val="21"/>
                <w:highlight w:val="none"/>
                <w:lang w:eastAsia="zh-CN"/>
              </w:rPr>
              <w:t>广西壮族自治区财政厅</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年网络安全保障服务采购项目</w:t>
            </w:r>
          </w:p>
        </w:tc>
        <w:tc>
          <w:tcPr>
            <w:tcW w:w="376" w:type="dxa"/>
            <w:gridSpan w:val="2"/>
            <w:tcBorders>
              <w:top w:val="single" w:color="auto" w:sz="4" w:space="0"/>
              <w:left w:val="single" w:color="auto" w:sz="4" w:space="0"/>
              <w:bottom w:val="single" w:color="auto" w:sz="4" w:space="0"/>
              <w:right w:val="single" w:color="auto" w:sz="4" w:space="0"/>
            </w:tcBorders>
            <w:noWrap w:val="0"/>
            <w:vAlign w:val="center"/>
          </w:tcPr>
          <w:p>
            <w:pPr>
              <w:pStyle w:val="89"/>
              <w:spacing w:line="460" w:lineRule="exact"/>
              <w:ind w:firstLine="582"/>
              <w:jc w:val="center"/>
              <w:rPr>
                <w:rFonts w:cs="宋体"/>
                <w:w w:val="104"/>
                <w:kern w:val="0"/>
                <w:szCs w:val="21"/>
                <w:highlight w:val="none"/>
                <w:lang w:val="en-US"/>
              </w:rPr>
            </w:pPr>
            <w:r>
              <w:rPr>
                <w:rFonts w:hint="eastAsia" w:cs="宋体"/>
                <w:w w:val="104"/>
                <w:kern w:val="0"/>
                <w:szCs w:val="21"/>
                <w:highlight w:val="none"/>
                <w:lang w:val="en-US"/>
              </w:rPr>
              <w:t>1</w:t>
            </w:r>
            <w:r>
              <w:rPr>
                <w:rFonts w:hint="eastAsia" w:cs="宋体"/>
                <w:sz w:val="21"/>
                <w:szCs w:val="21"/>
                <w:highlight w:val="none"/>
                <w:lang w:val="en-US"/>
              </w:rPr>
              <w:t>1项</w:t>
            </w:r>
          </w:p>
        </w:tc>
        <w:tc>
          <w:tcPr>
            <w:tcW w:w="7767" w:type="dxa"/>
            <w:tcBorders>
              <w:top w:val="single" w:color="auto" w:sz="4" w:space="0"/>
              <w:left w:val="single" w:color="auto" w:sz="4" w:space="0"/>
              <w:bottom w:val="single" w:color="auto" w:sz="4" w:space="0"/>
              <w:right w:val="single" w:color="auto" w:sz="4" w:space="0"/>
            </w:tcBorders>
            <w:noWrap w:val="0"/>
            <w:vAlign w:val="center"/>
          </w:tcPr>
          <w:p>
            <w:pPr>
              <w:pStyle w:val="89"/>
              <w:spacing w:line="460" w:lineRule="exact"/>
              <w:ind w:firstLine="422"/>
              <w:outlineLvl w:val="1"/>
              <w:rPr>
                <w:rFonts w:hint="eastAsia" w:cs="宋体"/>
                <w:b/>
                <w:bCs/>
                <w:sz w:val="21"/>
                <w:szCs w:val="21"/>
                <w:highlight w:val="none"/>
              </w:rPr>
            </w:pPr>
            <w:r>
              <w:rPr>
                <w:rFonts w:hint="eastAsia" w:cs="宋体"/>
                <w:b/>
                <w:bCs/>
                <w:sz w:val="21"/>
                <w:szCs w:val="21"/>
                <w:highlight w:val="none"/>
              </w:rPr>
              <w:t>一、项目背景</w:t>
            </w:r>
          </w:p>
          <w:p>
            <w:pPr>
              <w:pStyle w:val="89"/>
              <w:spacing w:line="460" w:lineRule="exact"/>
              <w:ind w:firstLine="420"/>
              <w:rPr>
                <w:rFonts w:hint="eastAsia" w:cs="宋体"/>
                <w:sz w:val="21"/>
                <w:szCs w:val="21"/>
                <w:highlight w:val="none"/>
              </w:rPr>
            </w:pPr>
            <w:r>
              <w:rPr>
                <w:rFonts w:hint="eastAsia" w:cs="宋体"/>
                <w:sz w:val="21"/>
                <w:szCs w:val="21"/>
                <w:highlight w:val="none"/>
              </w:rPr>
              <w:t>为进一步贯彻落实国家《中央网络安全和信息化领导小组关于加强党政机关网站安全管理的通知》（中网办发文〔2014〕1号）和自治区财政厅《进一步加强财政信息化安全管理工作的通知》（桂财办〔2013〕5号）要求，2014年以来，广西财政信息管理中心（以下简称“信息中心”）每年均向专业的网络安全服务公司购买了网络安全保障服务，对自治区财政厅网站和所有系统进行实时安全监控、脆弱性检测、风险评估和安全加固，及时发现和消除安全隐患。为有效地提高自治区财政厅网站和系统的安全防御能力,持续保障自治区财政厅网站和系统的安全稳定运行，经研究，决定202</w:t>
            </w:r>
            <w:r>
              <w:rPr>
                <w:rFonts w:hint="eastAsia" w:cs="宋体"/>
                <w:sz w:val="21"/>
                <w:szCs w:val="21"/>
                <w:highlight w:val="none"/>
                <w:lang w:val="en-US" w:eastAsia="zh-CN"/>
              </w:rPr>
              <w:t>5</w:t>
            </w:r>
            <w:r>
              <w:rPr>
                <w:rFonts w:hint="eastAsia" w:cs="宋体"/>
                <w:sz w:val="21"/>
                <w:szCs w:val="21"/>
                <w:highlight w:val="none"/>
              </w:rPr>
              <w:t>年继续购买专业的网络安全保障服务。</w:t>
            </w:r>
          </w:p>
          <w:p>
            <w:pPr>
              <w:pStyle w:val="89"/>
              <w:spacing w:line="460" w:lineRule="exact"/>
              <w:ind w:firstLine="422"/>
              <w:outlineLvl w:val="1"/>
              <w:rPr>
                <w:rFonts w:hint="eastAsia" w:cs="宋体"/>
                <w:b/>
                <w:bCs/>
                <w:sz w:val="21"/>
                <w:szCs w:val="21"/>
                <w:highlight w:val="none"/>
              </w:rPr>
            </w:pPr>
            <w:r>
              <w:rPr>
                <w:rFonts w:hint="eastAsia" w:cs="宋体"/>
                <w:b/>
                <w:bCs/>
                <w:sz w:val="21"/>
                <w:szCs w:val="21"/>
                <w:highlight w:val="none"/>
              </w:rPr>
              <w:t>二、项目目标</w:t>
            </w:r>
          </w:p>
          <w:p>
            <w:pPr>
              <w:pStyle w:val="89"/>
              <w:spacing w:line="460" w:lineRule="exact"/>
              <w:ind w:firstLine="420"/>
              <w:rPr>
                <w:rFonts w:hint="eastAsia" w:cs="宋体"/>
                <w:sz w:val="21"/>
                <w:szCs w:val="21"/>
                <w:highlight w:val="none"/>
              </w:rPr>
            </w:pPr>
            <w:r>
              <w:rPr>
                <w:rFonts w:hint="eastAsia" w:cs="宋体"/>
                <w:sz w:val="21"/>
                <w:szCs w:val="21"/>
                <w:highlight w:val="none"/>
              </w:rPr>
              <w:t>为解决自治区财政厅网站和系统存在的问题，通过安全保障服务达到以下目标：</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1.保障自治区财政厅网站、信息系统和服务器平台的安全，提高网站和系统抵抗入侵和攻击的能力。</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2.提高自治区财政厅网络和系统安全防护能力，增强全网已有的安全防护设备的防护效果，发挥设备最大功效。</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3.通过脆弱性扫描、渗透测试和安全配置检查等方法，对已有信息系统进行安全评估，查找存在的安全隐患并采取措施加以防护。</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4.通过驻场值守服务，通过资源巡查、日志分析、状态监控等手段，对信息系统、安全设备进行5×8小时的值守监控，及时对安全风险进行预警，第一时间处理安全事件；出现安全应急事件时，提供7×24小时现场技术支持，及时处理、解决安全问题；实施应急演练服务，提高应急事故处理能力。</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5.借助专业公司技术力量，推进系统安全修复与加固工作。</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6.通过日常网络安全事务咨询服务，及时收集行业内最新安全事件信息，提前进行同类事件安全通告，帮助自治区财政厅及时了解最新安全动态，对未知威胁事件进行预警预防。</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7.通过网络安全培训，提高自治区财政厅安全技术人员理论和技能水平；结合实际，组织进行网络安全攻防演练，增强自治区财政厅技术人员实战经验。</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8.通过对自治区财政厅新上线系统或有重大调整的系统进行安全评估，及时发现新系统存在的安全问题，为新系统的补丁更新、账号安全、访问控制策略等提供规划和建议。</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9.根据新上线系统安全评估结果进行安全加固，包括服务器操作系统、数据库及应用中间件等软件系统补丁更新、安全配置等内容，提高其健壮性和安全性，增加攻击者入侵难度，提升业务系统安全防范能力。</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10.在国家和自治区节假日、重大活动和重要业务期间提供每天24小时业务系统重点安全应急保障服务，对可能出现影响业务稳定性的各类非法入侵行为进行预警、追踪、响应和处理。</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11.在国家、行业、自治区组织的护网期间做好自治区财政厅的防守及反击任务，确保网络和系统不被攻破。</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12.借助专业公司技术和装备力量，完成对全区（14个地市和111个区县）被检查财政局的网络安全现场检查工作。</w:t>
            </w:r>
          </w:p>
          <w:p>
            <w:pPr>
              <w:spacing w:line="46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13.为自治区财政厅安全设备和杀毒软件提供1年的特征库升级授权和升级服务。</w:t>
            </w:r>
          </w:p>
          <w:p>
            <w:pPr>
              <w:pStyle w:val="89"/>
              <w:spacing w:line="460" w:lineRule="exact"/>
              <w:ind w:firstLine="422"/>
              <w:outlineLvl w:val="1"/>
              <w:rPr>
                <w:rFonts w:hint="eastAsia" w:cs="宋体"/>
                <w:b/>
                <w:bCs/>
                <w:sz w:val="21"/>
                <w:szCs w:val="21"/>
                <w:highlight w:val="none"/>
              </w:rPr>
            </w:pPr>
            <w:r>
              <w:rPr>
                <w:rFonts w:hint="eastAsia" w:cs="宋体"/>
                <w:b/>
                <w:bCs/>
                <w:sz w:val="21"/>
                <w:szCs w:val="21"/>
                <w:highlight w:val="none"/>
              </w:rPr>
              <w:t>三、服务范围</w:t>
            </w:r>
          </w:p>
          <w:p>
            <w:pPr>
              <w:pStyle w:val="89"/>
              <w:spacing w:line="460" w:lineRule="exact"/>
              <w:ind w:firstLine="420"/>
              <w:rPr>
                <w:rFonts w:hint="eastAsia" w:cs="宋体"/>
                <w:sz w:val="21"/>
                <w:szCs w:val="21"/>
                <w:highlight w:val="none"/>
              </w:rPr>
            </w:pPr>
            <w:r>
              <w:rPr>
                <w:rFonts w:hint="eastAsia" w:cs="宋体"/>
                <w:sz w:val="21"/>
                <w:szCs w:val="21"/>
                <w:highlight w:val="none"/>
              </w:rPr>
              <w:t>（一）网络安全保障服务服务范围包括但不限于：为部署在</w:t>
            </w:r>
            <w:r>
              <w:rPr>
                <w:rFonts w:hint="default" w:cs="宋体"/>
                <w:sz w:val="21"/>
                <w:szCs w:val="21"/>
                <w:highlight w:val="none"/>
                <w:lang w:val="en"/>
              </w:rPr>
              <w:t>自治区财政厅</w:t>
            </w:r>
            <w:r>
              <w:rPr>
                <w:rFonts w:hint="eastAsia" w:cs="宋体"/>
                <w:sz w:val="21"/>
                <w:szCs w:val="21"/>
                <w:highlight w:val="none"/>
              </w:rPr>
              <w:t>内、外网及电子政务外网的56个业务系统</w:t>
            </w:r>
            <w:r>
              <w:rPr>
                <w:rFonts w:hint="eastAsia" w:cs="宋体"/>
                <w:sz w:val="21"/>
                <w:szCs w:val="21"/>
                <w:highlight w:val="none"/>
                <w:lang w:eastAsia="zh-CN"/>
              </w:rPr>
              <w:t>（</w:t>
            </w:r>
            <w:r>
              <w:rPr>
                <w:rFonts w:hint="eastAsia" w:cs="宋体"/>
                <w:sz w:val="21"/>
                <w:szCs w:val="21"/>
                <w:highlight w:val="none"/>
              </w:rPr>
              <w:t>46个业务系统和10个测试系统</w:t>
            </w:r>
            <w:r>
              <w:rPr>
                <w:rFonts w:hint="eastAsia" w:cs="宋体"/>
                <w:sz w:val="21"/>
                <w:szCs w:val="21"/>
                <w:highlight w:val="none"/>
                <w:lang w:eastAsia="zh-CN"/>
              </w:rPr>
              <w:t>）</w:t>
            </w:r>
            <w:r>
              <w:rPr>
                <w:rFonts w:hint="eastAsia" w:cs="宋体"/>
                <w:sz w:val="21"/>
                <w:szCs w:val="21"/>
                <w:highlight w:val="none"/>
              </w:rPr>
              <w:t>，以及所涉及的</w:t>
            </w:r>
            <w:r>
              <w:rPr>
                <w:rFonts w:hint="eastAsia" w:cs="宋体"/>
                <w:sz w:val="21"/>
                <w:szCs w:val="21"/>
                <w:highlight w:val="none"/>
                <w:lang w:val="en-US" w:eastAsia="zh-CN"/>
              </w:rPr>
              <w:t>577</w:t>
            </w:r>
            <w:r>
              <w:rPr>
                <w:rFonts w:hint="eastAsia" w:cs="宋体"/>
                <w:sz w:val="21"/>
                <w:szCs w:val="21"/>
                <w:highlight w:val="none"/>
              </w:rPr>
              <w:t>台服务器和294台网络安全设备提供1年的云防护服务、风险评估服务、安全加固服务、驻场值守服务、应急演练服务、安全培训服务、新系统或重大调整系统上线前安全评估和加固服务、重要时期安全保障服务、护网重点保障和网络攻防演练服务、网络安全检查技术支持服务、安全设备和杀毒软件特征库授权和升级服务。网络安全保障服务系统及设备清单详见下表：</w:t>
            </w:r>
          </w:p>
          <w:p>
            <w:pPr>
              <w:pStyle w:val="89"/>
              <w:spacing w:line="460" w:lineRule="exact"/>
              <w:ind w:firstLine="480"/>
              <w:jc w:val="center"/>
              <w:outlineLvl w:val="2"/>
              <w:rPr>
                <w:rFonts w:hint="eastAsia" w:ascii="黑体" w:eastAsia="黑体"/>
                <w:sz w:val="24"/>
                <w:szCs w:val="24"/>
                <w:highlight w:val="none"/>
                <w:lang w:val="en-US"/>
              </w:rPr>
            </w:pPr>
            <w:r>
              <w:rPr>
                <w:rFonts w:hint="eastAsia" w:ascii="黑体" w:eastAsia="黑体"/>
                <w:sz w:val="24"/>
                <w:szCs w:val="24"/>
                <w:highlight w:val="none"/>
                <w:lang w:val="en-US"/>
              </w:rPr>
              <w:t>表1  网络安全保障服务系统及设备清单</w:t>
            </w:r>
          </w:p>
          <w:tbl>
            <w:tblPr>
              <w:tblStyle w:val="29"/>
              <w:tblW w:w="7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816"/>
              <w:gridCol w:w="78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7" w:type="dxa"/>
                  <w:noWrap w:val="0"/>
                  <w:vAlign w:val="center"/>
                </w:tcPr>
                <w:p>
                  <w:pPr>
                    <w:widowControl/>
                    <w:spacing w:line="460" w:lineRule="exact"/>
                    <w:jc w:val="center"/>
                    <w:rPr>
                      <w:rFonts w:ascii="宋体" w:hAnsi="宋体"/>
                      <w:b/>
                      <w:bCs/>
                      <w:kern w:val="0"/>
                      <w:szCs w:val="21"/>
                      <w:highlight w:val="none"/>
                    </w:rPr>
                  </w:pPr>
                  <w:r>
                    <w:rPr>
                      <w:rFonts w:hint="eastAsia" w:ascii="宋体" w:hAnsi="宋体"/>
                      <w:b/>
                      <w:bCs/>
                      <w:kern w:val="0"/>
                      <w:highlight w:val="none"/>
                    </w:rPr>
                    <w:t>序号</w:t>
                  </w:r>
                </w:p>
              </w:tc>
              <w:tc>
                <w:tcPr>
                  <w:tcW w:w="4816" w:type="dxa"/>
                  <w:noWrap w:val="0"/>
                  <w:vAlign w:val="center"/>
                </w:tcPr>
                <w:p>
                  <w:pPr>
                    <w:widowControl/>
                    <w:spacing w:line="460" w:lineRule="exact"/>
                    <w:jc w:val="center"/>
                    <w:rPr>
                      <w:rFonts w:ascii="宋体" w:hAnsi="宋体"/>
                      <w:b/>
                      <w:bCs/>
                      <w:kern w:val="0"/>
                      <w:szCs w:val="21"/>
                      <w:highlight w:val="none"/>
                    </w:rPr>
                  </w:pPr>
                  <w:r>
                    <w:rPr>
                      <w:rFonts w:hint="eastAsia" w:ascii="宋体" w:hAnsi="宋体"/>
                      <w:b/>
                      <w:bCs/>
                      <w:kern w:val="0"/>
                      <w:highlight w:val="none"/>
                    </w:rPr>
                    <w:t>系统（设备）</w:t>
                  </w:r>
                </w:p>
              </w:tc>
              <w:tc>
                <w:tcPr>
                  <w:tcW w:w="789" w:type="dxa"/>
                  <w:noWrap w:val="0"/>
                  <w:vAlign w:val="center"/>
                </w:tcPr>
                <w:p>
                  <w:pPr>
                    <w:widowControl/>
                    <w:spacing w:line="460" w:lineRule="exact"/>
                    <w:jc w:val="center"/>
                    <w:rPr>
                      <w:rFonts w:ascii="宋体" w:hAnsi="宋体"/>
                      <w:b/>
                      <w:bCs/>
                      <w:kern w:val="0"/>
                      <w:szCs w:val="21"/>
                      <w:highlight w:val="none"/>
                    </w:rPr>
                  </w:pPr>
                  <w:r>
                    <w:rPr>
                      <w:rFonts w:hint="eastAsia" w:ascii="宋体" w:hAnsi="宋体"/>
                      <w:b/>
                      <w:bCs/>
                      <w:kern w:val="0"/>
                      <w:highlight w:val="none"/>
                    </w:rPr>
                    <w:t>数量</w:t>
                  </w:r>
                </w:p>
              </w:tc>
              <w:tc>
                <w:tcPr>
                  <w:tcW w:w="1540" w:type="dxa"/>
                  <w:noWrap w:val="0"/>
                  <w:vAlign w:val="center"/>
                </w:tcPr>
                <w:p>
                  <w:pPr>
                    <w:widowControl/>
                    <w:spacing w:line="460" w:lineRule="exact"/>
                    <w:jc w:val="center"/>
                    <w:rPr>
                      <w:rFonts w:ascii="宋体" w:hAnsi="宋体"/>
                      <w:b/>
                      <w:bCs/>
                      <w:kern w:val="0"/>
                      <w:szCs w:val="21"/>
                      <w:highlight w:val="none"/>
                    </w:rPr>
                  </w:pPr>
                  <w:r>
                    <w:rPr>
                      <w:rFonts w:hint="eastAsia" w:ascii="宋体" w:hAnsi="宋体"/>
                      <w:b/>
                      <w:bCs/>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22" w:type="dxa"/>
                  <w:gridSpan w:val="4"/>
                  <w:noWrap w:val="0"/>
                  <w:vAlign w:val="center"/>
                </w:tcPr>
                <w:p>
                  <w:pPr>
                    <w:widowControl/>
                    <w:spacing w:line="460" w:lineRule="exact"/>
                    <w:jc w:val="left"/>
                    <w:rPr>
                      <w:rFonts w:ascii="宋体" w:hAnsi="宋体"/>
                      <w:b/>
                      <w:bCs/>
                      <w:kern w:val="0"/>
                      <w:szCs w:val="21"/>
                      <w:highlight w:val="none"/>
                    </w:rPr>
                  </w:pPr>
                  <w:r>
                    <w:rPr>
                      <w:rFonts w:hint="eastAsia" w:ascii="宋体" w:hAnsi="宋体"/>
                      <w:b/>
                      <w:bCs/>
                      <w:kern w:val="0"/>
                      <w:highlight w:val="none"/>
                    </w:rPr>
                    <w:t>一、业务系统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广西壮族自治区财政厅网站</w:t>
                  </w:r>
                </w:p>
              </w:tc>
              <w:tc>
                <w:tcPr>
                  <w:tcW w:w="789"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2</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广西财政统一报表</w:t>
                  </w:r>
                </w:p>
              </w:tc>
              <w:tc>
                <w:tcPr>
                  <w:tcW w:w="789"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3</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广西财政票据电子化管理系统</w:t>
                  </w:r>
                </w:p>
              </w:tc>
              <w:tc>
                <w:tcPr>
                  <w:tcW w:w="789"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4</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广西壮族自治区财政厅在线培训系统</w:t>
                  </w:r>
                </w:p>
              </w:tc>
              <w:tc>
                <w:tcPr>
                  <w:tcW w:w="789"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5</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广西会计管理系统</w:t>
                  </w:r>
                </w:p>
              </w:tc>
              <w:tc>
                <w:tcPr>
                  <w:tcW w:w="789"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6</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广西统一公共收付系统</w:t>
                  </w:r>
                </w:p>
              </w:tc>
              <w:tc>
                <w:tcPr>
                  <w:tcW w:w="789"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7</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广西预算管理一体化系统</w:t>
                  </w:r>
                </w:p>
              </w:tc>
              <w:tc>
                <w:tcPr>
                  <w:tcW w:w="789"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8</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广西政策性农业保险保费补贴与业务管理系统</w:t>
                  </w:r>
                </w:p>
              </w:tc>
              <w:tc>
                <w:tcPr>
                  <w:tcW w:w="789"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9</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广西财政数据发布系统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10</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自治区财政厅文档云系统（信创）</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11</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自治区财政厅办公自动化系统（信创）</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12</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广西惠民惠农财政补贴资金“一卡通”管理系统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13</w:t>
                  </w:r>
                </w:p>
              </w:tc>
              <w:tc>
                <w:tcPr>
                  <w:tcW w:w="4816"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地方政府专项债券项目穿透式监测系统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1</w:t>
                  </w:r>
                  <w:r>
                    <w:rPr>
                      <w:rFonts w:ascii="宋体" w:hAnsi="宋体"/>
                      <w:kern w:val="0"/>
                      <w:szCs w:val="21"/>
                      <w:highlight w:val="none"/>
                      <w:lang w:val="en"/>
                    </w:rPr>
                    <w:t>4</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广西政府财务报告管理系统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1</w:t>
                  </w:r>
                  <w:r>
                    <w:rPr>
                      <w:rFonts w:ascii="宋体" w:hAnsi="宋体"/>
                      <w:kern w:val="0"/>
                      <w:szCs w:val="21"/>
                      <w:highlight w:val="none"/>
                      <w:lang w:val="en"/>
                    </w:rPr>
                    <w:t>5</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广西壮族自治区财政厅公开招聘报名系统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lang w:val="en"/>
                    </w:rPr>
                    <w:t>6</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部门预算管理系统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lang w:val="en"/>
                    </w:rPr>
                    <w:t>7</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非税收入收缴管理系统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lang w:val="en"/>
                    </w:rPr>
                    <w:t>8</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财政工资统发管理系统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ascii="宋体" w:hAnsi="宋体"/>
                      <w:kern w:val="0"/>
                      <w:szCs w:val="21"/>
                      <w:highlight w:val="none"/>
                      <w:lang w:val="en"/>
                    </w:rPr>
                    <w:t>19</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财政应用支撑平台</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lang w:val="en"/>
                    </w:rPr>
                    <w:t>0</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预算执行一体化系统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2</w:t>
                  </w:r>
                  <w:r>
                    <w:rPr>
                      <w:rFonts w:ascii="宋体" w:hAnsi="宋体"/>
                      <w:kern w:val="0"/>
                      <w:szCs w:val="21"/>
                      <w:highlight w:val="none"/>
                      <w:lang w:val="en"/>
                    </w:rPr>
                    <w:t>1</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预算单位财务管理系统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2</w:t>
                  </w:r>
                  <w:r>
                    <w:rPr>
                      <w:rFonts w:ascii="宋体" w:hAnsi="宋体"/>
                      <w:kern w:val="0"/>
                      <w:szCs w:val="21"/>
                      <w:highlight w:val="none"/>
                      <w:lang w:val="en"/>
                    </w:rPr>
                    <w:t>2</w:t>
                  </w:r>
                </w:p>
              </w:tc>
              <w:tc>
                <w:tcPr>
                  <w:tcW w:w="4816" w:type="dxa"/>
                  <w:shd w:val="clear" w:color="auto" w:fill="FFFFFF"/>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地方债务管理系统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2</w:t>
                  </w:r>
                  <w:r>
                    <w:rPr>
                      <w:rFonts w:ascii="宋体" w:hAnsi="宋体"/>
                      <w:kern w:val="0"/>
                      <w:szCs w:val="21"/>
                      <w:highlight w:val="none"/>
                      <w:lang w:val="en"/>
                    </w:rPr>
                    <w:t>3</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预算单位银行账户管理系统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2</w:t>
                  </w:r>
                  <w:r>
                    <w:rPr>
                      <w:rFonts w:ascii="宋体" w:hAnsi="宋体"/>
                      <w:kern w:val="0"/>
                      <w:szCs w:val="21"/>
                      <w:highlight w:val="none"/>
                      <w:lang w:val="en"/>
                    </w:rPr>
                    <w:t>4</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财政转移支付综合管理系统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2</w:t>
                  </w:r>
                  <w:r>
                    <w:rPr>
                      <w:rFonts w:ascii="宋体" w:hAnsi="宋体"/>
                      <w:kern w:val="0"/>
                      <w:szCs w:val="21"/>
                      <w:highlight w:val="none"/>
                      <w:lang w:val="en"/>
                    </w:rPr>
                    <w:t>5</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预算执行分析信息系统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2</w:t>
                  </w:r>
                  <w:r>
                    <w:rPr>
                      <w:rFonts w:ascii="宋体" w:hAnsi="宋体"/>
                      <w:kern w:val="0"/>
                      <w:szCs w:val="21"/>
                      <w:highlight w:val="none"/>
                      <w:lang w:val="en"/>
                    </w:rPr>
                    <w:t>6</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财政内网邮件系统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2</w:t>
                  </w:r>
                  <w:r>
                    <w:rPr>
                      <w:rFonts w:ascii="宋体" w:hAnsi="宋体"/>
                      <w:kern w:val="0"/>
                      <w:szCs w:val="21"/>
                      <w:highlight w:val="none"/>
                      <w:lang w:val="en"/>
                    </w:rPr>
                    <w:t>7</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财政社会保险基金预算管理系统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2</w:t>
                  </w:r>
                  <w:r>
                    <w:rPr>
                      <w:rFonts w:ascii="宋体" w:hAnsi="宋体"/>
                      <w:kern w:val="0"/>
                      <w:szCs w:val="21"/>
                      <w:highlight w:val="none"/>
                      <w:lang w:val="en"/>
                    </w:rPr>
                    <w:t>8</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一事一议财政奖补项目信息管理系统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ascii="宋体" w:hAnsi="宋体"/>
                      <w:kern w:val="0"/>
                      <w:szCs w:val="21"/>
                      <w:highlight w:val="none"/>
                      <w:lang w:val="en"/>
                    </w:rPr>
                    <w:t>29</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统一运维管理系统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3</w:t>
                  </w:r>
                  <w:r>
                    <w:rPr>
                      <w:rFonts w:ascii="宋体" w:hAnsi="宋体"/>
                      <w:kern w:val="0"/>
                      <w:szCs w:val="21"/>
                      <w:highlight w:val="none"/>
                      <w:lang w:val="en"/>
                    </w:rPr>
                    <w:t>0</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地方分析评价系统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3</w:t>
                  </w:r>
                  <w:r>
                    <w:rPr>
                      <w:rFonts w:ascii="宋体" w:hAnsi="宋体"/>
                      <w:kern w:val="0"/>
                      <w:szCs w:val="21"/>
                      <w:highlight w:val="none"/>
                      <w:lang w:val="en"/>
                    </w:rPr>
                    <w:t>1</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军队转业干部信息管理系统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3</w:t>
                  </w:r>
                  <w:r>
                    <w:rPr>
                      <w:rFonts w:ascii="宋体" w:hAnsi="宋体"/>
                      <w:kern w:val="0"/>
                      <w:szCs w:val="21"/>
                      <w:highlight w:val="none"/>
                      <w:lang w:val="en"/>
                    </w:rPr>
                    <w:t>2</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人事管理系统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3</w:t>
                  </w:r>
                  <w:r>
                    <w:rPr>
                      <w:rFonts w:ascii="宋体" w:hAnsi="宋体"/>
                      <w:kern w:val="0"/>
                      <w:szCs w:val="21"/>
                      <w:highlight w:val="none"/>
                      <w:lang w:val="en"/>
                    </w:rPr>
                    <w:t>3</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用友财务R9软件</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lang w:val="en"/>
                    </w:rPr>
                  </w:pPr>
                  <w:r>
                    <w:rPr>
                      <w:rFonts w:hint="eastAsia" w:ascii="宋体" w:hAnsi="宋体"/>
                      <w:kern w:val="0"/>
                      <w:szCs w:val="21"/>
                      <w:highlight w:val="none"/>
                    </w:rPr>
                    <w:t>3</w:t>
                  </w:r>
                  <w:r>
                    <w:rPr>
                      <w:rFonts w:ascii="宋体" w:hAnsi="宋体"/>
                      <w:kern w:val="0"/>
                      <w:szCs w:val="21"/>
                      <w:highlight w:val="none"/>
                      <w:lang w:val="en"/>
                    </w:rPr>
                    <w:t>4</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广西部门决算网络版系统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3</w:t>
                  </w:r>
                  <w:r>
                    <w:rPr>
                      <w:rFonts w:ascii="宋体" w:hAnsi="宋体"/>
                      <w:kern w:val="0"/>
                      <w:szCs w:val="21"/>
                      <w:highlight w:val="none"/>
                      <w:lang w:val="en"/>
                    </w:rPr>
                    <w:t>5</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自治区财政厅档案管理系统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3</w:t>
                  </w:r>
                  <w:r>
                    <w:rPr>
                      <w:rFonts w:ascii="宋体" w:hAnsi="宋体"/>
                      <w:kern w:val="0"/>
                      <w:szCs w:val="21"/>
                      <w:highlight w:val="none"/>
                      <w:lang w:val="en"/>
                    </w:rPr>
                    <w:t>6</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广西财政投资评审信息系统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3</w:t>
                  </w:r>
                  <w:r>
                    <w:rPr>
                      <w:rFonts w:ascii="宋体" w:hAnsi="宋体"/>
                      <w:kern w:val="0"/>
                      <w:szCs w:val="21"/>
                      <w:highlight w:val="none"/>
                      <w:lang w:val="en"/>
                    </w:rPr>
                    <w:t>7</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广西财政预算绩效管理系统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3</w:t>
                  </w:r>
                  <w:r>
                    <w:rPr>
                      <w:rFonts w:ascii="宋体" w:hAnsi="宋体"/>
                      <w:kern w:val="0"/>
                      <w:szCs w:val="21"/>
                      <w:highlight w:val="none"/>
                      <w:lang w:val="en"/>
                    </w:rPr>
                    <w:t>8</w:t>
                  </w:r>
                </w:p>
              </w:tc>
              <w:tc>
                <w:tcPr>
                  <w:tcW w:w="4816" w:type="dxa"/>
                  <w:shd w:val="clear" w:color="auto" w:fill="FFFFFF"/>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广西财政电子支付监测系统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ascii="宋体" w:hAnsi="宋体"/>
                      <w:kern w:val="0"/>
                      <w:szCs w:val="21"/>
                      <w:highlight w:val="none"/>
                      <w:lang w:val="en"/>
                    </w:rPr>
                    <w:t>39</w:t>
                  </w:r>
                </w:p>
              </w:tc>
              <w:tc>
                <w:tcPr>
                  <w:tcW w:w="4816" w:type="dxa"/>
                  <w:shd w:val="clear" w:color="auto" w:fill="FFFFFF"/>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广西县级财政国库集中支付电子化管理系统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4</w:t>
                  </w:r>
                  <w:r>
                    <w:rPr>
                      <w:rFonts w:ascii="宋体" w:hAnsi="宋体"/>
                      <w:kern w:val="0"/>
                      <w:szCs w:val="21"/>
                      <w:highlight w:val="none"/>
                      <w:lang w:val="en"/>
                    </w:rPr>
                    <w:t>0</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广西财政视频会议系统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4</w:t>
                  </w:r>
                  <w:r>
                    <w:rPr>
                      <w:rFonts w:ascii="宋体" w:hAnsi="宋体"/>
                      <w:kern w:val="0"/>
                      <w:szCs w:val="21"/>
                      <w:highlight w:val="none"/>
                      <w:lang w:val="en"/>
                    </w:rPr>
                    <w:t>1</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自治区财政厅干部管理系统</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4</w:t>
                  </w:r>
                  <w:r>
                    <w:rPr>
                      <w:rFonts w:ascii="宋体" w:hAnsi="宋体"/>
                      <w:kern w:val="0"/>
                      <w:szCs w:val="21"/>
                      <w:highlight w:val="none"/>
                      <w:lang w:val="en"/>
                    </w:rPr>
                    <w:t>2</w:t>
                  </w:r>
                </w:p>
              </w:tc>
              <w:tc>
                <w:tcPr>
                  <w:tcW w:w="4816" w:type="dxa"/>
                  <w:shd w:val="clear" w:color="auto" w:fill="FFFFFF"/>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广西财政扶贫资金动态监控平台</w:t>
                  </w:r>
                </w:p>
              </w:tc>
              <w:tc>
                <w:tcPr>
                  <w:tcW w:w="789"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4</w:t>
                  </w:r>
                  <w:r>
                    <w:rPr>
                      <w:rFonts w:ascii="宋体" w:hAnsi="宋体"/>
                      <w:kern w:val="0"/>
                      <w:szCs w:val="21"/>
                      <w:highlight w:val="none"/>
                      <w:lang w:val="en"/>
                    </w:rPr>
                    <w:t>3</w:t>
                  </w:r>
                </w:p>
              </w:tc>
              <w:tc>
                <w:tcPr>
                  <w:tcW w:w="4816" w:type="dxa"/>
                  <w:shd w:val="clear" w:color="auto" w:fill="FFFFFF"/>
                  <w:noWrap/>
                  <w:vAlign w:val="center"/>
                </w:tcPr>
                <w:p>
                  <w:pPr>
                    <w:widowControl/>
                    <w:spacing w:line="460" w:lineRule="exact"/>
                    <w:jc w:val="center"/>
                    <w:textAlignment w:val="center"/>
                    <w:rPr>
                      <w:rFonts w:hint="eastAsia" w:ascii="宋体" w:hAnsi="宋体"/>
                      <w:szCs w:val="21"/>
                      <w:highlight w:val="none"/>
                    </w:rPr>
                  </w:pPr>
                  <w:r>
                    <w:rPr>
                      <w:rFonts w:hint="eastAsia" w:ascii="宋体" w:hAnsi="宋体" w:cs="宋体"/>
                      <w:kern w:val="0"/>
                      <w:szCs w:val="21"/>
                      <w:highlight w:val="none"/>
                      <w:lang w:bidi="ar"/>
                    </w:rPr>
                    <w:t>自治区财政厅智能文件交换与跟踪系统</w:t>
                  </w:r>
                </w:p>
              </w:tc>
              <w:tc>
                <w:tcPr>
                  <w:tcW w:w="789"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hint="eastAsia"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4</w:t>
                  </w:r>
                  <w:r>
                    <w:rPr>
                      <w:rFonts w:ascii="宋体" w:hAnsi="宋体"/>
                      <w:kern w:val="0"/>
                      <w:szCs w:val="21"/>
                      <w:highlight w:val="none"/>
                      <w:lang w:val="en"/>
                    </w:rPr>
                    <w:t>4</w:t>
                  </w:r>
                </w:p>
              </w:tc>
              <w:tc>
                <w:tcPr>
                  <w:tcW w:w="4816" w:type="dxa"/>
                  <w:shd w:val="clear" w:color="auto" w:fill="FFFFFF"/>
                  <w:noWrap/>
                  <w:vAlign w:val="center"/>
                </w:tcPr>
                <w:p>
                  <w:pPr>
                    <w:widowControl/>
                    <w:spacing w:line="460" w:lineRule="exact"/>
                    <w:jc w:val="center"/>
                    <w:textAlignment w:val="center"/>
                    <w:rPr>
                      <w:rFonts w:hint="eastAsia" w:ascii="宋体" w:hAnsi="宋体"/>
                      <w:szCs w:val="21"/>
                      <w:highlight w:val="none"/>
                    </w:rPr>
                  </w:pPr>
                  <w:r>
                    <w:rPr>
                      <w:rFonts w:hint="eastAsia" w:ascii="宋体" w:hAnsi="宋体" w:cs="宋体"/>
                      <w:kern w:val="0"/>
                      <w:szCs w:val="21"/>
                      <w:highlight w:val="none"/>
                      <w:lang w:bidi="ar"/>
                    </w:rPr>
                    <w:t>广西预算管理一体化系统技术服务呼叫中心</w:t>
                  </w:r>
                </w:p>
              </w:tc>
              <w:tc>
                <w:tcPr>
                  <w:tcW w:w="789"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hint="eastAsia"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4</w:t>
                  </w:r>
                  <w:r>
                    <w:rPr>
                      <w:rFonts w:ascii="宋体" w:hAnsi="宋体"/>
                      <w:kern w:val="0"/>
                      <w:szCs w:val="21"/>
                      <w:highlight w:val="none"/>
                      <w:lang w:val="en"/>
                    </w:rPr>
                    <w:t>5</w:t>
                  </w:r>
                </w:p>
              </w:tc>
              <w:tc>
                <w:tcPr>
                  <w:tcW w:w="4816" w:type="dxa"/>
                  <w:shd w:val="clear" w:color="auto" w:fill="FFFFFF"/>
                  <w:noWrap/>
                  <w:vAlign w:val="center"/>
                </w:tcPr>
                <w:p>
                  <w:pPr>
                    <w:widowControl/>
                    <w:spacing w:line="460" w:lineRule="exact"/>
                    <w:jc w:val="center"/>
                    <w:textAlignment w:val="center"/>
                    <w:rPr>
                      <w:rFonts w:hint="eastAsia" w:ascii="宋体" w:hAnsi="宋体"/>
                      <w:szCs w:val="21"/>
                      <w:highlight w:val="none"/>
                    </w:rPr>
                  </w:pPr>
                  <w:r>
                    <w:rPr>
                      <w:rFonts w:hint="eastAsia" w:ascii="宋体" w:hAnsi="宋体" w:cs="宋体"/>
                      <w:kern w:val="0"/>
                      <w:szCs w:val="21"/>
                      <w:highlight w:val="none"/>
                      <w:lang w:bidi="ar"/>
                    </w:rPr>
                    <w:t>行政事业单位资产管理系统</w:t>
                  </w:r>
                </w:p>
              </w:tc>
              <w:tc>
                <w:tcPr>
                  <w:tcW w:w="789"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ascii="宋体" w:hAnsi="宋体"/>
                      <w:kern w:val="0"/>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4</w:t>
                  </w:r>
                  <w:r>
                    <w:rPr>
                      <w:rFonts w:ascii="宋体" w:hAnsi="宋体"/>
                      <w:kern w:val="0"/>
                      <w:szCs w:val="21"/>
                      <w:highlight w:val="none"/>
                      <w:lang w:val="en"/>
                    </w:rPr>
                    <w:t>6</w:t>
                  </w:r>
                </w:p>
              </w:tc>
              <w:tc>
                <w:tcPr>
                  <w:tcW w:w="4816" w:type="dxa"/>
                  <w:shd w:val="clear" w:color="auto" w:fill="FFFFFF"/>
                  <w:noWrap/>
                  <w:vAlign w:val="center"/>
                </w:tcPr>
                <w:p>
                  <w:pPr>
                    <w:widowControl/>
                    <w:spacing w:line="460" w:lineRule="exact"/>
                    <w:jc w:val="center"/>
                    <w:textAlignment w:val="center"/>
                    <w:rPr>
                      <w:rFonts w:hint="eastAsia" w:ascii="宋体" w:hAnsi="宋体"/>
                      <w:szCs w:val="21"/>
                      <w:highlight w:val="none"/>
                    </w:rPr>
                  </w:pPr>
                  <w:r>
                    <w:rPr>
                      <w:rFonts w:hint="eastAsia" w:ascii="宋体" w:hAnsi="宋体" w:cs="宋体"/>
                      <w:kern w:val="0"/>
                      <w:szCs w:val="21"/>
                      <w:highlight w:val="none"/>
                      <w:lang w:bidi="ar"/>
                    </w:rPr>
                    <w:t>广西壮族自治区政府采购网</w:t>
                  </w:r>
                </w:p>
              </w:tc>
              <w:tc>
                <w:tcPr>
                  <w:tcW w:w="789"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widowControl/>
                    <w:spacing w:line="460" w:lineRule="exact"/>
                    <w:jc w:val="center"/>
                    <w:textAlignment w:val="center"/>
                    <w:rPr>
                      <w:rFonts w:hint="eastAsia" w:ascii="宋体" w:hAnsi="宋体"/>
                      <w:kern w:val="0"/>
                      <w:szCs w:val="21"/>
                      <w:highlight w:val="none"/>
                    </w:rPr>
                  </w:pPr>
                  <w:r>
                    <w:rPr>
                      <w:rFonts w:hint="eastAsia" w:ascii="宋体" w:hAnsi="宋体" w:cs="宋体"/>
                      <w:kern w:val="0"/>
                      <w:szCs w:val="21"/>
                      <w:highlight w:val="none"/>
                      <w:lang w:bidi="ar"/>
                    </w:rPr>
                    <w:t>政采云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jc w:val="both"/>
                    <w:textAlignment w:val="auto"/>
                    <w:rPr>
                      <w:rFonts w:ascii="宋体" w:hAnsi="宋体"/>
                      <w:b/>
                      <w:bCs/>
                      <w:kern w:val="0"/>
                      <w:szCs w:val="21"/>
                      <w:highlight w:val="none"/>
                    </w:rPr>
                  </w:pPr>
                  <w:r>
                    <w:rPr>
                      <w:rFonts w:hint="eastAsia" w:ascii="宋体" w:hAnsi="宋体"/>
                      <w:b/>
                      <w:bCs/>
                      <w:kern w:val="0"/>
                      <w:szCs w:val="21"/>
                      <w:highlight w:val="none"/>
                      <w:lang w:val="en-US" w:eastAsia="zh-CN"/>
                    </w:rPr>
                    <w:t xml:space="preserve">                      </w:t>
                  </w:r>
                  <w:r>
                    <w:rPr>
                      <w:rFonts w:hint="eastAsia" w:ascii="宋体" w:hAnsi="宋体"/>
                      <w:b/>
                      <w:bCs/>
                      <w:kern w:val="0"/>
                      <w:szCs w:val="21"/>
                      <w:highlight w:val="none"/>
                    </w:rPr>
                    <w:t>系统合计</w:t>
                  </w:r>
                </w:p>
              </w:tc>
              <w:tc>
                <w:tcPr>
                  <w:tcW w:w="789" w:type="dxa"/>
                  <w:noWrap/>
                  <w:vAlign w:val="center"/>
                </w:tcPr>
                <w:p>
                  <w:pPr>
                    <w:widowControl/>
                    <w:spacing w:line="460" w:lineRule="exact"/>
                    <w:jc w:val="center"/>
                    <w:textAlignment w:val="center"/>
                    <w:rPr>
                      <w:rFonts w:ascii="宋体" w:hAnsi="宋体"/>
                      <w:b/>
                      <w:kern w:val="0"/>
                      <w:szCs w:val="21"/>
                      <w:highlight w:val="none"/>
                    </w:rPr>
                  </w:pPr>
                  <w:r>
                    <w:rPr>
                      <w:rFonts w:hint="eastAsia" w:ascii="宋体" w:hAnsi="宋体"/>
                      <w:b/>
                      <w:kern w:val="0"/>
                      <w:szCs w:val="21"/>
                      <w:highlight w:val="none"/>
                    </w:rPr>
                    <w:t>4</w:t>
                  </w:r>
                  <w:r>
                    <w:rPr>
                      <w:rFonts w:ascii="宋体" w:hAnsi="宋体"/>
                      <w:b/>
                      <w:kern w:val="0"/>
                      <w:szCs w:val="21"/>
                      <w:highlight w:val="none"/>
                      <w:lang w:val="en"/>
                    </w:rPr>
                    <w:t>6</w:t>
                  </w:r>
                  <w:r>
                    <w:rPr>
                      <w:rFonts w:hint="eastAsia" w:ascii="宋体" w:hAnsi="宋体"/>
                      <w:b/>
                      <w:kern w:val="0"/>
                      <w:szCs w:val="21"/>
                      <w:highlight w:val="none"/>
                    </w:rPr>
                    <w:t>个</w:t>
                  </w:r>
                </w:p>
              </w:tc>
              <w:tc>
                <w:tcPr>
                  <w:tcW w:w="1540" w:type="dxa"/>
                  <w:noWrap/>
                  <w:vAlign w:val="center"/>
                </w:tcPr>
                <w:p>
                  <w:pPr>
                    <w:widowControl/>
                    <w:spacing w:line="460" w:lineRule="exact"/>
                    <w:jc w:val="center"/>
                    <w:textAlignment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2" w:type="dxa"/>
                  <w:gridSpan w:val="4"/>
                  <w:noWrap/>
                  <w:vAlign w:val="center"/>
                </w:tcPr>
                <w:p>
                  <w:pPr>
                    <w:widowControl/>
                    <w:spacing w:line="460" w:lineRule="exact"/>
                    <w:jc w:val="left"/>
                    <w:rPr>
                      <w:rFonts w:ascii="宋体" w:hAnsi="宋体"/>
                      <w:b/>
                      <w:kern w:val="0"/>
                      <w:szCs w:val="21"/>
                      <w:highlight w:val="none"/>
                    </w:rPr>
                  </w:pPr>
                  <w:r>
                    <w:rPr>
                      <w:rFonts w:hint="eastAsia" w:ascii="宋体" w:hAnsi="宋体"/>
                      <w:b/>
                      <w:kern w:val="0"/>
                      <w:highlight w:val="none"/>
                    </w:rPr>
                    <w:t>二、测试系统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社会保障资金信息管理系统</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2</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自治区财政厅统一门户</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3</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农业保险保费补贴与业务管理系统</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cs="宋体"/>
                      <w:kern w:val="0"/>
                      <w:szCs w:val="21"/>
                      <w:highlight w:val="none"/>
                      <w:lang w:bidi="ar"/>
                    </w:rPr>
                    <w:t>电子政务外网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4</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文档云测试系统</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5</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OA办公自动化系统测试</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6</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行政事业单位资产管理信息系统测试</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7</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预算绩效管理信息系统测试</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8</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票据电子化管理系统</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9</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政府财务报告系统测试</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10</w:t>
                  </w:r>
                </w:p>
              </w:tc>
              <w:tc>
                <w:tcPr>
                  <w:tcW w:w="4816"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cs="宋体"/>
                      <w:kern w:val="0"/>
                      <w:szCs w:val="21"/>
                      <w:highlight w:val="none"/>
                      <w:lang w:bidi="ar"/>
                    </w:rPr>
                    <w:t>社会保障资金信息管理系统</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szCs w:val="21"/>
                      <w:highlight w:val="none"/>
                    </w:rPr>
                    <w:t>1个</w:t>
                  </w:r>
                </w:p>
              </w:tc>
              <w:tc>
                <w:tcPr>
                  <w:tcW w:w="1540" w:type="dxa"/>
                  <w:noWrap/>
                  <w:vAlign w:val="center"/>
                </w:tcPr>
                <w:p>
                  <w:pPr>
                    <w:spacing w:line="460" w:lineRule="exact"/>
                    <w:jc w:val="center"/>
                    <w:rPr>
                      <w:rFonts w:ascii="宋体" w:hAnsi="宋体"/>
                      <w:szCs w:val="21"/>
                      <w:highlight w:val="none"/>
                    </w:rPr>
                  </w:pPr>
                  <w:r>
                    <w:rPr>
                      <w:rFonts w:hint="eastAsia" w:ascii="宋体" w:hAnsi="宋体"/>
                      <w:highlight w:val="none"/>
                    </w:rPr>
                    <w:t>财政内网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ind w:firstLine="0"/>
                    <w:jc w:val="both"/>
                    <w:rPr>
                      <w:rFonts w:ascii="宋体" w:hAnsi="宋体"/>
                      <w:b/>
                      <w:bCs/>
                      <w:kern w:val="0"/>
                      <w:szCs w:val="21"/>
                      <w:highlight w:val="none"/>
                    </w:rPr>
                  </w:pPr>
                  <w:r>
                    <w:rPr>
                      <w:rFonts w:hint="eastAsia" w:ascii="宋体" w:hAnsi="宋体"/>
                      <w:b/>
                      <w:bCs/>
                      <w:kern w:val="0"/>
                      <w:szCs w:val="21"/>
                      <w:highlight w:val="none"/>
                      <w:lang w:val="en-US" w:eastAsia="zh-CN"/>
                    </w:rPr>
                    <w:t xml:space="preserve">                     </w:t>
                  </w:r>
                  <w:r>
                    <w:rPr>
                      <w:rFonts w:hint="eastAsia" w:ascii="宋体" w:hAnsi="宋体"/>
                      <w:b/>
                      <w:bCs/>
                      <w:kern w:val="0"/>
                      <w:szCs w:val="21"/>
                      <w:highlight w:val="none"/>
                    </w:rPr>
                    <w:t>测试系统合计</w:t>
                  </w:r>
                </w:p>
              </w:tc>
              <w:tc>
                <w:tcPr>
                  <w:tcW w:w="789" w:type="dxa"/>
                  <w:noWrap w:val="0"/>
                  <w:vAlign w:val="center"/>
                </w:tcPr>
                <w:p>
                  <w:pPr>
                    <w:widowControl/>
                    <w:spacing w:line="460" w:lineRule="exact"/>
                    <w:jc w:val="center"/>
                    <w:rPr>
                      <w:rFonts w:ascii="宋体" w:hAnsi="宋体"/>
                      <w:b/>
                      <w:kern w:val="0"/>
                      <w:szCs w:val="21"/>
                      <w:highlight w:val="none"/>
                    </w:rPr>
                  </w:pPr>
                  <w:r>
                    <w:rPr>
                      <w:rFonts w:hint="eastAsia" w:ascii="宋体" w:hAnsi="宋体"/>
                      <w:b/>
                      <w:kern w:val="0"/>
                      <w:szCs w:val="21"/>
                      <w:highlight w:val="none"/>
                    </w:rPr>
                    <w:t>10个</w:t>
                  </w:r>
                </w:p>
              </w:tc>
              <w:tc>
                <w:tcPr>
                  <w:tcW w:w="1540" w:type="dxa"/>
                  <w:noWrap/>
                  <w:vAlign w:val="center"/>
                </w:tcPr>
                <w:p>
                  <w:pPr>
                    <w:widowControl/>
                    <w:spacing w:line="460" w:lineRule="exact"/>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2" w:type="dxa"/>
                  <w:gridSpan w:val="4"/>
                  <w:noWrap/>
                  <w:vAlign w:val="center"/>
                </w:tcPr>
                <w:p>
                  <w:pPr>
                    <w:widowControl/>
                    <w:spacing w:line="460" w:lineRule="exact"/>
                    <w:jc w:val="left"/>
                    <w:rPr>
                      <w:rFonts w:ascii="宋体" w:hAnsi="宋体"/>
                      <w:b/>
                      <w:kern w:val="0"/>
                      <w:szCs w:val="21"/>
                      <w:highlight w:val="none"/>
                    </w:rPr>
                  </w:pPr>
                  <w:r>
                    <w:rPr>
                      <w:rFonts w:hint="eastAsia" w:ascii="宋体" w:hAnsi="宋体"/>
                      <w:b/>
                      <w:kern w:val="0"/>
                      <w:highlight w:val="none"/>
                    </w:rPr>
                    <w:t>三、服务器和网络安全设备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2" w:type="dxa"/>
                  <w:gridSpan w:val="4"/>
                  <w:noWrap/>
                  <w:vAlign w:val="center"/>
                </w:tcPr>
                <w:p>
                  <w:pPr>
                    <w:widowControl/>
                    <w:spacing w:line="460" w:lineRule="exact"/>
                    <w:jc w:val="left"/>
                    <w:rPr>
                      <w:rFonts w:ascii="宋体" w:hAnsi="宋体"/>
                      <w:b/>
                      <w:kern w:val="0"/>
                      <w:szCs w:val="21"/>
                      <w:highlight w:val="none"/>
                    </w:rPr>
                  </w:pPr>
                  <w:r>
                    <w:rPr>
                      <w:rFonts w:hint="eastAsia" w:ascii="宋体" w:hAnsi="宋体"/>
                      <w:b/>
                      <w:kern w:val="0"/>
                      <w:highlight w:val="none"/>
                    </w:rPr>
                    <w:t>（一）服务器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1</w:t>
                  </w:r>
                </w:p>
              </w:tc>
              <w:tc>
                <w:tcPr>
                  <w:tcW w:w="4816" w:type="dxa"/>
                  <w:noWrap w:val="0"/>
                  <w:vAlign w:val="center"/>
                </w:tcPr>
                <w:p>
                  <w:pPr>
                    <w:widowControl/>
                    <w:spacing w:line="460" w:lineRule="exact"/>
                    <w:jc w:val="left"/>
                    <w:rPr>
                      <w:rFonts w:ascii="宋体" w:hAnsi="宋体"/>
                      <w:kern w:val="0"/>
                      <w:szCs w:val="21"/>
                      <w:highlight w:val="none"/>
                    </w:rPr>
                  </w:pPr>
                  <w:r>
                    <w:rPr>
                      <w:rFonts w:hint="eastAsia" w:ascii="宋体" w:hAnsi="宋体"/>
                      <w:kern w:val="0"/>
                      <w:highlight w:val="none"/>
                    </w:rPr>
                    <w:t>物理服务器</w:t>
                  </w:r>
                </w:p>
              </w:tc>
              <w:tc>
                <w:tcPr>
                  <w:tcW w:w="789" w:type="dxa"/>
                  <w:noWrap w:val="0"/>
                  <w:vAlign w:val="center"/>
                </w:tcPr>
                <w:p>
                  <w:pPr>
                    <w:widowControl/>
                    <w:spacing w:line="460" w:lineRule="exact"/>
                    <w:jc w:val="center"/>
                    <w:rPr>
                      <w:rFonts w:ascii="宋体" w:hAnsi="宋体"/>
                      <w:kern w:val="0"/>
                      <w:szCs w:val="21"/>
                      <w:highlight w:val="none"/>
                    </w:rPr>
                  </w:pPr>
                  <w:r>
                    <w:rPr>
                      <w:rFonts w:ascii="宋体" w:hAnsi="宋体"/>
                      <w:kern w:val="0"/>
                      <w:highlight w:val="none"/>
                      <w:lang w:val="en"/>
                    </w:rPr>
                    <w:t>1</w:t>
                  </w:r>
                  <w:r>
                    <w:rPr>
                      <w:rFonts w:hint="eastAsia" w:ascii="宋体" w:hAnsi="宋体"/>
                      <w:kern w:val="0"/>
                      <w:highlight w:val="none"/>
                      <w:lang w:val="en-US" w:eastAsia="zh-CN"/>
                    </w:rPr>
                    <w:t>0</w:t>
                  </w:r>
                  <w:r>
                    <w:rPr>
                      <w:rFonts w:ascii="宋体" w:hAnsi="宋体"/>
                      <w:kern w:val="0"/>
                      <w:highlight w:val="none"/>
                      <w:lang w:val="en"/>
                    </w:rPr>
                    <w:t>5</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2</w:t>
                  </w:r>
                </w:p>
              </w:tc>
              <w:tc>
                <w:tcPr>
                  <w:tcW w:w="4816" w:type="dxa"/>
                  <w:noWrap w:val="0"/>
                  <w:vAlign w:val="center"/>
                </w:tcPr>
                <w:p>
                  <w:pPr>
                    <w:widowControl/>
                    <w:spacing w:line="460" w:lineRule="exact"/>
                    <w:jc w:val="left"/>
                    <w:rPr>
                      <w:rFonts w:ascii="宋体" w:hAnsi="宋体"/>
                      <w:kern w:val="0"/>
                      <w:szCs w:val="21"/>
                      <w:highlight w:val="none"/>
                    </w:rPr>
                  </w:pPr>
                  <w:r>
                    <w:rPr>
                      <w:rFonts w:hint="eastAsia" w:ascii="宋体" w:hAnsi="宋体"/>
                      <w:kern w:val="0"/>
                      <w:highlight w:val="none"/>
                    </w:rPr>
                    <w:t>虚拟服务器</w:t>
                  </w:r>
                </w:p>
              </w:tc>
              <w:tc>
                <w:tcPr>
                  <w:tcW w:w="789" w:type="dxa"/>
                  <w:noWrap w:val="0"/>
                  <w:vAlign w:val="center"/>
                </w:tcPr>
                <w:p>
                  <w:pPr>
                    <w:widowControl/>
                    <w:spacing w:line="460" w:lineRule="exact"/>
                    <w:jc w:val="center"/>
                    <w:rPr>
                      <w:rFonts w:ascii="宋体" w:hAnsi="宋体"/>
                      <w:kern w:val="0"/>
                      <w:szCs w:val="21"/>
                      <w:highlight w:val="none"/>
                    </w:rPr>
                  </w:pPr>
                  <w:r>
                    <w:rPr>
                      <w:rFonts w:hint="eastAsia" w:ascii="宋体" w:hAnsi="宋体"/>
                      <w:kern w:val="0"/>
                      <w:highlight w:val="none"/>
                      <w:lang w:val="en-US" w:eastAsia="zh-CN"/>
                    </w:rPr>
                    <w:t>472</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jc w:val="both"/>
                    <w:rPr>
                      <w:rFonts w:ascii="宋体" w:hAnsi="宋体"/>
                      <w:b/>
                      <w:kern w:val="0"/>
                      <w:szCs w:val="21"/>
                      <w:highlight w:val="none"/>
                    </w:rPr>
                  </w:pPr>
                  <w:r>
                    <w:rPr>
                      <w:rFonts w:hint="eastAsia" w:ascii="宋体" w:hAnsi="宋体"/>
                      <w:b/>
                      <w:kern w:val="0"/>
                      <w:highlight w:val="none"/>
                      <w:lang w:val="en-US" w:eastAsia="zh-CN"/>
                    </w:rPr>
                    <w:t xml:space="preserve">                     </w:t>
                  </w:r>
                  <w:r>
                    <w:rPr>
                      <w:rFonts w:hint="eastAsia" w:ascii="宋体" w:hAnsi="宋体"/>
                      <w:b/>
                      <w:kern w:val="0"/>
                      <w:highlight w:val="none"/>
                    </w:rPr>
                    <w:t>服务器合计</w:t>
                  </w:r>
                </w:p>
              </w:tc>
              <w:tc>
                <w:tcPr>
                  <w:tcW w:w="789" w:type="dxa"/>
                  <w:noWrap w:val="0"/>
                  <w:vAlign w:val="center"/>
                </w:tcPr>
                <w:p>
                  <w:pPr>
                    <w:widowControl/>
                    <w:spacing w:line="460" w:lineRule="exact"/>
                    <w:jc w:val="center"/>
                    <w:rPr>
                      <w:rFonts w:ascii="宋体" w:hAnsi="宋体"/>
                      <w:b/>
                      <w:kern w:val="0"/>
                      <w:szCs w:val="21"/>
                      <w:highlight w:val="none"/>
                    </w:rPr>
                  </w:pPr>
                  <w:r>
                    <w:rPr>
                      <w:rFonts w:hint="eastAsia" w:ascii="宋体" w:hAnsi="宋体"/>
                      <w:b/>
                      <w:kern w:val="0"/>
                      <w:highlight w:val="none"/>
                      <w:lang w:val="en-US" w:eastAsia="zh-CN"/>
                    </w:rPr>
                    <w:t>577</w:t>
                  </w:r>
                  <w:r>
                    <w:rPr>
                      <w:rFonts w:hint="eastAsia" w:ascii="宋体" w:hAnsi="宋体"/>
                      <w:b/>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2" w:type="dxa"/>
                  <w:gridSpan w:val="4"/>
                  <w:noWrap/>
                  <w:vAlign w:val="center"/>
                </w:tcPr>
                <w:p>
                  <w:pPr>
                    <w:widowControl/>
                    <w:spacing w:line="460" w:lineRule="exact"/>
                    <w:jc w:val="left"/>
                    <w:rPr>
                      <w:rFonts w:ascii="宋体" w:hAnsi="宋体"/>
                      <w:b/>
                      <w:kern w:val="0"/>
                      <w:szCs w:val="21"/>
                      <w:highlight w:val="none"/>
                    </w:rPr>
                  </w:pPr>
                  <w:r>
                    <w:rPr>
                      <w:rFonts w:hint="eastAsia" w:ascii="宋体" w:hAnsi="宋体"/>
                      <w:b/>
                      <w:kern w:val="0"/>
                      <w:highlight w:val="none"/>
                    </w:rPr>
                    <w:t>（二）网络安全设备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1</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交换机</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rPr>
                    <w:t>2</w:t>
                  </w:r>
                  <w:r>
                    <w:rPr>
                      <w:rFonts w:hint="eastAsia" w:ascii="宋体" w:hAnsi="宋体"/>
                      <w:kern w:val="0"/>
                      <w:highlight w:val="none"/>
                      <w:lang w:val="en-US" w:eastAsia="zh-CN"/>
                    </w:rPr>
                    <w:t>10</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2</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路由器</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8</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3</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负载均衡</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7</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4</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防火墙</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1</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5</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下一代防火墙</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16</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6</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WAF</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rPr>
                    <w:t>2台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7</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VPN</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2</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8</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身份认证网关</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rPr>
                    <w:t>8台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9</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数字签名服务器</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rPr>
                    <w:t>7台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10</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堡垒机</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rPr>
                    <w:t>2台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11</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隔离网闸</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1</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12</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光闸</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2</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highlight w:val="none"/>
                    </w:rPr>
                    <w:t>13</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APT</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4</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highlight w:val="none"/>
                    </w:rPr>
                    <w:t>14</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DPI</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0</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15</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网络安全态势感知平台</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2</w:t>
                  </w:r>
                  <w:r>
                    <w:rPr>
                      <w:rFonts w:hint="eastAsia" w:ascii="宋体" w:hAnsi="宋体"/>
                      <w:kern w:val="0"/>
                      <w:highlight w:val="none"/>
                    </w:rPr>
                    <w:t>套</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highlight w:val="none"/>
                    </w:rPr>
                    <w:t>16</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上网行为管理</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7</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highlight w:val="none"/>
                    </w:rPr>
                    <w:t>17</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数据库审计系统</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rPr>
                    <w:t>3台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highlight w:val="none"/>
                    </w:rPr>
                    <w:t>18</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日志审计系统</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rPr>
                    <w:t>2台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19</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病毒检测</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rPr>
                    <w:t>2套</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highlight w:val="none"/>
                    </w:rPr>
                    <w:t>20</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网页防篡改</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0</w:t>
                  </w:r>
                  <w:r>
                    <w:rPr>
                      <w:rFonts w:hint="eastAsia" w:ascii="宋体" w:hAnsi="宋体"/>
                      <w:kern w:val="0"/>
                      <w:highlight w:val="none"/>
                    </w:rPr>
                    <w:t>套</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highlight w:val="none"/>
                    </w:rPr>
                    <w:t>21</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终端访问管理</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2</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ascii="宋体" w:hAnsi="宋体"/>
                      <w:kern w:val="0"/>
                      <w:szCs w:val="21"/>
                      <w:highlight w:val="none"/>
                    </w:rPr>
                  </w:pPr>
                  <w:r>
                    <w:rPr>
                      <w:rFonts w:hint="eastAsia" w:ascii="宋体" w:hAnsi="宋体"/>
                      <w:kern w:val="0"/>
                      <w:highlight w:val="none"/>
                    </w:rPr>
                    <w:t>22</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协议转换</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lang w:val="en-US" w:eastAsia="zh-CN"/>
                    </w:rPr>
                    <w:t>2</w:t>
                  </w:r>
                  <w:r>
                    <w:rPr>
                      <w:rFonts w:hint="eastAsia" w:ascii="宋体" w:hAnsi="宋体"/>
                      <w:kern w:val="0"/>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noWrap/>
                  <w:vAlign w:val="center"/>
                </w:tcPr>
                <w:p>
                  <w:pPr>
                    <w:widowControl/>
                    <w:spacing w:line="460" w:lineRule="exact"/>
                    <w:jc w:val="center"/>
                    <w:rPr>
                      <w:rFonts w:hint="eastAsia" w:ascii="宋体" w:hAnsi="宋体"/>
                      <w:kern w:val="0"/>
                      <w:szCs w:val="21"/>
                      <w:highlight w:val="none"/>
                    </w:rPr>
                  </w:pPr>
                  <w:r>
                    <w:rPr>
                      <w:rFonts w:hint="eastAsia" w:ascii="宋体" w:hAnsi="宋体"/>
                      <w:kern w:val="0"/>
                      <w:highlight w:val="none"/>
                    </w:rPr>
                    <w:t>23</w:t>
                  </w:r>
                </w:p>
              </w:tc>
              <w:tc>
                <w:tcPr>
                  <w:tcW w:w="4816" w:type="dxa"/>
                  <w:noWrap w:val="0"/>
                  <w:vAlign w:val="center"/>
                </w:tcPr>
                <w:p>
                  <w:pPr>
                    <w:widowControl/>
                    <w:spacing w:line="460" w:lineRule="exact"/>
                    <w:jc w:val="left"/>
                    <w:textAlignment w:val="center"/>
                    <w:rPr>
                      <w:rFonts w:ascii="宋体" w:hAnsi="宋体"/>
                      <w:kern w:val="0"/>
                      <w:szCs w:val="21"/>
                      <w:highlight w:val="none"/>
                    </w:rPr>
                  </w:pPr>
                  <w:r>
                    <w:rPr>
                      <w:rFonts w:hint="eastAsia" w:ascii="宋体" w:hAnsi="宋体"/>
                      <w:kern w:val="0"/>
                      <w:highlight w:val="none"/>
                    </w:rPr>
                    <w:t>防病毒网关</w:t>
                  </w:r>
                </w:p>
              </w:tc>
              <w:tc>
                <w:tcPr>
                  <w:tcW w:w="789" w:type="dxa"/>
                  <w:noWrap w:val="0"/>
                  <w:vAlign w:val="center"/>
                </w:tcPr>
                <w:p>
                  <w:pPr>
                    <w:widowControl/>
                    <w:spacing w:line="460" w:lineRule="exact"/>
                    <w:jc w:val="center"/>
                    <w:textAlignment w:val="center"/>
                    <w:rPr>
                      <w:rFonts w:ascii="宋体" w:hAnsi="宋体"/>
                      <w:kern w:val="0"/>
                      <w:szCs w:val="21"/>
                      <w:highlight w:val="none"/>
                    </w:rPr>
                  </w:pPr>
                  <w:r>
                    <w:rPr>
                      <w:rFonts w:hint="eastAsia" w:ascii="宋体" w:hAnsi="宋体"/>
                      <w:kern w:val="0"/>
                      <w:highlight w:val="none"/>
                    </w:rPr>
                    <w:t>4台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jc w:val="center"/>
                    <w:rPr>
                      <w:rFonts w:ascii="宋体" w:hAnsi="宋体"/>
                      <w:b/>
                      <w:szCs w:val="21"/>
                      <w:highlight w:val="none"/>
                    </w:rPr>
                  </w:pPr>
                  <w:r>
                    <w:rPr>
                      <w:rFonts w:hint="eastAsia" w:ascii="宋体" w:hAnsi="宋体"/>
                      <w:b/>
                      <w:highlight w:val="none"/>
                    </w:rPr>
                    <w:t>网络安全设备合计</w:t>
                  </w:r>
                </w:p>
              </w:tc>
              <w:tc>
                <w:tcPr>
                  <w:tcW w:w="789" w:type="dxa"/>
                  <w:noWrap w:val="0"/>
                  <w:vAlign w:val="center"/>
                </w:tcPr>
                <w:p>
                  <w:pPr>
                    <w:widowControl/>
                    <w:spacing w:line="460" w:lineRule="exact"/>
                    <w:jc w:val="center"/>
                    <w:rPr>
                      <w:rFonts w:ascii="宋体" w:hAnsi="宋体"/>
                      <w:b/>
                      <w:szCs w:val="21"/>
                      <w:highlight w:val="none"/>
                    </w:rPr>
                  </w:pPr>
                  <w:r>
                    <w:rPr>
                      <w:rFonts w:hint="eastAsia" w:ascii="宋体" w:hAnsi="宋体"/>
                      <w:b/>
                      <w:highlight w:val="none"/>
                      <w:lang w:val="en-US" w:eastAsia="zh-CN"/>
                    </w:rPr>
                    <w:t>294</w:t>
                  </w:r>
                  <w:r>
                    <w:rPr>
                      <w:rFonts w:hint="eastAsia" w:ascii="宋体" w:hAnsi="宋体"/>
                      <w:b/>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3" w:type="dxa"/>
                  <w:gridSpan w:val="2"/>
                  <w:noWrap/>
                  <w:vAlign w:val="center"/>
                </w:tcPr>
                <w:p>
                  <w:pPr>
                    <w:widowControl/>
                    <w:spacing w:line="460" w:lineRule="exact"/>
                    <w:jc w:val="center"/>
                    <w:rPr>
                      <w:rFonts w:ascii="宋体" w:hAnsi="宋体"/>
                      <w:b/>
                      <w:szCs w:val="21"/>
                      <w:highlight w:val="none"/>
                    </w:rPr>
                  </w:pPr>
                  <w:r>
                    <w:rPr>
                      <w:rFonts w:hint="eastAsia" w:ascii="宋体" w:hAnsi="宋体"/>
                      <w:b/>
                      <w:highlight w:val="none"/>
                    </w:rPr>
                    <w:t>服务器和网络安全设备合计</w:t>
                  </w:r>
                </w:p>
              </w:tc>
              <w:tc>
                <w:tcPr>
                  <w:tcW w:w="789" w:type="dxa"/>
                  <w:noWrap w:val="0"/>
                  <w:vAlign w:val="center"/>
                </w:tcPr>
                <w:p>
                  <w:pPr>
                    <w:widowControl/>
                    <w:spacing w:line="460" w:lineRule="exact"/>
                    <w:jc w:val="center"/>
                    <w:rPr>
                      <w:rFonts w:ascii="宋体" w:hAnsi="宋体"/>
                      <w:b/>
                      <w:szCs w:val="21"/>
                      <w:highlight w:val="none"/>
                    </w:rPr>
                  </w:pPr>
                  <w:r>
                    <w:rPr>
                      <w:rFonts w:hint="eastAsia" w:ascii="宋体" w:hAnsi="宋体"/>
                      <w:b/>
                      <w:highlight w:val="none"/>
                      <w:lang w:val="en-US" w:eastAsia="zh-CN"/>
                    </w:rPr>
                    <w:t>871</w:t>
                  </w:r>
                  <w:r>
                    <w:rPr>
                      <w:rFonts w:hint="eastAsia" w:ascii="宋体" w:hAnsi="宋体"/>
                      <w:b/>
                      <w:highlight w:val="none"/>
                    </w:rPr>
                    <w:t>台</w:t>
                  </w:r>
                </w:p>
              </w:tc>
              <w:tc>
                <w:tcPr>
                  <w:tcW w:w="1540" w:type="dxa"/>
                  <w:noWrap/>
                  <w:vAlign w:val="center"/>
                </w:tcPr>
                <w:p>
                  <w:pPr>
                    <w:widowControl/>
                    <w:spacing w:line="460" w:lineRule="exact"/>
                    <w:jc w:val="center"/>
                    <w:rPr>
                      <w:rFonts w:ascii="宋体" w:hAnsi="宋体"/>
                      <w:kern w:val="0"/>
                      <w:szCs w:val="21"/>
                      <w:highlight w:val="none"/>
                    </w:rPr>
                  </w:pPr>
                </w:p>
              </w:tc>
            </w:tr>
          </w:tbl>
          <w:p>
            <w:pPr>
              <w:pStyle w:val="89"/>
              <w:spacing w:line="460" w:lineRule="exact"/>
              <w:ind w:firstLine="420"/>
              <w:rPr>
                <w:rFonts w:hint="eastAsia" w:cs="宋体"/>
                <w:sz w:val="21"/>
                <w:szCs w:val="21"/>
                <w:highlight w:val="none"/>
              </w:rPr>
            </w:pPr>
          </w:p>
          <w:p>
            <w:pPr>
              <w:pStyle w:val="89"/>
              <w:spacing w:line="460" w:lineRule="exact"/>
              <w:ind w:firstLine="480"/>
              <w:jc w:val="center"/>
              <w:outlineLvl w:val="2"/>
              <w:rPr>
                <w:rFonts w:hint="eastAsia" w:ascii="黑体" w:eastAsia="黑体"/>
                <w:sz w:val="24"/>
                <w:szCs w:val="24"/>
                <w:highlight w:val="none"/>
                <w:lang w:val="en-US"/>
              </w:rPr>
            </w:pPr>
            <w:r>
              <w:rPr>
                <w:rFonts w:hint="eastAsia" w:ascii="黑体" w:eastAsia="黑体"/>
                <w:sz w:val="24"/>
                <w:szCs w:val="24"/>
                <w:highlight w:val="none"/>
                <w:lang w:val="en-US"/>
              </w:rPr>
              <w:t xml:space="preserve">表2  </w:t>
            </w:r>
            <w:r>
              <w:rPr>
                <w:rFonts w:hint="eastAsia" w:ascii="黑体" w:hAnsi="Times New Roman" w:eastAsia="黑体"/>
                <w:sz w:val="24"/>
                <w:szCs w:val="24"/>
                <w:highlight w:val="none"/>
                <w:lang w:val="en-US"/>
              </w:rPr>
              <w:t>安全设备和</w:t>
            </w:r>
            <w:r>
              <w:rPr>
                <w:rFonts w:hint="eastAsia" w:ascii="黑体" w:hAnsi="Times New Roman" w:eastAsia="黑体"/>
                <w:sz w:val="24"/>
                <w:szCs w:val="24"/>
                <w:highlight w:val="none"/>
              </w:rPr>
              <w:t>杀毒软件特征库</w:t>
            </w:r>
            <w:r>
              <w:rPr>
                <w:rFonts w:hint="eastAsia" w:ascii="黑体" w:hAnsi="Times New Roman" w:eastAsia="黑体"/>
                <w:sz w:val="24"/>
                <w:szCs w:val="24"/>
                <w:highlight w:val="none"/>
                <w:lang w:val="en-US"/>
              </w:rPr>
              <w:t>授权</w:t>
            </w:r>
            <w:r>
              <w:rPr>
                <w:rFonts w:hint="eastAsia" w:ascii="黑体" w:eastAsia="黑体"/>
                <w:sz w:val="24"/>
                <w:szCs w:val="24"/>
                <w:highlight w:val="none"/>
                <w:lang w:val="en-US"/>
              </w:rPr>
              <w:t>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993"/>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noWrap/>
                  <w:vAlign w:val="center"/>
                </w:tcPr>
                <w:p>
                  <w:pPr>
                    <w:widowControl/>
                    <w:spacing w:line="460" w:lineRule="exact"/>
                    <w:jc w:val="center"/>
                    <w:textAlignment w:val="center"/>
                    <w:rPr>
                      <w:rFonts w:ascii="黑体" w:hAnsi="宋体" w:eastAsia="黑体" w:cs="黑体"/>
                      <w:sz w:val="21"/>
                      <w:szCs w:val="21"/>
                      <w:highlight w:val="none"/>
                    </w:rPr>
                  </w:pPr>
                  <w:r>
                    <w:rPr>
                      <w:rFonts w:hint="eastAsia" w:ascii="黑体" w:hAnsi="宋体" w:eastAsia="黑体" w:cs="黑体"/>
                      <w:kern w:val="0"/>
                      <w:sz w:val="21"/>
                      <w:szCs w:val="21"/>
                      <w:highlight w:val="none"/>
                      <w:lang w:bidi="ar"/>
                    </w:rPr>
                    <w:t>序号</w:t>
                  </w:r>
                </w:p>
              </w:tc>
              <w:tc>
                <w:tcPr>
                  <w:tcW w:w="3993" w:type="dxa"/>
                  <w:noWrap/>
                  <w:vAlign w:val="center"/>
                </w:tcPr>
                <w:p>
                  <w:pPr>
                    <w:widowControl/>
                    <w:spacing w:line="460" w:lineRule="exact"/>
                    <w:jc w:val="center"/>
                    <w:textAlignment w:val="center"/>
                    <w:rPr>
                      <w:rFonts w:hint="eastAsia" w:ascii="黑体" w:hAnsi="宋体" w:eastAsia="黑体" w:cs="黑体"/>
                      <w:sz w:val="21"/>
                      <w:szCs w:val="21"/>
                      <w:highlight w:val="none"/>
                    </w:rPr>
                  </w:pPr>
                  <w:r>
                    <w:rPr>
                      <w:rFonts w:hint="eastAsia" w:ascii="黑体" w:hAnsi="宋体" w:eastAsia="黑体" w:cs="黑体"/>
                      <w:kern w:val="0"/>
                      <w:sz w:val="21"/>
                      <w:szCs w:val="21"/>
                      <w:highlight w:val="none"/>
                      <w:lang w:bidi="ar"/>
                    </w:rPr>
                    <w:t>设备类型</w:t>
                  </w:r>
                </w:p>
              </w:tc>
              <w:tc>
                <w:tcPr>
                  <w:tcW w:w="2208" w:type="dxa"/>
                  <w:noWrap/>
                  <w:vAlign w:val="center"/>
                </w:tcPr>
                <w:p>
                  <w:pPr>
                    <w:widowControl/>
                    <w:spacing w:line="460" w:lineRule="exact"/>
                    <w:jc w:val="center"/>
                    <w:textAlignment w:val="center"/>
                    <w:rPr>
                      <w:rFonts w:hint="eastAsia" w:ascii="黑体" w:hAnsi="宋体" w:eastAsia="黑体" w:cs="黑体"/>
                      <w:sz w:val="21"/>
                      <w:szCs w:val="21"/>
                      <w:highlight w:val="none"/>
                    </w:rPr>
                  </w:pPr>
                  <w:r>
                    <w:rPr>
                      <w:rFonts w:hint="eastAsia" w:ascii="黑体" w:hAnsi="宋体" w:eastAsia="黑体" w:cs="黑体"/>
                      <w:kern w:val="0"/>
                      <w:sz w:val="21"/>
                      <w:szCs w:val="21"/>
                      <w:highlight w:val="none"/>
                      <w:lang w:bidi="ar"/>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1</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深信服外网AC</w:t>
                  </w:r>
                </w:p>
              </w:tc>
              <w:tc>
                <w:tcPr>
                  <w:tcW w:w="2208"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2</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深信服电信出口防火墙</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3</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深信服财政部防火墙</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4</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深信服非税（内网网闸）防火墙</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5</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深信服互联网出口防火墙</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6</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深信服外网网闸防火墙</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7</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深信服外网网闸防火墙</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8</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深信服道闸门禁防火墙</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9</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亚信外网安全云主机深度安全防护系统防恶意软件模块（服务器防护软件）</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10</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亚信内网安全云主机深度安全防护系统防恶意软件模块（服务器防护软件）</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11</w:t>
                  </w:r>
                </w:p>
              </w:tc>
              <w:tc>
                <w:tcPr>
                  <w:tcW w:w="3993" w:type="dxa"/>
                  <w:noWrap w:val="0"/>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亚信外网安全云主机深度安全防护系统入侵防御模块（服务器防护软件）</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12</w:t>
                  </w:r>
                </w:p>
              </w:tc>
              <w:tc>
                <w:tcPr>
                  <w:tcW w:w="3993" w:type="dxa"/>
                  <w:noWrap w:val="0"/>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亚信内网安全云主机深度安全防护系统入侵防御模块（服务器防护软件）</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13</w:t>
                  </w:r>
                </w:p>
              </w:tc>
              <w:tc>
                <w:tcPr>
                  <w:tcW w:w="3993" w:type="dxa"/>
                  <w:noWrap w:val="0"/>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亚信外网防毒墙网络版（终端杀毒软件）</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14</w:t>
                  </w:r>
                </w:p>
              </w:tc>
              <w:tc>
                <w:tcPr>
                  <w:tcW w:w="3993" w:type="dxa"/>
                  <w:noWrap w:val="0"/>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亚信内网防毒墙网络版（终端杀毒软件）</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15</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亚信外网防毒墙1</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16</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亚信外网防毒墙2</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17</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亚信内网防毒墙1</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18</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亚信内网防毒墙2</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19</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安恒态势感知平台</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20</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安恒外网APT攻击预警平台</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21</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安恒内网APT攻击预警平台</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22</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安恒外网日志审计</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ign w:val="center"/>
                </w:tcPr>
                <w:p>
                  <w:pPr>
                    <w:widowControl/>
                    <w:spacing w:line="460" w:lineRule="exact"/>
                    <w:jc w:val="center"/>
                    <w:textAlignment w:val="center"/>
                    <w:rPr>
                      <w:rFonts w:ascii="宋体" w:hAnsi="宋体" w:cs="宋体"/>
                      <w:sz w:val="21"/>
                      <w:szCs w:val="21"/>
                      <w:highlight w:val="none"/>
                    </w:rPr>
                  </w:pPr>
                  <w:r>
                    <w:rPr>
                      <w:rFonts w:hint="eastAsia" w:ascii="宋体" w:hAnsi="宋体" w:cs="宋体"/>
                      <w:kern w:val="0"/>
                      <w:sz w:val="21"/>
                      <w:szCs w:val="21"/>
                      <w:highlight w:val="none"/>
                      <w:lang w:bidi="ar"/>
                    </w:rPr>
                    <w:t>23</w:t>
                  </w:r>
                </w:p>
              </w:tc>
              <w:tc>
                <w:tcPr>
                  <w:tcW w:w="3993" w:type="dxa"/>
                  <w:noWrap/>
                  <w:vAlign w:val="center"/>
                </w:tcPr>
                <w:p>
                  <w:pPr>
                    <w:spacing w:line="240" w:lineRule="auto"/>
                    <w:ind w:firstLine="0" w:firstLineChars="0"/>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安恒内网日志审计</w:t>
                  </w:r>
                </w:p>
              </w:tc>
              <w:tc>
                <w:tcPr>
                  <w:tcW w:w="2208" w:type="dxa"/>
                  <w:noWrap/>
                  <w:vAlign w:val="center"/>
                </w:tcPr>
                <w:p>
                  <w:pPr>
                    <w:widowControl/>
                    <w:spacing w:line="460" w:lineRule="exact"/>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签订合同起1年。</w:t>
                  </w:r>
                </w:p>
              </w:tc>
            </w:tr>
          </w:tbl>
          <w:p>
            <w:pPr>
              <w:pStyle w:val="89"/>
              <w:spacing w:line="460" w:lineRule="exact"/>
              <w:ind w:firstLine="480"/>
              <w:rPr>
                <w:rFonts w:hint="eastAsia" w:ascii="黑体" w:eastAsia="黑体"/>
                <w:sz w:val="24"/>
                <w:szCs w:val="24"/>
                <w:highlight w:val="none"/>
                <w:lang w:val="en-US"/>
              </w:rPr>
            </w:pPr>
          </w:p>
          <w:p>
            <w:pPr>
              <w:pStyle w:val="89"/>
              <w:spacing w:line="460" w:lineRule="exact"/>
              <w:ind w:firstLine="422"/>
              <w:outlineLvl w:val="1"/>
              <w:rPr>
                <w:rFonts w:hint="eastAsia" w:cs="宋体"/>
                <w:b/>
                <w:bCs/>
                <w:sz w:val="21"/>
                <w:szCs w:val="21"/>
                <w:highlight w:val="none"/>
              </w:rPr>
            </w:pPr>
            <w:r>
              <w:rPr>
                <w:rFonts w:hint="eastAsia" w:cs="宋体"/>
                <w:b/>
                <w:bCs/>
                <w:sz w:val="21"/>
                <w:szCs w:val="21"/>
                <w:highlight w:val="none"/>
              </w:rPr>
              <w:t>四、服务内容及服务方式</w:t>
            </w:r>
          </w:p>
          <w:p>
            <w:pPr>
              <w:pStyle w:val="89"/>
              <w:spacing w:line="460" w:lineRule="exact"/>
              <w:ind w:firstLine="420"/>
              <w:rPr>
                <w:rFonts w:cs="宋体"/>
                <w:sz w:val="21"/>
                <w:szCs w:val="21"/>
                <w:highlight w:val="none"/>
              </w:rPr>
            </w:pPr>
            <w:r>
              <w:rPr>
                <w:rFonts w:hint="eastAsia" w:cs="宋体"/>
                <w:sz w:val="21"/>
                <w:szCs w:val="21"/>
                <w:highlight w:val="none"/>
              </w:rPr>
              <w:t>根据本项目的服务目标、对象范围，确定网络安全保障服务项目的内容。</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1.自治区财政厅信息安全整改报告</w:t>
            </w:r>
          </w:p>
          <w:p>
            <w:pPr>
              <w:pStyle w:val="89"/>
              <w:spacing w:line="460" w:lineRule="exact"/>
              <w:ind w:firstLine="420"/>
              <w:rPr>
                <w:rFonts w:hint="eastAsia" w:cs="宋体"/>
                <w:sz w:val="21"/>
                <w:szCs w:val="21"/>
                <w:highlight w:val="none"/>
              </w:rPr>
            </w:pPr>
            <w:r>
              <w:rPr>
                <w:rFonts w:hint="eastAsia" w:cs="宋体"/>
                <w:sz w:val="21"/>
                <w:szCs w:val="21"/>
                <w:highlight w:val="none"/>
              </w:rPr>
              <w:t>根据《中华人民共和国个人信息保护法》《中华人民共和国数据安全法》《中华人民共和国网络安全法》《关键信息基础设施安全保护条例》《中华人民共和国密码法》《中华人民共和国保守国家秘密法》有关要求，全面梳理评估自治区财政厅信息资产安全情况，有针对性的提出安全整改报告，安全整改报告必须有针对性和可行性，确保整改后现有网络系统符合各项安全制度规定。</w:t>
            </w:r>
          </w:p>
          <w:p>
            <w:pPr>
              <w:pStyle w:val="89"/>
              <w:spacing w:line="460" w:lineRule="exact"/>
              <w:ind w:firstLine="420"/>
              <w:rPr>
                <w:rFonts w:hint="eastAsia" w:cs="宋体"/>
                <w:sz w:val="21"/>
                <w:szCs w:val="21"/>
                <w:highlight w:val="none"/>
              </w:rPr>
            </w:pPr>
            <w:r>
              <w:rPr>
                <w:rFonts w:hint="eastAsia" w:cs="宋体"/>
                <w:sz w:val="21"/>
                <w:szCs w:val="21"/>
                <w:highlight w:val="none"/>
              </w:rPr>
              <w:t>自治区财政厅信息资产梳理包括对互联网所有暴露面（映射的端口、域名等）进行全面梳理；对所有边界防火墙安全策略进行梳理，掌握已失效策略或权限开放过大等问题；对应用层防护设备，重点确认是否已开启阻断策略而不是检测策略或完全没有策略，应用层检测设备如态势感知，检测范围是否覆盖网络各个节点；服务器当前安全策略梳理，包括开放的服务、端口，账号配置（是否有多余或共享账号等）等；数据库应掌握当前应用调用的权限是否过大（如应用系统直接使用dba账号调用数据库）。根据梳理情况，编制自治区财政厅网络安全规划，对网络、系统、安全防护、运营和管理、安全意识等进行全面设计规划，并配合自治区财政厅制定建设整改加护。在今后的财政厅信息化建设项目建设中，应从项目规划、设计、立项至建设、试运行等全程参与，提出规划设计建设、安全意见，并确保与原有网络、系统、运维管理机制等相适配，不会造成新的问题，从而实现“三同原则”。</w:t>
            </w:r>
          </w:p>
          <w:p>
            <w:pPr>
              <w:pStyle w:val="89"/>
              <w:spacing w:line="460" w:lineRule="exact"/>
              <w:ind w:firstLine="420"/>
              <w:rPr>
                <w:rFonts w:hint="eastAsia" w:cs="宋体"/>
                <w:sz w:val="21"/>
                <w:szCs w:val="21"/>
                <w:highlight w:val="none"/>
              </w:rPr>
            </w:pPr>
            <w:r>
              <w:rPr>
                <w:rFonts w:hint="eastAsia" w:cs="宋体"/>
                <w:sz w:val="21"/>
                <w:szCs w:val="21"/>
                <w:highlight w:val="none"/>
              </w:rPr>
              <w:t>将信息系统和网络的等保测评报告作为依据，安全整改报告根据测评报告、风险分析、现场核查等对各安全边界提出整改措施。</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2.网站云防护服务。</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工作安排：1年。</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服务人员级别：</w:t>
            </w:r>
            <w:r>
              <w:rPr>
                <w:rFonts w:hint="eastAsia" w:cs="宋体"/>
                <w:sz w:val="21"/>
                <w:szCs w:val="21"/>
                <w:highlight w:val="none"/>
                <w:lang w:eastAsia="zh-CN"/>
              </w:rPr>
              <w:t>高级工程师（网络安全、渗透安全）</w:t>
            </w:r>
            <w:r>
              <w:rPr>
                <w:rFonts w:hint="eastAsia" w:cs="宋体"/>
                <w:sz w:val="21"/>
                <w:szCs w:val="21"/>
                <w:highlight w:val="none"/>
              </w:rPr>
              <w:t>。</w:t>
            </w:r>
          </w:p>
          <w:p>
            <w:pPr>
              <w:pStyle w:val="89"/>
              <w:spacing w:line="460" w:lineRule="exact"/>
              <w:ind w:firstLine="420"/>
              <w:rPr>
                <w:rFonts w:hint="eastAsia" w:cs="宋体"/>
                <w:sz w:val="21"/>
                <w:szCs w:val="21"/>
                <w:highlight w:val="none"/>
              </w:rPr>
            </w:pPr>
            <w:r>
              <w:rPr>
                <w:rFonts w:hint="eastAsia" w:cs="宋体"/>
                <w:sz w:val="21"/>
                <w:szCs w:val="21"/>
                <w:highlight w:val="none"/>
              </w:rPr>
              <w:t>包括广西壮族自治区财政厅网站、广西会计管理系统、广西财政票据电子化管理系统、财政部统一报表系统（广西）、广西壮族自治区财政厅在线培训系统、广西政策性农业保险保费补贴与业务管理系统、广西财政投资评审信息系统、广西统一公共收付系统、广西政府采购网（3个URL）、广西政府采购云平台（</w:t>
            </w:r>
            <w:r>
              <w:rPr>
                <w:rFonts w:hint="eastAsia" w:cs="宋体"/>
                <w:sz w:val="21"/>
                <w:szCs w:val="21"/>
                <w:highlight w:val="none"/>
                <w:lang w:val="en-US" w:eastAsia="zh-CN"/>
              </w:rPr>
              <w:t>3</w:t>
            </w:r>
            <w:r>
              <w:rPr>
                <w:rFonts w:hint="eastAsia" w:cs="宋体"/>
                <w:sz w:val="21"/>
                <w:szCs w:val="21"/>
                <w:highlight w:val="none"/>
              </w:rPr>
              <w:t>个URL）、债务穿透式系统</w:t>
            </w:r>
            <w:r>
              <w:rPr>
                <w:rFonts w:hint="eastAsia" w:cs="宋体"/>
                <w:sz w:val="21"/>
                <w:szCs w:val="21"/>
                <w:highlight w:val="none"/>
                <w:lang w:eastAsia="zh-CN"/>
              </w:rPr>
              <w:t>、广西惠民惠农财政补贴资金“一卡通”管理系统、广西注册会计师协会等</w:t>
            </w:r>
            <w:r>
              <w:rPr>
                <w:rFonts w:hint="eastAsia" w:cs="宋体"/>
                <w:sz w:val="21"/>
                <w:szCs w:val="21"/>
                <w:highlight w:val="none"/>
              </w:rPr>
              <w:t>通过域名方式访问的网站系统提供7×24小时网站云防护服务。该服务属于托管式服务，应能对访问受保护业务系统的流量进行清洗防护，能够快速感知资产变化带来的风险，减少暴露周期；同时快速识别不断变化的攻击手段，实现持续在线对抗实时保护业务，并在第一时间发现安全事件，并及时处理，有效遏制损失扩大。按1</w:t>
            </w:r>
            <w:r>
              <w:rPr>
                <w:rFonts w:hint="eastAsia" w:cs="宋体"/>
                <w:sz w:val="21"/>
                <w:szCs w:val="21"/>
                <w:highlight w:val="none"/>
                <w:lang w:val="en-US" w:eastAsia="zh-CN"/>
              </w:rPr>
              <w:t>7</w:t>
            </w:r>
            <w:r>
              <w:rPr>
                <w:rFonts w:hint="eastAsia" w:cs="宋体"/>
                <w:sz w:val="21"/>
                <w:szCs w:val="21"/>
                <w:highlight w:val="none"/>
              </w:rPr>
              <w:t>个</w:t>
            </w:r>
            <w:r>
              <w:rPr>
                <w:rFonts w:hint="eastAsia" w:cs="宋体"/>
                <w:sz w:val="21"/>
                <w:szCs w:val="21"/>
                <w:highlight w:val="none"/>
                <w:lang w:val="en-US" w:eastAsia="zh-CN"/>
              </w:rPr>
              <w:t>URL计</w:t>
            </w:r>
            <w:r>
              <w:rPr>
                <w:rFonts w:hint="eastAsia" w:cs="宋体"/>
                <w:sz w:val="21"/>
                <w:szCs w:val="21"/>
                <w:highlight w:val="none"/>
              </w:rPr>
              <w:t>费包年，无带宽限制、≥10G的DDOS防护，要求1</w:t>
            </w:r>
            <w:r>
              <w:rPr>
                <w:rFonts w:hint="eastAsia" w:cs="宋体"/>
                <w:sz w:val="21"/>
                <w:szCs w:val="21"/>
                <w:highlight w:val="none"/>
                <w:lang w:val="en-US" w:eastAsia="zh-CN"/>
              </w:rPr>
              <w:t>3</w:t>
            </w:r>
            <w:r>
              <w:rPr>
                <w:rFonts w:hint="eastAsia" w:cs="宋体"/>
                <w:sz w:val="21"/>
                <w:szCs w:val="21"/>
                <w:highlight w:val="none"/>
              </w:rPr>
              <w:t>个系统</w:t>
            </w:r>
            <w:r>
              <w:rPr>
                <w:rFonts w:hint="eastAsia" w:cs="宋体"/>
                <w:sz w:val="21"/>
                <w:szCs w:val="21"/>
                <w:highlight w:val="none"/>
                <w:lang w:val="en-US" w:eastAsia="zh-CN"/>
              </w:rPr>
              <w:t>,17个URL</w:t>
            </w:r>
            <w:r>
              <w:rPr>
                <w:rFonts w:hint="eastAsia" w:cs="宋体"/>
                <w:sz w:val="21"/>
                <w:szCs w:val="21"/>
                <w:highlight w:val="none"/>
              </w:rPr>
              <w:t>单独部署在同一个集群中，实现以下功能：</w:t>
            </w:r>
          </w:p>
          <w:p>
            <w:pPr>
              <w:pStyle w:val="89"/>
              <w:spacing w:line="460" w:lineRule="exact"/>
              <w:ind w:firstLine="420"/>
              <w:rPr>
                <w:rFonts w:hint="eastAsia" w:cs="宋体"/>
                <w:sz w:val="21"/>
                <w:szCs w:val="21"/>
                <w:highlight w:val="none"/>
              </w:rPr>
            </w:pPr>
            <w:r>
              <w:rPr>
                <w:rFonts w:hint="eastAsia" w:cs="宋体"/>
                <w:sz w:val="21"/>
                <w:szCs w:val="21"/>
                <w:highlight w:val="none"/>
              </w:rPr>
              <w:t>（1）远程网站系统漏洞扫描。网站系统的风险漏洞是站点被攻击的根源，通过远程的网站应用层漏洞扫描服务，由安全专家定期对自治区财政厅网站进行结构分析、漏洞分析，根据分析结果明确自治区财政厅网站的安全隐患，提供修补建议。</w:t>
            </w:r>
          </w:p>
          <w:p>
            <w:pPr>
              <w:pStyle w:val="89"/>
              <w:spacing w:line="460" w:lineRule="exact"/>
              <w:ind w:firstLine="420"/>
              <w:rPr>
                <w:rFonts w:hint="eastAsia" w:cs="宋体"/>
                <w:sz w:val="21"/>
                <w:szCs w:val="21"/>
                <w:highlight w:val="none"/>
              </w:rPr>
            </w:pPr>
            <w:r>
              <w:rPr>
                <w:rFonts w:hint="eastAsia" w:cs="宋体"/>
                <w:sz w:val="21"/>
                <w:szCs w:val="21"/>
                <w:highlight w:val="none"/>
              </w:rPr>
              <w:t>（2）远程网页木马监测。基于“云安全”平台，采用智能木马检测技术，高效、准确识别网站系统页面中的恶意代码，使网站管理员能够第一时间得知网站系统的安全状态，避免由于网站被挂马给访问者带来的安全隐患。</w:t>
            </w:r>
          </w:p>
          <w:p>
            <w:pPr>
              <w:pStyle w:val="89"/>
              <w:spacing w:line="460" w:lineRule="exact"/>
              <w:ind w:firstLine="420"/>
              <w:rPr>
                <w:rFonts w:hint="eastAsia" w:cs="宋体"/>
                <w:sz w:val="21"/>
                <w:szCs w:val="21"/>
                <w:highlight w:val="none"/>
              </w:rPr>
            </w:pPr>
            <w:r>
              <w:rPr>
                <w:rFonts w:hint="eastAsia" w:cs="宋体"/>
                <w:sz w:val="21"/>
                <w:szCs w:val="21"/>
                <w:highlight w:val="none"/>
              </w:rPr>
              <w:t>（3）网页敏感内容监测。实时监测网站系统是否出现一些敏感关键字，如果发现敏感内容，在第一时间通知自治区财政厅相关安全人员。</w:t>
            </w:r>
          </w:p>
          <w:p>
            <w:pPr>
              <w:pStyle w:val="89"/>
              <w:spacing w:line="460" w:lineRule="exact"/>
              <w:ind w:firstLine="420"/>
              <w:rPr>
                <w:rFonts w:hint="eastAsia" w:cs="宋体"/>
                <w:sz w:val="21"/>
                <w:szCs w:val="21"/>
                <w:highlight w:val="none"/>
              </w:rPr>
            </w:pPr>
            <w:r>
              <w:rPr>
                <w:rFonts w:hint="eastAsia" w:cs="宋体"/>
                <w:sz w:val="21"/>
                <w:szCs w:val="21"/>
                <w:highlight w:val="none"/>
              </w:rPr>
              <w:t>（4）网站系统平稳度检测。对网站系统进行实时远程访问平稳度的动态监视，跟踪网站的访问平稳度动态变化情况，并根据严重程度及时发出报警信号。</w:t>
            </w:r>
          </w:p>
          <w:p>
            <w:pPr>
              <w:pStyle w:val="89"/>
              <w:spacing w:line="460" w:lineRule="exact"/>
              <w:ind w:firstLine="420"/>
              <w:rPr>
                <w:rFonts w:hint="eastAsia" w:cs="宋体"/>
                <w:sz w:val="21"/>
                <w:szCs w:val="21"/>
                <w:highlight w:val="none"/>
              </w:rPr>
            </w:pPr>
            <w:r>
              <w:rPr>
                <w:rFonts w:hint="eastAsia" w:cs="宋体"/>
                <w:sz w:val="21"/>
                <w:szCs w:val="21"/>
                <w:highlight w:val="none"/>
              </w:rPr>
              <w:t>（5）网页篡改监测。实时监测网站系统页面状况，如发生页面被篡改情况，第一时间通知自治区财政厅相关安全人员，及时进行处理，减少损失，缩小影响范围。</w:t>
            </w:r>
          </w:p>
          <w:p>
            <w:pPr>
              <w:pStyle w:val="89"/>
              <w:spacing w:line="460" w:lineRule="exact"/>
              <w:ind w:firstLine="420"/>
              <w:rPr>
                <w:rFonts w:hint="eastAsia" w:cs="宋体"/>
                <w:sz w:val="21"/>
                <w:szCs w:val="21"/>
                <w:highlight w:val="none"/>
              </w:rPr>
            </w:pPr>
            <w:r>
              <w:rPr>
                <w:rFonts w:hint="eastAsia" w:cs="宋体"/>
                <w:sz w:val="21"/>
                <w:szCs w:val="21"/>
                <w:highlight w:val="none"/>
              </w:rPr>
              <w:t>（6）安全专家代管服务。通过防御专家和处置专家的在线全程运维，并以人工智能技术持续挖掘和共享情报威胁，实现网站系统持续监测、快速联动和分钟级响应的安全能力。</w:t>
            </w:r>
          </w:p>
          <w:p>
            <w:pPr>
              <w:pStyle w:val="89"/>
              <w:spacing w:line="460" w:lineRule="exact"/>
              <w:ind w:firstLine="420"/>
              <w:rPr>
                <w:rFonts w:hint="eastAsia" w:cs="宋体"/>
                <w:sz w:val="21"/>
                <w:szCs w:val="21"/>
                <w:highlight w:val="none"/>
              </w:rPr>
            </w:pPr>
            <w:r>
              <w:rPr>
                <w:rFonts w:hint="eastAsia" w:cs="宋体"/>
                <w:sz w:val="21"/>
                <w:szCs w:val="21"/>
                <w:highlight w:val="none"/>
              </w:rPr>
              <w:t>（7）流量清洗服务。针对自治区财政厅网站等13个系统，17个URL实时提供无带宽限制的流量清洗、≥10G抗DDos/CC攻击防护。</w:t>
            </w:r>
          </w:p>
          <w:p>
            <w:pPr>
              <w:pStyle w:val="89"/>
              <w:spacing w:line="460" w:lineRule="exact"/>
              <w:ind w:firstLine="420"/>
              <w:rPr>
                <w:rFonts w:hint="eastAsia" w:cs="宋体"/>
                <w:sz w:val="21"/>
                <w:szCs w:val="21"/>
                <w:highlight w:val="none"/>
              </w:rPr>
            </w:pPr>
            <w:r>
              <w:rPr>
                <w:rFonts w:hint="eastAsia" w:cs="宋体"/>
                <w:sz w:val="21"/>
                <w:szCs w:val="21"/>
                <w:highlight w:val="none"/>
              </w:rPr>
              <w:t>（8）云WAF防护。实施云安全Web防护，防止包括但不限于SQL注入、命令注入、跨站脚本、跨站请求伪造、信息探测等攻击行为。</w:t>
            </w:r>
          </w:p>
          <w:p>
            <w:pPr>
              <w:pStyle w:val="89"/>
              <w:spacing w:line="460" w:lineRule="exact"/>
              <w:ind w:firstLine="420"/>
              <w:rPr>
                <w:rFonts w:hint="eastAsia" w:cs="宋体"/>
                <w:sz w:val="21"/>
                <w:szCs w:val="21"/>
                <w:highlight w:val="none"/>
              </w:rPr>
            </w:pPr>
            <w:r>
              <w:rPr>
                <w:rFonts w:hint="eastAsia" w:cs="宋体"/>
                <w:sz w:val="21"/>
                <w:szCs w:val="21"/>
                <w:highlight w:val="none"/>
              </w:rPr>
              <w:t>（9）链接可用性监测。及时发现首页及其他页面（包括图片、附件、外部链接等）不能正常访问的死链接。</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3.风险评估服务。</w:t>
            </w:r>
          </w:p>
          <w:p>
            <w:pPr>
              <w:pStyle w:val="89"/>
              <w:spacing w:line="460" w:lineRule="exact"/>
              <w:ind w:firstLine="420"/>
              <w:rPr>
                <w:rFonts w:hint="eastAsia" w:cs="宋体"/>
                <w:sz w:val="21"/>
                <w:szCs w:val="21"/>
                <w:highlight w:val="none"/>
              </w:rPr>
            </w:pPr>
            <w:r>
              <w:rPr>
                <w:rFonts w:hint="eastAsia" w:cs="宋体"/>
                <w:sz w:val="21"/>
                <w:szCs w:val="21"/>
                <w:highlight w:val="none"/>
              </w:rPr>
              <w:t>服务方式：提供现场服务和远程服务。</w:t>
            </w:r>
          </w:p>
          <w:p>
            <w:pPr>
              <w:pStyle w:val="89"/>
              <w:spacing w:line="460" w:lineRule="exact"/>
              <w:ind w:firstLine="420"/>
              <w:rPr>
                <w:rFonts w:hint="eastAsia" w:cs="宋体"/>
                <w:sz w:val="21"/>
                <w:szCs w:val="21"/>
                <w:highlight w:val="none"/>
              </w:rPr>
            </w:pPr>
            <w:r>
              <w:rPr>
                <w:rFonts w:hint="eastAsia" w:cs="宋体"/>
                <w:sz w:val="21"/>
                <w:szCs w:val="21"/>
                <w:highlight w:val="none"/>
              </w:rPr>
              <w:t>（1）脆弱性扫描</w:t>
            </w:r>
          </w:p>
          <w:p>
            <w:pPr>
              <w:pStyle w:val="89"/>
              <w:spacing w:line="460" w:lineRule="exact"/>
              <w:ind w:firstLine="420"/>
              <w:rPr>
                <w:rFonts w:hint="eastAsia" w:cs="宋体"/>
                <w:sz w:val="21"/>
                <w:szCs w:val="21"/>
                <w:highlight w:val="none"/>
              </w:rPr>
            </w:pPr>
            <w:r>
              <w:rPr>
                <w:rFonts w:hint="eastAsia" w:cs="宋体"/>
                <w:sz w:val="21"/>
                <w:szCs w:val="21"/>
                <w:highlight w:val="none"/>
              </w:rPr>
              <w:t>工作安排：</w:t>
            </w:r>
            <w:r>
              <w:rPr>
                <w:rFonts w:hint="eastAsia" w:cs="宋体"/>
                <w:sz w:val="21"/>
                <w:szCs w:val="21"/>
                <w:highlight w:val="none"/>
                <w:lang w:eastAsia="zh-CN"/>
              </w:rPr>
              <w:t>包年，</w:t>
            </w:r>
            <w:r>
              <w:rPr>
                <w:rFonts w:hint="eastAsia" w:cs="宋体"/>
                <w:sz w:val="21"/>
                <w:szCs w:val="21"/>
                <w:highlight w:val="none"/>
              </w:rPr>
              <w:t>每年6次，每2个月1次，每次5天</w:t>
            </w:r>
            <w:r>
              <w:rPr>
                <w:rFonts w:hint="eastAsia" w:cs="宋体"/>
                <w:sz w:val="21"/>
                <w:szCs w:val="21"/>
                <w:highlight w:val="none"/>
                <w:lang w:eastAsia="zh-CN"/>
              </w:rPr>
              <w:t>，每次安排</w:t>
            </w:r>
            <w:r>
              <w:rPr>
                <w:rFonts w:hint="eastAsia" w:cs="宋体"/>
                <w:sz w:val="21"/>
                <w:szCs w:val="21"/>
                <w:highlight w:val="none"/>
                <w:lang w:val="en-US" w:eastAsia="zh-CN"/>
              </w:rPr>
              <w:t>1人</w:t>
            </w:r>
            <w:r>
              <w:rPr>
                <w:rFonts w:hint="eastAsia" w:cs="宋体"/>
                <w:sz w:val="21"/>
                <w:szCs w:val="21"/>
                <w:highlight w:val="none"/>
              </w:rPr>
              <w:t>。</w:t>
            </w:r>
          </w:p>
          <w:p>
            <w:pPr>
              <w:pStyle w:val="89"/>
              <w:spacing w:line="460" w:lineRule="exact"/>
              <w:ind w:firstLine="420"/>
              <w:rPr>
                <w:rFonts w:hint="eastAsia" w:cs="宋体"/>
                <w:sz w:val="21"/>
                <w:szCs w:val="21"/>
                <w:highlight w:val="none"/>
              </w:rPr>
            </w:pPr>
            <w:r>
              <w:rPr>
                <w:rFonts w:hint="eastAsia" w:cs="宋体"/>
                <w:sz w:val="21"/>
                <w:szCs w:val="21"/>
                <w:highlight w:val="none"/>
              </w:rPr>
              <w:t>服务人员级别：中级工程师</w:t>
            </w:r>
            <w:r>
              <w:rPr>
                <w:rFonts w:hint="eastAsia" w:cs="宋体"/>
                <w:sz w:val="21"/>
                <w:szCs w:val="21"/>
                <w:highlight w:val="none"/>
                <w:lang w:eastAsia="zh-CN"/>
              </w:rPr>
              <w:t>（网络安全、渗透安全）</w:t>
            </w:r>
            <w:r>
              <w:rPr>
                <w:rFonts w:hint="eastAsia" w:cs="宋体"/>
                <w:sz w:val="21"/>
                <w:szCs w:val="21"/>
                <w:highlight w:val="none"/>
              </w:rPr>
              <w:t>。</w:t>
            </w:r>
          </w:p>
          <w:p>
            <w:pPr>
              <w:pStyle w:val="89"/>
              <w:spacing w:line="460" w:lineRule="exact"/>
              <w:ind w:firstLine="420"/>
              <w:rPr>
                <w:rFonts w:hint="eastAsia" w:cs="宋体"/>
                <w:sz w:val="21"/>
                <w:szCs w:val="21"/>
                <w:highlight w:val="none"/>
              </w:rPr>
            </w:pPr>
            <w:r>
              <w:rPr>
                <w:rFonts w:hint="eastAsia" w:cs="宋体"/>
                <w:sz w:val="21"/>
                <w:szCs w:val="21"/>
                <w:highlight w:val="none"/>
              </w:rPr>
              <w:t>服务内容：</w:t>
            </w:r>
            <w:r>
              <w:rPr>
                <w:rFonts w:hint="eastAsia" w:cs="宋体"/>
                <w:sz w:val="21"/>
                <w:szCs w:val="21"/>
                <w:highlight w:val="none"/>
                <w:lang w:eastAsia="zh-CN"/>
              </w:rPr>
              <w:t>包年，</w:t>
            </w:r>
            <w:r>
              <w:rPr>
                <w:rFonts w:hint="eastAsia" w:cs="宋体"/>
                <w:sz w:val="21"/>
                <w:szCs w:val="21"/>
                <w:highlight w:val="none"/>
              </w:rPr>
              <w:t>每年6次，每2个月1次，每次5天</w:t>
            </w:r>
            <w:r>
              <w:rPr>
                <w:rFonts w:hint="eastAsia" w:cs="宋体"/>
                <w:sz w:val="21"/>
                <w:szCs w:val="21"/>
                <w:highlight w:val="none"/>
                <w:lang w:eastAsia="zh-CN"/>
              </w:rPr>
              <w:t>，每次安排</w:t>
            </w:r>
            <w:r>
              <w:rPr>
                <w:rFonts w:hint="eastAsia" w:cs="宋体"/>
                <w:sz w:val="21"/>
                <w:szCs w:val="21"/>
                <w:highlight w:val="none"/>
                <w:lang w:val="en-US" w:eastAsia="zh-CN"/>
              </w:rPr>
              <w:t>1人，</w:t>
            </w:r>
            <w:r>
              <w:rPr>
                <w:rFonts w:hint="eastAsia" w:cs="宋体"/>
                <w:sz w:val="21"/>
                <w:szCs w:val="21"/>
                <w:highlight w:val="none"/>
                <w:lang w:eastAsia="zh-CN"/>
              </w:rPr>
              <w:t>共</w:t>
            </w:r>
            <w:r>
              <w:rPr>
                <w:rFonts w:hint="eastAsia" w:cs="宋体"/>
                <w:sz w:val="21"/>
                <w:szCs w:val="21"/>
                <w:highlight w:val="none"/>
              </w:rPr>
              <w:t>30人天。包括新上线系统脆弱性扫描</w:t>
            </w:r>
            <w:r>
              <w:rPr>
                <w:rFonts w:hint="eastAsia" w:cs="宋体"/>
                <w:sz w:val="21"/>
                <w:szCs w:val="21"/>
                <w:highlight w:val="none"/>
                <w:lang w:eastAsia="zh-CN"/>
              </w:rPr>
              <w:t>，</w:t>
            </w:r>
            <w:r>
              <w:rPr>
                <w:rFonts w:hint="eastAsia" w:cs="宋体"/>
                <w:sz w:val="21"/>
                <w:szCs w:val="21"/>
                <w:highlight w:val="none"/>
              </w:rPr>
              <w:t>使用业界知名安全漏洞扫描工具进行安全漏洞扫描，包括网络平台、主机系统、网站系统、数据库、应用中间件和安全设备的检测；两周内出具扫描结果报告和修复方案，指导并协助进行安全加固。</w:t>
            </w:r>
          </w:p>
          <w:p>
            <w:pPr>
              <w:pStyle w:val="89"/>
              <w:spacing w:line="460" w:lineRule="exact"/>
              <w:ind w:firstLine="420"/>
              <w:rPr>
                <w:rFonts w:hint="eastAsia" w:cs="宋体"/>
                <w:sz w:val="21"/>
                <w:szCs w:val="21"/>
                <w:highlight w:val="none"/>
              </w:rPr>
            </w:pPr>
            <w:r>
              <w:rPr>
                <w:rFonts w:hint="eastAsia" w:cs="宋体"/>
                <w:sz w:val="21"/>
                <w:szCs w:val="21"/>
                <w:highlight w:val="none"/>
              </w:rPr>
              <w:t>1）漏洞检测系统支持类型：windows、linux、unix、麒麟等。</w:t>
            </w:r>
          </w:p>
          <w:p>
            <w:pPr>
              <w:pStyle w:val="89"/>
              <w:spacing w:line="460" w:lineRule="exact"/>
              <w:ind w:firstLine="420"/>
              <w:rPr>
                <w:rFonts w:hint="eastAsia" w:cs="宋体"/>
                <w:sz w:val="21"/>
                <w:szCs w:val="21"/>
                <w:highlight w:val="none"/>
              </w:rPr>
            </w:pPr>
            <w:r>
              <w:rPr>
                <w:rFonts w:hint="eastAsia" w:cs="宋体"/>
                <w:sz w:val="21"/>
                <w:szCs w:val="21"/>
                <w:highlight w:val="none"/>
              </w:rPr>
              <w:t>2）漏洞检测数据支持类型：Gbase、Oracle、MSsql、人大金仓、南大通用、DB2、Sybase、Informix、Mysql、PostgreSQL、Access等。</w:t>
            </w:r>
          </w:p>
          <w:p>
            <w:pPr>
              <w:pStyle w:val="89"/>
              <w:spacing w:line="460" w:lineRule="exact"/>
              <w:ind w:firstLine="420"/>
              <w:rPr>
                <w:rFonts w:hint="eastAsia" w:cs="宋体"/>
                <w:sz w:val="21"/>
                <w:szCs w:val="21"/>
                <w:highlight w:val="none"/>
              </w:rPr>
            </w:pPr>
            <w:r>
              <w:rPr>
                <w:rFonts w:hint="eastAsia" w:cs="宋体"/>
                <w:sz w:val="21"/>
                <w:szCs w:val="21"/>
                <w:highlight w:val="none"/>
              </w:rPr>
              <w:t>3）漏洞检测应用支持类型：应用组件：至少包括APACHE、TOMCAT、weblogic、东方通、IIS等，脚本语言：CGI、ASP、PHP、JSP等。</w:t>
            </w:r>
          </w:p>
          <w:p>
            <w:pPr>
              <w:pStyle w:val="89"/>
              <w:spacing w:line="460" w:lineRule="exact"/>
              <w:ind w:firstLine="420"/>
              <w:rPr>
                <w:rFonts w:hint="eastAsia" w:cs="宋体"/>
                <w:sz w:val="21"/>
                <w:szCs w:val="21"/>
                <w:highlight w:val="none"/>
              </w:rPr>
            </w:pPr>
            <w:r>
              <w:rPr>
                <w:rFonts w:hint="eastAsia" w:cs="宋体"/>
                <w:sz w:val="21"/>
                <w:szCs w:val="21"/>
                <w:highlight w:val="none"/>
              </w:rPr>
              <w:t>4）漏洞检测网络设备支持品牌：至少包括思科、华为、华三、锐捷、迈普、迪普、juniper、F5等。</w:t>
            </w:r>
          </w:p>
          <w:p>
            <w:pPr>
              <w:pStyle w:val="89"/>
              <w:spacing w:line="460" w:lineRule="exact"/>
              <w:ind w:firstLine="420"/>
              <w:rPr>
                <w:rFonts w:hint="eastAsia" w:cs="宋体"/>
                <w:sz w:val="21"/>
                <w:szCs w:val="21"/>
                <w:highlight w:val="none"/>
              </w:rPr>
            </w:pPr>
            <w:r>
              <w:rPr>
                <w:rFonts w:hint="eastAsia" w:cs="宋体"/>
                <w:sz w:val="21"/>
                <w:szCs w:val="21"/>
                <w:highlight w:val="none"/>
              </w:rPr>
              <w:t>5)漏洞检测安全设备支持品牌：至少包括亚信、安达通、天融信、绿盟、深信服、启明星辰、网神、网康、网御、安恒等。</w:t>
            </w:r>
          </w:p>
          <w:p>
            <w:pPr>
              <w:pStyle w:val="89"/>
              <w:spacing w:line="460" w:lineRule="exact"/>
              <w:ind w:firstLine="420"/>
              <w:rPr>
                <w:rFonts w:hint="eastAsia" w:cs="宋体"/>
                <w:sz w:val="21"/>
                <w:szCs w:val="21"/>
                <w:highlight w:val="none"/>
              </w:rPr>
            </w:pPr>
            <w:r>
              <w:rPr>
                <w:rFonts w:hint="eastAsia" w:cs="宋体"/>
                <w:sz w:val="21"/>
                <w:szCs w:val="21"/>
                <w:highlight w:val="none"/>
              </w:rPr>
              <w:t>（2）渗透测试。</w:t>
            </w:r>
          </w:p>
          <w:p>
            <w:pPr>
              <w:pStyle w:val="89"/>
              <w:spacing w:line="460" w:lineRule="exact"/>
              <w:ind w:firstLine="420"/>
              <w:rPr>
                <w:rFonts w:hint="eastAsia" w:cs="宋体"/>
                <w:sz w:val="21"/>
                <w:szCs w:val="21"/>
                <w:highlight w:val="none"/>
              </w:rPr>
            </w:pPr>
            <w:r>
              <w:rPr>
                <w:rFonts w:hint="eastAsia" w:cs="宋体"/>
                <w:sz w:val="21"/>
                <w:szCs w:val="21"/>
                <w:highlight w:val="none"/>
              </w:rPr>
              <w:t>工作安排：打包所有系统</w:t>
            </w:r>
            <w:r>
              <w:rPr>
                <w:rFonts w:hint="eastAsia" w:cs="宋体"/>
                <w:sz w:val="21"/>
                <w:szCs w:val="21"/>
                <w:highlight w:val="none"/>
                <w:lang w:eastAsia="zh-CN"/>
              </w:rPr>
              <w:t>，</w:t>
            </w:r>
            <w:r>
              <w:rPr>
                <w:rFonts w:hint="eastAsia" w:cs="宋体"/>
                <w:sz w:val="21"/>
                <w:szCs w:val="21"/>
                <w:highlight w:val="none"/>
              </w:rPr>
              <w:t>每年2次，每半年1次，</w:t>
            </w:r>
            <w:r>
              <w:rPr>
                <w:rFonts w:hint="eastAsia" w:cs="宋体"/>
                <w:sz w:val="21"/>
                <w:szCs w:val="21"/>
                <w:highlight w:val="none"/>
                <w:lang w:eastAsia="zh-CN"/>
              </w:rPr>
              <w:t>每次</w:t>
            </w:r>
            <w:r>
              <w:rPr>
                <w:rFonts w:hint="eastAsia" w:cs="宋体"/>
                <w:sz w:val="21"/>
                <w:szCs w:val="21"/>
                <w:highlight w:val="none"/>
                <w:lang w:val="en-US" w:eastAsia="zh-CN"/>
              </w:rPr>
              <w:t>56套系统，每次安排1人，一套系统3天，</w:t>
            </w:r>
            <w:r>
              <w:rPr>
                <w:rFonts w:hint="eastAsia" w:cs="宋体"/>
                <w:sz w:val="21"/>
                <w:szCs w:val="21"/>
                <w:highlight w:val="none"/>
              </w:rPr>
              <w:t>包括新上线系统渗透测试。</w:t>
            </w:r>
          </w:p>
          <w:p>
            <w:pPr>
              <w:pStyle w:val="89"/>
              <w:spacing w:line="460" w:lineRule="exact"/>
              <w:ind w:firstLine="420"/>
              <w:rPr>
                <w:rFonts w:hint="eastAsia" w:cs="宋体"/>
                <w:sz w:val="21"/>
                <w:szCs w:val="21"/>
                <w:highlight w:val="none"/>
              </w:rPr>
            </w:pPr>
            <w:r>
              <w:rPr>
                <w:rFonts w:hint="eastAsia" w:cs="宋体"/>
                <w:sz w:val="21"/>
                <w:szCs w:val="21"/>
                <w:highlight w:val="none"/>
              </w:rPr>
              <w:t>服务人员级别：</w:t>
            </w:r>
            <w:r>
              <w:rPr>
                <w:rFonts w:hint="eastAsia" w:cs="宋体"/>
                <w:sz w:val="21"/>
                <w:szCs w:val="21"/>
                <w:highlight w:val="none"/>
                <w:lang w:eastAsia="zh-CN"/>
              </w:rPr>
              <w:t>高级工程师（网络安全、渗透安全）</w:t>
            </w:r>
            <w:r>
              <w:rPr>
                <w:rFonts w:hint="eastAsia" w:cs="宋体"/>
                <w:sz w:val="21"/>
                <w:szCs w:val="21"/>
                <w:highlight w:val="none"/>
              </w:rPr>
              <w:t>。</w:t>
            </w:r>
          </w:p>
          <w:p>
            <w:pPr>
              <w:pStyle w:val="89"/>
              <w:spacing w:line="460" w:lineRule="exact"/>
              <w:ind w:firstLine="420"/>
              <w:rPr>
                <w:rFonts w:hint="eastAsia" w:cs="宋体"/>
                <w:sz w:val="21"/>
                <w:szCs w:val="21"/>
                <w:highlight w:val="none"/>
              </w:rPr>
            </w:pPr>
            <w:r>
              <w:rPr>
                <w:rFonts w:hint="eastAsia" w:cs="宋体"/>
                <w:sz w:val="21"/>
                <w:szCs w:val="21"/>
                <w:highlight w:val="none"/>
              </w:rPr>
              <w:t>服务内容：打包所有系统，每年2次，每半年1次，每次全部系统，每次安排1人，一套系统3天，包括新上线系统渗透测试。使用一系列现有安全产品和工具，结合人工服务，模拟当前流行的多种黑客入侵方法对自治区财政厅所有系统进行深度渗透测试，确保核心业务系统的安全稳定。在不影响业务正常运行的情况下，测试人员应贴近攻击真实，进行攻击突破，尽可能挖掘安全隐患。对于测试发现的重大安全漏洞和隐患应立即报告并协助修补整改。其余非重大安全隐患在实施完成一个月内出具测试报告和整改方案。</w:t>
            </w:r>
          </w:p>
          <w:p>
            <w:pPr>
              <w:pStyle w:val="89"/>
              <w:spacing w:line="460" w:lineRule="exact"/>
              <w:ind w:firstLine="420"/>
              <w:rPr>
                <w:rFonts w:hint="eastAsia" w:cs="宋体"/>
                <w:sz w:val="21"/>
                <w:szCs w:val="21"/>
                <w:highlight w:val="none"/>
              </w:rPr>
            </w:pPr>
            <w:r>
              <w:rPr>
                <w:rFonts w:hint="eastAsia" w:cs="宋体"/>
                <w:sz w:val="21"/>
                <w:szCs w:val="21"/>
                <w:highlight w:val="none"/>
              </w:rPr>
              <w:t>渗透测试内容包括但不限于：在系统开发的安全代码的基础上，深入挖掘业务系统间的漏洞，防止重要的敏感数据泄露；针对业务系统渗透的结果对业务系统开发厂商的开发人员进行指导实施，包括漏洞产生的原因、加固方法、测试方法等；并指导业务系统开发人员对系统进行加固。加固建议包含开发代码指导、安全配置建议等。。</w:t>
            </w:r>
          </w:p>
          <w:p>
            <w:pPr>
              <w:pStyle w:val="89"/>
              <w:spacing w:line="460" w:lineRule="exact"/>
              <w:ind w:firstLine="420"/>
              <w:rPr>
                <w:rFonts w:hint="eastAsia" w:cs="宋体"/>
                <w:sz w:val="21"/>
                <w:szCs w:val="21"/>
                <w:highlight w:val="none"/>
              </w:rPr>
            </w:pPr>
            <w:r>
              <w:rPr>
                <w:rFonts w:hint="eastAsia" w:cs="宋体"/>
                <w:sz w:val="21"/>
                <w:szCs w:val="21"/>
                <w:highlight w:val="none"/>
              </w:rPr>
              <w:t>（3）安全配置检查。</w:t>
            </w:r>
          </w:p>
          <w:p>
            <w:pPr>
              <w:pStyle w:val="89"/>
              <w:spacing w:line="460" w:lineRule="exact"/>
              <w:ind w:firstLine="420"/>
              <w:rPr>
                <w:rFonts w:hint="eastAsia" w:cs="宋体"/>
                <w:sz w:val="21"/>
                <w:szCs w:val="21"/>
                <w:highlight w:val="none"/>
              </w:rPr>
            </w:pPr>
            <w:r>
              <w:rPr>
                <w:rFonts w:hint="eastAsia" w:cs="宋体"/>
                <w:sz w:val="21"/>
                <w:szCs w:val="21"/>
                <w:highlight w:val="none"/>
              </w:rPr>
              <w:t>工作安排：包年（全部设备，每年2次，每半年1次，每次30天，每次安排1人，包括新上线系统安全配置检查）。</w:t>
            </w:r>
          </w:p>
          <w:p>
            <w:pPr>
              <w:pStyle w:val="89"/>
              <w:spacing w:line="460" w:lineRule="exact"/>
              <w:ind w:firstLine="420"/>
              <w:rPr>
                <w:rFonts w:hint="eastAsia" w:cs="宋体"/>
                <w:sz w:val="21"/>
                <w:szCs w:val="21"/>
                <w:highlight w:val="none"/>
              </w:rPr>
            </w:pPr>
            <w:r>
              <w:rPr>
                <w:rFonts w:hint="eastAsia" w:cs="宋体"/>
                <w:sz w:val="21"/>
                <w:szCs w:val="21"/>
                <w:highlight w:val="none"/>
              </w:rPr>
              <w:t>服务人员级别：中级工程师（网络安全、渗透安全）以上。</w:t>
            </w:r>
          </w:p>
          <w:p>
            <w:pPr>
              <w:pStyle w:val="89"/>
              <w:spacing w:line="460" w:lineRule="exact"/>
              <w:ind w:firstLine="420"/>
              <w:rPr>
                <w:rFonts w:hint="eastAsia" w:cs="宋体"/>
                <w:sz w:val="21"/>
                <w:szCs w:val="21"/>
                <w:highlight w:val="none"/>
              </w:rPr>
            </w:pPr>
            <w:r>
              <w:rPr>
                <w:rFonts w:hint="eastAsia" w:cs="宋体"/>
                <w:sz w:val="21"/>
                <w:szCs w:val="21"/>
                <w:highlight w:val="none"/>
              </w:rPr>
              <w:t>服务内容：包年（全部设备，每年2次，每半年1次，每次30天，每次安排1人，包括新上线系统安全配置检查）。对财政厅所有基础网络、信息系统包含但不限于网络设备、安全设备、不同类型操作系统、应用中间件、应用系统、数据库管理系统安全等进行安全配置检查，采用脚本工具或人工参照审计手册进行安全脆弱性分析，出具检查报告和整改方案，指导并协助进行安全加固。</w:t>
            </w:r>
          </w:p>
          <w:p>
            <w:pPr>
              <w:pStyle w:val="89"/>
              <w:numPr>
                <w:ilvl w:val="0"/>
                <w:numId w:val="1"/>
              </w:numPr>
              <w:spacing w:line="460" w:lineRule="exact"/>
              <w:ind w:firstLine="420"/>
              <w:rPr>
                <w:rFonts w:hint="eastAsia" w:cs="宋体"/>
                <w:sz w:val="21"/>
                <w:szCs w:val="21"/>
                <w:highlight w:val="none"/>
                <w:lang w:val="en-US" w:eastAsia="zh-CN"/>
              </w:rPr>
            </w:pPr>
            <w:r>
              <w:rPr>
                <w:rFonts w:hint="eastAsia" w:cs="宋体"/>
                <w:sz w:val="21"/>
                <w:szCs w:val="21"/>
                <w:highlight w:val="none"/>
                <w:lang w:val="en-US" w:eastAsia="zh-CN"/>
              </w:rPr>
              <w:t>入侵痕迹检查</w:t>
            </w:r>
          </w:p>
          <w:p>
            <w:pPr>
              <w:pStyle w:val="89"/>
              <w:spacing w:line="460" w:lineRule="exact"/>
              <w:ind w:firstLine="420"/>
              <w:rPr>
                <w:rFonts w:hint="default" w:cs="宋体"/>
                <w:sz w:val="21"/>
                <w:szCs w:val="21"/>
                <w:highlight w:val="none"/>
                <w:lang w:val="en-US" w:eastAsia="zh-CN"/>
              </w:rPr>
            </w:pPr>
            <w:r>
              <w:rPr>
                <w:rFonts w:hint="default" w:cs="宋体"/>
                <w:sz w:val="21"/>
                <w:szCs w:val="21"/>
                <w:highlight w:val="none"/>
                <w:lang w:val="en-US" w:eastAsia="zh-CN"/>
              </w:rPr>
              <w:t>工作安排：包年（全部设备，每年2次，每半年1次，每次15天，每次安排1人，包括新上线系统入侵痕迹检查）。</w:t>
            </w:r>
          </w:p>
          <w:p>
            <w:pPr>
              <w:pStyle w:val="89"/>
              <w:spacing w:line="460" w:lineRule="exact"/>
              <w:ind w:firstLine="420"/>
              <w:rPr>
                <w:rFonts w:hint="default" w:cs="宋体"/>
                <w:sz w:val="21"/>
                <w:szCs w:val="21"/>
                <w:highlight w:val="none"/>
                <w:lang w:val="en-US" w:eastAsia="zh-CN"/>
              </w:rPr>
            </w:pPr>
            <w:r>
              <w:rPr>
                <w:rFonts w:hint="default" w:cs="宋体"/>
                <w:sz w:val="21"/>
                <w:szCs w:val="21"/>
                <w:highlight w:val="none"/>
                <w:lang w:val="en-US" w:eastAsia="zh-CN"/>
              </w:rPr>
              <w:t>服务人员级别：中级工程师（网络安全、渗透安全）以上。</w:t>
            </w:r>
          </w:p>
          <w:p>
            <w:pPr>
              <w:pStyle w:val="89"/>
              <w:spacing w:line="460" w:lineRule="exact"/>
              <w:ind w:firstLine="420"/>
              <w:rPr>
                <w:rFonts w:hint="default" w:cs="宋体"/>
                <w:sz w:val="21"/>
                <w:szCs w:val="21"/>
                <w:highlight w:val="none"/>
                <w:lang w:val="en-US" w:eastAsia="zh-CN"/>
              </w:rPr>
            </w:pPr>
            <w:r>
              <w:rPr>
                <w:rFonts w:hint="default" w:cs="宋体"/>
                <w:sz w:val="21"/>
                <w:szCs w:val="21"/>
                <w:highlight w:val="none"/>
                <w:lang w:val="en-US" w:eastAsia="zh-CN"/>
              </w:rPr>
              <w:t>服务内容：包年（全部设备，每年2次，每半年1次，每次15天，每次安排1人，包括新上线系统入侵痕迹检查）。对财政厅所有基础网络、信息系统包含但不限于网络设备、安全设备、不同类型操作系统、应用中间件、应用系统、数据库管理系统安全等进行入侵痕迹检查。</w:t>
            </w:r>
          </w:p>
          <w:p>
            <w:pPr>
              <w:pStyle w:val="89"/>
              <w:spacing w:line="460" w:lineRule="exact"/>
              <w:ind w:firstLine="420"/>
              <w:rPr>
                <w:rFonts w:hint="default" w:cs="宋体"/>
                <w:sz w:val="21"/>
                <w:szCs w:val="21"/>
                <w:highlight w:val="none"/>
                <w:lang w:val="en-US" w:eastAsia="zh-CN"/>
              </w:rPr>
            </w:pPr>
            <w:r>
              <w:rPr>
                <w:rFonts w:hint="default" w:cs="宋体"/>
                <w:sz w:val="21"/>
                <w:szCs w:val="21"/>
                <w:highlight w:val="none"/>
                <w:lang w:val="en-US" w:eastAsia="zh-CN"/>
              </w:rPr>
              <w:t>1）入侵痕迹检测能力：包括但不限于恶意代码检测、异常流量分析、系统配置篡改检测等。</w:t>
            </w:r>
          </w:p>
          <w:p>
            <w:pPr>
              <w:pStyle w:val="89"/>
              <w:spacing w:line="460" w:lineRule="exact"/>
              <w:ind w:firstLine="420"/>
              <w:rPr>
                <w:rFonts w:hint="default" w:cs="宋体"/>
                <w:sz w:val="21"/>
                <w:szCs w:val="21"/>
                <w:highlight w:val="none"/>
                <w:lang w:val="en-US" w:eastAsia="zh-CN"/>
              </w:rPr>
            </w:pPr>
            <w:r>
              <w:rPr>
                <w:rFonts w:hint="default" w:cs="宋体"/>
                <w:sz w:val="21"/>
                <w:szCs w:val="21"/>
                <w:highlight w:val="none"/>
                <w:lang w:val="en-US" w:eastAsia="zh-CN"/>
              </w:rPr>
              <w:t>2） 入侵检测工具与技术：如入侵检测系统（IDS）、安全信息和事件管理系统（SIEM）等，并能够提供相关工具的技术参数和功能说明。</w:t>
            </w:r>
          </w:p>
          <w:p>
            <w:pPr>
              <w:pStyle w:val="89"/>
              <w:spacing w:line="460" w:lineRule="exact"/>
              <w:ind w:firstLine="420"/>
              <w:rPr>
                <w:rFonts w:hint="default" w:cs="宋体"/>
                <w:sz w:val="21"/>
                <w:szCs w:val="21"/>
                <w:highlight w:val="none"/>
                <w:lang w:val="en-US" w:eastAsia="zh-CN"/>
              </w:rPr>
            </w:pPr>
            <w:r>
              <w:rPr>
                <w:rFonts w:hint="default" w:cs="宋体"/>
                <w:sz w:val="21"/>
                <w:szCs w:val="21"/>
                <w:highlight w:val="none"/>
                <w:lang w:val="en-US" w:eastAsia="zh-CN"/>
              </w:rPr>
              <w:t>3）数据分析：能够识别潜在的入侵行为和安全威胁，并提供详细的数据分析报告。</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4.安全加固服务。</w:t>
            </w:r>
          </w:p>
          <w:p>
            <w:pPr>
              <w:pStyle w:val="89"/>
              <w:spacing w:line="460" w:lineRule="exact"/>
              <w:ind w:firstLine="420"/>
              <w:rPr>
                <w:rFonts w:hint="eastAsia" w:cs="宋体"/>
                <w:sz w:val="21"/>
                <w:szCs w:val="21"/>
                <w:highlight w:val="none"/>
              </w:rPr>
            </w:pPr>
            <w:r>
              <w:rPr>
                <w:rFonts w:hint="eastAsia" w:cs="宋体"/>
                <w:sz w:val="21"/>
                <w:szCs w:val="21"/>
                <w:highlight w:val="none"/>
              </w:rPr>
              <w:t>服务方式：现场服务。</w:t>
            </w:r>
          </w:p>
          <w:p>
            <w:pPr>
              <w:pStyle w:val="89"/>
              <w:spacing w:line="460" w:lineRule="exact"/>
              <w:ind w:firstLine="420"/>
              <w:rPr>
                <w:rFonts w:hint="eastAsia" w:cs="宋体"/>
                <w:sz w:val="21"/>
                <w:szCs w:val="21"/>
                <w:highlight w:val="none"/>
              </w:rPr>
            </w:pPr>
            <w:r>
              <w:rPr>
                <w:rFonts w:hint="eastAsia" w:cs="宋体"/>
                <w:sz w:val="21"/>
                <w:szCs w:val="21"/>
                <w:highlight w:val="none"/>
              </w:rPr>
              <w:t>工作安排：每年2次，每次30天</w:t>
            </w:r>
            <w:r>
              <w:rPr>
                <w:rFonts w:hint="eastAsia" w:cs="宋体"/>
                <w:sz w:val="21"/>
                <w:szCs w:val="21"/>
                <w:highlight w:val="none"/>
                <w:lang w:eastAsia="zh-CN"/>
              </w:rPr>
              <w:t>，每次安排</w:t>
            </w:r>
            <w:r>
              <w:rPr>
                <w:rFonts w:hint="eastAsia" w:cs="宋体"/>
                <w:sz w:val="21"/>
                <w:szCs w:val="21"/>
                <w:highlight w:val="none"/>
                <w:lang w:val="en-US" w:eastAsia="zh-CN"/>
              </w:rPr>
              <w:t>1人，</w:t>
            </w:r>
            <w:r>
              <w:rPr>
                <w:rFonts w:hint="eastAsia" w:cs="宋体"/>
                <w:sz w:val="21"/>
                <w:szCs w:val="21"/>
                <w:highlight w:val="none"/>
              </w:rPr>
              <w:t>根据风险评估、日常安全巡检结果或处理安全事件时提供全年实时服务。</w:t>
            </w:r>
          </w:p>
          <w:p>
            <w:pPr>
              <w:pStyle w:val="89"/>
              <w:spacing w:line="460" w:lineRule="exact"/>
              <w:ind w:firstLine="420"/>
              <w:rPr>
                <w:rFonts w:hint="eastAsia" w:cs="宋体"/>
                <w:sz w:val="21"/>
                <w:szCs w:val="21"/>
                <w:highlight w:val="none"/>
              </w:rPr>
            </w:pPr>
            <w:r>
              <w:rPr>
                <w:rFonts w:hint="eastAsia" w:cs="宋体"/>
                <w:sz w:val="21"/>
                <w:szCs w:val="21"/>
                <w:highlight w:val="none"/>
              </w:rPr>
              <w:t>服务人员级别：</w:t>
            </w:r>
            <w:r>
              <w:rPr>
                <w:rFonts w:hint="eastAsia" w:cs="宋体"/>
                <w:sz w:val="21"/>
                <w:szCs w:val="21"/>
                <w:highlight w:val="none"/>
                <w:lang w:eastAsia="zh-CN"/>
              </w:rPr>
              <w:t>高级工程师（网络安全、渗透安全）</w:t>
            </w:r>
            <w:r>
              <w:rPr>
                <w:rFonts w:hint="eastAsia" w:cs="宋体"/>
                <w:sz w:val="21"/>
                <w:szCs w:val="21"/>
                <w:highlight w:val="none"/>
              </w:rPr>
              <w:t>。</w:t>
            </w:r>
          </w:p>
          <w:p>
            <w:pPr>
              <w:pStyle w:val="89"/>
              <w:spacing w:line="460" w:lineRule="exact"/>
              <w:ind w:firstLine="420"/>
              <w:rPr>
                <w:rFonts w:hint="eastAsia" w:cs="宋体"/>
                <w:sz w:val="21"/>
                <w:szCs w:val="21"/>
                <w:highlight w:val="none"/>
              </w:rPr>
            </w:pPr>
            <w:r>
              <w:rPr>
                <w:rFonts w:hint="eastAsia" w:cs="宋体"/>
                <w:sz w:val="21"/>
                <w:szCs w:val="21"/>
                <w:highlight w:val="none"/>
              </w:rPr>
              <w:t>服务内容：包年（根据风险评估结果进行加固，每年2次，每次30天</w:t>
            </w:r>
            <w:r>
              <w:rPr>
                <w:rFonts w:hint="eastAsia" w:cs="宋体"/>
                <w:sz w:val="21"/>
                <w:szCs w:val="21"/>
                <w:highlight w:val="none"/>
                <w:lang w:eastAsia="zh-CN"/>
              </w:rPr>
              <w:t>，每次安排</w:t>
            </w:r>
            <w:r>
              <w:rPr>
                <w:rFonts w:hint="eastAsia" w:cs="宋体"/>
                <w:sz w:val="21"/>
                <w:szCs w:val="21"/>
                <w:highlight w:val="none"/>
                <w:lang w:val="en-US" w:eastAsia="zh-CN"/>
              </w:rPr>
              <w:t>1人，</w:t>
            </w:r>
            <w:r>
              <w:rPr>
                <w:rFonts w:hint="eastAsia" w:cs="宋体"/>
                <w:sz w:val="21"/>
                <w:szCs w:val="21"/>
                <w:highlight w:val="none"/>
              </w:rPr>
              <w:t>根据风险评估、日常安全巡检结果或处理安全事件时提供全年实时服务，包括新上线系统技术性加固服务)，针对自治区财政厅部署的所有服务器操作系统、数据库及应用中间件等软件系统，通过打补丁、强化账号安全、加固服务、修改安全配置、优化访问控制策略、增加安全机制等方法，堵塞漏洞及“后门”，合理进行安全性加强；并对发现的风险隐患进行归档记录，跟进修复情况，并提交修复记录表，此外，对于突发漏洞，要求在2个工作日内完成修复。确保每一风险都在可控范围内。</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5.驻场</w:t>
            </w:r>
            <w:r>
              <w:rPr>
                <w:rFonts w:hint="eastAsia" w:cs="宋体"/>
                <w:sz w:val="21"/>
                <w:szCs w:val="21"/>
                <w:highlight w:val="none"/>
                <w:lang w:eastAsia="zh-CN"/>
              </w:rPr>
              <w:t>值守</w:t>
            </w:r>
            <w:r>
              <w:rPr>
                <w:rFonts w:hint="eastAsia" w:cs="宋体"/>
                <w:sz w:val="21"/>
                <w:szCs w:val="21"/>
                <w:highlight w:val="none"/>
              </w:rPr>
              <w:t>服务。</w:t>
            </w:r>
          </w:p>
          <w:p>
            <w:pPr>
              <w:pStyle w:val="89"/>
              <w:spacing w:line="460" w:lineRule="exact"/>
              <w:ind w:firstLine="420"/>
              <w:rPr>
                <w:rFonts w:hint="eastAsia" w:cs="宋体"/>
                <w:sz w:val="21"/>
                <w:szCs w:val="21"/>
                <w:highlight w:val="none"/>
              </w:rPr>
            </w:pPr>
            <w:r>
              <w:rPr>
                <w:rFonts w:hint="eastAsia" w:cs="宋体"/>
                <w:sz w:val="21"/>
                <w:szCs w:val="21"/>
                <w:highlight w:val="none"/>
              </w:rPr>
              <w:t>服务方式：现场服务</w:t>
            </w:r>
            <w:r>
              <w:rPr>
                <w:rFonts w:hint="eastAsia" w:cs="宋体"/>
                <w:sz w:val="21"/>
                <w:szCs w:val="21"/>
                <w:highlight w:val="none"/>
                <w:lang w:eastAsia="zh-CN"/>
              </w:rPr>
              <w:t>，5×8小时对业务系统运行进行实时值守监控和日常安全服务。</w:t>
            </w:r>
          </w:p>
          <w:p>
            <w:pPr>
              <w:pStyle w:val="89"/>
              <w:spacing w:line="460" w:lineRule="exact"/>
              <w:ind w:firstLine="420"/>
              <w:rPr>
                <w:rFonts w:hint="eastAsia" w:cs="宋体"/>
                <w:sz w:val="21"/>
                <w:szCs w:val="21"/>
                <w:highlight w:val="none"/>
              </w:rPr>
            </w:pPr>
            <w:r>
              <w:rPr>
                <w:rFonts w:hint="eastAsia" w:cs="宋体"/>
                <w:sz w:val="21"/>
                <w:szCs w:val="21"/>
                <w:highlight w:val="none"/>
              </w:rPr>
              <w:t>服务人员级别：初级工程师</w:t>
            </w:r>
            <w:r>
              <w:rPr>
                <w:rFonts w:hint="eastAsia" w:cs="宋体"/>
                <w:sz w:val="21"/>
                <w:szCs w:val="21"/>
                <w:highlight w:val="none"/>
                <w:lang w:eastAsia="zh-CN"/>
              </w:rPr>
              <w:t>（网络安全、渗透安全）以上</w:t>
            </w:r>
            <w:r>
              <w:rPr>
                <w:rFonts w:hint="eastAsia" w:cs="宋体"/>
                <w:sz w:val="21"/>
                <w:szCs w:val="21"/>
                <w:highlight w:val="none"/>
              </w:rPr>
              <w:t>。</w:t>
            </w:r>
          </w:p>
          <w:p>
            <w:pPr>
              <w:spacing w:line="460" w:lineRule="exact"/>
              <w:ind w:firstLine="420" w:firstLineChars="200"/>
              <w:rPr>
                <w:rFonts w:hint="eastAsia" w:cs="宋体"/>
                <w:szCs w:val="21"/>
                <w:highlight w:val="none"/>
              </w:rPr>
            </w:pPr>
            <w:r>
              <w:rPr>
                <w:rFonts w:hint="eastAsia" w:cs="宋体"/>
                <w:szCs w:val="21"/>
                <w:highlight w:val="none"/>
              </w:rPr>
              <w:t>人员要求：提供不少于3名驻场人员。</w:t>
            </w:r>
          </w:p>
          <w:p>
            <w:pPr>
              <w:spacing w:line="460" w:lineRule="exact"/>
              <w:rPr>
                <w:rFonts w:hint="eastAsia" w:cs="宋体"/>
                <w:szCs w:val="21"/>
                <w:highlight w:val="none"/>
              </w:rPr>
            </w:pPr>
            <w:r>
              <w:rPr>
                <w:rFonts w:hint="eastAsia" w:cs="宋体"/>
                <w:szCs w:val="21"/>
                <w:highlight w:val="none"/>
              </w:rPr>
              <w:t xml:space="preserve">    无特殊情况在项目期间不能有超过2人以上的人员变动。如需进行人员变动，提前2个月向采购人提出申请，经同意后方可进行变更。</w:t>
            </w:r>
          </w:p>
          <w:p>
            <w:pPr>
              <w:pStyle w:val="89"/>
              <w:spacing w:line="460" w:lineRule="exact"/>
              <w:ind w:firstLine="420"/>
              <w:rPr>
                <w:rFonts w:hint="eastAsia" w:cs="宋体"/>
                <w:sz w:val="21"/>
                <w:szCs w:val="21"/>
                <w:highlight w:val="none"/>
              </w:rPr>
            </w:pPr>
            <w:r>
              <w:rPr>
                <w:rFonts w:hint="eastAsia" w:cs="宋体"/>
                <w:sz w:val="21"/>
                <w:szCs w:val="21"/>
                <w:highlight w:val="none"/>
              </w:rPr>
              <w:t>服务内容：5×8小时对业务系统运行进行实时值守监控和日常安全服务。及时发现网络安全风险或者网络安全事件，并及时处理；若遇到重大网络安全事件，将要求加派具备重大事件处理能力与经验的专业高级工程师进行现场服务。</w:t>
            </w:r>
          </w:p>
          <w:p>
            <w:pPr>
              <w:pStyle w:val="89"/>
              <w:spacing w:line="460" w:lineRule="exact"/>
              <w:ind w:firstLine="420"/>
              <w:rPr>
                <w:rFonts w:hint="eastAsia" w:cs="宋体"/>
                <w:sz w:val="21"/>
                <w:szCs w:val="21"/>
                <w:highlight w:val="none"/>
              </w:rPr>
            </w:pPr>
            <w:r>
              <w:rPr>
                <w:rFonts w:hint="eastAsia" w:cs="宋体"/>
                <w:sz w:val="21"/>
                <w:szCs w:val="21"/>
                <w:highlight w:val="none"/>
              </w:rPr>
              <w:t>（1）安全监控服务：驻场工程师对业务系统进行5×8小时不间断监控，对值班期间出现的可疑情况和网络攻击行为，将及时报告信息管理中心网络安全组。得到信息管理中心授权后，与信息管理中心相关人员一起进行事件处理。监控实施内容有：</w:t>
            </w:r>
          </w:p>
          <w:p>
            <w:pPr>
              <w:pStyle w:val="89"/>
              <w:spacing w:line="460" w:lineRule="exact"/>
              <w:ind w:firstLine="420"/>
              <w:rPr>
                <w:rFonts w:hint="eastAsia" w:cs="宋体"/>
                <w:sz w:val="21"/>
                <w:szCs w:val="21"/>
                <w:highlight w:val="none"/>
              </w:rPr>
            </w:pPr>
            <w:r>
              <w:rPr>
                <w:rFonts w:hint="eastAsia" w:cs="宋体"/>
                <w:sz w:val="21"/>
                <w:szCs w:val="21"/>
                <w:highlight w:val="none"/>
              </w:rPr>
              <w:t>1）安全监控：防病毒软件、firewall、防病毒网关（含IPS和IDS功能）、安全审计、态势感知平台、终端安全管理系统等安全设备状态监控。</w:t>
            </w:r>
          </w:p>
          <w:p>
            <w:pPr>
              <w:pStyle w:val="89"/>
              <w:spacing w:line="460" w:lineRule="exact"/>
              <w:ind w:firstLine="420"/>
              <w:rPr>
                <w:rFonts w:hint="eastAsia" w:cs="宋体"/>
                <w:sz w:val="21"/>
                <w:szCs w:val="21"/>
                <w:highlight w:val="none"/>
              </w:rPr>
            </w:pPr>
            <w:r>
              <w:rPr>
                <w:rFonts w:hint="eastAsia" w:cs="宋体"/>
                <w:sz w:val="21"/>
                <w:szCs w:val="21"/>
                <w:highlight w:val="none"/>
              </w:rPr>
              <w:t>2）日志分析：关键服务器、防火墙、路由器、交换机、入侵检测等安全设备日志分析。</w:t>
            </w:r>
          </w:p>
          <w:p>
            <w:pPr>
              <w:pStyle w:val="89"/>
              <w:spacing w:line="460" w:lineRule="exact"/>
              <w:ind w:firstLine="420"/>
              <w:rPr>
                <w:rFonts w:hint="eastAsia" w:cs="宋体"/>
                <w:sz w:val="21"/>
                <w:szCs w:val="21"/>
                <w:highlight w:val="none"/>
              </w:rPr>
            </w:pPr>
            <w:r>
              <w:rPr>
                <w:rFonts w:hint="eastAsia" w:cs="宋体"/>
                <w:sz w:val="21"/>
                <w:szCs w:val="21"/>
                <w:highlight w:val="none"/>
              </w:rPr>
              <w:t>3）资源巡检：对信息系统及其服务器、网络和安全设备作巡查，以便及时发现CPU和内存占用率过高、日志满溢、数据库空间不足等问题。</w:t>
            </w:r>
          </w:p>
          <w:p>
            <w:pPr>
              <w:pStyle w:val="89"/>
              <w:spacing w:line="460" w:lineRule="exact"/>
              <w:ind w:firstLine="420"/>
              <w:rPr>
                <w:rFonts w:hint="eastAsia" w:cs="宋体"/>
                <w:sz w:val="21"/>
                <w:szCs w:val="21"/>
                <w:highlight w:val="none"/>
              </w:rPr>
            </w:pPr>
            <w:r>
              <w:rPr>
                <w:rFonts w:hint="eastAsia" w:cs="宋体"/>
                <w:sz w:val="21"/>
                <w:szCs w:val="21"/>
                <w:highlight w:val="none"/>
              </w:rPr>
              <w:t>（2）应急响应服务：驻场安全服务工程师在出现安全应急事件时，提供7×24小时现场技术支持，及时处理、解决安全问题。遇重大安全问题时，加派安全专家做进一步的响应处理和判断。安全事件处理完成之后，提供相应的事后安全分析和可行性安全建议等报告，协助进行事后安全加固。重大安全事件处理包括但不限于以下几种情况：</w:t>
            </w:r>
          </w:p>
          <w:p>
            <w:pPr>
              <w:pStyle w:val="89"/>
              <w:spacing w:line="460" w:lineRule="exact"/>
              <w:ind w:firstLine="420"/>
              <w:rPr>
                <w:rFonts w:hint="eastAsia" w:cs="宋体"/>
                <w:sz w:val="21"/>
                <w:szCs w:val="21"/>
                <w:highlight w:val="none"/>
              </w:rPr>
            </w:pPr>
            <w:r>
              <w:rPr>
                <w:rFonts w:hint="eastAsia" w:cs="宋体"/>
                <w:sz w:val="21"/>
                <w:szCs w:val="21"/>
                <w:highlight w:val="none"/>
              </w:rPr>
              <w:t>1）处理网站系统出现的非法信息：发现网上出现非法信息时，驻场安全服务工程师立即报告情况，采取处理措施，做好必要的记录，协助清理非法信息，强化安全防范措施，恢复网站系统网页。</w:t>
            </w:r>
          </w:p>
          <w:p>
            <w:pPr>
              <w:pStyle w:val="89"/>
              <w:spacing w:line="460" w:lineRule="exact"/>
              <w:ind w:firstLine="420"/>
              <w:rPr>
                <w:rFonts w:hint="eastAsia" w:cs="宋体"/>
                <w:sz w:val="21"/>
                <w:szCs w:val="21"/>
                <w:highlight w:val="none"/>
              </w:rPr>
            </w:pPr>
            <w:r>
              <w:rPr>
                <w:rFonts w:hint="eastAsia" w:cs="宋体"/>
                <w:sz w:val="21"/>
                <w:szCs w:val="21"/>
                <w:highlight w:val="none"/>
              </w:rPr>
              <w:t>2）处理黑客攻击事件：当发现有黑客正在进行攻击时，驻场安全服务工程师采取措施遏制或阻断攻击，防止攻击影响扩大，并保护现场，同时报告情况；协助追查攻击源、提取入侵证据；协助恢复被破坏系统。</w:t>
            </w:r>
          </w:p>
          <w:p>
            <w:pPr>
              <w:pStyle w:val="89"/>
              <w:spacing w:line="460" w:lineRule="exact"/>
              <w:ind w:firstLine="420"/>
              <w:rPr>
                <w:rFonts w:hint="eastAsia" w:cs="宋体"/>
                <w:sz w:val="21"/>
                <w:szCs w:val="21"/>
                <w:highlight w:val="none"/>
              </w:rPr>
            </w:pPr>
            <w:r>
              <w:rPr>
                <w:rFonts w:hint="eastAsia" w:cs="宋体"/>
                <w:sz w:val="21"/>
                <w:szCs w:val="21"/>
                <w:highlight w:val="none"/>
              </w:rPr>
              <w:t xml:space="preserve">3）软件系统遭受破坏性攻击时进行紧急处置：一旦发现重要的软件系统数据软件遭到破坏性攻击，立即报告，采取措施遏制或阻断攻击，保护数据不受破坏；保护现场并协助追查攻击源，恢复被破坏数据。 </w:t>
            </w:r>
          </w:p>
          <w:p>
            <w:pPr>
              <w:pStyle w:val="89"/>
              <w:spacing w:line="460" w:lineRule="exact"/>
              <w:ind w:firstLine="420"/>
              <w:rPr>
                <w:rFonts w:hint="eastAsia" w:cs="宋体"/>
                <w:sz w:val="21"/>
                <w:szCs w:val="21"/>
                <w:highlight w:val="none"/>
              </w:rPr>
            </w:pPr>
            <w:r>
              <w:rPr>
                <w:rFonts w:hint="eastAsia" w:cs="宋体"/>
                <w:sz w:val="21"/>
                <w:szCs w:val="21"/>
                <w:highlight w:val="none"/>
              </w:rPr>
              <w:t>（3）日常安全服务：</w:t>
            </w:r>
          </w:p>
          <w:p>
            <w:pPr>
              <w:pStyle w:val="89"/>
              <w:spacing w:line="460" w:lineRule="exact"/>
              <w:ind w:firstLine="420"/>
              <w:rPr>
                <w:rFonts w:hint="eastAsia" w:cs="宋体"/>
                <w:sz w:val="21"/>
                <w:szCs w:val="21"/>
                <w:highlight w:val="none"/>
              </w:rPr>
            </w:pPr>
            <w:r>
              <w:rPr>
                <w:rFonts w:hint="eastAsia" w:cs="宋体"/>
                <w:sz w:val="21"/>
                <w:szCs w:val="21"/>
                <w:highlight w:val="none"/>
              </w:rPr>
              <w:t>1）至少每半个月或者按照设备厂家升级频率对部署在内、外网的杀毒软件升级特征库。</w:t>
            </w:r>
          </w:p>
          <w:p>
            <w:pPr>
              <w:pStyle w:val="89"/>
              <w:spacing w:line="460" w:lineRule="exact"/>
              <w:ind w:firstLine="420"/>
              <w:rPr>
                <w:rFonts w:hint="eastAsia" w:cs="宋体"/>
                <w:sz w:val="21"/>
                <w:szCs w:val="21"/>
                <w:highlight w:val="none"/>
              </w:rPr>
            </w:pPr>
            <w:r>
              <w:rPr>
                <w:rFonts w:hint="eastAsia" w:cs="宋体"/>
                <w:sz w:val="21"/>
                <w:szCs w:val="21"/>
                <w:highlight w:val="none"/>
              </w:rPr>
              <w:t>2）临时性对系统、服务器、网络设备和安全设备等进行安全检测，并对加固修复后的效果进行验证。</w:t>
            </w:r>
          </w:p>
          <w:p>
            <w:pPr>
              <w:pStyle w:val="89"/>
              <w:spacing w:line="460" w:lineRule="exact"/>
              <w:ind w:firstLine="420"/>
              <w:rPr>
                <w:rFonts w:hint="eastAsia" w:cs="宋体"/>
                <w:sz w:val="21"/>
                <w:szCs w:val="21"/>
                <w:highlight w:val="none"/>
              </w:rPr>
            </w:pPr>
            <w:r>
              <w:rPr>
                <w:rFonts w:hint="eastAsia" w:cs="宋体"/>
                <w:sz w:val="21"/>
                <w:szCs w:val="21"/>
                <w:highlight w:val="none"/>
              </w:rPr>
              <w:t>3）其他临时性网络安全相关工作和交办的其他工作。</w:t>
            </w:r>
          </w:p>
          <w:p>
            <w:pPr>
              <w:pStyle w:val="89"/>
              <w:spacing w:line="460" w:lineRule="exact"/>
              <w:ind w:firstLine="420"/>
              <w:rPr>
                <w:rFonts w:hint="eastAsia" w:cs="宋体"/>
                <w:sz w:val="21"/>
                <w:szCs w:val="21"/>
                <w:highlight w:val="none"/>
              </w:rPr>
            </w:pPr>
            <w:r>
              <w:rPr>
                <w:rFonts w:hint="eastAsia" w:cs="宋体"/>
                <w:sz w:val="21"/>
                <w:szCs w:val="21"/>
                <w:highlight w:val="none"/>
              </w:rPr>
              <w:t>4）对网信、公安等网络监管部门通报的问题隐患进行加固整改，并做好结果记录。</w:t>
            </w:r>
          </w:p>
          <w:p>
            <w:pPr>
              <w:pStyle w:val="89"/>
              <w:spacing w:line="460" w:lineRule="exact"/>
              <w:ind w:firstLine="420"/>
              <w:rPr>
                <w:rFonts w:hint="eastAsia" w:cs="宋体"/>
                <w:sz w:val="21"/>
                <w:szCs w:val="21"/>
                <w:highlight w:val="none"/>
              </w:rPr>
            </w:pPr>
            <w:r>
              <w:rPr>
                <w:rFonts w:hint="eastAsia" w:cs="宋体"/>
                <w:sz w:val="21"/>
                <w:szCs w:val="21"/>
                <w:highlight w:val="none"/>
              </w:rPr>
              <w:t>（4）分析网络安全态势：驻场人员每月根据自治区财政厅网络安全态势情况，全盘分析，并每月出具一次分析报告。</w:t>
            </w:r>
          </w:p>
          <w:p>
            <w:pPr>
              <w:pStyle w:val="89"/>
              <w:spacing w:line="460" w:lineRule="exact"/>
              <w:ind w:firstLine="420"/>
              <w:rPr>
                <w:rFonts w:hint="eastAsia" w:eastAsia="宋体" w:cs="宋体"/>
                <w:sz w:val="21"/>
                <w:szCs w:val="21"/>
                <w:highlight w:val="none"/>
                <w:lang w:eastAsia="zh-CN"/>
              </w:rPr>
            </w:pPr>
            <w:r>
              <w:rPr>
                <w:rFonts w:hint="eastAsia" w:cs="宋体"/>
                <w:sz w:val="21"/>
                <w:szCs w:val="21"/>
                <w:highlight w:val="none"/>
                <w:lang w:eastAsia="zh-CN"/>
              </w:rPr>
              <w:t>（</w:t>
            </w:r>
            <w:r>
              <w:rPr>
                <w:rFonts w:hint="eastAsia" w:cs="宋体"/>
                <w:sz w:val="21"/>
                <w:szCs w:val="21"/>
                <w:highlight w:val="none"/>
                <w:lang w:val="en-US" w:eastAsia="zh-CN"/>
              </w:rPr>
              <w:t>5</w:t>
            </w:r>
            <w:r>
              <w:rPr>
                <w:rFonts w:hint="eastAsia" w:cs="宋体"/>
                <w:sz w:val="21"/>
                <w:szCs w:val="21"/>
                <w:highlight w:val="none"/>
                <w:lang w:eastAsia="zh-CN"/>
              </w:rPr>
              <w:t>）</w:t>
            </w:r>
            <w:r>
              <w:rPr>
                <w:rFonts w:hint="eastAsia" w:cs="宋体"/>
                <w:sz w:val="21"/>
                <w:szCs w:val="21"/>
                <w:highlight w:val="none"/>
              </w:rPr>
              <w:t>提供7×24小时的响应服务和技术咨询</w:t>
            </w:r>
            <w:r>
              <w:rPr>
                <w:rFonts w:hint="eastAsia" w:cs="宋体"/>
                <w:sz w:val="21"/>
                <w:szCs w:val="21"/>
                <w:highlight w:val="none"/>
                <w:lang w:eastAsia="zh-CN"/>
              </w:rPr>
              <w:t>：</w:t>
            </w:r>
            <w:r>
              <w:rPr>
                <w:rFonts w:hint="eastAsia" w:cs="宋体"/>
                <w:sz w:val="21"/>
                <w:szCs w:val="21"/>
                <w:highlight w:val="none"/>
              </w:rPr>
              <w:t>积极响应自治区财政厅系统设备故障或安全事件处理请求。接到自治区财政厅需求通知后，行政班上班时间内（8：00-18：00）须在5分钟内到达现场，其余时间须在30分钟内到达现场处理；一般事故应在4小时内解决，较大事故应在8小时内解决，重大事故应在16小时内解决，确保网络和系统正常运行。</w:t>
            </w:r>
          </w:p>
          <w:p>
            <w:pPr>
              <w:pStyle w:val="89"/>
              <w:spacing w:line="460" w:lineRule="exact"/>
              <w:ind w:firstLine="420"/>
              <w:rPr>
                <w:rFonts w:hint="eastAsia" w:cs="宋体"/>
                <w:sz w:val="21"/>
                <w:szCs w:val="21"/>
                <w:highlight w:val="none"/>
              </w:rPr>
            </w:pPr>
            <w:r>
              <w:rPr>
                <w:rFonts w:hint="eastAsia" w:cs="宋体"/>
                <w:sz w:val="21"/>
                <w:szCs w:val="21"/>
                <w:highlight w:val="none"/>
                <w:lang w:eastAsia="zh-CN"/>
              </w:rPr>
              <w:t>（</w:t>
            </w:r>
            <w:r>
              <w:rPr>
                <w:rFonts w:hint="eastAsia" w:cs="宋体"/>
                <w:sz w:val="21"/>
                <w:szCs w:val="21"/>
                <w:highlight w:val="none"/>
              </w:rPr>
              <w:t>6</w:t>
            </w:r>
            <w:r>
              <w:rPr>
                <w:rFonts w:hint="eastAsia" w:cs="宋体"/>
                <w:sz w:val="21"/>
                <w:szCs w:val="21"/>
                <w:highlight w:val="none"/>
                <w:lang w:eastAsia="zh-CN"/>
              </w:rPr>
              <w:t>）</w:t>
            </w:r>
            <w:r>
              <w:rPr>
                <w:rFonts w:hint="eastAsia" w:cs="宋体"/>
                <w:sz w:val="21"/>
                <w:szCs w:val="21"/>
                <w:highlight w:val="none"/>
              </w:rPr>
              <w:t>财政身份认证与授权管理运维服务</w:t>
            </w:r>
          </w:p>
          <w:p>
            <w:pPr>
              <w:pStyle w:val="89"/>
              <w:spacing w:line="460" w:lineRule="exact"/>
              <w:ind w:firstLine="420"/>
              <w:rPr>
                <w:rFonts w:hint="eastAsia" w:cs="宋体"/>
                <w:sz w:val="21"/>
                <w:szCs w:val="21"/>
                <w:highlight w:val="none"/>
              </w:rPr>
            </w:pPr>
            <w:r>
              <w:rPr>
                <w:rFonts w:hint="eastAsia" w:cs="宋体"/>
                <w:sz w:val="21"/>
                <w:szCs w:val="21"/>
                <w:highlight w:val="none"/>
              </w:rPr>
              <w:t>接听自治区财政厅5330009和5331982运维电话，协助做好全区广西财政身份认证与授权管理系统运维工作。</w:t>
            </w:r>
          </w:p>
          <w:p>
            <w:pPr>
              <w:pStyle w:val="89"/>
              <w:spacing w:line="460" w:lineRule="exact"/>
              <w:ind w:firstLine="420"/>
              <w:outlineLvl w:val="2"/>
              <w:rPr>
                <w:rFonts w:hint="eastAsia" w:cs="宋体"/>
                <w:sz w:val="21"/>
                <w:szCs w:val="21"/>
                <w:highlight w:val="none"/>
              </w:rPr>
            </w:pPr>
            <w:r>
              <w:rPr>
                <w:rFonts w:hint="eastAsia" w:cs="宋体"/>
                <w:sz w:val="21"/>
                <w:szCs w:val="21"/>
                <w:highlight w:val="none"/>
                <w:lang w:eastAsia="zh-CN"/>
              </w:rPr>
              <w:t>（</w:t>
            </w:r>
            <w:r>
              <w:rPr>
                <w:rFonts w:hint="eastAsia" w:cs="宋体"/>
                <w:sz w:val="21"/>
                <w:szCs w:val="21"/>
                <w:highlight w:val="none"/>
                <w:lang w:val="en-US" w:eastAsia="zh-CN"/>
              </w:rPr>
              <w:t>7</w:t>
            </w:r>
            <w:r>
              <w:rPr>
                <w:rFonts w:hint="eastAsia" w:cs="宋体"/>
                <w:sz w:val="21"/>
                <w:szCs w:val="21"/>
                <w:highlight w:val="none"/>
                <w:lang w:eastAsia="zh-CN"/>
              </w:rPr>
              <w:t>）</w:t>
            </w:r>
            <w:r>
              <w:rPr>
                <w:rFonts w:hint="eastAsia" w:cs="宋体"/>
                <w:sz w:val="21"/>
                <w:szCs w:val="21"/>
                <w:highlight w:val="none"/>
              </w:rPr>
              <w:t>安全</w:t>
            </w:r>
            <w:r>
              <w:rPr>
                <w:rFonts w:hint="eastAsia" w:cs="宋体"/>
                <w:sz w:val="21"/>
                <w:szCs w:val="21"/>
                <w:highlight w:val="none"/>
                <w:lang w:eastAsia="zh-CN"/>
              </w:rPr>
              <w:t>检查</w:t>
            </w:r>
            <w:r>
              <w:rPr>
                <w:rFonts w:hint="eastAsia" w:cs="宋体"/>
                <w:sz w:val="21"/>
                <w:szCs w:val="21"/>
                <w:highlight w:val="none"/>
              </w:rPr>
              <w:t>服务。</w:t>
            </w:r>
          </w:p>
          <w:p>
            <w:pPr>
              <w:pStyle w:val="89"/>
              <w:spacing w:line="460" w:lineRule="exact"/>
              <w:ind w:firstLine="420"/>
              <w:rPr>
                <w:rFonts w:hint="eastAsia" w:cs="宋体"/>
                <w:sz w:val="21"/>
                <w:szCs w:val="21"/>
                <w:highlight w:val="none"/>
              </w:rPr>
            </w:pPr>
            <w:r>
              <w:rPr>
                <w:rFonts w:hint="eastAsia" w:cs="宋体"/>
                <w:sz w:val="21"/>
                <w:szCs w:val="21"/>
                <w:highlight w:val="none"/>
              </w:rPr>
              <w:t>根据财政部、自治区网信办、公安厅、数据局等部门检查要求，协助自治区财政厅完成网络安全、数据安全、风险预警等检查和整改工作，对检查结果进行修复加固或提供整改方案，记录和跟踪修复情况，进行复查验证，确保加固措施有效。</w:t>
            </w:r>
          </w:p>
          <w:p>
            <w:pPr>
              <w:pStyle w:val="89"/>
              <w:spacing w:line="460" w:lineRule="exact"/>
              <w:ind w:firstLine="420"/>
              <w:outlineLvl w:val="2"/>
              <w:rPr>
                <w:rFonts w:hint="eastAsia" w:cs="宋体"/>
                <w:sz w:val="21"/>
                <w:szCs w:val="21"/>
                <w:highlight w:val="none"/>
                <w:lang w:val="en-US" w:eastAsia="zh-CN"/>
              </w:rPr>
            </w:pPr>
            <w:r>
              <w:rPr>
                <w:rFonts w:hint="eastAsia" w:cs="宋体"/>
                <w:sz w:val="21"/>
                <w:szCs w:val="21"/>
                <w:highlight w:val="none"/>
                <w:lang w:val="en-US" w:eastAsia="zh-CN"/>
              </w:rPr>
              <w:t>6.应急演练服务</w:t>
            </w:r>
          </w:p>
          <w:p>
            <w:pPr>
              <w:pStyle w:val="89"/>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outlineLvl w:val="2"/>
              <w:rPr>
                <w:rFonts w:hint="eastAsia" w:cs="宋体"/>
                <w:sz w:val="21"/>
                <w:szCs w:val="21"/>
                <w:highlight w:val="none"/>
                <w:lang w:val="en-US" w:eastAsia="zh-CN"/>
              </w:rPr>
            </w:pPr>
            <w:r>
              <w:rPr>
                <w:rFonts w:hint="eastAsia" w:cs="宋体"/>
                <w:sz w:val="21"/>
                <w:szCs w:val="21"/>
                <w:highlight w:val="none"/>
                <w:lang w:val="en-US" w:eastAsia="zh-CN"/>
              </w:rPr>
              <w:t>服务方式：</w:t>
            </w:r>
            <w:r>
              <w:rPr>
                <w:rFonts w:hint="eastAsia" w:cs="宋体"/>
                <w:sz w:val="21"/>
                <w:szCs w:val="21"/>
                <w:highlight w:val="none"/>
              </w:rPr>
              <w:t>现场服务</w:t>
            </w:r>
            <w:r>
              <w:rPr>
                <w:rFonts w:hint="eastAsia" w:cs="宋体"/>
                <w:sz w:val="21"/>
                <w:szCs w:val="21"/>
                <w:highlight w:val="none"/>
                <w:lang w:eastAsia="zh-CN"/>
              </w:rPr>
              <w:t>。</w:t>
            </w:r>
          </w:p>
          <w:p>
            <w:pPr>
              <w:pStyle w:val="89"/>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outlineLvl w:val="2"/>
              <w:rPr>
                <w:rFonts w:hint="eastAsia" w:cs="宋体"/>
                <w:sz w:val="21"/>
                <w:szCs w:val="21"/>
                <w:highlight w:val="none"/>
                <w:lang w:val="en-US" w:eastAsia="zh-CN"/>
              </w:rPr>
            </w:pPr>
            <w:r>
              <w:rPr>
                <w:rFonts w:hint="eastAsia" w:cs="宋体"/>
                <w:sz w:val="21"/>
                <w:szCs w:val="21"/>
                <w:highlight w:val="none"/>
                <w:lang w:val="en-US" w:eastAsia="zh-CN"/>
              </w:rPr>
              <w:t>服务人员级别：高级工程师（网络安全、渗透安全）。</w:t>
            </w:r>
          </w:p>
          <w:p>
            <w:pPr>
              <w:pStyle w:val="89"/>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outlineLvl w:val="2"/>
              <w:rPr>
                <w:rFonts w:hint="eastAsia" w:cs="宋体"/>
                <w:sz w:val="21"/>
                <w:szCs w:val="21"/>
                <w:highlight w:val="none"/>
                <w:lang w:val="en-US" w:eastAsia="zh-CN"/>
              </w:rPr>
            </w:pPr>
            <w:r>
              <w:rPr>
                <w:rFonts w:hint="eastAsia" w:cs="宋体"/>
                <w:sz w:val="21"/>
                <w:szCs w:val="21"/>
                <w:highlight w:val="none"/>
                <w:lang w:val="en-US" w:eastAsia="zh-CN"/>
              </w:rPr>
              <w:t>服务内容：每年1次，每次5天，每次安排2人。组织安全技术人员、信息安全专家、顾问进行信息安全事件演练设计。并规划演练脚本，同时组织实施演练，对最新的安全事件进行预防演练，优化财政厅处置安全事件流程，提高应对安全事件能力。</w:t>
            </w:r>
          </w:p>
          <w:p>
            <w:pPr>
              <w:pStyle w:val="89"/>
              <w:numPr>
                <w:ilvl w:val="0"/>
                <w:numId w:val="0"/>
              </w:numPr>
              <w:spacing w:line="460" w:lineRule="exact"/>
              <w:ind w:leftChars="200"/>
              <w:outlineLvl w:val="2"/>
              <w:rPr>
                <w:rFonts w:hint="eastAsia" w:cs="宋体"/>
                <w:sz w:val="21"/>
                <w:szCs w:val="21"/>
                <w:highlight w:val="none"/>
                <w:lang w:val="en-US" w:eastAsia="zh-CN"/>
              </w:rPr>
            </w:pPr>
            <w:r>
              <w:rPr>
                <w:rFonts w:hint="eastAsia" w:cs="宋体"/>
                <w:sz w:val="21"/>
                <w:szCs w:val="21"/>
                <w:highlight w:val="none"/>
                <w:lang w:val="en-US" w:eastAsia="zh-CN"/>
              </w:rPr>
              <w:t>7.安全培训服务</w:t>
            </w:r>
          </w:p>
          <w:p>
            <w:pPr>
              <w:pStyle w:val="89"/>
              <w:adjustRightInd w:val="0"/>
              <w:spacing w:line="460" w:lineRule="exact"/>
              <w:ind w:firstLine="420" w:firstLineChars="200"/>
              <w:rPr>
                <w:rFonts w:hint="eastAsia" w:cs="宋体"/>
                <w:sz w:val="21"/>
                <w:szCs w:val="21"/>
                <w:highlight w:val="none"/>
                <w:lang w:eastAsia="zh-CN"/>
              </w:rPr>
            </w:pPr>
            <w:r>
              <w:rPr>
                <w:rFonts w:hint="eastAsia" w:cs="宋体"/>
                <w:sz w:val="21"/>
                <w:szCs w:val="21"/>
                <w:highlight w:val="none"/>
              </w:rPr>
              <w:t>服务方式：</w:t>
            </w:r>
            <w:r>
              <w:rPr>
                <w:rFonts w:hint="eastAsia" w:cs="宋体"/>
                <w:sz w:val="21"/>
                <w:szCs w:val="21"/>
                <w:highlight w:val="none"/>
                <w:lang w:eastAsia="zh-CN"/>
              </w:rPr>
              <w:t>指导</w:t>
            </w:r>
            <w:r>
              <w:rPr>
                <w:rFonts w:hint="eastAsia" w:cs="宋体"/>
                <w:sz w:val="21"/>
                <w:szCs w:val="21"/>
                <w:highlight w:val="none"/>
              </w:rPr>
              <w:t>服务</w:t>
            </w:r>
            <w:r>
              <w:rPr>
                <w:rFonts w:hint="eastAsia" w:cs="宋体"/>
                <w:sz w:val="21"/>
                <w:szCs w:val="21"/>
                <w:highlight w:val="none"/>
                <w:lang w:eastAsia="zh-CN"/>
              </w:rPr>
              <w:t>。</w:t>
            </w:r>
          </w:p>
          <w:p>
            <w:pPr>
              <w:pStyle w:val="89"/>
              <w:adjustRightInd w:val="0"/>
              <w:spacing w:line="460" w:lineRule="exact"/>
              <w:ind w:firstLine="420" w:firstLineChars="200"/>
              <w:rPr>
                <w:rFonts w:hint="eastAsia" w:cs="宋体"/>
                <w:sz w:val="21"/>
                <w:szCs w:val="21"/>
                <w:highlight w:val="none"/>
                <w:lang w:eastAsia="zh-CN"/>
              </w:rPr>
            </w:pPr>
            <w:r>
              <w:rPr>
                <w:rFonts w:hint="eastAsia" w:cs="宋体"/>
                <w:sz w:val="21"/>
                <w:szCs w:val="21"/>
                <w:highlight w:val="none"/>
              </w:rPr>
              <w:t>服务人员级别：</w:t>
            </w:r>
            <w:r>
              <w:rPr>
                <w:rFonts w:hint="eastAsia" w:cs="宋体"/>
                <w:sz w:val="21"/>
                <w:szCs w:val="21"/>
                <w:highlight w:val="none"/>
                <w:lang w:eastAsia="zh-CN"/>
              </w:rPr>
              <w:t>高级工程师（网络安全、渗透安全）。</w:t>
            </w:r>
          </w:p>
          <w:p>
            <w:pPr>
              <w:pStyle w:val="89"/>
              <w:numPr>
                <w:ilvl w:val="0"/>
                <w:numId w:val="0"/>
              </w:numPr>
              <w:adjustRightInd w:val="0"/>
              <w:spacing w:line="460" w:lineRule="exact"/>
              <w:ind w:leftChars="0" w:firstLine="420" w:firstLineChars="200"/>
              <w:outlineLvl w:val="2"/>
              <w:rPr>
                <w:rFonts w:hint="eastAsia" w:eastAsia="宋体" w:cs="宋体"/>
                <w:sz w:val="21"/>
                <w:szCs w:val="21"/>
                <w:highlight w:val="none"/>
                <w:lang w:val="en-US" w:eastAsia="zh-CN"/>
              </w:rPr>
            </w:pPr>
            <w:r>
              <w:rPr>
                <w:rFonts w:hint="eastAsia" w:cs="宋体"/>
                <w:sz w:val="21"/>
                <w:szCs w:val="21"/>
                <w:highlight w:val="none"/>
              </w:rPr>
              <w:t>服务内容：每年4次，每次培训2天，每次安排1人，不限人次，每天5个学时。从加强网络安全能力角度和原则出发，对安全技术人员进行针对性的资质、技术、意识专题培训，通过实际案例演示，视频、电子文档、书籍等学习提高安全技术人员实战经验和能力。视频、电子文档、书籍等学习资料采用共享方式分发至各学习人员，人数不限，在项目服务期内，定期开展4期8天网络安全培训及不定期安排安全专家辅助指导学习人员，培训必须提供培训教材，教材应为电子版并允许拷贝。在合同签订之日起3个月内提交全年的培训计划和内容</w:t>
            </w:r>
            <w:r>
              <w:rPr>
                <w:rFonts w:hint="eastAsia" w:cs="宋体"/>
                <w:sz w:val="21"/>
                <w:szCs w:val="21"/>
                <w:highlight w:val="none"/>
                <w:lang w:eastAsia="zh-CN"/>
              </w:rPr>
              <w:t>。</w:t>
            </w:r>
          </w:p>
          <w:p>
            <w:pPr>
              <w:pStyle w:val="89"/>
              <w:spacing w:line="460" w:lineRule="exact"/>
              <w:ind w:firstLine="420"/>
              <w:outlineLvl w:val="2"/>
              <w:rPr>
                <w:rFonts w:hint="eastAsia" w:cs="宋体"/>
                <w:sz w:val="21"/>
                <w:szCs w:val="21"/>
                <w:highlight w:val="none"/>
              </w:rPr>
            </w:pPr>
            <w:r>
              <w:rPr>
                <w:rFonts w:hint="eastAsia" w:cs="宋体"/>
                <w:sz w:val="21"/>
                <w:szCs w:val="21"/>
                <w:highlight w:val="none"/>
                <w:lang w:val="en-US" w:eastAsia="zh-CN"/>
              </w:rPr>
              <w:t>8.</w:t>
            </w:r>
            <w:r>
              <w:rPr>
                <w:rFonts w:hint="eastAsia" w:cs="宋体"/>
                <w:sz w:val="21"/>
                <w:szCs w:val="21"/>
                <w:highlight w:val="none"/>
              </w:rPr>
              <w:t>新系统或重大调整系统上线前安全评估和加固服务。</w:t>
            </w:r>
          </w:p>
          <w:p>
            <w:pPr>
              <w:pStyle w:val="89"/>
              <w:spacing w:line="460" w:lineRule="exact"/>
              <w:ind w:firstLine="420" w:firstLineChars="200"/>
              <w:rPr>
                <w:rFonts w:hint="eastAsia" w:cs="宋体"/>
                <w:sz w:val="21"/>
                <w:szCs w:val="21"/>
                <w:highlight w:val="none"/>
                <w:lang w:eastAsia="zh-CN"/>
              </w:rPr>
            </w:pPr>
            <w:r>
              <w:rPr>
                <w:rFonts w:hint="eastAsia" w:cs="宋体"/>
                <w:sz w:val="21"/>
                <w:szCs w:val="21"/>
                <w:highlight w:val="none"/>
              </w:rPr>
              <w:t>服务方式：现场、远程服务</w:t>
            </w:r>
            <w:r>
              <w:rPr>
                <w:rFonts w:hint="eastAsia" w:cs="宋体"/>
                <w:sz w:val="21"/>
                <w:szCs w:val="21"/>
                <w:highlight w:val="none"/>
                <w:lang w:eastAsia="zh-CN"/>
              </w:rPr>
              <w:t>。</w:t>
            </w:r>
          </w:p>
          <w:p>
            <w:pPr>
              <w:pStyle w:val="89"/>
              <w:spacing w:line="460" w:lineRule="exact"/>
              <w:ind w:firstLine="420" w:firstLineChars="200"/>
              <w:rPr>
                <w:rFonts w:hint="eastAsia" w:cs="宋体"/>
                <w:sz w:val="21"/>
                <w:szCs w:val="21"/>
                <w:highlight w:val="none"/>
                <w:lang w:eastAsia="zh-CN"/>
              </w:rPr>
            </w:pPr>
            <w:r>
              <w:rPr>
                <w:rFonts w:hint="eastAsia" w:cs="宋体"/>
                <w:sz w:val="21"/>
                <w:szCs w:val="21"/>
                <w:highlight w:val="none"/>
              </w:rPr>
              <w:t>服务人员级别：</w:t>
            </w:r>
            <w:r>
              <w:rPr>
                <w:rFonts w:hint="eastAsia" w:cs="宋体"/>
                <w:sz w:val="21"/>
                <w:szCs w:val="21"/>
                <w:highlight w:val="none"/>
                <w:lang w:eastAsia="zh-CN"/>
              </w:rPr>
              <w:t>初</w:t>
            </w:r>
            <w:r>
              <w:rPr>
                <w:rFonts w:hint="eastAsia" w:cs="宋体"/>
                <w:sz w:val="21"/>
                <w:szCs w:val="21"/>
                <w:highlight w:val="none"/>
              </w:rPr>
              <w:t>级工程师</w:t>
            </w:r>
            <w:r>
              <w:rPr>
                <w:rFonts w:hint="eastAsia" w:cs="宋体"/>
                <w:sz w:val="21"/>
                <w:szCs w:val="21"/>
                <w:highlight w:val="none"/>
                <w:lang w:eastAsia="zh-CN"/>
              </w:rPr>
              <w:t>（网络安全、渗透安全）以上。</w:t>
            </w:r>
          </w:p>
          <w:p>
            <w:pPr>
              <w:pStyle w:val="89"/>
              <w:spacing w:line="460" w:lineRule="exact"/>
              <w:ind w:firstLine="420" w:firstLineChars="200"/>
              <w:rPr>
                <w:rFonts w:hint="eastAsia" w:cs="宋体"/>
                <w:sz w:val="21"/>
                <w:szCs w:val="21"/>
                <w:highlight w:val="none"/>
              </w:rPr>
            </w:pPr>
            <w:r>
              <w:rPr>
                <w:rFonts w:hint="eastAsia" w:cs="宋体"/>
                <w:sz w:val="21"/>
                <w:szCs w:val="21"/>
                <w:highlight w:val="none"/>
              </w:rPr>
              <w:t>服务内容：对新业务系统和有重大结构调整的业务系统在上线前进行安全评估，包括物理环境、网络设备、操作系统、中间件、数据库等安全漏洞检查和安全配置合规性检查等。根据检查的结果，协助进行合理的安全加固，同时按等级保护要求完善相关的管理。对修复加固结果进行复查验证，确保加固措施有效。记录和跟踪修复情况。具体包括：</w:t>
            </w:r>
          </w:p>
          <w:p>
            <w:pPr>
              <w:pStyle w:val="89"/>
              <w:spacing w:line="460" w:lineRule="exact"/>
              <w:ind w:firstLine="420"/>
              <w:rPr>
                <w:rFonts w:hint="eastAsia" w:cs="宋体"/>
                <w:sz w:val="21"/>
                <w:szCs w:val="21"/>
                <w:highlight w:val="none"/>
              </w:rPr>
            </w:pPr>
            <w:r>
              <w:rPr>
                <w:rFonts w:hint="eastAsia" w:cs="宋体"/>
                <w:sz w:val="21"/>
                <w:szCs w:val="21"/>
                <w:highlight w:val="none"/>
              </w:rPr>
              <w:t>（1）安全漏洞检查：使用专业的漏洞扫描系统对应用系统集成环境安全状况进行评估，提供加固建议。</w:t>
            </w:r>
          </w:p>
          <w:p>
            <w:pPr>
              <w:pStyle w:val="89"/>
              <w:spacing w:line="460" w:lineRule="exact"/>
              <w:ind w:firstLine="420"/>
              <w:rPr>
                <w:rFonts w:hint="eastAsia" w:cs="宋体"/>
                <w:sz w:val="21"/>
                <w:szCs w:val="21"/>
                <w:highlight w:val="none"/>
              </w:rPr>
            </w:pPr>
            <w:r>
              <w:rPr>
                <w:rFonts w:hint="eastAsia" w:cs="宋体"/>
                <w:sz w:val="21"/>
                <w:szCs w:val="21"/>
                <w:highlight w:val="none"/>
              </w:rPr>
              <w:t>（2）安全配置合规检查：使用专业的配置核查系统和手工安全检查规范对应用系统的安全策略、服务配置等情况进行检查，并提供相关系统的针对性加固规范书。</w:t>
            </w:r>
          </w:p>
          <w:p>
            <w:pPr>
              <w:pStyle w:val="89"/>
              <w:spacing w:line="460" w:lineRule="exact"/>
              <w:ind w:firstLine="420"/>
              <w:rPr>
                <w:rFonts w:hint="eastAsia" w:cs="宋体"/>
                <w:sz w:val="21"/>
                <w:szCs w:val="21"/>
                <w:highlight w:val="none"/>
              </w:rPr>
            </w:pPr>
            <w:r>
              <w:rPr>
                <w:rFonts w:hint="eastAsia" w:cs="宋体"/>
                <w:sz w:val="21"/>
                <w:szCs w:val="21"/>
                <w:highlight w:val="none"/>
              </w:rPr>
              <w:t>（3）如新系统提供互联网服务，须在互联网侧进行渗透测试，以黑客的视角对应用系统的安全状况进行黑盒测试，使用黑客攻击的工具和手段对应用系统进行模拟攻击测试，挖掘可能存在的安全漏洞。</w:t>
            </w:r>
          </w:p>
          <w:p>
            <w:pPr>
              <w:pStyle w:val="89"/>
              <w:spacing w:line="460" w:lineRule="exact"/>
              <w:ind w:firstLine="420"/>
              <w:rPr>
                <w:rFonts w:hint="eastAsia" w:cs="宋体"/>
                <w:sz w:val="21"/>
                <w:szCs w:val="21"/>
                <w:highlight w:val="none"/>
              </w:rPr>
            </w:pPr>
            <w:r>
              <w:rPr>
                <w:rFonts w:hint="eastAsia" w:cs="宋体"/>
                <w:sz w:val="21"/>
                <w:szCs w:val="21"/>
                <w:highlight w:val="none"/>
              </w:rPr>
              <w:t>（4）如有web网站，对网站系统程序全面检查，提供代码修改建议。</w:t>
            </w:r>
          </w:p>
          <w:p>
            <w:pPr>
              <w:pStyle w:val="89"/>
              <w:spacing w:line="460" w:lineRule="exact"/>
              <w:ind w:firstLine="420"/>
              <w:rPr>
                <w:rFonts w:hint="eastAsia" w:cs="宋体"/>
                <w:sz w:val="21"/>
                <w:szCs w:val="21"/>
                <w:highlight w:val="none"/>
              </w:rPr>
            </w:pPr>
            <w:r>
              <w:rPr>
                <w:rFonts w:hint="eastAsia" w:cs="宋体"/>
                <w:sz w:val="21"/>
                <w:szCs w:val="21"/>
                <w:highlight w:val="none"/>
              </w:rPr>
              <w:t>（5）提供针对业务系统的安全域规划和边界访问控制策略的规划和建议。</w:t>
            </w:r>
          </w:p>
          <w:p>
            <w:pPr>
              <w:pStyle w:val="89"/>
              <w:spacing w:line="460" w:lineRule="exact"/>
              <w:ind w:firstLine="420"/>
              <w:rPr>
                <w:rFonts w:hint="eastAsia" w:cs="宋体"/>
                <w:sz w:val="21"/>
                <w:szCs w:val="21"/>
                <w:highlight w:val="none"/>
              </w:rPr>
            </w:pPr>
            <w:r>
              <w:rPr>
                <w:rFonts w:hint="eastAsia" w:cs="宋体"/>
                <w:sz w:val="21"/>
                <w:szCs w:val="21"/>
                <w:highlight w:val="none"/>
              </w:rPr>
              <w:t>（6）如有重大网络改造，协助网络改造，提供整改建议。</w:t>
            </w:r>
          </w:p>
          <w:p>
            <w:pPr>
              <w:pStyle w:val="89"/>
              <w:spacing w:line="460" w:lineRule="exact"/>
              <w:ind w:firstLine="420"/>
              <w:rPr>
                <w:rFonts w:hint="eastAsia" w:cs="宋体"/>
                <w:sz w:val="21"/>
                <w:szCs w:val="21"/>
                <w:highlight w:val="none"/>
              </w:rPr>
            </w:pPr>
            <w:r>
              <w:rPr>
                <w:rFonts w:hint="eastAsia" w:cs="宋体"/>
                <w:sz w:val="21"/>
                <w:szCs w:val="21"/>
                <w:highlight w:val="none"/>
              </w:rPr>
              <w:t>（7）对修复后的风险点进行复查，验证加固措施是否有效。</w:t>
            </w:r>
          </w:p>
          <w:p>
            <w:pPr>
              <w:pStyle w:val="89"/>
              <w:spacing w:line="460" w:lineRule="exact"/>
              <w:ind w:firstLine="420"/>
              <w:outlineLvl w:val="2"/>
              <w:rPr>
                <w:rFonts w:hint="eastAsia" w:cs="宋体"/>
                <w:sz w:val="21"/>
                <w:szCs w:val="21"/>
                <w:highlight w:val="none"/>
              </w:rPr>
            </w:pPr>
            <w:r>
              <w:rPr>
                <w:rFonts w:hint="eastAsia" w:cs="宋体"/>
                <w:sz w:val="21"/>
                <w:szCs w:val="21"/>
                <w:highlight w:val="none"/>
                <w:lang w:val="en-US" w:eastAsia="zh-CN"/>
              </w:rPr>
              <w:t>9</w:t>
            </w:r>
            <w:r>
              <w:rPr>
                <w:rFonts w:hint="eastAsia" w:cs="宋体"/>
                <w:sz w:val="21"/>
                <w:szCs w:val="21"/>
                <w:highlight w:val="none"/>
              </w:rPr>
              <w:t>.重要时期安全保障服务。</w:t>
            </w:r>
          </w:p>
          <w:p>
            <w:pPr>
              <w:pStyle w:val="89"/>
              <w:spacing w:line="460" w:lineRule="exact"/>
              <w:ind w:firstLine="420"/>
              <w:rPr>
                <w:rFonts w:hint="eastAsia" w:cs="宋体"/>
                <w:sz w:val="21"/>
                <w:szCs w:val="21"/>
                <w:highlight w:val="none"/>
              </w:rPr>
            </w:pPr>
            <w:r>
              <w:rPr>
                <w:rFonts w:hint="eastAsia" w:cs="宋体"/>
                <w:sz w:val="21"/>
                <w:szCs w:val="21"/>
                <w:highlight w:val="none"/>
              </w:rPr>
              <w:t>服务方式：现场、远程服务。</w:t>
            </w:r>
          </w:p>
          <w:p>
            <w:pPr>
              <w:pStyle w:val="89"/>
              <w:spacing w:line="460" w:lineRule="exact"/>
              <w:ind w:firstLine="420"/>
              <w:rPr>
                <w:rFonts w:hint="eastAsia" w:cs="宋体"/>
                <w:sz w:val="21"/>
                <w:szCs w:val="21"/>
                <w:highlight w:val="none"/>
              </w:rPr>
            </w:pPr>
            <w:r>
              <w:rPr>
                <w:rFonts w:hint="eastAsia" w:cs="宋体"/>
                <w:sz w:val="21"/>
                <w:szCs w:val="21"/>
                <w:highlight w:val="none"/>
              </w:rPr>
              <w:t>工作安排：</w:t>
            </w:r>
            <w:r>
              <w:rPr>
                <w:rFonts w:hint="eastAsia" w:cs="宋体"/>
                <w:sz w:val="21"/>
                <w:szCs w:val="21"/>
                <w:highlight w:val="none"/>
                <w:lang w:val="en-US" w:eastAsia="zh-CN"/>
              </w:rPr>
              <w:t>2025年</w:t>
            </w:r>
            <w:r>
              <w:rPr>
                <w:rFonts w:hint="eastAsia" w:cs="宋体"/>
                <w:sz w:val="21"/>
                <w:szCs w:val="21"/>
                <w:highlight w:val="none"/>
              </w:rPr>
              <w:t>端午（3天）、中秋（1天）、国庆（7天）、2026年元旦（1天）</w:t>
            </w:r>
            <w:r>
              <w:rPr>
                <w:rFonts w:hint="eastAsia" w:cs="宋体"/>
                <w:sz w:val="21"/>
                <w:szCs w:val="21"/>
                <w:highlight w:val="none"/>
                <w:lang w:val="en-US" w:eastAsia="zh-CN"/>
              </w:rPr>
              <w:t>和</w:t>
            </w:r>
            <w:r>
              <w:rPr>
                <w:rFonts w:hint="eastAsia" w:cs="宋体"/>
                <w:sz w:val="21"/>
                <w:szCs w:val="21"/>
                <w:highlight w:val="none"/>
              </w:rPr>
              <w:t>2026年春节（8天）、清明（3天）、三月三（</w:t>
            </w:r>
            <w:r>
              <w:rPr>
                <w:rFonts w:hint="eastAsia" w:cs="宋体"/>
                <w:sz w:val="21"/>
                <w:szCs w:val="21"/>
                <w:highlight w:val="none"/>
                <w:lang w:val="en-US" w:eastAsia="zh-CN"/>
              </w:rPr>
              <w:t>4</w:t>
            </w:r>
            <w:r>
              <w:rPr>
                <w:rFonts w:hint="eastAsia" w:cs="宋体"/>
                <w:sz w:val="21"/>
                <w:szCs w:val="21"/>
                <w:highlight w:val="none"/>
              </w:rPr>
              <w:t>天）、</w:t>
            </w:r>
            <w:r>
              <w:rPr>
                <w:rFonts w:hint="eastAsia" w:cs="宋体"/>
                <w:sz w:val="21"/>
                <w:szCs w:val="21"/>
                <w:highlight w:val="none"/>
                <w:lang w:val="en-US" w:eastAsia="zh-CN"/>
              </w:rPr>
              <w:t>劳动节（5天）、</w:t>
            </w:r>
            <w:r>
              <w:rPr>
                <w:rFonts w:hint="eastAsia" w:cs="宋体"/>
                <w:sz w:val="21"/>
                <w:szCs w:val="21"/>
                <w:highlight w:val="none"/>
              </w:rPr>
              <w:t>东盟（2天）等假期共</w:t>
            </w:r>
            <w:r>
              <w:rPr>
                <w:rFonts w:hint="eastAsia" w:cs="宋体"/>
                <w:sz w:val="21"/>
                <w:szCs w:val="21"/>
                <w:highlight w:val="none"/>
                <w:lang w:val="en-US" w:eastAsia="zh-CN"/>
              </w:rPr>
              <w:t>34</w:t>
            </w:r>
            <w:r>
              <w:rPr>
                <w:rFonts w:hint="eastAsia" w:cs="宋体"/>
                <w:sz w:val="21"/>
                <w:szCs w:val="21"/>
                <w:highlight w:val="none"/>
              </w:rPr>
              <w:t>天，每次假期安排2人。</w:t>
            </w:r>
          </w:p>
          <w:p>
            <w:pPr>
              <w:pStyle w:val="89"/>
              <w:spacing w:line="460" w:lineRule="exact"/>
              <w:ind w:firstLine="420"/>
              <w:rPr>
                <w:rFonts w:hint="eastAsia" w:cs="宋体"/>
                <w:sz w:val="21"/>
                <w:szCs w:val="21"/>
                <w:highlight w:val="none"/>
              </w:rPr>
            </w:pPr>
            <w:r>
              <w:rPr>
                <w:rFonts w:hint="eastAsia" w:cs="宋体"/>
                <w:sz w:val="21"/>
                <w:szCs w:val="21"/>
                <w:highlight w:val="none"/>
              </w:rPr>
              <w:t>服务人员级别：高级工程师</w:t>
            </w:r>
            <w:r>
              <w:rPr>
                <w:rFonts w:hint="eastAsia" w:cs="宋体"/>
                <w:sz w:val="21"/>
                <w:szCs w:val="21"/>
                <w:highlight w:val="none"/>
                <w:lang w:eastAsia="zh-CN"/>
              </w:rPr>
              <w:t>（网络安全、渗透安全）</w:t>
            </w:r>
            <w:r>
              <w:rPr>
                <w:rFonts w:hint="eastAsia" w:cs="宋体"/>
                <w:sz w:val="21"/>
                <w:szCs w:val="21"/>
                <w:highlight w:val="none"/>
              </w:rPr>
              <w:t>。</w:t>
            </w:r>
          </w:p>
          <w:p>
            <w:pPr>
              <w:pStyle w:val="89"/>
              <w:spacing w:line="460" w:lineRule="exact"/>
              <w:ind w:firstLine="420"/>
              <w:rPr>
                <w:rFonts w:hint="eastAsia" w:cs="宋体"/>
                <w:sz w:val="21"/>
                <w:szCs w:val="21"/>
                <w:highlight w:val="none"/>
              </w:rPr>
            </w:pPr>
            <w:r>
              <w:rPr>
                <w:rFonts w:hint="eastAsia" w:cs="宋体"/>
                <w:sz w:val="21"/>
                <w:szCs w:val="21"/>
                <w:highlight w:val="none"/>
              </w:rPr>
              <w:t>服务内容：在国家和自治区重大活动及重大节假日期间</w:t>
            </w:r>
            <w:r>
              <w:rPr>
                <w:rFonts w:hint="eastAsia" w:cs="宋体"/>
                <w:sz w:val="21"/>
                <w:szCs w:val="21"/>
                <w:highlight w:val="none"/>
                <w:lang w:val="en-US" w:eastAsia="zh-CN"/>
              </w:rPr>
              <w:t>2025年</w:t>
            </w:r>
            <w:r>
              <w:rPr>
                <w:rFonts w:hint="eastAsia" w:cs="宋体"/>
                <w:sz w:val="21"/>
                <w:szCs w:val="21"/>
                <w:highlight w:val="none"/>
              </w:rPr>
              <w:t>端午（3天）、中秋（1天）、国庆（7天）、2026年元旦（1天）</w:t>
            </w:r>
            <w:r>
              <w:rPr>
                <w:rFonts w:hint="eastAsia" w:cs="宋体"/>
                <w:sz w:val="21"/>
                <w:szCs w:val="21"/>
                <w:highlight w:val="none"/>
                <w:lang w:val="en-US" w:eastAsia="zh-CN"/>
              </w:rPr>
              <w:t>和</w:t>
            </w:r>
            <w:r>
              <w:rPr>
                <w:rFonts w:hint="eastAsia" w:cs="宋体"/>
                <w:sz w:val="21"/>
                <w:szCs w:val="21"/>
                <w:highlight w:val="none"/>
              </w:rPr>
              <w:t>2026年春节（8天）、清明（3天）、三月三（3天）、</w:t>
            </w:r>
            <w:r>
              <w:rPr>
                <w:rFonts w:hint="eastAsia" w:cs="宋体"/>
                <w:sz w:val="21"/>
                <w:szCs w:val="21"/>
                <w:highlight w:val="none"/>
                <w:lang w:val="en-US" w:eastAsia="zh-CN"/>
              </w:rPr>
              <w:t>劳动节（5天）、</w:t>
            </w:r>
            <w:r>
              <w:rPr>
                <w:rFonts w:hint="eastAsia" w:cs="宋体"/>
                <w:sz w:val="21"/>
                <w:szCs w:val="21"/>
                <w:highlight w:val="none"/>
              </w:rPr>
              <w:t>东盟（2天）等假期共3</w:t>
            </w:r>
            <w:r>
              <w:rPr>
                <w:rFonts w:hint="eastAsia" w:cs="宋体"/>
                <w:sz w:val="21"/>
                <w:szCs w:val="21"/>
                <w:highlight w:val="none"/>
                <w:lang w:val="en-US" w:eastAsia="zh-CN"/>
              </w:rPr>
              <w:t>4</w:t>
            </w:r>
            <w:r>
              <w:rPr>
                <w:rFonts w:hint="eastAsia" w:cs="宋体"/>
                <w:sz w:val="21"/>
                <w:szCs w:val="21"/>
                <w:highlight w:val="none"/>
              </w:rPr>
              <w:t>天），每次假期安排2人提供每天24小时安全应急保障服务，8小时的现场值班服务，对可能出现影响业务稳定性的风险进行实时监测、预防、应急和响应等工作。</w:t>
            </w:r>
          </w:p>
          <w:p>
            <w:pPr>
              <w:pStyle w:val="89"/>
              <w:spacing w:line="460" w:lineRule="exact"/>
              <w:ind w:firstLine="420"/>
              <w:rPr>
                <w:rFonts w:hint="eastAsia" w:cs="宋体"/>
                <w:sz w:val="21"/>
                <w:szCs w:val="21"/>
                <w:highlight w:val="none"/>
              </w:rPr>
            </w:pPr>
            <w:r>
              <w:rPr>
                <w:rFonts w:hint="eastAsia" w:cs="宋体"/>
                <w:sz w:val="21"/>
                <w:szCs w:val="21"/>
                <w:highlight w:val="none"/>
              </w:rPr>
              <w:t>服务要求：安排至少2名人员按正常上班时间（8：00-18：00）在财政大厦内值班，当发生网络安全事件或风险预警时，10分钟内响应，60分钟内到现场处置。</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1</w:t>
            </w:r>
            <w:r>
              <w:rPr>
                <w:rFonts w:hint="eastAsia" w:cs="宋体"/>
                <w:sz w:val="21"/>
                <w:szCs w:val="21"/>
                <w:highlight w:val="none"/>
                <w:lang w:val="en-US" w:eastAsia="zh-CN"/>
              </w:rPr>
              <w:t>0</w:t>
            </w:r>
            <w:r>
              <w:rPr>
                <w:rFonts w:hint="eastAsia" w:cs="宋体"/>
                <w:sz w:val="21"/>
                <w:szCs w:val="21"/>
                <w:highlight w:val="none"/>
              </w:rPr>
              <w:t>.护网重点保障和网络攻防演练服务</w:t>
            </w:r>
          </w:p>
          <w:p>
            <w:pPr>
              <w:pStyle w:val="89"/>
              <w:spacing w:line="460" w:lineRule="exact"/>
              <w:ind w:firstLine="420"/>
              <w:rPr>
                <w:rFonts w:hint="eastAsia" w:cs="宋体"/>
                <w:sz w:val="21"/>
                <w:szCs w:val="21"/>
                <w:highlight w:val="none"/>
              </w:rPr>
            </w:pPr>
            <w:r>
              <w:rPr>
                <w:rFonts w:hint="eastAsia" w:cs="宋体"/>
                <w:sz w:val="21"/>
                <w:szCs w:val="21"/>
                <w:highlight w:val="none"/>
              </w:rPr>
              <w:t>服务方式：现场服务。</w:t>
            </w:r>
          </w:p>
          <w:p>
            <w:pPr>
              <w:pStyle w:val="89"/>
              <w:spacing w:line="460" w:lineRule="exact"/>
              <w:ind w:firstLine="420"/>
              <w:rPr>
                <w:rFonts w:hint="eastAsia" w:cs="宋体"/>
                <w:sz w:val="21"/>
                <w:szCs w:val="21"/>
                <w:highlight w:val="none"/>
              </w:rPr>
            </w:pPr>
            <w:r>
              <w:rPr>
                <w:rFonts w:hint="eastAsia" w:cs="宋体"/>
                <w:sz w:val="21"/>
                <w:szCs w:val="21"/>
                <w:highlight w:val="none"/>
              </w:rPr>
              <w:t>工作安排：每年3次，每次7天</w:t>
            </w:r>
            <w:r>
              <w:rPr>
                <w:rFonts w:hint="eastAsia" w:cs="宋体"/>
                <w:sz w:val="21"/>
                <w:szCs w:val="21"/>
                <w:highlight w:val="none"/>
                <w:lang w:eastAsia="zh-CN"/>
              </w:rPr>
              <w:t>，每次</w:t>
            </w:r>
            <w:r>
              <w:rPr>
                <w:rFonts w:hint="eastAsia" w:cs="宋体"/>
                <w:sz w:val="21"/>
                <w:szCs w:val="21"/>
                <w:highlight w:val="none"/>
              </w:rPr>
              <w:t>安排5人。</w:t>
            </w:r>
          </w:p>
          <w:p>
            <w:pPr>
              <w:pStyle w:val="89"/>
              <w:spacing w:line="460" w:lineRule="exact"/>
              <w:ind w:firstLine="420"/>
              <w:rPr>
                <w:rFonts w:hint="eastAsia" w:cs="宋体"/>
                <w:sz w:val="21"/>
                <w:szCs w:val="21"/>
                <w:highlight w:val="none"/>
              </w:rPr>
            </w:pPr>
            <w:r>
              <w:rPr>
                <w:rFonts w:hint="eastAsia" w:cs="宋体"/>
                <w:sz w:val="21"/>
                <w:szCs w:val="21"/>
                <w:highlight w:val="none"/>
              </w:rPr>
              <w:t>服务人员级别：高级工程师</w:t>
            </w:r>
            <w:r>
              <w:rPr>
                <w:rFonts w:hint="eastAsia" w:cs="宋体"/>
                <w:sz w:val="21"/>
                <w:szCs w:val="21"/>
                <w:highlight w:val="none"/>
                <w:lang w:eastAsia="zh-CN"/>
              </w:rPr>
              <w:t>（网络安全、渗透安全）</w:t>
            </w:r>
            <w:r>
              <w:rPr>
                <w:rFonts w:hint="eastAsia" w:cs="宋体"/>
                <w:sz w:val="21"/>
                <w:szCs w:val="21"/>
                <w:highlight w:val="none"/>
              </w:rPr>
              <w:t>。</w:t>
            </w:r>
          </w:p>
          <w:p>
            <w:pPr>
              <w:pStyle w:val="89"/>
              <w:spacing w:line="460" w:lineRule="exact"/>
              <w:ind w:firstLine="420"/>
              <w:rPr>
                <w:rFonts w:hint="eastAsia" w:cs="宋体"/>
                <w:sz w:val="21"/>
                <w:szCs w:val="21"/>
                <w:highlight w:val="none"/>
              </w:rPr>
            </w:pPr>
            <w:r>
              <w:rPr>
                <w:rFonts w:hint="eastAsia" w:cs="宋体"/>
                <w:sz w:val="21"/>
                <w:szCs w:val="21"/>
                <w:highlight w:val="none"/>
              </w:rPr>
              <w:t>在国家、行业和自治区网络安全攻防演习（护网）期间（每年国家、行业、自治区护网，每年3次，每次7天，每次安排5人，该5人不能与驻场值守服务3人相同），除驻场3名人员外，另外提供至少5名专业安全人员做好自治区财政厅的防守反击任务，必要时加派人手，保证第一时间响应安全需求。增加的5名专业安全人员要求：应具有HCIE或同级别同类型证书人员、CISP证书或同级别认证证书技术专家。</w:t>
            </w:r>
          </w:p>
          <w:p>
            <w:pPr>
              <w:pStyle w:val="89"/>
              <w:spacing w:line="460" w:lineRule="exact"/>
              <w:ind w:firstLine="420"/>
              <w:rPr>
                <w:rFonts w:hint="eastAsia" w:cs="宋体"/>
                <w:sz w:val="21"/>
                <w:szCs w:val="21"/>
                <w:highlight w:val="none"/>
              </w:rPr>
            </w:pPr>
            <w:r>
              <w:rPr>
                <w:rFonts w:hint="eastAsia" w:cs="宋体"/>
                <w:sz w:val="21"/>
                <w:szCs w:val="21"/>
                <w:highlight w:val="none"/>
              </w:rPr>
              <w:t>服务要求：确保网络和系统不被攻破。</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1</w:t>
            </w:r>
            <w:r>
              <w:rPr>
                <w:rFonts w:hint="eastAsia" w:cs="宋体"/>
                <w:sz w:val="21"/>
                <w:szCs w:val="21"/>
                <w:highlight w:val="none"/>
                <w:lang w:val="en-US" w:eastAsia="zh-CN"/>
              </w:rPr>
              <w:t>1</w:t>
            </w:r>
            <w:r>
              <w:rPr>
                <w:rFonts w:hint="eastAsia" w:cs="宋体"/>
                <w:sz w:val="21"/>
                <w:szCs w:val="21"/>
                <w:highlight w:val="none"/>
              </w:rPr>
              <w:t>.网络安全检查技术支持服务。</w:t>
            </w:r>
          </w:p>
          <w:p>
            <w:pPr>
              <w:pStyle w:val="89"/>
              <w:spacing w:line="460" w:lineRule="exact"/>
              <w:ind w:firstLine="420"/>
              <w:rPr>
                <w:rFonts w:hint="eastAsia" w:cs="宋体"/>
                <w:sz w:val="21"/>
                <w:szCs w:val="21"/>
                <w:highlight w:val="none"/>
              </w:rPr>
            </w:pPr>
            <w:r>
              <w:rPr>
                <w:rFonts w:hint="eastAsia" w:cs="宋体"/>
                <w:sz w:val="21"/>
                <w:szCs w:val="21"/>
                <w:highlight w:val="none"/>
              </w:rPr>
              <w:t>工作安排：每年1次，全区共14个地市和111个区县，含差旅、住宿、人员等费用</w:t>
            </w:r>
            <w:r>
              <w:rPr>
                <w:rFonts w:hint="eastAsia" w:cs="宋体"/>
                <w:sz w:val="21"/>
                <w:szCs w:val="21"/>
                <w:highlight w:val="none"/>
                <w:lang w:eastAsia="zh-CN"/>
              </w:rPr>
              <w:t>（</w:t>
            </w:r>
            <w:r>
              <w:rPr>
                <w:rFonts w:hint="eastAsia" w:cs="宋体"/>
                <w:sz w:val="21"/>
                <w:szCs w:val="21"/>
                <w:highlight w:val="none"/>
              </w:rPr>
              <w:t>供应商承担</w:t>
            </w:r>
            <w:r>
              <w:rPr>
                <w:rFonts w:hint="eastAsia" w:cs="宋体"/>
                <w:sz w:val="21"/>
                <w:szCs w:val="21"/>
                <w:highlight w:val="none"/>
                <w:lang w:eastAsia="zh-CN"/>
              </w:rPr>
              <w:t>）</w:t>
            </w:r>
            <w:r>
              <w:rPr>
                <w:rFonts w:hint="eastAsia" w:cs="宋体"/>
                <w:sz w:val="21"/>
                <w:szCs w:val="21"/>
                <w:highlight w:val="none"/>
              </w:rPr>
              <w:t>，按照6组，每组</w:t>
            </w:r>
            <w:r>
              <w:rPr>
                <w:rFonts w:hint="eastAsia" w:cs="宋体"/>
                <w:sz w:val="21"/>
                <w:szCs w:val="21"/>
                <w:highlight w:val="none"/>
                <w:lang w:eastAsia="zh-CN"/>
              </w:rPr>
              <w:t>安排</w:t>
            </w:r>
            <w:r>
              <w:rPr>
                <w:rFonts w:hint="eastAsia" w:cs="宋体"/>
                <w:sz w:val="21"/>
                <w:szCs w:val="21"/>
                <w:highlight w:val="none"/>
              </w:rPr>
              <w:t>1人，</w:t>
            </w:r>
            <w:r>
              <w:rPr>
                <w:rFonts w:hint="eastAsia" w:cs="宋体"/>
                <w:sz w:val="21"/>
                <w:szCs w:val="21"/>
                <w:highlight w:val="none"/>
                <w:lang w:eastAsia="zh-CN"/>
              </w:rPr>
              <w:t>每次</w:t>
            </w:r>
            <w:r>
              <w:rPr>
                <w:rFonts w:hint="eastAsia" w:cs="宋体"/>
                <w:sz w:val="21"/>
                <w:szCs w:val="21"/>
                <w:highlight w:val="none"/>
              </w:rPr>
              <w:t>21天。</w:t>
            </w:r>
          </w:p>
          <w:p>
            <w:pPr>
              <w:pStyle w:val="89"/>
              <w:spacing w:line="460" w:lineRule="exact"/>
              <w:ind w:firstLine="420"/>
              <w:outlineLvl w:val="9"/>
              <w:rPr>
                <w:rFonts w:hint="eastAsia" w:cs="宋体"/>
                <w:sz w:val="21"/>
                <w:szCs w:val="21"/>
                <w:highlight w:val="none"/>
              </w:rPr>
            </w:pPr>
            <w:r>
              <w:rPr>
                <w:rFonts w:hint="eastAsia" w:cs="宋体"/>
                <w:sz w:val="21"/>
                <w:szCs w:val="21"/>
                <w:highlight w:val="none"/>
              </w:rPr>
              <w:t>服务人员级别：</w:t>
            </w:r>
            <w:r>
              <w:rPr>
                <w:rFonts w:hint="eastAsia" w:cs="宋体"/>
                <w:sz w:val="21"/>
                <w:szCs w:val="21"/>
                <w:highlight w:val="none"/>
                <w:lang w:eastAsia="zh-CN"/>
              </w:rPr>
              <w:t>初</w:t>
            </w:r>
            <w:r>
              <w:rPr>
                <w:rFonts w:hint="eastAsia" w:cs="宋体"/>
                <w:sz w:val="21"/>
                <w:szCs w:val="21"/>
                <w:highlight w:val="none"/>
              </w:rPr>
              <w:t>级工程师</w:t>
            </w:r>
            <w:r>
              <w:rPr>
                <w:rFonts w:hint="eastAsia" w:cs="宋体"/>
                <w:sz w:val="21"/>
                <w:szCs w:val="21"/>
                <w:highlight w:val="none"/>
                <w:lang w:eastAsia="zh-CN"/>
              </w:rPr>
              <w:t>（网络安全、渗透安全）以上</w:t>
            </w:r>
            <w:r>
              <w:rPr>
                <w:rFonts w:hint="eastAsia" w:cs="宋体"/>
                <w:sz w:val="21"/>
                <w:szCs w:val="21"/>
                <w:highlight w:val="none"/>
              </w:rPr>
              <w:t>。</w:t>
            </w:r>
          </w:p>
          <w:p>
            <w:pPr>
              <w:pStyle w:val="89"/>
              <w:spacing w:line="460" w:lineRule="exact"/>
              <w:ind w:firstLine="420"/>
              <w:rPr>
                <w:rFonts w:hint="eastAsia" w:cs="宋体"/>
                <w:sz w:val="21"/>
                <w:szCs w:val="21"/>
                <w:highlight w:val="none"/>
              </w:rPr>
            </w:pPr>
            <w:r>
              <w:rPr>
                <w:rFonts w:hint="eastAsia" w:cs="宋体"/>
                <w:sz w:val="21"/>
                <w:szCs w:val="21"/>
                <w:highlight w:val="none"/>
              </w:rPr>
              <w:t>在自治区财政厅开展的全区财政系统网络安全检查工作中，派技术团队支持对被检查财政局开展网络安全现场检查工作。</w:t>
            </w:r>
          </w:p>
          <w:p>
            <w:pPr>
              <w:pStyle w:val="89"/>
              <w:spacing w:line="460" w:lineRule="exact"/>
              <w:ind w:firstLine="420"/>
              <w:rPr>
                <w:rFonts w:hint="eastAsia" w:cs="宋体"/>
                <w:sz w:val="21"/>
                <w:szCs w:val="21"/>
                <w:highlight w:val="none"/>
              </w:rPr>
            </w:pPr>
            <w:r>
              <w:rPr>
                <w:rFonts w:hint="eastAsia" w:cs="宋体"/>
                <w:sz w:val="21"/>
                <w:szCs w:val="21"/>
                <w:highlight w:val="none"/>
              </w:rPr>
              <w:t>服务要求：每年1次，全区共14个地市和111个区县，含差旅、住宿、人员等费用</w:t>
            </w:r>
            <w:r>
              <w:rPr>
                <w:rFonts w:hint="eastAsia" w:cs="宋体"/>
                <w:sz w:val="21"/>
                <w:szCs w:val="21"/>
                <w:highlight w:val="none"/>
                <w:lang w:eastAsia="zh-CN"/>
              </w:rPr>
              <w:t>（</w:t>
            </w:r>
            <w:r>
              <w:rPr>
                <w:rFonts w:hint="eastAsia" w:cs="宋体"/>
                <w:sz w:val="21"/>
                <w:szCs w:val="21"/>
                <w:highlight w:val="none"/>
              </w:rPr>
              <w:t>供应商承担</w:t>
            </w:r>
            <w:r>
              <w:rPr>
                <w:rFonts w:hint="eastAsia" w:cs="宋体"/>
                <w:sz w:val="21"/>
                <w:szCs w:val="21"/>
                <w:highlight w:val="none"/>
                <w:lang w:eastAsia="zh-CN"/>
              </w:rPr>
              <w:t>）</w:t>
            </w:r>
            <w:r>
              <w:rPr>
                <w:rFonts w:hint="eastAsia" w:cs="宋体"/>
                <w:sz w:val="21"/>
                <w:szCs w:val="21"/>
                <w:highlight w:val="none"/>
              </w:rPr>
              <w:t>，按照6组，每组</w:t>
            </w:r>
            <w:r>
              <w:rPr>
                <w:rFonts w:hint="eastAsia" w:cs="宋体"/>
                <w:sz w:val="21"/>
                <w:szCs w:val="21"/>
                <w:highlight w:val="none"/>
                <w:lang w:eastAsia="zh-CN"/>
              </w:rPr>
              <w:t>安排</w:t>
            </w:r>
            <w:r>
              <w:rPr>
                <w:rFonts w:hint="eastAsia" w:cs="宋体"/>
                <w:sz w:val="21"/>
                <w:szCs w:val="21"/>
                <w:highlight w:val="none"/>
              </w:rPr>
              <w:t>1人，</w:t>
            </w:r>
            <w:r>
              <w:rPr>
                <w:rFonts w:hint="eastAsia" w:cs="宋体"/>
                <w:sz w:val="21"/>
                <w:szCs w:val="21"/>
                <w:highlight w:val="none"/>
                <w:lang w:eastAsia="zh-CN"/>
              </w:rPr>
              <w:t>每次</w:t>
            </w:r>
            <w:r>
              <w:rPr>
                <w:rFonts w:hint="eastAsia" w:cs="宋体"/>
                <w:sz w:val="21"/>
                <w:szCs w:val="21"/>
                <w:highlight w:val="none"/>
              </w:rPr>
              <w:t>21天。根据自治区财政厅网络安全检查工作要求和检查小组数量，提供必要的检查工具（如SQLmap、AVWS、Nessus、BurpSuite），每组至少随派1名具备开展漏洞扫描和应用渗透相应能力的网络安全技术人员随同检查小组前往被检查财政局开展网络安全检查工作。</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1</w:t>
            </w:r>
            <w:r>
              <w:rPr>
                <w:rFonts w:hint="eastAsia" w:cs="宋体"/>
                <w:sz w:val="21"/>
                <w:szCs w:val="21"/>
                <w:highlight w:val="none"/>
                <w:lang w:val="en-US" w:eastAsia="zh-CN"/>
              </w:rPr>
              <w:t>2</w:t>
            </w:r>
            <w:r>
              <w:rPr>
                <w:rFonts w:hint="eastAsia" w:cs="宋体"/>
                <w:sz w:val="21"/>
                <w:szCs w:val="21"/>
                <w:highlight w:val="none"/>
              </w:rPr>
              <w:t>.特征库升级服务</w:t>
            </w:r>
          </w:p>
          <w:p>
            <w:pPr>
              <w:pStyle w:val="89"/>
              <w:spacing w:line="460" w:lineRule="exact"/>
              <w:ind w:firstLine="420"/>
              <w:rPr>
                <w:rFonts w:hint="eastAsia" w:cs="宋体"/>
                <w:sz w:val="21"/>
                <w:szCs w:val="21"/>
                <w:highlight w:val="none"/>
              </w:rPr>
            </w:pPr>
            <w:r>
              <w:rPr>
                <w:rFonts w:hint="eastAsia" w:cs="宋体"/>
                <w:sz w:val="21"/>
                <w:szCs w:val="21"/>
                <w:highlight w:val="none"/>
              </w:rPr>
              <w:t>为自治区财政厅安全设备和杀毒软件（2</w:t>
            </w:r>
            <w:r>
              <w:rPr>
                <w:rFonts w:hint="eastAsia" w:cs="宋体"/>
                <w:sz w:val="21"/>
                <w:szCs w:val="21"/>
                <w:highlight w:val="none"/>
                <w:lang w:val="en-US" w:eastAsia="zh-CN"/>
              </w:rPr>
              <w:t>2</w:t>
            </w:r>
            <w:r>
              <w:rPr>
                <w:rFonts w:hint="eastAsia" w:cs="宋体"/>
                <w:sz w:val="21"/>
                <w:szCs w:val="21"/>
                <w:highlight w:val="none"/>
              </w:rPr>
              <w:t>套，详见服务需求表2安全设备和杀毒软件特征库授权情况表）提供1年特征库升级授权和升级服务。</w:t>
            </w:r>
          </w:p>
          <w:p>
            <w:pPr>
              <w:pStyle w:val="89"/>
              <w:spacing w:line="460" w:lineRule="exact"/>
              <w:ind w:firstLine="420"/>
              <w:outlineLvl w:val="2"/>
              <w:rPr>
                <w:rFonts w:hint="eastAsia" w:cs="宋体"/>
                <w:sz w:val="21"/>
                <w:szCs w:val="21"/>
                <w:highlight w:val="none"/>
              </w:rPr>
            </w:pPr>
            <w:r>
              <w:rPr>
                <w:rFonts w:hint="eastAsia" w:cs="宋体"/>
                <w:sz w:val="21"/>
                <w:szCs w:val="21"/>
                <w:highlight w:val="none"/>
              </w:rPr>
              <w:t>1</w:t>
            </w:r>
            <w:r>
              <w:rPr>
                <w:rFonts w:hint="eastAsia" w:cs="宋体"/>
                <w:sz w:val="21"/>
                <w:szCs w:val="21"/>
                <w:highlight w:val="none"/>
                <w:lang w:val="en-US" w:eastAsia="zh-CN"/>
              </w:rPr>
              <w:t>3</w:t>
            </w:r>
            <w:r>
              <w:rPr>
                <w:rFonts w:hint="eastAsia" w:cs="宋体"/>
                <w:sz w:val="21"/>
                <w:szCs w:val="21"/>
                <w:highlight w:val="none"/>
              </w:rPr>
              <w:t>.安全服务团队。</w:t>
            </w:r>
          </w:p>
          <w:p>
            <w:pPr>
              <w:pStyle w:val="89"/>
              <w:spacing w:line="460" w:lineRule="exact"/>
              <w:ind w:firstLine="420"/>
              <w:rPr>
                <w:rFonts w:hint="eastAsia" w:cs="宋体"/>
                <w:w w:val="104"/>
                <w:kern w:val="0"/>
                <w:szCs w:val="21"/>
                <w:highlight w:val="none"/>
              </w:rPr>
            </w:pPr>
            <w:r>
              <w:rPr>
                <w:rFonts w:hint="eastAsia" w:cs="宋体"/>
                <w:sz w:val="21"/>
                <w:szCs w:val="21"/>
                <w:highlight w:val="none"/>
              </w:rPr>
              <w:t>针对本项目必须成立不少于15人的安全服务团队，服务团队中至少包括1名高级项目经理，拥有5年（含）以上行业从业经验。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519" w:type="dxa"/>
            <w:gridSpan w:val="5"/>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cs="宋体"/>
                <w:b/>
                <w:szCs w:val="21"/>
                <w:highlight w:val="none"/>
              </w:rPr>
            </w:pPr>
            <w:r>
              <w:rPr>
                <w:rFonts w:hint="eastAsia" w:ascii="宋体" w:hAnsi="宋体" w:cs="宋体"/>
                <w:b/>
                <w:szCs w:val="21"/>
                <w:highlight w:val="none"/>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460" w:lineRule="exact"/>
              <w:jc w:val="center"/>
              <w:rPr>
                <w:rFonts w:hAnsi="宋体" w:cs="宋体"/>
                <w:b/>
                <w:highlight w:val="none"/>
              </w:rPr>
            </w:pPr>
            <w:r>
              <w:rPr>
                <w:rFonts w:hint="eastAsia" w:hAnsi="宋体" w:cs="宋体"/>
                <w:sz w:val="21"/>
                <w:szCs w:val="22"/>
                <w:highlight w:val="none"/>
              </w:rPr>
              <w:t>项目服务期</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460" w:lineRule="exact"/>
              <w:rPr>
                <w:rFonts w:hint="eastAsia" w:hAnsi="宋体" w:cs="宋体"/>
                <w:highlight w:val="none"/>
              </w:rPr>
            </w:pPr>
            <w:r>
              <w:rPr>
                <w:rFonts w:hint="eastAsia" w:hAnsi="宋体" w:cs="宋体"/>
                <w:sz w:val="21"/>
                <w:szCs w:val="22"/>
                <w:highlight w:val="none"/>
              </w:rPr>
              <w:t>自合同签订之日起1年。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宋体"/>
                <w:w w:val="104"/>
                <w:kern w:val="0"/>
                <w:szCs w:val="21"/>
                <w:highlight w:val="none"/>
              </w:rPr>
            </w:pPr>
            <w:r>
              <w:rPr>
                <w:rFonts w:hint="eastAsia" w:ascii="宋体" w:hAnsi="宋体" w:cs="宋体"/>
                <w:szCs w:val="21"/>
                <w:highlight w:val="none"/>
              </w:rPr>
              <w:t>报价要求</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cs="宋体"/>
                <w:w w:val="104"/>
                <w:kern w:val="0"/>
                <w:szCs w:val="21"/>
                <w:highlight w:val="none"/>
              </w:rPr>
            </w:pPr>
            <w:r>
              <w:rPr>
                <w:rFonts w:hint="eastAsia" w:ascii="宋体" w:hAnsi="宋体" w:cs="宋体"/>
                <w:szCs w:val="21"/>
                <w:highlight w:val="none"/>
              </w:rPr>
              <w:t>本项目磋商报价为人民币金额报价，即一次性报出完成本项目所需所有费用，含维保费用、备品备件费用、派出工作人员的交通费、住宿费、伙食补助费</w:t>
            </w:r>
            <w:r>
              <w:rPr>
                <w:rFonts w:hint="eastAsia" w:ascii="宋体" w:hAnsi="宋体" w:cs="宋体"/>
                <w:highlight w:val="none"/>
              </w:rPr>
              <w:t>、税金</w:t>
            </w:r>
            <w:r>
              <w:rPr>
                <w:rFonts w:hint="eastAsia" w:ascii="宋体" w:hAnsi="宋体" w:cs="宋体"/>
                <w:szCs w:val="21"/>
                <w:highlight w:val="none"/>
              </w:rPr>
              <w:t>及其他与维保服务相关的一切费用。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宋体"/>
                <w:b/>
                <w:szCs w:val="21"/>
                <w:highlight w:val="none"/>
              </w:rPr>
            </w:pPr>
            <w:r>
              <w:rPr>
                <w:rFonts w:hint="eastAsia" w:ascii="宋体" w:hAnsi="宋体" w:cs="宋体"/>
                <w:szCs w:val="21"/>
                <w:highlight w:val="none"/>
              </w:rPr>
              <w:t>服务承诺</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cs="宋体"/>
                <w:szCs w:val="21"/>
                <w:highlight w:val="none"/>
                <w:shd w:val="clear" w:color="auto" w:fill="FFFFFF"/>
              </w:rPr>
            </w:pPr>
            <w:r>
              <w:rPr>
                <w:rFonts w:hint="eastAsia" w:ascii="宋体" w:hAnsi="宋体" w:cs="宋体"/>
                <w:highlight w:val="none"/>
              </w:rPr>
              <w:t>响应文件中必须提供针对本项目的实施方案。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宋体"/>
                <w:b/>
                <w:kern w:val="0"/>
                <w:szCs w:val="21"/>
                <w:highlight w:val="none"/>
              </w:rPr>
            </w:pPr>
            <w:r>
              <w:rPr>
                <w:rFonts w:hint="eastAsia" w:ascii="宋体" w:hAnsi="宋体" w:cs="宋体"/>
                <w:szCs w:val="21"/>
                <w:highlight w:val="none"/>
              </w:rPr>
              <w:t>付款方式</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宋体"/>
                <w:szCs w:val="21"/>
                <w:highlight w:val="none"/>
              </w:rPr>
            </w:pPr>
            <w:r>
              <w:rPr>
                <w:rFonts w:hint="eastAsia" w:ascii="宋体" w:hAnsi="宋体" w:cs="宋体"/>
                <w:szCs w:val="21"/>
                <w:highlight w:val="none"/>
              </w:rPr>
              <w:t>1．预付款：双方签订合同后（以双方盖章的合同为准），成交供应商提出书面付款申请，采购人在15个工作日内向成交供应商支付项目合同总金额</w:t>
            </w:r>
            <w:r>
              <w:rPr>
                <w:rFonts w:hint="eastAsia" w:ascii="宋体" w:hAnsi="宋体" w:cs="宋体"/>
                <w:szCs w:val="21"/>
                <w:highlight w:val="none"/>
                <w:lang w:val="en-US" w:eastAsia="zh-CN"/>
              </w:rPr>
              <w:t>50</w:t>
            </w:r>
            <w:r>
              <w:rPr>
                <w:rFonts w:hint="eastAsia" w:ascii="宋体" w:hAnsi="宋体" w:cs="宋体"/>
                <w:szCs w:val="21"/>
                <w:highlight w:val="none"/>
              </w:rPr>
              <w:t>%的预付款。</w:t>
            </w:r>
          </w:p>
          <w:p>
            <w:pPr>
              <w:spacing w:line="460" w:lineRule="exact"/>
              <w:rPr>
                <w:rFonts w:hint="eastAsia" w:ascii="宋体" w:hAnsi="宋体" w:cs="宋体"/>
                <w:szCs w:val="21"/>
                <w:highlight w:val="none"/>
              </w:rPr>
            </w:pPr>
            <w:r>
              <w:rPr>
                <w:rFonts w:hint="eastAsia" w:ascii="宋体" w:hAnsi="宋体" w:cs="宋体"/>
                <w:szCs w:val="21"/>
                <w:highlight w:val="none"/>
              </w:rPr>
              <w:t>2．考核服务款：服务结束后，成交供应商应向采购人提出考核书面申请，并提供考核佐证材料，采购人根据《广西财政厅网络安全保障服务考核办法》（100分制打分），对成交供应商提供的服务进行考核，考核结束后，成交供应商向采购人提出书面付款申请，采购人在15个工作日内支付成交供应商服务费，采购人实际支付成交供应商的</w:t>
            </w:r>
            <w:r>
              <w:rPr>
                <w:rFonts w:hint="eastAsia" w:ascii="宋体" w:hAnsi="宋体" w:cs="宋体"/>
                <w:b/>
                <w:bCs/>
                <w:szCs w:val="21"/>
                <w:highlight w:val="none"/>
                <w:lang w:eastAsia="zh-CN"/>
              </w:rPr>
              <w:t>考核</w:t>
            </w:r>
            <w:r>
              <w:rPr>
                <w:rFonts w:hint="eastAsia" w:ascii="宋体" w:hAnsi="宋体" w:cs="宋体"/>
                <w:b/>
                <w:bCs/>
                <w:szCs w:val="21"/>
                <w:highlight w:val="none"/>
              </w:rPr>
              <w:t>服务费=合同总金额</w:t>
            </w:r>
            <w:r>
              <w:rPr>
                <w:rFonts w:hint="eastAsia" w:ascii="宋体" w:hAnsi="宋体" w:cs="宋体"/>
                <w:b/>
                <w:bCs/>
                <w:szCs w:val="21"/>
                <w:highlight w:val="none"/>
                <w:lang w:val="en-US" w:eastAsia="zh-CN"/>
              </w:rPr>
              <w:t>50</w:t>
            </w:r>
            <w:r>
              <w:rPr>
                <w:rFonts w:hint="eastAsia" w:ascii="宋体" w:hAnsi="宋体" w:cs="宋体"/>
                <w:b/>
                <w:bCs/>
                <w:szCs w:val="21"/>
                <w:highlight w:val="none"/>
              </w:rPr>
              <w:t>%*考核</w:t>
            </w:r>
            <w:r>
              <w:rPr>
                <w:rFonts w:hint="eastAsia" w:ascii="宋体" w:hAnsi="宋体" w:cs="宋体"/>
                <w:b/>
                <w:bCs/>
                <w:szCs w:val="21"/>
                <w:highlight w:val="none"/>
                <w:lang w:eastAsia="zh-CN"/>
              </w:rPr>
              <w:t>得分</w:t>
            </w:r>
            <w:r>
              <w:rPr>
                <w:rFonts w:hint="eastAsia" w:ascii="宋体" w:hAnsi="宋体" w:cs="宋体"/>
                <w:b/>
                <w:bCs/>
                <w:szCs w:val="21"/>
                <w:highlight w:val="none"/>
              </w:rPr>
              <w:t>对应的</w:t>
            </w:r>
            <w:r>
              <w:rPr>
                <w:rFonts w:hint="eastAsia" w:ascii="宋体" w:hAnsi="宋体" w:cs="宋体"/>
                <w:b/>
                <w:bCs/>
                <w:szCs w:val="21"/>
                <w:highlight w:val="none"/>
                <w:lang w:eastAsia="zh-CN"/>
              </w:rPr>
              <w:t>考核</w:t>
            </w:r>
            <w:r>
              <w:rPr>
                <w:rFonts w:hint="eastAsia" w:ascii="宋体" w:hAnsi="宋体" w:cs="宋体"/>
                <w:b/>
                <w:bCs/>
                <w:szCs w:val="21"/>
                <w:highlight w:val="none"/>
              </w:rPr>
              <w:t>服务款支付比例-考核扣款</w:t>
            </w:r>
            <w:r>
              <w:rPr>
                <w:rFonts w:hint="eastAsia" w:ascii="宋体" w:hAnsi="宋体" w:cs="宋体"/>
                <w:b/>
                <w:bCs/>
                <w:szCs w:val="21"/>
                <w:highlight w:val="none"/>
                <w:lang w:eastAsia="zh-CN"/>
              </w:rPr>
              <w:t>，</w:t>
            </w:r>
            <w:r>
              <w:rPr>
                <w:rFonts w:hint="eastAsia" w:ascii="宋体" w:hAnsi="宋体" w:cs="宋体"/>
                <w:szCs w:val="21"/>
                <w:highlight w:val="none"/>
                <w:lang w:eastAsia="zh-CN"/>
              </w:rPr>
              <w:t>考核</w:t>
            </w:r>
            <w:r>
              <w:rPr>
                <w:rFonts w:hint="eastAsia" w:ascii="宋体" w:hAnsi="宋体" w:cs="宋体"/>
                <w:szCs w:val="21"/>
                <w:highlight w:val="none"/>
              </w:rPr>
              <w:t>服务款为</w:t>
            </w:r>
            <w:r>
              <w:rPr>
                <w:rFonts w:hint="eastAsia" w:ascii="宋体" w:hAnsi="宋体" w:cs="宋体"/>
                <w:szCs w:val="21"/>
                <w:highlight w:val="none"/>
                <w:lang w:eastAsia="zh-CN"/>
              </w:rPr>
              <w:t>最多</w:t>
            </w:r>
            <w:r>
              <w:rPr>
                <w:rFonts w:hint="eastAsia" w:ascii="宋体" w:hAnsi="宋体" w:cs="宋体"/>
                <w:szCs w:val="21"/>
                <w:highlight w:val="none"/>
              </w:rPr>
              <w:t>合同总金额</w:t>
            </w:r>
            <w:r>
              <w:rPr>
                <w:rFonts w:hint="eastAsia" w:ascii="宋体" w:hAnsi="宋体" w:cs="宋体"/>
                <w:szCs w:val="21"/>
                <w:highlight w:val="none"/>
                <w:lang w:val="en-US" w:eastAsia="zh-CN"/>
              </w:rPr>
              <w:t>50</w:t>
            </w:r>
            <w:r>
              <w:rPr>
                <w:rFonts w:hint="eastAsia" w:ascii="宋体" w:hAnsi="宋体" w:cs="宋体"/>
                <w:szCs w:val="21"/>
                <w:highlight w:val="none"/>
              </w:rPr>
              <w:t>%。考核得分对应服务款支付比例如下表：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106"/>
              <w:gridCol w:w="168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考核得分Z（分）</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服务款支付比例</w:t>
                  </w:r>
                </w:p>
              </w:tc>
              <w:tc>
                <w:tcPr>
                  <w:tcW w:w="168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考核得分（分）</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服务款支付比例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Z≥80</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100%</w:t>
                  </w:r>
                </w:p>
              </w:tc>
              <w:tc>
                <w:tcPr>
                  <w:tcW w:w="168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45≤Z</w:t>
                  </w:r>
                  <w:r>
                    <w:rPr>
                      <w:rFonts w:hint="eastAsia" w:ascii="仿宋_GB2312" w:hAnsi="仿宋_GB2312" w:eastAsia="仿宋_GB2312"/>
                      <w:szCs w:val="21"/>
                      <w:highlight w:val="none"/>
                    </w:rPr>
                    <w:t>&lt;</w:t>
                  </w:r>
                  <w:r>
                    <w:rPr>
                      <w:rFonts w:hint="eastAsia" w:ascii="仿宋_GB2312" w:eastAsia="仿宋_GB2312"/>
                      <w:szCs w:val="21"/>
                      <w:highlight w:val="none"/>
                    </w:rPr>
                    <w:t>50</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75≤Z</w:t>
                  </w:r>
                  <w:r>
                    <w:rPr>
                      <w:rFonts w:hint="eastAsia" w:ascii="仿宋_GB2312" w:hAnsi="仿宋_GB2312" w:eastAsia="仿宋_GB2312"/>
                      <w:szCs w:val="21"/>
                      <w:highlight w:val="none"/>
                    </w:rPr>
                    <w:t>&lt;</w:t>
                  </w:r>
                  <w:r>
                    <w:rPr>
                      <w:rFonts w:hint="eastAsia" w:ascii="仿宋_GB2312" w:eastAsia="仿宋_GB2312"/>
                      <w:szCs w:val="21"/>
                      <w:highlight w:val="none"/>
                    </w:rPr>
                    <w:t>80</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90%</w:t>
                  </w:r>
                </w:p>
              </w:tc>
              <w:tc>
                <w:tcPr>
                  <w:tcW w:w="168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40≤Z</w:t>
                  </w:r>
                  <w:r>
                    <w:rPr>
                      <w:rFonts w:hint="eastAsia" w:ascii="仿宋_GB2312" w:hAnsi="仿宋_GB2312" w:eastAsia="仿宋_GB2312"/>
                      <w:szCs w:val="21"/>
                      <w:highlight w:val="none"/>
                    </w:rPr>
                    <w:t>&lt;</w:t>
                  </w:r>
                  <w:r>
                    <w:rPr>
                      <w:rFonts w:hint="eastAsia" w:ascii="仿宋_GB2312" w:eastAsia="仿宋_GB2312"/>
                      <w:szCs w:val="21"/>
                      <w:highlight w:val="none"/>
                    </w:rPr>
                    <w:t>45</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70≤Z</w:t>
                  </w:r>
                  <w:r>
                    <w:rPr>
                      <w:rFonts w:hint="eastAsia" w:ascii="仿宋_GB2312" w:hAnsi="仿宋_GB2312" w:eastAsia="仿宋_GB2312"/>
                      <w:szCs w:val="21"/>
                      <w:highlight w:val="none"/>
                    </w:rPr>
                    <w:t>&lt;</w:t>
                  </w:r>
                  <w:r>
                    <w:rPr>
                      <w:rFonts w:hint="eastAsia" w:ascii="仿宋_GB2312" w:eastAsia="仿宋_GB2312"/>
                      <w:szCs w:val="21"/>
                      <w:highlight w:val="none"/>
                    </w:rPr>
                    <w:t>75</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85%</w:t>
                  </w:r>
                </w:p>
              </w:tc>
              <w:tc>
                <w:tcPr>
                  <w:tcW w:w="168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35≤Z</w:t>
                  </w:r>
                  <w:r>
                    <w:rPr>
                      <w:rFonts w:hint="eastAsia" w:ascii="仿宋_GB2312" w:hAnsi="仿宋_GB2312" w:eastAsia="仿宋_GB2312"/>
                      <w:szCs w:val="21"/>
                      <w:highlight w:val="none"/>
                    </w:rPr>
                    <w:t>&lt;</w:t>
                  </w:r>
                  <w:r>
                    <w:rPr>
                      <w:rFonts w:hint="eastAsia" w:ascii="仿宋_GB2312" w:eastAsia="仿宋_GB2312"/>
                      <w:szCs w:val="21"/>
                      <w:highlight w:val="none"/>
                    </w:rPr>
                    <w:t>40</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65≤Z</w:t>
                  </w:r>
                  <w:r>
                    <w:rPr>
                      <w:rFonts w:hint="eastAsia" w:ascii="仿宋_GB2312" w:hAnsi="仿宋_GB2312" w:eastAsia="仿宋_GB2312"/>
                      <w:szCs w:val="21"/>
                      <w:highlight w:val="none"/>
                    </w:rPr>
                    <w:t>&lt;</w:t>
                  </w:r>
                  <w:r>
                    <w:rPr>
                      <w:rFonts w:hint="eastAsia" w:ascii="仿宋_GB2312" w:eastAsia="仿宋_GB2312"/>
                      <w:szCs w:val="21"/>
                      <w:highlight w:val="none"/>
                    </w:rPr>
                    <w:t>70</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80%</w:t>
                  </w:r>
                </w:p>
              </w:tc>
              <w:tc>
                <w:tcPr>
                  <w:tcW w:w="168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30≤Z</w:t>
                  </w:r>
                  <w:r>
                    <w:rPr>
                      <w:rFonts w:hint="eastAsia" w:ascii="仿宋_GB2312" w:hAnsi="仿宋_GB2312" w:eastAsia="仿宋_GB2312"/>
                      <w:szCs w:val="21"/>
                      <w:highlight w:val="none"/>
                    </w:rPr>
                    <w:t>&lt;</w:t>
                  </w:r>
                  <w:r>
                    <w:rPr>
                      <w:rFonts w:hint="eastAsia" w:ascii="仿宋_GB2312" w:eastAsia="仿宋_GB2312"/>
                      <w:szCs w:val="21"/>
                      <w:highlight w:val="none"/>
                    </w:rPr>
                    <w:t>35</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60≤Z</w:t>
                  </w:r>
                  <w:r>
                    <w:rPr>
                      <w:rFonts w:hint="eastAsia" w:ascii="仿宋_GB2312" w:hAnsi="仿宋_GB2312" w:eastAsia="仿宋_GB2312"/>
                      <w:szCs w:val="21"/>
                      <w:highlight w:val="none"/>
                    </w:rPr>
                    <w:t>&lt;</w:t>
                  </w:r>
                  <w:r>
                    <w:rPr>
                      <w:rFonts w:hint="eastAsia" w:ascii="仿宋_GB2312" w:eastAsia="仿宋_GB2312"/>
                      <w:szCs w:val="21"/>
                      <w:highlight w:val="none"/>
                    </w:rPr>
                    <w:t>65</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75%</w:t>
                  </w:r>
                </w:p>
              </w:tc>
              <w:tc>
                <w:tcPr>
                  <w:tcW w:w="168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25≤Z</w:t>
                  </w:r>
                  <w:r>
                    <w:rPr>
                      <w:rFonts w:hint="eastAsia" w:ascii="仿宋_GB2312" w:hAnsi="仿宋_GB2312" w:eastAsia="仿宋_GB2312"/>
                      <w:szCs w:val="21"/>
                      <w:highlight w:val="none"/>
                    </w:rPr>
                    <w:t>&lt;</w:t>
                  </w:r>
                  <w:r>
                    <w:rPr>
                      <w:rFonts w:hint="eastAsia" w:ascii="仿宋_GB2312" w:eastAsia="仿宋_GB2312"/>
                      <w:szCs w:val="21"/>
                      <w:highlight w:val="none"/>
                    </w:rPr>
                    <w:t>30</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55≤Z</w:t>
                  </w:r>
                  <w:r>
                    <w:rPr>
                      <w:rFonts w:hint="eastAsia" w:ascii="仿宋_GB2312" w:hAnsi="仿宋_GB2312" w:eastAsia="仿宋_GB2312"/>
                      <w:szCs w:val="21"/>
                      <w:highlight w:val="none"/>
                    </w:rPr>
                    <w:t>&lt;</w:t>
                  </w:r>
                  <w:r>
                    <w:rPr>
                      <w:rFonts w:hint="eastAsia" w:ascii="仿宋_GB2312" w:eastAsia="仿宋_GB2312"/>
                      <w:szCs w:val="21"/>
                      <w:highlight w:val="none"/>
                    </w:rPr>
                    <w:t>60</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70%</w:t>
                  </w:r>
                </w:p>
              </w:tc>
              <w:tc>
                <w:tcPr>
                  <w:tcW w:w="168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20≤Z</w:t>
                  </w:r>
                  <w:r>
                    <w:rPr>
                      <w:rFonts w:hint="eastAsia" w:ascii="仿宋_GB2312" w:hAnsi="仿宋_GB2312" w:eastAsia="仿宋_GB2312"/>
                      <w:szCs w:val="21"/>
                      <w:highlight w:val="none"/>
                    </w:rPr>
                    <w:t>&lt;</w:t>
                  </w:r>
                  <w:r>
                    <w:rPr>
                      <w:rFonts w:hint="eastAsia" w:ascii="仿宋_GB2312" w:eastAsia="仿宋_GB2312"/>
                      <w:szCs w:val="21"/>
                      <w:highlight w:val="none"/>
                    </w:rPr>
                    <w:t>25</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50≤Z</w:t>
                  </w:r>
                  <w:r>
                    <w:rPr>
                      <w:rFonts w:hint="eastAsia" w:ascii="仿宋_GB2312" w:hAnsi="仿宋_GB2312" w:eastAsia="仿宋_GB2312"/>
                      <w:szCs w:val="21"/>
                      <w:highlight w:val="none"/>
                    </w:rPr>
                    <w:t>&lt;</w:t>
                  </w:r>
                  <w:r>
                    <w:rPr>
                      <w:rFonts w:hint="eastAsia" w:ascii="仿宋_GB2312" w:eastAsia="仿宋_GB2312"/>
                      <w:szCs w:val="21"/>
                      <w:highlight w:val="none"/>
                    </w:rPr>
                    <w:t>55</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65%</w:t>
                  </w:r>
                </w:p>
              </w:tc>
              <w:tc>
                <w:tcPr>
                  <w:tcW w:w="1686" w:type="dxa"/>
                  <w:noWrap w:val="0"/>
                  <w:vAlign w:val="top"/>
                </w:tcPr>
                <w:p>
                  <w:pPr>
                    <w:spacing w:line="460" w:lineRule="exact"/>
                    <w:jc w:val="center"/>
                    <w:rPr>
                      <w:rFonts w:ascii="仿宋_GB2312" w:eastAsia="仿宋_GB2312"/>
                      <w:szCs w:val="21"/>
                      <w:highlight w:val="none"/>
                    </w:rPr>
                  </w:pPr>
                  <w:r>
                    <w:rPr>
                      <w:rFonts w:hint="eastAsia" w:ascii="仿宋_GB2312" w:hAnsi="仿宋_GB2312" w:eastAsia="仿宋_GB2312"/>
                      <w:szCs w:val="21"/>
                      <w:highlight w:val="none"/>
                    </w:rPr>
                    <w:t>0&lt;</w:t>
                  </w:r>
                  <w:r>
                    <w:rPr>
                      <w:rFonts w:hint="eastAsia" w:ascii="仿宋_GB2312" w:eastAsia="仿宋_GB2312"/>
                      <w:szCs w:val="21"/>
                      <w:highlight w:val="none"/>
                    </w:rPr>
                    <w:t>Z</w:t>
                  </w:r>
                  <w:r>
                    <w:rPr>
                      <w:rFonts w:hint="eastAsia" w:ascii="仿宋_GB2312" w:hAnsi="仿宋_GB2312" w:eastAsia="仿宋_GB2312"/>
                      <w:szCs w:val="21"/>
                      <w:highlight w:val="none"/>
                    </w:rPr>
                    <w:t>&lt;</w:t>
                  </w:r>
                  <w:r>
                    <w:rPr>
                      <w:rFonts w:hint="eastAsia" w:ascii="仿宋_GB2312" w:eastAsia="仿宋_GB2312"/>
                      <w:szCs w:val="21"/>
                      <w:highlight w:val="none"/>
                    </w:rPr>
                    <w:t>20</w:t>
                  </w:r>
                </w:p>
              </w:tc>
              <w:tc>
                <w:tcPr>
                  <w:tcW w:w="2106" w:type="dxa"/>
                  <w:noWrap w:val="0"/>
                  <w:vAlign w:val="top"/>
                </w:tcPr>
                <w:p>
                  <w:pPr>
                    <w:spacing w:line="460" w:lineRule="exact"/>
                    <w:jc w:val="center"/>
                    <w:rPr>
                      <w:rFonts w:ascii="仿宋_GB2312" w:eastAsia="仿宋_GB2312"/>
                      <w:szCs w:val="21"/>
                      <w:highlight w:val="none"/>
                    </w:rPr>
                  </w:pPr>
                  <w:r>
                    <w:rPr>
                      <w:rFonts w:hint="eastAsia" w:ascii="仿宋_GB2312" w:eastAsia="仿宋_GB2312"/>
                      <w:szCs w:val="21"/>
                      <w:highlight w:val="none"/>
                    </w:rPr>
                    <w:t>30%</w:t>
                  </w:r>
                </w:p>
              </w:tc>
            </w:tr>
          </w:tbl>
          <w:p>
            <w:pPr>
              <w:numPr>
                <w:ilvl w:val="0"/>
                <w:numId w:val="2"/>
              </w:numPr>
              <w:spacing w:line="460" w:lineRule="exact"/>
              <w:ind w:firstLine="420" w:firstLineChars="200"/>
              <w:rPr>
                <w:rFonts w:hint="eastAsia" w:ascii="宋体" w:hAnsi="宋体" w:cs="宋体"/>
                <w:highlight w:val="none"/>
              </w:rPr>
            </w:pPr>
            <w:r>
              <w:rPr>
                <w:rFonts w:hint="eastAsia" w:ascii="宋体" w:hAnsi="宋体" w:cs="宋体"/>
                <w:highlight w:val="none"/>
              </w:rPr>
              <w:t>考核扣款：</w:t>
            </w:r>
          </w:p>
          <w:p>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a.成交供应商驻场人员未遵守采购人工作时间，按时打卡。上下班存在迟到、早退等情况的，每发现一次扣款500元。</w:t>
            </w:r>
          </w:p>
          <w:p>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b.成交供应商驻场人员与其提交的响应文件中的驻场人员名单不一致的，每发现1个人员，扣款10000元；驻场人员不得随意更换，更换后的人员应持有不低于原驻场人员的相关资质，无特殊情况在项目期间不能有超过2人以上的人员变</w:t>
            </w:r>
            <w:r>
              <w:rPr>
                <w:rFonts w:hint="eastAsia" w:ascii="宋体" w:hAnsi="宋体" w:eastAsia="宋体" w:cs="宋体"/>
                <w:szCs w:val="21"/>
                <w:highlight w:val="none"/>
              </w:rPr>
              <w:t>动</w:t>
            </w:r>
            <w:r>
              <w:rPr>
                <w:rFonts w:hint="eastAsia" w:ascii="宋体" w:hAnsi="宋体" w:cs="宋体"/>
                <w:szCs w:val="21"/>
                <w:highlight w:val="none"/>
              </w:rPr>
              <w:t>，如需变动至少提前2个月正式书面通知采购人，并提供新驻场人员的相关资质材料。</w:t>
            </w:r>
          </w:p>
          <w:p>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c.成交供应商应保障采购人在国家、行业和自治区网络安全攻防演习（护网）期间网络和系统不被攻破，采购人每被攻击队攻破一次，扣除成交供应商5000元。</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d.成交供应商应保障采购人在国家和自治区重大活动及重大节假日等重要时期不被攻破，采购人每被攻破一次，扣除成交供应商扣50000元。</w:t>
            </w:r>
          </w:p>
          <w:p>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5.验收款</w:t>
            </w:r>
            <w:r>
              <w:rPr>
                <w:rFonts w:hint="eastAsia" w:ascii="宋体" w:hAnsi="宋体" w:cs="宋体"/>
                <w:szCs w:val="21"/>
                <w:highlight w:val="none"/>
                <w:lang w:eastAsia="zh-CN"/>
              </w:rPr>
              <w:t>（考核服务费）</w:t>
            </w:r>
            <w:r>
              <w:rPr>
                <w:rFonts w:hint="eastAsia" w:ascii="宋体" w:hAnsi="宋体" w:cs="宋体"/>
                <w:szCs w:val="21"/>
                <w:highlight w:val="none"/>
              </w:rPr>
              <w:t>：本合同履行完毕后，成交供应商按照项目要求准备齐全验收材料并向采购人提出项目验收申请，由采购人组织专家对本项目进行验收（验收费用由采购人承担）。验收不合格的成交供应商须在15个工作日内进行整改，再按上述验收流程由采购人再次组织验收（验收费用由成交供应商承担），直至项目通过专家验收。</w:t>
            </w:r>
          </w:p>
          <w:p>
            <w:pPr>
              <w:spacing w:line="460" w:lineRule="exact"/>
              <w:ind w:firstLine="420" w:firstLineChars="200"/>
              <w:rPr>
                <w:highlight w:val="none"/>
              </w:rPr>
            </w:pPr>
            <w:r>
              <w:rPr>
                <w:rFonts w:hint="eastAsia" w:ascii="宋体" w:hAnsi="宋体" w:cs="宋体"/>
                <w:szCs w:val="21"/>
                <w:highlight w:val="none"/>
              </w:rPr>
              <w:t>6．成交供应商在合同期内发生《广西财政厅网络安全保障服务考核办法》规定的重大事故或累计第二次发生较大事故的，采购人可单方面终止合同，并拒付合同终止时当期全额服务款。其余违约追责及终止合同处理分别详见合同中“第八条违约责任”及“第九条争议解决和合同终止”条款。</w:t>
            </w:r>
          </w:p>
          <w:p>
            <w:pPr>
              <w:pStyle w:val="90"/>
              <w:spacing w:line="460" w:lineRule="exact"/>
              <w:ind w:firstLine="420" w:firstLineChars="200"/>
              <w:rPr>
                <w:rFonts w:ascii="黑体" w:eastAsia="黑体"/>
                <w:kern w:val="0"/>
                <w:szCs w:val="21"/>
                <w:highlight w:val="none"/>
              </w:rPr>
            </w:pPr>
            <w:r>
              <w:rPr>
                <w:rFonts w:hint="eastAsia" w:ascii="宋体" w:hAnsi="宋体" w:cs="宋体"/>
                <w:sz w:val="21"/>
                <w:szCs w:val="21"/>
                <w:highlight w:val="none"/>
              </w:rPr>
              <w:t>7．成交供应商自收到款项之日起10个工作日内开具发票给采购人。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7"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szCs w:val="21"/>
                <w:highlight w:val="none"/>
              </w:rPr>
            </w:pPr>
            <w:r>
              <w:rPr>
                <w:rFonts w:hint="eastAsia" w:ascii="宋体" w:hAnsi="宋体" w:cs="宋体"/>
                <w:szCs w:val="21"/>
                <w:highlight w:val="none"/>
              </w:rPr>
              <w:t>其它要求</w:t>
            </w:r>
          </w:p>
        </w:tc>
        <w:tc>
          <w:tcPr>
            <w:tcW w:w="785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highlight w:val="none"/>
              </w:rPr>
            </w:pPr>
            <w:r>
              <w:rPr>
                <w:rFonts w:hint="eastAsia"/>
                <w:highlight w:val="none"/>
              </w:rPr>
              <w:t>1.成交供应商在实施项目过程中的交通费、差旅费、住宿费、伙食费、通讯费等自理，所有费用均应包含在磋商报价中，不再另做结算。成交供应商实施项目维护工作期间如出现维护人员人身、财产安全事故、损失等由成交供应商全部负责，采购人不负任何责任。</w:t>
            </w:r>
          </w:p>
          <w:p>
            <w:pPr>
              <w:spacing w:line="460" w:lineRule="exact"/>
              <w:rPr>
                <w:rFonts w:hint="eastAsia" w:eastAsia="宋体"/>
                <w:highlight w:val="none"/>
                <w:lang w:val="en-US" w:eastAsia="zh-CN"/>
              </w:rPr>
            </w:pPr>
            <w:r>
              <w:rPr>
                <w:rFonts w:hint="eastAsia"/>
                <w:highlight w:val="none"/>
              </w:rPr>
              <w:t>2.成交供应商须承诺加强参与本项目人员的遵纪守法、廉洁自律教育和监督，对项目人员在项目期间实施违法犯罪行为并对采购人利益造成的侵害承担相应经济和法律责任，在签订合同时提供参与项目人员的</w:t>
            </w:r>
            <w:r>
              <w:rPr>
                <w:rFonts w:hint="eastAsia"/>
                <w:highlight w:val="none"/>
                <w:lang w:eastAsia="zh-CN"/>
              </w:rPr>
              <w:t>承诺书</w:t>
            </w:r>
            <w:r>
              <w:rPr>
                <w:rFonts w:hint="eastAsia"/>
                <w:highlight w:val="none"/>
              </w:rPr>
              <w:t>。</w:t>
            </w:r>
          </w:p>
        </w:tc>
      </w:tr>
    </w:tbl>
    <w:p>
      <w:pPr>
        <w:tabs>
          <w:tab w:val="left" w:pos="180"/>
          <w:tab w:val="left" w:pos="1620"/>
        </w:tabs>
        <w:spacing w:line="360" w:lineRule="auto"/>
        <w:rPr>
          <w:rFonts w:hint="eastAsia" w:cs="宋体"/>
          <w:b/>
          <w:bCs/>
          <w:szCs w:val="21"/>
          <w:highlight w:val="none"/>
        </w:rPr>
      </w:pPr>
    </w:p>
    <w:p>
      <w:pPr>
        <w:tabs>
          <w:tab w:val="left" w:pos="180"/>
          <w:tab w:val="left" w:pos="1620"/>
        </w:tabs>
        <w:spacing w:line="360" w:lineRule="auto"/>
        <w:rPr>
          <w:rFonts w:hint="eastAsia" w:cs="宋体"/>
          <w:b/>
          <w:bCs/>
          <w:sz w:val="24"/>
          <w:highlight w:val="none"/>
        </w:rPr>
      </w:pPr>
    </w:p>
    <w:p>
      <w:pPr>
        <w:spacing w:line="428" w:lineRule="exact"/>
        <w:ind w:left="119"/>
        <w:rPr>
          <w:rFonts w:hint="eastAsia" w:ascii="Arial Unicode MS" w:hAnsi="Arial Unicode MS" w:eastAsia="Arial Unicode MS" w:cs="Arial Unicode MS"/>
          <w:sz w:val="32"/>
          <w:szCs w:val="32"/>
          <w:highlight w:val="none"/>
        </w:rPr>
      </w:pPr>
    </w:p>
    <w:p>
      <w:pPr>
        <w:widowControl/>
        <w:spacing w:line="400" w:lineRule="exact"/>
        <w:jc w:val="center"/>
        <w:outlineLvl w:val="1"/>
        <w:rPr>
          <w:rFonts w:hint="eastAsia" w:ascii="方正小标宋简体" w:hAnsi="宋体" w:eastAsia="方正小标宋简体"/>
          <w:sz w:val="28"/>
          <w:szCs w:val="28"/>
          <w:highlight w:val="none"/>
        </w:rPr>
      </w:pPr>
      <w:bookmarkStart w:id="46" w:name="_Toc97806497"/>
      <w:bookmarkStart w:id="47" w:name="_Toc1408372151"/>
      <w:r>
        <w:rPr>
          <w:rFonts w:hint="eastAsia" w:ascii="方正小标宋简体" w:hAnsi="宋体" w:eastAsia="方正小标宋简体"/>
          <w:sz w:val="28"/>
          <w:szCs w:val="28"/>
          <w:highlight w:val="none"/>
        </w:rPr>
        <w:br w:type="page"/>
      </w:r>
      <w:r>
        <w:rPr>
          <w:rFonts w:hint="eastAsia" w:ascii="方正小标宋简体" w:hAnsi="宋体" w:eastAsia="方正小标宋简体"/>
          <w:sz w:val="28"/>
          <w:szCs w:val="28"/>
          <w:highlight w:val="none"/>
        </w:rPr>
        <w:t>广西财政厅网络安全保障服务考核办法</w:t>
      </w:r>
      <w:bookmarkEnd w:id="46"/>
      <w:bookmarkEnd w:id="47"/>
    </w:p>
    <w:p>
      <w:pPr>
        <w:widowControl/>
        <w:spacing w:line="400" w:lineRule="exact"/>
        <w:jc w:val="center"/>
        <w:rPr>
          <w:rFonts w:hint="eastAsia" w:ascii="宋体" w:hAnsi="宋体" w:eastAsia="方正小标宋简体"/>
          <w:b/>
          <w:szCs w:val="21"/>
          <w:highlight w:val="none"/>
        </w:rPr>
      </w:pPr>
    </w:p>
    <w:p>
      <w:pPr>
        <w:spacing w:line="400" w:lineRule="exact"/>
        <w:ind w:firstLine="420" w:firstLineChars="200"/>
        <w:rPr>
          <w:rFonts w:hint="eastAsia" w:ascii="宋体" w:hAnsi="宋体"/>
          <w:szCs w:val="21"/>
          <w:highlight w:val="none"/>
        </w:rPr>
      </w:pPr>
      <w:r>
        <w:rPr>
          <w:rFonts w:hint="eastAsia" w:ascii="宋体" w:hAnsi="宋体"/>
          <w:szCs w:val="21"/>
          <w:highlight w:val="none"/>
        </w:rPr>
        <w:t>为做好广西财政厅网络安全运维保障服务工作，加强对网络安全运维保障服务商的监督管理，规范其服务行为，确保网络安全保障服务有效执行，提高广西财政厅网络和系统的安全防御能力，特制定本办法。</w:t>
      </w:r>
    </w:p>
    <w:p>
      <w:pPr>
        <w:spacing w:line="400" w:lineRule="exact"/>
        <w:ind w:firstLine="420" w:firstLineChars="200"/>
        <w:outlineLvl w:val="1"/>
        <w:rPr>
          <w:rFonts w:hint="eastAsia" w:ascii="宋体" w:hAnsi="宋体"/>
          <w:szCs w:val="21"/>
          <w:highlight w:val="none"/>
        </w:rPr>
      </w:pPr>
      <w:r>
        <w:rPr>
          <w:rFonts w:hint="eastAsia" w:ascii="宋体" w:hAnsi="宋体"/>
          <w:szCs w:val="21"/>
          <w:highlight w:val="none"/>
        </w:rPr>
        <w:t>一、考核范围</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本办法适用于广西财政厅网络安全运维保障服务商（以下简称“服务商”）依合同为广西财政信息管理中心（以下简称“信息管理中心”）提供的网络安全保障服务（以下简称“服务”）。</w:t>
      </w:r>
    </w:p>
    <w:p>
      <w:pPr>
        <w:spacing w:line="400" w:lineRule="exact"/>
        <w:ind w:firstLine="420" w:firstLineChars="200"/>
        <w:outlineLvl w:val="1"/>
        <w:rPr>
          <w:rFonts w:hint="eastAsia" w:ascii="宋体" w:hAnsi="宋体"/>
          <w:szCs w:val="21"/>
          <w:highlight w:val="none"/>
        </w:rPr>
      </w:pPr>
      <w:r>
        <w:rPr>
          <w:rFonts w:hint="eastAsia" w:ascii="宋体" w:hAnsi="宋体"/>
          <w:szCs w:val="21"/>
          <w:highlight w:val="none"/>
        </w:rPr>
        <w:t>二、考核内容</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信息管理中心对合同规定的服务进行考核，检查服务是否满足合同要求。</w:t>
      </w:r>
    </w:p>
    <w:p>
      <w:pPr>
        <w:spacing w:line="400" w:lineRule="exact"/>
        <w:ind w:firstLine="420" w:firstLineChars="200"/>
        <w:outlineLvl w:val="1"/>
        <w:rPr>
          <w:rFonts w:hint="eastAsia" w:ascii="宋体" w:hAnsi="宋体"/>
          <w:szCs w:val="21"/>
          <w:highlight w:val="none"/>
        </w:rPr>
      </w:pPr>
      <w:r>
        <w:rPr>
          <w:rFonts w:hint="eastAsia" w:ascii="宋体" w:hAnsi="宋体"/>
          <w:szCs w:val="21"/>
          <w:highlight w:val="none"/>
        </w:rPr>
        <w:t>三、评分办法</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（一）服务内容分为四大项、13小项来进行评分，评分细则详见附表1。</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（二）评分</w:t>
      </w:r>
      <w:r>
        <w:rPr>
          <w:rFonts w:hint="eastAsia" w:ascii="宋体" w:hAnsi="宋体"/>
          <w:szCs w:val="21"/>
          <w:highlight w:val="none"/>
          <w:lang w:eastAsia="zh-CN"/>
        </w:rPr>
        <w:t>人</w:t>
      </w:r>
      <w:r>
        <w:rPr>
          <w:rFonts w:hint="eastAsia" w:ascii="宋体" w:hAnsi="宋体"/>
          <w:szCs w:val="21"/>
          <w:highlight w:val="none"/>
        </w:rPr>
        <w:t>为信息管理中心人员，评分参考依据为服务合同、服务方案、维护报告和相关文档记录。</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（三）服务考核总分为100分，采取扣分制，最终得分为总分减去扣分。扣分事项应经双方项目负责人签字或加盖单位公章确认方为有效。</w:t>
      </w:r>
    </w:p>
    <w:p>
      <w:pPr>
        <w:spacing w:line="400" w:lineRule="exact"/>
        <w:ind w:firstLine="420" w:firstLineChars="200"/>
        <w:outlineLvl w:val="1"/>
        <w:rPr>
          <w:rFonts w:hint="eastAsia" w:ascii="宋体" w:hAnsi="宋体"/>
          <w:szCs w:val="21"/>
          <w:highlight w:val="none"/>
        </w:rPr>
      </w:pPr>
      <w:r>
        <w:rPr>
          <w:rFonts w:hint="eastAsia" w:ascii="宋体" w:hAnsi="宋体"/>
          <w:szCs w:val="21"/>
          <w:highlight w:val="none"/>
        </w:rPr>
        <w:t>四、安全事故定级标准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由于服务商未认真落实合同内容而造成安全事故的，将根据安全事故等级采取额外扣分措施。安全事故定级和解释如下：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一）重大事故。是指使广西财政厅数据处理中心设备、业务系统或财政网络遭受重大的损失，影响涉及大部分厅内用户或预算单位；或者出现广西财政厅网站（系统）被入侵、篡改，恢复正常运行和消除事故负面影响所需付出代价非常大，对于信息管理中心来说不可承受。具体有：</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1.发生网站（系统）被攻击、篡改，或者发布非法信息、反动言论等事件，危及国家安全、社会秩序、经济建设和公众利益；或损害广西财政厅声誉，影响广西财政厅正常工作秩序。</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2.财政核心信息系统（网站、平台）出现故障，解决时间超过16小时，导致财政业务系统无法正常运行；</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3.财政核心信息系统（网站、平台）业务数据丢失或者被破坏，无法恢复；</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4.广西财政厅网络出现大面积瘫痪超过16小时；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5.主机、应用系统、网络设备等被黑客入侵，导致财政业务核心数据、文件被窃取或篡改；</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6.设置系统不当、未及时修补系统缺陷或漏洞，导致错支财政资金，发生资金安全事故的；</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7.其它特别严重的事故。</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本期内发生一次重大事故的，本期考核扣100分，考核结果为不合格。</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二）较大事故。是指使广西财政厅数据处理中心设备、业务系统或财政网络遭受大的损失，影响涉及部分厅内用户或预算单位；或者出现广西财政厅网站（系统）被入侵、篡改，恢复正常运行和消除事故负面影响所需付出代价很大，但对于信息管理中心来说仍可承受。具体有：</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（1）发生网站（系统）被攻击、篡改等信息内容安全事件，但未出现非法言论等有害信息、未篡改重要公告、通知等信息；</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（2）财政核心信息系统（网站、平台）出现故障，导致财政业务系统无法正常运行，解决时间超过8小时；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（3）财政核心信息系统（网站、平台）业务数据丢失或者被破坏，恢复时间超过8小时；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（4）广西财政厅网络出现大面积瘫痪超过8小时；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（5）主机、应用系统、网络设备等被黑客入侵，导致财政业务一般数据、文件被窃取或篡改；</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（6）设置系统不当、未及时修补系统缺陷或漏洞，导致财政无法与银行清算资金，影响比较严重的；</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（7）其它后果严重的事故。</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本期内发生较大事故的，本期考核每次扣30分。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三）一般事故。是指使广西财政厅数据处理中心设备、业务系统或财政网络遭受损失，影响涉及部分厅内用户或预算单位；恢复正常运行和消除事故负面影响所需付出代价较大，但对于信息管理中心来说可承受。具体有：</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（1）主机、应用系统、网络设备等被黑客入侵，但未造成数据丢失、篡改等实质损失。</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（2）财政核心信息系统（网站、平台）出现故障，导致财政业务系统无法正常运行，解决时间超过4小时；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（3）财政核心信息系统（网站、平台）业务数据、文件丢失或者被破坏，恢复时间超过4小时；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（4）广西财政厅网络出现大面积瘫痪超过4小时；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（5）主机、应用系统、网络设备等被黑客入侵，但未发生实际损失；</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（6）产生其它不利后果的事故。</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本期内发生一般事故的，考核每次扣10分。</w:t>
      </w:r>
    </w:p>
    <w:p>
      <w:pPr>
        <w:spacing w:line="400" w:lineRule="exact"/>
        <w:ind w:firstLine="420" w:firstLineChars="200"/>
        <w:rPr>
          <w:rFonts w:hint="eastAsia" w:ascii="仿宋_GB2312" w:hAnsi="仿宋_GB2312" w:eastAsia="仿宋_GB2312" w:cs="仿宋_GB2312"/>
          <w:szCs w:val="21"/>
          <w:highlight w:val="none"/>
        </w:rPr>
      </w:pPr>
    </w:p>
    <w:p>
      <w:pPr>
        <w:widowControl/>
        <w:spacing w:line="560" w:lineRule="exact"/>
        <w:jc w:val="left"/>
        <w:rPr>
          <w:rFonts w:hint="eastAsia" w:ascii="黑体" w:hAnsi="黑体" w:eastAsia="黑体"/>
          <w:sz w:val="32"/>
          <w:szCs w:val="32"/>
          <w:highlight w:val="none"/>
        </w:rPr>
      </w:pPr>
      <w:r>
        <w:rPr>
          <w:rFonts w:hint="eastAsia" w:ascii="宋体" w:hAnsi="宋体"/>
          <w:szCs w:val="21"/>
          <w:highlight w:val="none"/>
        </w:rPr>
        <w:br w:type="page"/>
      </w:r>
      <w:bookmarkStart w:id="48" w:name="_Toc97806498"/>
      <w:bookmarkStart w:id="49" w:name="_Toc1666608319"/>
      <w:r>
        <w:rPr>
          <w:rFonts w:hint="eastAsia" w:ascii="黑体" w:hAnsi="黑体" w:eastAsia="黑体"/>
          <w:szCs w:val="21"/>
          <w:highlight w:val="none"/>
        </w:rPr>
        <w:t>附表</w:t>
      </w:r>
      <w:bookmarkEnd w:id="48"/>
      <w:r>
        <w:rPr>
          <w:rFonts w:hint="eastAsia" w:ascii="黑体" w:hAnsi="黑体" w:eastAsia="黑体"/>
          <w:szCs w:val="21"/>
          <w:highlight w:val="none"/>
        </w:rPr>
        <w:t>1</w:t>
      </w:r>
      <w:bookmarkEnd w:id="49"/>
    </w:p>
    <w:p>
      <w:pPr>
        <w:widowControl/>
        <w:spacing w:line="560" w:lineRule="exact"/>
        <w:jc w:val="center"/>
        <w:outlineLvl w:val="1"/>
        <w:rPr>
          <w:rFonts w:hint="eastAsia" w:ascii="宋体" w:hAnsi="宋体" w:eastAsia="方正小标宋简体"/>
          <w:sz w:val="44"/>
          <w:szCs w:val="44"/>
          <w:highlight w:val="none"/>
        </w:rPr>
      </w:pPr>
      <w:bookmarkStart w:id="50" w:name="_Toc1808118588"/>
      <w:bookmarkStart w:id="51" w:name="_Toc97806499"/>
      <w:r>
        <w:rPr>
          <w:rFonts w:hint="eastAsia" w:ascii="宋体" w:hAnsi="宋体" w:eastAsia="方正小标宋简体"/>
          <w:sz w:val="28"/>
          <w:szCs w:val="28"/>
          <w:highlight w:val="none"/>
        </w:rPr>
        <w:t>网络安全保障服务考核表</w:t>
      </w:r>
      <w:bookmarkEnd w:id="50"/>
      <w:bookmarkEnd w:id="51"/>
    </w:p>
    <w:tbl>
      <w:tblPr>
        <w:tblStyle w:val="29"/>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81"/>
        <w:gridCol w:w="1355"/>
        <w:gridCol w:w="5994"/>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90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2"/>
              <w:rPr>
                <w:rFonts w:ascii="宋体" w:hAnsi="宋体" w:cs="宋体"/>
                <w:b/>
                <w:szCs w:val="21"/>
                <w:highlight w:val="none"/>
              </w:rPr>
            </w:pPr>
            <w:r>
              <w:rPr>
                <w:rFonts w:hint="eastAsia" w:ascii="宋体" w:hAnsi="宋体" w:cs="宋体"/>
                <w:b/>
                <w:szCs w:val="21"/>
                <w:highlight w:val="none"/>
              </w:rPr>
              <w:t>考核</w:t>
            </w:r>
            <w:r>
              <w:rPr>
                <w:rFonts w:hint="eastAsia" w:ascii="宋体" w:hAnsi="宋体" w:cs="宋体"/>
                <w:b/>
                <w:szCs w:val="21"/>
                <w:highlight w:val="none"/>
                <w:lang w:eastAsia="zh-CN"/>
              </w:rPr>
              <w:t>时间</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90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2"/>
              <w:rPr>
                <w:rFonts w:ascii="宋体" w:hAnsi="宋体" w:cs="宋体"/>
                <w:b/>
                <w:szCs w:val="21"/>
                <w:highlight w:val="none"/>
              </w:rPr>
            </w:pPr>
            <w:r>
              <w:rPr>
                <w:rFonts w:hint="eastAsia" w:ascii="宋体" w:hAnsi="宋体" w:cs="宋体"/>
                <w:b/>
                <w:szCs w:val="21"/>
                <w:highlight w:val="none"/>
              </w:rPr>
              <w:t xml:space="preserve">考核对象（服务商名称）：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szCs w:val="21"/>
                <w:highlight w:val="none"/>
              </w:rPr>
            </w:pPr>
            <w:r>
              <w:rPr>
                <w:rFonts w:hint="eastAsia" w:ascii="宋体" w:hAnsi="宋体" w:cs="宋体"/>
                <w:b/>
                <w:bCs/>
                <w:szCs w:val="21"/>
                <w:highlight w:val="none"/>
              </w:rPr>
              <w:t>考核</w:t>
            </w:r>
          </w:p>
          <w:p>
            <w:pPr>
              <w:widowControl/>
              <w:spacing w:line="400" w:lineRule="exact"/>
              <w:jc w:val="center"/>
              <w:rPr>
                <w:rFonts w:ascii="宋体" w:hAnsi="宋体" w:cs="宋体"/>
                <w:b/>
                <w:bCs/>
                <w:szCs w:val="21"/>
                <w:highlight w:val="none"/>
              </w:rPr>
            </w:pPr>
            <w:r>
              <w:rPr>
                <w:rFonts w:hint="eastAsia" w:ascii="宋体" w:hAnsi="宋体" w:cs="宋体"/>
                <w:b/>
                <w:bCs/>
                <w:szCs w:val="21"/>
                <w:highlight w:val="none"/>
              </w:rPr>
              <w:t>项目</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szCs w:val="21"/>
                <w:highlight w:val="none"/>
              </w:rPr>
            </w:pPr>
            <w:r>
              <w:rPr>
                <w:rFonts w:hint="eastAsia" w:ascii="宋体" w:hAnsi="宋体" w:cs="宋体"/>
                <w:b/>
                <w:bCs/>
                <w:szCs w:val="21"/>
                <w:highlight w:val="none"/>
              </w:rPr>
              <w:t>项目内容（分数）</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szCs w:val="21"/>
                <w:highlight w:val="none"/>
              </w:rPr>
            </w:pPr>
            <w:r>
              <w:rPr>
                <w:rFonts w:hint="eastAsia" w:ascii="宋体" w:hAnsi="宋体" w:cs="宋体"/>
                <w:b/>
                <w:bCs/>
                <w:szCs w:val="21"/>
                <w:highlight w:val="none"/>
              </w:rPr>
              <w:t>评分细则（扣分制）</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szCs w:val="21"/>
                <w:highlight w:val="none"/>
              </w:rPr>
            </w:pPr>
            <w:r>
              <w:rPr>
                <w:rFonts w:hint="eastAsia" w:ascii="宋体" w:hAnsi="宋体" w:cs="宋体"/>
                <w:b/>
                <w:bCs/>
                <w:szCs w:val="21"/>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szCs w:val="21"/>
                <w:highlight w:val="none"/>
              </w:rPr>
            </w:pPr>
            <w:r>
              <w:rPr>
                <w:rFonts w:hint="eastAsia" w:ascii="宋体" w:hAnsi="宋体" w:cs="宋体"/>
                <w:szCs w:val="21"/>
                <w:highlight w:val="none"/>
              </w:rPr>
              <w:t>1</w:t>
            </w:r>
          </w:p>
        </w:tc>
        <w:tc>
          <w:tcPr>
            <w:tcW w:w="11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bCs/>
                <w:szCs w:val="21"/>
                <w:highlight w:val="none"/>
              </w:rPr>
            </w:pPr>
            <w:r>
              <w:rPr>
                <w:rFonts w:hint="eastAsia" w:ascii="宋体" w:hAnsi="宋体" w:cs="宋体"/>
                <w:b/>
                <w:bCs/>
                <w:szCs w:val="21"/>
                <w:highlight w:val="none"/>
              </w:rPr>
              <w:t>风险评估及加固服务</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脆弱性扫描（6分）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脆弱性扫描等安全服务存在遗漏的，每个系统</w:t>
            </w:r>
            <w:r>
              <w:rPr>
                <w:rFonts w:hint="eastAsia" w:ascii="宋体" w:hAnsi="宋体" w:cs="宋体"/>
                <w:b/>
                <w:szCs w:val="21"/>
                <w:highlight w:val="none"/>
              </w:rPr>
              <w:t>扣1分，最多扣6分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szCs w:val="21"/>
                <w:highlight w:val="none"/>
              </w:rPr>
            </w:pPr>
            <w:r>
              <w:rPr>
                <w:rFonts w:hint="eastAsia" w:ascii="宋体" w:hAnsi="宋体" w:cs="宋体"/>
                <w:szCs w:val="21"/>
                <w:highlight w:val="none"/>
              </w:rPr>
              <w:t>2</w:t>
            </w: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szCs w:val="21"/>
                <w:highlight w:val="none"/>
              </w:rPr>
            </w:pP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渗透测试（10分）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①在进行渗透测试时，未成功渗透相关系统，但在同样环境、时限下（14个日历日内），第三方机构成功渗透相关系统的，每个系统</w:t>
            </w:r>
            <w:r>
              <w:rPr>
                <w:rFonts w:hint="eastAsia" w:ascii="宋体" w:hAnsi="宋体" w:cs="宋体"/>
                <w:b/>
                <w:szCs w:val="21"/>
                <w:highlight w:val="none"/>
              </w:rPr>
              <w:t>扣1分，最多扣5分。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p>
            <w:pPr>
              <w:widowControl/>
              <w:spacing w:line="400" w:lineRule="exact"/>
              <w:jc w:val="left"/>
              <w:rPr>
                <w:rFonts w:hint="eastAsia" w:ascii="宋体" w:hAnsi="宋体" w:cs="宋体"/>
                <w:szCs w:val="21"/>
                <w:highlight w:val="none"/>
              </w:rPr>
            </w:pPr>
          </w:p>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②渗透测试未坚持无害化原则造成影响的，每个系统每次</w:t>
            </w:r>
            <w:r>
              <w:rPr>
                <w:rFonts w:hint="eastAsia" w:ascii="宋体" w:hAnsi="宋体" w:cs="宋体"/>
                <w:b/>
                <w:szCs w:val="21"/>
                <w:highlight w:val="none"/>
              </w:rPr>
              <w:t>扣1分，最多扣5分。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szCs w:val="21"/>
                <w:highlight w:val="none"/>
              </w:rPr>
            </w:pPr>
            <w:r>
              <w:rPr>
                <w:rFonts w:hint="eastAsia" w:ascii="宋体" w:hAnsi="宋体" w:cs="宋体"/>
                <w:szCs w:val="21"/>
                <w:highlight w:val="none"/>
              </w:rPr>
              <w:t>3</w:t>
            </w: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szCs w:val="21"/>
                <w:highlight w:val="none"/>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安全配置</w:t>
            </w:r>
          </w:p>
          <w:p>
            <w:pPr>
              <w:widowControl/>
              <w:spacing w:line="400" w:lineRule="exact"/>
              <w:jc w:val="center"/>
              <w:rPr>
                <w:rFonts w:ascii="宋体" w:hAnsi="宋体" w:cs="宋体"/>
                <w:b/>
                <w:szCs w:val="21"/>
                <w:highlight w:val="none"/>
              </w:rPr>
            </w:pPr>
            <w:r>
              <w:rPr>
                <w:rFonts w:hint="eastAsia" w:ascii="宋体" w:hAnsi="宋体" w:cs="宋体"/>
                <w:b/>
                <w:szCs w:val="21"/>
                <w:highlight w:val="none"/>
              </w:rPr>
              <w:t>检查（4分）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Cs w:val="21"/>
                <w:highlight w:val="none"/>
              </w:rPr>
            </w:pPr>
            <w:r>
              <w:rPr>
                <w:rFonts w:hint="eastAsia" w:ascii="宋体" w:hAnsi="宋体" w:cs="宋体"/>
                <w:szCs w:val="21"/>
                <w:highlight w:val="none"/>
              </w:rPr>
              <w:t>未认真进行安全配置检查，导致存在重大安全配置问题，每台设备</w:t>
            </w:r>
            <w:r>
              <w:rPr>
                <w:rFonts w:hint="eastAsia" w:ascii="宋体" w:hAnsi="宋体" w:cs="宋体"/>
                <w:b/>
                <w:szCs w:val="21"/>
                <w:highlight w:val="none"/>
              </w:rPr>
              <w:t>扣1分，最多扣4分</w:t>
            </w:r>
            <w:r>
              <w:rPr>
                <w:rFonts w:hint="eastAsia" w:ascii="宋体" w:hAnsi="宋体" w:cs="宋体"/>
                <w:szCs w:val="21"/>
                <w:highlight w:val="none"/>
              </w:rPr>
              <w:t>。（当期没计划开展的不扣分）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szCs w:val="21"/>
                <w:highlight w:val="none"/>
              </w:rPr>
            </w:pPr>
            <w:r>
              <w:rPr>
                <w:rFonts w:hint="eastAsia" w:ascii="宋体" w:hAnsi="宋体" w:cs="宋体"/>
                <w:szCs w:val="21"/>
                <w:highlight w:val="none"/>
              </w:rPr>
              <w:t>4</w:t>
            </w: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szCs w:val="21"/>
                <w:highlight w:val="none"/>
              </w:rPr>
            </w:pP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技术性加固（10分）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业务系统或服务器出现高危险以上安全漏洞、安全设备出现重大安全隐患，应进行技术性加固或提出可行的临时解决方案,并对修复的情况进行记录和跟进。</w:t>
            </w:r>
          </w:p>
          <w:p>
            <w:pPr>
              <w:widowControl/>
              <w:spacing w:line="400" w:lineRule="exact"/>
              <w:jc w:val="left"/>
              <w:rPr>
                <w:rFonts w:ascii="宋体" w:hAnsi="宋体" w:cs="宋体"/>
                <w:szCs w:val="21"/>
                <w:highlight w:val="none"/>
              </w:rPr>
            </w:pPr>
            <w:r>
              <w:rPr>
                <w:rFonts w:hint="eastAsia" w:ascii="宋体" w:hAnsi="宋体" w:cs="宋体"/>
                <w:szCs w:val="21"/>
                <w:highlight w:val="none"/>
              </w:rPr>
              <w:t>①进行有效技术性加固也未提出临时解决方案超过20日（日历日，含本数，下同）的，每个系统</w:t>
            </w:r>
            <w:r>
              <w:rPr>
                <w:rFonts w:hint="eastAsia" w:ascii="宋体" w:hAnsi="宋体" w:cs="宋体"/>
                <w:b/>
                <w:szCs w:val="21"/>
                <w:highlight w:val="none"/>
              </w:rPr>
              <w:t>扣1分，最多扣6分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②对修复情况进行记录的，每缺一个系统</w:t>
            </w:r>
            <w:r>
              <w:rPr>
                <w:rFonts w:hint="eastAsia" w:ascii="宋体" w:hAnsi="宋体" w:cs="宋体"/>
                <w:b/>
                <w:szCs w:val="21"/>
                <w:highlight w:val="none"/>
              </w:rPr>
              <w:t>扣0．5分，最多扣2分。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③修复情况记录有错漏的，</w:t>
            </w:r>
            <w:r>
              <w:rPr>
                <w:rFonts w:hint="eastAsia" w:ascii="宋体" w:hAnsi="宋体" w:cs="宋体"/>
                <w:b/>
                <w:szCs w:val="21"/>
                <w:highlight w:val="none"/>
              </w:rPr>
              <w:t>每次扣0．5分，最多扣2分。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szCs w:val="21"/>
                <w:highlight w:val="none"/>
              </w:rPr>
            </w:pPr>
            <w:r>
              <w:rPr>
                <w:rFonts w:hint="eastAsia" w:ascii="宋体" w:hAnsi="宋体" w:cs="宋体"/>
                <w:szCs w:val="21"/>
                <w:highlight w:val="none"/>
              </w:rPr>
              <w:t>5</w:t>
            </w:r>
          </w:p>
        </w:tc>
        <w:tc>
          <w:tcPr>
            <w:tcW w:w="11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日常安全保障服务</w:t>
            </w: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网站云</w:t>
            </w:r>
          </w:p>
          <w:p>
            <w:pPr>
              <w:widowControl/>
              <w:spacing w:line="400" w:lineRule="exact"/>
              <w:jc w:val="center"/>
              <w:rPr>
                <w:rFonts w:ascii="宋体" w:hAnsi="宋体" w:cs="宋体"/>
                <w:b/>
                <w:szCs w:val="21"/>
                <w:highlight w:val="none"/>
              </w:rPr>
            </w:pPr>
            <w:r>
              <w:rPr>
                <w:rFonts w:hint="eastAsia" w:ascii="宋体" w:hAnsi="宋体" w:cs="宋体"/>
                <w:b/>
                <w:szCs w:val="21"/>
                <w:highlight w:val="none"/>
              </w:rPr>
              <w:t>防护服务（13分）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在合同规定的时间段内实时对自治区财政厅域名访问的业务系统进行安全监控和流量清洗，及时反映异常情况/可疑事件。</w:t>
            </w:r>
          </w:p>
          <w:p>
            <w:pPr>
              <w:widowControl/>
              <w:spacing w:line="400" w:lineRule="exact"/>
              <w:jc w:val="left"/>
              <w:rPr>
                <w:rFonts w:hint="eastAsia" w:ascii="宋体" w:hAnsi="宋体" w:cs="宋体"/>
                <w:szCs w:val="21"/>
                <w:highlight w:val="none"/>
              </w:rPr>
            </w:pPr>
            <w:r>
              <w:rPr>
                <w:rFonts w:hint="eastAsia" w:ascii="宋体" w:hAnsi="宋体" w:cs="宋体"/>
                <w:b/>
                <w:szCs w:val="21"/>
                <w:highlight w:val="none"/>
              </w:rPr>
              <w:t>1．系统和设备可用性、网络攻击监控，发生异常情况后(5分，最多合计扣5分，下同)</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①在30-120分钟内发现并报告的，每次</w:t>
            </w:r>
            <w:r>
              <w:rPr>
                <w:rFonts w:hint="eastAsia" w:ascii="宋体" w:hAnsi="宋体" w:cs="宋体"/>
                <w:b/>
                <w:szCs w:val="21"/>
                <w:highlight w:val="none"/>
              </w:rPr>
              <w:t>扣</w:t>
            </w:r>
            <w:r>
              <w:rPr>
                <w:rFonts w:hint="eastAsia" w:ascii="宋体" w:hAnsi="宋体" w:cs="宋体"/>
                <w:b/>
                <w:szCs w:val="21"/>
                <w:highlight w:val="none"/>
                <w:lang w:val="en-US" w:eastAsia="zh-CN"/>
              </w:rPr>
              <w:t>0.5</w:t>
            </w:r>
            <w:r>
              <w:rPr>
                <w:rFonts w:hint="eastAsia" w:ascii="宋体" w:hAnsi="宋体" w:cs="宋体"/>
                <w:b/>
                <w:szCs w:val="21"/>
                <w:highlight w:val="none"/>
              </w:rPr>
              <w:t>分，最多扣2分</w:t>
            </w:r>
            <w:r>
              <w:rPr>
                <w:rFonts w:hint="eastAsia" w:ascii="宋体" w:hAnsi="宋体" w:cs="Tahoma"/>
                <w:bCs/>
                <w:kern w:val="0"/>
                <w:szCs w:val="21"/>
                <w:highlight w:val="none"/>
              </w:rPr>
              <w:t>；</w:t>
            </w:r>
          </w:p>
          <w:p>
            <w:pPr>
              <w:widowControl/>
              <w:spacing w:line="400" w:lineRule="exact"/>
              <w:jc w:val="left"/>
              <w:rPr>
                <w:rFonts w:hint="eastAsia" w:ascii="宋体" w:hAnsi="宋体" w:cs="宋体"/>
                <w:b/>
                <w:szCs w:val="21"/>
                <w:highlight w:val="none"/>
              </w:rPr>
            </w:pPr>
            <w:r>
              <w:rPr>
                <w:rFonts w:hint="eastAsia" w:ascii="宋体" w:hAnsi="宋体" w:cs="宋体"/>
                <w:szCs w:val="21"/>
                <w:highlight w:val="none"/>
              </w:rPr>
              <w:t>②超过120分钟以上未发现并报告的，每次</w:t>
            </w:r>
            <w:r>
              <w:rPr>
                <w:rFonts w:hint="eastAsia" w:ascii="宋体" w:hAnsi="宋体" w:cs="宋体"/>
                <w:b/>
                <w:szCs w:val="21"/>
                <w:highlight w:val="none"/>
              </w:rPr>
              <w:t>扣</w:t>
            </w:r>
            <w:r>
              <w:rPr>
                <w:rFonts w:hint="eastAsia" w:ascii="宋体" w:hAnsi="宋体" w:cs="宋体"/>
                <w:b/>
                <w:szCs w:val="21"/>
                <w:highlight w:val="none"/>
                <w:lang w:val="en-US" w:eastAsia="zh-CN"/>
              </w:rPr>
              <w:t>1</w:t>
            </w:r>
            <w:r>
              <w:rPr>
                <w:rFonts w:hint="eastAsia" w:ascii="宋体" w:hAnsi="宋体" w:cs="宋体"/>
                <w:b/>
                <w:szCs w:val="21"/>
                <w:highlight w:val="none"/>
              </w:rPr>
              <w:t>分，最多扣</w:t>
            </w:r>
            <w:r>
              <w:rPr>
                <w:rFonts w:hint="eastAsia" w:ascii="宋体" w:hAnsi="宋体" w:cs="宋体"/>
                <w:b/>
                <w:szCs w:val="21"/>
                <w:highlight w:val="none"/>
                <w:lang w:val="en-US" w:eastAsia="zh-CN"/>
              </w:rPr>
              <w:t>3</w:t>
            </w:r>
            <w:r>
              <w:rPr>
                <w:rFonts w:hint="eastAsia" w:ascii="宋体" w:hAnsi="宋体" w:cs="宋体"/>
                <w:b/>
                <w:szCs w:val="21"/>
                <w:highlight w:val="none"/>
              </w:rPr>
              <w:t>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b/>
                <w:szCs w:val="21"/>
                <w:highlight w:val="none"/>
              </w:rPr>
            </w:pPr>
            <w:r>
              <w:rPr>
                <w:rFonts w:hint="eastAsia" w:ascii="宋体" w:hAnsi="宋体" w:cs="宋体"/>
                <w:b/>
                <w:szCs w:val="21"/>
                <w:highlight w:val="none"/>
              </w:rPr>
              <w:t>2．流量清洗服务（5分）：</w:t>
            </w:r>
          </w:p>
          <w:p>
            <w:pPr>
              <w:widowControl/>
              <w:spacing w:line="400" w:lineRule="exact"/>
              <w:jc w:val="left"/>
              <w:rPr>
                <w:rFonts w:ascii="宋体" w:hAnsi="宋体" w:cs="宋体"/>
                <w:szCs w:val="21"/>
                <w:highlight w:val="none"/>
              </w:rPr>
            </w:pPr>
            <w:r>
              <w:rPr>
                <w:rFonts w:hint="eastAsia" w:ascii="宋体" w:hAnsi="宋体" w:cs="宋体"/>
                <w:szCs w:val="21"/>
                <w:highlight w:val="none"/>
              </w:rPr>
              <w:t>①流量未能被精确识别且被误杀的，每次</w:t>
            </w:r>
            <w:r>
              <w:rPr>
                <w:rFonts w:hint="eastAsia" w:ascii="宋体" w:hAnsi="宋体" w:cs="宋体"/>
                <w:b/>
                <w:szCs w:val="21"/>
                <w:highlight w:val="none"/>
              </w:rPr>
              <w:t>扣1分，最多扣2分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②合同规定的流量范围内，发生DDos/CC攻击，业务系统无法正常访问的，每次</w:t>
            </w:r>
            <w:r>
              <w:rPr>
                <w:rFonts w:hint="eastAsia" w:ascii="宋体" w:hAnsi="宋体" w:cs="宋体"/>
                <w:b/>
                <w:szCs w:val="21"/>
                <w:highlight w:val="none"/>
              </w:rPr>
              <w:t>扣1分，最多扣3分。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b/>
                <w:szCs w:val="21"/>
                <w:highlight w:val="none"/>
              </w:rPr>
            </w:pPr>
            <w:r>
              <w:rPr>
                <w:rFonts w:hint="eastAsia" w:ascii="宋体" w:hAnsi="宋体" w:cs="宋体"/>
                <w:b/>
                <w:szCs w:val="21"/>
                <w:highlight w:val="none"/>
              </w:rPr>
              <w:t>3．IPV6转换服务（3分）：</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①无法通过IPV6网络访问在30-120分钟内发现并报告的，每次</w:t>
            </w:r>
            <w:r>
              <w:rPr>
                <w:rFonts w:hint="eastAsia" w:ascii="宋体" w:hAnsi="宋体" w:cs="宋体"/>
                <w:b/>
                <w:szCs w:val="21"/>
                <w:highlight w:val="none"/>
              </w:rPr>
              <w:t>扣0．5分，最多扣1分</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②无法通过IPV6网络访问超过120分钟以上未发现并报告的，每次</w:t>
            </w:r>
            <w:r>
              <w:rPr>
                <w:rFonts w:hint="eastAsia" w:ascii="宋体" w:hAnsi="宋体" w:cs="宋体"/>
                <w:b/>
                <w:szCs w:val="21"/>
                <w:highlight w:val="none"/>
              </w:rPr>
              <w:t>扣1分，最多扣</w:t>
            </w:r>
            <w:r>
              <w:rPr>
                <w:rFonts w:hint="eastAsia" w:ascii="宋体" w:hAnsi="宋体" w:cs="宋体"/>
                <w:b/>
                <w:szCs w:val="21"/>
                <w:highlight w:val="none"/>
                <w:lang w:val="en-US" w:eastAsia="zh-CN"/>
              </w:rPr>
              <w:t>2</w:t>
            </w:r>
            <w:r>
              <w:rPr>
                <w:rFonts w:hint="eastAsia" w:ascii="宋体" w:hAnsi="宋体" w:cs="宋体"/>
                <w:b/>
                <w:szCs w:val="21"/>
                <w:highlight w:val="none"/>
              </w:rPr>
              <w:t>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驻场值守服务（12分）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①未按要求定期（至多2两周）进行木马、病毒查杀的，每次扣</w:t>
            </w:r>
            <w:r>
              <w:rPr>
                <w:rFonts w:hint="eastAsia" w:ascii="宋体" w:hAnsi="宋体" w:cs="宋体"/>
                <w:b/>
                <w:bCs/>
                <w:szCs w:val="21"/>
                <w:highlight w:val="none"/>
              </w:rPr>
              <w:t>1</w:t>
            </w:r>
            <w:r>
              <w:rPr>
                <w:rFonts w:hint="eastAsia" w:ascii="宋体" w:hAnsi="宋体" w:cs="宋体"/>
                <w:b/>
                <w:szCs w:val="21"/>
                <w:highlight w:val="none"/>
              </w:rPr>
              <w:t>分，最多扣3分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②服务期间遇到需要重点保障的活动，未安排人员值守或未加派人手处理紧急事件的，每次</w:t>
            </w:r>
            <w:r>
              <w:rPr>
                <w:rFonts w:hint="eastAsia" w:ascii="宋体" w:hAnsi="宋体" w:cs="宋体"/>
                <w:b/>
                <w:szCs w:val="21"/>
                <w:highlight w:val="none"/>
              </w:rPr>
              <w:t>扣2分，最多扣6分。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③未配备必要的工具，无法保障服务可用性的，</w:t>
            </w:r>
            <w:r>
              <w:rPr>
                <w:rFonts w:hint="eastAsia" w:ascii="宋体" w:hAnsi="宋体" w:cs="宋体"/>
                <w:b/>
                <w:szCs w:val="21"/>
                <w:highlight w:val="none"/>
              </w:rPr>
              <w:t>扣3分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szCs w:val="21"/>
                <w:highlight w:val="none"/>
              </w:rPr>
            </w:pPr>
            <w:r>
              <w:rPr>
                <w:rFonts w:hint="eastAsia" w:ascii="宋体" w:hAnsi="宋体" w:cs="宋体"/>
                <w:szCs w:val="21"/>
                <w:highlight w:val="none"/>
              </w:rPr>
              <w:t>6</w:t>
            </w:r>
          </w:p>
        </w:tc>
        <w:tc>
          <w:tcPr>
            <w:tcW w:w="11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安全及质量保障</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合同服务内容（10分）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应根据合同内容提供完整服务，未提供相关服务项目的，每缺少一项服务</w:t>
            </w:r>
            <w:r>
              <w:rPr>
                <w:rFonts w:hint="eastAsia" w:ascii="宋体" w:hAnsi="宋体" w:cs="宋体"/>
                <w:b/>
                <w:szCs w:val="21"/>
                <w:highlight w:val="none"/>
              </w:rPr>
              <w:t>扣</w:t>
            </w:r>
            <w:r>
              <w:rPr>
                <w:rFonts w:hint="eastAsia" w:ascii="宋体" w:hAnsi="宋体" w:cs="宋体"/>
                <w:b/>
                <w:szCs w:val="21"/>
                <w:highlight w:val="none"/>
                <w:lang w:val="en-US" w:eastAsia="zh-CN"/>
              </w:rPr>
              <w:t>1</w:t>
            </w:r>
            <w:r>
              <w:rPr>
                <w:rFonts w:hint="eastAsia" w:ascii="宋体" w:hAnsi="宋体" w:cs="宋体"/>
                <w:b/>
                <w:szCs w:val="21"/>
                <w:highlight w:val="none"/>
              </w:rPr>
              <w:t>分，最多扣10分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szCs w:val="21"/>
                <w:highlight w:val="none"/>
              </w:rPr>
            </w:pPr>
            <w:r>
              <w:rPr>
                <w:rFonts w:hint="eastAsia" w:ascii="宋体" w:hAnsi="宋体" w:cs="宋体"/>
                <w:szCs w:val="21"/>
                <w:highlight w:val="none"/>
              </w:rPr>
              <w:t>7</w:t>
            </w: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szCs w:val="21"/>
                <w:highlight w:val="none"/>
              </w:rPr>
            </w:pPr>
            <w:r>
              <w:rPr>
                <w:rFonts w:hint="eastAsia" w:ascii="宋体" w:hAnsi="宋体" w:cs="宋体"/>
                <w:b/>
                <w:szCs w:val="21"/>
                <w:highlight w:val="none"/>
              </w:rPr>
              <w:t>工作计划执行情况（5分）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①订合同后一个月内未提交全年工作计划的，</w:t>
            </w:r>
            <w:r>
              <w:rPr>
                <w:rFonts w:hint="eastAsia" w:ascii="宋体" w:hAnsi="宋体" w:cs="宋体"/>
                <w:b/>
                <w:szCs w:val="21"/>
                <w:highlight w:val="none"/>
              </w:rPr>
              <w:t>扣2分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②未按工作计划及时开展工作的，</w:t>
            </w:r>
            <w:r>
              <w:rPr>
                <w:rFonts w:hint="eastAsia" w:ascii="宋体" w:hAnsi="宋体" w:cs="宋体"/>
                <w:b/>
                <w:szCs w:val="21"/>
                <w:highlight w:val="none"/>
              </w:rPr>
              <w:t>扣1分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③未按工作计划时限完成工作的，</w:t>
            </w:r>
            <w:r>
              <w:rPr>
                <w:rFonts w:hint="eastAsia" w:ascii="宋体" w:hAnsi="宋体" w:cs="宋体"/>
                <w:b/>
                <w:szCs w:val="21"/>
                <w:highlight w:val="none"/>
              </w:rPr>
              <w:t>扣2分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Cs/>
                <w:szCs w:val="21"/>
                <w:highlight w:val="none"/>
              </w:rPr>
            </w:pPr>
            <w:r>
              <w:rPr>
                <w:rFonts w:hint="eastAsia" w:ascii="宋体" w:hAnsi="宋体" w:cs="宋体"/>
                <w:bCs/>
                <w:szCs w:val="21"/>
                <w:highlight w:val="none"/>
              </w:rPr>
              <w:t>8</w:t>
            </w: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安全保障效果（5分）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应及时发现网站或服务器出现的中危险漏洞，提出解决方案，避免被自治区公安厅、网信办、大数据发展局等网络安全主管部门通报自治区财政厅业务系统出现高危险以上漏洞。</w:t>
            </w:r>
          </w:p>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①通报1次业务系统出现紧急漏洞的，每次每个系统</w:t>
            </w:r>
            <w:r>
              <w:rPr>
                <w:rFonts w:hint="eastAsia" w:ascii="宋体" w:hAnsi="宋体" w:cs="宋体"/>
                <w:b/>
                <w:kern w:val="0"/>
                <w:szCs w:val="21"/>
                <w:highlight w:val="none"/>
              </w:rPr>
              <w:t>扣1分，最多扣2分</w:t>
            </w:r>
            <w:r>
              <w:rPr>
                <w:rFonts w:hint="eastAsia" w:ascii="宋体" w:hAnsi="宋体" w:cs="宋体"/>
                <w:kern w:val="0"/>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②通报1次业务系统出现高危险漏洞的，每次每个系统</w:t>
            </w:r>
            <w:r>
              <w:rPr>
                <w:rFonts w:hint="eastAsia" w:ascii="宋体" w:hAnsi="宋体" w:cs="宋体"/>
                <w:b/>
                <w:kern w:val="0"/>
                <w:szCs w:val="21"/>
                <w:highlight w:val="none"/>
              </w:rPr>
              <w:t>扣1分，最多扣3分</w:t>
            </w:r>
            <w:r>
              <w:rPr>
                <w:rFonts w:hint="eastAsia" w:ascii="宋体" w:hAnsi="宋体" w:cs="宋体"/>
                <w:kern w:val="0"/>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Cs/>
                <w:szCs w:val="21"/>
                <w:highlight w:val="none"/>
              </w:rPr>
            </w:pPr>
            <w:r>
              <w:rPr>
                <w:rFonts w:hint="eastAsia" w:ascii="宋体" w:hAnsi="宋体" w:cs="宋体"/>
                <w:bCs/>
                <w:szCs w:val="21"/>
                <w:highlight w:val="none"/>
              </w:rPr>
              <w:t>9</w:t>
            </w: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新系统上线前安全评估和加固服务（6分）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对新业务系统在上线前进行安全评估。根据安全性检查的结果，协助进行合理的安全加固。对修复加固结果进行复查验证，确保加固措施有效并记录和跟踪修复情况。</w:t>
            </w:r>
          </w:p>
          <w:p>
            <w:pPr>
              <w:widowControl/>
              <w:spacing w:line="400" w:lineRule="exact"/>
              <w:jc w:val="left"/>
              <w:rPr>
                <w:rFonts w:hint="eastAsia" w:ascii="宋体" w:hAnsi="宋体" w:cs="宋体"/>
                <w:szCs w:val="21"/>
                <w:highlight w:val="none"/>
              </w:rPr>
            </w:pPr>
            <w:r>
              <w:rPr>
                <w:rFonts w:hint="eastAsia" w:ascii="宋体" w:hAnsi="宋体" w:cs="宋体"/>
                <w:kern w:val="0"/>
                <w:szCs w:val="21"/>
                <w:highlight w:val="none"/>
              </w:rPr>
              <w:t>①</w:t>
            </w:r>
            <w:r>
              <w:rPr>
                <w:rFonts w:hint="eastAsia" w:ascii="宋体" w:hAnsi="宋体" w:cs="宋体"/>
                <w:szCs w:val="21"/>
                <w:highlight w:val="none"/>
              </w:rPr>
              <w:t>新开发业务系统上线检测时，未执行该项工作，每个系统</w:t>
            </w:r>
            <w:r>
              <w:rPr>
                <w:rFonts w:hint="eastAsia" w:ascii="宋体" w:hAnsi="宋体" w:cs="宋体"/>
                <w:b/>
                <w:szCs w:val="21"/>
                <w:highlight w:val="none"/>
              </w:rPr>
              <w:t>扣1分，最多扣2分</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r>
              <w:rPr>
                <w:rFonts w:hint="eastAsia" w:ascii="宋体" w:hAnsi="宋体" w:cs="宋体"/>
                <w:kern w:val="0"/>
                <w:szCs w:val="21"/>
                <w:highlight w:val="none"/>
              </w:rPr>
              <w:t>②</w:t>
            </w:r>
            <w:r>
              <w:rPr>
                <w:rFonts w:hint="eastAsia" w:ascii="宋体" w:hAnsi="宋体" w:cs="宋体"/>
                <w:szCs w:val="21"/>
                <w:highlight w:val="none"/>
              </w:rPr>
              <w:t>上线前检测时未发现高危漏洞或者发现高危漏洞较少，而通过第三方检查发现有高危漏洞或高危漏洞比服务方检测的多15个以上，每个系统</w:t>
            </w:r>
            <w:r>
              <w:rPr>
                <w:rFonts w:hint="eastAsia" w:ascii="宋体" w:hAnsi="宋体" w:cs="宋体"/>
                <w:b/>
                <w:szCs w:val="21"/>
                <w:highlight w:val="none"/>
              </w:rPr>
              <w:t>扣1分，最多扣2分。</w:t>
            </w:r>
          </w:p>
          <w:p>
            <w:pPr>
              <w:widowControl/>
              <w:spacing w:line="400" w:lineRule="exact"/>
              <w:jc w:val="left"/>
              <w:rPr>
                <w:rFonts w:ascii="宋体" w:hAnsi="宋体" w:cs="宋体"/>
                <w:szCs w:val="21"/>
                <w:highlight w:val="none"/>
              </w:rPr>
            </w:pPr>
            <w:r>
              <w:rPr>
                <w:rFonts w:hint="eastAsia" w:ascii="宋体" w:hAnsi="宋体" w:cs="宋体"/>
                <w:szCs w:val="21"/>
                <w:highlight w:val="none"/>
              </w:rPr>
              <w:t>③上线前检测发现漏洞通知开发方修复，修复后未进行复查验证的，每个系统</w:t>
            </w:r>
            <w:r>
              <w:rPr>
                <w:rFonts w:hint="eastAsia" w:ascii="宋体" w:hAnsi="宋体" w:cs="宋体"/>
                <w:b/>
                <w:szCs w:val="21"/>
                <w:highlight w:val="none"/>
              </w:rPr>
              <w:t>扣1分，最多扣2分。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Cs/>
                <w:szCs w:val="21"/>
                <w:highlight w:val="none"/>
              </w:rPr>
            </w:pPr>
            <w:r>
              <w:rPr>
                <w:rFonts w:hint="eastAsia" w:ascii="宋体" w:hAnsi="宋体" w:cs="宋体"/>
                <w:bCs/>
                <w:szCs w:val="21"/>
                <w:highlight w:val="none"/>
              </w:rPr>
              <w:t>10</w:t>
            </w: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安全培训服务（4分）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供培训和咨询，但脱离实际，效果不理想的，每次扣</w:t>
            </w:r>
            <w:r>
              <w:rPr>
                <w:rFonts w:hint="eastAsia" w:ascii="宋体" w:hAnsi="宋体" w:cs="宋体"/>
                <w:b/>
                <w:szCs w:val="21"/>
                <w:highlight w:val="none"/>
              </w:rPr>
              <w:t>1分，最多扣4分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Cs/>
                <w:szCs w:val="21"/>
                <w:highlight w:val="none"/>
              </w:rPr>
            </w:pPr>
            <w:r>
              <w:rPr>
                <w:rFonts w:hint="eastAsia" w:ascii="宋体" w:hAnsi="宋体" w:cs="宋体"/>
                <w:bCs/>
                <w:szCs w:val="21"/>
                <w:highlight w:val="none"/>
              </w:rPr>
              <w:t>11</w:t>
            </w: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文档要求（6分）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①档不按时提供的，超过4次的，每超过1次</w:t>
            </w:r>
            <w:r>
              <w:rPr>
                <w:rFonts w:hint="eastAsia" w:ascii="宋体" w:hAnsi="宋体" w:cs="宋体"/>
                <w:b/>
                <w:szCs w:val="21"/>
                <w:highlight w:val="none"/>
              </w:rPr>
              <w:t>扣0．5分，最多扣2分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②档不齐全的，每份</w:t>
            </w:r>
            <w:r>
              <w:rPr>
                <w:rFonts w:hint="eastAsia" w:ascii="宋体" w:hAnsi="宋体" w:cs="宋体"/>
                <w:b/>
                <w:szCs w:val="21"/>
                <w:highlight w:val="none"/>
              </w:rPr>
              <w:t>扣1分，最多扣2分</w:t>
            </w:r>
            <w:r>
              <w:rPr>
                <w:rFonts w:hint="eastAsia" w:ascii="宋体" w:hAnsi="宋体" w:cs="宋体"/>
                <w:szCs w:val="21"/>
                <w:highlight w:val="none"/>
              </w:rPr>
              <w:t>；</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③档格式不规范，内容不详细、有错误，文理不通、逻辑混乱的，每份</w:t>
            </w:r>
            <w:r>
              <w:rPr>
                <w:rFonts w:hint="eastAsia" w:ascii="宋体" w:hAnsi="宋体" w:cs="宋体"/>
                <w:b/>
                <w:szCs w:val="21"/>
                <w:highlight w:val="none"/>
              </w:rPr>
              <w:t>扣0．5分，最多扣2分。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Cs/>
                <w:szCs w:val="21"/>
                <w:highlight w:val="none"/>
              </w:rPr>
            </w:pPr>
            <w:r>
              <w:rPr>
                <w:rFonts w:hint="eastAsia" w:ascii="宋体" w:hAnsi="宋体" w:cs="宋体"/>
                <w:bCs/>
                <w:szCs w:val="21"/>
                <w:highlight w:val="none"/>
              </w:rPr>
              <w:t>12</w:t>
            </w: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szCs w:val="21"/>
                <w:highlight w:val="none"/>
              </w:rPr>
            </w:pPr>
            <w:r>
              <w:rPr>
                <w:rFonts w:hint="eastAsia" w:ascii="宋体" w:hAnsi="宋体" w:cs="宋体"/>
                <w:b/>
                <w:szCs w:val="21"/>
                <w:highlight w:val="none"/>
              </w:rPr>
              <w:t>人员管理（9分）</w:t>
            </w: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①服务人员满足合同要求，且主要服务人员相对固定，驻场人员变更应至少提前</w:t>
            </w:r>
            <w:r>
              <w:rPr>
                <w:rFonts w:hint="eastAsia" w:ascii="宋体" w:hAnsi="宋体" w:cs="宋体"/>
                <w:szCs w:val="21"/>
                <w:highlight w:val="none"/>
                <w:lang w:val="en-US" w:eastAsia="zh-CN"/>
              </w:rPr>
              <w:t>5日</w:t>
            </w:r>
            <w:r>
              <w:rPr>
                <w:rFonts w:hint="eastAsia" w:ascii="宋体" w:hAnsi="宋体" w:cs="宋体"/>
                <w:szCs w:val="21"/>
                <w:highlight w:val="none"/>
              </w:rPr>
              <w:t>通知，选派新的服务人员应具备相应资质要求和技能。没不满足一项扣1分，最多扣2分；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②现场驻守人员不遵守自治区财政厅作息规定，无故迟到、早退、离岗的，</w:t>
            </w:r>
            <w:r>
              <w:rPr>
                <w:rFonts w:hint="eastAsia" w:ascii="宋体" w:hAnsi="宋体" w:cs="宋体"/>
                <w:b/>
                <w:szCs w:val="21"/>
                <w:highlight w:val="none"/>
              </w:rPr>
              <w:t>每次扣1分</w:t>
            </w:r>
            <w:r>
              <w:rPr>
                <w:rFonts w:hint="eastAsia" w:ascii="宋体" w:hAnsi="宋体" w:cs="宋体"/>
                <w:szCs w:val="21"/>
                <w:highlight w:val="none"/>
              </w:rPr>
              <w:t>；旷工的，</w:t>
            </w:r>
            <w:r>
              <w:rPr>
                <w:rFonts w:hint="eastAsia" w:ascii="宋体" w:hAnsi="宋体" w:cs="宋体"/>
                <w:b/>
                <w:szCs w:val="21"/>
                <w:highlight w:val="none"/>
              </w:rPr>
              <w:t>每半日扣2分。最多扣4分；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szCs w:val="21"/>
                <w:highlight w:val="none"/>
              </w:rPr>
            </w:pPr>
          </w:p>
        </w:tc>
        <w:tc>
          <w:tcPr>
            <w:tcW w:w="11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szCs w:val="21"/>
                <w:highlight w:val="none"/>
              </w:rPr>
            </w:pPr>
          </w:p>
        </w:tc>
        <w:tc>
          <w:tcPr>
            <w:tcW w:w="59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3 \* GB3 </w:instrText>
            </w:r>
            <w:r>
              <w:rPr>
                <w:rFonts w:ascii="宋体" w:hAnsi="宋体" w:cs="宋体"/>
                <w:szCs w:val="21"/>
                <w:highlight w:val="none"/>
              </w:rPr>
              <w:fldChar w:fldCharType="separate"/>
            </w:r>
            <w:r>
              <w:rPr>
                <w:rFonts w:hint="eastAsia" w:ascii="宋体" w:hAnsi="宋体" w:cs="宋体"/>
                <w:szCs w:val="21"/>
                <w:highlight w:val="none"/>
              </w:rPr>
              <w:t>③</w:t>
            </w:r>
            <w:r>
              <w:rPr>
                <w:rFonts w:hint="eastAsia" w:ascii="宋体" w:hAnsi="宋体" w:cs="宋体"/>
                <w:szCs w:val="21"/>
                <w:highlight w:val="none"/>
              </w:rPr>
              <w:fldChar w:fldCharType="end"/>
            </w:r>
            <w:r>
              <w:rPr>
                <w:rFonts w:hint="eastAsia" w:ascii="宋体" w:hAnsi="宋体" w:cs="宋体"/>
                <w:szCs w:val="21"/>
                <w:highlight w:val="none"/>
              </w:rPr>
              <w:t>服务人员不遵守自治区财政厅安全运维管理相关规定，未经允许私自修改系统参数、设备配置的，每次</w:t>
            </w:r>
            <w:r>
              <w:rPr>
                <w:rFonts w:hint="eastAsia" w:ascii="宋体" w:hAnsi="宋体" w:cs="宋体"/>
                <w:b/>
                <w:szCs w:val="21"/>
                <w:highlight w:val="none"/>
              </w:rPr>
              <w:t>扣1分，最多扣3分。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41" w:type="dxa"/>
            <w:tcBorders>
              <w:top w:val="single" w:color="auto" w:sz="4" w:space="0"/>
              <w:left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bCs/>
                <w:szCs w:val="21"/>
                <w:highlight w:val="none"/>
              </w:rPr>
              <w:t>13</w:t>
            </w:r>
          </w:p>
        </w:tc>
        <w:tc>
          <w:tcPr>
            <w:tcW w:w="1181"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Cs w:val="21"/>
                <w:highlight w:val="none"/>
              </w:rPr>
            </w:pPr>
            <w:r>
              <w:rPr>
                <w:rFonts w:hint="eastAsia" w:ascii="宋体" w:hAnsi="宋体" w:cs="宋体"/>
                <w:b/>
                <w:szCs w:val="21"/>
                <w:highlight w:val="none"/>
              </w:rPr>
              <w:t>额外扣分项</w:t>
            </w:r>
          </w:p>
        </w:tc>
        <w:tc>
          <w:tcPr>
            <w:tcW w:w="1355" w:type="dxa"/>
            <w:tcBorders>
              <w:top w:val="single" w:color="auto" w:sz="4" w:space="0"/>
              <w:left w:val="single" w:color="auto" w:sz="4" w:space="0"/>
              <w:right w:val="single" w:color="auto" w:sz="4" w:space="0"/>
            </w:tcBorders>
            <w:noWrap w:val="0"/>
            <w:vAlign w:val="center"/>
          </w:tcPr>
          <w:p>
            <w:pPr>
              <w:widowControl/>
              <w:spacing w:line="400" w:lineRule="exact"/>
              <w:jc w:val="left"/>
              <w:rPr>
                <w:rFonts w:hint="eastAsia" w:ascii="宋体" w:hAnsi="宋体" w:cs="宋体"/>
                <w:b/>
                <w:szCs w:val="21"/>
                <w:highlight w:val="none"/>
              </w:rPr>
            </w:pPr>
            <w:r>
              <w:rPr>
                <w:rFonts w:hint="eastAsia" w:ascii="宋体" w:hAnsi="宋体" w:cs="宋体"/>
                <w:b/>
                <w:szCs w:val="21"/>
                <w:highlight w:val="none"/>
              </w:rPr>
              <w:t>安全事故</w:t>
            </w:r>
          </w:p>
        </w:tc>
        <w:tc>
          <w:tcPr>
            <w:tcW w:w="5994" w:type="dxa"/>
            <w:tcBorders>
              <w:top w:val="single" w:color="auto" w:sz="4" w:space="0"/>
              <w:left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如果由于服务商未认真落实合同内容而造成安全事故的：</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①发生重大事故的，</w:t>
            </w:r>
            <w:r>
              <w:rPr>
                <w:rFonts w:hint="eastAsia" w:ascii="宋体" w:hAnsi="宋体" w:cs="宋体"/>
                <w:b/>
                <w:szCs w:val="21"/>
                <w:highlight w:val="none"/>
              </w:rPr>
              <w:t>扣100分</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2 \* GB3 </w:instrText>
            </w:r>
            <w:r>
              <w:rPr>
                <w:rFonts w:ascii="宋体" w:hAnsi="宋体" w:cs="宋体"/>
                <w:szCs w:val="21"/>
                <w:highlight w:val="none"/>
              </w:rPr>
              <w:fldChar w:fldCharType="separate"/>
            </w:r>
            <w:r>
              <w:rPr>
                <w:rFonts w:hint="eastAsia" w:ascii="宋体" w:hAnsi="宋体" w:cs="宋体"/>
                <w:szCs w:val="21"/>
                <w:highlight w:val="none"/>
              </w:rPr>
              <w:t>②</w:t>
            </w:r>
            <w:r>
              <w:rPr>
                <w:rFonts w:hint="eastAsia" w:ascii="宋体" w:hAnsi="宋体" w:cs="宋体"/>
                <w:szCs w:val="21"/>
                <w:highlight w:val="none"/>
              </w:rPr>
              <w:fldChar w:fldCharType="end"/>
            </w:r>
            <w:r>
              <w:rPr>
                <w:rFonts w:hint="eastAsia" w:ascii="宋体" w:hAnsi="宋体" w:cs="宋体"/>
                <w:szCs w:val="21"/>
                <w:highlight w:val="none"/>
              </w:rPr>
              <w:t>发生较大事故，每次</w:t>
            </w:r>
            <w:r>
              <w:rPr>
                <w:rFonts w:hint="eastAsia" w:ascii="宋体" w:hAnsi="宋体" w:cs="宋体"/>
                <w:b/>
                <w:szCs w:val="21"/>
                <w:highlight w:val="none"/>
              </w:rPr>
              <w:t>扣30分</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3 \* GB3 </w:instrText>
            </w:r>
            <w:r>
              <w:rPr>
                <w:rFonts w:ascii="宋体" w:hAnsi="宋体" w:cs="宋体"/>
                <w:szCs w:val="21"/>
                <w:highlight w:val="none"/>
              </w:rPr>
              <w:fldChar w:fldCharType="separate"/>
            </w:r>
            <w:r>
              <w:rPr>
                <w:rFonts w:hint="eastAsia" w:ascii="宋体" w:hAnsi="宋体" w:cs="宋体"/>
                <w:szCs w:val="21"/>
                <w:highlight w:val="none"/>
              </w:rPr>
              <w:t>③</w:t>
            </w:r>
            <w:r>
              <w:rPr>
                <w:rFonts w:hint="eastAsia" w:ascii="宋体" w:hAnsi="宋体" w:cs="宋体"/>
                <w:szCs w:val="21"/>
                <w:highlight w:val="none"/>
              </w:rPr>
              <w:fldChar w:fldCharType="end"/>
            </w:r>
            <w:r>
              <w:rPr>
                <w:rFonts w:hint="eastAsia" w:ascii="宋体" w:hAnsi="宋体" w:cs="宋体"/>
                <w:szCs w:val="21"/>
                <w:highlight w:val="none"/>
              </w:rPr>
              <w:t>发生一般事故，每次</w:t>
            </w:r>
            <w:r>
              <w:rPr>
                <w:rFonts w:hint="eastAsia" w:ascii="宋体" w:hAnsi="宋体" w:cs="宋体"/>
                <w:b/>
                <w:szCs w:val="21"/>
                <w:highlight w:val="none"/>
              </w:rPr>
              <w:t>扣10分。</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27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b/>
                <w:bCs/>
                <w:szCs w:val="21"/>
                <w:highlight w:val="none"/>
              </w:rPr>
            </w:pPr>
            <w:r>
              <w:rPr>
                <w:rFonts w:hint="eastAsia" w:ascii="宋体" w:hAnsi="宋体" w:cs="宋体"/>
                <w:b/>
                <w:bCs/>
                <w:szCs w:val="21"/>
                <w:highlight w:val="none"/>
              </w:rPr>
              <w:t>最终得分（考核总分100分，减去扣分为最终得分，扣完为止）</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90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考核结论：</w:t>
            </w:r>
          </w:p>
          <w:p>
            <w:pPr>
              <w:widowControl/>
              <w:spacing w:line="400" w:lineRule="exact"/>
              <w:jc w:val="left"/>
              <w:rPr>
                <w:rFonts w:hint="eastAsia" w:ascii="宋体" w:hAnsi="宋体" w:cs="宋体"/>
                <w:szCs w:val="21"/>
                <w:highlight w:val="none"/>
              </w:rPr>
            </w:pPr>
          </w:p>
          <w:p>
            <w:pPr>
              <w:widowControl/>
              <w:spacing w:line="400" w:lineRule="exact"/>
              <w:jc w:val="left"/>
              <w:rPr>
                <w:rFonts w:hint="eastAsia"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990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szCs w:val="21"/>
                <w:highlight w:val="none"/>
              </w:rPr>
            </w:pPr>
            <w:r>
              <w:rPr>
                <w:rFonts w:hint="eastAsia" w:ascii="宋体" w:hAnsi="宋体" w:cs="宋体"/>
                <w:szCs w:val="21"/>
                <w:highlight w:val="none"/>
              </w:rPr>
              <w:t>服务商意见：</w:t>
            </w:r>
          </w:p>
          <w:p>
            <w:pPr>
              <w:widowControl/>
              <w:spacing w:line="400" w:lineRule="exact"/>
              <w:jc w:val="left"/>
              <w:rPr>
                <w:rFonts w:hint="eastAsia" w:ascii="宋体" w:hAnsi="宋体" w:cs="宋体"/>
                <w:szCs w:val="21"/>
                <w:highlight w:val="none"/>
              </w:rPr>
            </w:pPr>
          </w:p>
          <w:p>
            <w:pPr>
              <w:widowControl/>
              <w:spacing w:line="400" w:lineRule="exact"/>
              <w:jc w:val="left"/>
              <w:rPr>
                <w:rFonts w:hint="eastAsia" w:ascii="宋体" w:hAnsi="宋体" w:cs="宋体"/>
                <w:szCs w:val="21"/>
                <w:highlight w:val="none"/>
              </w:rPr>
            </w:pPr>
          </w:p>
          <w:p>
            <w:pPr>
              <w:widowControl/>
              <w:spacing w:line="400" w:lineRule="exact"/>
              <w:ind w:firstLine="5670" w:firstLineChars="2700"/>
              <w:jc w:val="left"/>
              <w:rPr>
                <w:rFonts w:ascii="宋体" w:hAnsi="宋体" w:cs="宋体"/>
                <w:szCs w:val="21"/>
                <w:highlight w:val="none"/>
              </w:rPr>
            </w:pPr>
            <w:r>
              <w:rPr>
                <w:rFonts w:hint="eastAsia" w:ascii="宋体" w:hAnsi="宋体" w:cs="宋体"/>
                <w:szCs w:val="21"/>
                <w:highlight w:val="none"/>
              </w:rPr>
              <w:t>日期：      年    月    日</w:t>
            </w:r>
          </w:p>
        </w:tc>
      </w:tr>
    </w:tbl>
    <w:p>
      <w:pPr>
        <w:ind w:firstLine="420" w:firstLineChars="200"/>
        <w:jc w:val="left"/>
        <w:rPr>
          <w:rFonts w:hint="eastAsia"/>
          <w:szCs w:val="20"/>
          <w:highlight w:val="none"/>
          <w:lang w:eastAsia="zh-TW"/>
        </w:rPr>
      </w:pPr>
      <w:r>
        <w:rPr>
          <w:rFonts w:hint="eastAsia" w:ascii="宋体" w:hAnsi="Courier New" w:cs="Courier New"/>
          <w:szCs w:val="21"/>
          <w:highlight w:val="none"/>
        </w:rPr>
        <w:t>备注：本考核表一式贰份，被考核服务商和广西财政信息管理中心各留存壹份。</w:t>
      </w:r>
    </w:p>
    <w:p>
      <w:pPr>
        <w:jc w:val="left"/>
        <w:rPr>
          <w:rFonts w:hint="eastAsia" w:ascii="Arial Unicode MS" w:hAnsi="Arial Unicode MS" w:eastAsia="Arial Unicode MS" w:cs="Arial Unicode MS"/>
          <w:kern w:val="0"/>
          <w:sz w:val="32"/>
          <w:szCs w:val="32"/>
          <w:highlight w:val="none"/>
        </w:rPr>
      </w:pPr>
      <w:r>
        <w:rPr>
          <w:rFonts w:hint="eastAsia" w:ascii="Arial Unicode MS" w:hAnsi="Arial Unicode MS" w:eastAsia="Arial Unicode MS" w:cs="Arial Unicode MS"/>
          <w:sz w:val="32"/>
          <w:szCs w:val="32"/>
          <w:highlight w:val="none"/>
        </w:rPr>
        <w:br w:type="page"/>
      </w:r>
      <w:r>
        <w:rPr>
          <w:rFonts w:hint="eastAsia" w:ascii="Arial Unicode MS" w:hAnsi="Arial Unicode MS" w:eastAsia="Arial Unicode MS" w:cs="Arial Unicode MS"/>
          <w:sz w:val="32"/>
          <w:szCs w:val="32"/>
          <w:highlight w:val="none"/>
        </w:rPr>
        <w:t>附件</w:t>
      </w:r>
      <w:r>
        <w:rPr>
          <w:rFonts w:hint="eastAsia" w:ascii="Arial Unicode MS" w:hAnsi="Arial Unicode MS" w:cs="Arial Unicode MS"/>
          <w:sz w:val="32"/>
          <w:szCs w:val="32"/>
          <w:highlight w:val="none"/>
        </w:rPr>
        <w:t>1</w:t>
      </w:r>
      <w:r>
        <w:rPr>
          <w:rFonts w:hint="eastAsia" w:ascii="Arial Unicode MS" w:hAnsi="Arial Unicode MS" w:eastAsia="Arial Unicode MS" w:cs="Arial Unicode MS"/>
          <w:sz w:val="32"/>
          <w:szCs w:val="32"/>
          <w:highlight w:val="none"/>
        </w:rPr>
        <w:t>：</w:t>
      </w:r>
    </w:p>
    <w:p>
      <w:pPr>
        <w:widowControl/>
        <w:spacing w:before="120" w:beforeLines="50" w:after="120" w:afterLines="50" w:line="280" w:lineRule="exact"/>
        <w:jc w:val="center"/>
        <w:rPr>
          <w:rFonts w:ascii="宋体" w:hAnsi="宋体" w:cs="宋体"/>
          <w:b/>
          <w:bCs/>
          <w:kern w:val="0"/>
          <w:sz w:val="30"/>
          <w:szCs w:val="30"/>
          <w:highlight w:val="none"/>
        </w:rPr>
      </w:pPr>
      <w:bookmarkStart w:id="52" w:name="_Toc28361_WPSOffice_Level2"/>
      <w:r>
        <w:rPr>
          <w:rFonts w:hint="eastAsia" w:ascii="宋体" w:hAnsi="宋体" w:cs="宋体"/>
          <w:b/>
          <w:bCs/>
          <w:kern w:val="0"/>
          <w:sz w:val="30"/>
          <w:szCs w:val="30"/>
          <w:highlight w:val="none"/>
        </w:rPr>
        <w:t>统计上大中小微型企业划分标准</w:t>
      </w:r>
      <w:bookmarkEnd w:id="5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计量</w:t>
            </w:r>
          </w:p>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spacing w:val="-12"/>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highlight w:val="none"/>
              </w:rPr>
            </w:pP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136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pPr>
        <w:widowControl/>
        <w:spacing w:line="280" w:lineRule="exact"/>
        <w:rPr>
          <w:rFonts w:ascii="宋体" w:hAnsi="宋体" w:cs="宋体"/>
          <w:spacing w:val="8"/>
          <w:kern w:val="0"/>
          <w:sz w:val="24"/>
          <w:highlight w:val="none"/>
        </w:rPr>
      </w:pPr>
    </w:p>
    <w:p>
      <w:pPr>
        <w:widowControl/>
        <w:spacing w:line="480" w:lineRule="auto"/>
        <w:rPr>
          <w:rFonts w:hint="eastAsia" w:ascii="宋体" w:hAnsi="宋体" w:cs="宋体"/>
          <w:spacing w:val="8"/>
          <w:kern w:val="0"/>
          <w:szCs w:val="21"/>
          <w:highlight w:val="none"/>
        </w:rPr>
      </w:pPr>
    </w:p>
    <w:p>
      <w:pPr>
        <w:widowControl/>
        <w:spacing w:line="480" w:lineRule="auto"/>
        <w:rPr>
          <w:rFonts w:ascii="宋体" w:hAnsi="宋体" w:cs="宋体"/>
          <w:spacing w:val="8"/>
          <w:kern w:val="0"/>
          <w:szCs w:val="21"/>
          <w:highlight w:val="none"/>
        </w:rPr>
      </w:pPr>
      <w:r>
        <w:rPr>
          <w:rFonts w:hint="eastAsia" w:ascii="宋体" w:hAnsi="宋体" w:cs="宋体"/>
          <w:spacing w:val="8"/>
          <w:kern w:val="0"/>
          <w:szCs w:val="21"/>
          <w:highlight w:val="none"/>
        </w:rPr>
        <w:t>说明：</w:t>
      </w:r>
    </w:p>
    <w:p>
      <w:pPr>
        <w:pStyle w:val="17"/>
        <w:adjustRightInd w:val="0"/>
        <w:spacing w:line="480" w:lineRule="auto"/>
        <w:ind w:firstLine="432" w:firstLineChars="200"/>
        <w:contextualSpacing/>
        <w:rPr>
          <w:rFonts w:hAnsi="宋体" w:cs="宋体"/>
          <w:spacing w:val="8"/>
          <w:highlight w:val="none"/>
        </w:rPr>
      </w:pPr>
      <w:r>
        <w:rPr>
          <w:rFonts w:hint="eastAsia" w:hAnsi="宋体" w:cs="宋体"/>
          <w:spacing w:val="8"/>
          <w:highlight w:val="none"/>
        </w:rPr>
        <w:t>1.大型、中型和小型企业须同时满足所列指标的下限，否则下划一档；微型企业只须满足所列指标中的一项即可。</w:t>
      </w:r>
    </w:p>
    <w:p>
      <w:pPr>
        <w:pStyle w:val="17"/>
        <w:adjustRightInd w:val="0"/>
        <w:spacing w:line="480" w:lineRule="auto"/>
        <w:ind w:firstLine="432" w:firstLineChars="200"/>
        <w:contextualSpacing/>
        <w:rPr>
          <w:rFonts w:hAnsi="宋体" w:cs="宋体"/>
          <w:spacing w:val="8"/>
          <w:highlight w:val="none"/>
        </w:rPr>
      </w:pPr>
      <w:r>
        <w:rPr>
          <w:rFonts w:hint="eastAsia" w:hAnsi="宋体" w:cs="宋体"/>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spacing w:line="480" w:lineRule="auto"/>
        <w:ind w:firstLine="432" w:firstLineChars="200"/>
        <w:rPr>
          <w:rFonts w:hAnsi="宋体" w:cs="宋体"/>
          <w:spacing w:val="8"/>
          <w:sz w:val="24"/>
          <w:szCs w:val="24"/>
          <w:highlight w:val="none"/>
        </w:rPr>
      </w:pPr>
      <w:r>
        <w:rPr>
          <w:rFonts w:hint="eastAsia" w:hAnsi="宋体" w:cs="宋体"/>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spacing w:line="480" w:lineRule="auto"/>
        <w:jc w:val="center"/>
        <w:rPr>
          <w:rFonts w:hint="eastAsia" w:ascii="Calibri" w:hAnsi="Calibri"/>
          <w:highlight w:val="none"/>
        </w:rPr>
      </w:pPr>
      <w:bookmarkStart w:id="53" w:name="_Toc80886927"/>
      <w:bookmarkStart w:id="54" w:name="_Toc3319"/>
      <w:r>
        <w:rPr>
          <w:rFonts w:hint="eastAsia" w:ascii="Cambria" w:hAnsi="Cambria"/>
          <w:bCs w:val="0"/>
          <w:sz w:val="32"/>
          <w:szCs w:val="32"/>
          <w:highlight w:val="none"/>
        </w:rPr>
        <w:br w:type="page"/>
      </w:r>
      <w:bookmarkStart w:id="55" w:name="_Toc9239"/>
      <w:bookmarkStart w:id="56" w:name="_Toc24174"/>
      <w:bookmarkStart w:id="57" w:name="_Toc7704"/>
      <w:bookmarkStart w:id="58" w:name="_Toc19152"/>
      <w:bookmarkStart w:id="59" w:name="_Toc13614"/>
      <w:bookmarkStart w:id="60" w:name="_Toc2072"/>
      <w:r>
        <w:rPr>
          <w:rFonts w:hint="eastAsia" w:ascii="Cambria" w:hAnsi="Cambria"/>
          <w:bCs w:val="0"/>
          <w:sz w:val="32"/>
          <w:szCs w:val="32"/>
          <w:highlight w:val="none"/>
        </w:rPr>
        <w:t>第三章 供应商须知</w:t>
      </w:r>
      <w:bookmarkEnd w:id="53"/>
      <w:bookmarkEnd w:id="54"/>
      <w:bookmarkEnd w:id="55"/>
      <w:bookmarkEnd w:id="56"/>
      <w:bookmarkEnd w:id="57"/>
      <w:bookmarkEnd w:id="58"/>
      <w:bookmarkEnd w:id="59"/>
      <w:bookmarkEnd w:id="60"/>
    </w:p>
    <w:p>
      <w:pPr>
        <w:pStyle w:val="3"/>
        <w:jc w:val="center"/>
        <w:rPr>
          <w:rFonts w:hint="eastAsia" w:ascii="宋体" w:hAnsi="宋体"/>
          <w:b w:val="0"/>
          <w:highlight w:val="none"/>
        </w:rPr>
      </w:pPr>
      <w:bookmarkStart w:id="61" w:name="_Toc80886928"/>
      <w:bookmarkStart w:id="62" w:name="_Toc30660"/>
      <w:bookmarkStart w:id="63" w:name="_Toc9482"/>
      <w:r>
        <w:rPr>
          <w:rFonts w:hint="eastAsia" w:ascii="宋体" w:hAnsi="宋体"/>
          <w:b w:val="0"/>
          <w:highlight w:val="none"/>
        </w:rPr>
        <w:t>第一节 供应商须知前附表</w:t>
      </w:r>
      <w:bookmarkEnd w:id="61"/>
      <w:bookmarkEnd w:id="62"/>
      <w:bookmarkEnd w:id="63"/>
    </w:p>
    <w:p>
      <w:pPr>
        <w:spacing w:line="400" w:lineRule="exact"/>
        <w:jc w:val="center"/>
        <w:rPr>
          <w:rFonts w:hint="eastAsia"/>
          <w:b/>
          <w:sz w:val="32"/>
          <w:szCs w:val="32"/>
          <w:highlight w:val="none"/>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548"/>
        <w:gridCol w:w="6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条款号</w:t>
            </w:r>
          </w:p>
        </w:tc>
        <w:tc>
          <w:tcPr>
            <w:tcW w:w="2548"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条款内容</w:t>
            </w:r>
          </w:p>
        </w:tc>
        <w:tc>
          <w:tcPr>
            <w:tcW w:w="6853" w:type="dxa"/>
            <w:noWrap w:val="0"/>
            <w:vAlign w:val="top"/>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3.1</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供应商资格条件</w:t>
            </w:r>
          </w:p>
        </w:tc>
        <w:tc>
          <w:tcPr>
            <w:tcW w:w="6853" w:type="dxa"/>
            <w:noWrap w:val="0"/>
            <w:vAlign w:val="top"/>
          </w:tcPr>
          <w:p>
            <w:pPr>
              <w:spacing w:line="360" w:lineRule="auto"/>
              <w:rPr>
                <w:rFonts w:hint="eastAsia" w:ascii="宋体" w:hAnsi="宋体" w:cs="宋体"/>
                <w:szCs w:val="21"/>
                <w:highlight w:val="none"/>
              </w:rPr>
            </w:pPr>
            <w:r>
              <w:rPr>
                <w:rFonts w:hint="eastAsia" w:ascii="宋体" w:hAnsi="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5.1</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是否接受联合体竞标</w:t>
            </w:r>
          </w:p>
        </w:tc>
        <w:tc>
          <w:tcPr>
            <w:tcW w:w="6853" w:type="dxa"/>
            <w:noWrap w:val="0"/>
            <w:vAlign w:val="center"/>
          </w:tcPr>
          <w:p>
            <w:pPr>
              <w:spacing w:line="360" w:lineRule="auto"/>
              <w:rPr>
                <w:rFonts w:hint="eastAsia" w:ascii="宋体" w:hAnsi="宋体" w:cs="宋体"/>
                <w:szCs w:val="21"/>
                <w:highlight w:val="none"/>
              </w:rPr>
            </w:pPr>
            <w:bookmarkStart w:id="64" w:name="PO_3000001868_PM007"/>
            <w:r>
              <w:rPr>
                <w:rFonts w:hint="eastAsia" w:ascii="宋体" w:hAnsi="宋体" w:cs="宋体"/>
                <w:color w:val="000000"/>
                <w:szCs w:val="21"/>
                <w:highlight w:val="none"/>
              </w:rPr>
              <w:t>详见竞争性磋商公告</w:t>
            </w:r>
            <w:bookmarkEnd w:id="6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5.2</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联合体竞标要求</w:t>
            </w:r>
          </w:p>
        </w:tc>
        <w:tc>
          <w:tcPr>
            <w:tcW w:w="6853"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6.1</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是否允许分包</w:t>
            </w:r>
          </w:p>
        </w:tc>
        <w:tc>
          <w:tcPr>
            <w:tcW w:w="6853" w:type="dxa"/>
            <w:noWrap w:val="0"/>
            <w:vAlign w:val="center"/>
          </w:tcPr>
          <w:p>
            <w:pPr>
              <w:pStyle w:val="11"/>
              <w:spacing w:line="360" w:lineRule="auto"/>
              <w:rPr>
                <w:rFonts w:hint="eastAsia"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不允许分包</w:t>
            </w:r>
          </w:p>
          <w:p>
            <w:pPr>
              <w:pStyle w:val="11"/>
              <w:spacing w:line="360" w:lineRule="auto"/>
              <w:rPr>
                <w:rFonts w:hint="eastAsia" w:ascii="宋体" w:hAnsi="宋体" w:cs="宋体"/>
                <w:szCs w:val="21"/>
                <w:highlight w:val="none"/>
              </w:rPr>
            </w:pPr>
            <w:r>
              <w:rPr>
                <w:rFonts w:hint="eastAsia" w:ascii="宋体" w:hAnsi="宋体" w:cs="宋体"/>
                <w:szCs w:val="21"/>
                <w:highlight w:val="none"/>
              </w:rPr>
              <w:t>□允许分包</w:t>
            </w:r>
          </w:p>
          <w:p>
            <w:pPr>
              <w:pStyle w:val="11"/>
              <w:spacing w:line="360" w:lineRule="auto"/>
              <w:rPr>
                <w:rFonts w:hint="eastAsia" w:ascii="宋体" w:hAnsi="宋体" w:cs="宋体"/>
                <w:szCs w:val="21"/>
                <w:highlight w:val="none"/>
                <w:u w:val="single"/>
              </w:rPr>
            </w:pPr>
            <w:r>
              <w:rPr>
                <w:rFonts w:hint="eastAsia" w:ascii="宋体" w:hAnsi="宋体" w:cs="宋体"/>
                <w:szCs w:val="21"/>
                <w:highlight w:val="none"/>
              </w:rPr>
              <w:t>分包内容：</w:t>
            </w:r>
            <w:r>
              <w:rPr>
                <w:rFonts w:hint="eastAsia" w:ascii="宋体" w:hAnsi="宋体" w:cs="宋体"/>
                <w:szCs w:val="21"/>
                <w:highlight w:val="none"/>
                <w:u w:val="single"/>
              </w:rPr>
              <w:t xml:space="preserve">                                     。</w:t>
            </w:r>
          </w:p>
          <w:p>
            <w:pPr>
              <w:pStyle w:val="11"/>
              <w:spacing w:line="360" w:lineRule="auto"/>
              <w:rPr>
                <w:rFonts w:hint="eastAsia" w:ascii="宋体" w:hAnsi="宋体" w:cs="宋体"/>
                <w:szCs w:val="21"/>
                <w:highlight w:val="none"/>
              </w:rPr>
            </w:pPr>
            <w:r>
              <w:rPr>
                <w:rFonts w:hint="eastAsia" w:ascii="宋体" w:hAnsi="宋体" w:cs="宋体"/>
                <w:szCs w:val="21"/>
                <w:highlight w:val="none"/>
              </w:rPr>
              <w:t>分包金额或者比例：</w:t>
            </w:r>
            <w:r>
              <w:rPr>
                <w:rFonts w:hint="eastAsia" w:ascii="宋体" w:hAnsi="宋体" w:cs="宋体"/>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12.1.1</w:t>
            </w:r>
          </w:p>
        </w:tc>
        <w:tc>
          <w:tcPr>
            <w:tcW w:w="2548" w:type="dxa"/>
            <w:noWrap w:val="0"/>
            <w:vAlign w:val="center"/>
          </w:tcPr>
          <w:p>
            <w:pPr>
              <w:snapToGrid w:val="0"/>
              <w:spacing w:line="360" w:lineRule="auto"/>
              <w:jc w:val="center"/>
              <w:rPr>
                <w:rFonts w:hint="eastAsia" w:ascii="宋体" w:hAnsi="宋体" w:cs="宋体"/>
                <w:szCs w:val="21"/>
                <w:highlight w:val="none"/>
              </w:rPr>
            </w:pPr>
            <w:r>
              <w:rPr>
                <w:rFonts w:hint="eastAsia" w:ascii="宋体" w:hAnsi="宋体" w:cs="宋体"/>
                <w:b/>
                <w:szCs w:val="21"/>
                <w:highlight w:val="none"/>
              </w:rPr>
              <w:t>资格证明文件组成</w:t>
            </w:r>
          </w:p>
        </w:tc>
        <w:tc>
          <w:tcPr>
            <w:tcW w:w="6853" w:type="dxa"/>
            <w:noWrap w:val="0"/>
            <w:vAlign w:val="center"/>
          </w:tcPr>
          <w:p>
            <w:pPr>
              <w:pStyle w:val="11"/>
              <w:numPr>
                <w:ilvl w:val="0"/>
                <w:numId w:val="3"/>
              </w:numPr>
              <w:spacing w:line="360" w:lineRule="auto"/>
              <w:rPr>
                <w:rFonts w:hint="eastAsia" w:ascii="宋体" w:hAnsi="宋体" w:cs="宋体"/>
                <w:szCs w:val="21"/>
                <w:highlight w:val="none"/>
              </w:rPr>
            </w:pPr>
            <w:r>
              <w:rPr>
                <w:rFonts w:hint="eastAsia" w:ascii="宋体" w:hAnsi="宋体" w:cs="宋体"/>
                <w:szCs w:val="21"/>
                <w:highlight w:val="none"/>
              </w:rPr>
              <w:t>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hint="eastAsia" w:ascii="宋体" w:hAnsi="宋体" w:cs="宋体"/>
                <w:szCs w:val="21"/>
                <w:highlight w:val="none"/>
              </w:rPr>
            </w:pPr>
            <w:r>
              <w:rPr>
                <w:rFonts w:hint="eastAsia" w:ascii="宋体" w:hAnsi="宋体" w:cs="宋体"/>
                <w:color w:val="000000"/>
                <w:szCs w:val="21"/>
                <w:highlight w:val="none"/>
              </w:rPr>
              <w:t>2.供应商依法缴纳税收的相</w:t>
            </w:r>
            <w:r>
              <w:rPr>
                <w:rFonts w:hint="eastAsia" w:ascii="宋体" w:hAnsi="宋体" w:cs="宋体"/>
                <w:szCs w:val="21"/>
                <w:highlight w:val="none"/>
              </w:rPr>
              <w:t>关材料（提供税款所属时期为</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w:t>
            </w:r>
            <w:r>
              <w:rPr>
                <w:rFonts w:hint="eastAsia" w:ascii="宋体" w:hAnsi="宋体" w:cs="宋体"/>
                <w:szCs w:val="21"/>
                <w:highlight w:val="none"/>
                <w:u w:val="single"/>
                <w:lang w:val="en-US" w:eastAsia="zh-CN"/>
              </w:rPr>
              <w:t>6</w:t>
            </w:r>
            <w:r>
              <w:rPr>
                <w:rFonts w:hint="eastAsia" w:ascii="宋体" w:hAnsi="宋体" w:cs="宋体"/>
                <w:szCs w:val="21"/>
                <w:highlight w:val="none"/>
              </w:rPr>
              <w:t>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3.供应商依法缴纳社会保障资金的相关材料（提供税款所属时期或缴费起始时间为</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w:t>
            </w:r>
            <w:r>
              <w:rPr>
                <w:rFonts w:hint="eastAsia" w:ascii="宋体" w:hAnsi="宋体" w:cs="宋体"/>
                <w:szCs w:val="21"/>
                <w:highlight w:val="none"/>
                <w:u w:val="single"/>
                <w:lang w:val="en-US" w:eastAsia="zh-CN"/>
              </w:rPr>
              <w:t>6</w:t>
            </w:r>
            <w:r>
              <w:rPr>
                <w:rFonts w:hint="eastAsia" w:ascii="宋体" w:hAnsi="宋体" w:cs="宋体"/>
                <w:szCs w:val="21"/>
                <w:highlight w:val="none"/>
              </w:rPr>
              <w:t>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bookmarkStart w:id="65" w:name="OLE_LINK4"/>
            <w:r>
              <w:rPr>
                <w:rFonts w:hint="eastAsia" w:ascii="宋体" w:hAnsi="宋体" w:cs="宋体"/>
                <w:b/>
                <w:szCs w:val="21"/>
                <w:highlight w:val="none"/>
              </w:rPr>
              <w:t>必须提供，否则响应文件按无效响应处理</w:t>
            </w:r>
            <w:bookmarkEnd w:id="65"/>
            <w:r>
              <w:rPr>
                <w:rFonts w:hint="eastAsia" w:ascii="宋体" w:hAnsi="宋体" w:cs="宋体"/>
                <w:szCs w:val="21"/>
                <w:highlight w:val="none"/>
              </w:rPr>
              <w:t>）</w:t>
            </w:r>
          </w:p>
          <w:p>
            <w:pPr>
              <w:snapToGrid w:val="0"/>
              <w:spacing w:line="360" w:lineRule="auto"/>
              <w:jc w:val="left"/>
              <w:rPr>
                <w:rFonts w:hint="eastAsia" w:ascii="宋体" w:hAnsi="宋体" w:cs="宋体"/>
                <w:b/>
                <w:color w:val="000000"/>
                <w:szCs w:val="21"/>
                <w:highlight w:val="none"/>
              </w:rPr>
            </w:pPr>
            <w:r>
              <w:rPr>
                <w:rFonts w:hint="eastAsia" w:ascii="宋体" w:hAnsi="宋体" w:cs="宋体"/>
                <w:szCs w:val="21"/>
                <w:highlight w:val="none"/>
              </w:rPr>
              <w:t>4.供应商财务状况报告（提供</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年度经审计的财务报告复印件或者截标时间前半年内至少一个月能反映财务状况的报表或者供应商自拟的截标时间前半年内至少一个月的财务情况说明）；</w:t>
            </w:r>
            <w:r>
              <w:rPr>
                <w:rFonts w:hint="eastAsia" w:ascii="宋体" w:hAnsi="宋体" w:cs="宋体"/>
                <w:bCs/>
                <w:szCs w:val="21"/>
                <w:highlight w:val="none"/>
              </w:rPr>
              <w:t>（</w:t>
            </w:r>
            <w:r>
              <w:rPr>
                <w:rFonts w:hint="eastAsia" w:ascii="宋体" w:hAnsi="宋体" w:cs="宋体"/>
                <w:b/>
                <w:color w:val="000000"/>
                <w:szCs w:val="21"/>
                <w:highlight w:val="none"/>
                <w:lang w:eastAsia="zh-CN"/>
              </w:rPr>
              <w:t>必须提供，否则响应文件按无效响应处理</w:t>
            </w:r>
            <w:r>
              <w:rPr>
                <w:rFonts w:hint="eastAsia" w:ascii="宋体" w:hAnsi="宋体" w:cs="宋体"/>
                <w:bCs/>
                <w:color w:val="000000"/>
                <w:szCs w:val="21"/>
                <w:highlight w:val="none"/>
              </w:rPr>
              <w:t>）</w:t>
            </w:r>
          </w:p>
          <w:p>
            <w:pPr>
              <w:snapToGrid w:val="0"/>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5.本项目的特定资格要求：（如本项目公告有要求，则必须提供，否则响应文件按无效响应处理）</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6.落实政府采购政策需满足的资格要求：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000000"/>
                <w:szCs w:val="21"/>
                <w:highlight w:val="none"/>
              </w:rPr>
              <w:t>（</w:t>
            </w:r>
            <w:r>
              <w:rPr>
                <w:rFonts w:hint="eastAsia" w:ascii="宋体" w:hAnsi="宋体" w:cs="宋体"/>
                <w:b/>
                <w:color w:val="000000"/>
                <w:szCs w:val="21"/>
                <w:highlight w:val="none"/>
              </w:rPr>
              <w:t>必须提供，否则响应文件按无效响应处理</w:t>
            </w:r>
            <w:r>
              <w:rPr>
                <w:rFonts w:hint="eastAsia" w:ascii="宋体" w:hAnsi="宋体" w:cs="宋体"/>
                <w:color w:val="000000"/>
                <w:szCs w:val="21"/>
                <w:highlight w:val="none"/>
              </w:rPr>
              <w:t>）</w:t>
            </w:r>
          </w:p>
          <w:p>
            <w:pPr>
              <w:snapToGrid w:val="0"/>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7.声明函（格式后附）；（</w:t>
            </w:r>
            <w:r>
              <w:rPr>
                <w:rFonts w:hint="eastAsia" w:ascii="宋体" w:hAnsi="宋体" w:cs="宋体"/>
                <w:b/>
                <w:color w:val="000000"/>
                <w:szCs w:val="21"/>
                <w:highlight w:val="none"/>
              </w:rPr>
              <w:t>必须提供，否则响应文件按无效响应处理</w:t>
            </w:r>
            <w:r>
              <w:rPr>
                <w:rFonts w:hint="eastAsia" w:ascii="宋体" w:hAnsi="宋体" w:cs="宋体"/>
                <w:color w:val="000000"/>
                <w:szCs w:val="21"/>
                <w:highlight w:val="none"/>
              </w:rPr>
              <w:t>）</w:t>
            </w:r>
          </w:p>
          <w:p>
            <w:pPr>
              <w:snapToGrid w:val="0"/>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8.联合体竞标协议书（格式后附）；（</w:t>
            </w:r>
            <w:r>
              <w:rPr>
                <w:rFonts w:hint="eastAsia" w:ascii="宋体" w:hAnsi="宋体" w:cs="宋体"/>
                <w:b/>
                <w:color w:val="000000"/>
                <w:szCs w:val="21"/>
                <w:highlight w:val="none"/>
              </w:rPr>
              <w:t>联合体竞标时必须提供，否则响应文件按无效响应处理</w:t>
            </w:r>
            <w:r>
              <w:rPr>
                <w:rFonts w:hint="eastAsia" w:ascii="宋体" w:hAnsi="宋体" w:cs="宋体"/>
                <w:color w:val="000000"/>
                <w:szCs w:val="21"/>
                <w:highlight w:val="none"/>
              </w:rPr>
              <w:t>）</w:t>
            </w:r>
          </w:p>
          <w:p>
            <w:pPr>
              <w:snapToGrid w:val="0"/>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9.除竞争性磋商文件规定必须提供以外，供应商认为需要提供的其他证明材料（格式自拟）。</w:t>
            </w:r>
          </w:p>
          <w:p>
            <w:pPr>
              <w:snapToGrid w:val="0"/>
              <w:spacing w:line="360" w:lineRule="auto"/>
              <w:jc w:val="left"/>
              <w:rPr>
                <w:rFonts w:hint="eastAsia" w:ascii="宋体" w:hAnsi="宋体" w:cs="宋体"/>
                <w:szCs w:val="21"/>
                <w:highlight w:val="none"/>
              </w:rPr>
            </w:pPr>
          </w:p>
          <w:p>
            <w:pPr>
              <w:pStyle w:val="11"/>
              <w:spacing w:line="360" w:lineRule="auto"/>
              <w:rPr>
                <w:rFonts w:hint="eastAsia" w:ascii="宋体" w:hAnsi="宋体" w:cs="宋体"/>
                <w:b/>
                <w:szCs w:val="21"/>
                <w:highlight w:val="none"/>
              </w:rPr>
            </w:pPr>
            <w:r>
              <w:rPr>
                <w:rFonts w:hint="eastAsia" w:ascii="宋体" w:hAnsi="宋体" w:cs="宋体"/>
                <w:b/>
                <w:szCs w:val="21"/>
                <w:highlight w:val="none"/>
              </w:rPr>
              <w:t>注：</w:t>
            </w:r>
          </w:p>
          <w:p>
            <w:pPr>
              <w:pStyle w:val="11"/>
              <w:spacing w:line="360" w:lineRule="auto"/>
              <w:rPr>
                <w:rFonts w:hint="eastAsia" w:ascii="宋体" w:hAnsi="宋体" w:cs="宋体"/>
                <w:b/>
                <w:szCs w:val="21"/>
                <w:highlight w:val="none"/>
              </w:rPr>
            </w:pPr>
            <w:r>
              <w:rPr>
                <w:rFonts w:hint="eastAsia" w:ascii="宋体" w:hAnsi="宋体" w:cs="宋体"/>
                <w:b/>
                <w:szCs w:val="21"/>
                <w:highlight w:val="none"/>
              </w:rPr>
              <w:t>　　1.以上标明“必须提供”的材料属于复印件的扫描件的，必须加盖供应商公章，否则响应文件按无效响应处理。</w:t>
            </w:r>
          </w:p>
          <w:p>
            <w:pPr>
              <w:pStyle w:val="11"/>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12.1.2</w:t>
            </w:r>
          </w:p>
        </w:tc>
        <w:tc>
          <w:tcPr>
            <w:tcW w:w="2548" w:type="dxa"/>
            <w:noWrap w:val="0"/>
            <w:vAlign w:val="center"/>
          </w:tcPr>
          <w:p>
            <w:pPr>
              <w:spacing w:line="360" w:lineRule="auto"/>
              <w:jc w:val="center"/>
              <w:rPr>
                <w:rFonts w:hint="eastAsia" w:ascii="宋体" w:hAnsi="宋体" w:cs="宋体"/>
                <w:b/>
                <w:bCs/>
                <w:szCs w:val="21"/>
                <w:highlight w:val="none"/>
              </w:rPr>
            </w:pPr>
            <w:r>
              <w:rPr>
                <w:rFonts w:hint="eastAsia" w:ascii="宋体" w:hAnsi="宋体" w:cs="宋体"/>
                <w:b/>
                <w:bCs/>
                <w:szCs w:val="21"/>
                <w:highlight w:val="none"/>
              </w:rPr>
              <w:t>商务文件组成</w:t>
            </w:r>
          </w:p>
        </w:tc>
        <w:tc>
          <w:tcPr>
            <w:tcW w:w="6853"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1.无串通竞标行为的承诺函</w:t>
            </w:r>
            <w:r>
              <w:rPr>
                <w:rFonts w:hint="eastAsia" w:ascii="宋体" w:hAnsi="宋体" w:cs="宋体"/>
                <w:color w:val="000000"/>
                <w:szCs w:val="21"/>
                <w:highlight w:val="none"/>
              </w:rPr>
              <w:t>（格式后附）</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2.法定代表人身份证明及法定代表人有效身份证正反面复印件</w:t>
            </w:r>
            <w:r>
              <w:rPr>
                <w:rFonts w:hint="eastAsia" w:ascii="宋体" w:hAnsi="宋体" w:cs="宋体"/>
                <w:color w:val="000000"/>
                <w:szCs w:val="21"/>
                <w:highlight w:val="none"/>
              </w:rPr>
              <w:t>（格式后附）</w:t>
            </w:r>
            <w:r>
              <w:rPr>
                <w:rFonts w:hint="eastAsia" w:ascii="宋体" w:hAnsi="宋体" w:cs="宋体"/>
                <w:szCs w:val="21"/>
                <w:highlight w:val="none"/>
              </w:rPr>
              <w:t>；（</w:t>
            </w:r>
            <w:r>
              <w:rPr>
                <w:rFonts w:hint="eastAsia" w:ascii="宋体" w:hAnsi="宋体" w:cs="宋体"/>
                <w:b/>
                <w:bCs/>
                <w:szCs w:val="21"/>
                <w:highlight w:val="none"/>
              </w:rPr>
              <w:t>除自然人竞标外</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3.法定代表人授权委托书及委托代理人有效身份证正反面复印件</w:t>
            </w:r>
            <w:r>
              <w:rPr>
                <w:rFonts w:hint="eastAsia" w:ascii="宋体" w:hAnsi="宋体" w:cs="宋体"/>
                <w:color w:val="000000"/>
                <w:szCs w:val="21"/>
                <w:highlight w:val="none"/>
              </w:rPr>
              <w:t>（格式后附）</w:t>
            </w:r>
            <w:r>
              <w:rPr>
                <w:rFonts w:hint="eastAsia" w:ascii="宋体" w:hAnsi="宋体" w:cs="宋体"/>
                <w:szCs w:val="21"/>
                <w:highlight w:val="none"/>
              </w:rPr>
              <w:t>；（</w:t>
            </w:r>
            <w:r>
              <w:rPr>
                <w:rFonts w:hint="eastAsia" w:ascii="宋体" w:hAnsi="宋体" w:cs="宋体"/>
                <w:b/>
                <w:szCs w:val="21"/>
                <w:highlight w:val="none"/>
              </w:rPr>
              <w:t>委托时必须提供，否则响应文件按无效响应处理</w:t>
            </w:r>
            <w:r>
              <w:rPr>
                <w:rFonts w:hint="eastAsia" w:ascii="宋体" w:hAnsi="宋体" w:cs="宋体"/>
                <w:szCs w:val="21"/>
                <w:highlight w:val="none"/>
              </w:rPr>
              <w:t>）</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4.磋商保证金提交凭证；（如本项目公告有要求，则</w:t>
            </w:r>
            <w:r>
              <w:rPr>
                <w:rFonts w:hint="eastAsia" w:ascii="宋体" w:hAnsi="宋体" w:cs="宋体"/>
                <w:b/>
                <w:color w:val="000000"/>
                <w:szCs w:val="21"/>
                <w:highlight w:val="none"/>
              </w:rPr>
              <w:t>必须提供，否则响应文件按无效响应处理</w:t>
            </w:r>
            <w:r>
              <w:rPr>
                <w:rFonts w:hint="eastAsia" w:ascii="宋体" w:hAnsi="宋体" w:cs="宋体"/>
                <w:color w:val="000000"/>
                <w:szCs w:val="21"/>
                <w:highlight w:val="none"/>
              </w:rPr>
              <w:t>）</w:t>
            </w:r>
          </w:p>
          <w:p>
            <w:pPr>
              <w:spacing w:line="360" w:lineRule="auto"/>
              <w:rPr>
                <w:rFonts w:hint="eastAsia" w:ascii="宋体" w:hAnsi="宋体" w:cs="宋体"/>
                <w:szCs w:val="21"/>
                <w:highlight w:val="none"/>
              </w:rPr>
            </w:pPr>
            <w:r>
              <w:rPr>
                <w:rFonts w:hint="eastAsia" w:ascii="宋体" w:hAnsi="宋体" w:cs="宋体"/>
                <w:color w:val="000000"/>
                <w:szCs w:val="21"/>
                <w:highlight w:val="none"/>
              </w:rPr>
              <w:t>5</w:t>
            </w:r>
            <w:r>
              <w:rPr>
                <w:rFonts w:hint="eastAsia" w:ascii="宋体" w:hAnsi="宋体" w:cs="宋体"/>
                <w:szCs w:val="21"/>
                <w:highlight w:val="none"/>
              </w:rPr>
              <w:t>.商务条款偏离表</w:t>
            </w:r>
            <w:r>
              <w:rPr>
                <w:rFonts w:hint="eastAsia" w:ascii="宋体" w:hAnsi="宋体" w:cs="宋体"/>
                <w:color w:val="000000"/>
                <w:szCs w:val="21"/>
                <w:highlight w:val="none"/>
              </w:rPr>
              <w:t>（格式后附）</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6.供应商情况介绍</w:t>
            </w:r>
            <w:r>
              <w:rPr>
                <w:rFonts w:hint="eastAsia" w:ascii="宋体" w:hAnsi="宋体" w:cs="宋体"/>
                <w:color w:val="000000"/>
                <w:szCs w:val="21"/>
                <w:highlight w:val="none"/>
              </w:rPr>
              <w:t>（格式自拟）</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7.对应采购需求的商务条款提供的其他文件资料</w:t>
            </w:r>
            <w:r>
              <w:rPr>
                <w:rFonts w:hint="eastAsia" w:ascii="宋体" w:hAnsi="宋体" w:cs="宋体"/>
                <w:color w:val="000000"/>
                <w:szCs w:val="21"/>
                <w:highlight w:val="none"/>
              </w:rPr>
              <w:t>（格式自拟）</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8.供应商认为需要提供的其他有关资料</w:t>
            </w:r>
            <w:r>
              <w:rPr>
                <w:rFonts w:hint="eastAsia" w:ascii="宋体" w:hAnsi="宋体" w:cs="宋体"/>
                <w:color w:val="000000"/>
                <w:szCs w:val="21"/>
                <w:highlight w:val="none"/>
              </w:rPr>
              <w:t>（格式自拟）</w:t>
            </w:r>
            <w:r>
              <w:rPr>
                <w:rFonts w:hint="eastAsia" w:ascii="宋体" w:hAnsi="宋体" w:cs="宋体"/>
                <w:szCs w:val="21"/>
                <w:highlight w:val="none"/>
              </w:rPr>
              <w:t>。</w:t>
            </w:r>
          </w:p>
          <w:p>
            <w:pPr>
              <w:snapToGrid w:val="0"/>
              <w:spacing w:line="360" w:lineRule="auto"/>
              <w:jc w:val="left"/>
              <w:rPr>
                <w:rFonts w:hint="eastAsia" w:ascii="宋体" w:hAnsi="宋体" w:cs="宋体"/>
                <w:b/>
                <w:szCs w:val="21"/>
                <w:highlight w:val="none"/>
              </w:rPr>
            </w:pPr>
            <w:r>
              <w:rPr>
                <w:rFonts w:hint="eastAsia" w:ascii="宋体" w:hAnsi="宋体" w:cs="宋体"/>
                <w:b/>
                <w:szCs w:val="21"/>
                <w:highlight w:val="none"/>
              </w:rPr>
              <w:t xml:space="preserve">注： </w:t>
            </w:r>
          </w:p>
          <w:p>
            <w:pPr>
              <w:snapToGrid w:val="0"/>
              <w:spacing w:line="360" w:lineRule="auto"/>
              <w:ind w:firstLine="413" w:firstLineChars="196"/>
              <w:jc w:val="left"/>
              <w:rPr>
                <w:rFonts w:hint="eastAsia" w:ascii="宋体" w:hAnsi="宋体" w:cs="宋体"/>
                <w:b/>
                <w:szCs w:val="21"/>
                <w:highlight w:val="none"/>
              </w:rPr>
            </w:pPr>
            <w:r>
              <w:rPr>
                <w:rFonts w:hint="eastAsia" w:ascii="宋体" w:hAnsi="宋体" w:cs="宋体"/>
                <w:b/>
                <w:szCs w:val="21"/>
                <w:highlight w:val="none"/>
              </w:rPr>
              <w:t>1.法定代表人授权委托书必须由法定代表人及其委托代理人签字，并加盖供应商公章，否则响应文件按无效响应处理。</w:t>
            </w:r>
          </w:p>
          <w:p>
            <w:pPr>
              <w:spacing w:line="360" w:lineRule="auto"/>
              <w:ind w:firstLine="413" w:firstLineChars="196"/>
              <w:rPr>
                <w:rFonts w:hint="eastAsia" w:ascii="宋体" w:hAnsi="宋体" w:cs="宋体"/>
                <w:b/>
                <w:szCs w:val="21"/>
                <w:highlight w:val="none"/>
              </w:rPr>
            </w:pPr>
            <w:r>
              <w:rPr>
                <w:rFonts w:hint="eastAsia" w:ascii="宋体" w:hAnsi="宋体" w:cs="宋体"/>
                <w:b/>
                <w:szCs w:val="21"/>
                <w:highlight w:val="none"/>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963" w:type="dxa"/>
            <w:vMerge w:val="continue"/>
            <w:noWrap w:val="0"/>
            <w:vAlign w:val="center"/>
          </w:tcPr>
          <w:p>
            <w:pPr>
              <w:spacing w:line="360" w:lineRule="auto"/>
              <w:jc w:val="center"/>
              <w:rPr>
                <w:rFonts w:hint="eastAsia" w:ascii="宋体" w:hAnsi="宋体" w:cs="宋体"/>
                <w:szCs w:val="21"/>
                <w:highlight w:val="none"/>
              </w:rPr>
            </w:pPr>
          </w:p>
        </w:tc>
        <w:tc>
          <w:tcPr>
            <w:tcW w:w="2548" w:type="dxa"/>
            <w:noWrap w:val="0"/>
            <w:vAlign w:val="center"/>
          </w:tcPr>
          <w:p>
            <w:pPr>
              <w:spacing w:line="360" w:lineRule="auto"/>
              <w:jc w:val="center"/>
              <w:rPr>
                <w:rFonts w:hint="eastAsia" w:ascii="宋体" w:hAnsi="宋体" w:cs="宋体"/>
                <w:b/>
                <w:bCs/>
                <w:szCs w:val="21"/>
                <w:highlight w:val="none"/>
              </w:rPr>
            </w:pPr>
            <w:r>
              <w:rPr>
                <w:rFonts w:hint="eastAsia" w:ascii="宋体" w:hAnsi="宋体" w:cs="宋体"/>
                <w:b/>
                <w:bCs/>
                <w:szCs w:val="21"/>
                <w:highlight w:val="none"/>
              </w:rPr>
              <w:t>技术文件组成</w:t>
            </w:r>
          </w:p>
        </w:tc>
        <w:tc>
          <w:tcPr>
            <w:tcW w:w="6853" w:type="dxa"/>
            <w:noWrap w:val="0"/>
            <w:vAlign w:val="center"/>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1.服务需求偏离表</w:t>
            </w:r>
            <w:r>
              <w:rPr>
                <w:rFonts w:hint="eastAsia" w:ascii="宋体" w:hAnsi="宋体" w:cs="宋体"/>
                <w:color w:val="000000"/>
                <w:szCs w:val="21"/>
                <w:highlight w:val="none"/>
              </w:rPr>
              <w:t>（格式后附）</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2.服务方案</w:t>
            </w:r>
            <w:r>
              <w:rPr>
                <w:rFonts w:hint="eastAsia" w:ascii="宋体" w:hAnsi="宋体" w:cs="宋体"/>
                <w:color w:val="000000"/>
                <w:szCs w:val="21"/>
                <w:highlight w:val="none"/>
              </w:rPr>
              <w:t>（部分格式后附）</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.项目实施人员一览表</w:t>
            </w:r>
            <w:r>
              <w:rPr>
                <w:rFonts w:hint="eastAsia" w:ascii="宋体" w:hAnsi="宋体" w:cs="宋体"/>
                <w:color w:val="000000"/>
                <w:szCs w:val="21"/>
                <w:highlight w:val="none"/>
              </w:rPr>
              <w:t>（格式后附）</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.对应采购需求的服务需求提供的其他文件资料</w:t>
            </w:r>
            <w:r>
              <w:rPr>
                <w:rFonts w:hint="eastAsia" w:ascii="宋体" w:hAnsi="宋体" w:cs="宋体"/>
                <w:color w:val="000000"/>
                <w:szCs w:val="21"/>
                <w:highlight w:val="none"/>
              </w:rPr>
              <w:t>（格式自拟）</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.供应商认为需要提供的其他有关资料</w:t>
            </w:r>
            <w:r>
              <w:rPr>
                <w:rFonts w:hint="eastAsia" w:ascii="宋体" w:hAnsi="宋体" w:cs="宋体"/>
                <w:color w:val="000000"/>
                <w:szCs w:val="21"/>
                <w:highlight w:val="none"/>
              </w:rPr>
              <w:t>（格式自拟）</w:t>
            </w:r>
            <w:r>
              <w:rPr>
                <w:rFonts w:hint="eastAsia" w:ascii="宋体" w:hAnsi="宋体" w:cs="宋体"/>
                <w:szCs w:val="21"/>
                <w:highlight w:val="none"/>
              </w:rPr>
              <w:t>。</w:t>
            </w:r>
          </w:p>
          <w:p>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12.1.3</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b/>
                <w:bCs/>
                <w:szCs w:val="21"/>
                <w:highlight w:val="none"/>
              </w:rPr>
              <w:t>报价文件组成</w:t>
            </w:r>
          </w:p>
        </w:tc>
        <w:tc>
          <w:tcPr>
            <w:tcW w:w="6853" w:type="dxa"/>
            <w:noWrap w:val="0"/>
            <w:vAlign w:val="center"/>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1.响应函（格式后附）；</w:t>
            </w:r>
            <w:r>
              <w:rPr>
                <w:rFonts w:hint="eastAsia" w:ascii="宋体" w:hAnsi="宋体" w:cs="宋体"/>
                <w:b/>
                <w:bCs/>
                <w:szCs w:val="21"/>
                <w:highlight w:val="none"/>
              </w:rPr>
              <w:t>（必须提供，否则响应文件按无效响应处理）</w:t>
            </w:r>
          </w:p>
          <w:p>
            <w:pPr>
              <w:spacing w:line="360" w:lineRule="auto"/>
              <w:ind w:firstLine="420" w:firstLineChars="200"/>
              <w:rPr>
                <w:rFonts w:hint="eastAsia" w:ascii="宋体" w:hAnsi="宋体" w:cs="宋体"/>
                <w:b/>
                <w:bCs/>
                <w:szCs w:val="21"/>
                <w:highlight w:val="none"/>
              </w:rPr>
            </w:pPr>
            <w:r>
              <w:rPr>
                <w:rFonts w:hint="eastAsia" w:ascii="宋体" w:hAnsi="宋体" w:cs="宋体"/>
                <w:szCs w:val="21"/>
                <w:highlight w:val="none"/>
              </w:rPr>
              <w:t>2.响应报价表（格式后附）；</w:t>
            </w:r>
            <w:r>
              <w:rPr>
                <w:rFonts w:hint="eastAsia" w:ascii="宋体" w:hAnsi="宋体" w:cs="宋体"/>
                <w:b/>
                <w:bCs/>
                <w:szCs w:val="21"/>
                <w:highlight w:val="none"/>
              </w:rPr>
              <w:t>（必须提供，否则响应文件按无效响应处理）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3.供应商针对报价需要说明的其他文件和说明（格式自拟）。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12.2</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响应文件电子版要求</w:t>
            </w:r>
          </w:p>
        </w:tc>
        <w:tc>
          <w:tcPr>
            <w:tcW w:w="6853" w:type="dxa"/>
            <w:noWrap w:val="0"/>
            <w:vAlign w:val="center"/>
          </w:tcPr>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1.响应文件电子版要求：按照本竞争性磋商文件“第五章 响应文件格式”编写，第五章未附格式的，由供应商自行拟定。</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15.2</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响应报价要求</w:t>
            </w:r>
          </w:p>
        </w:tc>
        <w:tc>
          <w:tcPr>
            <w:tcW w:w="6853" w:type="dxa"/>
            <w:noWrap w:val="0"/>
            <w:vAlign w:val="center"/>
          </w:tcPr>
          <w:p>
            <w:pPr>
              <w:snapToGrid w:val="0"/>
              <w:spacing w:line="360" w:lineRule="auto"/>
              <w:jc w:val="left"/>
              <w:rPr>
                <w:rFonts w:hint="eastAsia" w:ascii="宋体" w:hAnsi="宋体" w:cs="宋体"/>
                <w:highlight w:val="none"/>
              </w:rPr>
            </w:pPr>
            <w:r>
              <w:rPr>
                <w:rFonts w:hint="eastAsia" w:ascii="宋体" w:hAnsi="宋体" w:cs="宋体"/>
                <w:highlight w:val="none"/>
              </w:rPr>
              <w:t>响应</w:t>
            </w:r>
            <w:r>
              <w:rPr>
                <w:rFonts w:hint="eastAsia" w:ascii="宋体" w:hAnsi="宋体" w:cs="宋体"/>
                <w:szCs w:val="21"/>
                <w:highlight w:val="none"/>
              </w:rPr>
              <w:t>报价为人民币金额报价，即一次性报出完成本项目所需所有费用，含服务费用、备品备件费用、派出工作人员的交通费、住宿费、伙食补助费</w:t>
            </w:r>
            <w:r>
              <w:rPr>
                <w:rFonts w:hint="eastAsia" w:ascii="宋体" w:hAnsi="宋体" w:cs="宋体"/>
                <w:highlight w:val="none"/>
              </w:rPr>
              <w:t>、税金</w:t>
            </w:r>
            <w:r>
              <w:rPr>
                <w:rFonts w:hint="eastAsia" w:ascii="宋体" w:hAnsi="宋体" w:cs="宋体"/>
                <w:szCs w:val="21"/>
                <w:highlight w:val="none"/>
              </w:rPr>
              <w:t>及其他与服务相关的一切费用。</w:t>
            </w:r>
          </w:p>
          <w:p>
            <w:pPr>
              <w:snapToGrid w:val="0"/>
              <w:spacing w:line="360" w:lineRule="auto"/>
              <w:rPr>
                <w:rFonts w:ascii="宋体" w:hAnsi="宋体" w:cs="宋体"/>
                <w:b/>
                <w:color w:val="000000"/>
                <w:szCs w:val="21"/>
                <w:highlight w:val="none"/>
              </w:rPr>
            </w:pPr>
            <w:r>
              <w:rPr>
                <w:rFonts w:hint="eastAsia" w:ascii="宋体" w:hAnsi="宋体" w:cs="宋体"/>
                <w:b/>
                <w:color w:val="000000"/>
                <w:szCs w:val="21"/>
                <w:highlight w:val="none"/>
              </w:rPr>
              <w:sym w:font="Wingdings 2" w:char="0052"/>
            </w:r>
            <w:r>
              <w:rPr>
                <w:rFonts w:hint="eastAsia" w:ascii="宋体" w:hAnsi="宋体" w:cs="宋体"/>
                <w:b/>
                <w:color w:val="000000"/>
                <w:szCs w:val="21"/>
                <w:highlight w:val="none"/>
              </w:rPr>
              <w:t>响应报价包含首次验收费用，详见合同付款方式。</w:t>
            </w:r>
          </w:p>
          <w:p>
            <w:pPr>
              <w:pStyle w:val="13"/>
              <w:rPr>
                <w:rFonts w:hint="eastAsia" w:ascii="宋体" w:hAnsi="宋体" w:cs="宋体"/>
                <w:highlight w:val="none"/>
              </w:rPr>
            </w:pPr>
            <w:r>
              <w:rPr>
                <w:rFonts w:hint="eastAsia" w:ascii="宋体" w:hAnsi="宋体" w:cs="宋体"/>
                <w:b/>
                <w:color w:val="000000"/>
                <w:szCs w:val="21"/>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16.2</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竞标有效期</w:t>
            </w:r>
          </w:p>
        </w:tc>
        <w:tc>
          <w:tcPr>
            <w:tcW w:w="6853" w:type="dxa"/>
            <w:noWrap w:val="0"/>
            <w:vAlign w:val="center"/>
          </w:tcPr>
          <w:p>
            <w:pPr>
              <w:pStyle w:val="10"/>
              <w:widowControl w:val="0"/>
              <w:tabs>
                <w:tab w:val="clear" w:pos="454"/>
              </w:tabs>
              <w:snapToGrid w:val="0"/>
              <w:spacing w:afterLines="0" w:line="360" w:lineRule="auto"/>
              <w:ind w:left="283" w:hanging="283" w:hangingChars="135"/>
              <w:rPr>
                <w:rFonts w:hint="eastAsia" w:ascii="宋体" w:hAnsi="宋体" w:cs="宋体"/>
                <w:kern w:val="2"/>
                <w:sz w:val="21"/>
                <w:szCs w:val="21"/>
                <w:highlight w:val="none"/>
              </w:rPr>
            </w:pPr>
            <w:r>
              <w:rPr>
                <w:rFonts w:hint="eastAsia" w:ascii="宋体" w:hAnsi="宋体" w:cs="宋体"/>
                <w:kern w:val="2"/>
                <w:sz w:val="21"/>
                <w:szCs w:val="21"/>
                <w:highlight w:val="none"/>
              </w:rPr>
              <w:t>自首次响应文件提交截止之日起</w:t>
            </w:r>
            <w:r>
              <w:rPr>
                <w:rFonts w:hint="eastAsia" w:ascii="宋体" w:hAnsi="宋体" w:cs="宋体"/>
                <w:kern w:val="2"/>
                <w:sz w:val="21"/>
                <w:szCs w:val="21"/>
                <w:highlight w:val="none"/>
                <w:u w:val="single"/>
              </w:rPr>
              <w:t xml:space="preserve"> 60 </w:t>
            </w:r>
            <w:r>
              <w:rPr>
                <w:rFonts w:hint="eastAsia" w:ascii="宋体" w:hAnsi="宋体" w:cs="宋体"/>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17.1</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磋商保证金</w:t>
            </w:r>
          </w:p>
        </w:tc>
        <w:tc>
          <w:tcPr>
            <w:tcW w:w="6853" w:type="dxa"/>
            <w:noWrap w:val="0"/>
            <w:vAlign w:val="center"/>
          </w:tcPr>
          <w:p>
            <w:pPr>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t>□ 本项目不需要缴</w:t>
            </w:r>
            <w:r>
              <w:rPr>
                <w:rFonts w:hint="eastAsia" w:ascii="宋体" w:hAnsi="宋体" w:cs="宋体"/>
                <w:b/>
                <w:bCs/>
                <w:color w:val="000000"/>
                <w:kern w:val="0"/>
                <w:szCs w:val="21"/>
                <w:highlight w:val="none"/>
              </w:rPr>
              <w:t>纳</w:t>
            </w:r>
            <w:r>
              <w:rPr>
                <w:rFonts w:hint="eastAsia" w:ascii="宋体" w:hAnsi="宋体" w:cs="宋体"/>
                <w:b/>
                <w:bCs/>
                <w:color w:val="000000"/>
                <w:szCs w:val="21"/>
                <w:highlight w:val="none"/>
              </w:rPr>
              <w:t>磋商保证金。</w:t>
            </w:r>
          </w:p>
          <w:p>
            <w:pPr>
              <w:snapToGrid w:val="0"/>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sym w:font="Wingdings 2" w:char="0052"/>
            </w:r>
            <w:r>
              <w:rPr>
                <w:rFonts w:hint="eastAsia" w:ascii="宋体" w:hAnsi="宋体" w:cs="宋体"/>
                <w:b/>
                <w:bCs/>
                <w:color w:val="000000"/>
                <w:szCs w:val="21"/>
                <w:highlight w:val="none"/>
              </w:rPr>
              <w:t xml:space="preserve"> 本项目需要缴</w:t>
            </w:r>
            <w:r>
              <w:rPr>
                <w:rFonts w:hint="eastAsia" w:ascii="宋体" w:hAnsi="宋体" w:cs="宋体"/>
                <w:b/>
                <w:bCs/>
                <w:color w:val="000000"/>
                <w:kern w:val="0"/>
                <w:szCs w:val="21"/>
                <w:highlight w:val="none"/>
              </w:rPr>
              <w:t>纳</w:t>
            </w:r>
            <w:r>
              <w:rPr>
                <w:rFonts w:hint="eastAsia" w:ascii="宋体" w:hAnsi="宋体" w:cs="宋体"/>
                <w:b/>
                <w:bCs/>
                <w:color w:val="000000"/>
                <w:szCs w:val="21"/>
                <w:highlight w:val="none"/>
              </w:rPr>
              <w:t>磋商保证金，相关要求如下：</w:t>
            </w: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1.磋商保证金的缴纳方式：详见竞争性磋商公告。</w:t>
            </w: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2.磋商保证金的金额：详见竞争性磋商公告。</w:t>
            </w: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color w:val="000000"/>
                <w:szCs w:val="21"/>
                <w:highlight w:val="none"/>
              </w:rPr>
              <w:t>否则响应文件按无效响应处理</w:t>
            </w:r>
            <w:r>
              <w:rPr>
                <w:rFonts w:hint="eastAsia" w:ascii="宋体" w:hAnsi="宋体" w:cs="宋体"/>
                <w:color w:val="000000"/>
                <w:szCs w:val="21"/>
                <w:highlight w:val="none"/>
              </w:rPr>
              <w:t>。</w:t>
            </w: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4.磋商保证金采用支票、汇票、本票或者金融机构、担保机构出具的保函等缴纳方式的，供应商应将支票、汇票、本票或者金融机构、担保机构出具的保函等的复印件</w:t>
            </w:r>
            <w:r>
              <w:rPr>
                <w:rFonts w:hint="eastAsia" w:ascii="宋体" w:hAnsi="宋体" w:cs="宋体"/>
                <w:szCs w:val="21"/>
                <w:highlight w:val="none"/>
              </w:rPr>
              <w:t>或者金融机构、担保机构出具的</w:t>
            </w:r>
            <w:r>
              <w:rPr>
                <w:rFonts w:hint="eastAsia" w:ascii="宋体" w:hAnsi="宋体" w:cs="宋体"/>
                <w:kern w:val="0"/>
                <w:szCs w:val="21"/>
                <w:highlight w:val="none"/>
              </w:rPr>
              <w:t>电子保函</w:t>
            </w:r>
            <w:r>
              <w:rPr>
                <w:rFonts w:hint="eastAsia" w:ascii="宋体" w:hAnsi="宋体" w:cs="宋体"/>
                <w:color w:val="000000"/>
                <w:szCs w:val="21"/>
                <w:highlight w:val="none"/>
              </w:rPr>
              <w:t>作为磋商保证金提交凭证，放置于商务文件中，</w:t>
            </w:r>
            <w:r>
              <w:rPr>
                <w:rFonts w:hint="eastAsia" w:ascii="宋体" w:hAnsi="宋体" w:cs="宋体"/>
                <w:b/>
                <w:color w:val="000000"/>
                <w:szCs w:val="21"/>
                <w:highlight w:val="none"/>
              </w:rPr>
              <w:t>否则响应文件按无效响应处理</w:t>
            </w:r>
            <w:r>
              <w:rPr>
                <w:rFonts w:hint="eastAsia" w:ascii="宋体" w:hAnsi="宋体" w:cs="宋体"/>
                <w:color w:val="000000"/>
                <w:szCs w:val="21"/>
                <w:highlight w:val="none"/>
              </w:rPr>
              <w:t>。供应商必须在</w:t>
            </w:r>
            <w:r>
              <w:rPr>
                <w:rFonts w:hint="eastAsia" w:ascii="宋体" w:hAnsi="宋体" w:cs="宋体"/>
                <w:color w:val="000000"/>
                <w:kern w:val="0"/>
                <w:szCs w:val="21"/>
                <w:highlight w:val="none"/>
              </w:rPr>
              <w:t>首次响应文件提交截止时间前</w:t>
            </w:r>
            <w:r>
              <w:rPr>
                <w:rFonts w:hint="eastAsia" w:ascii="宋体" w:hAnsi="宋体" w:cs="宋体"/>
                <w:color w:val="000000"/>
                <w:szCs w:val="21"/>
                <w:highlight w:val="none"/>
              </w:rPr>
              <w:t>将支票、汇票、本票或者金融机构、担保机构出具的保函</w:t>
            </w:r>
            <w:r>
              <w:rPr>
                <w:rFonts w:hint="eastAsia" w:ascii="宋体" w:hAnsi="宋体" w:cs="宋体"/>
                <w:szCs w:val="21"/>
                <w:highlight w:val="none"/>
              </w:rPr>
              <w:t>（</w:t>
            </w:r>
            <w:r>
              <w:rPr>
                <w:rFonts w:hint="eastAsia" w:ascii="宋体" w:hAnsi="宋体" w:cs="宋体"/>
                <w:kern w:val="0"/>
                <w:szCs w:val="21"/>
                <w:highlight w:val="none"/>
              </w:rPr>
              <w:t>电子保函除外</w:t>
            </w:r>
            <w:r>
              <w:rPr>
                <w:rFonts w:hint="eastAsia" w:ascii="宋体" w:hAnsi="宋体" w:cs="宋体"/>
                <w:szCs w:val="21"/>
                <w:highlight w:val="none"/>
              </w:rPr>
              <w:t>）</w:t>
            </w:r>
            <w:r>
              <w:rPr>
                <w:rFonts w:hint="eastAsia" w:ascii="宋体" w:hAnsi="宋体" w:cs="宋体"/>
                <w:color w:val="000000"/>
                <w:szCs w:val="21"/>
                <w:highlight w:val="none"/>
              </w:rPr>
              <w:t>等原件提交给采购代理机构，由采购代理机构向供应商出具回执，并妥善保管。</w:t>
            </w:r>
          </w:p>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5.磋商保证金指定账户：详见竞争性磋商公告。</w:t>
            </w:r>
          </w:p>
          <w:p>
            <w:pPr>
              <w:snapToGrid w:val="0"/>
              <w:spacing w:line="360" w:lineRule="auto"/>
              <w:rPr>
                <w:rFonts w:hint="eastAsia" w:ascii="宋体" w:hAnsi="宋体" w:cs="宋体"/>
                <w:b/>
                <w:color w:val="000000"/>
                <w:szCs w:val="21"/>
                <w:highlight w:val="none"/>
              </w:rPr>
            </w:pPr>
            <w:r>
              <w:rPr>
                <w:rFonts w:hint="eastAsia" w:ascii="宋体" w:hAnsi="宋体" w:cs="宋体"/>
                <w:color w:val="000000"/>
                <w:szCs w:val="21"/>
                <w:highlight w:val="none"/>
              </w:rPr>
              <w:t>6.供应商为联合体的，可以由联合体中的一方或者多方共同缴纳磋商保证金，其缴纳的磋商保证金对联合体各方均具有约束力。</w:t>
            </w:r>
          </w:p>
          <w:p>
            <w:pPr>
              <w:snapToGrid w:val="0"/>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 xml:space="preserve">备注： </w:t>
            </w:r>
          </w:p>
          <w:p>
            <w:pPr>
              <w:snapToGrid w:val="0"/>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1.磋商保证金在首次响应文件提交截止时间后提交的，或者不按规定缴纳方式缴纳的，或者未足额缴纳的（包含保函额度不足的），视为无效磋商保证金。</w:t>
            </w:r>
          </w:p>
          <w:p>
            <w:pPr>
              <w:snapToGrid w:val="0"/>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2.供应商采用现金方式或者从个人账户（自然人竞标除外）转出的磋商保证金，视为无效磋商保证金。</w:t>
            </w:r>
          </w:p>
          <w:p>
            <w:pPr>
              <w:snapToGrid w:val="0"/>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3.支票、汇票或者本票出现无效或者背书情形的，视为无效磋商保证金。</w:t>
            </w:r>
          </w:p>
          <w:p>
            <w:pPr>
              <w:snapToGrid w:val="0"/>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4.保函有效期低于竞标有效期的，视为无效磋商保证金。</w:t>
            </w:r>
          </w:p>
          <w:p>
            <w:pPr>
              <w:autoSpaceDE w:val="0"/>
              <w:autoSpaceDN w:val="0"/>
              <w:snapToGrid w:val="0"/>
              <w:spacing w:line="360" w:lineRule="auto"/>
              <w:textAlignment w:val="bottom"/>
              <w:rPr>
                <w:rFonts w:hint="eastAsia" w:ascii="宋体" w:hAnsi="宋体" w:cs="宋体"/>
                <w:szCs w:val="21"/>
                <w:highlight w:val="none"/>
              </w:rPr>
            </w:pPr>
            <w:r>
              <w:rPr>
                <w:rFonts w:hint="eastAsia" w:ascii="宋体" w:hAnsi="宋体" w:cs="宋体"/>
                <w:b/>
                <w:color w:val="000000"/>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20.1</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首次响应文件提交截止</w:t>
            </w:r>
          </w:p>
          <w:p>
            <w:pPr>
              <w:spacing w:line="360" w:lineRule="auto"/>
              <w:jc w:val="center"/>
              <w:rPr>
                <w:rFonts w:hint="eastAsia" w:ascii="宋体" w:hAnsi="宋体" w:cs="宋体"/>
                <w:szCs w:val="21"/>
                <w:highlight w:val="none"/>
              </w:rPr>
            </w:pPr>
            <w:r>
              <w:rPr>
                <w:rFonts w:hint="eastAsia" w:ascii="宋体" w:hAnsi="宋体" w:cs="宋体"/>
                <w:szCs w:val="21"/>
                <w:highlight w:val="none"/>
              </w:rPr>
              <w:t>时间</w:t>
            </w:r>
          </w:p>
        </w:tc>
        <w:tc>
          <w:tcPr>
            <w:tcW w:w="6853" w:type="dxa"/>
            <w:noWrap w:val="0"/>
            <w:vAlign w:val="center"/>
          </w:tcPr>
          <w:p>
            <w:pPr>
              <w:snapToGrid w:val="0"/>
              <w:spacing w:line="360" w:lineRule="auto"/>
              <w:jc w:val="left"/>
              <w:rPr>
                <w:rFonts w:hint="eastAsia" w:ascii="宋体" w:hAnsi="宋体" w:cs="宋体"/>
                <w:szCs w:val="21"/>
                <w:highlight w:val="none"/>
                <w:u w:val="single"/>
              </w:rPr>
            </w:pPr>
            <w:r>
              <w:rPr>
                <w:rFonts w:hint="eastAsia" w:ascii="宋体" w:hAnsi="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0"/>
            <w:vAlign w:val="center"/>
          </w:tcPr>
          <w:p>
            <w:pPr>
              <w:spacing w:line="360" w:lineRule="auto"/>
              <w:jc w:val="center"/>
              <w:rPr>
                <w:rFonts w:hint="eastAsia" w:ascii="宋体" w:hAnsi="宋体" w:cs="宋体"/>
                <w:szCs w:val="21"/>
                <w:highlight w:val="none"/>
              </w:rPr>
            </w:pP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首次响应文件开启</w:t>
            </w:r>
          </w:p>
          <w:p>
            <w:pPr>
              <w:spacing w:line="360" w:lineRule="auto"/>
              <w:jc w:val="center"/>
              <w:rPr>
                <w:rFonts w:hint="eastAsia" w:ascii="宋体" w:hAnsi="宋体" w:cs="宋体"/>
                <w:szCs w:val="21"/>
                <w:highlight w:val="none"/>
              </w:rPr>
            </w:pPr>
            <w:r>
              <w:rPr>
                <w:rFonts w:hint="eastAsia" w:ascii="宋体" w:hAnsi="宋体" w:cs="宋体"/>
                <w:szCs w:val="21"/>
                <w:highlight w:val="none"/>
              </w:rPr>
              <w:t>时间</w:t>
            </w:r>
          </w:p>
        </w:tc>
        <w:tc>
          <w:tcPr>
            <w:tcW w:w="6853" w:type="dxa"/>
            <w:noWrap w:val="0"/>
            <w:vAlign w:val="center"/>
          </w:tcPr>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pPr>
              <w:spacing w:line="360" w:lineRule="auto"/>
              <w:jc w:val="center"/>
              <w:rPr>
                <w:rFonts w:hint="eastAsia" w:ascii="宋体" w:hAnsi="宋体" w:cs="宋体"/>
                <w:szCs w:val="21"/>
                <w:highlight w:val="none"/>
              </w:rPr>
            </w:pP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首次响应文件提交地点</w:t>
            </w:r>
          </w:p>
        </w:tc>
        <w:tc>
          <w:tcPr>
            <w:tcW w:w="6853" w:type="dxa"/>
            <w:noWrap w:val="0"/>
            <w:vAlign w:val="center"/>
          </w:tcPr>
          <w:p>
            <w:pPr>
              <w:snapToGrid w:val="0"/>
              <w:spacing w:line="360" w:lineRule="auto"/>
              <w:jc w:val="left"/>
              <w:rPr>
                <w:rFonts w:hint="eastAsia" w:ascii="宋体" w:hAnsi="宋体" w:cs="宋体"/>
                <w:szCs w:val="21"/>
                <w:highlight w:val="none"/>
                <w:u w:val="single"/>
              </w:rPr>
            </w:pPr>
            <w:r>
              <w:rPr>
                <w:rFonts w:hint="eastAsia" w:ascii="宋体" w:hAnsi="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20.6</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备份响应文件</w:t>
            </w:r>
          </w:p>
        </w:tc>
        <w:tc>
          <w:tcPr>
            <w:tcW w:w="6853" w:type="dxa"/>
            <w:noWrap w:val="0"/>
            <w:vAlign w:val="center"/>
          </w:tcPr>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1</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首次响应文件的补充、修改与撤回</w:t>
            </w:r>
          </w:p>
        </w:tc>
        <w:tc>
          <w:tcPr>
            <w:tcW w:w="6853" w:type="dxa"/>
            <w:noWrap w:val="0"/>
            <w:vAlign w:val="center"/>
          </w:tcPr>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详见</w:t>
            </w:r>
            <w:r>
              <w:rPr>
                <w:rFonts w:hint="eastAsia" w:ascii="宋体" w:hAnsi="宋体"/>
                <w:bCs/>
                <w:highlight w:val="none"/>
              </w:rPr>
              <w:t>供应商须知正文</w:t>
            </w:r>
            <w:r>
              <w:rPr>
                <w:rFonts w:hint="eastAsia" w:ascii="宋体" w:hAnsi="宋体" w:cs="宋体"/>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25</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负偏离要求</w:t>
            </w:r>
          </w:p>
        </w:tc>
        <w:tc>
          <w:tcPr>
            <w:tcW w:w="6853" w:type="dxa"/>
            <w:noWrap w:val="0"/>
            <w:vAlign w:val="center"/>
          </w:tcPr>
          <w:p>
            <w:pPr>
              <w:snapToGrid w:val="0"/>
              <w:spacing w:line="360" w:lineRule="auto"/>
              <w:rPr>
                <w:rFonts w:hint="eastAsia"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pPr>
              <w:snapToGrid w:val="0"/>
              <w:spacing w:line="360" w:lineRule="auto"/>
              <w:rPr>
                <w:rFonts w:hint="eastAsia" w:ascii="宋体" w:hAnsi="宋体" w:cs="宋体"/>
                <w:szCs w:val="21"/>
                <w:highlight w:val="none"/>
              </w:rPr>
            </w:pPr>
            <w:r>
              <w:rPr>
                <w:rFonts w:hint="eastAsia" w:ascii="宋体" w:hAnsi="宋体" w:cs="宋体"/>
                <w:szCs w:val="21"/>
                <w:highlight w:val="none"/>
              </w:rPr>
              <w:t>服务</w:t>
            </w:r>
            <w:r>
              <w:rPr>
                <w:rFonts w:hint="eastAsia" w:ascii="宋体" w:hAnsi="宋体" w:cs="宋体"/>
                <w:szCs w:val="21"/>
                <w:highlight w:val="none"/>
                <w:lang w:eastAsia="zh-CN"/>
              </w:rPr>
              <w:t>参数</w:t>
            </w:r>
            <w:r>
              <w:rPr>
                <w:rFonts w:hint="eastAsia" w:ascii="宋体" w:hAnsi="宋体" w:cs="宋体"/>
                <w:szCs w:val="21"/>
                <w:highlight w:val="none"/>
              </w:rPr>
              <w:t>评审中允许负偏离的条款数为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 xml:space="preserve"> </w:t>
            </w:r>
            <w:r>
              <w:rPr>
                <w:rFonts w:hint="eastAsia" w:ascii="宋体" w:hAnsi="宋体" w:cs="宋体"/>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pPr>
              <w:spacing w:line="360" w:lineRule="auto"/>
              <w:jc w:val="center"/>
              <w:rPr>
                <w:rFonts w:hint="eastAsia" w:ascii="宋体" w:hAnsi="宋体" w:cs="宋体"/>
                <w:szCs w:val="21"/>
                <w:highlight w:val="none"/>
              </w:rPr>
            </w:pPr>
          </w:p>
        </w:tc>
        <w:tc>
          <w:tcPr>
            <w:tcW w:w="2548" w:type="dxa"/>
            <w:noWrap w:val="0"/>
            <w:vAlign w:val="center"/>
          </w:tcPr>
          <w:p>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评审方法</w:t>
            </w:r>
          </w:p>
        </w:tc>
        <w:tc>
          <w:tcPr>
            <w:tcW w:w="6853" w:type="dxa"/>
            <w:noWrap w:val="0"/>
            <w:vAlign w:val="center"/>
          </w:tcPr>
          <w:p>
            <w:pPr>
              <w:pStyle w:val="11"/>
              <w:spacing w:line="360" w:lineRule="auto"/>
              <w:rPr>
                <w:rFonts w:hint="eastAsia" w:ascii="宋体" w:hAnsi="宋体" w:cs="宋体"/>
                <w:b/>
                <w:szCs w:val="21"/>
                <w:highlight w:val="none"/>
              </w:rPr>
            </w:pPr>
            <w:r>
              <w:rPr>
                <w:rFonts w:hint="eastAsia"/>
                <w:highlight w:val="none"/>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pPr>
              <w:spacing w:line="360" w:lineRule="auto"/>
              <w:jc w:val="center"/>
              <w:rPr>
                <w:rFonts w:hint="eastAsia" w:ascii="宋体" w:hAnsi="宋体" w:cs="宋体"/>
                <w:szCs w:val="21"/>
                <w:highlight w:val="none"/>
              </w:rPr>
            </w:pPr>
          </w:p>
        </w:tc>
        <w:tc>
          <w:tcPr>
            <w:tcW w:w="2548" w:type="dxa"/>
            <w:noWrap w:val="0"/>
            <w:vAlign w:val="center"/>
          </w:tcPr>
          <w:p>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磋商的顺序</w:t>
            </w:r>
          </w:p>
        </w:tc>
        <w:tc>
          <w:tcPr>
            <w:tcW w:w="6853" w:type="dxa"/>
            <w:noWrap w:val="0"/>
            <w:vAlign w:val="center"/>
          </w:tcPr>
          <w:p>
            <w:pPr>
              <w:pStyle w:val="11"/>
              <w:spacing w:line="360" w:lineRule="auto"/>
              <w:rPr>
                <w:rFonts w:hint="eastAsia" w:ascii="宋体" w:hAnsi="宋体" w:cs="宋体"/>
                <w:szCs w:val="21"/>
                <w:highlight w:val="none"/>
              </w:rPr>
            </w:pPr>
            <w:r>
              <w:rPr>
                <w:rFonts w:hint="eastAsia" w:ascii="宋体" w:hAnsi="宋体" w:cs="宋体"/>
                <w:szCs w:val="21"/>
                <w:highlight w:val="none"/>
              </w:rPr>
              <w:t>□按照提交首次响应文件的顺序，通知磋商时，若某供应商不在通知现场时，该供应商排序到最后磋商，按照签到的顺序由其下一位供应商先参与磋商。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随机排序。</w:t>
            </w:r>
          </w:p>
          <w:p>
            <w:pPr>
              <w:pStyle w:val="11"/>
              <w:spacing w:line="360" w:lineRule="auto"/>
              <w:rPr>
                <w:rFonts w:hint="eastAsia" w:ascii="宋体" w:hAnsi="宋体" w:cs="宋体"/>
                <w:b/>
                <w:szCs w:val="21"/>
                <w:highlight w:val="none"/>
              </w:rPr>
            </w:pPr>
            <w:r>
              <w:rPr>
                <w:rFonts w:hint="eastAsia" w:ascii="宋体" w:hAnsi="宋体" w:cs="宋体"/>
                <w:b/>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27</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履约保证金</w:t>
            </w:r>
          </w:p>
        </w:tc>
        <w:tc>
          <w:tcPr>
            <w:tcW w:w="6853" w:type="dxa"/>
            <w:noWrap w:val="0"/>
            <w:vAlign w:val="center"/>
          </w:tcPr>
          <w:p>
            <w:pPr>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sym w:font="Wingdings 2" w:char="0052"/>
            </w:r>
            <w:r>
              <w:rPr>
                <w:rFonts w:hint="eastAsia" w:ascii="宋体" w:hAnsi="宋体" w:cs="宋体"/>
                <w:b/>
                <w:bCs/>
                <w:color w:val="000000"/>
                <w:szCs w:val="21"/>
                <w:highlight w:val="none"/>
              </w:rPr>
              <w:t xml:space="preserve"> 本项目不需要缴</w:t>
            </w:r>
            <w:r>
              <w:rPr>
                <w:rFonts w:hint="eastAsia" w:ascii="宋体" w:hAnsi="宋体" w:cs="宋体"/>
                <w:b/>
                <w:bCs/>
                <w:color w:val="000000"/>
                <w:kern w:val="0"/>
                <w:szCs w:val="21"/>
                <w:highlight w:val="none"/>
              </w:rPr>
              <w:t>纳</w:t>
            </w:r>
            <w:r>
              <w:rPr>
                <w:rFonts w:hint="eastAsia" w:ascii="宋体" w:hAnsi="宋体" w:cs="宋体"/>
                <w:b/>
                <w:bCs/>
                <w:szCs w:val="21"/>
                <w:highlight w:val="none"/>
              </w:rPr>
              <w:t>履约</w:t>
            </w:r>
            <w:r>
              <w:rPr>
                <w:rFonts w:hint="eastAsia" w:ascii="宋体" w:hAnsi="宋体" w:cs="宋体"/>
                <w:b/>
                <w:bCs/>
                <w:color w:val="000000"/>
                <w:szCs w:val="21"/>
                <w:highlight w:val="none"/>
              </w:rPr>
              <w:t>保证金。</w:t>
            </w:r>
          </w:p>
          <w:p>
            <w:pPr>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sym w:font="Wingdings 2" w:char="00A3"/>
            </w:r>
            <w:r>
              <w:rPr>
                <w:rFonts w:hint="eastAsia" w:ascii="宋体" w:hAnsi="宋体" w:cs="宋体"/>
                <w:b/>
                <w:bCs/>
                <w:color w:val="000000"/>
                <w:szCs w:val="21"/>
                <w:highlight w:val="none"/>
              </w:rPr>
              <w:t xml:space="preserve"> 本项目需要缴</w:t>
            </w:r>
            <w:r>
              <w:rPr>
                <w:rFonts w:hint="eastAsia" w:ascii="宋体" w:hAnsi="宋体" w:cs="宋体"/>
                <w:b/>
                <w:bCs/>
                <w:color w:val="000000"/>
                <w:kern w:val="0"/>
                <w:szCs w:val="21"/>
                <w:highlight w:val="none"/>
              </w:rPr>
              <w:t>纳</w:t>
            </w:r>
            <w:r>
              <w:rPr>
                <w:rFonts w:hint="eastAsia" w:ascii="宋体" w:hAnsi="宋体" w:cs="宋体"/>
                <w:b/>
                <w:bCs/>
                <w:szCs w:val="21"/>
                <w:highlight w:val="none"/>
              </w:rPr>
              <w:t>履约</w:t>
            </w:r>
            <w:r>
              <w:rPr>
                <w:rFonts w:hint="eastAsia" w:ascii="宋体" w:hAnsi="宋体" w:cs="宋体"/>
                <w:b/>
                <w:bCs/>
                <w:color w:val="000000"/>
                <w:szCs w:val="21"/>
                <w:highlight w:val="none"/>
              </w:rPr>
              <w:t>保证金，相关要求如下：</w:t>
            </w:r>
          </w:p>
          <w:p>
            <w:pPr>
              <w:spacing w:line="360" w:lineRule="auto"/>
              <w:rPr>
                <w:rFonts w:hint="eastAsia" w:ascii="宋体" w:hAnsi="宋体" w:cs="宋体"/>
                <w:i/>
                <w:iCs/>
                <w:color w:val="000000"/>
                <w:szCs w:val="21"/>
                <w:highlight w:val="none"/>
              </w:rPr>
            </w:pPr>
            <w:r>
              <w:rPr>
                <w:rFonts w:hint="eastAsia" w:ascii="宋体" w:hAnsi="宋体" w:cs="宋体"/>
                <w:color w:val="000000"/>
                <w:szCs w:val="21"/>
                <w:highlight w:val="none"/>
              </w:rPr>
              <w:t>1.履约保证金金额：</w:t>
            </w:r>
            <w:r>
              <w:rPr>
                <w:rFonts w:hint="eastAsia" w:ascii="宋体" w:hAnsi="宋体" w:cs="宋体"/>
                <w:szCs w:val="21"/>
                <w:highlight w:val="none"/>
              </w:rPr>
              <w:t>按项目</w:t>
            </w:r>
            <w:r>
              <w:rPr>
                <w:rFonts w:hint="eastAsia" w:ascii="宋体" w:hAnsi="宋体" w:cs="宋体"/>
                <w:i/>
                <w:iCs/>
                <w:szCs w:val="21"/>
                <w:highlight w:val="none"/>
              </w:rPr>
              <w:t>/</w:t>
            </w:r>
            <w:r>
              <w:rPr>
                <w:rFonts w:hint="eastAsia" w:ascii="宋体" w:hAnsi="宋体" w:cs="宋体"/>
                <w:szCs w:val="21"/>
                <w:highlight w:val="none"/>
              </w:rPr>
              <w:t>每分标</w:t>
            </w:r>
            <w:r>
              <w:rPr>
                <w:rFonts w:hint="eastAsia" w:ascii="宋体" w:hAnsi="宋体" w:cs="宋体"/>
                <w:color w:val="000000"/>
                <w:szCs w:val="21"/>
                <w:highlight w:val="none"/>
              </w:rPr>
              <w:t>成交总金额的</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2.履约保证金提交方式：</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3.履约保证金退付方式、时间及条件：</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4.缴纳履约保证金指定账户的信息：</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开户名称：</w:t>
            </w:r>
            <w:r>
              <w:rPr>
                <w:rFonts w:hint="eastAsia" w:ascii="宋体" w:hAnsi="宋体" w:cs="宋体"/>
                <w:color w:val="000000"/>
                <w:szCs w:val="21"/>
                <w:highlight w:val="none"/>
                <w:u w:val="single"/>
              </w:rPr>
              <w:t xml:space="preserve">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开户银行：</w:t>
            </w:r>
            <w:r>
              <w:rPr>
                <w:rFonts w:hint="eastAsia" w:ascii="宋体" w:hAnsi="宋体" w:cs="宋体"/>
                <w:color w:val="000000"/>
                <w:szCs w:val="21"/>
                <w:highlight w:val="none"/>
                <w:u w:val="single"/>
              </w:rPr>
              <w:t xml:space="preserve">                </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rPr>
              <w:t>银行账号：</w:t>
            </w:r>
            <w:r>
              <w:rPr>
                <w:rFonts w:hint="eastAsia" w:ascii="宋体" w:hAnsi="宋体" w:cs="宋体"/>
                <w:color w:val="000000"/>
                <w:szCs w:val="21"/>
                <w:highlight w:val="none"/>
                <w:u w:val="single"/>
              </w:rPr>
              <w:t xml:space="preserve">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开户行行号：</w:t>
            </w:r>
            <w:r>
              <w:rPr>
                <w:rFonts w:hint="eastAsia" w:ascii="宋体" w:hAnsi="宋体" w:cs="宋体"/>
                <w:color w:val="000000"/>
                <w:szCs w:val="21"/>
                <w:highlight w:val="none"/>
                <w:u w:val="single"/>
              </w:rPr>
              <w:t xml:space="preserve">              </w:t>
            </w:r>
          </w:p>
          <w:p>
            <w:pPr>
              <w:spacing w:line="360" w:lineRule="auto"/>
              <w:rPr>
                <w:rFonts w:hint="eastAsia" w:ascii="宋体" w:hAnsi="宋体" w:cs="宋体"/>
                <w:b/>
                <w:color w:val="000000"/>
                <w:szCs w:val="21"/>
                <w:highlight w:val="none"/>
              </w:rPr>
            </w:pPr>
            <w:r>
              <w:rPr>
                <w:rFonts w:hint="eastAsia" w:ascii="宋体" w:hAnsi="宋体" w:cs="宋体"/>
                <w:color w:val="000000"/>
                <w:szCs w:val="21"/>
                <w:highlight w:val="none"/>
              </w:rPr>
              <w:t>备注：</w:t>
            </w:r>
            <w:r>
              <w:rPr>
                <w:rFonts w:hint="eastAsia" w:ascii="宋体" w:hAnsi="宋体" w:cs="宋体"/>
                <w:color w:val="000000"/>
                <w:szCs w:val="21"/>
                <w:highlight w:val="none"/>
              </w:rPr>
              <w:br w:type="textWrapping"/>
            </w:r>
            <w:r>
              <w:rPr>
                <w:rFonts w:hint="eastAsia" w:ascii="宋体" w:hAnsi="宋体" w:cs="宋体"/>
                <w:b/>
                <w:color w:val="000000"/>
                <w:szCs w:val="21"/>
                <w:highlight w:val="none"/>
              </w:rPr>
              <w:t xml:space="preserve">1. </w:t>
            </w:r>
            <w:bookmarkStart w:id="66" w:name="_Hlk54170335"/>
            <w:r>
              <w:rPr>
                <w:rFonts w:hint="eastAsia" w:ascii="宋体" w:hAnsi="宋体" w:cs="宋体"/>
                <w:b/>
                <w:color w:val="000000"/>
                <w:szCs w:val="21"/>
                <w:highlight w:val="none"/>
              </w:rPr>
              <w:t>根据</w:t>
            </w:r>
            <w:r>
              <w:rPr>
                <w:rFonts w:hint="eastAsia" w:ascii="宋体" w:hAnsi="宋体"/>
                <w:b/>
                <w:color w:val="000000"/>
                <w:szCs w:val="21"/>
                <w:highlight w:val="none"/>
              </w:rPr>
              <w:t>《广西壮族自治区财政厅关于贯彻落实政府采购优化营商环境百日攻坚行动方案的通知》（桂财采〔2020〕49号）和</w:t>
            </w:r>
            <w:r>
              <w:rPr>
                <w:rFonts w:hint="eastAsia" w:ascii="宋体" w:hAnsi="宋体" w:cs="宋体"/>
                <w:b/>
                <w:szCs w:val="21"/>
                <w:highlight w:val="none"/>
              </w:rPr>
              <w:t>《广西壮族自治区财政厅关于规范政府采购货物和服务项目保证金管理的通知》（桂财规〔2022〕8号）规定，鼓励采购人在与中小微企业签订政府采购合同时，减少或免于收取履约保证金</w:t>
            </w:r>
            <w:r>
              <w:rPr>
                <w:rFonts w:hint="eastAsia" w:ascii="宋体" w:hAnsi="宋体" w:cs="宋体"/>
                <w:b/>
                <w:color w:val="000000"/>
                <w:szCs w:val="21"/>
                <w:highlight w:val="none"/>
              </w:rPr>
              <w:t>，有必要收取履约保证金的，收取的履约保证金不得超过政府采购合同金额的5%，对中小企业收取的履约保证金数额不得超过政府采购合同金额的2%。</w:t>
            </w:r>
            <w:bookmarkEnd w:id="66"/>
            <w:r>
              <w:rPr>
                <w:rFonts w:hint="eastAsia" w:ascii="宋体" w:hAnsi="宋体" w:cs="宋体"/>
                <w:color w:val="000000"/>
                <w:szCs w:val="21"/>
                <w:highlight w:val="none"/>
              </w:rPr>
              <w:br w:type="textWrapping"/>
            </w:r>
            <w:r>
              <w:rPr>
                <w:rFonts w:hint="eastAsia" w:ascii="宋体" w:hAnsi="宋体" w:cs="宋体"/>
                <w:b/>
                <w:color w:val="000000"/>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000000"/>
                <w:szCs w:val="21"/>
                <w:highlight w:val="none"/>
              </w:rPr>
              <w:br w:type="textWrapping"/>
            </w:r>
            <w:r>
              <w:rPr>
                <w:rFonts w:hint="eastAsia" w:ascii="宋体" w:hAnsi="宋体" w:cs="宋体"/>
                <w:b/>
                <w:color w:val="000000"/>
                <w:szCs w:val="21"/>
                <w:highlight w:val="none"/>
              </w:rPr>
              <w:t>3.采用金融、担保机构出具保函的，必须为无条件保函，否则视为未按规定提交履约保证金。</w:t>
            </w:r>
          </w:p>
          <w:p>
            <w:pPr>
              <w:spacing w:line="360" w:lineRule="auto"/>
              <w:rPr>
                <w:rFonts w:hint="eastAsia" w:ascii="宋体" w:hAnsi="宋体" w:cs="宋体"/>
                <w:szCs w:val="21"/>
                <w:highlight w:val="none"/>
              </w:rPr>
            </w:pPr>
            <w:r>
              <w:rPr>
                <w:rFonts w:hint="eastAsia" w:ascii="宋体" w:hAnsi="宋体" w:cs="宋体"/>
                <w:b/>
                <w:color w:val="000000"/>
                <w:szCs w:val="21"/>
                <w:highlight w:val="none"/>
              </w:rPr>
              <w:t>4.供应商为联合体的，可由联合体任意一方或者联合体各方共同提交的履约保证金，视为有效履约保证金。</w:t>
            </w:r>
            <w:r>
              <w:rPr>
                <w:rFonts w:hint="eastAsia" w:ascii="宋体" w:hAnsi="宋体" w:cs="宋体"/>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28.5</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签订合同携带的材料</w:t>
            </w:r>
          </w:p>
        </w:tc>
        <w:tc>
          <w:tcPr>
            <w:tcW w:w="6853" w:type="dxa"/>
            <w:noWrap w:val="0"/>
            <w:vAlign w:val="center"/>
          </w:tcPr>
          <w:p>
            <w:pPr>
              <w:autoSpaceDE w:val="0"/>
              <w:autoSpaceDN w:val="0"/>
              <w:snapToGrid w:val="0"/>
              <w:spacing w:line="360" w:lineRule="auto"/>
              <w:textAlignment w:val="bottom"/>
              <w:rPr>
                <w:rFonts w:hint="eastAsia" w:ascii="宋体" w:hAnsi="宋体" w:cs="宋体"/>
                <w:color w:val="000000"/>
                <w:szCs w:val="21"/>
                <w:highlight w:val="none"/>
              </w:rPr>
            </w:pPr>
            <w:r>
              <w:rPr>
                <w:rFonts w:hint="eastAsia" w:ascii="宋体" w:hAnsi="宋体" w:cs="宋体"/>
                <w:color w:val="000000"/>
                <w:szCs w:val="21"/>
                <w:highlight w:val="none"/>
              </w:rPr>
              <w:t>委托代理人负责签订合同的，须携带有效的法定代表人授权委托书及其委托代理人身份证原件等其他资格证件。</w:t>
            </w:r>
          </w:p>
          <w:p>
            <w:pPr>
              <w:snapToGrid w:val="0"/>
              <w:spacing w:line="360" w:lineRule="auto"/>
              <w:rPr>
                <w:rFonts w:hint="eastAsia" w:ascii="宋体" w:hAnsi="宋体" w:cs="宋体"/>
                <w:b/>
                <w:bCs/>
                <w:i/>
                <w:iCs/>
                <w:szCs w:val="21"/>
                <w:highlight w:val="none"/>
              </w:rPr>
            </w:pPr>
            <w:r>
              <w:rPr>
                <w:rFonts w:hint="eastAsia" w:ascii="宋体" w:hAnsi="宋体" w:cs="宋体"/>
                <w:color w:val="000000"/>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30.2</w:t>
            </w:r>
          </w:p>
        </w:tc>
        <w:tc>
          <w:tcPr>
            <w:tcW w:w="2548" w:type="dxa"/>
            <w:noWrap w:val="0"/>
            <w:vAlign w:val="center"/>
          </w:tcPr>
          <w:p>
            <w:pPr>
              <w:spacing w:line="380" w:lineRule="exact"/>
              <w:jc w:val="center"/>
              <w:rPr>
                <w:rFonts w:hint="eastAsia" w:ascii="宋体" w:hAnsi="宋体" w:cs="宋体"/>
                <w:szCs w:val="21"/>
                <w:highlight w:val="none"/>
              </w:rPr>
            </w:pPr>
            <w:r>
              <w:rPr>
                <w:rFonts w:hint="eastAsia" w:ascii="宋体" w:hAnsi="宋体" w:cs="宋体"/>
                <w:szCs w:val="21"/>
                <w:highlight w:val="none"/>
              </w:rPr>
              <w:t>接收质疑函方式</w:t>
            </w:r>
          </w:p>
        </w:tc>
        <w:tc>
          <w:tcPr>
            <w:tcW w:w="6853" w:type="dxa"/>
            <w:noWrap w:val="0"/>
            <w:vAlign w:val="center"/>
          </w:tcPr>
          <w:p>
            <w:pPr>
              <w:snapToGrid w:val="0"/>
              <w:spacing w:line="380" w:lineRule="exact"/>
              <w:rPr>
                <w:rFonts w:hint="eastAsia" w:ascii="宋体" w:hAnsi="宋体" w:cs="宋体"/>
                <w:szCs w:val="21"/>
                <w:highlight w:val="none"/>
              </w:rPr>
            </w:pPr>
            <w:r>
              <w:rPr>
                <w:rFonts w:hint="eastAsia" w:ascii="宋体" w:hAnsi="宋体" w:cs="宋体"/>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pPr>
              <w:spacing w:line="360" w:lineRule="auto"/>
              <w:jc w:val="center"/>
              <w:rPr>
                <w:rFonts w:hint="eastAsia" w:ascii="宋体" w:hAnsi="宋体" w:cs="宋体"/>
                <w:szCs w:val="21"/>
                <w:highlight w:val="none"/>
              </w:rPr>
            </w:pPr>
          </w:p>
        </w:tc>
        <w:tc>
          <w:tcPr>
            <w:tcW w:w="2548" w:type="dxa"/>
            <w:noWrap w:val="0"/>
            <w:vAlign w:val="center"/>
          </w:tcPr>
          <w:p>
            <w:pPr>
              <w:spacing w:line="380" w:lineRule="exact"/>
              <w:jc w:val="center"/>
              <w:rPr>
                <w:rFonts w:hint="eastAsia" w:ascii="宋体" w:hAnsi="宋体" w:cs="宋体"/>
                <w:szCs w:val="21"/>
                <w:highlight w:val="none"/>
              </w:rPr>
            </w:pPr>
            <w:r>
              <w:rPr>
                <w:rFonts w:hint="eastAsia" w:ascii="宋体" w:hAnsi="宋体" w:cs="宋体"/>
                <w:szCs w:val="21"/>
                <w:highlight w:val="none"/>
              </w:rPr>
              <w:t>质疑联系部门及联系</w:t>
            </w:r>
          </w:p>
          <w:p>
            <w:pPr>
              <w:spacing w:line="380" w:lineRule="exact"/>
              <w:jc w:val="center"/>
              <w:rPr>
                <w:rFonts w:hint="eastAsia" w:ascii="宋体" w:hAnsi="宋体" w:cs="宋体"/>
                <w:szCs w:val="21"/>
                <w:highlight w:val="none"/>
              </w:rPr>
            </w:pPr>
            <w:r>
              <w:rPr>
                <w:rFonts w:hint="eastAsia" w:ascii="宋体" w:hAnsi="宋体" w:cs="宋体"/>
                <w:szCs w:val="21"/>
                <w:highlight w:val="none"/>
              </w:rPr>
              <w:t>方式</w:t>
            </w:r>
          </w:p>
        </w:tc>
        <w:tc>
          <w:tcPr>
            <w:tcW w:w="6853" w:type="dxa"/>
            <w:noWrap w:val="0"/>
            <w:vAlign w:val="center"/>
          </w:tcPr>
          <w:p>
            <w:pPr>
              <w:snapToGrid w:val="0"/>
              <w:spacing w:line="380" w:lineRule="exact"/>
              <w:rPr>
                <w:rFonts w:ascii="宋体" w:hAnsi="宋体" w:cs="宋体"/>
                <w:szCs w:val="21"/>
                <w:highlight w:val="none"/>
              </w:rPr>
            </w:pPr>
            <w:r>
              <w:rPr>
                <w:rFonts w:hint="eastAsia" w:ascii="宋体" w:hAnsi="宋体" w:cs="宋体"/>
                <w:szCs w:val="21"/>
                <w:highlight w:val="none"/>
              </w:rPr>
              <w:t>（1）</w:t>
            </w:r>
            <w:bookmarkStart w:id="67" w:name="PO_3000001868_PM031_3"/>
            <w:r>
              <w:rPr>
                <w:rFonts w:hint="eastAsia" w:ascii="宋体" w:hAnsi="宋体" w:cs="宋体"/>
                <w:szCs w:val="21"/>
                <w:highlight w:val="none"/>
              </w:rPr>
              <w:t>名称：</w:t>
            </w:r>
            <w:bookmarkEnd w:id="67"/>
            <w:r>
              <w:rPr>
                <w:rFonts w:hint="eastAsia" w:ascii="宋体" w:hAnsi="宋体" w:cs="宋体"/>
                <w:szCs w:val="21"/>
                <w:highlight w:val="none"/>
              </w:rPr>
              <w:t>广西财政信息管理中心</w:t>
            </w:r>
          </w:p>
          <w:p>
            <w:pPr>
              <w:snapToGrid w:val="0"/>
              <w:spacing w:line="380" w:lineRule="exact"/>
              <w:rPr>
                <w:rFonts w:ascii="宋体" w:hAnsi="宋体" w:cs="宋体"/>
                <w:szCs w:val="21"/>
                <w:highlight w:val="none"/>
              </w:rPr>
            </w:pPr>
            <w:r>
              <w:rPr>
                <w:rFonts w:hint="eastAsia" w:ascii="宋体" w:hAnsi="宋体" w:cs="宋体"/>
                <w:szCs w:val="21"/>
                <w:highlight w:val="none"/>
              </w:rPr>
              <w:t>联系电话：0771-</w:t>
            </w:r>
            <w:r>
              <w:rPr>
                <w:rFonts w:hint="eastAsia" w:ascii="宋体" w:hAnsi="宋体" w:cs="宋体"/>
                <w:kern w:val="0"/>
                <w:szCs w:val="21"/>
                <w:highlight w:val="none"/>
              </w:rPr>
              <w:t xml:space="preserve">5307301 </w:t>
            </w:r>
          </w:p>
          <w:p>
            <w:pPr>
              <w:snapToGrid w:val="0"/>
              <w:spacing w:line="380" w:lineRule="exact"/>
              <w:rPr>
                <w:rFonts w:hint="eastAsia" w:ascii="宋体" w:hAnsi="宋体" w:cs="宋体"/>
                <w:szCs w:val="21"/>
                <w:highlight w:val="none"/>
              </w:rPr>
            </w:pPr>
            <w:r>
              <w:rPr>
                <w:rFonts w:hint="eastAsia" w:ascii="宋体" w:hAnsi="宋体" w:cs="宋体"/>
                <w:szCs w:val="21"/>
                <w:highlight w:val="none"/>
              </w:rPr>
              <w:t xml:space="preserve">通讯地址：南宁市桃源路69号  </w:t>
            </w:r>
          </w:p>
          <w:p>
            <w:pPr>
              <w:pStyle w:val="17"/>
              <w:snapToGrid w:val="0"/>
              <w:spacing w:line="422" w:lineRule="exact"/>
              <w:rPr>
                <w:rFonts w:hint="eastAsia" w:hAnsi="宋体" w:cs="宋体"/>
                <w:kern w:val="2"/>
                <w:sz w:val="21"/>
                <w:highlight w:val="none"/>
              </w:rPr>
            </w:pPr>
            <w:r>
              <w:rPr>
                <w:rFonts w:hint="eastAsia" w:hAnsi="宋体" w:cs="宋体"/>
                <w:highlight w:val="none"/>
              </w:rPr>
              <w:t>（2）</w:t>
            </w:r>
            <w:r>
              <w:rPr>
                <w:rFonts w:hint="eastAsia"/>
                <w:highlight w:val="none"/>
              </w:rPr>
              <w:t>名称：</w:t>
            </w:r>
            <w:r>
              <w:rPr>
                <w:rFonts w:hint="eastAsia" w:hAnsi="宋体" w:cs="宋体"/>
                <w:kern w:val="2"/>
                <w:sz w:val="21"/>
                <w:highlight w:val="none"/>
              </w:rPr>
              <w:t>广西科联招标中心有限公司监督审核部</w:t>
            </w:r>
          </w:p>
          <w:p>
            <w:pPr>
              <w:pStyle w:val="17"/>
              <w:snapToGrid w:val="0"/>
              <w:spacing w:line="422" w:lineRule="exact"/>
              <w:rPr>
                <w:rFonts w:hAnsi="宋体" w:cs="宋体"/>
                <w:kern w:val="2"/>
                <w:sz w:val="21"/>
                <w:highlight w:val="none"/>
              </w:rPr>
            </w:pPr>
            <w:r>
              <w:rPr>
                <w:rFonts w:hint="eastAsia" w:hAnsi="宋体" w:cs="宋体"/>
                <w:kern w:val="2"/>
                <w:sz w:val="21"/>
                <w:highlight w:val="none"/>
              </w:rPr>
              <w:t>联系电话：0771-3486228</w:t>
            </w:r>
          </w:p>
          <w:p>
            <w:pPr>
              <w:snapToGrid w:val="0"/>
              <w:spacing w:line="380" w:lineRule="exact"/>
              <w:rPr>
                <w:rFonts w:hint="eastAsia" w:ascii="宋体" w:hAnsi="宋体" w:cs="宋体"/>
                <w:szCs w:val="21"/>
                <w:highlight w:val="none"/>
              </w:rPr>
            </w:pPr>
            <w:r>
              <w:rPr>
                <w:rFonts w:hint="eastAsia" w:hAnsi="宋体" w:cs="宋体"/>
                <w:highlight w:val="none"/>
              </w:rPr>
              <w:t>地址：广西南宁市大学东路</w:t>
            </w:r>
            <w:r>
              <w:rPr>
                <w:rFonts w:hAnsi="宋体" w:cs="宋体"/>
                <w:highlight w:val="none"/>
              </w:rPr>
              <w:t>170</w:t>
            </w:r>
            <w:r>
              <w:rPr>
                <w:rFonts w:hint="eastAsia" w:hAnsi="宋体" w:cs="宋体"/>
                <w:highlight w:val="none"/>
              </w:rPr>
              <w:t>号（广西农业机械研究院内）广西科联招标中心有限公司</w:t>
            </w:r>
            <w:r>
              <w:rPr>
                <w:rFonts w:hint="eastAsia" w:hAnsi="宋体" w:cs="宋体"/>
                <w:highlight w:val="none"/>
                <w:lang w:val="en-US" w:eastAsia="zh-CN"/>
              </w:rPr>
              <w:t>103</w:t>
            </w:r>
            <w:r>
              <w:rPr>
                <w:rFonts w:hint="eastAsia" w:hAnsi="宋体" w:cs="宋体"/>
                <w:highlight w:val="none"/>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pPr>
              <w:spacing w:line="360" w:lineRule="auto"/>
              <w:jc w:val="center"/>
              <w:rPr>
                <w:rFonts w:hint="eastAsia" w:ascii="宋体" w:hAnsi="宋体" w:cs="宋体"/>
                <w:szCs w:val="21"/>
                <w:highlight w:val="none"/>
              </w:rPr>
            </w:pPr>
          </w:p>
        </w:tc>
        <w:tc>
          <w:tcPr>
            <w:tcW w:w="2548" w:type="dxa"/>
            <w:noWrap w:val="0"/>
            <w:vAlign w:val="center"/>
          </w:tcPr>
          <w:p>
            <w:pPr>
              <w:spacing w:line="380" w:lineRule="exact"/>
              <w:jc w:val="center"/>
              <w:rPr>
                <w:rFonts w:hint="eastAsia" w:ascii="宋体" w:hAnsi="宋体" w:cs="宋体"/>
                <w:highlight w:val="none"/>
              </w:rPr>
            </w:pPr>
            <w:r>
              <w:rPr>
                <w:rFonts w:hint="eastAsia" w:ascii="宋体" w:hAnsi="宋体" w:cs="宋体"/>
                <w:highlight w:val="none"/>
              </w:rPr>
              <w:t>现场提交质疑办理业务</w:t>
            </w:r>
          </w:p>
          <w:p>
            <w:pPr>
              <w:spacing w:line="380" w:lineRule="exact"/>
              <w:jc w:val="center"/>
              <w:rPr>
                <w:rFonts w:hint="eastAsia" w:ascii="宋体" w:hAnsi="宋体" w:cs="宋体"/>
                <w:szCs w:val="21"/>
                <w:highlight w:val="none"/>
              </w:rPr>
            </w:pPr>
            <w:r>
              <w:rPr>
                <w:rFonts w:hint="eastAsia" w:ascii="宋体" w:hAnsi="宋体" w:cs="宋体"/>
                <w:highlight w:val="none"/>
              </w:rPr>
              <w:t>时间</w:t>
            </w:r>
          </w:p>
        </w:tc>
        <w:tc>
          <w:tcPr>
            <w:tcW w:w="6853" w:type="dxa"/>
            <w:noWrap w:val="0"/>
            <w:vAlign w:val="center"/>
          </w:tcPr>
          <w:p>
            <w:pPr>
              <w:snapToGrid w:val="0"/>
              <w:spacing w:line="380" w:lineRule="exact"/>
              <w:rPr>
                <w:rFonts w:hint="eastAsia" w:ascii="宋体" w:hAnsi="宋体" w:cs="宋体"/>
                <w:szCs w:val="21"/>
                <w:highlight w:val="none"/>
              </w:rPr>
            </w:pPr>
            <w:r>
              <w:rPr>
                <w:rFonts w:hint="eastAsia" w:ascii="宋体" w:hAnsi="宋体" w:cs="宋体"/>
                <w:highlight w:val="none"/>
              </w:rPr>
              <w:t>质疑期内每个工作日</w:t>
            </w:r>
            <w:r>
              <w:rPr>
                <w:rFonts w:hint="eastAsia" w:ascii="宋体" w:hAnsi="宋体" w:cs="宋体"/>
                <w:color w:val="000000"/>
                <w:highlight w:val="none"/>
              </w:rPr>
              <w:t>（北京时间）上午</w:t>
            </w:r>
            <w:r>
              <w:rPr>
                <w:rFonts w:hint="eastAsia" w:ascii="宋体" w:hAnsi="宋体" w:cs="宋体"/>
                <w:highlight w:val="none"/>
                <w:u w:val="single"/>
              </w:rPr>
              <w:t>8</w:t>
            </w:r>
            <w:r>
              <w:rPr>
                <w:rFonts w:hint="eastAsia" w:ascii="宋体" w:hAnsi="宋体" w:cs="宋体"/>
                <w:highlight w:val="none"/>
              </w:rPr>
              <w:t>时</w:t>
            </w:r>
            <w:r>
              <w:rPr>
                <w:rFonts w:hint="eastAsia" w:ascii="宋体" w:hAnsi="宋体" w:cs="宋体"/>
                <w:highlight w:val="none"/>
                <w:u w:val="single"/>
              </w:rPr>
              <w:t>00</w:t>
            </w:r>
            <w:r>
              <w:rPr>
                <w:rFonts w:hint="eastAsia" w:ascii="宋体" w:hAnsi="宋体" w:cs="宋体"/>
                <w:highlight w:val="none"/>
              </w:rPr>
              <w:t>分到</w:t>
            </w:r>
            <w:r>
              <w:rPr>
                <w:rFonts w:hint="eastAsia" w:ascii="宋体" w:hAnsi="宋体" w:cs="宋体"/>
                <w:highlight w:val="none"/>
                <w:u w:val="single"/>
              </w:rPr>
              <w:t>12</w:t>
            </w:r>
            <w:r>
              <w:rPr>
                <w:rFonts w:hint="eastAsia" w:ascii="宋体" w:hAnsi="宋体" w:cs="宋体"/>
                <w:highlight w:val="none"/>
              </w:rPr>
              <w:t>时</w:t>
            </w:r>
            <w:r>
              <w:rPr>
                <w:rFonts w:hint="eastAsia" w:ascii="宋体" w:hAnsi="宋体" w:cs="宋体"/>
                <w:highlight w:val="none"/>
                <w:u w:val="single"/>
              </w:rPr>
              <w:t>00</w:t>
            </w:r>
            <w:r>
              <w:rPr>
                <w:rFonts w:hint="eastAsia" w:ascii="宋体" w:hAnsi="宋体" w:cs="宋体"/>
                <w:highlight w:val="none"/>
              </w:rPr>
              <w:t>分，下午</w:t>
            </w:r>
            <w:r>
              <w:rPr>
                <w:rFonts w:hint="eastAsia" w:ascii="宋体" w:hAnsi="宋体" w:cs="宋体"/>
                <w:highlight w:val="none"/>
                <w:u w:val="single"/>
              </w:rPr>
              <w:t>15</w:t>
            </w:r>
            <w:r>
              <w:rPr>
                <w:rFonts w:hint="eastAsia" w:ascii="宋体" w:hAnsi="宋体" w:cs="宋体"/>
                <w:highlight w:val="none"/>
              </w:rPr>
              <w:t>时</w:t>
            </w:r>
            <w:r>
              <w:rPr>
                <w:rFonts w:hint="eastAsia" w:ascii="宋体" w:hAnsi="宋体" w:cs="宋体"/>
                <w:highlight w:val="none"/>
                <w:u w:val="single"/>
              </w:rPr>
              <w:t>00</w:t>
            </w:r>
            <w:r>
              <w:rPr>
                <w:rFonts w:hint="eastAsia" w:ascii="宋体" w:hAnsi="宋体" w:cs="宋体"/>
                <w:highlight w:val="none"/>
              </w:rPr>
              <w:t>分到</w:t>
            </w:r>
            <w:r>
              <w:rPr>
                <w:rFonts w:hint="eastAsia" w:ascii="宋体" w:hAnsi="宋体" w:cs="宋体"/>
                <w:highlight w:val="none"/>
                <w:u w:val="single"/>
              </w:rPr>
              <w:t>18</w:t>
            </w:r>
            <w:r>
              <w:rPr>
                <w:rFonts w:hint="eastAsia" w:ascii="宋体" w:hAnsi="宋体" w:cs="宋体"/>
                <w:highlight w:val="none"/>
              </w:rPr>
              <w:t>时</w:t>
            </w:r>
            <w:r>
              <w:rPr>
                <w:rFonts w:hint="eastAsia" w:ascii="宋体" w:hAnsi="宋体" w:cs="宋体"/>
                <w:highlight w:val="none"/>
                <w:u w:val="single"/>
              </w:rPr>
              <w:t>00</w:t>
            </w:r>
            <w:r>
              <w:rPr>
                <w:rFonts w:hint="eastAsia" w:ascii="宋体" w:hAnsi="宋体" w:cs="宋体"/>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30.6</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受理投诉方式</w:t>
            </w:r>
          </w:p>
        </w:tc>
        <w:tc>
          <w:tcPr>
            <w:tcW w:w="6853" w:type="dxa"/>
            <w:noWrap w:val="0"/>
            <w:vAlign w:val="center"/>
          </w:tcPr>
          <w:p>
            <w:pPr>
              <w:snapToGrid w:val="0"/>
              <w:spacing w:line="380" w:lineRule="exact"/>
              <w:rPr>
                <w:rFonts w:hint="eastAsia" w:ascii="宋体" w:hAnsi="宋体" w:cs="宋体"/>
                <w:highlight w:val="none"/>
              </w:rPr>
            </w:pPr>
            <w:r>
              <w:rPr>
                <w:rFonts w:hint="eastAsia" w:ascii="宋体" w:hAnsi="宋体" w:cs="宋体"/>
                <w:highlight w:val="none"/>
              </w:rPr>
              <w:t>1.受理方式：纸质方式受理，投诉书正、副本（经过质疑的事项才可投诉）。</w:t>
            </w:r>
          </w:p>
          <w:p>
            <w:pPr>
              <w:snapToGrid w:val="0"/>
              <w:spacing w:line="380" w:lineRule="exact"/>
              <w:rPr>
                <w:rFonts w:hint="eastAsia" w:ascii="宋体" w:hAnsi="宋体" w:cs="宋体"/>
                <w:highlight w:val="none"/>
              </w:rPr>
            </w:pPr>
            <w:r>
              <w:rPr>
                <w:rFonts w:hint="eastAsia" w:ascii="宋体" w:hAnsi="宋体" w:cs="宋体"/>
                <w:highlight w:val="none"/>
              </w:rPr>
              <w:t>2.通讯方式</w:t>
            </w:r>
          </w:p>
          <w:p>
            <w:pPr>
              <w:snapToGrid w:val="0"/>
              <w:spacing w:line="380" w:lineRule="exact"/>
              <w:rPr>
                <w:rFonts w:hint="eastAsia" w:ascii="宋体" w:hAnsi="宋体" w:cs="宋体"/>
                <w:highlight w:val="none"/>
              </w:rPr>
            </w:pPr>
            <w:r>
              <w:rPr>
                <w:rFonts w:hint="eastAsia" w:ascii="宋体" w:hAnsi="宋体" w:cs="宋体"/>
                <w:highlight w:val="none"/>
              </w:rPr>
              <w:t>名称：广西壮族自治区财政厅政府采购监督管理处</w:t>
            </w:r>
          </w:p>
          <w:p>
            <w:pPr>
              <w:snapToGrid w:val="0"/>
              <w:spacing w:line="380" w:lineRule="exact"/>
              <w:rPr>
                <w:rFonts w:hint="eastAsia" w:ascii="宋体" w:hAnsi="宋体" w:cs="宋体"/>
                <w:highlight w:val="none"/>
              </w:rPr>
            </w:pPr>
            <w:r>
              <w:rPr>
                <w:rFonts w:hint="eastAsia" w:ascii="宋体" w:hAnsi="宋体" w:cs="宋体"/>
                <w:highlight w:val="none"/>
              </w:rPr>
              <w:t>地址：南宁市桃源路69号</w:t>
            </w:r>
          </w:p>
          <w:p>
            <w:pPr>
              <w:snapToGrid w:val="0"/>
              <w:spacing w:line="380" w:lineRule="exact"/>
              <w:rPr>
                <w:rFonts w:hint="eastAsia" w:ascii="宋体" w:hAnsi="宋体" w:cs="宋体"/>
                <w:highlight w:val="none"/>
              </w:rPr>
            </w:pPr>
            <w:r>
              <w:rPr>
                <w:rFonts w:hint="eastAsia" w:ascii="宋体" w:hAnsi="宋体" w:cs="宋体"/>
                <w:highlight w:val="none"/>
              </w:rPr>
              <w:t>联系电话：0771-5331539、5331544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32</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采购代理服务费</w:t>
            </w:r>
          </w:p>
        </w:tc>
        <w:tc>
          <w:tcPr>
            <w:tcW w:w="6853" w:type="dxa"/>
            <w:noWrap w:val="0"/>
            <w:vAlign w:val="center"/>
          </w:tcPr>
          <w:p>
            <w:pPr>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t>1. 是否收取采购代理服务费：</w:t>
            </w:r>
          </w:p>
          <w:p>
            <w:pPr>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sym w:font="Wingdings 2" w:char="0052"/>
            </w:r>
            <w:r>
              <w:rPr>
                <w:rFonts w:hint="eastAsia" w:ascii="宋体" w:hAnsi="宋体" w:cs="宋体"/>
                <w:kern w:val="0"/>
                <w:szCs w:val="21"/>
                <w:highlight w:val="none"/>
              </w:rPr>
              <w:t>是    □ 否</w:t>
            </w:r>
          </w:p>
          <w:p>
            <w:pPr>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t>2.采购代理服务费支付方式：</w:t>
            </w:r>
          </w:p>
          <w:p>
            <w:pPr>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sym w:font="Wingdings 2" w:char="0052"/>
            </w:r>
            <w:r>
              <w:rPr>
                <w:rFonts w:hint="eastAsia" w:ascii="宋体" w:hAnsi="宋体" w:cs="宋体"/>
                <w:kern w:val="0"/>
                <w:szCs w:val="21"/>
                <w:highlight w:val="none"/>
              </w:rPr>
              <w:t>本项目采购代理服务费由</w:t>
            </w:r>
            <w:r>
              <w:rPr>
                <w:rFonts w:hint="eastAsia" w:ascii="宋体" w:hAnsi="宋体" w:cs="宋体"/>
                <w:kern w:val="0"/>
                <w:szCs w:val="21"/>
                <w:highlight w:val="none"/>
                <w:u w:val="single"/>
              </w:rPr>
              <w:t>成交供应商</w:t>
            </w:r>
            <w:r>
              <w:rPr>
                <w:rFonts w:hint="eastAsia" w:ascii="宋体" w:hAnsi="宋体" w:cs="宋体"/>
                <w:kern w:val="0"/>
                <w:szCs w:val="21"/>
                <w:highlight w:val="none"/>
              </w:rPr>
              <w:t>在签订合同前，</w:t>
            </w:r>
            <w:r>
              <w:rPr>
                <w:rFonts w:hint="eastAsia" w:ascii="宋体" w:hAnsi="宋体" w:cs="宋体"/>
                <w:color w:val="000000"/>
                <w:highlight w:val="none"/>
              </w:rPr>
              <w:t>以银行转账、电汇等方式</w:t>
            </w:r>
            <w:r>
              <w:rPr>
                <w:rFonts w:hint="eastAsia" w:ascii="宋体" w:hAnsi="宋体" w:cs="宋体"/>
                <w:kern w:val="0"/>
                <w:szCs w:val="21"/>
                <w:highlight w:val="none"/>
              </w:rPr>
              <w:t>一次性向采购代理机构支付。</w:t>
            </w:r>
          </w:p>
          <w:p>
            <w:pPr>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t>□采购人支付：</w:t>
            </w:r>
          </w:p>
          <w:p>
            <w:pPr>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t>3.采购代理服务费收取标准：</w:t>
            </w:r>
          </w:p>
          <w:p>
            <w:pPr>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sym w:font="Wingdings 2" w:char="0052"/>
            </w:r>
            <w:r>
              <w:rPr>
                <w:rFonts w:hint="eastAsia" w:ascii="宋体" w:hAnsi="宋体" w:cs="宋体"/>
                <w:kern w:val="0"/>
                <w:szCs w:val="21"/>
                <w:highlight w:val="none"/>
              </w:rPr>
              <w:t>以分标/项目（</w:t>
            </w:r>
            <w:r>
              <w:rPr>
                <w:rFonts w:hint="eastAsia" w:ascii="宋体" w:hAnsi="宋体" w:cs="宋体"/>
                <w:kern w:val="0"/>
                <w:szCs w:val="21"/>
                <w:highlight w:val="none"/>
              </w:rPr>
              <w:sym w:font="Wingdings 2" w:char="0052"/>
            </w:r>
            <w:r>
              <w:rPr>
                <w:rFonts w:hint="eastAsia" w:ascii="宋体" w:hAnsi="宋体" w:cs="宋体"/>
                <w:kern w:val="0"/>
                <w:szCs w:val="21"/>
                <w:highlight w:val="none"/>
              </w:rPr>
              <w:t>成交总金额/□采购预算/□暂定成交金额/□其他</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）为计费额，按</w:t>
            </w:r>
            <w:r>
              <w:rPr>
                <w:rFonts w:hint="eastAsia" w:ascii="宋体" w:hAnsi="宋体" w:cs="宋体"/>
                <w:color w:val="000000"/>
                <w:highlight w:val="none"/>
              </w:rPr>
              <w:t>本须知正文第32.2条规定的收费计算标准</w:t>
            </w:r>
            <w:r>
              <w:rPr>
                <w:rFonts w:hint="eastAsia" w:ascii="宋体" w:hAnsi="宋体" w:cs="宋体"/>
                <w:kern w:val="0"/>
                <w:szCs w:val="21"/>
                <w:highlight w:val="none"/>
              </w:rPr>
              <w:t>采用差额定率累进法计算出收费基准价格，采购代理机构收费以（</w:t>
            </w:r>
            <w:r>
              <w:rPr>
                <w:rFonts w:hint="eastAsia" w:ascii="宋体" w:hAnsi="宋体" w:cs="宋体"/>
                <w:kern w:val="0"/>
                <w:szCs w:val="21"/>
                <w:highlight w:val="none"/>
                <w:lang w:eastAsia="zh-CN"/>
              </w:rPr>
              <w:t>☑</w:t>
            </w:r>
            <w:r>
              <w:rPr>
                <w:rFonts w:hint="eastAsia" w:ascii="宋体" w:hAnsi="宋体" w:cs="宋体"/>
                <w:kern w:val="0"/>
                <w:szCs w:val="21"/>
                <w:highlight w:val="none"/>
              </w:rPr>
              <w:t>收费基准价格/□收费基准价格下浮</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/□收费基准价格上浮</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）收取</w:t>
            </w:r>
            <w:r>
              <w:rPr>
                <w:rFonts w:hint="eastAsia" w:cs="宋体"/>
                <w:kern w:val="0"/>
                <w:szCs w:val="21"/>
                <w:highlight w:val="none"/>
              </w:rPr>
              <w:t>，</w:t>
            </w:r>
            <w:r>
              <w:rPr>
                <w:rFonts w:hint="eastAsia" w:hAnsi="宋体" w:cs="宋体"/>
                <w:highlight w:val="none"/>
              </w:rPr>
              <w:t>如对应分标采购代理服务费不足陆仟元的，按陆仟元收取</w:t>
            </w:r>
            <w:r>
              <w:rPr>
                <w:rFonts w:hint="eastAsia" w:ascii="宋体" w:hAnsi="宋体" w:cs="宋体"/>
                <w:kern w:val="0"/>
                <w:szCs w:val="21"/>
                <w:highlight w:val="none"/>
              </w:rPr>
              <w:t>。</w:t>
            </w:r>
          </w:p>
          <w:p>
            <w:pPr>
              <w:snapToGrid w:val="0"/>
              <w:spacing w:line="360" w:lineRule="auto"/>
              <w:rPr>
                <w:rFonts w:hint="eastAsia" w:ascii="宋体" w:hAnsi="宋体" w:cs="宋体"/>
                <w:kern w:val="0"/>
                <w:szCs w:val="21"/>
                <w:highlight w:val="none"/>
                <w:u w:val="single"/>
              </w:rPr>
            </w:pPr>
            <w:r>
              <w:rPr>
                <w:rFonts w:hint="eastAsia" w:ascii="宋体" w:hAnsi="宋体" w:cs="宋体"/>
                <w:kern w:val="0"/>
                <w:szCs w:val="21"/>
                <w:highlight w:val="none"/>
              </w:rPr>
              <w:t>□固定采购代理收费：</w:t>
            </w:r>
            <w:r>
              <w:rPr>
                <w:rFonts w:hint="eastAsia" w:ascii="宋体" w:hAnsi="宋体" w:cs="宋体"/>
                <w:kern w:val="0"/>
                <w:szCs w:val="21"/>
                <w:highlight w:val="none"/>
                <w:u w:val="single"/>
              </w:rPr>
              <w:t xml:space="preserve">           。</w:t>
            </w:r>
          </w:p>
          <w:p>
            <w:pPr>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t>4. 采购代理服务费收取银行账户的信息</w:t>
            </w:r>
          </w:p>
          <w:p>
            <w:pPr>
              <w:snapToGrid w:val="0"/>
              <w:spacing w:line="360" w:lineRule="auto"/>
              <w:rPr>
                <w:rFonts w:hint="eastAsia" w:cs="宋体"/>
                <w:kern w:val="0"/>
                <w:szCs w:val="21"/>
                <w:highlight w:val="none"/>
              </w:rPr>
            </w:pPr>
            <w:r>
              <w:rPr>
                <w:rFonts w:hint="eastAsia" w:cs="宋体"/>
                <w:kern w:val="0"/>
                <w:szCs w:val="21"/>
                <w:highlight w:val="none"/>
              </w:rPr>
              <w:t>开户名称：广西科联招标中心有限公司</w:t>
            </w:r>
          </w:p>
          <w:p>
            <w:pPr>
              <w:snapToGrid w:val="0"/>
              <w:spacing w:line="360" w:lineRule="auto"/>
              <w:rPr>
                <w:rFonts w:hint="eastAsia" w:cs="宋体"/>
                <w:kern w:val="0"/>
                <w:szCs w:val="21"/>
                <w:highlight w:val="none"/>
              </w:rPr>
            </w:pPr>
            <w:r>
              <w:rPr>
                <w:rFonts w:hint="eastAsia" w:cs="宋体"/>
                <w:kern w:val="0"/>
                <w:szCs w:val="21"/>
                <w:highlight w:val="none"/>
              </w:rPr>
              <w:t xml:space="preserve">开户银行：中国工商银行南宁市高新科技支行 </w:t>
            </w:r>
          </w:p>
          <w:p>
            <w:pPr>
              <w:snapToGrid w:val="0"/>
              <w:spacing w:line="360" w:lineRule="auto"/>
              <w:rPr>
                <w:rFonts w:hint="eastAsia" w:cs="宋体"/>
                <w:kern w:val="0"/>
                <w:szCs w:val="21"/>
                <w:highlight w:val="none"/>
              </w:rPr>
            </w:pPr>
            <w:r>
              <w:rPr>
                <w:rFonts w:hint="eastAsia" w:cs="宋体"/>
                <w:kern w:val="0"/>
                <w:szCs w:val="21"/>
                <w:highlight w:val="none"/>
              </w:rPr>
              <w:t xml:space="preserve">银行账号：2102111229300032105 </w:t>
            </w:r>
          </w:p>
          <w:p>
            <w:pPr>
              <w:snapToGrid w:val="0"/>
              <w:spacing w:line="360" w:lineRule="auto"/>
              <w:rPr>
                <w:rFonts w:hint="eastAsia" w:ascii="宋体" w:hAnsi="宋体" w:cs="宋体"/>
                <w:kern w:val="0"/>
                <w:szCs w:val="21"/>
                <w:highlight w:val="none"/>
              </w:rPr>
            </w:pPr>
            <w:r>
              <w:rPr>
                <w:rFonts w:hint="eastAsia" w:cs="宋体"/>
                <w:kern w:val="0"/>
                <w:szCs w:val="21"/>
                <w:highlight w:val="none"/>
              </w:rPr>
              <w:t>开户行行号：102611011101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33.1</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highlight w:val="none"/>
              </w:rPr>
              <w:t>解释</w:t>
            </w:r>
          </w:p>
        </w:tc>
        <w:tc>
          <w:tcPr>
            <w:tcW w:w="6853" w:type="dxa"/>
            <w:noWrap w:val="0"/>
            <w:vAlign w:val="center"/>
          </w:tcPr>
          <w:p>
            <w:pPr>
              <w:snapToGrid w:val="0"/>
              <w:spacing w:line="360" w:lineRule="auto"/>
              <w:rPr>
                <w:rFonts w:hint="eastAsia" w:ascii="宋体" w:hAnsi="宋体" w:cs="宋体"/>
                <w:b/>
                <w:kern w:val="0"/>
                <w:szCs w:val="21"/>
                <w:highlight w:val="none"/>
              </w:rPr>
            </w:pPr>
            <w:r>
              <w:rPr>
                <w:rFonts w:hint="eastAsia" w:ascii="宋体" w:hAnsi="宋体" w:cs="宋体"/>
                <w:b/>
                <w:kern w:val="0"/>
                <w:szCs w:val="21"/>
                <w:highlight w:val="none"/>
              </w:rPr>
              <w:t>解释：</w:t>
            </w:r>
            <w:r>
              <w:rPr>
                <w:rFonts w:hint="eastAsia" w:ascii="宋体" w:hAnsi="宋体" w:cs="宋体"/>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kern w:val="0"/>
                <w:szCs w:val="21"/>
                <w:highlight w:val="none"/>
              </w:rPr>
              <w:t>由采购人或者采购代理机构负责解释。</w:t>
            </w:r>
          </w:p>
          <w:p>
            <w:pPr>
              <w:snapToGrid w:val="0"/>
              <w:spacing w:line="360" w:lineRule="auto"/>
              <w:rPr>
                <w:rFonts w:hint="eastAsia" w:ascii="宋体" w:hAnsi="宋体" w:cs="宋体"/>
                <w:b/>
                <w:kern w:val="0"/>
                <w:szCs w:val="21"/>
                <w:highlight w:val="none"/>
              </w:rPr>
            </w:pPr>
            <w:r>
              <w:rPr>
                <w:rFonts w:hint="eastAsia" w:ascii="宋体" w:hAnsi="宋体" w:cs="宋体"/>
                <w:b/>
                <w:kern w:val="0"/>
                <w:szCs w:val="21"/>
                <w:highlight w:val="none"/>
              </w:rPr>
              <w:t>法律责任：</w:t>
            </w:r>
          </w:p>
          <w:p>
            <w:pPr>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33.2</w:t>
            </w:r>
          </w:p>
        </w:tc>
        <w:tc>
          <w:tcPr>
            <w:tcW w:w="2548"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其他</w:t>
            </w:r>
          </w:p>
        </w:tc>
        <w:tc>
          <w:tcPr>
            <w:tcW w:w="6853" w:type="dxa"/>
            <w:noWrap w:val="0"/>
            <w:vAlign w:val="center"/>
          </w:tcPr>
          <w:p>
            <w:pPr>
              <w:pStyle w:val="11"/>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分公司章、工会章、合同章、投标专用章、业务专用章及银行的转账章、现金收讫章、现金付讫章等其他形式印章均不能代替公章。</w:t>
            </w:r>
          </w:p>
          <w:p>
            <w:pPr>
              <w:pStyle w:val="11"/>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pPr>
              <w:pStyle w:val="11"/>
              <w:tabs>
                <w:tab w:val="center" w:pos="4153"/>
                <w:tab w:val="right" w:pos="8306"/>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1"/>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pPr>
              <w:pStyle w:val="11"/>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5.自然人竞标的，竞争性磋商文件规定盖公章处由自然人摁手指指印。</w:t>
            </w:r>
          </w:p>
          <w:p>
            <w:pPr>
              <w:snapToGrid w:val="0"/>
              <w:spacing w:line="360" w:lineRule="auto"/>
              <w:rPr>
                <w:rFonts w:hint="eastAsia" w:ascii="宋体" w:hAnsi="宋体" w:cs="宋体"/>
                <w:kern w:val="0"/>
                <w:szCs w:val="21"/>
                <w:highlight w:val="none"/>
              </w:rPr>
            </w:pPr>
            <w:r>
              <w:rPr>
                <w:rFonts w:hint="eastAsia" w:ascii="宋体" w:hAnsi="宋体" w:cs="宋体"/>
                <w:szCs w:val="21"/>
                <w:highlight w:val="none"/>
              </w:rPr>
              <w:t xml:space="preserve">    6.本竞争性磋商文件所称的“以上”“以下”“以内”“届满”，包括本数；所称的“不满”“超过”“以外”，不包括本数。</w:t>
            </w:r>
          </w:p>
        </w:tc>
      </w:tr>
    </w:tbl>
    <w:p>
      <w:pPr>
        <w:pStyle w:val="3"/>
        <w:spacing w:line="420" w:lineRule="exact"/>
        <w:jc w:val="center"/>
        <w:rPr>
          <w:rFonts w:hint="eastAsia" w:ascii="宋体" w:hAnsi="宋体"/>
          <w:b w:val="0"/>
          <w:highlight w:val="none"/>
        </w:rPr>
      </w:pPr>
      <w:r>
        <w:rPr>
          <w:rFonts w:ascii="宋体" w:hAnsi="宋体"/>
          <w:b w:val="0"/>
          <w:highlight w:val="none"/>
        </w:rPr>
        <w:br w:type="page"/>
      </w:r>
      <w:bookmarkStart w:id="68" w:name="_Toc80886929"/>
      <w:bookmarkStart w:id="69" w:name="_Toc30957"/>
      <w:bookmarkStart w:id="70" w:name="_Toc27094"/>
      <w:r>
        <w:rPr>
          <w:rFonts w:hint="eastAsia" w:ascii="宋体" w:hAnsi="宋体"/>
          <w:b w:val="0"/>
          <w:highlight w:val="none"/>
        </w:rPr>
        <w:t>第二节 供应商须知正文</w:t>
      </w:r>
      <w:bookmarkEnd w:id="68"/>
      <w:bookmarkEnd w:id="69"/>
      <w:bookmarkEnd w:id="70"/>
    </w:p>
    <w:p>
      <w:pPr>
        <w:pStyle w:val="4"/>
        <w:spacing w:before="0" w:after="0" w:line="360" w:lineRule="auto"/>
        <w:ind w:firstLine="640" w:firstLineChars="200"/>
        <w:rPr>
          <w:rFonts w:hint="eastAsia"/>
          <w:b w:val="0"/>
          <w:highlight w:val="none"/>
        </w:rPr>
      </w:pPr>
      <w:bookmarkStart w:id="71" w:name="_Toc80886930"/>
      <w:bookmarkStart w:id="72" w:name="_Toc6457"/>
      <w:bookmarkStart w:id="73" w:name="_Toc26166"/>
      <w:r>
        <w:rPr>
          <w:rFonts w:hint="eastAsia"/>
          <w:b w:val="0"/>
          <w:highlight w:val="none"/>
        </w:rPr>
        <w:t>一、总则</w:t>
      </w:r>
      <w:bookmarkEnd w:id="71"/>
      <w:bookmarkEnd w:id="72"/>
      <w:bookmarkEnd w:id="73"/>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1.适用范围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2.定义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2.1“采购人”是指依法进行政府采购的国家机关、事业单位、团体组织。</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2.4“服务”是指除货物和工程以外的其他政府采购对象。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2.5“竞标”是指供应商按照本项目竞争性磋商公告规定的方式获取磋商文件、提交响应文件并希望获得标的的行为。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2.6“响应文件”</w:t>
      </w:r>
      <w:r>
        <w:rPr>
          <w:rFonts w:hint="eastAsia" w:ascii="宋体" w:hAnsi="宋体" w:cs="宋体"/>
          <w:spacing w:val="-6"/>
          <w:szCs w:val="21"/>
          <w:highlight w:val="none"/>
        </w:rPr>
        <w:t>是指：供应商根据本磋商文件要求，编制包含资格证明、</w:t>
      </w:r>
      <w:r>
        <w:rPr>
          <w:rFonts w:hint="eastAsia" w:ascii="宋体" w:hAnsi="宋体" w:cs="宋体"/>
          <w:szCs w:val="21"/>
          <w:highlight w:val="none"/>
        </w:rPr>
        <w:t>报价文件、商务和技术文件</w:t>
      </w:r>
      <w:r>
        <w:rPr>
          <w:rFonts w:hint="eastAsia" w:ascii="宋体" w:hAnsi="宋体" w:cs="宋体"/>
          <w:spacing w:val="-6"/>
          <w:szCs w:val="21"/>
          <w:highlight w:val="none"/>
        </w:rPr>
        <w:t>等所有内容的文件。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2.10“允许负偏离的条款”是指采购需求中的不属于“实质性要求”的条款。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2.12“首次报价”是指供应商提交的首次响应文件中的报价。</w:t>
      </w:r>
    </w:p>
    <w:p>
      <w:pPr>
        <w:spacing w:line="360" w:lineRule="auto"/>
        <w:ind w:firstLine="420" w:firstLineChars="200"/>
        <w:rPr>
          <w:rFonts w:hint="eastAsia" w:cs="宋体"/>
          <w:szCs w:val="21"/>
          <w:highlight w:val="none"/>
        </w:rPr>
      </w:pPr>
      <w:r>
        <w:rPr>
          <w:rFonts w:hint="eastAsia" w:ascii="宋体" w:hAnsi="宋体" w:cs="宋体"/>
          <w:szCs w:val="21"/>
          <w:highlight w:val="none"/>
        </w:rPr>
        <w:t>2.13“评审报价”是指供应商提</w:t>
      </w:r>
      <w:r>
        <w:rPr>
          <w:rFonts w:hint="eastAsia" w:cs="宋体"/>
          <w:szCs w:val="21"/>
          <w:highlight w:val="none"/>
        </w:rPr>
        <w:t>交的最后报价并经修正（如有）和政策功能价格扣除（如有）后的价格。</w:t>
      </w:r>
    </w:p>
    <w:p>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3.供应商的资格条件</w:t>
      </w:r>
    </w:p>
    <w:p>
      <w:pPr>
        <w:spacing w:line="360" w:lineRule="auto"/>
        <w:ind w:firstLine="420" w:firstLineChars="200"/>
        <w:rPr>
          <w:rFonts w:hint="eastAsia" w:cs="宋体"/>
          <w:szCs w:val="21"/>
          <w:highlight w:val="none"/>
        </w:rPr>
      </w:pPr>
      <w:r>
        <w:rPr>
          <w:rFonts w:hint="eastAsia" w:cs="宋体"/>
          <w:szCs w:val="21"/>
          <w:highlight w:val="none"/>
        </w:rPr>
        <w:t>供应商的资格条件详见“供应商须知前附表”。</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4.磋商费用</w:t>
      </w:r>
    </w:p>
    <w:p>
      <w:pPr>
        <w:spacing w:line="360" w:lineRule="auto"/>
        <w:ind w:firstLine="420" w:firstLineChars="200"/>
        <w:rPr>
          <w:rFonts w:hint="eastAsia" w:cs="宋体"/>
          <w:szCs w:val="21"/>
          <w:highlight w:val="none"/>
        </w:rPr>
      </w:pPr>
      <w:r>
        <w:rPr>
          <w:rFonts w:hint="eastAsia" w:cs="宋体"/>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5.联合体竞标</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5.1本项目是否接受联合体竞标，详见“供应商须知前附表”。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w:t>
      </w:r>
      <w:r>
        <w:rPr>
          <w:rFonts w:hint="eastAsia" w:ascii="宋体" w:hAnsi="宋体" w:cs="宋体"/>
          <w:highlight w:val="none"/>
        </w:rPr>
        <w:t>如接受联合体竞标，</w:t>
      </w:r>
      <w:r>
        <w:rPr>
          <w:rFonts w:hint="eastAsia" w:ascii="宋体" w:hAnsi="宋体" w:cs="宋体"/>
          <w:szCs w:val="21"/>
          <w:highlight w:val="none"/>
        </w:rPr>
        <w:t>联合体竞标要求详见“供应商须知前附表”。</w:t>
      </w:r>
    </w:p>
    <w:p>
      <w:pPr>
        <w:spacing w:line="360" w:lineRule="auto"/>
        <w:ind w:firstLine="420" w:firstLineChars="200"/>
        <w:rPr>
          <w:rFonts w:hint="eastAsia"/>
          <w:bCs/>
          <w:szCs w:val="21"/>
          <w:highlight w:val="none"/>
        </w:rPr>
      </w:pPr>
      <w:r>
        <w:rPr>
          <w:rFonts w:hint="eastAsia" w:ascii="宋体" w:hAnsi="宋体" w:cs="宋体"/>
          <w:szCs w:val="21"/>
          <w:highlight w:val="none"/>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hint="eastAsia" w:ascii="宋体" w:hAnsi="宋体" w:cs="宋体"/>
          <w:color w:val="000000"/>
          <w:szCs w:val="21"/>
          <w:highlight w:val="none"/>
        </w:rPr>
        <w:t>。</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 xml:space="preserve">6.转包与分包             </w:t>
      </w:r>
    </w:p>
    <w:p>
      <w:pPr>
        <w:spacing w:line="360" w:lineRule="auto"/>
        <w:ind w:firstLine="420" w:firstLineChars="200"/>
        <w:rPr>
          <w:rFonts w:hint="eastAsia" w:ascii="宋体" w:hAnsi="宋体" w:cs="宋体"/>
          <w:szCs w:val="21"/>
          <w:highlight w:val="none"/>
        </w:rPr>
      </w:pPr>
      <w:r>
        <w:rPr>
          <w:rFonts w:hint="eastAsia" w:ascii="宋体" w:hAnsi="宋体" w:cs="宋体"/>
          <w:color w:val="000000"/>
          <w:szCs w:val="21"/>
          <w:highlight w:val="none"/>
        </w:rPr>
        <w:t>6.1本项目不允许转包。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6.2本项目是否允许分包详见“供应商须知前附表”，本项目不允许违法分包。</w:t>
      </w:r>
    </w:p>
    <w:p>
      <w:pPr>
        <w:spacing w:line="360" w:lineRule="auto"/>
        <w:ind w:firstLine="420" w:firstLineChars="200"/>
        <w:rPr>
          <w:rFonts w:hint="eastAsia" w:cs="宋体"/>
          <w:szCs w:val="21"/>
          <w:highlight w:val="none"/>
        </w:rPr>
      </w:pPr>
      <w:r>
        <w:rPr>
          <w:rFonts w:hint="eastAsia" w:ascii="宋体" w:hAnsi="宋体" w:cs="宋体"/>
          <w:szCs w:val="21"/>
          <w:highlight w:val="none"/>
        </w:rPr>
        <w:t>6.3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cs="宋体"/>
          <w:bCs/>
          <w:szCs w:val="21"/>
          <w:highlight w:val="none"/>
        </w:rPr>
        <w:t>。</w:t>
      </w:r>
    </w:p>
    <w:p>
      <w:pPr>
        <w:spacing w:line="360" w:lineRule="auto"/>
        <w:ind w:firstLine="482" w:firstLineChars="200"/>
        <w:rPr>
          <w:rFonts w:hint="eastAsia" w:ascii="黑体" w:hAnsi="黑体" w:eastAsia="黑体" w:cs="宋体"/>
          <w:b/>
          <w:bCs/>
          <w:sz w:val="24"/>
          <w:highlight w:val="none"/>
        </w:rPr>
      </w:pPr>
      <w:bookmarkStart w:id="74" w:name="_Toc254970532"/>
      <w:bookmarkStart w:id="75" w:name="_Toc254970673"/>
      <w:r>
        <w:rPr>
          <w:rFonts w:hint="eastAsia" w:ascii="黑体" w:hAnsi="黑体" w:eastAsia="黑体" w:cs="宋体"/>
          <w:b/>
          <w:bCs/>
          <w:sz w:val="24"/>
          <w:highlight w:val="none"/>
        </w:rPr>
        <w:t>7.特别说明</w:t>
      </w:r>
      <w:bookmarkEnd w:id="74"/>
      <w:bookmarkEnd w:id="75"/>
    </w:p>
    <w:p>
      <w:pPr>
        <w:spacing w:line="360" w:lineRule="auto"/>
        <w:ind w:firstLine="420" w:firstLineChars="200"/>
        <w:rPr>
          <w:rFonts w:hint="eastAsia" w:ascii="宋体" w:hAnsi="宋体" w:cs="宋体"/>
          <w:szCs w:val="21"/>
          <w:highlight w:val="none"/>
        </w:rPr>
      </w:pPr>
      <w:bookmarkStart w:id="76" w:name="_8.1提供相同品牌产品且通过资格审查、符合性审查的不同投标人参加同一合"/>
      <w:bookmarkEnd w:id="76"/>
      <w:r>
        <w:rPr>
          <w:rFonts w:hint="eastAsia" w:ascii="宋体" w:hAnsi="宋体" w:cs="宋体"/>
          <w:szCs w:val="21"/>
          <w:highlight w:val="none"/>
        </w:rPr>
        <w:t>7.1</w:t>
      </w:r>
      <w:bookmarkStart w:id="77" w:name="_Hlk65832145"/>
      <w:r>
        <w:rPr>
          <w:rFonts w:hint="eastAsia" w:ascii="宋体" w:hAnsi="宋体" w:cs="宋体"/>
          <w:szCs w:val="21"/>
          <w:highlight w:val="none"/>
        </w:rPr>
        <w:t>如果本磋商文件要求提供供应商或制造商的资格、信誉、荣誉、业绩与企业认证等材料的，资格、信誉、荣誉、业绩与企业认证等必须为供应商或者制造商所拥有或自身获得 。</w:t>
      </w:r>
    </w:p>
    <w:bookmarkEnd w:id="77"/>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（1）参加采购活动前3年内与供应商存在劳动关系；</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（2）参加采购活动前3年内担任供应商的董事、监事；</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（3）参加采购活动前3年内是供应商的控股股东或者实际控制人；</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（5）与供应商有其他可能影响政府采购活动公平、公正进行的关系。</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7.5有下列情形之一的视为供应商相互串通竞标，响应文件将被视为无效：</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 xml:space="preserve">（1）不同供应商的响应文件由同一单位或者个人编制；或不同供应商报名的IP地址一致的； </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（2）不同供应商委托同一单位或者个人办理竞标事宜；</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（3）不同的供应商的响应文件载明的项目管理员为同一个人；</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（4）不同供应商的响应文件异常一致或者报价呈规律性差异；</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（5）不同供应商的响应文件相互混装；</w:t>
      </w:r>
    </w:p>
    <w:p>
      <w:pPr>
        <w:tabs>
          <w:tab w:val="left" w:pos="6931"/>
        </w:tabs>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（6）不同供应商的磋商保证金从同一单位或者个人账户转出。</w:t>
      </w:r>
      <w:r>
        <w:rPr>
          <w:rFonts w:hint="eastAsia" w:ascii="宋体" w:hAnsi="宋体" w:cs="宋体"/>
          <w:b/>
          <w:bCs/>
          <w:szCs w:val="21"/>
          <w:highlight w:val="none"/>
        </w:rPr>
        <w:tab/>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7.6供应商有下列情形之一的，属于恶意串通行为，将报同级监督管理部门：</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（2）供应商按照采购人或者采购代理机构的授意撤换、修改响应文件；</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（3）供应商之间协商报价、技术方案等响应文件的实质性内容；</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（6）供应商之间商定部分供应商放弃参加政府采购活动或者放弃成交；</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（7）供应商与采购人或者采购代理机构之间、供应商相互之间，为谋求特定供应商成交或者排斥其他供应商的其他串通行为。</w:t>
      </w:r>
    </w:p>
    <w:p>
      <w:pPr>
        <w:pStyle w:val="4"/>
        <w:spacing w:before="0" w:after="0" w:line="360" w:lineRule="auto"/>
        <w:ind w:firstLine="640" w:firstLineChars="200"/>
        <w:rPr>
          <w:rFonts w:hint="eastAsia"/>
          <w:b w:val="0"/>
          <w:bCs w:val="0"/>
          <w:highlight w:val="none"/>
        </w:rPr>
      </w:pPr>
      <w:bookmarkStart w:id="78" w:name="_Toc254970675"/>
      <w:bookmarkStart w:id="79" w:name="_Toc80886931"/>
      <w:bookmarkStart w:id="80" w:name="_Toc27583"/>
      <w:bookmarkStart w:id="81" w:name="_Toc254970534"/>
      <w:bookmarkStart w:id="82" w:name="_Toc12713"/>
      <w:r>
        <w:rPr>
          <w:rFonts w:hint="eastAsia"/>
          <w:b w:val="0"/>
          <w:bCs w:val="0"/>
          <w:highlight w:val="none"/>
        </w:rPr>
        <w:t>二、磋商文件</w:t>
      </w:r>
      <w:bookmarkEnd w:id="78"/>
      <w:bookmarkEnd w:id="79"/>
      <w:bookmarkEnd w:id="80"/>
      <w:bookmarkEnd w:id="81"/>
      <w:bookmarkEnd w:id="82"/>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8.磋商文件的构成</w:t>
      </w:r>
    </w:p>
    <w:p>
      <w:pPr>
        <w:spacing w:line="360" w:lineRule="auto"/>
        <w:ind w:firstLine="420" w:firstLineChars="200"/>
        <w:jc w:val="left"/>
        <w:rPr>
          <w:rFonts w:hint="eastAsia"/>
          <w:szCs w:val="21"/>
          <w:highlight w:val="none"/>
        </w:rPr>
      </w:pPr>
      <w:r>
        <w:rPr>
          <w:rFonts w:hint="eastAsia"/>
          <w:szCs w:val="21"/>
          <w:highlight w:val="none"/>
        </w:rPr>
        <w:t>第一章 竞争性磋商公告；</w:t>
      </w:r>
    </w:p>
    <w:p>
      <w:pPr>
        <w:spacing w:line="360" w:lineRule="auto"/>
        <w:ind w:firstLine="420" w:firstLineChars="200"/>
        <w:jc w:val="left"/>
        <w:rPr>
          <w:rFonts w:hint="eastAsia"/>
          <w:szCs w:val="21"/>
          <w:highlight w:val="none"/>
        </w:rPr>
      </w:pPr>
      <w:r>
        <w:rPr>
          <w:rFonts w:hint="eastAsia"/>
          <w:szCs w:val="21"/>
          <w:highlight w:val="none"/>
        </w:rPr>
        <w:t>第二章 采购需求；</w:t>
      </w:r>
    </w:p>
    <w:p>
      <w:pPr>
        <w:spacing w:line="360" w:lineRule="auto"/>
        <w:ind w:firstLine="420" w:firstLineChars="200"/>
        <w:jc w:val="left"/>
        <w:rPr>
          <w:rFonts w:hint="eastAsia"/>
          <w:szCs w:val="21"/>
          <w:highlight w:val="none"/>
        </w:rPr>
      </w:pPr>
      <w:r>
        <w:rPr>
          <w:rFonts w:hint="eastAsia"/>
          <w:szCs w:val="21"/>
          <w:highlight w:val="none"/>
        </w:rPr>
        <w:t xml:space="preserve">第三章 供应商须知； </w:t>
      </w:r>
    </w:p>
    <w:p>
      <w:pPr>
        <w:spacing w:line="360" w:lineRule="auto"/>
        <w:ind w:firstLine="420" w:firstLineChars="200"/>
        <w:jc w:val="left"/>
        <w:rPr>
          <w:rFonts w:hint="eastAsia"/>
          <w:szCs w:val="21"/>
          <w:highlight w:val="none"/>
        </w:rPr>
      </w:pPr>
      <w:r>
        <w:rPr>
          <w:rFonts w:hint="eastAsia"/>
          <w:szCs w:val="21"/>
          <w:highlight w:val="none"/>
        </w:rPr>
        <w:t>第四章 评审程序、评审方法和评审标准；</w:t>
      </w:r>
    </w:p>
    <w:p>
      <w:pPr>
        <w:spacing w:line="360" w:lineRule="auto"/>
        <w:ind w:firstLine="420" w:firstLineChars="200"/>
        <w:jc w:val="left"/>
        <w:rPr>
          <w:rFonts w:hint="eastAsia"/>
          <w:szCs w:val="21"/>
          <w:highlight w:val="none"/>
        </w:rPr>
      </w:pPr>
      <w:r>
        <w:rPr>
          <w:rFonts w:hint="eastAsia"/>
          <w:szCs w:val="21"/>
          <w:highlight w:val="none"/>
        </w:rPr>
        <w:t>第五章 响应文件格式；</w:t>
      </w:r>
    </w:p>
    <w:p>
      <w:pPr>
        <w:spacing w:line="360" w:lineRule="auto"/>
        <w:ind w:firstLine="420" w:firstLineChars="200"/>
        <w:jc w:val="left"/>
        <w:rPr>
          <w:rFonts w:hint="eastAsia"/>
          <w:szCs w:val="21"/>
          <w:highlight w:val="none"/>
        </w:rPr>
      </w:pPr>
      <w:r>
        <w:rPr>
          <w:rFonts w:hint="eastAsia"/>
          <w:szCs w:val="21"/>
          <w:highlight w:val="none"/>
        </w:rPr>
        <w:t>第六章 合同文本；</w:t>
      </w:r>
    </w:p>
    <w:p>
      <w:pPr>
        <w:spacing w:line="360" w:lineRule="auto"/>
        <w:ind w:firstLine="420" w:firstLineChars="200"/>
        <w:jc w:val="left"/>
        <w:rPr>
          <w:rFonts w:hint="eastAsia"/>
          <w:szCs w:val="21"/>
          <w:highlight w:val="none"/>
        </w:rPr>
      </w:pPr>
      <w:r>
        <w:rPr>
          <w:rFonts w:hint="eastAsia"/>
          <w:szCs w:val="21"/>
          <w:highlight w:val="none"/>
        </w:rPr>
        <w:t>第七章 质疑、投诉材料格式。</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9.供应商的询问</w:t>
      </w:r>
    </w:p>
    <w:p>
      <w:pPr>
        <w:spacing w:line="360" w:lineRule="auto"/>
        <w:ind w:firstLine="420" w:firstLineChars="200"/>
        <w:rPr>
          <w:rFonts w:hint="eastAsia"/>
          <w:szCs w:val="21"/>
          <w:highlight w:val="none"/>
        </w:rPr>
      </w:pPr>
      <w:r>
        <w:rPr>
          <w:rFonts w:hint="eastAsia"/>
          <w:szCs w:val="21"/>
          <w:highlight w:val="none"/>
        </w:rPr>
        <w:t>供应商应认真阅读磋商文件的采购需求，如供应商对磋商文件有疑问的，如要求采购人作出澄清或者修改的，供应商尽应在</w:t>
      </w:r>
      <w:r>
        <w:rPr>
          <w:szCs w:val="21"/>
          <w:highlight w:val="none"/>
        </w:rPr>
        <w:t>提交首次响应文件截止之日前</w:t>
      </w:r>
      <w:r>
        <w:rPr>
          <w:rFonts w:hint="eastAsia"/>
          <w:szCs w:val="21"/>
          <w:highlight w:val="none"/>
        </w:rPr>
        <w:t>，以书面形式向</w:t>
      </w:r>
      <w:r>
        <w:rPr>
          <w:szCs w:val="21"/>
          <w:highlight w:val="none"/>
        </w:rPr>
        <w:t>采购人、采购代理机构</w:t>
      </w:r>
      <w:r>
        <w:rPr>
          <w:rFonts w:hint="eastAsia"/>
          <w:szCs w:val="21"/>
          <w:highlight w:val="none"/>
        </w:rPr>
        <w:t>提出。</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10.磋商文件的澄清和修改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w:t>
      </w:r>
      <w:r>
        <w:rPr>
          <w:rFonts w:hint="eastAsia" w:ascii="宋体" w:hAnsi="宋体" w:cs="宋体"/>
          <w:color w:val="000000"/>
          <w:szCs w:val="21"/>
          <w:highlight w:val="none"/>
        </w:rPr>
        <w:t>澄清或者更正公告在竞争性磋商公告发布媒体上发布</w:t>
      </w:r>
      <w:r>
        <w:rPr>
          <w:rFonts w:hint="eastAsia" w:ascii="宋体" w:hAnsi="宋体" w:cs="宋体"/>
          <w:szCs w:val="21"/>
          <w:highlight w:val="none"/>
        </w:rPr>
        <w:t>，一经发布，视作已以书面形式通知所有获取竞争性磋商文件的潜在供应商，不再另行通知，所有潜在供应商应密切关注竞争性磋商公告发布媒体，因未能及时获知，由此产生的后果均应自行承担。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10.4</w:t>
      </w:r>
      <w:r>
        <w:rPr>
          <w:rFonts w:hint="eastAsia" w:ascii="宋体" w:hAnsi="宋体" w:cs="宋体"/>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cs="宋体"/>
          <w:highlight w:val="none"/>
        </w:rPr>
      </w:pPr>
      <w:r>
        <w:rPr>
          <w:rFonts w:hint="eastAsia" w:ascii="宋体" w:hAnsi="宋体" w:cs="宋体"/>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hint="eastAsia" w:ascii="宋体" w:hAnsi="宋体" w:cs="宋体"/>
          <w:kern w:val="0"/>
          <w:sz w:val="20"/>
          <w:szCs w:val="21"/>
          <w:highlight w:val="none"/>
        </w:rPr>
      </w:pPr>
      <w:r>
        <w:rPr>
          <w:rFonts w:hint="eastAsia" w:ascii="宋体" w:hAnsi="宋体" w:cs="宋体"/>
          <w:kern w:val="0"/>
          <w:sz w:val="20"/>
          <w:szCs w:val="21"/>
          <w:highlight w:val="none"/>
        </w:rPr>
        <w:t>▲</w:t>
      </w:r>
      <w:r>
        <w:rPr>
          <w:rFonts w:hint="eastAsia" w:ascii="宋体" w:hAnsi="宋体" w:cs="宋体"/>
          <w:b/>
          <w:kern w:val="0"/>
          <w:sz w:val="20"/>
          <w:szCs w:val="21"/>
          <w:highlight w:val="none"/>
        </w:rPr>
        <w:t>响应文件未按磋商文件的澄清、修改的内容编制，又不符合实质性要求的，其响应文件按无效处理。</w:t>
      </w:r>
    </w:p>
    <w:p>
      <w:pPr>
        <w:pStyle w:val="4"/>
        <w:spacing w:before="0" w:after="0" w:line="360" w:lineRule="auto"/>
        <w:ind w:firstLine="320" w:firstLineChars="100"/>
        <w:rPr>
          <w:rFonts w:hint="eastAsia"/>
          <w:b w:val="0"/>
          <w:bCs w:val="0"/>
          <w:highlight w:val="none"/>
        </w:rPr>
      </w:pPr>
      <w:r>
        <w:rPr>
          <w:rFonts w:hint="eastAsia"/>
          <w:b w:val="0"/>
          <w:bCs w:val="0"/>
          <w:highlight w:val="none"/>
        </w:rPr>
        <w:t xml:space="preserve">  </w:t>
      </w:r>
      <w:bookmarkStart w:id="83" w:name="_Toc21480"/>
      <w:bookmarkStart w:id="84" w:name="_Toc80886932"/>
      <w:bookmarkStart w:id="85" w:name="_Toc21690"/>
      <w:r>
        <w:rPr>
          <w:rFonts w:hint="eastAsia"/>
          <w:b w:val="0"/>
          <w:bCs w:val="0"/>
          <w:highlight w:val="none"/>
        </w:rPr>
        <w:t>三、响应文件的编制</w:t>
      </w:r>
      <w:bookmarkEnd w:id="83"/>
      <w:bookmarkEnd w:id="84"/>
      <w:bookmarkEnd w:id="85"/>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11.响应文件的编制原则</w:t>
      </w:r>
    </w:p>
    <w:p>
      <w:pPr>
        <w:spacing w:line="360" w:lineRule="auto"/>
        <w:ind w:firstLine="420" w:firstLineChars="200"/>
        <w:rPr>
          <w:rFonts w:hint="eastAsia" w:cs="宋体"/>
          <w:szCs w:val="21"/>
          <w:highlight w:val="none"/>
        </w:rPr>
      </w:pPr>
      <w:r>
        <w:rPr>
          <w:rFonts w:hint="eastAsia" w:cs="宋体"/>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12.响应文件的组成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12.1响应文件由资格证明文件、报价文件、商务和技术文件三部分组成。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12.1.1资格证明文件：详见供应商须知前附表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12.1.2商务技术文件：详见供应商须知前附表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12.1.3报价文件：详见供应商须知前附表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12.2响应文件电子版：详见供应商须知前附表</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13.计量单位</w:t>
      </w:r>
    </w:p>
    <w:p>
      <w:pPr>
        <w:spacing w:line="360" w:lineRule="auto"/>
        <w:ind w:firstLine="420" w:firstLineChars="200"/>
        <w:rPr>
          <w:rFonts w:hint="eastAsia" w:cs="宋体"/>
          <w:szCs w:val="21"/>
          <w:highlight w:val="none"/>
        </w:rPr>
      </w:pPr>
      <w:r>
        <w:rPr>
          <w:rFonts w:hint="eastAsia" w:cs="宋体"/>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14.竞标的风险</w:t>
      </w:r>
    </w:p>
    <w:p>
      <w:pPr>
        <w:spacing w:line="360" w:lineRule="auto"/>
        <w:ind w:firstLine="420" w:firstLineChars="200"/>
        <w:rPr>
          <w:rFonts w:hint="eastAsia" w:cs="宋体"/>
          <w:szCs w:val="21"/>
          <w:highlight w:val="none"/>
        </w:rPr>
      </w:pPr>
      <w:r>
        <w:rPr>
          <w:rFonts w:hint="eastAsia" w:cs="宋体"/>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15.响应报价要求和构成</w:t>
      </w:r>
    </w:p>
    <w:p>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15.2响应报价的价格构成见“供应商须知前附表”。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15.3响应报价要求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15.3.1供应商的响应报价应符合以下要求，否则响应文件按无效响应处理：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（1）供应商必须就“采购需求”中所竞标的项目/每个分标的全部内容分别作完整唯一总价报价，不得存在漏项报价；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（2）供应商必须就所竞标的项目/分标的单项内容作唯一报价。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15.3.3</w:t>
      </w:r>
      <w:bookmarkStart w:id="86" w:name="_Hlk42592874"/>
      <w:r>
        <w:rPr>
          <w:rFonts w:hint="eastAsia" w:ascii="宋体" w:hAnsi="宋体" w:cs="宋体"/>
          <w:szCs w:val="21"/>
          <w:highlight w:val="none"/>
        </w:rPr>
        <w:t>响应报价（包含首次报价、最后报价）超过分项采购预算金额或者最高限价的（如本项目公布了最高限价），其响应文件将按无效处理。</w:t>
      </w:r>
    </w:p>
    <w:bookmarkEnd w:id="86"/>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16.竞标有效期</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16.3供应商的响应文件在竞标有效期内均保持有效。</w:t>
      </w:r>
    </w:p>
    <w:p>
      <w:pPr>
        <w:spacing w:line="360" w:lineRule="auto"/>
        <w:rPr>
          <w:rFonts w:hint="eastAsia" w:ascii="黑体" w:hAnsi="黑体" w:eastAsia="黑体" w:cs="宋体"/>
          <w:b/>
          <w:bCs/>
          <w:i/>
          <w:iCs/>
          <w:sz w:val="24"/>
          <w:highlight w:val="none"/>
        </w:rPr>
      </w:pPr>
      <w:r>
        <w:rPr>
          <w:rFonts w:hint="eastAsia" w:ascii="黑体" w:hAnsi="黑体" w:eastAsia="黑体" w:cs="宋体"/>
          <w:b/>
          <w:bCs/>
          <w:sz w:val="24"/>
          <w:highlight w:val="none"/>
        </w:rPr>
        <w:t>17.磋商保证金</w:t>
      </w:r>
    </w:p>
    <w:p>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17.1供应商须按“供应商须知前附表”的规定提交磋商保证金。</w:t>
      </w:r>
    </w:p>
    <w:p>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17.2磋商保证金的退还</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17.2.1未</w:t>
      </w:r>
      <w:r>
        <w:rPr>
          <w:rFonts w:hint="eastAsia" w:ascii="宋体" w:hAnsi="宋体" w:cs="宋体"/>
          <w:color w:val="000000"/>
          <w:spacing w:val="-6"/>
          <w:szCs w:val="21"/>
          <w:highlight w:val="none"/>
        </w:rPr>
        <w:t>成交供应商的磋商保证金自成交通知书发出之日起5个工作日内退还，退还方式如下：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（1）采用银行转账方式的，以转账方式退回到供应商银行账户。</w:t>
      </w:r>
    </w:p>
    <w:p>
      <w:pPr>
        <w:pStyle w:val="7"/>
        <w:spacing w:line="360" w:lineRule="auto"/>
        <w:ind w:firstLine="315" w:firstLineChars="150"/>
        <w:rPr>
          <w:rFonts w:hint="eastAsia" w:ascii="宋体" w:hAnsi="宋体"/>
          <w:color w:val="000000"/>
          <w:szCs w:val="21"/>
          <w:highlight w:val="none"/>
        </w:rPr>
      </w:pPr>
      <w:r>
        <w:rPr>
          <w:rFonts w:hint="eastAsia" w:ascii="宋体" w:hAnsi="宋体" w:cs="宋体"/>
          <w:color w:val="000000"/>
          <w:szCs w:val="21"/>
          <w:highlight w:val="none"/>
        </w:rPr>
        <w:t>（2）</w:t>
      </w:r>
      <w:r>
        <w:rPr>
          <w:rFonts w:hint="eastAsia" w:ascii="宋体" w:hAnsi="宋体"/>
          <w:color w:val="000000"/>
          <w:szCs w:val="21"/>
          <w:highlight w:val="none"/>
        </w:rPr>
        <w:t>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17.2.2成交供应商的磋商保证金自签订合同之日起5个工作日内退还，退还方式同未成交供应商的磋商保证金的退还方式；或者转为成交供应商的履约保证金。 </w:t>
      </w:r>
    </w:p>
    <w:p>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17.3磋商保证金不计息。</w:t>
      </w:r>
    </w:p>
    <w:p>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 xml:space="preserve">17.4供应商有下列情形之一的，磋商保证金将不予退还： </w:t>
      </w:r>
    </w:p>
    <w:p>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（1）供应商在提交响应文件截止时间后撤回响应文件的；</w:t>
      </w:r>
    </w:p>
    <w:p>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（2）供应商在响应文件中提供虚假材料的；</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（3）除因不可抗力或者磋商文件认可的情形以外，成交供应商不与采购人签订合同的；</w:t>
      </w:r>
    </w:p>
    <w:p>
      <w:pPr>
        <w:spacing w:line="360" w:lineRule="auto"/>
        <w:ind w:left="420" w:leftChars="200"/>
        <w:rPr>
          <w:rFonts w:hint="eastAsia" w:ascii="宋体" w:hAnsi="宋体" w:cs="宋体"/>
          <w:color w:val="000000"/>
          <w:szCs w:val="21"/>
          <w:highlight w:val="none"/>
        </w:rPr>
      </w:pPr>
      <w:r>
        <w:rPr>
          <w:rFonts w:hint="eastAsia" w:ascii="宋体" w:hAnsi="宋体" w:cs="宋体"/>
          <w:color w:val="000000"/>
          <w:szCs w:val="21"/>
          <w:highlight w:val="none"/>
        </w:rPr>
        <w:t>（4）供应商与采购人、其他供应商或者采购代理机构恶意串通的；</w:t>
      </w:r>
    </w:p>
    <w:p>
      <w:pPr>
        <w:spacing w:line="360" w:lineRule="auto"/>
        <w:ind w:left="420" w:leftChars="200"/>
        <w:rPr>
          <w:rFonts w:cs="宋体"/>
          <w:szCs w:val="21"/>
          <w:highlight w:val="none"/>
        </w:rPr>
      </w:pPr>
      <w:r>
        <w:rPr>
          <w:rFonts w:hint="eastAsia" w:ascii="宋体" w:hAnsi="宋体" w:cs="宋体"/>
          <w:color w:val="000000"/>
          <w:szCs w:val="21"/>
          <w:highlight w:val="none"/>
        </w:rPr>
        <w:t>（5）磋商文件规定的其他情形。</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18.响应文件编制的要求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highlight w:val="none"/>
        </w:rPr>
        <w:t>由此引发的</w:t>
      </w:r>
      <w:r>
        <w:rPr>
          <w:rFonts w:hint="eastAsia" w:ascii="宋体" w:hAnsi="宋体" w:cs="宋体"/>
          <w:szCs w:val="21"/>
          <w:highlight w:val="none"/>
        </w:rPr>
        <w:t>后果由供应商承担。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w:t>
      </w:r>
      <w:bookmarkStart w:id="87" w:name="_Hlk65832699"/>
      <w:r>
        <w:rPr>
          <w:rFonts w:hint="eastAsia" w:ascii="宋体" w:hAnsi="宋体" w:cs="宋体"/>
          <w:szCs w:val="21"/>
          <w:highlight w:val="none"/>
        </w:rPr>
        <w:t>3响应文件须由供应商按</w:t>
      </w:r>
      <w:r>
        <w:rPr>
          <w:rFonts w:hint="eastAsia" w:ascii="宋体" w:hAnsi="宋体" w:cs="宋体"/>
          <w:kern w:val="0"/>
          <w:szCs w:val="21"/>
          <w:highlight w:val="none"/>
          <w:lang w:val="zh-CN"/>
        </w:rPr>
        <w:t>“</w:t>
      </w:r>
      <w:r>
        <w:rPr>
          <w:rFonts w:hint="eastAsia" w:ascii="宋体" w:hAnsi="宋体" w:cs="宋体"/>
          <w:szCs w:val="21"/>
          <w:highlight w:val="none"/>
        </w:rPr>
        <w:t>第五章 响应文件格式</w:t>
      </w:r>
      <w:r>
        <w:rPr>
          <w:rFonts w:hint="eastAsia" w:ascii="宋体" w:hAnsi="宋体" w:cs="宋体"/>
          <w:kern w:val="0"/>
          <w:szCs w:val="21"/>
          <w:highlight w:val="none"/>
          <w:lang w:val="zh-CN"/>
        </w:rPr>
        <w:t>”</w:t>
      </w:r>
      <w:r>
        <w:rPr>
          <w:rFonts w:hint="eastAsia" w:ascii="宋体" w:hAnsi="宋体" w:cs="宋体"/>
          <w:szCs w:val="21"/>
          <w:highlight w:val="none"/>
        </w:rPr>
        <w:t>要求进行签署、盖章</w:t>
      </w:r>
      <w:bookmarkEnd w:id="87"/>
      <w:r>
        <w:rPr>
          <w:rFonts w:hint="eastAsia" w:ascii="宋体" w:hAnsi="宋体" w:cs="宋体"/>
          <w:szCs w:val="21"/>
          <w:highlight w:val="none"/>
        </w:rPr>
        <w:t>，</w:t>
      </w:r>
      <w:r>
        <w:rPr>
          <w:rFonts w:hint="eastAsia" w:ascii="宋体" w:hAnsi="宋体" w:cs="宋体"/>
          <w:b/>
          <w:bCs/>
          <w:szCs w:val="21"/>
          <w:highlight w:val="none"/>
        </w:rPr>
        <w:t>否则其响应文件按无效响应处理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18.4响应文件中标注的供应商名称应与营业执照（事业单位法人证书、执业许可证、自然人身份证）及供应商公章一致，</w:t>
      </w:r>
      <w:r>
        <w:rPr>
          <w:rFonts w:hint="eastAsia" w:ascii="宋体" w:hAnsi="宋体" w:cs="宋体"/>
          <w:b/>
          <w:bCs/>
          <w:szCs w:val="21"/>
          <w:highlight w:val="none"/>
        </w:rPr>
        <w:t>否则其响应文件按无效响应处理。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18.5响应文件应避免涂改、行间插字或者删除。</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19.响应文件的密封和标记</w:t>
      </w:r>
    </w:p>
    <w:p>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19.1供应商进行电子交易应安装客户端软件—“</w:t>
      </w:r>
      <w:r>
        <w:rPr>
          <w:rFonts w:hint="eastAsia" w:ascii="宋体" w:hAnsi="宋体" w:cs="宋体"/>
          <w:szCs w:val="21"/>
          <w:highlight w:val="none"/>
        </w:rPr>
        <w:t>广西政府采购云平台新版客户端</w:t>
      </w:r>
      <w:r>
        <w:rPr>
          <w:rFonts w:hint="eastAsia" w:ascii="宋体" w:hAnsi="宋体" w:cs="宋体"/>
          <w:kern w:val="0"/>
          <w:szCs w:val="21"/>
          <w:highlight w:val="none"/>
          <w:lang w:val="zh-CN"/>
        </w:rPr>
        <w:t>”，并按照磋商文件和电子交易平台的要求编制并加密响应文件。供应商未按规定加密的响应文件，电子交易平台将拒收并提示。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19.2使用“</w:t>
      </w:r>
      <w:r>
        <w:rPr>
          <w:rFonts w:hint="eastAsia" w:ascii="宋体" w:hAnsi="宋体" w:cs="宋体"/>
          <w:kern w:val="0"/>
          <w:szCs w:val="21"/>
          <w:highlight w:val="none"/>
        </w:rPr>
        <w:t>广西政府采购云平台</w:t>
      </w:r>
      <w:r>
        <w:rPr>
          <w:rFonts w:hint="eastAsia" w:ascii="宋体" w:hAnsi="宋体" w:cs="宋体"/>
          <w:kern w:val="0"/>
          <w:szCs w:val="21"/>
          <w:highlight w:val="none"/>
          <w:lang w:val="zh-CN"/>
        </w:rPr>
        <w:t>电子交易客户端”需要提前申领CA数字证书。</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19.3为确保网上操作合法、有效和安全，供应商应当在响应文件提交截止时间前完成在“</w:t>
      </w:r>
      <w:r>
        <w:rPr>
          <w:rFonts w:hint="eastAsia" w:ascii="宋体" w:hAnsi="宋体" w:cs="宋体"/>
          <w:szCs w:val="21"/>
          <w:highlight w:val="none"/>
        </w:rPr>
        <w:t>广西政府采购云平台</w:t>
      </w:r>
      <w:r>
        <w:rPr>
          <w:rFonts w:hint="eastAsia" w:ascii="宋体" w:hAnsi="宋体" w:cs="宋体"/>
          <w:kern w:val="0"/>
          <w:szCs w:val="21"/>
          <w:highlight w:val="none"/>
        </w:rPr>
        <w:t>”的身份认证，确保在电子交易过程中能够对相关数据电文进行加密和使用电子签名。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20.响应文件的提交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20.1供应商必须在“供应商须知前附表”规定的时间和地点提交响应文件。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20.2 在响应文件提交截止时间以后，不能补充、修改响应文件。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20.3 在提交“最后报价”后，供应商不能退出磋商。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20.5 采购机构不可视情况延长提交响应文件的截止时间。</w:t>
      </w:r>
    </w:p>
    <w:p>
      <w:pPr>
        <w:spacing w:line="360" w:lineRule="auto"/>
        <w:ind w:firstLine="420" w:firstLineChars="200"/>
        <w:rPr>
          <w:rFonts w:hint="eastAsia" w:ascii="宋体" w:hAnsi="宋体" w:cs="宋体"/>
          <w:sz w:val="24"/>
          <w:highlight w:val="none"/>
        </w:rPr>
      </w:pPr>
      <w:r>
        <w:rPr>
          <w:rFonts w:hint="eastAsia" w:ascii="宋体" w:hAnsi="宋体" w:cs="宋体"/>
          <w:szCs w:val="21"/>
          <w:highlight w:val="none"/>
        </w:rPr>
        <w:t>20.6备份响应文件。</w:t>
      </w:r>
      <w:r>
        <w:rPr>
          <w:rFonts w:hint="eastAsia" w:ascii="宋体" w:hAnsi="宋体" w:cs="宋体"/>
          <w:bCs/>
          <w:szCs w:val="21"/>
          <w:highlight w:val="none"/>
        </w:rPr>
        <w:t>详见“供应商须知前附表”。</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21.首次响应文件的补充、修改与撤回</w:t>
      </w:r>
    </w:p>
    <w:p>
      <w:pPr>
        <w:adjustRightInd w:val="0"/>
        <w:spacing w:line="360" w:lineRule="auto"/>
        <w:ind w:firstLine="420" w:firstLineChars="200"/>
        <w:rPr>
          <w:rFonts w:hint="eastAsia" w:cs="宋体"/>
          <w:szCs w:val="21"/>
          <w:highlight w:val="none"/>
        </w:rPr>
      </w:pPr>
      <w:r>
        <w:rPr>
          <w:rFonts w:hint="eastAsia" w:ascii="宋体" w:hAnsi="宋体" w:cs="仿宋_GB2312"/>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rFonts w:hint="eastAsia" w:cs="宋体"/>
          <w:szCs w:val="21"/>
          <w:highlight w:val="none"/>
        </w:rPr>
        <w:t>。</w:t>
      </w:r>
      <w:bookmarkStart w:id="88" w:name="_Hlk45702405"/>
    </w:p>
    <w:p>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22. 截止时间后的撤回</w:t>
      </w:r>
    </w:p>
    <w:bookmarkEnd w:id="88"/>
    <w:p>
      <w:pPr>
        <w:pStyle w:val="28"/>
        <w:rPr>
          <w:rFonts w:hint="eastAsia"/>
          <w:b/>
          <w:bCs/>
          <w:highlight w:val="none"/>
        </w:rPr>
      </w:pPr>
      <w:r>
        <w:rPr>
          <w:rFonts w:hint="eastAsia"/>
          <w:highlight w:val="none"/>
        </w:rPr>
        <w:t>供应商在首次响应文件提交截止时间后向采购人、采购代理机构书面申请撤回电子响应文件的，将根据本须知正文17.4的规定不予退还其磋商保证金（如有）。</w:t>
      </w:r>
    </w:p>
    <w:p>
      <w:pPr>
        <w:pStyle w:val="4"/>
        <w:spacing w:before="0" w:after="0" w:line="360" w:lineRule="auto"/>
        <w:ind w:firstLine="640" w:firstLineChars="200"/>
        <w:rPr>
          <w:rFonts w:hint="eastAsia"/>
          <w:b w:val="0"/>
          <w:bCs w:val="0"/>
          <w:highlight w:val="none"/>
        </w:rPr>
      </w:pPr>
      <w:r>
        <w:rPr>
          <w:rFonts w:hint="eastAsia"/>
          <w:b w:val="0"/>
          <w:bCs w:val="0"/>
          <w:highlight w:val="none"/>
        </w:rPr>
        <w:t xml:space="preserve">  </w:t>
      </w:r>
      <w:bookmarkStart w:id="89" w:name="_Toc17876"/>
      <w:bookmarkStart w:id="90" w:name="_Toc20044"/>
      <w:bookmarkStart w:id="91" w:name="_Toc80886933"/>
      <w:r>
        <w:rPr>
          <w:rFonts w:hint="eastAsia"/>
          <w:b w:val="0"/>
          <w:bCs w:val="0"/>
          <w:highlight w:val="none"/>
        </w:rPr>
        <w:t>四、评审及磋商</w:t>
      </w:r>
      <w:bookmarkEnd w:id="89"/>
      <w:bookmarkEnd w:id="90"/>
      <w:bookmarkEnd w:id="91"/>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23.磋商小组成立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4</w:t>
      </w:r>
      <w:r>
        <w:rPr>
          <w:rFonts w:ascii="黑体" w:hAnsi="黑体" w:eastAsia="黑体" w:cs="宋体"/>
          <w:b/>
          <w:bCs/>
          <w:sz w:val="24"/>
          <w:highlight w:val="none"/>
        </w:rPr>
        <w:t>.</w:t>
      </w:r>
      <w:r>
        <w:rPr>
          <w:rFonts w:hint="eastAsia" w:ascii="黑体" w:hAnsi="黑体" w:eastAsia="黑体" w:cs="宋体"/>
          <w:b/>
          <w:bCs/>
          <w:sz w:val="24"/>
          <w:highlight w:val="none"/>
        </w:rPr>
        <w:t>首次响应文件的开启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24.1首次响应文件由磋商小组或者采购代理机构在“供应商须知前附表”规定的时间开启。</w:t>
      </w:r>
    </w:p>
    <w:p>
      <w:pPr>
        <w:spacing w:line="360" w:lineRule="auto"/>
        <w:ind w:firstLine="420" w:firstLineChars="200"/>
        <w:rPr>
          <w:rFonts w:hint="eastAsia" w:ascii="宋体" w:hAnsi="宋体" w:cs="宋体"/>
          <w:bCs/>
          <w:kern w:val="0"/>
          <w:szCs w:val="21"/>
          <w:highlight w:val="none"/>
        </w:rPr>
      </w:pPr>
      <w:r>
        <w:rPr>
          <w:rFonts w:hint="eastAsia" w:ascii="宋体" w:hAnsi="宋体" w:cs="宋体"/>
          <w:kern w:val="0"/>
          <w:szCs w:val="21"/>
          <w:highlight w:val="none"/>
        </w:rPr>
        <w:t xml:space="preserve">24.2 </w:t>
      </w:r>
      <w:r>
        <w:rPr>
          <w:rFonts w:hint="eastAsia" w:ascii="宋体" w:hAnsi="宋体" w:cs="宋体"/>
          <w:bCs/>
          <w:kern w:val="0"/>
          <w:szCs w:val="21"/>
          <w:highlight w:val="none"/>
        </w:rPr>
        <w:t>响应文件解密</w:t>
      </w:r>
    </w:p>
    <w:p>
      <w:pPr>
        <w:snapToGrid w:val="0"/>
        <w:spacing w:line="360" w:lineRule="auto"/>
        <w:ind w:firstLine="420" w:firstLineChars="200"/>
        <w:rPr>
          <w:rFonts w:hint="eastAsia" w:ascii="宋体" w:hAnsi="宋体" w:cs="宋体"/>
          <w:kern w:val="0"/>
          <w:szCs w:val="21"/>
          <w:highlight w:val="none"/>
        </w:rPr>
      </w:pPr>
      <w:r>
        <w:rPr>
          <w:rFonts w:hint="eastAsia" w:ascii="宋体" w:hAnsi="宋体" w:cs="宋体"/>
          <w:bCs/>
          <w:kern w:val="0"/>
          <w:szCs w:val="21"/>
          <w:highlight w:val="none"/>
        </w:rPr>
        <w:t>采购代理机构将在“供应商须知前附表”规定的时</w:t>
      </w:r>
      <w:r>
        <w:rPr>
          <w:rFonts w:hint="eastAsia" w:ascii="宋体" w:hAnsi="宋体" w:cs="宋体"/>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cs="宋体"/>
          <w:kern w:val="0"/>
          <w:szCs w:val="21"/>
          <w:highlight w:val="none"/>
        </w:rPr>
        <w:t>。</w:t>
      </w:r>
      <w:r>
        <w:rPr>
          <w:rFonts w:hint="eastAsia" w:ascii="宋体" w:hAnsi="宋体" w:cs="宋体"/>
          <w:kern w:val="1"/>
          <w:szCs w:val="21"/>
          <w:highlight w:val="none"/>
        </w:rPr>
        <w:t>响应文件未按时解密的</w:t>
      </w:r>
      <w:r>
        <w:rPr>
          <w:rFonts w:hint="eastAsia" w:ascii="宋体" w:hAnsi="宋体" w:cs="宋体"/>
          <w:kern w:val="0"/>
          <w:szCs w:val="21"/>
          <w:highlight w:val="none"/>
        </w:rPr>
        <w:t>，</w:t>
      </w:r>
      <w:r>
        <w:rPr>
          <w:rFonts w:hint="eastAsia" w:ascii="宋体" w:hAnsi="宋体" w:cs="宋体"/>
          <w:b/>
          <w:kern w:val="0"/>
          <w:szCs w:val="21"/>
          <w:highlight w:val="none"/>
        </w:rPr>
        <w:t>视为响应文件无效。</w:t>
      </w:r>
      <w:r>
        <w:rPr>
          <w:rFonts w:hint="eastAsia" w:ascii="宋体" w:hAnsi="宋体" w:cs="宋体"/>
          <w:kern w:val="0"/>
          <w:szCs w:val="21"/>
          <w:highlight w:val="none"/>
        </w:rPr>
        <w:t>（解密</w:t>
      </w:r>
      <w:r>
        <w:rPr>
          <w:rFonts w:hint="eastAsia" w:ascii="宋体" w:hAnsi="宋体" w:cs="宋体"/>
          <w:bCs/>
          <w:kern w:val="0"/>
          <w:szCs w:val="21"/>
          <w:highlight w:val="none"/>
        </w:rPr>
        <w:t>异常情况处理：详见本章</w:t>
      </w:r>
      <w:r>
        <w:rPr>
          <w:rFonts w:hint="eastAsia" w:ascii="宋体" w:hAnsi="宋体" w:cs="宋体"/>
          <w:kern w:val="0"/>
          <w:szCs w:val="21"/>
          <w:highlight w:val="none"/>
        </w:rPr>
        <w:t>25.4电子交易活动的中止。）</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如</w:t>
      </w:r>
      <w:r>
        <w:rPr>
          <w:rFonts w:hint="eastAsia" w:ascii="宋体" w:hAnsi="宋体" w:cs="宋体"/>
          <w:bCs/>
          <w:kern w:val="0"/>
          <w:szCs w:val="21"/>
          <w:highlight w:val="none"/>
        </w:rPr>
        <w:t>供应商成功解密响应文件，但未在“</w:t>
      </w:r>
      <w:r>
        <w:rPr>
          <w:rFonts w:hint="eastAsia" w:ascii="宋体" w:hAnsi="宋体" w:cs="宋体"/>
          <w:szCs w:val="21"/>
          <w:highlight w:val="none"/>
        </w:rPr>
        <w:t>广西政府采购云平台</w:t>
      </w:r>
      <w:r>
        <w:rPr>
          <w:rFonts w:hint="eastAsia" w:ascii="宋体" w:hAnsi="宋体" w:cs="宋体"/>
          <w:bCs/>
          <w:kern w:val="0"/>
          <w:szCs w:val="21"/>
          <w:highlight w:val="none"/>
        </w:rPr>
        <w:t>”电子开标大厅参加磋商的，视同认可磋商过程和结果，</w:t>
      </w:r>
      <w:r>
        <w:rPr>
          <w:rFonts w:hint="eastAsia" w:ascii="宋体" w:hAnsi="宋体" w:cs="宋体"/>
          <w:kern w:val="0"/>
          <w:szCs w:val="21"/>
          <w:highlight w:val="none"/>
        </w:rPr>
        <w:t>由此产生的后果由供应商自行负责。 参与磋商的供应商不足3家的，不得磋商。</w:t>
      </w:r>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5.评审程序、评审方法和评审标准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25.1</w:t>
      </w:r>
      <w:r>
        <w:rPr>
          <w:rFonts w:hint="eastAsia" w:ascii="宋体" w:hAnsi="宋体" w:cs="宋体"/>
          <w:color w:val="000000"/>
          <w:highlight w:val="none"/>
        </w:rPr>
        <w:t>本项目的评审方法详见“供应商须知前附表”。</w:t>
      </w:r>
      <w:r>
        <w:rPr>
          <w:rFonts w:hint="eastAsia" w:ascii="宋体" w:hAnsi="宋体" w:cs="宋体"/>
          <w:szCs w:val="21"/>
          <w:highlight w:val="none"/>
        </w:rPr>
        <w:t>磋商小组按照“第四章 评审程序、评审方法和评审标准”规定的方法、评审因素、标准和程序对响应文件进行评审。</w:t>
      </w:r>
    </w:p>
    <w:p>
      <w:pPr>
        <w:pStyle w:val="13"/>
        <w:ind w:firstLine="420" w:firstLineChars="200"/>
        <w:rPr>
          <w:rFonts w:hint="eastAsia" w:ascii="宋体" w:hAnsi="宋体" w:cs="宋体"/>
          <w:highlight w:val="none"/>
        </w:rPr>
      </w:pPr>
      <w:r>
        <w:rPr>
          <w:rFonts w:hint="eastAsia" w:ascii="宋体" w:hAnsi="宋体" w:cs="宋体"/>
          <w:szCs w:val="21"/>
          <w:highlight w:val="none"/>
        </w:rPr>
        <w:t>25.2磋商文件内容违反国家有关强制性规定的，磋商小组应当停止评审并向采购人或者采购代理机构说明情况，并在评审报告中书面体现。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25.3 采购需求负偏离要求及磋商顺序详见“供应商须知前附表”。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25.4电子交易活动的中止。采购过程中出现以下情形，导致电子交易平台无法正常运行，或者无法保证电子交易的公平、公正和安全时，采购机构可中止电子交易活动：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cs="宋体"/>
          <w:highlight w:val="none"/>
        </w:rPr>
      </w:pPr>
      <w:r>
        <w:rPr>
          <w:rFonts w:hint="eastAsia" w:ascii="宋体" w:hAnsi="宋体" w:cs="宋体"/>
          <w:highlight w:val="none"/>
        </w:rPr>
        <w:t xml:space="preserve">（1）电子交易平台发生故障而无法登录访问的； </w:t>
      </w:r>
    </w:p>
    <w:p>
      <w:pPr>
        <w:spacing w:line="360" w:lineRule="auto"/>
        <w:ind w:firstLine="420" w:firstLineChars="200"/>
        <w:rPr>
          <w:rFonts w:hint="eastAsia" w:ascii="宋体" w:hAnsi="宋体" w:cs="宋体"/>
          <w:highlight w:val="none"/>
        </w:rPr>
      </w:pPr>
      <w:r>
        <w:rPr>
          <w:rFonts w:hint="eastAsia" w:ascii="宋体" w:hAnsi="宋体" w:cs="宋体"/>
          <w:highlight w:val="none"/>
        </w:rPr>
        <w:t>（2）电子交易平台应用或数据库出现错误，不能进行正常操作的；</w:t>
      </w:r>
    </w:p>
    <w:p>
      <w:pPr>
        <w:spacing w:line="360" w:lineRule="auto"/>
        <w:ind w:firstLine="420" w:firstLineChars="200"/>
        <w:rPr>
          <w:rFonts w:hint="eastAsia" w:ascii="宋体" w:hAnsi="宋体" w:cs="宋体"/>
          <w:highlight w:val="none"/>
        </w:rPr>
      </w:pPr>
      <w:r>
        <w:rPr>
          <w:rFonts w:hint="eastAsia" w:ascii="宋体" w:hAnsi="宋体" w:cs="宋体"/>
          <w:highlight w:val="none"/>
        </w:rPr>
        <w:t>（3）电子交易平台发现严重安全漏洞，有潜在泄密危险的；</w:t>
      </w:r>
    </w:p>
    <w:p>
      <w:pPr>
        <w:spacing w:line="360" w:lineRule="auto"/>
        <w:ind w:firstLine="420" w:firstLineChars="200"/>
        <w:rPr>
          <w:rFonts w:hint="eastAsia" w:ascii="宋体" w:hAnsi="宋体" w:cs="宋体"/>
          <w:highlight w:val="none"/>
        </w:rPr>
      </w:pPr>
      <w:r>
        <w:rPr>
          <w:rFonts w:hint="eastAsia" w:ascii="宋体" w:hAnsi="宋体" w:cs="宋体"/>
          <w:highlight w:val="none"/>
        </w:rPr>
        <w:t xml:space="preserve">（4）病毒发作导致不能进行正常操作的； </w:t>
      </w:r>
    </w:p>
    <w:p>
      <w:pPr>
        <w:spacing w:line="360" w:lineRule="auto"/>
        <w:ind w:firstLine="420" w:firstLineChars="200"/>
        <w:rPr>
          <w:rFonts w:hint="eastAsia" w:ascii="宋体" w:hAnsi="宋体" w:cs="宋体"/>
          <w:highlight w:val="none"/>
        </w:rPr>
      </w:pPr>
      <w:r>
        <w:rPr>
          <w:rFonts w:hint="eastAsia" w:ascii="宋体" w:hAnsi="宋体" w:cs="宋体"/>
          <w:highlight w:val="none"/>
        </w:rPr>
        <w:t>（5）其他无法保证电子交易的公平、公正和安全的情况。</w:t>
      </w:r>
    </w:p>
    <w:p>
      <w:pPr>
        <w:spacing w:line="360" w:lineRule="auto"/>
        <w:ind w:firstLine="420" w:firstLineChars="200"/>
        <w:rPr>
          <w:rFonts w:hint="eastAsia" w:ascii="宋体" w:hAnsi="宋体" w:cs="宋体"/>
          <w:highlight w:val="none"/>
        </w:rPr>
      </w:pPr>
      <w:r>
        <w:rPr>
          <w:rFonts w:hint="eastAsia" w:ascii="宋体" w:hAnsi="宋体" w:cs="宋体"/>
          <w:highlight w:val="none"/>
        </w:rPr>
        <w:t>25.5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pacing w:before="0" w:after="0" w:line="360" w:lineRule="auto"/>
        <w:ind w:firstLine="480" w:firstLineChars="150"/>
        <w:rPr>
          <w:rFonts w:hint="eastAsia"/>
          <w:b w:val="0"/>
          <w:bCs w:val="0"/>
          <w:highlight w:val="none"/>
        </w:rPr>
      </w:pPr>
      <w:bookmarkStart w:id="92" w:name="_Toc80886934"/>
      <w:bookmarkStart w:id="93" w:name="_Toc12018"/>
      <w:bookmarkStart w:id="94" w:name="_Toc17745"/>
      <w:r>
        <w:rPr>
          <w:rFonts w:hint="eastAsia"/>
          <w:b w:val="0"/>
          <w:bCs w:val="0"/>
          <w:highlight w:val="none"/>
        </w:rPr>
        <w:t>五、成交及合同</w:t>
      </w:r>
      <w:bookmarkEnd w:id="92"/>
      <w:bookmarkEnd w:id="93"/>
      <w:bookmarkEnd w:id="94"/>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6.确定成交供应商及结果公告</w:t>
      </w:r>
    </w:p>
    <w:p>
      <w:pPr>
        <w:spacing w:line="360" w:lineRule="auto"/>
        <w:ind w:firstLine="420" w:firstLineChars="200"/>
        <w:rPr>
          <w:rFonts w:hint="eastAsia" w:ascii="宋体" w:hAnsi="宋体" w:cs="宋体"/>
          <w:color w:val="000000"/>
          <w:szCs w:val="21"/>
          <w:highlight w:val="none"/>
        </w:rPr>
      </w:pPr>
      <w:r>
        <w:rPr>
          <w:rFonts w:hint="eastAsia" w:ascii="宋体" w:hAnsi="宋体" w:cs="宋体"/>
          <w:szCs w:val="21"/>
          <w:highlight w:val="none"/>
        </w:rPr>
        <w:t>26.1确定成交供应商。</w:t>
      </w:r>
      <w:r>
        <w:rPr>
          <w:rFonts w:hint="eastAsia" w:ascii="宋体" w:hAnsi="宋体" w:cs="宋体"/>
          <w:color w:val="000000"/>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26.2成交通知及成交结果公告。</w:t>
      </w:r>
      <w:r>
        <w:rPr>
          <w:rFonts w:hint="eastAsia" w:ascii="宋体" w:hAnsi="宋体" w:cs="宋体"/>
          <w:color w:val="000000"/>
          <w:szCs w:val="21"/>
          <w:highlight w:val="none"/>
        </w:rPr>
        <w:t>采购代理机构应当在</w:t>
      </w:r>
      <w:r>
        <w:rPr>
          <w:rFonts w:hint="eastAsia" w:ascii="宋体" w:hAnsi="宋体" w:cs="宋体"/>
          <w:color w:val="000000"/>
          <w:kern w:val="0"/>
          <w:szCs w:val="21"/>
          <w:highlight w:val="none"/>
        </w:rPr>
        <w:t>成交</w:t>
      </w:r>
      <w:r>
        <w:rPr>
          <w:rFonts w:hint="eastAsia" w:ascii="宋体" w:hAnsi="宋体" w:cs="宋体"/>
          <w:color w:val="000000"/>
          <w:szCs w:val="21"/>
          <w:highlight w:val="none"/>
        </w:rPr>
        <w:t>供应商确定后2个工作日内，在省级以上财政部门指定的媒体上公告成交结果，同时向成交供应商发出成交通知书</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szCs w:val="21"/>
          <w:highlight w:val="none"/>
        </w:rPr>
      </w:pPr>
      <w:r>
        <w:rPr>
          <w:rFonts w:hint="eastAsia" w:ascii="宋体" w:hAnsi="宋体" w:cs="宋体"/>
          <w:bCs/>
          <w:szCs w:val="21"/>
          <w:highlight w:val="none"/>
        </w:rPr>
        <w:t>26.5</w:t>
      </w:r>
      <w:r>
        <w:rPr>
          <w:rFonts w:hint="eastAsia" w:ascii="宋体" w:hAnsi="宋体" w:cs="宋体"/>
          <w:bCs/>
          <w:color w:val="000000"/>
          <w:szCs w:val="21"/>
          <w:highlight w:val="none"/>
        </w:rPr>
        <w:t>排名第一的成交候选人放弃成交，采购人可以按照评审报告推荐的成交候选人名单排序，依法确定下一候选人为成交</w:t>
      </w:r>
      <w:r>
        <w:rPr>
          <w:rFonts w:hint="eastAsia" w:ascii="宋体" w:hAnsi="宋体" w:cs="宋体"/>
          <w:color w:val="000000"/>
          <w:szCs w:val="21"/>
          <w:highlight w:val="none"/>
        </w:rPr>
        <w:t>供应商</w:t>
      </w:r>
      <w:r>
        <w:rPr>
          <w:rFonts w:hint="eastAsia" w:ascii="宋体" w:hAnsi="宋体" w:cs="宋体"/>
          <w:bCs/>
          <w:color w:val="000000"/>
          <w:szCs w:val="21"/>
          <w:highlight w:val="none"/>
        </w:rPr>
        <w:t>，也可以重新开展政府采购活动</w:t>
      </w:r>
      <w:r>
        <w:rPr>
          <w:rFonts w:hint="eastAsia" w:ascii="宋体" w:hAnsi="宋体" w:cs="宋体"/>
          <w:szCs w:val="21"/>
          <w:highlight w:val="none"/>
        </w:rPr>
        <w:t>。</w:t>
      </w:r>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7.履约保证金</w:t>
      </w:r>
    </w:p>
    <w:p>
      <w:pPr>
        <w:spacing w:line="360" w:lineRule="auto"/>
        <w:ind w:firstLine="424" w:firstLineChars="202"/>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7.1</w:t>
      </w:r>
      <w:r>
        <w:rPr>
          <w:rFonts w:ascii="宋体" w:hAnsi="宋体" w:cs="宋体"/>
          <w:color w:val="000000"/>
          <w:szCs w:val="21"/>
          <w:highlight w:val="none"/>
        </w:rPr>
        <w:t xml:space="preserve"> </w:t>
      </w:r>
      <w:r>
        <w:rPr>
          <w:rFonts w:hint="eastAsia" w:ascii="宋体" w:hAnsi="宋体" w:cs="宋体"/>
          <w:color w:val="000000"/>
          <w:szCs w:val="21"/>
          <w:highlight w:val="none"/>
        </w:rPr>
        <w:t>履约保证金的金额、提交方式、退付的时间和条件详见 “供应商须知前附表”。成交供应商未按规定提交履约保证金的，视为拒绝</w:t>
      </w:r>
      <w:r>
        <w:rPr>
          <w:rFonts w:ascii="宋体" w:hAnsi="宋体"/>
          <w:color w:val="000000"/>
          <w:highlight w:val="none"/>
        </w:rPr>
        <w:t>与采购人</w:t>
      </w:r>
      <w:r>
        <w:rPr>
          <w:rFonts w:hint="eastAsia" w:ascii="宋体" w:hAnsi="宋体" w:cs="宋体"/>
          <w:color w:val="000000"/>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7.2签订合同后，如成交供应商不按双方签订的合同规定履约，则没收其全部履约保证金，履约保证金不足以赔偿损失的，按实际损失赔偿。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7.</w:t>
      </w:r>
      <w:r>
        <w:rPr>
          <w:rFonts w:ascii="宋体" w:hAnsi="宋体" w:cs="宋体"/>
          <w:color w:val="000000"/>
          <w:szCs w:val="21"/>
          <w:highlight w:val="none"/>
        </w:rPr>
        <w:t>3</w:t>
      </w:r>
      <w:r>
        <w:rPr>
          <w:rFonts w:hint="eastAsia" w:ascii="宋体" w:hAnsi="宋体" w:cs="宋体"/>
          <w:color w:val="000000"/>
          <w:szCs w:val="21"/>
          <w:highlight w:val="none"/>
        </w:rPr>
        <w:t>在履约保证金退还日期前，若成交供应商的开户名称、开户银行、账号有变动的，请以书面形式通知履约保证金收取单位，否则由此产生的后果由成交供应商自行承担。</w:t>
      </w:r>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8.签订合同</w:t>
      </w:r>
    </w:p>
    <w:p>
      <w:pPr>
        <w:pStyle w:val="71"/>
        <w:snapToGrid w:val="0"/>
        <w:spacing w:before="0"/>
        <w:ind w:firstLine="420"/>
        <w:rPr>
          <w:rFonts w:hint="eastAsia" w:ascii="宋体" w:hAnsi="宋体" w:cs="宋体"/>
          <w:sz w:val="21"/>
          <w:szCs w:val="21"/>
          <w:highlight w:val="none"/>
          <w:lang w:val="zh-CN"/>
        </w:rPr>
      </w:pPr>
      <w:r>
        <w:rPr>
          <w:rFonts w:hint="eastAsia" w:ascii="宋体" w:hAnsi="宋体" w:cs="宋体"/>
          <w:sz w:val="21"/>
          <w:szCs w:val="21"/>
          <w:highlight w:val="none"/>
        </w:rPr>
        <w:t>28.1采购人与成交供应商应当在成交通知书规定的时间内，按照磋商文件确定的合同文本以及采购标的、服务技术、采购金额、采购数量、技术和服务要求等事项签订政府采购合同。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28.2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28.4如签订合同并生效后，供应商无故拒绝或延期，除按照合同条款处理外，列入不良行为记录，并给予通报。</w:t>
      </w:r>
    </w:p>
    <w:p>
      <w:pPr>
        <w:spacing w:line="360" w:lineRule="auto"/>
        <w:ind w:firstLine="420" w:firstLineChars="200"/>
        <w:rPr>
          <w:rFonts w:hint="eastAsia" w:ascii="宋体" w:hAnsi="宋体" w:cs="宋体"/>
          <w:b/>
          <w:bCs/>
          <w:i/>
          <w:iCs/>
          <w:szCs w:val="21"/>
          <w:highlight w:val="none"/>
        </w:rPr>
      </w:pPr>
      <w:r>
        <w:rPr>
          <w:rFonts w:hint="eastAsia" w:ascii="宋体" w:hAnsi="宋体" w:cs="宋体"/>
          <w:szCs w:val="21"/>
          <w:highlight w:val="none"/>
        </w:rPr>
        <w:t>28.5采购合同由采购人与成交供应商根据磋商文件、响应文件等内容签订，成交供应商应当在签订合同时向采购人出示相关证明材料，具体内容详见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29.政府采购合同公告</w:t>
      </w:r>
    </w:p>
    <w:p>
      <w:pPr>
        <w:spacing w:line="360" w:lineRule="auto"/>
        <w:ind w:firstLine="420" w:firstLineChars="200"/>
        <w:rPr>
          <w:rFonts w:hint="eastAsia" w:ascii="Calibri"/>
          <w:highlight w:val="none"/>
        </w:rPr>
      </w:pPr>
      <w:r>
        <w:rPr>
          <w:rFonts w:hint="eastAsia" w:ascii="宋体" w:hAnsi="宋体" w:cs="宋体"/>
          <w:color w:val="000000"/>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highlight w:val="none"/>
        </w:rPr>
        <w:t>。</w:t>
      </w:r>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3</w:t>
      </w:r>
      <w:r>
        <w:rPr>
          <w:rFonts w:hint="eastAsia" w:ascii="黑体" w:hAnsi="黑体" w:eastAsia="黑体" w:cs="宋体"/>
          <w:b/>
          <w:bCs/>
          <w:sz w:val="24"/>
          <w:highlight w:val="none"/>
        </w:rPr>
        <w:t>0. 询问、质疑和投诉</w:t>
      </w:r>
    </w:p>
    <w:p>
      <w:pPr>
        <w:spacing w:line="360" w:lineRule="auto"/>
        <w:ind w:firstLine="420" w:firstLineChars="200"/>
        <w:rPr>
          <w:rFonts w:hint="eastAsia" w:ascii="宋体" w:hAnsi="宋体" w:cs="宋体"/>
          <w:highlight w:val="none"/>
        </w:rPr>
      </w:pPr>
      <w:r>
        <w:rPr>
          <w:rFonts w:hint="eastAsia" w:ascii="宋体" w:hAnsi="宋体" w:cs="宋体"/>
          <w:highlight w:val="none"/>
        </w:rPr>
        <w:t>30.1供应商对政府采购活动事项有疑问的，可以向采购人或者采购代理机构提出询问，采购人或者采购代理机构应当在3个工作日内对供应商依法提出的询问作出答复。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b/>
          <w:szCs w:val="21"/>
          <w:highlight w:val="none"/>
        </w:rPr>
      </w:pPr>
      <w:r>
        <w:rPr>
          <w:rFonts w:hint="eastAsia" w:ascii="宋体" w:hAnsi="宋体" w:cs="宋体"/>
          <w:highlight w:val="none"/>
        </w:rPr>
        <w:t>30.2供应商认为磋商文件、采购过程或者成交结果使自己的合法权益受到损害的，应当在知道或者应知其权益受到损害之日起7个工作日内，以书面形式向采购人或者采购代理机构提出质疑，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highlight w:val="none"/>
          <w:shd w:val="clear" w:color="auto" w:fill="FFFFFF"/>
        </w:rPr>
        <w:t>接收质疑函的方式、联系部门、联系电话和通讯地址等信息详见</w:t>
      </w:r>
      <w:r>
        <w:rPr>
          <w:rFonts w:hint="eastAsia" w:ascii="宋体" w:hAnsi="宋体" w:cs="宋体"/>
          <w:szCs w:val="21"/>
          <w:highlight w:val="none"/>
        </w:rPr>
        <w:t>“供应商须知前附表”</w:t>
      </w:r>
      <w:r>
        <w:rPr>
          <w:rFonts w:hint="eastAsia" w:ascii="宋体" w:hAnsi="宋体" w:cs="宋体"/>
          <w:highlight w:val="none"/>
        </w:rPr>
        <w:t>。</w:t>
      </w:r>
      <w:r>
        <w:rPr>
          <w:rFonts w:hint="eastAsia" w:ascii="宋体" w:hAnsi="宋体" w:cs="宋体"/>
          <w:b/>
          <w:szCs w:val="21"/>
          <w:highlight w:val="none"/>
        </w:rPr>
        <w:t xml:space="preserve">具体质疑起算时间及处理方式如下： </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highlight w:val="none"/>
        </w:rPr>
        <w:t>委托代理协议无特殊约定的，</w:t>
      </w:r>
      <w:r>
        <w:rPr>
          <w:rFonts w:hint="eastAsia" w:ascii="宋体" w:hAnsi="宋体" w:cs="宋体"/>
          <w:bCs/>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cs="宋体"/>
          <w:bCs/>
          <w:highlight w:val="none"/>
        </w:rPr>
      </w:pPr>
      <w:r>
        <w:rPr>
          <w:rFonts w:hint="eastAsia" w:ascii="宋体" w:hAnsi="宋体" w:cs="宋体"/>
          <w:bCs/>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cs="宋体"/>
          <w:highlight w:val="none"/>
        </w:rPr>
      </w:pPr>
      <w:r>
        <w:rPr>
          <w:rFonts w:hint="eastAsia" w:ascii="宋体" w:hAnsi="宋体" w:cs="宋体"/>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cs="宋体"/>
          <w:highlight w:val="none"/>
        </w:rPr>
      </w:pPr>
      <w:r>
        <w:rPr>
          <w:rFonts w:hint="eastAsia" w:ascii="宋体" w:hAnsi="宋体" w:cs="宋体"/>
          <w:b/>
          <w:bCs/>
          <w:highlight w:val="none"/>
        </w:rPr>
        <w:t>30.4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cs="宋体"/>
          <w:highlight w:val="none"/>
        </w:rPr>
      </w:pPr>
      <w:r>
        <w:rPr>
          <w:rFonts w:hint="eastAsia" w:ascii="宋体" w:hAnsi="宋体" w:cs="宋体"/>
          <w:highlight w:val="none"/>
        </w:rPr>
        <w:t>（1）供应商的姓名或者名称、地址、邮编、联系人及联系电话；</w:t>
      </w:r>
    </w:p>
    <w:p>
      <w:pPr>
        <w:spacing w:line="360" w:lineRule="auto"/>
        <w:ind w:firstLine="420" w:firstLineChars="200"/>
        <w:rPr>
          <w:rFonts w:hint="eastAsia" w:ascii="宋体" w:hAnsi="宋体" w:cs="宋体"/>
          <w:highlight w:val="none"/>
        </w:rPr>
      </w:pPr>
      <w:r>
        <w:rPr>
          <w:rFonts w:hint="eastAsia" w:ascii="宋体" w:hAnsi="宋体" w:cs="宋体"/>
          <w:highlight w:val="none"/>
        </w:rPr>
        <w:t>（2）质疑项目的名称、编号；</w:t>
      </w:r>
    </w:p>
    <w:p>
      <w:pPr>
        <w:spacing w:line="360" w:lineRule="auto"/>
        <w:ind w:firstLine="420" w:firstLineChars="200"/>
        <w:rPr>
          <w:rFonts w:hint="eastAsia" w:ascii="宋体" w:hAnsi="宋体" w:cs="宋体"/>
          <w:highlight w:val="none"/>
        </w:rPr>
      </w:pPr>
      <w:r>
        <w:rPr>
          <w:rFonts w:hint="eastAsia" w:ascii="宋体" w:hAnsi="宋体" w:cs="宋体"/>
          <w:highlight w:val="none"/>
        </w:rPr>
        <w:t>（3）具体、明确的质疑事项和与质疑事项相关的请求；</w:t>
      </w:r>
    </w:p>
    <w:p>
      <w:pPr>
        <w:spacing w:line="360" w:lineRule="auto"/>
        <w:ind w:firstLine="420" w:firstLineChars="200"/>
        <w:rPr>
          <w:rFonts w:hint="eastAsia" w:ascii="宋体" w:hAnsi="宋体" w:cs="宋体"/>
          <w:highlight w:val="none"/>
        </w:rPr>
      </w:pPr>
      <w:r>
        <w:rPr>
          <w:rFonts w:hint="eastAsia" w:ascii="宋体" w:hAnsi="宋体" w:cs="宋体"/>
          <w:highlight w:val="none"/>
        </w:rPr>
        <w:t>（4）事实依据；</w:t>
      </w:r>
    </w:p>
    <w:p>
      <w:pPr>
        <w:spacing w:line="360" w:lineRule="auto"/>
        <w:ind w:firstLine="420" w:firstLineChars="200"/>
        <w:rPr>
          <w:rFonts w:hint="eastAsia" w:ascii="宋体" w:hAnsi="宋体" w:cs="宋体"/>
          <w:highlight w:val="none"/>
        </w:rPr>
      </w:pPr>
      <w:r>
        <w:rPr>
          <w:rFonts w:hint="eastAsia" w:ascii="宋体" w:hAnsi="宋体" w:cs="宋体"/>
          <w:highlight w:val="none"/>
        </w:rPr>
        <w:t>（5）必要的法律依据；</w:t>
      </w:r>
    </w:p>
    <w:p>
      <w:pPr>
        <w:spacing w:line="360" w:lineRule="auto"/>
        <w:ind w:firstLine="420" w:firstLineChars="200"/>
        <w:rPr>
          <w:rFonts w:hint="eastAsia" w:ascii="宋体" w:hAnsi="宋体" w:cs="宋体"/>
          <w:highlight w:val="none"/>
        </w:rPr>
      </w:pPr>
      <w:r>
        <w:rPr>
          <w:rFonts w:hint="eastAsia" w:ascii="宋体" w:hAnsi="宋体" w:cs="宋体"/>
          <w:highlight w:val="none"/>
        </w:rPr>
        <w:t>（6）提出质疑的日期。</w:t>
      </w:r>
    </w:p>
    <w:p>
      <w:pPr>
        <w:spacing w:line="360" w:lineRule="auto"/>
        <w:ind w:firstLine="420" w:firstLineChars="200"/>
        <w:rPr>
          <w:rFonts w:hint="eastAsia"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highlight w:val="none"/>
        </w:rPr>
      </w:pPr>
      <w:r>
        <w:rPr>
          <w:rFonts w:hint="eastAsia" w:ascii="宋体" w:hAnsi="宋体" w:cs="宋体"/>
          <w:highlight w:val="none"/>
        </w:rPr>
        <w:t>30.5采购人、采购代理机构认为供应商质疑不成立，或者成立但未对成交结果构成影响的，继续开展采购活动；认为供应商质疑成立且影响或者可能影响成交结果的，按照下列情况处理：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pPr>
        <w:spacing w:line="360" w:lineRule="auto"/>
        <w:ind w:firstLine="422" w:firstLineChars="200"/>
        <w:rPr>
          <w:rFonts w:hint="eastAsia" w:ascii="宋体" w:hAnsi="宋体" w:cs="宋体"/>
          <w:highlight w:val="none"/>
        </w:rPr>
      </w:pPr>
      <w:r>
        <w:rPr>
          <w:rFonts w:hint="eastAsia" w:ascii="宋体" w:hAnsi="宋体" w:cs="宋体"/>
          <w:b/>
          <w:bCs/>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highlight w:val="none"/>
        </w:rPr>
        <w:t>。</w:t>
      </w:r>
      <w:bookmarkStart w:id="95" w:name="_Toc80205930"/>
    </w:p>
    <w:p>
      <w:pPr>
        <w:pStyle w:val="4"/>
        <w:spacing w:before="0" w:after="0" w:line="360" w:lineRule="auto"/>
        <w:ind w:firstLine="315" w:firstLineChars="98"/>
        <w:rPr>
          <w:b w:val="0"/>
          <w:highlight w:val="none"/>
        </w:rPr>
      </w:pPr>
      <w:bookmarkStart w:id="96" w:name="_Toc26989"/>
      <w:bookmarkStart w:id="97" w:name="_Toc9275"/>
      <w:bookmarkStart w:id="98" w:name="_Toc80886935"/>
      <w:r>
        <w:rPr>
          <w:rFonts w:hint="eastAsia"/>
          <w:highlight w:val="none"/>
        </w:rPr>
        <w:t>六</w:t>
      </w:r>
      <w:r>
        <w:rPr>
          <w:rFonts w:hint="eastAsia"/>
          <w:b w:val="0"/>
          <w:highlight w:val="none"/>
        </w:rPr>
        <w:t>、验收</w:t>
      </w:r>
      <w:bookmarkEnd w:id="95"/>
      <w:bookmarkEnd w:id="96"/>
      <w:bookmarkEnd w:id="97"/>
      <w:bookmarkEnd w:id="98"/>
    </w:p>
    <w:p>
      <w:pPr>
        <w:tabs>
          <w:tab w:val="left" w:pos="0"/>
        </w:tabs>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31.验收</w:t>
      </w:r>
    </w:p>
    <w:p>
      <w:pPr>
        <w:tabs>
          <w:tab w:val="left" w:pos="0"/>
        </w:tabs>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spacing w:before="0" w:after="0" w:line="360" w:lineRule="auto"/>
        <w:ind w:firstLine="320" w:firstLineChars="100"/>
        <w:rPr>
          <w:rFonts w:hint="eastAsia"/>
          <w:b w:val="0"/>
          <w:bCs w:val="0"/>
          <w:highlight w:val="none"/>
        </w:rPr>
      </w:pPr>
      <w:bookmarkStart w:id="99" w:name="_Toc10913"/>
      <w:bookmarkStart w:id="100" w:name="_Toc80886936"/>
      <w:bookmarkStart w:id="101" w:name="_Toc1170"/>
      <w:r>
        <w:rPr>
          <w:rFonts w:hint="eastAsia"/>
          <w:b w:val="0"/>
          <w:bCs w:val="0"/>
          <w:highlight w:val="none"/>
        </w:rPr>
        <w:t>七、其他事项</w:t>
      </w:r>
      <w:bookmarkEnd w:id="99"/>
      <w:bookmarkEnd w:id="100"/>
      <w:bookmarkEnd w:id="101"/>
    </w:p>
    <w:p>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3</w:t>
      </w:r>
      <w:r>
        <w:rPr>
          <w:rFonts w:hint="eastAsia" w:ascii="黑体" w:hAnsi="黑体" w:eastAsia="黑体" w:cs="宋体"/>
          <w:b/>
          <w:bCs/>
          <w:sz w:val="24"/>
          <w:highlight w:val="none"/>
        </w:rPr>
        <w:t>2.采购代理服务费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32.1 采购代理服务费收费标准及缴费账户详见“供应商须知前附表”，供应商为联合体的，可以由联合体中的一方或者多方共同缴纳采购代理服务费。</w:t>
      </w:r>
    </w:p>
    <w:p>
      <w:pPr>
        <w:pStyle w:val="13"/>
        <w:ind w:firstLine="420" w:firstLineChars="200"/>
        <w:rPr>
          <w:rFonts w:hint="eastAsia" w:ascii="宋体" w:hAnsi="宋体" w:cs="宋体"/>
          <w:color w:val="000000"/>
          <w:szCs w:val="21"/>
          <w:highlight w:val="none"/>
        </w:rPr>
      </w:pPr>
      <w:r>
        <w:rPr>
          <w:rFonts w:hint="eastAsia" w:ascii="宋体" w:hAnsi="宋体" w:cs="宋体"/>
          <w:szCs w:val="21"/>
          <w:highlight w:val="none"/>
        </w:rPr>
        <w:t>32.2</w:t>
      </w:r>
      <w:r>
        <w:rPr>
          <w:rFonts w:hint="eastAsia" w:ascii="宋体" w:hAnsi="宋体" w:cs="宋体"/>
          <w:color w:val="000000"/>
          <w:szCs w:val="21"/>
          <w:highlight w:val="none"/>
        </w:rPr>
        <w:t>采购代理服务费收费计算标准：</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jc w:val="center"/>
              <w:rPr>
                <w:rFonts w:hint="eastAsia" w:ascii="宋体" w:hAnsi="宋体" w:cs="宋体"/>
                <w:szCs w:val="21"/>
                <w:highlight w:val="none"/>
              </w:rPr>
            </w:pPr>
            <w:r>
              <w:rPr>
                <w:rFonts w:hint="eastAsia" w:ascii="宋体" w:hAnsi="宋体" w:cs="宋体"/>
                <w:szCs w:val="21"/>
                <w:highlight w:val="none"/>
              </w:rPr>
              <w:t>金额</w:t>
            </w:r>
          </w:p>
        </w:tc>
        <w:tc>
          <w:tcPr>
            <w:tcW w:w="1659" w:type="dxa"/>
            <w:noWrap w:val="0"/>
            <w:vAlign w:val="top"/>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100万元以下</w:t>
            </w:r>
          </w:p>
        </w:tc>
        <w:tc>
          <w:tcPr>
            <w:tcW w:w="1659" w:type="dxa"/>
            <w:noWrap w:val="0"/>
            <w:vAlign w:val="top"/>
          </w:tcPr>
          <w:p>
            <w:pPr>
              <w:spacing w:line="400" w:lineRule="exact"/>
              <w:rPr>
                <w:rFonts w:hint="eastAsia" w:ascii="宋体" w:hAnsi="宋体" w:cs="宋体"/>
                <w:szCs w:val="21"/>
                <w:highlight w:val="none"/>
              </w:rPr>
            </w:pPr>
            <w:r>
              <w:rPr>
                <w:rFonts w:hint="eastAsia" w:ascii="宋体" w:hAnsi="宋体" w:cs="宋体"/>
                <w:kern w:val="0"/>
                <w:szCs w:val="21"/>
                <w:highlight w:val="none"/>
              </w:rPr>
              <w:t xml:space="preserve">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100～500万元</w:t>
            </w:r>
          </w:p>
        </w:tc>
        <w:tc>
          <w:tcPr>
            <w:tcW w:w="1659" w:type="dxa"/>
            <w:noWrap w:val="0"/>
            <w:vAlign w:val="top"/>
          </w:tcPr>
          <w:p>
            <w:pPr>
              <w:spacing w:line="4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500～1000万元</w:t>
            </w:r>
          </w:p>
        </w:tc>
        <w:tc>
          <w:tcPr>
            <w:tcW w:w="1659" w:type="dxa"/>
            <w:noWrap w:val="0"/>
            <w:vAlign w:val="top"/>
          </w:tcPr>
          <w:p>
            <w:pPr>
              <w:spacing w:line="400" w:lineRule="exact"/>
              <w:rPr>
                <w:rFonts w:hint="eastAsia" w:ascii="宋体" w:hAnsi="宋体" w:cs="宋体"/>
                <w:szCs w:val="21"/>
                <w:highlight w:val="none"/>
              </w:rPr>
            </w:pPr>
            <w:r>
              <w:rPr>
                <w:rFonts w:hint="eastAsia" w:ascii="宋体" w:hAnsi="宋体" w:cs="宋体"/>
                <w:kern w:val="0"/>
                <w:szCs w:val="21"/>
                <w:highlight w:val="none"/>
              </w:rPr>
              <w:t xml:space="preserve">  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1000～5000万元</w:t>
            </w:r>
          </w:p>
        </w:tc>
        <w:tc>
          <w:tcPr>
            <w:tcW w:w="1659" w:type="dxa"/>
            <w:noWrap w:val="0"/>
            <w:vAlign w:val="top"/>
          </w:tcPr>
          <w:p>
            <w:pPr>
              <w:spacing w:line="4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5000万元～1亿元</w:t>
            </w:r>
          </w:p>
        </w:tc>
        <w:tc>
          <w:tcPr>
            <w:tcW w:w="1659" w:type="dxa"/>
            <w:noWrap w:val="0"/>
            <w:vAlign w:val="top"/>
          </w:tcPr>
          <w:p>
            <w:pPr>
              <w:spacing w:line="400" w:lineRule="exact"/>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1～5亿元</w:t>
            </w:r>
          </w:p>
        </w:tc>
        <w:tc>
          <w:tcPr>
            <w:tcW w:w="1659" w:type="dxa"/>
            <w:noWrap w:val="0"/>
            <w:vAlign w:val="top"/>
          </w:tcPr>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5～10亿元</w:t>
            </w:r>
          </w:p>
        </w:tc>
        <w:tc>
          <w:tcPr>
            <w:tcW w:w="1659" w:type="dxa"/>
            <w:noWrap w:val="0"/>
            <w:vAlign w:val="top"/>
          </w:tcPr>
          <w:p>
            <w:pPr>
              <w:spacing w:line="400" w:lineRule="exact"/>
              <w:ind w:firstLine="105" w:firstLineChars="50"/>
              <w:rPr>
                <w:rFonts w:hint="eastAsia" w:ascii="宋体" w:hAnsi="宋体" w:cs="宋体"/>
                <w:szCs w:val="21"/>
                <w:highlight w:val="none"/>
              </w:rPr>
            </w:pPr>
            <w:r>
              <w:rPr>
                <w:rFonts w:hint="eastAsia" w:ascii="宋体" w:hAnsi="宋体" w:cs="宋体"/>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10～50亿元</w:t>
            </w:r>
          </w:p>
        </w:tc>
        <w:tc>
          <w:tcPr>
            <w:tcW w:w="1659" w:type="dxa"/>
            <w:noWrap w:val="0"/>
            <w:vAlign w:val="top"/>
          </w:tcPr>
          <w:p>
            <w:pPr>
              <w:spacing w:line="400" w:lineRule="exact"/>
              <w:ind w:firstLine="105" w:firstLineChars="50"/>
              <w:rPr>
                <w:rFonts w:hint="eastAsia" w:ascii="宋体" w:hAnsi="宋体" w:cs="宋体"/>
                <w:szCs w:val="21"/>
                <w:highlight w:val="none"/>
              </w:rPr>
            </w:pPr>
            <w:r>
              <w:rPr>
                <w:rFonts w:hint="eastAsia" w:ascii="宋体" w:hAnsi="宋体" w:cs="宋体"/>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50～100亿元</w:t>
            </w:r>
          </w:p>
        </w:tc>
        <w:tc>
          <w:tcPr>
            <w:tcW w:w="1659"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 xml:space="preserve"> 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100亿以上</w:t>
            </w:r>
          </w:p>
        </w:tc>
        <w:tc>
          <w:tcPr>
            <w:tcW w:w="1659" w:type="dxa"/>
            <w:noWrap w:val="0"/>
            <w:vAlign w:val="top"/>
          </w:tcPr>
          <w:p>
            <w:pPr>
              <w:spacing w:line="400" w:lineRule="exact"/>
              <w:rPr>
                <w:rFonts w:hint="eastAsia" w:ascii="宋体" w:hAnsi="宋体" w:cs="宋体"/>
                <w:szCs w:val="21"/>
                <w:highlight w:val="none"/>
              </w:rPr>
            </w:pPr>
            <w:r>
              <w:rPr>
                <w:rFonts w:hint="eastAsia" w:ascii="宋体" w:hAnsi="宋体" w:cs="宋体"/>
                <w:szCs w:val="21"/>
                <w:highlight w:val="none"/>
              </w:rPr>
              <w:t xml:space="preserve"> 0.004%</w:t>
            </w:r>
          </w:p>
        </w:tc>
      </w:tr>
    </w:tbl>
    <w:p>
      <w:pPr>
        <w:rPr>
          <w:rFonts w:hint="eastAsia" w:ascii="宋体" w:hAnsi="宋体" w:cs="宋体"/>
          <w:color w:val="000000"/>
          <w:szCs w:val="21"/>
          <w:highlight w:val="none"/>
        </w:rPr>
      </w:pPr>
    </w:p>
    <w:p>
      <w:pPr>
        <w:pStyle w:val="7"/>
        <w:rPr>
          <w:rFonts w:hint="eastAsia"/>
          <w:highlight w:val="none"/>
        </w:rPr>
      </w:pP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注：</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（1）按本表费率计算的收费为采购代理的收费基准价格；</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（2）采购代理收费按差额定率累进法计算。</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例如：某服务采购代理业务成交金额或者暂定价为150万元，计算采购代理收费额如下：</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100 万元 ×l.5 ％＝ 1.5 万元</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150 － 100 ）万元 ×1.1％＝ 0.55万元</w:t>
      </w:r>
    </w:p>
    <w:p>
      <w:pPr>
        <w:ind w:firstLine="420" w:firstLineChars="200"/>
        <w:rPr>
          <w:rFonts w:hint="eastAsia" w:ascii="宋体" w:hAnsi="宋体" w:cs="宋体"/>
          <w:highlight w:val="none"/>
        </w:rPr>
      </w:pPr>
      <w:r>
        <w:rPr>
          <w:rFonts w:hint="eastAsia" w:ascii="宋体" w:hAnsi="宋体" w:cs="宋体"/>
          <w:color w:val="000000"/>
          <w:highlight w:val="none"/>
        </w:rPr>
        <w:t>合计收费＝ 1.5 ＋ 0.55＝2.05万元</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33</w:t>
      </w:r>
      <w:r>
        <w:rPr>
          <w:rFonts w:ascii="黑体" w:hAnsi="黑体" w:eastAsia="黑体" w:cs="宋体"/>
          <w:b/>
          <w:bCs/>
          <w:sz w:val="24"/>
          <w:highlight w:val="none"/>
        </w:rPr>
        <w:t>.需要补充的其他内容</w:t>
      </w:r>
    </w:p>
    <w:p>
      <w:pPr>
        <w:spacing w:line="360" w:lineRule="auto"/>
        <w:ind w:firstLine="420" w:firstLineChars="200"/>
        <w:textAlignment w:val="center"/>
        <w:rPr>
          <w:rFonts w:hint="eastAsia" w:ascii="宋体" w:hAnsi="宋体" w:cs="宋体"/>
          <w:szCs w:val="21"/>
          <w:highlight w:val="none"/>
        </w:rPr>
      </w:pPr>
      <w:r>
        <w:rPr>
          <w:rFonts w:hint="eastAsia" w:ascii="宋体" w:hAnsi="宋体" w:cs="宋体"/>
          <w:szCs w:val="21"/>
          <w:highlight w:val="none"/>
        </w:rPr>
        <w:t>33.1本磋商文件解释规则详见“供应商须知前附表”。</w:t>
      </w:r>
    </w:p>
    <w:p>
      <w:pPr>
        <w:spacing w:line="360" w:lineRule="auto"/>
        <w:ind w:firstLine="420" w:firstLineChars="200"/>
        <w:textAlignment w:val="center"/>
        <w:rPr>
          <w:rFonts w:hint="eastAsia" w:ascii="宋体" w:hAnsi="宋体" w:cs="宋体"/>
          <w:szCs w:val="21"/>
          <w:highlight w:val="none"/>
        </w:rPr>
      </w:pPr>
      <w:r>
        <w:rPr>
          <w:rFonts w:hint="eastAsia" w:ascii="宋体" w:hAnsi="宋体" w:cs="宋体"/>
          <w:szCs w:val="21"/>
          <w:highlight w:val="none"/>
        </w:rPr>
        <w:t>33.2 其他事项详见“供应商须知前附表”。</w:t>
      </w:r>
    </w:p>
    <w:p>
      <w:pPr>
        <w:spacing w:line="360" w:lineRule="auto"/>
        <w:ind w:firstLine="420" w:firstLineChars="200"/>
        <w:textAlignment w:val="center"/>
        <w:rPr>
          <w:rFonts w:hint="eastAsia" w:ascii="宋体" w:hAnsi="宋体" w:cs="宋体"/>
          <w:szCs w:val="21"/>
          <w:highlight w:val="none"/>
        </w:rPr>
      </w:pPr>
      <w:r>
        <w:rPr>
          <w:rFonts w:hint="eastAsia" w:ascii="宋体" w:hAnsi="宋体" w:cs="宋体"/>
          <w:szCs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szCs w:val="21"/>
          <w:highlight w:val="none"/>
        </w:rPr>
        <w:t>，享受本文件规定的中小企业扶持政策。</w:t>
      </w:r>
    </w:p>
    <w:p>
      <w:pPr>
        <w:spacing w:line="360" w:lineRule="auto"/>
        <w:ind w:firstLine="420" w:firstLineChars="200"/>
        <w:textAlignment w:val="center"/>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cs="宋体"/>
          <w:szCs w:val="21"/>
          <w:highlight w:val="none"/>
        </w:rPr>
      </w:pPr>
      <w:r>
        <w:rPr>
          <w:rFonts w:hint="eastAsia" w:ascii="宋体" w:hAnsi="宋体" w:cs="宋体"/>
          <w:szCs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 广西线上“政采贷”政策告知函</w:t>
      </w:r>
    </w:p>
    <w:p>
      <w:pPr>
        <w:spacing w:line="580" w:lineRule="exact"/>
        <w:jc w:val="center"/>
        <w:rPr>
          <w:rFonts w:hint="eastAsia" w:ascii="宋体" w:hAnsi="宋体" w:cs="宋体"/>
          <w:sz w:val="32"/>
          <w:szCs w:val="32"/>
          <w:highlight w:val="none"/>
        </w:rPr>
      </w:pPr>
    </w:p>
    <w:p>
      <w:pPr>
        <w:spacing w:line="580" w:lineRule="exact"/>
        <w:jc w:val="center"/>
        <w:rPr>
          <w:rFonts w:hint="eastAsia" w:ascii="宋体" w:hAnsi="宋体" w:cs="宋体"/>
          <w:sz w:val="32"/>
          <w:szCs w:val="32"/>
          <w:highlight w:val="none"/>
        </w:rPr>
      </w:pPr>
      <w:r>
        <w:rPr>
          <w:rFonts w:hint="eastAsia" w:ascii="宋体" w:hAnsi="宋体" w:cs="宋体"/>
          <w:sz w:val="32"/>
          <w:szCs w:val="32"/>
          <w:highlight w:val="none"/>
        </w:rPr>
        <w:t>广西线上“政采贷”政策告知函</w:t>
      </w:r>
    </w:p>
    <w:p>
      <w:pPr>
        <w:spacing w:line="580" w:lineRule="exact"/>
        <w:ind w:firstLine="420" w:firstLineChars="200"/>
        <w:rPr>
          <w:rFonts w:hint="eastAsia" w:ascii="宋体" w:hAnsi="宋体" w:cs="宋体"/>
          <w:szCs w:val="32"/>
          <w:highlight w:val="none"/>
        </w:rPr>
      </w:pPr>
    </w:p>
    <w:p>
      <w:pPr>
        <w:spacing w:line="580" w:lineRule="exact"/>
        <w:rPr>
          <w:rFonts w:hint="eastAsia" w:ascii="宋体" w:hAnsi="宋体" w:cs="宋体"/>
          <w:szCs w:val="21"/>
          <w:highlight w:val="none"/>
        </w:rPr>
      </w:pPr>
      <w:r>
        <w:rPr>
          <w:rFonts w:hint="eastAsia" w:ascii="宋体" w:hAnsi="宋体" w:cs="宋体"/>
          <w:szCs w:val="21"/>
          <w:highlight w:val="none"/>
        </w:rPr>
        <w:t>各供应商：</w:t>
      </w:r>
    </w:p>
    <w:p>
      <w:pPr>
        <w:spacing w:line="580" w:lineRule="exact"/>
        <w:ind w:firstLine="420" w:firstLineChars="200"/>
        <w:rPr>
          <w:rFonts w:hint="eastAsia" w:ascii="宋体" w:hAnsi="宋体" w:cs="宋体"/>
          <w:szCs w:val="21"/>
          <w:highlight w:val="none"/>
        </w:rPr>
      </w:pPr>
      <w:r>
        <w:rPr>
          <w:rFonts w:hint="eastAsia" w:ascii="宋体" w:hAnsi="宋体" w:cs="宋体"/>
          <w:szCs w:val="21"/>
          <w:highlight w:val="none"/>
        </w:rPr>
        <w:t>欢迎贵公司参与广西政府采购活动！</w:t>
      </w:r>
    </w:p>
    <w:p>
      <w:pPr>
        <w:spacing w:line="580" w:lineRule="exact"/>
        <w:ind w:firstLine="420" w:firstLineChars="200"/>
        <w:rPr>
          <w:rFonts w:hint="eastAsia" w:ascii="宋体" w:hAnsi="宋体" w:cs="宋体"/>
          <w:szCs w:val="21"/>
          <w:highlight w:val="none"/>
        </w:rPr>
      </w:pPr>
      <w:r>
        <w:rPr>
          <w:rFonts w:hint="eastAsia" w:ascii="宋体" w:hAnsi="宋体" w:cs="宋体"/>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cs="宋体"/>
          <w:szCs w:val="21"/>
          <w:highlight w:val="none"/>
        </w:rPr>
      </w:pPr>
      <w:r>
        <w:rPr>
          <w:rFonts w:hint="eastAsia" w:ascii="宋体" w:hAnsi="宋体" w:cs="宋体"/>
          <w:szCs w:val="21"/>
          <w:highlight w:val="none"/>
        </w:rPr>
        <w:t>相关金融产品和银行业金融机构联系方式，可在中征应收账款融资服务平台查询（网址：</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"https://www.crcrfsp.com/" </w:instrText>
      </w:r>
      <w:r>
        <w:rPr>
          <w:rFonts w:hint="eastAsia" w:ascii="宋体" w:hAnsi="宋体" w:cs="宋体"/>
          <w:szCs w:val="21"/>
          <w:highlight w:val="none"/>
        </w:rPr>
        <w:fldChar w:fldCharType="separate"/>
      </w:r>
      <w:r>
        <w:rPr>
          <w:rStyle w:val="34"/>
          <w:rFonts w:hint="eastAsia" w:ascii="宋体" w:hAnsi="宋体" w:cs="宋体"/>
          <w:color w:val="auto"/>
          <w:szCs w:val="21"/>
          <w:highlight w:val="none"/>
        </w:rPr>
        <w:t>https://www.crcrfsp.com/</w:t>
      </w:r>
      <w:r>
        <w:rPr>
          <w:rFonts w:hint="eastAsia" w:ascii="宋体" w:hAnsi="宋体" w:cs="宋体"/>
          <w:szCs w:val="21"/>
          <w:highlight w:val="none"/>
        </w:rPr>
        <w:fldChar w:fldCharType="end"/>
      </w:r>
      <w:r>
        <w:rPr>
          <w:rFonts w:hint="eastAsia" w:ascii="宋体" w:hAnsi="宋体" w:cs="宋体"/>
          <w:szCs w:val="21"/>
          <w:highlight w:val="none"/>
        </w:rPr>
        <w:t>，客服电话：400-009-0001）。</w:t>
      </w:r>
    </w:p>
    <w:p>
      <w:pPr>
        <w:pStyle w:val="20"/>
        <w:rPr>
          <w:rFonts w:hint="eastAsia" w:ascii="宋体" w:hAnsi="宋体" w:cs="宋体"/>
          <w:szCs w:val="21"/>
          <w:highlight w:val="none"/>
        </w:rPr>
      </w:pPr>
      <w:r>
        <w:rPr>
          <w:rFonts w:hint="eastAsia" w:ascii="宋体" w:hAnsi="宋体" w:cs="宋体"/>
          <w:szCs w:val="21"/>
          <w:highlight w:val="none"/>
        </w:rPr>
        <w:br w:type="page"/>
      </w:r>
    </w:p>
    <w:p>
      <w:pPr>
        <w:spacing w:line="360" w:lineRule="auto"/>
        <w:ind w:firstLine="400" w:firstLineChars="200"/>
        <w:textAlignment w:val="center"/>
        <w:rPr>
          <w:rFonts w:hAnsi="Courier New"/>
          <w:kern w:val="0"/>
          <w:sz w:val="20"/>
          <w:szCs w:val="21"/>
          <w:highlight w:val="none"/>
        </w:rPr>
      </w:pPr>
    </w:p>
    <w:p>
      <w:pPr>
        <w:pStyle w:val="2"/>
        <w:jc w:val="center"/>
        <w:rPr>
          <w:rFonts w:hint="eastAsia" w:ascii="Calibri" w:hAnsi="Calibri"/>
          <w:highlight w:val="none"/>
        </w:rPr>
      </w:pPr>
      <w:bookmarkStart w:id="102" w:name="_Toc3976"/>
      <w:bookmarkStart w:id="103" w:name="_Toc8412"/>
      <w:bookmarkStart w:id="104" w:name="_Toc8593"/>
      <w:bookmarkStart w:id="105" w:name="_Toc1088"/>
      <w:bookmarkStart w:id="106" w:name="_Toc28979"/>
      <w:bookmarkStart w:id="107" w:name="_Toc3879"/>
      <w:bookmarkStart w:id="108" w:name="_Toc17511"/>
      <w:bookmarkStart w:id="109" w:name="_Toc80886937"/>
      <w:r>
        <w:rPr>
          <w:rFonts w:hint="eastAsia" w:ascii="Calibri" w:hAnsi="Calibri"/>
          <w:highlight w:val="none"/>
        </w:rPr>
        <w:t>第四章  评审程序、评审方法和评审标准</w:t>
      </w:r>
      <w:bookmarkEnd w:id="102"/>
      <w:bookmarkEnd w:id="103"/>
      <w:bookmarkEnd w:id="104"/>
      <w:bookmarkEnd w:id="105"/>
      <w:bookmarkEnd w:id="106"/>
      <w:bookmarkEnd w:id="107"/>
      <w:bookmarkEnd w:id="108"/>
      <w:bookmarkEnd w:id="109"/>
    </w:p>
    <w:p>
      <w:pPr>
        <w:pStyle w:val="3"/>
        <w:jc w:val="center"/>
        <w:rPr>
          <w:rFonts w:hint="eastAsia" w:ascii="宋体" w:hAnsi="宋体"/>
          <w:b w:val="0"/>
          <w:highlight w:val="none"/>
        </w:rPr>
      </w:pPr>
      <w:bookmarkStart w:id="110" w:name="_Toc11607"/>
      <w:bookmarkStart w:id="111" w:name="_Toc17424"/>
      <w:bookmarkStart w:id="112" w:name="_Toc80886938"/>
      <w:r>
        <w:rPr>
          <w:rFonts w:hint="eastAsia" w:ascii="宋体" w:hAnsi="宋体"/>
          <w:b w:val="0"/>
          <w:highlight w:val="none"/>
        </w:rPr>
        <w:t>第一节 评审程序和评审方法</w:t>
      </w:r>
      <w:bookmarkEnd w:id="110"/>
      <w:bookmarkEnd w:id="111"/>
      <w:bookmarkEnd w:id="112"/>
    </w:p>
    <w:p>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1</w:t>
      </w:r>
      <w:r>
        <w:rPr>
          <w:rFonts w:hint="eastAsia" w:ascii="黑体" w:hAnsi="黑体" w:eastAsia="黑体" w:cs="宋体"/>
          <w:b/>
          <w:bCs/>
          <w:sz w:val="24"/>
          <w:highlight w:val="none"/>
        </w:rPr>
        <w:t>.确认磋商文件</w:t>
      </w:r>
    </w:p>
    <w:p>
      <w:pPr>
        <w:spacing w:line="360" w:lineRule="auto"/>
        <w:ind w:firstLine="420" w:firstLineChars="200"/>
        <w:rPr>
          <w:rFonts w:hint="eastAsia" w:cs="宋体"/>
          <w:szCs w:val="21"/>
          <w:highlight w:val="none"/>
        </w:rPr>
      </w:pPr>
      <w:r>
        <w:rPr>
          <w:rFonts w:hint="eastAsia" w:cs="宋体"/>
          <w:szCs w:val="21"/>
          <w:highlight w:val="none"/>
        </w:rPr>
        <w:t>由磋商小组确认磋商文件。</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2.资格审查</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2.1响应文件开启后，磋商小组依法对供应商的资格证明文件进行审查。</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（1）查询渠道：广西政府采购云平台“信用中国”网站(</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"http://www.creditchina.gov.cn" </w:instrText>
      </w:r>
      <w:r>
        <w:rPr>
          <w:rFonts w:hint="eastAsia" w:ascii="宋体" w:hAnsi="宋体" w:cs="宋体"/>
          <w:szCs w:val="21"/>
          <w:highlight w:val="none"/>
        </w:rPr>
        <w:fldChar w:fldCharType="separate"/>
      </w:r>
      <w:r>
        <w:rPr>
          <w:rStyle w:val="36"/>
          <w:rFonts w:hint="eastAsia" w:ascii="宋体" w:hAnsi="宋体" w:cs="宋体"/>
          <w:color w:val="auto"/>
          <w:highlight w:val="none"/>
        </w:rPr>
        <w:t>www.creditchina.gov.cn</w:t>
      </w:r>
      <w:r>
        <w:rPr>
          <w:rFonts w:hint="eastAsia" w:ascii="宋体" w:hAnsi="宋体" w:cs="宋体"/>
          <w:szCs w:val="21"/>
          <w:highlight w:val="none"/>
        </w:rPr>
        <w:fldChar w:fldCharType="end"/>
      </w:r>
      <w:r>
        <w:rPr>
          <w:rFonts w:hint="eastAsia" w:ascii="宋体" w:hAnsi="宋体" w:cs="宋体"/>
          <w:szCs w:val="21"/>
          <w:highlight w:val="none"/>
        </w:rPr>
        <w:t>)、中国政府采购网(</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"http://www.ccgp.gov.cn" </w:instrText>
      </w:r>
      <w:r>
        <w:rPr>
          <w:rFonts w:hint="eastAsia" w:ascii="宋体" w:hAnsi="宋体" w:cs="宋体"/>
          <w:szCs w:val="21"/>
          <w:highlight w:val="none"/>
        </w:rPr>
        <w:fldChar w:fldCharType="separate"/>
      </w:r>
      <w:r>
        <w:rPr>
          <w:rStyle w:val="36"/>
          <w:rFonts w:hint="eastAsia" w:ascii="宋体" w:hAnsi="宋体" w:cs="宋体"/>
          <w:color w:val="auto"/>
          <w:highlight w:val="none"/>
        </w:rPr>
        <w:t>www.ccgp.gov.cn</w:t>
      </w:r>
      <w:r>
        <w:rPr>
          <w:rFonts w:hint="eastAsia" w:ascii="宋体" w:hAnsi="宋体" w:cs="宋体"/>
          <w:szCs w:val="21"/>
          <w:highlight w:val="none"/>
        </w:rPr>
        <w:fldChar w:fldCharType="end"/>
      </w:r>
      <w:r>
        <w:rPr>
          <w:rFonts w:hint="eastAsia" w:ascii="宋体" w:hAnsi="宋体" w:cs="宋体"/>
          <w:szCs w:val="21"/>
          <w:highlight w:val="none"/>
        </w:rPr>
        <w:t>)链接入口。</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（2）信用查询截止时点：资格审查结束前。</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（1）不具备磋商文件中规定的资格要求的；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szCs w:val="21"/>
          <w:highlight w:val="none"/>
        </w:rPr>
      </w:pPr>
      <w:bookmarkStart w:id="113" w:name="_Hlk68601553"/>
      <w:r>
        <w:rPr>
          <w:rFonts w:hint="eastAsia" w:ascii="宋体" w:hAnsi="宋体" w:cs="宋体"/>
          <w:szCs w:val="21"/>
          <w:highlight w:val="none"/>
        </w:rPr>
        <w:t>（4）同一合同项下的不同供应商，单位负责人为同一人或者存在直接控股、管理关系的；为本项目提供过整体设计、规范编制或者项目管理、监理、检测等服务的。</w:t>
      </w:r>
      <w:bookmarkEnd w:id="113"/>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3.符合性审查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spacing w:val="-6"/>
          <w:szCs w:val="21"/>
          <w:highlight w:val="none"/>
        </w:rPr>
      </w:pPr>
      <w:r>
        <w:rPr>
          <w:rFonts w:hint="eastAsia" w:ascii="宋体" w:hAnsi="宋体" w:cs="宋体"/>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spacing w:val="-6"/>
          <w:szCs w:val="21"/>
          <w:highlight w:val="none"/>
        </w:rPr>
        <w:t>。供应商为自然人的，必须由本人签字并附身份证明。</w:t>
      </w:r>
    </w:p>
    <w:p>
      <w:pPr>
        <w:spacing w:line="360" w:lineRule="auto"/>
        <w:ind w:firstLine="396" w:firstLineChars="200"/>
        <w:rPr>
          <w:rFonts w:hint="eastAsia" w:ascii="宋体" w:hAnsi="宋体" w:cs="宋体"/>
          <w:szCs w:val="21"/>
          <w:highlight w:val="none"/>
        </w:rPr>
      </w:pPr>
      <w:r>
        <w:rPr>
          <w:rFonts w:hint="eastAsia"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（2）大写金额和小写金额不一致的，以大写金额为准；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3.5商务技术、报价评审</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在评审时，如发现下列情形之一的，将被视为响应文件无效处理：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（1）商务技术评审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1）响应文件未按磋商文件要求签署、盖章；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6）响应文件的实质性内容未使用中文表述、使用计量单位不符合磋商文件要求；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8）响应文件含有采购人不能接受的附加条件；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9）属于“供应商须知正文”第7.5条情形；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10）技术需求允许负偏离的条款数超过“供应商须知前附表”规定项数；</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11）虚假竞标，或者出现其他情形而导致被磋商小组认定无效；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12）竞标技术方案不明确，磋商文件未允许但响应文件中存在一个或者一个以上备选（替代）竞标方案；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14）未响应磋商文件实质性要求；</w:t>
      </w:r>
    </w:p>
    <w:p>
      <w:pPr>
        <w:pStyle w:val="13"/>
        <w:ind w:firstLine="420" w:firstLineChars="200"/>
        <w:rPr>
          <w:rFonts w:hint="eastAsia" w:ascii="宋体" w:hAnsi="宋体" w:cs="宋体"/>
          <w:highlight w:val="none"/>
        </w:rPr>
      </w:pPr>
      <w:r>
        <w:rPr>
          <w:rFonts w:hint="eastAsia" w:ascii="宋体" w:hAnsi="宋体" w:cs="宋体"/>
          <w:szCs w:val="21"/>
          <w:highlight w:val="none"/>
        </w:rPr>
        <w:t>15）提交的磋商保证金无效的或者未按照磋商文件的规定提交磋商保证金；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16）法律、法规和磋商文件规定的其他无效情形。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（2）报价评审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 响应文件未提供“供应商须知前附表” 报价文件中规定的“响应报价表”；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2）未采用人民币报价或者未按照磋商文件标明的币种报价；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6）响应文件响应的标的数量及单位与竞争性磋商文件要求实质性不一致的。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宋体" w:hAnsi="宋体" w:cs="宋体"/>
          <w:b/>
          <w:bCs/>
          <w:sz w:val="24"/>
          <w:highlight w:val="none"/>
        </w:rPr>
      </w:pPr>
      <w:r>
        <w:rPr>
          <w:rFonts w:hint="eastAsia" w:ascii="宋体" w:hAnsi="宋体" w:cs="宋体"/>
          <w:b/>
          <w:bCs/>
          <w:sz w:val="24"/>
          <w:highlight w:val="none"/>
        </w:rPr>
        <w:t>4.磋商程序</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4.1磋商小组按照“供应商须知前附表”</w:t>
      </w:r>
      <w:r>
        <w:rPr>
          <w:rFonts w:hint="eastAsia" w:ascii="宋体" w:hAnsi="宋体" w:cs="宋体"/>
          <w:szCs w:val="21"/>
          <w:highlight w:val="none"/>
        </w:rPr>
        <w:t xml:space="preserve"> </w:t>
      </w:r>
      <w:r>
        <w:rPr>
          <w:rFonts w:hint="eastAsia" w:ascii="宋体" w:hAnsi="宋体" w:cs="宋体"/>
          <w:kern w:val="0"/>
          <w:szCs w:val="21"/>
          <w:highlight w:val="none"/>
        </w:rPr>
        <w:t>确定的</w:t>
      </w:r>
      <w:r>
        <w:rPr>
          <w:rFonts w:hint="eastAsia" w:ascii="宋体" w:hAnsi="宋体" w:cs="宋体"/>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4.5磋商中，</w:t>
      </w:r>
      <w:r>
        <w:rPr>
          <w:rFonts w:hint="eastAsia" w:ascii="宋体" w:hAnsi="宋体" w:cs="宋体"/>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cs="宋体"/>
          <w:b/>
          <w:highlight w:val="none"/>
        </w:rPr>
      </w:pPr>
      <w:r>
        <w:rPr>
          <w:rFonts w:hint="eastAsia" w:ascii="宋体" w:hAnsi="宋体" w:cs="宋体"/>
          <w:szCs w:val="21"/>
          <w:highlight w:val="none"/>
        </w:rPr>
        <w:t>4.6磋商小组应对磋商过程和重要磋商内容进行记录，作为评审报告一部分，磋商小组在记录上签字确认。</w:t>
      </w:r>
      <w:r>
        <w:rPr>
          <w:rFonts w:hint="eastAsia" w:ascii="宋体" w:hAnsi="宋体" w:cs="宋体"/>
          <w:b/>
          <w:highlight w:val="none"/>
        </w:rPr>
        <w:t>主要内容包括：</w:t>
      </w:r>
    </w:p>
    <w:p>
      <w:pPr>
        <w:pStyle w:val="71"/>
        <w:spacing w:before="0"/>
        <w:ind w:firstLine="396"/>
        <w:rPr>
          <w:rFonts w:hint="eastAsia" w:ascii="宋体" w:hAnsi="宋体" w:cs="宋体"/>
          <w:spacing w:val="-6"/>
          <w:kern w:val="2"/>
          <w:sz w:val="21"/>
          <w:szCs w:val="21"/>
          <w:highlight w:val="none"/>
        </w:rPr>
      </w:pPr>
      <w:r>
        <w:rPr>
          <w:rFonts w:hint="eastAsia" w:ascii="宋体" w:hAnsi="宋体" w:cs="宋体"/>
          <w:spacing w:val="-6"/>
          <w:kern w:val="2"/>
          <w:sz w:val="21"/>
          <w:szCs w:val="21"/>
          <w:highlight w:val="none"/>
        </w:rPr>
        <w:t>（1）按照相关规定进行公示的，公示情况说明；</w:t>
      </w:r>
    </w:p>
    <w:p>
      <w:pPr>
        <w:pStyle w:val="71"/>
        <w:spacing w:before="0"/>
        <w:ind w:firstLine="396"/>
        <w:rPr>
          <w:rFonts w:hint="eastAsia" w:ascii="宋体" w:hAnsi="宋体" w:cs="宋体"/>
          <w:spacing w:val="-6"/>
          <w:kern w:val="2"/>
          <w:sz w:val="21"/>
          <w:szCs w:val="21"/>
          <w:highlight w:val="none"/>
        </w:rPr>
      </w:pPr>
      <w:r>
        <w:rPr>
          <w:rFonts w:hint="eastAsia" w:ascii="宋体" w:hAnsi="宋体" w:cs="宋体"/>
          <w:spacing w:val="-6"/>
          <w:kern w:val="2"/>
          <w:sz w:val="21"/>
          <w:szCs w:val="21"/>
          <w:highlight w:val="none"/>
        </w:rPr>
        <w:t>（2）磋商日期和地点，磋商人员名单；</w:t>
      </w:r>
    </w:p>
    <w:p>
      <w:pPr>
        <w:pStyle w:val="71"/>
        <w:spacing w:before="0"/>
        <w:ind w:firstLine="396"/>
        <w:rPr>
          <w:rFonts w:hint="eastAsia" w:ascii="宋体" w:hAnsi="宋体" w:cs="宋体"/>
          <w:spacing w:val="-6"/>
          <w:kern w:val="2"/>
          <w:sz w:val="21"/>
          <w:szCs w:val="21"/>
          <w:highlight w:val="none"/>
        </w:rPr>
      </w:pPr>
      <w:r>
        <w:rPr>
          <w:rFonts w:hint="eastAsia" w:ascii="宋体" w:hAnsi="宋体" w:cs="宋体"/>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hint="eastAsia" w:ascii="宋体" w:hAnsi="宋体" w:cs="宋体"/>
          <w:szCs w:val="21"/>
          <w:highlight w:val="none"/>
        </w:rPr>
      </w:pPr>
      <w:r>
        <w:rPr>
          <w:rFonts w:hint="eastAsia" w:ascii="宋体" w:hAnsi="宋体" w:cs="宋体"/>
          <w:b/>
          <w:bCs/>
          <w:sz w:val="24"/>
          <w:highlight w:val="none"/>
        </w:rPr>
        <w:t>5. 最后报价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5.5供应商未在规定时间内提交最后报价的，视同退出磋商，其响应文件按无效处理。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5.6磋商小组收齐本项目/某一分标最后报价后统一开启，磋商小组对最后报价进行有效性、完整性和响应程度的审查。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5.8修正后的最后报价出现下列情形的，按无效响应处理：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（1）供应商不确认的（全流程电子化评标采取在线确认）；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5.9经供应商确认修正后的最后报价作为评审及签订合同的依据。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cs="宋体"/>
          <w:sz w:val="22"/>
          <w:szCs w:val="22"/>
          <w:highlight w:val="none"/>
        </w:rPr>
        <w:t>，磋商小组应当告知有关供应商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5.11最后报价结束后，磋商小组不得再与供应商进行任何形式的商谈。</w:t>
      </w:r>
    </w:p>
    <w:p>
      <w:pPr>
        <w:pStyle w:val="20"/>
        <w:spacing w:line="360" w:lineRule="auto"/>
        <w:ind w:firstLine="422" w:firstLineChars="200"/>
        <w:rPr>
          <w:rFonts w:hint="eastAsia"/>
          <w:highlight w:val="none"/>
        </w:rPr>
      </w:pPr>
      <w:r>
        <w:rPr>
          <w:rFonts w:hint="eastAsia" w:ascii="宋体" w:hAnsi="宋体" w:cs="宋体"/>
          <w:b/>
          <w:bCs/>
          <w:sz w:val="21"/>
          <w:szCs w:val="21"/>
          <w:highlight w:val="none"/>
        </w:rPr>
        <w:t>注：</w:t>
      </w:r>
      <w:r>
        <w:rPr>
          <w:rFonts w:hint="eastAsia"/>
          <w:b/>
          <w:bCs/>
          <w:sz w:val="21"/>
          <w:szCs w:val="21"/>
          <w:highlight w:val="none"/>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sz w:val="21"/>
          <w:szCs w:val="21"/>
          <w:highlight w:val="none"/>
          <w:lang w:val="zh-CN"/>
        </w:rPr>
        <w:t>。</w:t>
      </w:r>
    </w:p>
    <w:p>
      <w:pPr>
        <w:ind w:firstLine="200"/>
        <w:rPr>
          <w:rFonts w:ascii="黑体" w:hAnsi="黑体" w:eastAsia="黑体" w:cs="宋体"/>
          <w:b/>
          <w:bCs/>
          <w:sz w:val="24"/>
          <w:highlight w:val="none"/>
        </w:rPr>
      </w:pPr>
      <w:r>
        <w:rPr>
          <w:rFonts w:hint="eastAsia" w:ascii="黑体" w:hAnsi="黑体" w:eastAsia="黑体" w:cs="宋体"/>
          <w:b/>
          <w:bCs/>
          <w:sz w:val="24"/>
          <w:highlight w:val="none"/>
        </w:rPr>
        <w:t>6</w:t>
      </w:r>
      <w:r>
        <w:rPr>
          <w:rFonts w:ascii="黑体" w:hAnsi="黑体" w:eastAsia="黑体" w:cs="宋体"/>
          <w:b/>
          <w:bCs/>
          <w:sz w:val="24"/>
          <w:highlight w:val="none"/>
        </w:rPr>
        <w:t>.</w:t>
      </w:r>
      <w:r>
        <w:rPr>
          <w:rFonts w:hint="eastAsia" w:ascii="黑体" w:hAnsi="黑体" w:eastAsia="黑体" w:cs="宋体"/>
          <w:b/>
          <w:bCs/>
          <w:sz w:val="24"/>
          <w:highlight w:val="none"/>
        </w:rPr>
        <w:t>比较与评价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6.1评审方法：综合评分法。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6.3评审时，磋商小组各成员应当独立对每个有效响应的文件进行评价、打分，然后汇总每个供应商每项评分因素的得分。</w:t>
      </w:r>
    </w:p>
    <w:p>
      <w:pPr>
        <w:pStyle w:val="13"/>
        <w:ind w:firstLine="420" w:firstLineChars="200"/>
        <w:rPr>
          <w:rFonts w:hint="eastAsia" w:ascii="宋体" w:hAnsi="宋体" w:cs="宋体"/>
          <w:highlight w:val="none"/>
        </w:rPr>
      </w:pPr>
      <w:r>
        <w:rPr>
          <w:rFonts w:hint="eastAsia" w:ascii="宋体" w:hAnsi="宋体" w:cs="宋体"/>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highlight w:val="none"/>
        </w:rPr>
      </w:pPr>
      <w:r>
        <w:rPr>
          <w:rFonts w:hint="eastAsia" w:ascii="宋体" w:hAnsi="宋体" w:cs="宋体"/>
          <w:szCs w:val="21"/>
          <w:highlight w:val="none"/>
        </w:rPr>
        <w:t>（3）各供应商的得分为磋商小组所有成员的有效评分的算术平均数。</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6.4评审</w:t>
      </w:r>
      <w:r>
        <w:rPr>
          <w:rFonts w:hint="eastAsia" w:ascii="宋体" w:hAnsi="宋体" w:cs="宋体"/>
          <w:highlight w:val="none"/>
        </w:rPr>
        <w:t>报价</w:t>
      </w:r>
      <w:r>
        <w:rPr>
          <w:rFonts w:hint="eastAsia" w:ascii="宋体" w:hAnsi="宋体" w:cs="宋体"/>
          <w:szCs w:val="21"/>
          <w:highlight w:val="none"/>
        </w:rPr>
        <w:t>为供应商的最后报价进行政策性扣除后的价格，评审</w:t>
      </w:r>
      <w:r>
        <w:rPr>
          <w:rFonts w:hint="eastAsia" w:ascii="宋体" w:hAnsi="宋体" w:cs="宋体"/>
          <w:highlight w:val="none"/>
        </w:rPr>
        <w:t>报价</w:t>
      </w:r>
      <w:r>
        <w:rPr>
          <w:rFonts w:hint="eastAsia" w:ascii="宋体" w:hAnsi="宋体" w:cs="宋体"/>
          <w:szCs w:val="21"/>
          <w:highlight w:val="none"/>
        </w:rPr>
        <w:t>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kern w:val="0"/>
          <w:szCs w:val="21"/>
          <w:highlight w:val="none"/>
        </w:rPr>
      </w:pPr>
      <w:r>
        <w:rPr>
          <w:rFonts w:hint="eastAsia" w:ascii="宋体" w:hAnsi="宋体" w:cs="宋体"/>
          <w:szCs w:val="21"/>
          <w:highlight w:val="none"/>
        </w:rPr>
        <w:t>6.5由磋商小组根据综合评分情况，按照评审得分由高到低顺序推荐3名以上成交候选供应商，并编写评</w:t>
      </w:r>
      <w:r>
        <w:rPr>
          <w:rFonts w:hint="eastAsia" w:ascii="宋体" w:hAnsi="宋体" w:cs="宋体"/>
          <w:kern w:val="0"/>
          <w:szCs w:val="21"/>
          <w:highlight w:val="none"/>
        </w:rPr>
        <w:t>审报告。符合本章第5.3条情形的，可以推荐2家成交候选供应商。评审得分相同的，</w:t>
      </w:r>
      <w:r>
        <w:rPr>
          <w:rFonts w:hint="eastAsia" w:ascii="宋体" w:hAnsi="宋体" w:cs="宋体"/>
          <w:bCs/>
          <w:szCs w:val="21"/>
          <w:highlight w:val="none"/>
        </w:rPr>
        <w:t>按照最后报价（不计算价格折扣）由低到高的顺序推荐。评审得分且最后报价（不计算价格折扣）相同的，按照技术指标优劣顺序推荐（按技术分得分由高到低排序）。评审得分、最后报价（不计算价格折扣）、技术分得分均相同的由磋商小组随机抽取推荐</w:t>
      </w:r>
      <w:r>
        <w:rPr>
          <w:rFonts w:hint="eastAsia" w:ascii="宋体" w:hAnsi="宋体" w:cs="宋体"/>
          <w:kern w:val="0"/>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hint="eastAsia" w:ascii="黑体" w:hAnsi="黑体" w:eastAsia="黑体" w:cs="宋体"/>
          <w:b/>
          <w:bCs/>
          <w:sz w:val="24"/>
          <w:highlight w:val="none"/>
        </w:rPr>
      </w:pPr>
    </w:p>
    <w:p>
      <w:pPr>
        <w:ind w:firstLine="200"/>
        <w:rPr>
          <w:rFonts w:hint="eastAsia" w:ascii="黑体" w:hAnsi="黑体" w:eastAsia="黑体" w:cs="宋体"/>
          <w:b/>
          <w:bCs/>
          <w:sz w:val="24"/>
          <w:highlight w:val="none"/>
        </w:rPr>
      </w:pPr>
      <w:r>
        <w:rPr>
          <w:rFonts w:hint="eastAsia" w:ascii="黑体" w:hAnsi="黑体" w:eastAsia="黑体" w:cs="宋体"/>
          <w:b/>
          <w:bCs/>
          <w:sz w:val="24"/>
          <w:highlight w:val="none"/>
        </w:rPr>
        <w:t>7</w:t>
      </w:r>
      <w:r>
        <w:rPr>
          <w:rFonts w:ascii="黑体" w:hAnsi="黑体" w:eastAsia="黑体" w:cs="宋体"/>
          <w:b/>
          <w:bCs/>
          <w:sz w:val="24"/>
          <w:highlight w:val="none"/>
        </w:rPr>
        <w:t>.</w:t>
      </w:r>
      <w:r>
        <w:rPr>
          <w:rFonts w:hint="eastAsia" w:ascii="黑体" w:hAnsi="黑体" w:eastAsia="黑体" w:cs="宋体"/>
          <w:b/>
          <w:bCs/>
          <w:sz w:val="24"/>
          <w:highlight w:val="none"/>
        </w:rPr>
        <w:t>评审标准</w:t>
      </w:r>
    </w:p>
    <w:p>
      <w:pPr>
        <w:spacing w:line="360" w:lineRule="auto"/>
        <w:ind w:firstLine="420" w:firstLineChars="200"/>
        <w:rPr>
          <w:rFonts w:hint="eastAsia" w:ascii="宋体" w:hAnsi="宋体" w:cs="宋体"/>
          <w:bCs/>
          <w:szCs w:val="21"/>
          <w:highlight w:val="none"/>
        </w:rPr>
      </w:pPr>
      <w:r>
        <w:rPr>
          <w:rFonts w:hint="eastAsia" w:ascii="宋体" w:hAnsi="宋体" w:cs="宋体"/>
          <w:bCs/>
          <w:highlight w:val="none"/>
        </w:rPr>
        <w:t>7.</w:t>
      </w:r>
      <w:r>
        <w:rPr>
          <w:rFonts w:hint="eastAsia" w:ascii="宋体" w:hAnsi="宋体" w:cs="宋体"/>
          <w:bCs/>
          <w:szCs w:val="21"/>
          <w:highlight w:val="none"/>
        </w:rPr>
        <w:t>1评审依据：磋商小组将以响应文件为评审依据，对供应商的报价、技术、商务等方面内容按百分制打分。（计分方法按四舍五入取至百分位）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62"/>
        <w:gridCol w:w="729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pPr>
              <w:spacing w:line="500" w:lineRule="exact"/>
              <w:jc w:val="center"/>
              <w:rPr>
                <w:rFonts w:hint="eastAsia"/>
                <w:bCs/>
                <w:szCs w:val="21"/>
                <w:highlight w:val="none"/>
              </w:rPr>
            </w:pPr>
            <w:r>
              <w:rPr>
                <w:rFonts w:hint="eastAsia"/>
                <w:bCs/>
                <w:szCs w:val="21"/>
                <w:highlight w:val="none"/>
              </w:rPr>
              <w:t>序号</w:t>
            </w:r>
          </w:p>
        </w:tc>
        <w:tc>
          <w:tcPr>
            <w:tcW w:w="762" w:type="dxa"/>
            <w:noWrap w:val="0"/>
            <w:vAlign w:val="center"/>
          </w:tcPr>
          <w:p>
            <w:pPr>
              <w:spacing w:line="500" w:lineRule="exact"/>
              <w:jc w:val="center"/>
              <w:rPr>
                <w:rFonts w:hint="eastAsia"/>
                <w:bCs/>
                <w:szCs w:val="21"/>
                <w:highlight w:val="none"/>
              </w:rPr>
            </w:pPr>
            <w:r>
              <w:rPr>
                <w:rFonts w:hint="eastAsia"/>
                <w:bCs/>
                <w:szCs w:val="21"/>
                <w:highlight w:val="none"/>
              </w:rPr>
              <w:t>评分类型</w:t>
            </w:r>
          </w:p>
        </w:tc>
        <w:tc>
          <w:tcPr>
            <w:tcW w:w="7297" w:type="dxa"/>
            <w:noWrap w:val="0"/>
            <w:vAlign w:val="center"/>
          </w:tcPr>
          <w:p>
            <w:pPr>
              <w:spacing w:line="500" w:lineRule="exact"/>
              <w:jc w:val="center"/>
              <w:rPr>
                <w:rFonts w:hint="eastAsia"/>
                <w:bCs/>
                <w:szCs w:val="21"/>
                <w:highlight w:val="none"/>
              </w:rPr>
            </w:pPr>
            <w:r>
              <w:rPr>
                <w:rFonts w:hint="eastAsia"/>
                <w:bCs/>
                <w:szCs w:val="21"/>
                <w:highlight w:val="none"/>
              </w:rPr>
              <w:t>评分标准</w:t>
            </w:r>
          </w:p>
        </w:tc>
        <w:tc>
          <w:tcPr>
            <w:tcW w:w="957" w:type="dxa"/>
            <w:noWrap w:val="0"/>
            <w:vAlign w:val="center"/>
          </w:tcPr>
          <w:p>
            <w:pPr>
              <w:spacing w:line="500" w:lineRule="exact"/>
              <w:jc w:val="center"/>
              <w:rPr>
                <w:rFonts w:hint="eastAsia"/>
                <w:bCs/>
                <w:szCs w:val="21"/>
                <w:highlight w:val="none"/>
              </w:rPr>
            </w:pPr>
            <w:r>
              <w:rPr>
                <w:rFonts w:hint="eastAsia"/>
                <w:bCs/>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3" w:type="dxa"/>
            <w:noWrap w:val="0"/>
            <w:vAlign w:val="center"/>
          </w:tcPr>
          <w:p>
            <w:pPr>
              <w:spacing w:line="500" w:lineRule="exact"/>
              <w:jc w:val="center"/>
              <w:rPr>
                <w:rFonts w:hint="eastAsia"/>
                <w:bCs/>
                <w:szCs w:val="21"/>
                <w:highlight w:val="none"/>
              </w:rPr>
            </w:pPr>
            <w:r>
              <w:rPr>
                <w:rFonts w:hint="eastAsia"/>
                <w:bCs/>
                <w:szCs w:val="21"/>
                <w:highlight w:val="none"/>
              </w:rPr>
              <w:t>1</w:t>
            </w:r>
          </w:p>
        </w:tc>
        <w:tc>
          <w:tcPr>
            <w:tcW w:w="762" w:type="dxa"/>
            <w:noWrap w:val="0"/>
            <w:vAlign w:val="center"/>
          </w:tcPr>
          <w:p>
            <w:pPr>
              <w:spacing w:line="500" w:lineRule="exact"/>
              <w:jc w:val="center"/>
              <w:rPr>
                <w:rFonts w:hint="eastAsia"/>
                <w:bCs/>
                <w:szCs w:val="21"/>
                <w:highlight w:val="none"/>
              </w:rPr>
            </w:pPr>
            <w:r>
              <w:rPr>
                <w:rFonts w:hint="eastAsia"/>
                <w:bCs/>
                <w:szCs w:val="21"/>
                <w:highlight w:val="none"/>
              </w:rPr>
              <w:t>报价</w:t>
            </w:r>
          </w:p>
        </w:tc>
        <w:tc>
          <w:tcPr>
            <w:tcW w:w="7297" w:type="dxa"/>
            <w:noWrap w:val="0"/>
            <w:vAlign w:val="top"/>
          </w:tcPr>
          <w:p>
            <w:pPr>
              <w:pStyle w:val="17"/>
              <w:spacing w:line="500" w:lineRule="exact"/>
              <w:rPr>
                <w:rFonts w:hint="eastAsia" w:hAnsi="宋体" w:cs="宋体"/>
                <w:sz w:val="21"/>
                <w:highlight w:val="none"/>
              </w:rPr>
            </w:pPr>
            <w:r>
              <w:rPr>
                <w:rFonts w:hint="eastAsia" w:hAnsi="宋体" w:cs="宋体"/>
                <w:sz w:val="21"/>
                <w:highlight w:val="none"/>
              </w:rPr>
              <w:t>1.本项目为专门面向中小企业采购的项目，按照《政府采购促进中小企业发展管理办法》（财库〔2020〕46号）的规定，对供应商最后报价不再执行价格评审优惠的扶持政策。</w:t>
            </w:r>
          </w:p>
          <w:p>
            <w:pPr>
              <w:pStyle w:val="17"/>
              <w:spacing w:line="500" w:lineRule="exact"/>
              <w:rPr>
                <w:rFonts w:hint="eastAsia" w:hAnsi="宋体" w:cs="宋体"/>
                <w:sz w:val="21"/>
                <w:highlight w:val="none"/>
              </w:rPr>
            </w:pPr>
            <w:r>
              <w:rPr>
                <w:rFonts w:hint="eastAsia" w:hAnsi="宋体" w:cs="宋体"/>
                <w:sz w:val="21"/>
                <w:highlight w:val="none"/>
              </w:rPr>
              <w:t>2.评审报价为供应商的最后报价，评审报价只是作为评审时使用。最终成交供应商的成交金额等于最后报价（如有修正，以确认修正后的最后报价为准）。</w:t>
            </w:r>
          </w:p>
          <w:p>
            <w:pPr>
              <w:pStyle w:val="17"/>
              <w:spacing w:line="500" w:lineRule="exact"/>
              <w:rPr>
                <w:rFonts w:hint="eastAsia" w:hAnsi="宋体" w:cs="宋体"/>
                <w:sz w:val="21"/>
                <w:highlight w:val="none"/>
              </w:rPr>
            </w:pPr>
            <w:r>
              <w:rPr>
                <w:rFonts w:hint="eastAsia" w:hAnsi="宋体" w:cs="宋体"/>
                <w:sz w:val="21"/>
                <w:highlight w:val="none"/>
              </w:rPr>
              <w:t>3.以进入比较与评价环节的最低的评审报价为基准价，基准价得分为10分。</w:t>
            </w:r>
          </w:p>
          <w:p>
            <w:pPr>
              <w:pStyle w:val="17"/>
              <w:spacing w:line="500" w:lineRule="exact"/>
              <w:rPr>
                <w:rFonts w:hint="eastAsia" w:hAnsi="宋体" w:cs="宋体"/>
                <w:sz w:val="21"/>
                <w:highlight w:val="none"/>
              </w:rPr>
            </w:pPr>
            <w:r>
              <w:rPr>
                <w:rFonts w:hint="eastAsia" w:hAnsi="宋体" w:cs="宋体"/>
                <w:sz w:val="21"/>
                <w:highlight w:val="none"/>
              </w:rPr>
              <w:t>4.价格分计算公式：</w:t>
            </w:r>
          </w:p>
          <w:p>
            <w:pPr>
              <w:pStyle w:val="17"/>
              <w:spacing w:line="500" w:lineRule="exact"/>
              <w:rPr>
                <w:rFonts w:hint="eastAsia"/>
                <w:highlight w:val="none"/>
              </w:rPr>
            </w:pPr>
            <w:r>
              <w:rPr>
                <w:rFonts w:hint="eastAsia" w:hAnsi="宋体" w:cs="宋体"/>
                <w:sz w:val="21"/>
                <w:highlight w:val="none"/>
              </w:rPr>
              <w:t>报价得分=（基准价/评审报价）×10分</w:t>
            </w:r>
          </w:p>
        </w:tc>
        <w:tc>
          <w:tcPr>
            <w:tcW w:w="957" w:type="dxa"/>
            <w:noWrap w:val="0"/>
            <w:vAlign w:val="center"/>
          </w:tcPr>
          <w:p>
            <w:pPr>
              <w:spacing w:line="500" w:lineRule="exact"/>
              <w:jc w:val="center"/>
              <w:rPr>
                <w:rFonts w:hint="eastAsia"/>
                <w:bCs/>
                <w:szCs w:val="21"/>
                <w:highlight w:val="none"/>
              </w:rPr>
            </w:pPr>
            <w:r>
              <w:rPr>
                <w:rFonts w:hint="eastAsia" w:ascii="宋体" w:hAnsi="宋体" w:cs="Tahoma"/>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pPr>
              <w:spacing w:line="500" w:lineRule="exact"/>
              <w:jc w:val="center"/>
              <w:rPr>
                <w:rFonts w:hint="eastAsia"/>
                <w:bCs/>
                <w:szCs w:val="21"/>
                <w:highlight w:val="none"/>
              </w:rPr>
            </w:pPr>
            <w:r>
              <w:rPr>
                <w:rFonts w:hint="eastAsia"/>
                <w:bCs/>
                <w:szCs w:val="21"/>
                <w:highlight w:val="none"/>
              </w:rPr>
              <w:t>2</w:t>
            </w:r>
          </w:p>
        </w:tc>
        <w:tc>
          <w:tcPr>
            <w:tcW w:w="762" w:type="dxa"/>
            <w:noWrap w:val="0"/>
            <w:vAlign w:val="center"/>
          </w:tcPr>
          <w:p>
            <w:pPr>
              <w:adjustRightInd w:val="0"/>
              <w:spacing w:line="360" w:lineRule="auto"/>
              <w:jc w:val="center"/>
              <w:textAlignment w:val="baseline"/>
              <w:rPr>
                <w:rFonts w:hint="eastAsia"/>
                <w:bCs/>
                <w:szCs w:val="21"/>
                <w:highlight w:val="none"/>
              </w:rPr>
            </w:pPr>
            <w:r>
              <w:rPr>
                <w:rFonts w:ascii="宋体" w:hAnsi="宋体" w:cs="宋体"/>
                <w:b/>
                <w:bCs/>
                <w:highlight w:val="none"/>
              </w:rPr>
              <w:t>技术方案分</w:t>
            </w:r>
          </w:p>
        </w:tc>
        <w:tc>
          <w:tcPr>
            <w:tcW w:w="7297" w:type="dxa"/>
            <w:noWrap w:val="0"/>
            <w:vAlign w:val="center"/>
          </w:tcPr>
          <w:p>
            <w:pPr>
              <w:widowControl/>
              <w:snapToGrid w:val="0"/>
              <w:spacing w:line="360" w:lineRule="auto"/>
              <w:ind w:firstLine="420" w:firstLineChars="200"/>
              <w:rPr>
                <w:highlight w:val="none"/>
              </w:rPr>
            </w:pPr>
            <w:r>
              <w:rPr>
                <w:rFonts w:hint="eastAsia"/>
                <w:highlight w:val="none"/>
              </w:rPr>
              <w:t>一档（</w:t>
            </w:r>
            <w:r>
              <w:rPr>
                <w:highlight w:val="none"/>
                <w:lang w:val="en"/>
              </w:rPr>
              <w:t>14</w:t>
            </w:r>
            <w:r>
              <w:rPr>
                <w:highlight w:val="none"/>
              </w:rPr>
              <w:t>分）</w:t>
            </w:r>
            <w:r>
              <w:rPr>
                <w:rFonts w:hint="eastAsia"/>
                <w:highlight w:val="none"/>
              </w:rPr>
              <w:t>：</w:t>
            </w:r>
            <w:r>
              <w:rPr>
                <w:rFonts w:hint="eastAsia"/>
                <w:highlight w:val="none"/>
                <w:lang w:eastAsia="zh-CN"/>
              </w:rPr>
              <w:t>供应商</w:t>
            </w:r>
            <w:r>
              <w:rPr>
                <w:rFonts w:hint="eastAsia"/>
                <w:highlight w:val="none"/>
              </w:rPr>
              <w:t>针对采购人的采购需求，仅简单复制磋商文件需求，提供的技术方案未针对实际情况进行了细化，未提供安全防护策略、规划和安全服务内容。</w:t>
            </w:r>
          </w:p>
          <w:p>
            <w:pPr>
              <w:widowControl/>
              <w:snapToGrid w:val="0"/>
              <w:spacing w:line="360" w:lineRule="auto"/>
              <w:ind w:firstLine="420" w:firstLineChars="200"/>
              <w:rPr>
                <w:highlight w:val="none"/>
              </w:rPr>
            </w:pPr>
            <w:r>
              <w:rPr>
                <w:rFonts w:hint="eastAsia"/>
                <w:highlight w:val="none"/>
              </w:rPr>
              <w:t>二档（</w:t>
            </w:r>
            <w:r>
              <w:rPr>
                <w:highlight w:val="none"/>
                <w:lang w:val="en"/>
              </w:rPr>
              <w:t>21</w:t>
            </w:r>
            <w:r>
              <w:rPr>
                <w:highlight w:val="none"/>
              </w:rPr>
              <w:t>分）</w:t>
            </w:r>
            <w:r>
              <w:rPr>
                <w:rFonts w:hint="eastAsia"/>
                <w:highlight w:val="none"/>
              </w:rPr>
              <w:t>：</w:t>
            </w:r>
            <w:r>
              <w:rPr>
                <w:rFonts w:hint="eastAsia"/>
                <w:highlight w:val="none"/>
                <w:lang w:eastAsia="zh-CN"/>
              </w:rPr>
              <w:t>供应商</w:t>
            </w:r>
            <w:r>
              <w:rPr>
                <w:rFonts w:hint="eastAsia"/>
                <w:highlight w:val="none"/>
              </w:rPr>
              <w:t>针对采购人的需求，能提供技术维护内容，提供设备和系统的维护、升级及安全服务，提供了符合采购人实际业务系统的安全防护策略、规划和安全服务内容，技术方案中提出了本项目工作的内容，描述对采购人网络安全现状的理解。</w:t>
            </w:r>
          </w:p>
          <w:p>
            <w:pPr>
              <w:widowControl/>
              <w:snapToGrid w:val="0"/>
              <w:spacing w:line="360" w:lineRule="auto"/>
              <w:ind w:firstLine="420" w:firstLineChars="200"/>
              <w:rPr>
                <w:rFonts w:hint="eastAsia"/>
                <w:highlight w:val="none"/>
              </w:rPr>
            </w:pPr>
            <w:r>
              <w:rPr>
                <w:rFonts w:hint="eastAsia"/>
                <w:highlight w:val="none"/>
              </w:rPr>
              <w:t>三档（</w:t>
            </w:r>
            <w:r>
              <w:rPr>
                <w:highlight w:val="none"/>
                <w:lang w:val="en"/>
              </w:rPr>
              <w:t>28</w:t>
            </w:r>
            <w:r>
              <w:rPr>
                <w:highlight w:val="none"/>
              </w:rPr>
              <w:t>分）</w:t>
            </w:r>
            <w:r>
              <w:rPr>
                <w:rFonts w:hint="eastAsia"/>
                <w:highlight w:val="none"/>
              </w:rPr>
              <w:t>：在满足二档基础上，提供详细的质量控制措施、安全保障措施、应急保障措施；提出了本项目工作的重点、难点和解决方法。</w:t>
            </w:r>
          </w:p>
          <w:p>
            <w:pPr>
              <w:widowControl/>
              <w:tabs>
                <w:tab w:val="center" w:pos="4153"/>
                <w:tab w:val="right" w:pos="8306"/>
              </w:tabs>
              <w:spacing w:line="360" w:lineRule="auto"/>
              <w:ind w:firstLine="420" w:firstLineChars="200"/>
              <w:rPr>
                <w:rFonts w:hint="eastAsia"/>
                <w:highlight w:val="none"/>
              </w:rPr>
            </w:pPr>
            <w:r>
              <w:rPr>
                <w:rFonts w:hint="eastAsia"/>
                <w:highlight w:val="none"/>
              </w:rPr>
              <w:t>四档（</w:t>
            </w:r>
            <w:r>
              <w:rPr>
                <w:highlight w:val="none"/>
                <w:lang w:val="en"/>
              </w:rPr>
              <w:t>35</w:t>
            </w:r>
            <w:r>
              <w:rPr>
                <w:highlight w:val="none"/>
              </w:rPr>
              <w:t>分）</w:t>
            </w:r>
            <w:r>
              <w:rPr>
                <w:rFonts w:hint="eastAsia"/>
                <w:highlight w:val="none"/>
              </w:rPr>
              <w:t>：在满足三档基础上，对于采购人业务系统的安全评估、安全加固、应急演练、安全培训、</w:t>
            </w:r>
            <w:r>
              <w:rPr>
                <w:rFonts w:hint="eastAsia" w:cs="宋体"/>
                <w:szCs w:val="21"/>
                <w:highlight w:val="none"/>
              </w:rPr>
              <w:t>护网重点保障和网络攻防演练</w:t>
            </w:r>
            <w:r>
              <w:rPr>
                <w:rFonts w:hint="eastAsia"/>
                <w:highlight w:val="none"/>
              </w:rPr>
              <w:t>等技术服务内容设计规划合理规范。</w:t>
            </w:r>
          </w:p>
        </w:tc>
        <w:tc>
          <w:tcPr>
            <w:tcW w:w="957" w:type="dxa"/>
            <w:noWrap w:val="0"/>
            <w:vAlign w:val="center"/>
          </w:tcPr>
          <w:p>
            <w:pPr>
              <w:spacing w:line="500" w:lineRule="exact"/>
              <w:jc w:val="center"/>
              <w:rPr>
                <w:rFonts w:hint="eastAsia"/>
                <w:bCs/>
                <w:szCs w:val="21"/>
                <w:highlight w:val="none"/>
              </w:rPr>
            </w:pPr>
            <w:r>
              <w:rPr>
                <w:bCs/>
                <w:szCs w:val="21"/>
                <w:highlight w:val="none"/>
                <w:lang w:val="en"/>
              </w:rPr>
              <w:t>35</w:t>
            </w:r>
            <w:r>
              <w:rPr>
                <w:rFonts w:hint="eastAsia"/>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pPr>
              <w:spacing w:line="500" w:lineRule="exact"/>
              <w:jc w:val="center"/>
              <w:rPr>
                <w:rFonts w:hint="eastAsia"/>
                <w:bCs/>
                <w:szCs w:val="21"/>
                <w:highlight w:val="none"/>
              </w:rPr>
            </w:pPr>
            <w:r>
              <w:rPr>
                <w:rFonts w:hint="eastAsia"/>
                <w:bCs/>
                <w:szCs w:val="21"/>
                <w:highlight w:val="none"/>
              </w:rPr>
              <w:t>3</w:t>
            </w:r>
          </w:p>
        </w:tc>
        <w:tc>
          <w:tcPr>
            <w:tcW w:w="762" w:type="dxa"/>
            <w:noWrap w:val="0"/>
            <w:vAlign w:val="center"/>
          </w:tcPr>
          <w:p>
            <w:pPr>
              <w:widowControl/>
              <w:spacing w:line="360" w:lineRule="auto"/>
              <w:jc w:val="center"/>
              <w:rPr>
                <w:rFonts w:hint="eastAsia"/>
                <w:bCs/>
                <w:szCs w:val="21"/>
                <w:highlight w:val="none"/>
              </w:rPr>
            </w:pPr>
            <w:r>
              <w:rPr>
                <w:rFonts w:hint="eastAsia" w:ascii="宋体" w:hAnsi="宋体"/>
                <w:b/>
                <w:szCs w:val="21"/>
                <w:highlight w:val="none"/>
              </w:rPr>
              <w:t>信誉业绩分</w:t>
            </w:r>
          </w:p>
        </w:tc>
        <w:tc>
          <w:tcPr>
            <w:tcW w:w="7297" w:type="dxa"/>
            <w:noWrap w:val="0"/>
            <w:vAlign w:val="center"/>
          </w:tcPr>
          <w:p>
            <w:pPr>
              <w:numPr>
                <w:ilvl w:val="0"/>
                <w:numId w:val="4"/>
              </w:numPr>
              <w:spacing w:line="400" w:lineRule="exact"/>
              <w:ind w:firstLine="420" w:firstLineChars="200"/>
              <w:rPr>
                <w:rFonts w:ascii="宋体" w:hAnsi="宋体" w:cs="宋体"/>
                <w:highlight w:val="none"/>
              </w:rPr>
            </w:pPr>
            <w:r>
              <w:rPr>
                <w:rFonts w:hint="eastAsia" w:ascii="宋体" w:hAnsi="宋体" w:cs="宋体"/>
                <w:bCs/>
                <w:szCs w:val="21"/>
                <w:highlight w:val="none"/>
                <w:lang w:eastAsia="zh-CN"/>
              </w:rPr>
              <w:t>供应商</w:t>
            </w:r>
            <w:r>
              <w:rPr>
                <w:rFonts w:hint="eastAsia" w:ascii="宋体" w:hAnsi="宋体" w:cs="宋体"/>
                <w:highlight w:val="none"/>
              </w:rPr>
              <w:t>通过</w:t>
            </w:r>
            <w:r>
              <w:rPr>
                <w:rFonts w:ascii="宋体" w:hAnsi="宋体" w:cs="宋体"/>
                <w:highlight w:val="none"/>
              </w:rPr>
              <w:t>ISO 9001</w:t>
            </w:r>
            <w:r>
              <w:rPr>
                <w:rFonts w:hint="eastAsia" w:ascii="宋体" w:hAnsi="宋体" w:cs="宋体"/>
                <w:highlight w:val="none"/>
              </w:rPr>
              <w:t>质量管理体系认证证书的，得1分（需提供证书复印件且证书真实有效）。</w:t>
            </w:r>
          </w:p>
          <w:p>
            <w:pPr>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（2） </w:t>
            </w:r>
            <w:r>
              <w:rPr>
                <w:rFonts w:hint="eastAsia" w:ascii="宋体" w:hAnsi="宋体" w:cs="宋体"/>
                <w:bCs/>
                <w:szCs w:val="21"/>
                <w:highlight w:val="none"/>
                <w:lang w:eastAsia="zh-CN"/>
              </w:rPr>
              <w:t>供应商</w:t>
            </w:r>
            <w:r>
              <w:rPr>
                <w:rFonts w:hint="eastAsia" w:ascii="宋体" w:hAnsi="宋体" w:cs="宋体"/>
                <w:bCs/>
                <w:szCs w:val="21"/>
                <w:highlight w:val="none"/>
              </w:rPr>
              <w:t>通过ISO27001信息安全管理体系标准认证的，得2分。（需提供证书复印件且证书真实有效）。</w:t>
            </w:r>
          </w:p>
          <w:p>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 xml:space="preserve">（3） </w:t>
            </w:r>
            <w:r>
              <w:rPr>
                <w:rFonts w:hint="eastAsia" w:ascii="宋体" w:hAnsi="宋体" w:cs="宋体"/>
                <w:bCs/>
                <w:szCs w:val="21"/>
                <w:highlight w:val="none"/>
                <w:lang w:eastAsia="zh-CN"/>
              </w:rPr>
              <w:t>供应商</w:t>
            </w:r>
            <w:r>
              <w:rPr>
                <w:rFonts w:hint="eastAsia" w:ascii="宋体" w:hAnsi="宋体" w:cs="宋体"/>
                <w:bCs/>
                <w:szCs w:val="21"/>
                <w:highlight w:val="none"/>
              </w:rPr>
              <w:t>通过ISO20000信息技术服务管理体系认证的，得1分（需提供证书复印件且证书真实有效）。</w:t>
            </w:r>
          </w:p>
          <w:p>
            <w:pPr>
              <w:spacing w:line="400" w:lineRule="exact"/>
              <w:ind w:firstLine="420" w:firstLineChars="200"/>
              <w:rPr>
                <w:rFonts w:hint="eastAsia" w:ascii="宋体" w:hAnsi="宋体"/>
                <w:highlight w:val="none"/>
              </w:rPr>
            </w:pPr>
            <w:r>
              <w:rPr>
                <w:rFonts w:hint="eastAsia" w:ascii="宋体" w:hAnsi="宋体" w:cs="宋体"/>
                <w:highlight w:val="none"/>
              </w:rPr>
              <w:t>（4</w:t>
            </w:r>
            <w:r>
              <w:rPr>
                <w:rFonts w:ascii="宋体" w:hAnsi="宋体" w:cs="宋体"/>
                <w:highlight w:val="none"/>
              </w:rPr>
              <w:t>）</w:t>
            </w:r>
            <w:r>
              <w:rPr>
                <w:rFonts w:ascii="宋体" w:hAnsi="宋体" w:cs="宋体"/>
                <w:highlight w:val="none"/>
                <w:lang w:val="en"/>
              </w:rPr>
              <w:t xml:space="preserve"> </w:t>
            </w:r>
            <w:r>
              <w:rPr>
                <w:rFonts w:hint="eastAsia" w:ascii="宋体" w:hAnsi="宋体" w:cs="宋体"/>
                <w:highlight w:val="none"/>
              </w:rPr>
              <w:t>自2021年以来</w:t>
            </w:r>
            <w:r>
              <w:rPr>
                <w:rFonts w:hint="eastAsia" w:ascii="宋体" w:hAnsi="宋体" w:cs="宋体"/>
                <w:bCs/>
                <w:szCs w:val="21"/>
                <w:highlight w:val="none"/>
                <w:lang w:eastAsia="zh-CN"/>
              </w:rPr>
              <w:t>供应商</w:t>
            </w:r>
            <w:r>
              <w:rPr>
                <w:rFonts w:hint="eastAsia" w:ascii="宋体" w:hAnsi="宋体" w:cs="宋体"/>
                <w:highlight w:val="none"/>
              </w:rPr>
              <w:t>具有同类项目业绩，含网络安全整改服务、网络安全保障或网络安全检测等服务内容（以合同为准，提供复印件），每</w:t>
            </w:r>
            <w:r>
              <w:rPr>
                <w:rFonts w:hint="eastAsia" w:ascii="宋体" w:hAnsi="宋体" w:cs="宋体"/>
                <w:highlight w:val="none"/>
                <w:lang w:val="en-US" w:eastAsia="zh-CN"/>
              </w:rPr>
              <w:t>个业绩</w:t>
            </w:r>
            <w:r>
              <w:rPr>
                <w:rFonts w:hint="eastAsia" w:ascii="宋体" w:hAnsi="宋体" w:cs="宋体"/>
                <w:highlight w:val="none"/>
              </w:rPr>
              <w:t>得3分，满分6分。</w:t>
            </w:r>
          </w:p>
        </w:tc>
        <w:tc>
          <w:tcPr>
            <w:tcW w:w="957" w:type="dxa"/>
            <w:noWrap w:val="0"/>
            <w:vAlign w:val="center"/>
          </w:tcPr>
          <w:p>
            <w:pPr>
              <w:widowControl/>
              <w:spacing w:line="360" w:lineRule="auto"/>
              <w:jc w:val="center"/>
              <w:rPr>
                <w:rFonts w:hint="eastAsia"/>
                <w:bCs/>
                <w:szCs w:val="21"/>
                <w:highlight w:val="none"/>
              </w:rPr>
            </w:pPr>
            <w:r>
              <w:rPr>
                <w:rFonts w:hint="eastAsia" w:ascii="宋体" w:hAnsi="宋体" w:cs="微软雅黑"/>
                <w:b/>
                <w:bCs/>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pPr>
              <w:spacing w:line="500" w:lineRule="exact"/>
              <w:jc w:val="center"/>
              <w:rPr>
                <w:rFonts w:hint="eastAsia" w:eastAsia="宋体"/>
                <w:bCs/>
                <w:szCs w:val="21"/>
                <w:highlight w:val="none"/>
                <w:lang w:val="en-US" w:eastAsia="zh-CN"/>
              </w:rPr>
            </w:pPr>
            <w:r>
              <w:rPr>
                <w:rFonts w:hint="eastAsia"/>
                <w:bCs/>
                <w:szCs w:val="21"/>
                <w:highlight w:val="none"/>
                <w:lang w:val="en-US" w:eastAsia="zh-CN"/>
              </w:rPr>
              <w:t>4</w:t>
            </w:r>
          </w:p>
        </w:tc>
        <w:tc>
          <w:tcPr>
            <w:tcW w:w="762" w:type="dxa"/>
            <w:noWrap w:val="0"/>
            <w:vAlign w:val="center"/>
          </w:tcPr>
          <w:p>
            <w:pPr>
              <w:widowControl/>
              <w:spacing w:line="360" w:lineRule="auto"/>
              <w:jc w:val="center"/>
              <w:rPr>
                <w:rFonts w:hint="eastAsia" w:ascii="宋体" w:hAnsi="宋体" w:cs="宋体"/>
                <w:b/>
                <w:bCs/>
                <w:szCs w:val="21"/>
                <w:highlight w:val="none"/>
              </w:rPr>
            </w:pPr>
          </w:p>
          <w:p>
            <w:pPr>
              <w:widowControl/>
              <w:spacing w:line="360" w:lineRule="auto"/>
              <w:jc w:val="center"/>
              <w:rPr>
                <w:rFonts w:hint="default" w:eastAsia="宋体"/>
                <w:bCs/>
                <w:szCs w:val="21"/>
                <w:highlight w:val="none"/>
                <w:lang w:val="en-US" w:eastAsia="zh-CN"/>
              </w:rPr>
            </w:pPr>
            <w:r>
              <w:rPr>
                <w:rFonts w:hint="eastAsia" w:ascii="宋体" w:hAnsi="宋体" w:cs="宋体"/>
                <w:b/>
                <w:bCs/>
                <w:szCs w:val="21"/>
                <w:highlight w:val="none"/>
                <w:lang w:val="en-US" w:eastAsia="zh-CN"/>
              </w:rPr>
              <w:t>服务方案分</w:t>
            </w:r>
          </w:p>
        </w:tc>
        <w:tc>
          <w:tcPr>
            <w:tcW w:w="7297" w:type="dxa"/>
            <w:noWrap w:val="0"/>
            <w:vAlign w:val="center"/>
          </w:tcPr>
          <w:p>
            <w:pPr>
              <w:spacing w:line="400" w:lineRule="exact"/>
              <w:ind w:firstLine="420" w:firstLineChars="200"/>
              <w:rPr>
                <w:rFonts w:hint="eastAsia" w:ascii="宋体" w:hAnsi="宋体" w:cs="宋体"/>
                <w:bCs/>
                <w:szCs w:val="21"/>
                <w:highlight w:val="none"/>
              </w:rPr>
            </w:pPr>
            <w:bookmarkStart w:id="114" w:name="OLE_LINK3"/>
            <w:r>
              <w:rPr>
                <w:rFonts w:hint="eastAsia" w:ascii="宋体" w:hAnsi="宋体" w:cs="宋体"/>
                <w:bCs/>
                <w:szCs w:val="21"/>
                <w:highlight w:val="none"/>
              </w:rPr>
              <w:t>（1）服务方案分，满分</w:t>
            </w:r>
            <w:r>
              <w:rPr>
                <w:rFonts w:ascii="宋体" w:hAnsi="宋体" w:cs="宋体"/>
                <w:bCs/>
                <w:szCs w:val="21"/>
                <w:highlight w:val="none"/>
                <w:lang w:val="en"/>
              </w:rPr>
              <w:t>25</w:t>
            </w:r>
            <w:r>
              <w:rPr>
                <w:rFonts w:hint="eastAsia" w:ascii="宋体" w:hAnsi="宋体" w:cs="宋体"/>
                <w:bCs/>
                <w:szCs w:val="21"/>
                <w:highlight w:val="none"/>
              </w:rPr>
              <w:t>分。</w:t>
            </w:r>
          </w:p>
          <w:p>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一档（</w:t>
            </w:r>
            <w:r>
              <w:rPr>
                <w:rFonts w:ascii="宋体" w:hAnsi="宋体" w:cs="宋体"/>
                <w:bCs/>
                <w:szCs w:val="21"/>
                <w:highlight w:val="none"/>
                <w:lang w:val="en"/>
              </w:rPr>
              <w:t>15</w:t>
            </w:r>
            <w:r>
              <w:rPr>
                <w:rFonts w:hint="eastAsia" w:ascii="宋体" w:hAnsi="宋体" w:cs="宋体"/>
                <w:bCs/>
                <w:szCs w:val="21"/>
                <w:highlight w:val="none"/>
              </w:rPr>
              <w:t>分）：服务方案</w:t>
            </w:r>
            <w:r>
              <w:rPr>
                <w:rFonts w:hint="eastAsia" w:ascii="宋体" w:hAnsi="宋体" w:cs="宋体"/>
                <w:bCs/>
                <w:szCs w:val="21"/>
                <w:highlight w:val="none"/>
                <w:lang w:val="en-US" w:eastAsia="zh-CN"/>
              </w:rPr>
              <w:t>包含</w:t>
            </w:r>
            <w:r>
              <w:rPr>
                <w:rFonts w:hint="eastAsia" w:ascii="宋体" w:hAnsi="宋体" w:cs="宋体"/>
                <w:bCs/>
                <w:szCs w:val="21"/>
                <w:highlight w:val="none"/>
                <w:lang w:eastAsia="zh-CN"/>
              </w:rPr>
              <w:t>供应商</w:t>
            </w:r>
            <w:r>
              <w:rPr>
                <w:rFonts w:hint="eastAsia" w:ascii="宋体" w:hAnsi="宋体" w:cs="宋体"/>
                <w:bCs/>
                <w:szCs w:val="21"/>
                <w:highlight w:val="none"/>
              </w:rPr>
              <w:t>承诺的响应时间、故障到场时间、一般故障排除时间、安全评估、驻场保障服务、重要时期保障服务、应急响应服务、技术培训方案、服务管理方案，服务工作记录表单少于2类。</w:t>
            </w:r>
          </w:p>
          <w:p>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二档（20分）：满足一档的基础上，</w:t>
            </w:r>
            <w:r>
              <w:rPr>
                <w:rFonts w:hint="eastAsia" w:hAnsi="宋体" w:cs="宋体"/>
                <w:highlight w:val="none"/>
              </w:rPr>
              <w:t>有不少于4类的比较详细的服务工作记录表单</w:t>
            </w:r>
            <w:r>
              <w:rPr>
                <w:rFonts w:hint="eastAsia" w:ascii="宋体" w:hAnsi="宋体" w:cs="宋体"/>
                <w:bCs/>
                <w:szCs w:val="21"/>
                <w:highlight w:val="none"/>
              </w:rPr>
              <w:t>；故障处理措施</w:t>
            </w:r>
            <w:r>
              <w:rPr>
                <w:rFonts w:hint="eastAsia" w:ascii="宋体" w:hAnsi="宋体" w:cs="宋体"/>
                <w:bCs/>
                <w:szCs w:val="21"/>
                <w:highlight w:val="none"/>
                <w:lang w:val="en-US" w:eastAsia="zh-CN"/>
              </w:rPr>
              <w:t>包含</w:t>
            </w:r>
            <w:r>
              <w:rPr>
                <w:rFonts w:hint="eastAsia"/>
                <w:b w:val="0"/>
                <w:bCs/>
                <w:highlight w:val="none"/>
                <w:lang w:eastAsia="zh-CN"/>
              </w:rPr>
              <w:t>《</w:t>
            </w:r>
            <w:r>
              <w:rPr>
                <w:rFonts w:hint="eastAsia"/>
                <w:b w:val="0"/>
                <w:bCs/>
                <w:highlight w:val="none"/>
              </w:rPr>
              <w:t>安全事件</w:t>
            </w:r>
            <w:r>
              <w:rPr>
                <w:rFonts w:hint="eastAsia" w:ascii="宋体" w:hAnsi="宋体"/>
                <w:highlight w:val="none"/>
                <w:lang w:eastAsia="zh-TW"/>
              </w:rPr>
              <w:t>处理过程记录》</w:t>
            </w:r>
            <w:r>
              <w:rPr>
                <w:rFonts w:hint="eastAsia"/>
                <w:b w:val="0"/>
                <w:bCs/>
                <w:highlight w:val="none"/>
              </w:rPr>
              <w:t>《安全事件处理报告》</w:t>
            </w:r>
            <w:r>
              <w:rPr>
                <w:rFonts w:hint="eastAsia" w:ascii="宋体" w:hAnsi="宋体" w:cs="宋体"/>
                <w:bCs/>
                <w:szCs w:val="21"/>
                <w:highlight w:val="none"/>
              </w:rPr>
              <w:t>，重要时期保障方案</w:t>
            </w:r>
            <w:r>
              <w:rPr>
                <w:rFonts w:hint="eastAsia" w:ascii="宋体" w:hAnsi="宋体" w:cs="宋体"/>
                <w:bCs/>
                <w:szCs w:val="21"/>
                <w:highlight w:val="none"/>
                <w:lang w:val="en-US" w:eastAsia="zh-CN"/>
              </w:rPr>
              <w:t>包含《</w:t>
            </w:r>
            <w:r>
              <w:rPr>
                <w:rFonts w:hint="eastAsia" w:ascii="宋体" w:hAnsi="宋体"/>
                <w:szCs w:val="24"/>
                <w:highlight w:val="none"/>
              </w:rPr>
              <w:t>重要时期安全</w:t>
            </w:r>
            <w:r>
              <w:rPr>
                <w:rFonts w:hint="eastAsia" w:ascii="宋体" w:hAnsi="宋体"/>
                <w:szCs w:val="24"/>
                <w:highlight w:val="none"/>
                <w:lang w:val="en-US" w:eastAsia="zh-CN"/>
              </w:rPr>
              <w:t>日报</w:t>
            </w:r>
            <w:r>
              <w:rPr>
                <w:rFonts w:hint="eastAsia" w:ascii="宋体" w:hAnsi="宋体"/>
                <w:szCs w:val="24"/>
                <w:highlight w:val="none"/>
              </w:rPr>
              <w:t>》</w:t>
            </w:r>
            <w:r>
              <w:rPr>
                <w:rFonts w:hint="eastAsia" w:ascii="宋体" w:hAnsi="宋体" w:cs="宋体"/>
                <w:bCs/>
                <w:szCs w:val="21"/>
                <w:highlight w:val="none"/>
                <w:lang w:val="en-US" w:eastAsia="zh-CN"/>
              </w:rPr>
              <w:t>《</w:t>
            </w:r>
            <w:r>
              <w:rPr>
                <w:rFonts w:hint="eastAsia" w:ascii="宋体" w:hAnsi="宋体"/>
                <w:szCs w:val="24"/>
                <w:highlight w:val="none"/>
              </w:rPr>
              <w:t>重要时期安全保障方案》</w:t>
            </w:r>
            <w:r>
              <w:rPr>
                <w:rFonts w:hint="eastAsia"/>
                <w:b w:val="0"/>
                <w:bCs/>
                <w:highlight w:val="none"/>
              </w:rPr>
              <w:t>《护网安全保障方案》</w:t>
            </w:r>
            <w:r>
              <w:rPr>
                <w:rFonts w:hint="eastAsia" w:ascii="宋体" w:hAnsi="宋体" w:cs="宋体"/>
                <w:bCs/>
                <w:szCs w:val="21"/>
                <w:highlight w:val="none"/>
              </w:rPr>
              <w:t>，人员保障预案</w:t>
            </w:r>
            <w:r>
              <w:rPr>
                <w:rFonts w:hint="eastAsia" w:ascii="宋体" w:hAnsi="宋体" w:cs="宋体"/>
                <w:bCs/>
                <w:szCs w:val="21"/>
                <w:highlight w:val="none"/>
                <w:lang w:val="en-US" w:eastAsia="zh-CN"/>
              </w:rPr>
              <w:t>包含</w:t>
            </w:r>
            <w:r>
              <w:rPr>
                <w:rFonts w:hint="eastAsia" w:ascii="宋体" w:hAnsi="宋体"/>
                <w:szCs w:val="24"/>
                <w:highlight w:val="none"/>
                <w:lang w:eastAsia="zh-CN"/>
              </w:rPr>
              <w:t>《</w:t>
            </w:r>
            <w:r>
              <w:rPr>
                <w:rFonts w:hint="eastAsia" w:ascii="宋体" w:hAnsi="宋体"/>
                <w:szCs w:val="24"/>
                <w:highlight w:val="none"/>
                <w:lang w:val="en-US" w:eastAsia="zh-CN"/>
              </w:rPr>
              <w:t>驻场人员名单</w:t>
            </w:r>
            <w:r>
              <w:rPr>
                <w:rFonts w:hint="eastAsia" w:ascii="宋体" w:hAnsi="宋体"/>
                <w:szCs w:val="24"/>
                <w:highlight w:val="none"/>
                <w:lang w:eastAsia="zh-CN"/>
              </w:rPr>
              <w:t>》《</w:t>
            </w:r>
            <w:r>
              <w:rPr>
                <w:rFonts w:hint="eastAsia" w:ascii="宋体" w:hAnsi="宋体"/>
                <w:szCs w:val="24"/>
                <w:highlight w:val="none"/>
                <w:lang w:val="en-US" w:eastAsia="zh-CN"/>
              </w:rPr>
              <w:t>技术团队人员名单</w:t>
            </w:r>
            <w:r>
              <w:rPr>
                <w:rFonts w:hint="eastAsia" w:ascii="宋体" w:hAnsi="宋体"/>
                <w:szCs w:val="24"/>
                <w:highlight w:val="none"/>
                <w:lang w:eastAsia="zh-CN"/>
              </w:rPr>
              <w:t>》</w:t>
            </w:r>
            <w:r>
              <w:rPr>
                <w:rFonts w:hint="eastAsia" w:ascii="宋体" w:hAnsi="宋体" w:cs="宋体"/>
                <w:bCs/>
                <w:szCs w:val="21"/>
                <w:highlight w:val="none"/>
              </w:rPr>
              <w:t>、资源协调预案完善</w:t>
            </w:r>
            <w:r>
              <w:rPr>
                <w:rFonts w:hint="eastAsia" w:ascii="宋体" w:hAnsi="宋体" w:cs="宋体"/>
                <w:bCs/>
                <w:szCs w:val="21"/>
                <w:highlight w:val="none"/>
                <w:lang w:val="en-US" w:eastAsia="zh-CN"/>
              </w:rPr>
              <w:t>包含</w:t>
            </w:r>
            <w:r>
              <w:rPr>
                <w:rFonts w:hint="eastAsia"/>
                <w:b w:val="0"/>
                <w:bCs/>
                <w:highlight w:val="none"/>
                <w:lang w:val="en-US" w:eastAsia="zh-CN"/>
              </w:rPr>
              <w:t>《项目实施进度表》《技术工具调用记录表》</w:t>
            </w:r>
            <w:r>
              <w:rPr>
                <w:rFonts w:hint="eastAsia"/>
                <w:b w:val="0"/>
                <w:bCs/>
                <w:highlight w:val="none"/>
              </w:rPr>
              <w:t>《客户服务质量考核评估表》</w:t>
            </w:r>
            <w:r>
              <w:rPr>
                <w:rFonts w:hint="eastAsia" w:ascii="宋体" w:hAnsi="宋体" w:cs="宋体"/>
                <w:bCs/>
                <w:szCs w:val="21"/>
                <w:highlight w:val="none"/>
              </w:rPr>
              <w:t>，应急服务管理方案</w:t>
            </w:r>
            <w:r>
              <w:rPr>
                <w:rFonts w:hint="eastAsia" w:ascii="宋体" w:hAnsi="宋体" w:cs="宋体"/>
                <w:bCs/>
                <w:szCs w:val="21"/>
                <w:highlight w:val="none"/>
                <w:lang w:val="en-US" w:eastAsia="zh-CN"/>
              </w:rPr>
              <w:t>包含《应急小组人员名单》《</w:t>
            </w:r>
            <w:r>
              <w:rPr>
                <w:rFonts w:hint="eastAsia"/>
                <w:b w:val="0"/>
                <w:bCs/>
                <w:highlight w:val="none"/>
              </w:rPr>
              <w:t>网络安全事件应急预案</w:t>
            </w:r>
            <w:r>
              <w:rPr>
                <w:rFonts w:hint="eastAsia"/>
                <w:b w:val="0"/>
                <w:bCs/>
                <w:highlight w:val="none"/>
                <w:lang w:eastAsia="zh-CN"/>
              </w:rPr>
              <w:t>》</w:t>
            </w:r>
            <w:r>
              <w:rPr>
                <w:rFonts w:hint="eastAsia" w:ascii="宋体" w:hAnsi="宋体" w:cs="宋体"/>
                <w:bCs/>
                <w:szCs w:val="21"/>
                <w:highlight w:val="none"/>
              </w:rPr>
              <w:t>，服务管理方案</w:t>
            </w:r>
            <w:r>
              <w:rPr>
                <w:rFonts w:hint="eastAsia" w:ascii="宋体" w:hAnsi="宋体" w:cs="宋体"/>
                <w:bCs/>
                <w:szCs w:val="21"/>
                <w:highlight w:val="none"/>
                <w:lang w:val="en-US" w:eastAsia="zh-CN"/>
              </w:rPr>
              <w:t>包含</w:t>
            </w:r>
            <w:r>
              <w:rPr>
                <w:rFonts w:hint="eastAsia"/>
                <w:b w:val="0"/>
                <w:bCs/>
                <w:highlight w:val="none"/>
              </w:rPr>
              <w:t>《云防护周报》《安全通报》《工作周报》《工作月报》《应急演练方案》《应急演练总结报告》《培训计划》《培训人员签到表》</w:t>
            </w:r>
            <w:r>
              <w:rPr>
                <w:rFonts w:hint="eastAsia" w:ascii="宋体" w:hAnsi="宋体" w:cs="宋体"/>
                <w:bCs/>
                <w:szCs w:val="21"/>
                <w:highlight w:val="none"/>
              </w:rPr>
              <w:t>。</w:t>
            </w:r>
          </w:p>
          <w:p>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三档（</w:t>
            </w:r>
            <w:r>
              <w:rPr>
                <w:rFonts w:ascii="宋体" w:hAnsi="宋体" w:cs="宋体"/>
                <w:bCs/>
                <w:szCs w:val="21"/>
                <w:highlight w:val="none"/>
                <w:lang w:val="en"/>
              </w:rPr>
              <w:t>25</w:t>
            </w:r>
            <w:r>
              <w:rPr>
                <w:rFonts w:hint="eastAsia" w:ascii="宋体" w:hAnsi="宋体" w:cs="宋体"/>
                <w:bCs/>
                <w:szCs w:val="21"/>
                <w:highlight w:val="none"/>
              </w:rPr>
              <w:t>分）：在满足二档的基础上，</w:t>
            </w:r>
            <w:r>
              <w:rPr>
                <w:rFonts w:hint="eastAsia" w:hAnsi="宋体" w:cs="宋体"/>
                <w:highlight w:val="none"/>
              </w:rPr>
              <w:t>有不少于6类的详细的服务工作记录表单；</w:t>
            </w:r>
            <w:r>
              <w:rPr>
                <w:rFonts w:hint="eastAsia" w:ascii="宋体" w:hAnsi="宋体" w:cs="宋体"/>
                <w:bCs/>
                <w:szCs w:val="21"/>
                <w:highlight w:val="none"/>
              </w:rPr>
              <w:t>渗透测试、漏洞扫描、安全加固等方案</w:t>
            </w:r>
            <w:r>
              <w:rPr>
                <w:rFonts w:hint="eastAsia" w:ascii="宋体" w:hAnsi="宋体" w:cs="宋体"/>
                <w:bCs/>
                <w:szCs w:val="21"/>
                <w:highlight w:val="none"/>
                <w:lang w:val="en-US" w:eastAsia="zh-CN"/>
              </w:rPr>
              <w:t>包含</w:t>
            </w:r>
            <w:r>
              <w:rPr>
                <w:rFonts w:hint="eastAsia"/>
                <w:b w:val="0"/>
                <w:bCs/>
                <w:highlight w:val="none"/>
              </w:rPr>
              <w:t>《漏洞检测报告》《渗透测试报告》《配置检查报告》《风险评估报告》《安全加固报告》《漏洞情况记录》《新系统上线评估报告》</w:t>
            </w:r>
            <w:r>
              <w:rPr>
                <w:rFonts w:hint="eastAsia" w:ascii="宋体" w:hAnsi="宋体" w:cs="宋体"/>
                <w:bCs/>
                <w:szCs w:val="21"/>
                <w:highlight w:val="none"/>
              </w:rPr>
              <w:t>。</w:t>
            </w:r>
          </w:p>
          <w:p>
            <w:pPr>
              <w:spacing w:line="400" w:lineRule="exact"/>
              <w:ind w:firstLine="420" w:firstLineChars="200"/>
              <w:rPr>
                <w:highlight w:val="none"/>
              </w:rPr>
            </w:pPr>
            <w:r>
              <w:rPr>
                <w:rFonts w:hint="eastAsia" w:ascii="宋体" w:hAnsi="宋体" w:cs="宋体"/>
                <w:bCs/>
                <w:szCs w:val="21"/>
                <w:highlight w:val="none"/>
              </w:rPr>
              <w:t>（2）服务团队分，满分</w:t>
            </w:r>
            <w:r>
              <w:rPr>
                <w:rFonts w:ascii="宋体" w:hAnsi="宋体" w:cs="宋体"/>
                <w:bCs/>
                <w:szCs w:val="21"/>
                <w:highlight w:val="none"/>
                <w:lang w:val="en"/>
              </w:rPr>
              <w:t>2</w:t>
            </w:r>
            <w:r>
              <w:rPr>
                <w:rFonts w:hint="eastAsia" w:ascii="宋体" w:hAnsi="宋体" w:cs="宋体"/>
                <w:bCs/>
                <w:szCs w:val="21"/>
                <w:highlight w:val="none"/>
              </w:rPr>
              <w:t>0分。</w:t>
            </w:r>
          </w:p>
          <w:p>
            <w:pPr>
              <w:tabs>
                <w:tab w:val="center" w:pos="4153"/>
                <w:tab w:val="right" w:pos="8306"/>
              </w:tabs>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
              </w:rPr>
              <w:t>A</w:t>
            </w:r>
            <w:r>
              <w:rPr>
                <w:rFonts w:hint="eastAsia" w:ascii="宋体" w:hAnsi="宋体" w:cs="宋体"/>
                <w:bCs/>
                <w:szCs w:val="21"/>
                <w:highlight w:val="none"/>
                <w:lang w:val="en-US" w:eastAsia="zh-CN"/>
              </w:rPr>
              <w:t>.</w:t>
            </w:r>
            <w:r>
              <w:rPr>
                <w:rFonts w:hint="eastAsia" w:ascii="宋体" w:hAnsi="宋体" w:cs="宋体"/>
                <w:bCs/>
                <w:szCs w:val="21"/>
                <w:highlight w:val="none"/>
              </w:rPr>
              <w:t xml:space="preserve"> 项目服务期内，供应商承诺投入本项目的服务团队技术人员中具备中华人民共和国人力资源和社会保障部，工业和信息化部颁发的网络工程师（中级）或</w:t>
            </w:r>
            <w:r>
              <w:rPr>
                <w:rFonts w:hint="eastAsia" w:ascii="宋体" w:hAnsi="宋体" w:cs="宋体"/>
                <w:bCs/>
                <w:szCs w:val="21"/>
                <w:highlight w:val="none"/>
                <w:lang w:val="en"/>
              </w:rPr>
              <w:t>系统集成项目管理工程师（中级）</w:t>
            </w:r>
            <w:r>
              <w:rPr>
                <w:rFonts w:hint="eastAsia" w:ascii="宋体" w:hAnsi="宋体" w:cs="宋体"/>
                <w:bCs/>
                <w:szCs w:val="21"/>
                <w:highlight w:val="none"/>
              </w:rPr>
              <w:t>，每有</w:t>
            </w:r>
            <w:r>
              <w:rPr>
                <w:rFonts w:hint="eastAsia" w:ascii="宋体" w:hAnsi="宋体" w:cs="宋体"/>
                <w:bCs/>
                <w:szCs w:val="21"/>
                <w:highlight w:val="none"/>
                <w:lang w:val="en-US" w:eastAsia="zh-CN"/>
              </w:rPr>
              <w:t>1</w:t>
            </w:r>
            <w:r>
              <w:rPr>
                <w:rFonts w:hint="eastAsia" w:ascii="宋体" w:hAnsi="宋体" w:cs="宋体"/>
                <w:bCs/>
                <w:szCs w:val="21"/>
                <w:highlight w:val="none"/>
              </w:rPr>
              <w:t>人得</w:t>
            </w:r>
            <w:r>
              <w:rPr>
                <w:rFonts w:ascii="宋体" w:hAnsi="宋体" w:cs="宋体"/>
                <w:bCs/>
                <w:szCs w:val="21"/>
                <w:highlight w:val="none"/>
                <w:lang w:val="en"/>
              </w:rPr>
              <w:t>1</w:t>
            </w:r>
            <w:r>
              <w:rPr>
                <w:rFonts w:hint="eastAsia" w:ascii="宋体" w:hAnsi="宋体" w:cs="宋体"/>
                <w:bCs/>
                <w:szCs w:val="21"/>
                <w:highlight w:val="none"/>
              </w:rPr>
              <w:t>分</w:t>
            </w:r>
            <w:r>
              <w:rPr>
                <w:rFonts w:hint="eastAsia" w:ascii="宋体" w:hAnsi="宋体" w:cs="宋体"/>
                <w:bCs/>
                <w:szCs w:val="21"/>
                <w:highlight w:val="none"/>
                <w:lang w:eastAsia="zh-CN"/>
              </w:rPr>
              <w:t>，</w:t>
            </w:r>
            <w:r>
              <w:rPr>
                <w:rFonts w:hint="eastAsia" w:ascii="宋体" w:hAnsi="宋体" w:cs="宋体"/>
                <w:bCs/>
                <w:szCs w:val="21"/>
                <w:highlight w:val="none"/>
              </w:rPr>
              <w:t>具备信息系统项目管理师（高级）或系统分析师（高级），每有</w:t>
            </w:r>
            <w:r>
              <w:rPr>
                <w:rFonts w:hint="eastAsia" w:ascii="宋体" w:hAnsi="宋体" w:cs="宋体"/>
                <w:bCs/>
                <w:szCs w:val="21"/>
                <w:highlight w:val="none"/>
                <w:lang w:val="en-US" w:eastAsia="zh-CN"/>
              </w:rPr>
              <w:t>1</w:t>
            </w:r>
            <w:r>
              <w:rPr>
                <w:rFonts w:hint="eastAsia" w:ascii="宋体" w:hAnsi="宋体" w:cs="宋体"/>
                <w:bCs/>
                <w:szCs w:val="21"/>
                <w:highlight w:val="none"/>
              </w:rPr>
              <w:t>人得</w:t>
            </w:r>
            <w:r>
              <w:rPr>
                <w:rFonts w:ascii="宋体" w:hAnsi="宋体" w:cs="宋体"/>
                <w:bCs/>
                <w:szCs w:val="21"/>
                <w:highlight w:val="none"/>
                <w:lang w:val="en"/>
              </w:rPr>
              <w:t>2</w:t>
            </w:r>
            <w:r>
              <w:rPr>
                <w:rFonts w:hint="eastAsia" w:ascii="宋体" w:hAnsi="宋体" w:cs="宋体"/>
                <w:bCs/>
                <w:szCs w:val="21"/>
                <w:highlight w:val="none"/>
              </w:rPr>
              <w:t>分</w:t>
            </w:r>
            <w:r>
              <w:rPr>
                <w:rFonts w:hint="eastAsia" w:ascii="宋体" w:hAnsi="宋体" w:cs="宋体"/>
                <w:bCs/>
                <w:szCs w:val="21"/>
                <w:highlight w:val="none"/>
                <w:lang w:eastAsia="zh-CN"/>
              </w:rPr>
              <w:t>，</w:t>
            </w:r>
            <w:r>
              <w:rPr>
                <w:rFonts w:hint="eastAsia" w:ascii="宋体" w:hAnsi="宋体" w:cs="宋体"/>
                <w:bCs/>
                <w:szCs w:val="21"/>
                <w:highlight w:val="none"/>
              </w:rPr>
              <w:t>满分</w:t>
            </w:r>
            <w:r>
              <w:rPr>
                <w:rFonts w:ascii="宋体" w:hAnsi="宋体" w:cs="宋体"/>
                <w:bCs/>
                <w:szCs w:val="21"/>
                <w:highlight w:val="none"/>
                <w:lang w:val="en"/>
              </w:rPr>
              <w:t>6</w:t>
            </w:r>
            <w:r>
              <w:rPr>
                <w:rFonts w:hint="eastAsia" w:ascii="宋体" w:hAnsi="宋体" w:cs="宋体"/>
                <w:bCs/>
                <w:szCs w:val="21"/>
                <w:highlight w:val="none"/>
              </w:rPr>
              <w:t>分。</w:t>
            </w:r>
          </w:p>
          <w:p>
            <w:pPr>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
              </w:rPr>
              <w:t>B</w:t>
            </w:r>
            <w:r>
              <w:rPr>
                <w:rFonts w:hint="eastAsia" w:ascii="宋体" w:hAnsi="宋体" w:cs="宋体"/>
                <w:bCs/>
                <w:szCs w:val="21"/>
                <w:highlight w:val="none"/>
                <w:lang w:val="en-US" w:eastAsia="zh-CN"/>
              </w:rPr>
              <w:t>.</w:t>
            </w:r>
            <w:r>
              <w:rPr>
                <w:rFonts w:hint="eastAsia" w:ascii="宋体" w:hAnsi="宋体" w:cs="宋体"/>
                <w:bCs/>
                <w:szCs w:val="21"/>
                <w:highlight w:val="none"/>
              </w:rPr>
              <w:t xml:space="preserve"> 项目服务期内，供应商承诺投入本项目的服务团队技术人员中具备中华人民共和国工业和信息化部认证的网络信息安全工程师，每有</w:t>
            </w:r>
            <w:r>
              <w:rPr>
                <w:rFonts w:hint="eastAsia" w:ascii="宋体" w:hAnsi="宋体" w:cs="宋体"/>
                <w:bCs/>
                <w:szCs w:val="21"/>
                <w:highlight w:val="none"/>
                <w:lang w:val="en-US" w:eastAsia="zh-CN"/>
              </w:rPr>
              <w:t>1</w:t>
            </w:r>
            <w:r>
              <w:rPr>
                <w:rFonts w:hint="eastAsia" w:ascii="宋体" w:hAnsi="宋体" w:cs="宋体"/>
                <w:bCs/>
                <w:szCs w:val="21"/>
                <w:highlight w:val="none"/>
              </w:rPr>
              <w:t>人得</w:t>
            </w:r>
            <w:r>
              <w:rPr>
                <w:rFonts w:ascii="宋体" w:hAnsi="宋体" w:cs="宋体"/>
                <w:bCs/>
                <w:szCs w:val="21"/>
                <w:highlight w:val="none"/>
                <w:lang w:val="en"/>
              </w:rPr>
              <w:t>1</w:t>
            </w:r>
            <w:r>
              <w:rPr>
                <w:rFonts w:hint="eastAsia" w:ascii="宋体" w:hAnsi="宋体" w:cs="宋体"/>
                <w:bCs/>
                <w:szCs w:val="21"/>
                <w:highlight w:val="none"/>
              </w:rPr>
              <w:t>分</w:t>
            </w:r>
            <w:r>
              <w:rPr>
                <w:rFonts w:hint="eastAsia" w:ascii="宋体" w:hAnsi="宋体" w:cs="宋体"/>
                <w:bCs/>
                <w:szCs w:val="21"/>
                <w:highlight w:val="none"/>
                <w:lang w:eastAsia="zh-CN"/>
              </w:rPr>
              <w:t>，</w:t>
            </w:r>
            <w:r>
              <w:rPr>
                <w:rFonts w:hint="eastAsia" w:ascii="宋体" w:hAnsi="宋体" w:cs="宋体"/>
                <w:bCs/>
                <w:szCs w:val="21"/>
                <w:highlight w:val="none"/>
              </w:rPr>
              <w:t>具备高级网络与信息安全工程师的，每有</w:t>
            </w:r>
            <w:r>
              <w:rPr>
                <w:rFonts w:hint="eastAsia" w:ascii="宋体" w:hAnsi="宋体" w:cs="宋体"/>
                <w:bCs/>
                <w:szCs w:val="21"/>
                <w:highlight w:val="none"/>
                <w:lang w:val="en-US" w:eastAsia="zh-CN"/>
              </w:rPr>
              <w:t>1</w:t>
            </w:r>
            <w:r>
              <w:rPr>
                <w:rFonts w:hint="eastAsia" w:ascii="宋体" w:hAnsi="宋体" w:cs="宋体"/>
                <w:bCs/>
                <w:szCs w:val="21"/>
                <w:highlight w:val="none"/>
              </w:rPr>
              <w:t>人得</w:t>
            </w:r>
            <w:r>
              <w:rPr>
                <w:rFonts w:ascii="宋体" w:hAnsi="宋体" w:cs="宋体"/>
                <w:bCs/>
                <w:szCs w:val="21"/>
                <w:highlight w:val="none"/>
                <w:lang w:val="en"/>
              </w:rPr>
              <w:t>2</w:t>
            </w:r>
            <w:r>
              <w:rPr>
                <w:rFonts w:hint="eastAsia" w:ascii="宋体" w:hAnsi="宋体" w:cs="宋体"/>
                <w:bCs/>
                <w:szCs w:val="21"/>
                <w:highlight w:val="none"/>
              </w:rPr>
              <w:t>分</w:t>
            </w:r>
            <w:r>
              <w:rPr>
                <w:rFonts w:hint="eastAsia" w:ascii="宋体" w:hAnsi="宋体" w:cs="宋体"/>
                <w:bCs/>
                <w:szCs w:val="21"/>
                <w:highlight w:val="none"/>
                <w:lang w:eastAsia="zh-CN"/>
              </w:rPr>
              <w:t>，</w:t>
            </w:r>
            <w:r>
              <w:rPr>
                <w:rFonts w:hint="eastAsia" w:ascii="宋体" w:hAnsi="宋体" w:cs="宋体"/>
                <w:bCs/>
                <w:szCs w:val="21"/>
                <w:highlight w:val="none"/>
              </w:rPr>
              <w:t>满分</w:t>
            </w:r>
            <w:r>
              <w:rPr>
                <w:rFonts w:ascii="宋体" w:hAnsi="宋体" w:cs="宋体"/>
                <w:bCs/>
                <w:szCs w:val="21"/>
                <w:highlight w:val="none"/>
                <w:lang w:val="en"/>
              </w:rPr>
              <w:t>6</w:t>
            </w:r>
            <w:r>
              <w:rPr>
                <w:rFonts w:hint="eastAsia" w:ascii="宋体" w:hAnsi="宋体" w:cs="宋体"/>
                <w:bCs/>
                <w:szCs w:val="21"/>
                <w:highlight w:val="none"/>
              </w:rPr>
              <w:t>分。</w:t>
            </w:r>
          </w:p>
          <w:p>
            <w:pPr>
              <w:tabs>
                <w:tab w:val="center" w:pos="4153"/>
                <w:tab w:val="right" w:pos="8306"/>
              </w:tabs>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
              </w:rPr>
              <w:t>C</w:t>
            </w:r>
            <w:r>
              <w:rPr>
                <w:rFonts w:hint="eastAsia" w:ascii="宋体" w:hAnsi="宋体" w:cs="宋体"/>
                <w:bCs/>
                <w:szCs w:val="21"/>
                <w:highlight w:val="none"/>
                <w:lang w:val="en-US" w:eastAsia="zh-CN"/>
              </w:rPr>
              <w:t>.</w:t>
            </w:r>
            <w:r>
              <w:rPr>
                <w:rFonts w:hint="eastAsia" w:ascii="宋体" w:hAnsi="宋体" w:cs="宋体"/>
                <w:bCs/>
                <w:szCs w:val="21"/>
                <w:highlight w:val="none"/>
              </w:rPr>
              <w:t xml:space="preserve"> 项目服务期内，供应商承诺投入本项目的服务团队技术人员中具备中华人民共和国国家互联网应急中心颁发的网络安全能力认证（网络安全技术）人员的，每有</w:t>
            </w:r>
            <w:r>
              <w:rPr>
                <w:rFonts w:hint="eastAsia" w:ascii="宋体" w:hAnsi="宋体" w:cs="宋体"/>
                <w:bCs/>
                <w:szCs w:val="21"/>
                <w:highlight w:val="none"/>
                <w:lang w:val="en-US" w:eastAsia="zh-CN"/>
              </w:rPr>
              <w:t>1</w:t>
            </w:r>
            <w:r>
              <w:rPr>
                <w:rFonts w:hint="eastAsia" w:ascii="宋体" w:hAnsi="宋体" w:cs="宋体"/>
                <w:bCs/>
                <w:szCs w:val="21"/>
                <w:highlight w:val="none"/>
              </w:rPr>
              <w:t>人得</w:t>
            </w:r>
            <w:r>
              <w:rPr>
                <w:rFonts w:ascii="宋体" w:hAnsi="宋体" w:cs="宋体"/>
                <w:bCs/>
                <w:szCs w:val="21"/>
                <w:highlight w:val="none"/>
                <w:lang w:val="en"/>
              </w:rPr>
              <w:t>1</w:t>
            </w:r>
            <w:r>
              <w:rPr>
                <w:rFonts w:hint="eastAsia" w:ascii="宋体" w:hAnsi="宋体" w:cs="宋体"/>
                <w:bCs/>
                <w:szCs w:val="21"/>
                <w:highlight w:val="none"/>
              </w:rPr>
              <w:t>分，满分</w:t>
            </w:r>
            <w:r>
              <w:rPr>
                <w:rFonts w:ascii="宋体" w:hAnsi="宋体" w:cs="宋体"/>
                <w:bCs/>
                <w:szCs w:val="21"/>
                <w:highlight w:val="none"/>
                <w:lang w:val="en"/>
              </w:rPr>
              <w:t>2</w:t>
            </w:r>
            <w:r>
              <w:rPr>
                <w:rFonts w:hint="eastAsia" w:ascii="宋体" w:hAnsi="宋体" w:cs="宋体"/>
                <w:bCs/>
                <w:szCs w:val="21"/>
                <w:highlight w:val="none"/>
              </w:rPr>
              <w:t>分。</w:t>
            </w:r>
          </w:p>
          <w:p>
            <w:pPr>
              <w:spacing w:line="400" w:lineRule="exact"/>
              <w:ind w:firstLine="420" w:firstLineChars="200"/>
              <w:rPr>
                <w:rFonts w:hint="eastAsia" w:ascii="宋体" w:hAnsi="宋体" w:eastAsia="宋体" w:cs="宋体"/>
                <w:bCs/>
                <w:szCs w:val="21"/>
                <w:highlight w:val="none"/>
                <w:lang w:val="en" w:eastAsia="zh-CN"/>
              </w:rPr>
            </w:pPr>
            <w:r>
              <w:rPr>
                <w:rFonts w:hint="eastAsia" w:ascii="宋体" w:hAnsi="宋体" w:eastAsia="宋体" w:cs="宋体"/>
                <w:bCs/>
                <w:szCs w:val="21"/>
                <w:highlight w:val="none"/>
                <w:lang w:val="en"/>
              </w:rPr>
              <w:t>D</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lang w:val="en"/>
              </w:rPr>
              <w:t xml:space="preserve"> 项目服务期内，</w:t>
            </w:r>
            <w:r>
              <w:rPr>
                <w:rFonts w:hint="eastAsia" w:ascii="宋体" w:hAnsi="宋体" w:eastAsia="宋体" w:cs="宋体"/>
                <w:bCs/>
                <w:szCs w:val="21"/>
                <w:highlight w:val="none"/>
                <w:lang w:val="en" w:eastAsia="zh-CN"/>
              </w:rPr>
              <w:t>驻场人员</w:t>
            </w:r>
            <w:r>
              <w:rPr>
                <w:rFonts w:hint="eastAsia" w:ascii="宋体" w:hAnsi="宋体" w:eastAsia="宋体" w:cs="宋体"/>
                <w:bCs/>
                <w:szCs w:val="21"/>
                <w:highlight w:val="none"/>
                <w:lang w:val="en-US" w:eastAsia="zh-CN"/>
              </w:rPr>
              <w:t>3名</w:t>
            </w:r>
            <w:r>
              <w:rPr>
                <w:rFonts w:hint="eastAsia" w:ascii="宋体" w:hAnsi="宋体" w:eastAsia="宋体" w:cs="宋体"/>
                <w:bCs/>
                <w:szCs w:val="21"/>
                <w:highlight w:val="none"/>
                <w:lang w:val="en" w:eastAsia="zh-CN"/>
              </w:rPr>
              <w:t>服务人员</w:t>
            </w:r>
            <w:r>
              <w:rPr>
                <w:rFonts w:hint="eastAsia" w:ascii="宋体" w:hAnsi="宋体" w:eastAsia="宋体" w:cs="宋体"/>
                <w:b w:val="0"/>
                <w:bCs/>
                <w:szCs w:val="21"/>
                <w:highlight w:val="none"/>
                <w:lang w:val="en-US" w:eastAsia="zh-CN"/>
              </w:rPr>
              <w:t>资质：</w:t>
            </w:r>
          </w:p>
          <w:p>
            <w:pPr>
              <w:numPr>
                <w:ilvl w:val="0"/>
                <w:numId w:val="0"/>
              </w:numPr>
              <w:tabs>
                <w:tab w:val="left" w:pos="312"/>
              </w:tabs>
              <w:spacing w:line="400" w:lineRule="exact"/>
              <w:ind w:firstLine="420" w:firstLineChars="200"/>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1.驻场人员一要求同时具备CISP-PTE注册信息安全渗透测试工程师、CISAW信息安全保障人员、H3CSE或其他</w:t>
            </w:r>
            <w:bookmarkStart w:id="115" w:name="OLE_LINK2"/>
            <w:r>
              <w:rPr>
                <w:rFonts w:hint="eastAsia" w:ascii="宋体" w:hAnsi="宋体" w:eastAsia="宋体" w:cs="宋体"/>
                <w:b w:val="0"/>
                <w:bCs/>
                <w:szCs w:val="21"/>
                <w:highlight w:val="none"/>
                <w:lang w:val="en-US" w:eastAsia="zh-CN"/>
              </w:rPr>
              <w:t>厂商安全类高级认证</w:t>
            </w:r>
            <w:bookmarkEnd w:id="115"/>
            <w:r>
              <w:rPr>
                <w:rFonts w:hint="eastAsia" w:ascii="宋体" w:hAnsi="宋体" w:eastAsia="宋体" w:cs="宋体"/>
                <w:b w:val="0"/>
                <w:bCs/>
                <w:szCs w:val="21"/>
                <w:highlight w:val="none"/>
                <w:lang w:val="en-US" w:eastAsia="zh-CN"/>
              </w:rPr>
              <w:t>，且</w:t>
            </w:r>
            <w:r>
              <w:rPr>
                <w:rFonts w:hint="eastAsia" w:ascii="宋体" w:hAnsi="宋体" w:cs="宋体"/>
                <w:b w:val="0"/>
                <w:bCs/>
                <w:szCs w:val="21"/>
                <w:highlight w:val="none"/>
                <w:lang w:val="en-US" w:eastAsia="zh-CN"/>
              </w:rPr>
              <w:t>具备从事网络安全保障服务类</w:t>
            </w:r>
            <w:r>
              <w:rPr>
                <w:rFonts w:hint="eastAsia" w:ascii="宋体" w:hAnsi="宋体" w:eastAsia="宋体" w:cs="宋体"/>
                <w:b w:val="0"/>
                <w:bCs/>
                <w:szCs w:val="21"/>
                <w:highlight w:val="none"/>
                <w:lang w:val="en-US" w:eastAsia="zh-CN"/>
              </w:rPr>
              <w:t>五年以上工作经验的得1.5分，满分1.5分。</w:t>
            </w:r>
          </w:p>
          <w:p>
            <w:pPr>
              <w:numPr>
                <w:ilvl w:val="0"/>
                <w:numId w:val="0"/>
              </w:numPr>
              <w:tabs>
                <w:tab w:val="left" w:pos="312"/>
              </w:tabs>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lang w:val="en-US" w:eastAsia="zh-CN"/>
              </w:rPr>
              <w:t>2.驻场人员二同时具备CISP注册信息安全专业人员、CISAW信息安全保障人员、H3CSE或其他厂商安全类中级认证，且具备从事网络安全保障服务类两年以上工作经验的得1分，满分1分；（优于按满分1分计）</w:t>
            </w:r>
          </w:p>
          <w:p>
            <w:pPr>
              <w:numPr>
                <w:ilvl w:val="0"/>
                <w:numId w:val="0"/>
              </w:numPr>
              <w:tabs>
                <w:tab w:val="left" w:pos="312"/>
              </w:tabs>
              <w:spacing w:line="40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lang w:val="en-US" w:eastAsia="zh-CN"/>
              </w:rPr>
              <w:t>3.驻场人员三</w:t>
            </w:r>
            <w:r>
              <w:rPr>
                <w:rFonts w:hint="eastAsia" w:ascii="宋体" w:hAnsi="宋体" w:cs="宋体"/>
                <w:b w:val="0"/>
                <w:bCs/>
                <w:szCs w:val="21"/>
                <w:highlight w:val="none"/>
                <w:lang w:val="en-US" w:eastAsia="zh-CN"/>
              </w:rPr>
              <w:t>同时</w:t>
            </w:r>
            <w:r>
              <w:rPr>
                <w:rFonts w:hint="eastAsia" w:ascii="宋体" w:hAnsi="宋体" w:eastAsia="宋体" w:cs="宋体"/>
                <w:b w:val="0"/>
                <w:bCs/>
                <w:szCs w:val="21"/>
                <w:highlight w:val="none"/>
                <w:lang w:val="en-US" w:eastAsia="zh-CN"/>
              </w:rPr>
              <w:t>具备CISAW信息安全保障人员</w:t>
            </w:r>
            <w:bookmarkStart w:id="116" w:name="OLE_LINK1"/>
            <w:r>
              <w:rPr>
                <w:rFonts w:hint="eastAsia" w:ascii="宋体" w:hAnsi="宋体" w:eastAsia="宋体" w:cs="宋体"/>
                <w:b w:val="0"/>
                <w:bCs/>
                <w:szCs w:val="21"/>
                <w:highlight w:val="none"/>
                <w:lang w:val="en-US" w:eastAsia="zh-CN"/>
              </w:rPr>
              <w:t>和H3CNE证书</w:t>
            </w:r>
            <w:bookmarkEnd w:id="116"/>
            <w:r>
              <w:rPr>
                <w:rFonts w:hint="eastAsia" w:ascii="宋体" w:hAnsi="宋体" w:eastAsia="宋体" w:cs="宋体"/>
                <w:b w:val="0"/>
                <w:bCs/>
                <w:szCs w:val="21"/>
                <w:highlight w:val="none"/>
                <w:lang w:val="en-US" w:eastAsia="zh-CN"/>
              </w:rPr>
              <w:t>或其他厂商认证的网络工程师证书，</w:t>
            </w:r>
            <w:r>
              <w:rPr>
                <w:rFonts w:hint="eastAsia" w:ascii="宋体" w:hAnsi="宋体" w:cs="宋体"/>
                <w:b w:val="0"/>
                <w:bCs/>
                <w:szCs w:val="21"/>
                <w:highlight w:val="none"/>
                <w:lang w:val="en-US" w:eastAsia="zh-CN"/>
              </w:rPr>
              <w:t>且具备从事网络安全保障服务类</w:t>
            </w:r>
            <w:r>
              <w:rPr>
                <w:rFonts w:hint="eastAsia" w:ascii="宋体" w:hAnsi="宋体" w:eastAsia="宋体" w:cs="宋体"/>
                <w:b w:val="0"/>
                <w:bCs/>
                <w:szCs w:val="21"/>
                <w:highlight w:val="none"/>
                <w:lang w:val="en-US" w:eastAsia="zh-CN"/>
              </w:rPr>
              <w:t>一年以上工作经验得0.5分，满分0.5分。（优于按满分0.5分计）</w:t>
            </w:r>
          </w:p>
          <w:p>
            <w:pPr>
              <w:numPr>
                <w:ilvl w:val="0"/>
                <w:numId w:val="0"/>
              </w:numPr>
              <w:tabs>
                <w:tab w:val="left" w:pos="312"/>
              </w:tabs>
              <w:spacing w:line="400" w:lineRule="exact"/>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lang w:val="en" w:eastAsia="zh-CN"/>
              </w:rPr>
              <w:t>在驻场服务人员</w:t>
            </w:r>
            <w:r>
              <w:rPr>
                <w:rFonts w:hint="eastAsia" w:ascii="宋体" w:hAnsi="宋体" w:eastAsia="宋体" w:cs="宋体"/>
                <w:bCs/>
                <w:szCs w:val="21"/>
                <w:highlight w:val="none"/>
                <w:lang w:val="en-US" w:eastAsia="zh-CN"/>
              </w:rPr>
              <w:t>3人基础上</w:t>
            </w:r>
            <w:r>
              <w:rPr>
                <w:rFonts w:hint="eastAsia" w:ascii="宋体" w:hAnsi="宋体" w:eastAsia="宋体" w:cs="宋体"/>
                <w:bCs/>
                <w:szCs w:val="21"/>
                <w:highlight w:val="none"/>
              </w:rPr>
              <w:t>，每增加</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名驻场人员且具备</w:t>
            </w:r>
            <w:r>
              <w:rPr>
                <w:rFonts w:hint="eastAsia" w:ascii="宋体" w:hAnsi="宋体" w:eastAsia="宋体" w:cs="宋体"/>
                <w:bCs/>
                <w:szCs w:val="21"/>
                <w:highlight w:val="none"/>
                <w:lang w:val="en"/>
              </w:rPr>
              <w:t>CISP-PTE</w:t>
            </w:r>
            <w:r>
              <w:rPr>
                <w:rFonts w:hint="eastAsia" w:ascii="宋体" w:hAnsi="宋体" w:eastAsia="宋体" w:cs="宋体"/>
                <w:bCs/>
                <w:szCs w:val="21"/>
                <w:highlight w:val="none"/>
              </w:rPr>
              <w:t>注册信息安全-渗透测试工程师及以上相关认证资质的得</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分，满分</w:t>
            </w: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分。</w:t>
            </w:r>
          </w:p>
          <w:p>
            <w:pPr>
              <w:pStyle w:val="7"/>
              <w:rPr>
                <w:rFonts w:hint="eastAsia"/>
                <w:highlight w:val="none"/>
                <w:lang w:val="en"/>
              </w:rPr>
            </w:pPr>
          </w:p>
          <w:p>
            <w:pPr>
              <w:spacing w:line="400" w:lineRule="exact"/>
              <w:ind w:firstLine="422" w:firstLineChars="200"/>
              <w:rPr>
                <w:rFonts w:hint="eastAsia" w:hAnsi="宋体"/>
                <w:highlight w:val="none"/>
              </w:rPr>
            </w:pPr>
            <w:r>
              <w:rPr>
                <w:rFonts w:hint="eastAsia" w:ascii="宋体" w:hAnsi="宋体" w:cs="宋体"/>
                <w:b/>
                <w:szCs w:val="21"/>
                <w:highlight w:val="none"/>
              </w:rPr>
              <w:t>注：须提供技术服务团队人员与</w:t>
            </w:r>
            <w:r>
              <w:rPr>
                <w:rFonts w:hint="eastAsia" w:ascii="宋体" w:hAnsi="宋体" w:cs="宋体"/>
                <w:b/>
                <w:szCs w:val="21"/>
                <w:highlight w:val="none"/>
                <w:lang w:eastAsia="zh-CN"/>
              </w:rPr>
              <w:t>供应商</w:t>
            </w:r>
            <w:r>
              <w:rPr>
                <w:rFonts w:hint="eastAsia" w:ascii="宋体" w:hAnsi="宋体" w:cs="宋体"/>
                <w:b/>
                <w:szCs w:val="21"/>
                <w:highlight w:val="none"/>
              </w:rPr>
              <w:t>签订的劳动或劳务合同、资质证书</w:t>
            </w:r>
            <w:r>
              <w:rPr>
                <w:rFonts w:hint="eastAsia" w:ascii="宋体" w:hAnsi="宋体" w:cs="宋体"/>
                <w:b/>
                <w:szCs w:val="21"/>
                <w:highlight w:val="none"/>
                <w:lang w:eastAsia="zh-CN"/>
              </w:rPr>
              <w:t>、以及</w:t>
            </w:r>
            <w:r>
              <w:rPr>
                <w:rFonts w:hint="eastAsia" w:ascii="宋体" w:hAnsi="宋体" w:cs="宋体"/>
                <w:b/>
                <w:szCs w:val="21"/>
                <w:highlight w:val="none"/>
              </w:rPr>
              <w:t>最近半年以内</w:t>
            </w:r>
            <w:r>
              <w:rPr>
                <w:rFonts w:hint="eastAsia" w:ascii="宋体" w:hAnsi="宋体" w:cs="宋体"/>
                <w:b/>
                <w:szCs w:val="21"/>
                <w:highlight w:val="none"/>
                <w:lang w:eastAsia="zh-CN"/>
              </w:rPr>
              <w:t>任意一</w:t>
            </w:r>
            <w:r>
              <w:rPr>
                <w:rFonts w:hint="eastAsia" w:ascii="宋体" w:hAnsi="宋体" w:cs="宋体"/>
                <w:b/>
                <w:szCs w:val="21"/>
                <w:highlight w:val="none"/>
              </w:rPr>
              <w:t>个月依法缴纳的社保证明复印件</w:t>
            </w:r>
            <w:r>
              <w:rPr>
                <w:rFonts w:hint="eastAsia" w:ascii="宋体" w:hAnsi="宋体" w:cs="宋体"/>
                <w:b/>
                <w:szCs w:val="21"/>
                <w:highlight w:val="none"/>
                <w:lang w:val="en-US" w:eastAsia="zh-CN"/>
              </w:rPr>
              <w:t>或工资发放流水</w:t>
            </w:r>
            <w:r>
              <w:rPr>
                <w:rFonts w:hint="eastAsia" w:ascii="宋体" w:hAnsi="宋体" w:cs="宋体"/>
                <w:b/>
                <w:szCs w:val="21"/>
                <w:highlight w:val="none"/>
              </w:rPr>
              <w:t>等证明材料</w:t>
            </w:r>
            <w:r>
              <w:rPr>
                <w:rFonts w:hint="eastAsia" w:ascii="宋体" w:hAnsi="宋体" w:cs="宋体"/>
                <w:b/>
                <w:szCs w:val="21"/>
                <w:highlight w:val="none"/>
                <w:lang w:eastAsia="zh-CN"/>
              </w:rPr>
              <w:t>，</w:t>
            </w:r>
            <w:r>
              <w:rPr>
                <w:rFonts w:hint="eastAsia" w:ascii="宋体" w:hAnsi="宋体" w:cs="宋体"/>
                <w:b/>
                <w:szCs w:val="21"/>
                <w:highlight w:val="none"/>
              </w:rPr>
              <w:t>且承诺提供的人员相关技术资质认证仅在本项目供应商使用，方可获得相应分值。同一人员不同类别证书可累计加分，同类别证书只计最高级别</w:t>
            </w:r>
            <w:r>
              <w:rPr>
                <w:rFonts w:hint="eastAsia" w:ascii="宋体" w:hAnsi="宋体" w:cs="宋体"/>
                <w:b/>
                <w:szCs w:val="21"/>
                <w:highlight w:val="none"/>
                <w:lang w:eastAsia="zh-CN"/>
              </w:rPr>
              <w:t>。</w:t>
            </w:r>
            <w:bookmarkEnd w:id="114"/>
          </w:p>
        </w:tc>
        <w:tc>
          <w:tcPr>
            <w:tcW w:w="957" w:type="dxa"/>
            <w:noWrap w:val="0"/>
            <w:vAlign w:val="center"/>
          </w:tcPr>
          <w:p>
            <w:pPr>
              <w:widowControl/>
              <w:spacing w:line="360" w:lineRule="auto"/>
              <w:jc w:val="center"/>
              <w:rPr>
                <w:rFonts w:hint="eastAsia" w:ascii="宋体" w:hAnsi="宋体" w:cs="微软雅黑"/>
                <w:b/>
                <w:bCs/>
                <w:szCs w:val="21"/>
                <w:highlight w:val="none"/>
              </w:rPr>
            </w:pPr>
          </w:p>
          <w:p>
            <w:pPr>
              <w:widowControl/>
              <w:spacing w:line="360" w:lineRule="auto"/>
              <w:jc w:val="center"/>
              <w:rPr>
                <w:rFonts w:hint="eastAsia"/>
                <w:bCs/>
                <w:szCs w:val="21"/>
                <w:highlight w:val="none"/>
              </w:rPr>
            </w:pPr>
            <w:r>
              <w:rPr>
                <w:rFonts w:ascii="宋体" w:hAnsi="宋体" w:cs="微软雅黑"/>
                <w:b/>
                <w:bCs/>
                <w:szCs w:val="21"/>
                <w:highlight w:val="none"/>
                <w:lang w:val="en"/>
              </w:rPr>
              <w:t>45</w:t>
            </w:r>
            <w:r>
              <w:rPr>
                <w:rFonts w:hint="eastAsia" w:ascii="宋体" w:hAnsi="宋体" w:cs="微软雅黑"/>
                <w:b/>
                <w:bCs/>
                <w:szCs w:val="21"/>
                <w:highlight w:val="none"/>
              </w:rPr>
              <w:t>分</w:t>
            </w:r>
          </w:p>
        </w:tc>
      </w:tr>
    </w:tbl>
    <w:p>
      <w:pPr>
        <w:pStyle w:val="7"/>
        <w:rPr>
          <w:rFonts w:hint="eastAsia" w:ascii="宋体" w:hAnsi="宋体" w:cs="宋体"/>
          <w:bCs/>
          <w:szCs w:val="21"/>
          <w:highlight w:val="none"/>
        </w:rPr>
      </w:pPr>
    </w:p>
    <w:p>
      <w:pPr>
        <w:spacing w:line="360" w:lineRule="auto"/>
        <w:ind w:firstLine="420" w:firstLineChars="200"/>
        <w:rPr>
          <w:rFonts w:hint="eastAsia" w:ascii="宋体" w:hAnsi="宋体" w:cs="宋体"/>
          <w:highlight w:val="none"/>
        </w:rPr>
      </w:pPr>
      <w:bookmarkStart w:id="117" w:name="_Toc80205935"/>
      <w:r>
        <w:rPr>
          <w:rFonts w:hint="eastAsia" w:ascii="宋体" w:hAnsi="宋体" w:cs="宋体"/>
          <w:highlight w:val="none"/>
        </w:rPr>
        <w:t>7.2终止竞争性磋商采购活动</w:t>
      </w:r>
    </w:p>
    <w:p>
      <w:pPr>
        <w:spacing w:line="360" w:lineRule="auto"/>
        <w:ind w:firstLine="420" w:firstLineChars="200"/>
        <w:rPr>
          <w:rFonts w:hint="eastAsia" w:ascii="宋体" w:hAnsi="宋体" w:cs="宋体"/>
          <w:highlight w:val="none"/>
        </w:rPr>
      </w:pPr>
      <w:r>
        <w:rPr>
          <w:rFonts w:hint="eastAsia" w:ascii="宋体" w:hAnsi="宋体" w:cs="宋体"/>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3"/>
        <w:spacing w:before="0" w:after="0" w:line="360" w:lineRule="auto"/>
        <w:ind w:firstLine="640" w:firstLineChars="200"/>
        <w:jc w:val="center"/>
        <w:rPr>
          <w:rFonts w:hint="eastAsia" w:ascii="宋体" w:hAnsi="宋体"/>
          <w:b w:val="0"/>
          <w:highlight w:val="none"/>
        </w:rPr>
      </w:pPr>
    </w:p>
    <w:p>
      <w:pPr>
        <w:rPr>
          <w:rFonts w:hint="eastAsia" w:ascii="宋体" w:hAnsi="宋体"/>
          <w:b/>
          <w:highlight w:val="none"/>
        </w:rPr>
      </w:pPr>
    </w:p>
    <w:p>
      <w:pPr>
        <w:rPr>
          <w:rFonts w:hint="eastAsia" w:ascii="宋体" w:hAnsi="宋体"/>
          <w:b/>
          <w:highlight w:val="none"/>
        </w:rPr>
      </w:pPr>
    </w:p>
    <w:p>
      <w:pPr>
        <w:pStyle w:val="3"/>
        <w:spacing w:before="0" w:after="0" w:line="360" w:lineRule="auto"/>
        <w:ind w:firstLine="640" w:firstLineChars="200"/>
        <w:jc w:val="center"/>
        <w:rPr>
          <w:rFonts w:hint="eastAsia" w:ascii="宋体" w:hAnsi="宋体"/>
          <w:b w:val="0"/>
          <w:highlight w:val="none"/>
        </w:rPr>
      </w:pPr>
      <w:bookmarkStart w:id="118" w:name="_Toc80886939"/>
      <w:r>
        <w:rPr>
          <w:rFonts w:hint="eastAsia" w:ascii="宋体" w:hAnsi="宋体"/>
          <w:b w:val="0"/>
          <w:highlight w:val="none"/>
        </w:rPr>
        <w:br w:type="page"/>
      </w:r>
      <w:bookmarkStart w:id="119" w:name="_Toc11595"/>
      <w:bookmarkStart w:id="120" w:name="_Toc22545"/>
      <w:r>
        <w:rPr>
          <w:rFonts w:hint="eastAsia" w:ascii="宋体" w:hAnsi="宋体"/>
          <w:b w:val="0"/>
          <w:highlight w:val="none"/>
        </w:rPr>
        <w:t>第二节 评审报告</w:t>
      </w:r>
      <w:bookmarkEnd w:id="117"/>
      <w:bookmarkEnd w:id="118"/>
      <w:bookmarkEnd w:id="119"/>
      <w:bookmarkEnd w:id="120"/>
    </w:p>
    <w:p>
      <w:pPr>
        <w:spacing w:line="360" w:lineRule="auto"/>
        <w:ind w:firstLine="480" w:firstLineChars="200"/>
        <w:rPr>
          <w:rFonts w:hint="eastAsia" w:ascii="黑体" w:hAnsi="黑体" w:eastAsia="黑体" w:cs="宋体"/>
          <w:sz w:val="24"/>
          <w:szCs w:val="32"/>
          <w:highlight w:val="none"/>
        </w:rPr>
      </w:pPr>
      <w:r>
        <w:rPr>
          <w:rFonts w:hint="eastAsia" w:ascii="黑体" w:hAnsi="黑体" w:eastAsia="黑体" w:cs="宋体"/>
          <w:sz w:val="24"/>
          <w:szCs w:val="32"/>
          <w:highlight w:val="none"/>
        </w:rPr>
        <w:t>1.成交标准</w:t>
      </w:r>
    </w:p>
    <w:p>
      <w:pPr>
        <w:spacing w:line="360" w:lineRule="auto"/>
        <w:ind w:firstLine="420" w:firstLineChars="200"/>
        <w:rPr>
          <w:rFonts w:hint="eastAsia" w:ascii="宋体" w:hAnsi="宋体" w:cs="宋体"/>
          <w:sz w:val="24"/>
          <w:highlight w:val="none"/>
        </w:rPr>
      </w:pPr>
      <w:r>
        <w:rPr>
          <w:rFonts w:hint="eastAsia" w:ascii="宋体" w:hAnsi="宋体" w:cs="宋体"/>
          <w:bCs/>
          <w:szCs w:val="21"/>
          <w:highlight w:val="none"/>
        </w:rPr>
        <w:t>由磋商小组根据综合评分情况，按照评审得分由高到低顺序推荐3名以上成交候选供应商</w:t>
      </w:r>
      <w:r>
        <w:rPr>
          <w:rFonts w:hint="eastAsia" w:ascii="宋体" w:hAnsi="宋体" w:cs="宋体"/>
          <w:highlight w:val="none"/>
        </w:rPr>
        <w:t>,并在线编写电子评审报告</w:t>
      </w:r>
      <w:r>
        <w:rPr>
          <w:rFonts w:hint="eastAsia" w:ascii="宋体" w:hAnsi="宋体" w:cs="宋体"/>
          <w:bCs/>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评审得分、最后报价（不计算价格折扣）、技术分得分均相同的，由磋商小组随机抽取推荐。</w:t>
      </w:r>
    </w:p>
    <w:p>
      <w:pPr>
        <w:spacing w:line="360" w:lineRule="auto"/>
        <w:ind w:firstLine="480" w:firstLineChars="200"/>
        <w:rPr>
          <w:rFonts w:hint="eastAsia" w:ascii="黑体" w:hAnsi="黑体" w:eastAsia="黑体" w:cs="宋体"/>
          <w:sz w:val="24"/>
          <w:szCs w:val="32"/>
          <w:highlight w:val="none"/>
        </w:rPr>
      </w:pPr>
      <w:r>
        <w:rPr>
          <w:rFonts w:hint="eastAsia" w:ascii="黑体" w:hAnsi="黑体" w:eastAsia="黑体" w:cs="宋体"/>
          <w:sz w:val="24"/>
          <w:szCs w:val="32"/>
          <w:highlight w:val="none"/>
        </w:rPr>
        <w:t>2.评标争议</w:t>
      </w:r>
      <w:r>
        <w:rPr>
          <w:rFonts w:ascii="黑体" w:hAnsi="黑体" w:eastAsia="黑体" w:cs="宋体"/>
          <w:sz w:val="24"/>
          <w:szCs w:val="32"/>
          <w:highlight w:val="none"/>
        </w:rPr>
        <w:t>事项</w:t>
      </w:r>
      <w:r>
        <w:rPr>
          <w:rFonts w:hint="eastAsia" w:ascii="黑体" w:hAnsi="黑体" w:eastAsia="黑体" w:cs="宋体"/>
          <w:sz w:val="24"/>
          <w:szCs w:val="32"/>
          <w:highlight w:val="none"/>
        </w:rPr>
        <w:t>处理</w:t>
      </w:r>
    </w:p>
    <w:p>
      <w:pPr>
        <w:pStyle w:val="71"/>
        <w:spacing w:before="0"/>
        <w:ind w:firstLine="420"/>
        <w:rPr>
          <w:rFonts w:hint="eastAsia" w:ascii="宋体" w:hAnsi="宋体" w:cs="宋体"/>
          <w:kern w:val="2"/>
          <w:sz w:val="21"/>
          <w:szCs w:val="24"/>
          <w:highlight w:val="none"/>
        </w:rPr>
      </w:pPr>
      <w:r>
        <w:rPr>
          <w:rFonts w:hint="eastAsia" w:ascii="宋体" w:hAnsi="宋体" w:cs="宋体"/>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pPr>
        <w:pStyle w:val="71"/>
        <w:spacing w:before="0"/>
        <w:ind w:firstLine="420"/>
        <w:rPr>
          <w:rFonts w:cs="宋体"/>
          <w:kern w:val="2"/>
          <w:sz w:val="21"/>
          <w:szCs w:val="24"/>
          <w:highlight w:val="none"/>
        </w:rPr>
      </w:pPr>
    </w:p>
    <w:p>
      <w:pPr>
        <w:pStyle w:val="3"/>
        <w:spacing w:before="0" w:after="0" w:line="360" w:lineRule="auto"/>
        <w:ind w:firstLine="640" w:firstLineChars="200"/>
        <w:jc w:val="center"/>
        <w:rPr>
          <w:rFonts w:ascii="宋体" w:hAnsi="宋体"/>
          <w:b w:val="0"/>
          <w:highlight w:val="none"/>
        </w:rPr>
      </w:pPr>
      <w:bookmarkStart w:id="121" w:name="_Toc20045"/>
      <w:bookmarkStart w:id="122" w:name="_Toc80886940"/>
      <w:bookmarkStart w:id="123" w:name="_Toc2025"/>
      <w:bookmarkStart w:id="124" w:name="_Toc80205936"/>
      <w:r>
        <w:rPr>
          <w:rFonts w:hint="eastAsia" w:ascii="宋体" w:hAnsi="宋体"/>
          <w:b w:val="0"/>
          <w:highlight w:val="none"/>
        </w:rPr>
        <w:t>第三节 评审过程的保密与录像</w:t>
      </w:r>
      <w:bookmarkEnd w:id="121"/>
      <w:bookmarkEnd w:id="122"/>
      <w:bookmarkEnd w:id="123"/>
      <w:bookmarkEnd w:id="124"/>
    </w:p>
    <w:p>
      <w:pPr>
        <w:spacing w:line="360" w:lineRule="auto"/>
        <w:ind w:firstLine="480" w:firstLineChars="200"/>
        <w:rPr>
          <w:rFonts w:hint="eastAsia" w:ascii="黑体" w:hAnsi="黑体" w:eastAsia="黑体" w:cs="宋体"/>
          <w:sz w:val="24"/>
          <w:szCs w:val="32"/>
          <w:highlight w:val="none"/>
        </w:rPr>
      </w:pPr>
      <w:r>
        <w:rPr>
          <w:rFonts w:hint="eastAsia" w:ascii="黑体" w:hAnsi="黑体" w:eastAsia="黑体" w:cs="宋体"/>
          <w:sz w:val="24"/>
          <w:szCs w:val="32"/>
          <w:highlight w:val="none"/>
        </w:rPr>
        <w:t>1.保密。</w:t>
      </w:r>
    </w:p>
    <w:p>
      <w:pPr>
        <w:widowControl/>
        <w:spacing w:line="360" w:lineRule="auto"/>
        <w:ind w:firstLine="420" w:firstLineChars="200"/>
        <w:rPr>
          <w:rFonts w:cs="宋体"/>
          <w:highlight w:val="none"/>
        </w:rPr>
      </w:pPr>
      <w:r>
        <w:rPr>
          <w:rFonts w:cs="宋体"/>
          <w:highlight w:val="none"/>
        </w:rPr>
        <w:t>评审活动在严格保密的情况下进行。评审过程中凡是与响应文件评审和比较、中标成交供应商推荐等评审有关的情况，以及涉及国家秘密和商业秘密等信息，</w:t>
      </w:r>
      <w:r>
        <w:rPr>
          <w:rFonts w:hint="eastAsia" w:cs="宋体"/>
          <w:highlight w:val="none"/>
        </w:rPr>
        <w:t>磋商小组</w:t>
      </w:r>
      <w:r>
        <w:rPr>
          <w:rFonts w:cs="宋体"/>
          <w:highlight w:val="none"/>
        </w:rPr>
        <w:t>成员、采购人和采购</w:t>
      </w:r>
      <w:r>
        <w:rPr>
          <w:rFonts w:hint="eastAsia" w:cs="宋体"/>
          <w:highlight w:val="none"/>
        </w:rPr>
        <w:t>代理</w:t>
      </w:r>
      <w:r>
        <w:rPr>
          <w:rFonts w:cs="宋体"/>
          <w:highlight w:val="none"/>
        </w:rPr>
        <w:t>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highlight w:val="none"/>
        </w:rPr>
      </w:pPr>
      <w:r>
        <w:rPr>
          <w:rFonts w:hint="eastAsia" w:ascii="黑体" w:hAnsi="黑体" w:eastAsia="黑体" w:cs="宋体"/>
          <w:sz w:val="24"/>
          <w:szCs w:val="32"/>
          <w:highlight w:val="none"/>
        </w:rPr>
        <w:t>2.录音录像。</w:t>
      </w:r>
    </w:p>
    <w:p>
      <w:pPr>
        <w:spacing w:line="360" w:lineRule="auto"/>
        <w:ind w:firstLine="420" w:firstLineChars="200"/>
        <w:rPr>
          <w:rFonts w:hint="eastAsia" w:cs="宋体"/>
          <w:highlight w:val="none"/>
        </w:rPr>
      </w:pPr>
      <w:r>
        <w:rPr>
          <w:rFonts w:hint="eastAsia" w:cs="宋体"/>
          <w:highlight w:val="none"/>
        </w:rPr>
        <w:t>采购代理机构对评审工作现场及操作屏幕进行全过程录音录像，录音录像资料作为采购项目文件随其他文件一并存档。</w:t>
      </w:r>
    </w:p>
    <w:p>
      <w:pPr>
        <w:spacing w:line="400" w:lineRule="exact"/>
        <w:ind w:firstLine="420" w:firstLineChars="200"/>
        <w:rPr>
          <w:rFonts w:hint="eastAsia" w:cs="宋体"/>
          <w:highlight w:val="none"/>
        </w:rPr>
      </w:pPr>
    </w:p>
    <w:p>
      <w:pPr>
        <w:spacing w:line="400" w:lineRule="exact"/>
        <w:ind w:firstLine="420" w:firstLineChars="200"/>
        <w:rPr>
          <w:rFonts w:hint="eastAsia" w:cs="宋体"/>
          <w:highlight w:val="none"/>
        </w:rPr>
      </w:pPr>
    </w:p>
    <w:p>
      <w:pPr>
        <w:pStyle w:val="3"/>
        <w:rPr>
          <w:highlight w:val="none"/>
        </w:rPr>
      </w:pPr>
    </w:p>
    <w:p>
      <w:pPr>
        <w:pStyle w:val="3"/>
        <w:jc w:val="center"/>
        <w:rPr>
          <w:highlight w:val="none"/>
        </w:rPr>
      </w:pPr>
      <w:r>
        <w:rPr>
          <w:highlight w:val="none"/>
        </w:rPr>
        <w:br w:type="page"/>
      </w:r>
    </w:p>
    <w:p>
      <w:pPr>
        <w:pStyle w:val="3"/>
        <w:jc w:val="center"/>
        <w:rPr>
          <w:highlight w:val="none"/>
        </w:rPr>
      </w:pPr>
    </w:p>
    <w:p>
      <w:pPr>
        <w:pStyle w:val="3"/>
        <w:jc w:val="center"/>
        <w:rPr>
          <w:highlight w:val="none"/>
        </w:rPr>
      </w:pPr>
    </w:p>
    <w:p>
      <w:pPr>
        <w:pStyle w:val="3"/>
        <w:jc w:val="center"/>
        <w:rPr>
          <w:highlight w:val="none"/>
        </w:rPr>
      </w:pPr>
    </w:p>
    <w:p>
      <w:pPr>
        <w:pStyle w:val="3"/>
        <w:jc w:val="center"/>
        <w:rPr>
          <w:highlight w:val="none"/>
        </w:rPr>
      </w:pPr>
    </w:p>
    <w:p>
      <w:pPr>
        <w:pStyle w:val="3"/>
        <w:jc w:val="center"/>
        <w:rPr>
          <w:highlight w:val="none"/>
        </w:rPr>
      </w:pPr>
    </w:p>
    <w:p>
      <w:pPr>
        <w:pStyle w:val="2"/>
        <w:jc w:val="center"/>
        <w:rPr>
          <w:highlight w:val="none"/>
        </w:rPr>
        <w:sectPr>
          <w:footerReference r:id="rId8" w:type="first"/>
          <w:footerReference r:id="rId7" w:type="default"/>
          <w:pgSz w:w="11911" w:h="16838"/>
          <w:pgMar w:top="1134" w:right="1134" w:bottom="1134" w:left="1134" w:header="720" w:footer="720" w:gutter="0"/>
          <w:cols w:space="720" w:num="1"/>
        </w:sectPr>
      </w:pPr>
      <w:bookmarkStart w:id="125" w:name="_Toc17404"/>
      <w:bookmarkStart w:id="126" w:name="_Toc22302"/>
      <w:bookmarkStart w:id="127" w:name="_Toc7776"/>
      <w:bookmarkStart w:id="128" w:name="_Toc26272"/>
      <w:bookmarkStart w:id="129" w:name="_Toc12890"/>
      <w:bookmarkStart w:id="130" w:name="_Toc5005"/>
      <w:bookmarkStart w:id="131" w:name="_Toc80886941"/>
      <w:bookmarkStart w:id="132" w:name="_Toc27282"/>
      <w:r>
        <w:rPr>
          <w:rFonts w:hint="eastAsia" w:ascii="Calibri" w:hAnsi="Calibri"/>
          <w:highlight w:val="none"/>
        </w:rPr>
        <w:t>第五章 响应文件格式</w:t>
      </w:r>
      <w:bookmarkEnd w:id="125"/>
      <w:bookmarkEnd w:id="126"/>
      <w:bookmarkEnd w:id="127"/>
      <w:bookmarkEnd w:id="128"/>
      <w:bookmarkEnd w:id="129"/>
      <w:bookmarkEnd w:id="130"/>
      <w:bookmarkEnd w:id="131"/>
      <w:bookmarkEnd w:id="132"/>
    </w:p>
    <w:p>
      <w:pPr>
        <w:pStyle w:val="3"/>
        <w:jc w:val="center"/>
        <w:rPr>
          <w:rFonts w:hint="eastAsia" w:ascii="宋体" w:hAnsi="宋体"/>
          <w:bCs w:val="0"/>
          <w:highlight w:val="none"/>
        </w:rPr>
      </w:pPr>
      <w:bookmarkStart w:id="133" w:name="_Toc80205939"/>
      <w:bookmarkStart w:id="134" w:name="_Toc22245"/>
      <w:bookmarkStart w:id="135" w:name="_Toc80886943"/>
      <w:bookmarkStart w:id="136" w:name="_Toc12994"/>
      <w:r>
        <w:rPr>
          <w:rFonts w:hint="eastAsia" w:ascii="宋体" w:hAnsi="宋体"/>
          <w:bCs w:val="0"/>
          <w:highlight w:val="none"/>
        </w:rPr>
        <w:t>第一节 资格证明文件格式</w:t>
      </w:r>
      <w:bookmarkEnd w:id="133"/>
      <w:bookmarkEnd w:id="134"/>
      <w:bookmarkEnd w:id="135"/>
      <w:bookmarkEnd w:id="136"/>
    </w:p>
    <w:p>
      <w:pPr>
        <w:snapToGrid w:val="0"/>
        <w:spacing w:before="120" w:beforeLines="50" w:after="50"/>
        <w:jc w:val="left"/>
        <w:rPr>
          <w:rFonts w:hint="eastAsia"/>
          <w:sz w:val="24"/>
          <w:highlight w:val="none"/>
        </w:rPr>
      </w:pPr>
      <w:r>
        <w:rPr>
          <w:rFonts w:hint="eastAsia" w:hAnsi="宋体" w:cs="宋体"/>
          <w:b/>
          <w:bCs/>
          <w:sz w:val="28"/>
          <w:szCs w:val="28"/>
          <w:highlight w:val="none"/>
        </w:rPr>
        <w:t>1.资格证明文件封面的格式</w:t>
      </w:r>
      <w:r>
        <w:rPr>
          <w:rFonts w:hint="eastAsia" w:ascii="宋体" w:hAnsi="宋体" w:cs="宋体"/>
          <w:b/>
          <w:color w:val="000000"/>
          <w:sz w:val="28"/>
          <w:szCs w:val="28"/>
          <w:highlight w:val="none"/>
        </w:rPr>
        <w:t>（参照此格式自拟）</w:t>
      </w:r>
      <w:r>
        <w:rPr>
          <w:rFonts w:hint="eastAsia" w:hAnsi="宋体" w:cs="宋体"/>
          <w:b/>
          <w:bCs/>
          <w:sz w:val="28"/>
          <w:szCs w:val="28"/>
          <w:highlight w:val="none"/>
        </w:rPr>
        <w:t>：</w:t>
      </w:r>
      <w:r>
        <w:rPr>
          <w:rFonts w:hint="eastAsia"/>
          <w:sz w:val="24"/>
          <w:highlight w:val="none"/>
        </w:rPr>
        <w:t xml:space="preserve">                                      </w:t>
      </w:r>
    </w:p>
    <w:p>
      <w:pPr>
        <w:snapToGrid w:val="0"/>
        <w:spacing w:before="120" w:beforeLines="50" w:after="50"/>
        <w:ind w:firstLine="6930" w:firstLineChars="3300"/>
        <w:rPr>
          <w:rFonts w:hint="eastAsia"/>
          <w:bCs/>
          <w:sz w:val="32"/>
          <w:szCs w:val="20"/>
          <w:highlight w:val="none"/>
        </w:rPr>
      </w:pPr>
      <w:r>
        <w:rPr>
          <w:rFonts w:hint="eastAsia"/>
          <w:bCs/>
          <w:highlight w:val="none"/>
        </w:rPr>
        <w:t>全流程电子文件</w:t>
      </w:r>
    </w:p>
    <w:p>
      <w:pPr>
        <w:snapToGrid w:val="0"/>
        <w:spacing w:before="120" w:beforeLines="50" w:after="50"/>
        <w:rPr>
          <w:rFonts w:hint="eastAsia"/>
          <w:sz w:val="24"/>
          <w:szCs w:val="20"/>
          <w:highlight w:val="none"/>
        </w:rPr>
      </w:pPr>
    </w:p>
    <w:p>
      <w:pPr>
        <w:snapToGrid w:val="0"/>
        <w:spacing w:before="120" w:beforeLines="50" w:after="50"/>
        <w:rPr>
          <w:rFonts w:hint="eastAsia"/>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资  格  证  明  文  件</w:t>
      </w: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ind w:firstLine="640" w:firstLineChars="200"/>
        <w:rPr>
          <w:rFonts w:hint="eastAsia" w:cs="仿宋_GB2312"/>
          <w:bCs/>
          <w:sz w:val="32"/>
          <w:szCs w:val="32"/>
          <w:highlight w:val="none"/>
        </w:rPr>
      </w:pPr>
      <w:r>
        <w:rPr>
          <w:rFonts w:hint="eastAsia" w:cs="仿宋_GB2312"/>
          <w:bCs/>
          <w:sz w:val="32"/>
          <w:szCs w:val="32"/>
          <w:highlight w:val="none"/>
        </w:rPr>
        <w:t>项目名称：</w:t>
      </w:r>
    </w:p>
    <w:p>
      <w:pPr>
        <w:snapToGrid w:val="0"/>
        <w:spacing w:before="120" w:beforeLines="50" w:after="50"/>
        <w:ind w:firstLine="720" w:firstLineChars="225"/>
        <w:rPr>
          <w:rFonts w:hint="eastAsia" w:cs="仿宋_GB2312"/>
          <w:bCs/>
          <w:sz w:val="32"/>
          <w:szCs w:val="32"/>
          <w:highlight w:val="none"/>
        </w:rPr>
      </w:pPr>
    </w:p>
    <w:p>
      <w:pPr>
        <w:snapToGrid w:val="0"/>
        <w:spacing w:before="120" w:beforeLines="50" w:after="50"/>
        <w:ind w:firstLine="720" w:firstLineChars="225"/>
        <w:rPr>
          <w:rFonts w:hint="eastAsia" w:cs="仿宋_GB2312"/>
          <w:bCs/>
          <w:sz w:val="32"/>
          <w:szCs w:val="32"/>
          <w:highlight w:val="none"/>
        </w:rPr>
      </w:pPr>
      <w:r>
        <w:rPr>
          <w:rFonts w:hint="eastAsia" w:cs="仿宋_GB2312"/>
          <w:bCs/>
          <w:sz w:val="32"/>
          <w:szCs w:val="32"/>
          <w:highlight w:val="none"/>
        </w:rPr>
        <w:t>项目编号：</w:t>
      </w:r>
    </w:p>
    <w:p>
      <w:pPr>
        <w:snapToGrid w:val="0"/>
        <w:spacing w:before="120" w:beforeLines="50" w:after="50"/>
        <w:ind w:firstLine="720" w:firstLineChars="225"/>
        <w:rPr>
          <w:rFonts w:hint="eastAsia" w:cs="仿宋_GB2312"/>
          <w:bCs/>
          <w:sz w:val="32"/>
          <w:szCs w:val="32"/>
          <w:highlight w:val="none"/>
        </w:rPr>
      </w:pPr>
      <w:r>
        <w:rPr>
          <w:rFonts w:hint="eastAsia" w:cs="仿宋_GB2312"/>
          <w:bCs/>
          <w:sz w:val="32"/>
          <w:szCs w:val="32"/>
          <w:highlight w:val="none"/>
        </w:rPr>
        <w:t xml:space="preserve"> </w:t>
      </w:r>
    </w:p>
    <w:p>
      <w:pPr>
        <w:snapToGrid w:val="0"/>
        <w:spacing w:before="120" w:beforeLines="50" w:after="50"/>
        <w:ind w:firstLine="720" w:firstLineChars="225"/>
        <w:rPr>
          <w:rFonts w:hint="eastAsia" w:cs="仿宋_GB2312"/>
          <w:bCs/>
          <w:sz w:val="32"/>
          <w:szCs w:val="32"/>
          <w:highlight w:val="none"/>
        </w:rPr>
      </w:pPr>
      <w:r>
        <w:rPr>
          <w:rFonts w:hint="eastAsia" w:cs="仿宋_GB2312"/>
          <w:bCs/>
          <w:sz w:val="32"/>
          <w:szCs w:val="32"/>
          <w:highlight w:val="none"/>
        </w:rPr>
        <w:t>所竞分标（如有则填写，无分标时填写“无”或者留空）：</w:t>
      </w:r>
    </w:p>
    <w:p>
      <w:pPr>
        <w:snapToGrid w:val="0"/>
        <w:spacing w:before="120" w:beforeLines="50" w:after="50"/>
        <w:ind w:firstLine="720" w:firstLineChars="225"/>
        <w:rPr>
          <w:rFonts w:hint="eastAsia" w:cs="仿宋_GB2312"/>
          <w:bCs/>
          <w:sz w:val="32"/>
          <w:szCs w:val="32"/>
          <w:highlight w:val="none"/>
        </w:rPr>
      </w:pPr>
    </w:p>
    <w:p>
      <w:pPr>
        <w:pStyle w:val="7"/>
        <w:snapToGrid w:val="0"/>
        <w:spacing w:before="50" w:after="50"/>
        <w:ind w:firstLine="720" w:firstLineChars="225"/>
        <w:rPr>
          <w:rFonts w:hint="eastAsia" w:cs="仿宋_GB2312"/>
          <w:bCs/>
          <w:sz w:val="32"/>
          <w:szCs w:val="32"/>
          <w:highlight w:val="none"/>
        </w:rPr>
      </w:pPr>
      <w:r>
        <w:rPr>
          <w:rFonts w:hint="eastAsia" w:cs="仿宋_GB2312"/>
          <w:bCs/>
          <w:sz w:val="32"/>
          <w:szCs w:val="32"/>
          <w:highlight w:val="none"/>
        </w:rPr>
        <w:t>供应商名称：</w:t>
      </w:r>
    </w:p>
    <w:p>
      <w:pPr>
        <w:pStyle w:val="7"/>
        <w:snapToGrid w:val="0"/>
        <w:spacing w:before="50" w:after="50"/>
        <w:ind w:firstLine="720" w:firstLineChars="225"/>
        <w:rPr>
          <w:rFonts w:hint="eastAsia" w:cs="仿宋_GB2312"/>
          <w:bCs/>
          <w:sz w:val="32"/>
          <w:szCs w:val="32"/>
          <w:highlight w:val="none"/>
        </w:rPr>
      </w:pPr>
    </w:p>
    <w:p>
      <w:pPr>
        <w:pStyle w:val="7"/>
        <w:snapToGrid w:val="0"/>
        <w:spacing w:before="50" w:after="50"/>
        <w:ind w:firstLine="720" w:firstLineChars="225"/>
        <w:rPr>
          <w:rFonts w:hint="eastAsia" w:cs="仿宋_GB2312"/>
          <w:bCs/>
          <w:sz w:val="32"/>
          <w:szCs w:val="32"/>
          <w:highlight w:val="none"/>
        </w:rPr>
      </w:pPr>
    </w:p>
    <w:p>
      <w:pPr>
        <w:pStyle w:val="7"/>
        <w:snapToGrid w:val="0"/>
        <w:spacing w:before="50" w:after="50"/>
        <w:ind w:firstLine="720" w:firstLineChars="225"/>
        <w:rPr>
          <w:rFonts w:hint="eastAsia" w:cs="仿宋_GB2312"/>
          <w:bCs/>
          <w:sz w:val="32"/>
          <w:szCs w:val="32"/>
          <w:highlight w:val="none"/>
        </w:rPr>
      </w:pPr>
    </w:p>
    <w:p>
      <w:pPr>
        <w:pStyle w:val="7"/>
        <w:snapToGrid w:val="0"/>
        <w:spacing w:before="50" w:after="50"/>
        <w:ind w:firstLine="1280" w:firstLineChars="400"/>
        <w:rPr>
          <w:rFonts w:hint="eastAsia" w:cs="仿宋_GB2312"/>
          <w:bCs/>
          <w:sz w:val="32"/>
          <w:szCs w:val="32"/>
          <w:highlight w:val="none"/>
        </w:rPr>
      </w:pPr>
    </w:p>
    <w:p>
      <w:pPr>
        <w:snapToGrid w:val="0"/>
        <w:spacing w:before="120" w:beforeLines="50" w:after="50"/>
        <w:jc w:val="center"/>
        <w:rPr>
          <w:rFonts w:hint="eastAsia" w:cs="仿宋_GB2312"/>
          <w:sz w:val="32"/>
          <w:szCs w:val="32"/>
          <w:highlight w:val="none"/>
        </w:rPr>
      </w:pPr>
      <w:r>
        <w:rPr>
          <w:rFonts w:hint="eastAsia" w:cs="仿宋_GB2312"/>
          <w:sz w:val="32"/>
          <w:szCs w:val="32"/>
          <w:highlight w:val="none"/>
        </w:rPr>
        <w:t>年    月    日</w:t>
      </w:r>
    </w:p>
    <w:p>
      <w:pPr>
        <w:snapToGrid w:val="0"/>
        <w:spacing w:before="120" w:beforeLines="50" w:after="50" w:line="360" w:lineRule="auto"/>
        <w:jc w:val="left"/>
        <w:rPr>
          <w:rFonts w:hint="eastAsia" w:ascii="宋体" w:hAnsi="宋体" w:cs="宋体"/>
          <w:b/>
          <w:bCs/>
          <w:color w:val="000000"/>
          <w:sz w:val="28"/>
          <w:szCs w:val="28"/>
          <w:highlight w:val="none"/>
        </w:rPr>
      </w:pPr>
      <w:r>
        <w:rPr>
          <w:sz w:val="24"/>
          <w:highlight w:val="none"/>
        </w:rPr>
        <w:br w:type="page"/>
      </w:r>
      <w:r>
        <w:rPr>
          <w:rFonts w:hint="eastAsia" w:ascii="宋体" w:hAnsi="宋体" w:cs="宋体"/>
          <w:b/>
          <w:bCs/>
          <w:color w:val="000000"/>
          <w:sz w:val="28"/>
          <w:szCs w:val="28"/>
          <w:highlight w:val="none"/>
        </w:rPr>
        <w:t>2.资格证明文件目录</w:t>
      </w:r>
    </w:p>
    <w:p>
      <w:pPr>
        <w:spacing w:line="360" w:lineRule="auto"/>
        <w:rPr>
          <w:rFonts w:hint="eastAsia" w:ascii="宋体" w:hAnsi="宋体" w:cs="宋体"/>
          <w:b/>
          <w:bCs/>
          <w:sz w:val="28"/>
          <w:szCs w:val="28"/>
          <w:highlight w:val="none"/>
        </w:rPr>
      </w:pPr>
      <w:r>
        <w:rPr>
          <w:rFonts w:hint="eastAsia" w:ascii="宋体" w:hAnsi="宋体" w:cs="宋体"/>
          <w:color w:val="000000"/>
          <w:sz w:val="28"/>
          <w:szCs w:val="28"/>
          <w:highlight w:val="none"/>
        </w:rPr>
        <w:t xml:space="preserve">    根据竞争性磋商文件规定及供应商提供的材料自行编写目录（部分格式后附）。</w:t>
      </w:r>
    </w:p>
    <w:p>
      <w:pPr>
        <w:spacing w:line="320" w:lineRule="exact"/>
        <w:jc w:val="left"/>
        <w:rPr>
          <w:rFonts w:hint="eastAsia" w:ascii="宋体" w:hAnsi="宋体" w:cs="宋体"/>
          <w:b/>
          <w:bCs/>
          <w:sz w:val="28"/>
          <w:szCs w:val="28"/>
          <w:highlight w:val="none"/>
        </w:rPr>
      </w:pPr>
      <w:r>
        <w:rPr>
          <w:rFonts w:hint="eastAsia"/>
          <w:szCs w:val="21"/>
          <w:highlight w:val="none"/>
        </w:rPr>
        <w:br w:type="page"/>
      </w:r>
      <w:r>
        <w:rPr>
          <w:rFonts w:hint="eastAsia" w:ascii="宋体" w:hAnsi="宋体" w:cs="宋体"/>
          <w:b/>
          <w:bCs/>
          <w:kern w:val="0"/>
          <w:sz w:val="28"/>
          <w:szCs w:val="28"/>
          <w:highlight w:val="none"/>
        </w:rPr>
        <w:t>3.声明函的格式：</w:t>
      </w:r>
    </w:p>
    <w:p>
      <w:pPr>
        <w:spacing w:line="320" w:lineRule="exact"/>
        <w:jc w:val="center"/>
        <w:rPr>
          <w:rFonts w:hint="eastAsia"/>
          <w:b/>
          <w:sz w:val="32"/>
          <w:szCs w:val="32"/>
          <w:highlight w:val="none"/>
        </w:rPr>
      </w:pPr>
    </w:p>
    <w:p>
      <w:pPr>
        <w:spacing w:line="320" w:lineRule="exact"/>
        <w:jc w:val="center"/>
        <w:rPr>
          <w:rFonts w:hint="eastAsia"/>
          <w:b/>
          <w:sz w:val="32"/>
          <w:szCs w:val="32"/>
          <w:highlight w:val="none"/>
        </w:rPr>
      </w:pPr>
      <w:r>
        <w:rPr>
          <w:rFonts w:hint="eastAsia"/>
          <w:b/>
          <w:sz w:val="32"/>
          <w:szCs w:val="32"/>
          <w:highlight w:val="none"/>
        </w:rPr>
        <w:t>声明函</w:t>
      </w:r>
    </w:p>
    <w:p>
      <w:pPr>
        <w:spacing w:line="320" w:lineRule="exact"/>
        <w:jc w:val="center"/>
        <w:rPr>
          <w:rFonts w:hint="eastAsia"/>
          <w:sz w:val="24"/>
          <w:szCs w:val="20"/>
          <w:highlight w:val="none"/>
        </w:rPr>
      </w:pPr>
    </w:p>
    <w:p>
      <w:pPr>
        <w:spacing w:line="400" w:lineRule="exact"/>
        <w:contextualSpacing/>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（采购代理机构名称）</w:t>
      </w:r>
      <w:r>
        <w:rPr>
          <w:rFonts w:hint="eastAsia" w:ascii="宋体" w:hAnsi="宋体" w:cs="宋体"/>
          <w:sz w:val="24"/>
          <w:highlight w:val="none"/>
        </w:rPr>
        <w:t>：</w:t>
      </w:r>
    </w:p>
    <w:p>
      <w:pPr>
        <w:spacing w:line="400" w:lineRule="exact"/>
        <w:ind w:firstLine="480" w:firstLineChars="200"/>
        <w:contextualSpacing/>
        <w:rPr>
          <w:rFonts w:hint="eastAsia" w:ascii="宋体" w:hAnsi="宋体" w:cs="宋体"/>
          <w:sz w:val="24"/>
          <w:highlight w:val="none"/>
        </w:rPr>
      </w:pPr>
      <w:r>
        <w:rPr>
          <w:rFonts w:hint="eastAsia" w:ascii="宋体" w:hAnsi="宋体" w:cs="宋体"/>
          <w:i/>
          <w:iCs/>
          <w:sz w:val="24"/>
          <w:highlight w:val="none"/>
          <w:u w:val="single"/>
        </w:rPr>
        <w:t>（供应商名称）</w:t>
      </w:r>
      <w:r>
        <w:rPr>
          <w:rFonts w:hint="eastAsia" w:ascii="宋体" w:hAnsi="宋体" w:cs="宋体"/>
          <w:sz w:val="24"/>
          <w:highlight w:val="none"/>
        </w:rPr>
        <w:t>系中华人民共和国合法供应商，经营地址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i/>
          <w:iCs/>
          <w:sz w:val="24"/>
          <w:highlight w:val="none"/>
          <w:u w:val="single"/>
        </w:rPr>
        <w:t>（项目名称）</w:t>
      </w:r>
      <w:r>
        <w:rPr>
          <w:rFonts w:hint="eastAsia" w:ascii="宋体" w:hAnsi="宋体" w:cs="宋体"/>
          <w:sz w:val="24"/>
          <w:highlight w:val="none"/>
        </w:rPr>
        <w:t>项目的竞标，为便于贵方公正、择优地确定成交供应商及其竞标产品和服务，我方就本次竞标有关事项郑重声明如下：</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1.我方向贵方提交的所有响应文件、资料都是准确的和真实的。</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3.在此，我方宣布同意如下：</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（1）将按磋商文件的约定履行合同责任和义务；</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（2）已详细审查磋商文件的全部内容，包括澄清或者更正公告（如有）；</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（3）同意提供按照贵方可能要求的与磋商有关的一切数据或者资料。</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pPr>
        <w:spacing w:line="40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15"/>
        <w:tabs>
          <w:tab w:val="left" w:pos="939"/>
        </w:tabs>
        <w:spacing w:line="400" w:lineRule="exact"/>
        <w:ind w:left="0" w:leftChars="0" w:firstLine="480" w:firstLineChars="200"/>
        <w:rPr>
          <w:rFonts w:hint="eastAsia" w:ascii="宋体" w:hAnsi="宋体" w:cs="宋体"/>
          <w:sz w:val="24"/>
          <w:highlight w:val="none"/>
        </w:rPr>
      </w:pPr>
      <w:r>
        <w:rPr>
          <w:rFonts w:hint="eastAsia" w:ascii="宋体" w:hAnsi="宋体" w:cs="宋体"/>
          <w:kern w:val="0"/>
          <w:sz w:val="24"/>
          <w:highlight w:val="none"/>
        </w:rPr>
        <w:t>6.</w:t>
      </w:r>
      <w:r>
        <w:rPr>
          <w:rFonts w:hint="eastAsia" w:ascii="宋体" w:hAnsi="宋体" w:cs="宋体"/>
          <w:sz w:val="24"/>
          <w:highlight w:val="none"/>
        </w:rPr>
        <w:t>以上事项如有虚假或者隐瞒，我方愿意承担一切后果，并不再寻求任何旨在减轻或者免除法律责任的辩解。</w:t>
      </w:r>
    </w:p>
    <w:p>
      <w:pPr>
        <w:pStyle w:val="15"/>
        <w:tabs>
          <w:tab w:val="left" w:pos="939"/>
        </w:tabs>
        <w:spacing w:line="400" w:lineRule="exact"/>
        <w:ind w:left="141" w:leftChars="67" w:firstLine="360" w:firstLineChars="150"/>
        <w:rPr>
          <w:rFonts w:hint="eastAsia" w:ascii="宋体" w:hAnsi="宋体" w:cs="宋体"/>
          <w:sz w:val="24"/>
          <w:highlight w:val="none"/>
        </w:rPr>
      </w:pPr>
      <w:r>
        <w:rPr>
          <w:rFonts w:hint="eastAsia" w:ascii="宋体" w:hAnsi="宋体" w:cs="宋体"/>
          <w:sz w:val="24"/>
          <w:highlight w:val="none"/>
        </w:rPr>
        <w:t>特此承诺。</w:t>
      </w:r>
    </w:p>
    <w:p>
      <w:pPr>
        <w:pStyle w:val="15"/>
        <w:tabs>
          <w:tab w:val="left" w:pos="939"/>
        </w:tabs>
        <w:spacing w:line="400" w:lineRule="exact"/>
        <w:ind w:left="0" w:leftChars="0" w:firstLine="480" w:firstLineChars="200"/>
        <w:rPr>
          <w:rFonts w:hint="eastAsia" w:ascii="宋体" w:hAnsi="宋体" w:cs="宋体"/>
          <w:sz w:val="24"/>
          <w:highlight w:val="none"/>
        </w:rPr>
      </w:pPr>
      <w:r>
        <w:rPr>
          <w:rFonts w:hint="eastAsia" w:ascii="宋体" w:hAnsi="宋体" w:cs="宋体"/>
          <w:sz w:val="24"/>
          <w:highlight w:val="none"/>
        </w:rPr>
        <w:t>注：如为联合体竞标，盖章处须加盖联合体各方公章，否则其响应文件按无效响应处理。</w:t>
      </w:r>
    </w:p>
    <w:p>
      <w:pPr>
        <w:pStyle w:val="15"/>
        <w:tabs>
          <w:tab w:val="left" w:pos="939"/>
        </w:tabs>
        <w:spacing w:line="400" w:lineRule="exact"/>
        <w:ind w:left="0" w:leftChars="0" w:firstLine="480" w:firstLineChars="200"/>
        <w:rPr>
          <w:rFonts w:hint="eastAsia" w:ascii="宋体" w:hAnsi="宋体" w:cs="宋体"/>
          <w:sz w:val="24"/>
          <w:highlight w:val="none"/>
        </w:rPr>
      </w:pPr>
    </w:p>
    <w:p>
      <w:pPr>
        <w:autoSpaceDE w:val="0"/>
        <w:autoSpaceDN w:val="0"/>
        <w:ind w:left="4365" w:leftChars="1850" w:hanging="480" w:hangingChars="200"/>
        <w:rPr>
          <w:rFonts w:hint="eastAsia" w:ascii="宋体" w:hAnsi="宋体" w:cs="宋体"/>
          <w:kern w:val="0"/>
          <w:sz w:val="24"/>
          <w:highlight w:val="none"/>
        </w:rPr>
      </w:pPr>
    </w:p>
    <w:p>
      <w:pPr>
        <w:autoSpaceDE w:val="0"/>
        <w:autoSpaceDN w:val="0"/>
        <w:ind w:left="4365" w:leftChars="1850" w:hanging="480" w:hangingChars="200"/>
        <w:rPr>
          <w:rFonts w:hint="eastAsia" w:ascii="宋体" w:hAnsi="宋体" w:cs="宋体"/>
          <w:kern w:val="0"/>
          <w:sz w:val="24"/>
          <w:highlight w:val="none"/>
        </w:rPr>
      </w:pPr>
    </w:p>
    <w:p>
      <w:pPr>
        <w:autoSpaceDE w:val="0"/>
        <w:autoSpaceDN w:val="0"/>
        <w:spacing w:line="360" w:lineRule="auto"/>
        <w:ind w:left="4365" w:leftChars="1850" w:hanging="480" w:hangingChars="200"/>
        <w:rPr>
          <w:rFonts w:hint="eastAsia"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120" w:firstLineChars="2550"/>
        <w:rPr>
          <w:rFonts w:hint="eastAsia" w:ascii="宋体" w:hAnsi="宋体" w:cs="宋体"/>
          <w:kern w:val="0"/>
          <w:sz w:val="24"/>
          <w:highlight w:val="none"/>
          <w:lang w:val="zh-CN"/>
        </w:rPr>
        <w:sectPr>
          <w:pgSz w:w="11911" w:h="16838"/>
          <w:pgMar w:top="1134" w:right="1134" w:bottom="1134" w:left="1134" w:header="720" w:footer="720" w:gutter="0"/>
          <w:cols w:space="720" w:num="1"/>
        </w:sectPr>
      </w:pPr>
      <w:r>
        <w:rPr>
          <w:rFonts w:hint="eastAsia" w:ascii="宋体" w:hAnsi="宋体" w:cs="宋体"/>
          <w:kern w:val="0"/>
          <w:sz w:val="24"/>
          <w:highlight w:val="none"/>
          <w:lang w:val="zh-CN"/>
        </w:rPr>
        <w:t>日期：  年  月   日</w:t>
      </w:r>
    </w:p>
    <w:p>
      <w:pPr>
        <w:pStyle w:val="7"/>
        <w:overflowPunct w:val="0"/>
        <w:spacing w:line="520" w:lineRule="exact"/>
        <w:ind w:firstLine="0"/>
        <w:rPr>
          <w:rFonts w:hint="eastAsia" w:ascii="宋体" w:hAnsi="宋体" w:cs="宋体"/>
          <w:b/>
          <w:bCs/>
          <w:sz w:val="28"/>
          <w:szCs w:val="28"/>
          <w:highlight w:val="none"/>
        </w:rPr>
      </w:pPr>
      <w:r>
        <w:rPr>
          <w:rFonts w:hint="eastAsia" w:ascii="宋体" w:hAnsi="宋体" w:cs="宋体"/>
          <w:b/>
          <w:kern w:val="0"/>
          <w:sz w:val="28"/>
          <w:szCs w:val="28"/>
          <w:highlight w:val="none"/>
        </w:rPr>
        <w:t>4.联合体竞标协议书的格式：</w:t>
      </w: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联合体竞标协议书</w:t>
      </w:r>
    </w:p>
    <w:p>
      <w:pPr>
        <w:autoSpaceDE w:val="0"/>
        <w:autoSpaceDN w:val="0"/>
        <w:adjustRightInd w:val="0"/>
        <w:spacing w:line="360" w:lineRule="auto"/>
        <w:jc w:val="left"/>
        <w:rPr>
          <w:rFonts w:hAnsi="Calibri" w:cs="宋体"/>
          <w:kern w:val="0"/>
          <w:szCs w:val="21"/>
          <w:highlight w:val="none"/>
          <w:u w:val="single"/>
        </w:rPr>
      </w:pPr>
    </w:p>
    <w:p>
      <w:pPr>
        <w:autoSpaceDE w:val="0"/>
        <w:autoSpaceDN w:val="0"/>
        <w:adjustRightInd w:val="0"/>
        <w:spacing w:line="360" w:lineRule="exact"/>
        <w:jc w:val="left"/>
        <w:rPr>
          <w:rFonts w:hint="eastAsia"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（所有成员单位名称）自愿组成联合体，共同参加</w:t>
      </w:r>
      <w:r>
        <w:rPr>
          <w:rFonts w:hint="eastAsia" w:ascii="宋体" w:hAnsi="宋体" w:cs="宋体"/>
          <w:kern w:val="0"/>
          <w:sz w:val="24"/>
          <w:highlight w:val="none"/>
          <w:u w:val="single"/>
        </w:rPr>
        <w:t xml:space="preserve">     </w:t>
      </w:r>
      <w:r>
        <w:rPr>
          <w:rFonts w:hint="eastAsia" w:ascii="宋体" w:hAnsi="宋体" w:cs="宋体"/>
          <w:i/>
          <w:iCs/>
          <w:kern w:val="0"/>
          <w:sz w:val="24"/>
          <w:highlight w:val="none"/>
          <w:u w:val="single"/>
        </w:rPr>
        <w:t>（采购代理机构名称）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组织的</w:t>
      </w:r>
      <w:r>
        <w:rPr>
          <w:rFonts w:hint="eastAsia" w:ascii="宋体" w:hAnsi="宋体" w:cs="宋体"/>
          <w:kern w:val="0"/>
          <w:sz w:val="24"/>
          <w:highlight w:val="none"/>
          <w:u w:val="single"/>
        </w:rPr>
        <w:t xml:space="preserve">        </w:t>
      </w:r>
      <w:r>
        <w:rPr>
          <w:rFonts w:hint="eastAsia" w:ascii="宋体" w:hAnsi="宋体" w:cs="宋体"/>
          <w:i/>
          <w:iCs/>
          <w:kern w:val="0"/>
          <w:sz w:val="24"/>
          <w:highlight w:val="none"/>
          <w:u w:val="single"/>
        </w:rPr>
        <w:t xml:space="preserve"> （项目名称）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（项目编号：</w:t>
      </w:r>
      <w:r>
        <w:rPr>
          <w:rFonts w:hint="eastAsia" w:ascii="宋体" w:hAnsi="宋体" w:cs="宋体"/>
          <w:i/>
          <w:iCs/>
          <w:kern w:val="0"/>
          <w:sz w:val="24"/>
          <w:highlight w:val="none"/>
          <w:u w:val="single"/>
        </w:rPr>
        <w:t>（项目编号）</w:t>
      </w:r>
      <w:r>
        <w:rPr>
          <w:rFonts w:hint="eastAsia" w:ascii="宋体" w:hAnsi="宋体" w:cs="宋体"/>
          <w:kern w:val="0"/>
          <w:sz w:val="24"/>
          <w:highlight w:val="none"/>
          <w:u w:val="single"/>
        </w:rPr>
        <w:t xml:space="preserve"> </w:t>
      </w:r>
      <w:r>
        <w:rPr>
          <w:rFonts w:hint="eastAsia" w:ascii="宋体" w:hAnsi="宋体" w:cs="宋体"/>
          <w:kern w:val="0"/>
          <w:sz w:val="24"/>
          <w:highlight w:val="none"/>
        </w:rPr>
        <w:t>）竞争性磋商采购。现就联合体竞标事宜订立如下协议：</w:t>
      </w:r>
    </w:p>
    <w:p>
      <w:pPr>
        <w:autoSpaceDE w:val="0"/>
        <w:autoSpaceDN w:val="0"/>
        <w:adjustRightInd w:val="0"/>
        <w:spacing w:line="360" w:lineRule="exact"/>
        <w:ind w:firstLine="420"/>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 xml:space="preserve">                         </w:t>
      </w:r>
      <w:r>
        <w:rPr>
          <w:rFonts w:hint="eastAsia" w:ascii="宋体" w:hAnsi="宋体" w:cs="宋体"/>
          <w:kern w:val="0"/>
          <w:sz w:val="24"/>
          <w:highlight w:val="none"/>
        </w:rPr>
        <w:t>（某成员单位名称）为联合体名称牵头人。</w:t>
      </w:r>
    </w:p>
    <w:p>
      <w:pPr>
        <w:autoSpaceDE w:val="0"/>
        <w:autoSpaceDN w:val="0"/>
        <w:adjustRightInd w:val="0"/>
        <w:spacing w:line="360" w:lineRule="exact"/>
        <w:ind w:firstLine="420"/>
        <w:jc w:val="left"/>
        <w:rPr>
          <w:rFonts w:hint="eastAsia" w:ascii="宋体" w:hAnsi="宋体" w:cs="宋体"/>
          <w:kern w:val="0"/>
          <w:sz w:val="24"/>
          <w:highlight w:val="none"/>
        </w:rPr>
      </w:pPr>
      <w:r>
        <w:rPr>
          <w:rFonts w:hint="eastAsia" w:ascii="宋体" w:hAnsi="宋体" w:cs="宋体"/>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hint="eastAsia" w:ascii="宋体" w:hAnsi="宋体" w:cs="宋体"/>
          <w:kern w:val="0"/>
          <w:sz w:val="24"/>
          <w:highlight w:val="none"/>
        </w:rPr>
      </w:pPr>
      <w:r>
        <w:rPr>
          <w:rFonts w:hint="eastAsia" w:ascii="宋体" w:hAnsi="宋体" w:cs="宋体"/>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exact"/>
        <w:ind w:left="479" w:leftChars="228"/>
        <w:jc w:val="left"/>
        <w:rPr>
          <w:rFonts w:hint="eastAsia" w:ascii="宋体" w:hAnsi="宋体" w:cs="宋体"/>
          <w:kern w:val="0"/>
          <w:sz w:val="24"/>
          <w:highlight w:val="none"/>
        </w:rPr>
      </w:pPr>
      <w:r>
        <w:rPr>
          <w:rFonts w:hint="eastAsia" w:ascii="宋体" w:hAnsi="宋体" w:cs="宋体"/>
          <w:kern w:val="0"/>
          <w:sz w:val="24"/>
          <w:highlight w:val="none"/>
        </w:rPr>
        <w:t>4、联合体各成员单位内部的职责分工如下：</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3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5、本联合体中，</w:t>
      </w:r>
      <w:r>
        <w:rPr>
          <w:rFonts w:hint="eastAsia" w:ascii="宋体" w:hAnsi="宋体" w:cs="宋体"/>
          <w:kern w:val="0"/>
          <w:sz w:val="24"/>
          <w:highlight w:val="none"/>
          <w:u w:val="single"/>
        </w:rPr>
        <w:t xml:space="preserve">                         （某成员单位名称）为       </w:t>
      </w:r>
      <w:r>
        <w:rPr>
          <w:rFonts w:hint="eastAsia" w:ascii="宋体" w:hAnsi="宋体" w:cs="宋体"/>
          <w:kern w:val="0"/>
          <w:sz w:val="24"/>
          <w:highlight w:val="none"/>
        </w:rPr>
        <w:t>（请填写：中型、小型、微型）企业，其协议合同金额占联合体协议合同总金额的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hint="eastAsia" w:ascii="宋体" w:hAnsi="宋体" w:cs="宋体"/>
          <w:kern w:val="0"/>
          <w:sz w:val="24"/>
          <w:highlight w:val="none"/>
        </w:rPr>
      </w:pPr>
      <w:r>
        <w:rPr>
          <w:rFonts w:hint="eastAsia" w:ascii="宋体" w:hAnsi="宋体" w:cs="宋体"/>
          <w:kern w:val="0"/>
          <w:sz w:val="24"/>
          <w:highlight w:val="none"/>
        </w:rPr>
        <w:t>6、本协议书自签署之日起生效，合同履行完毕后自动失效。</w:t>
      </w:r>
    </w:p>
    <w:p>
      <w:pPr>
        <w:autoSpaceDE w:val="0"/>
        <w:autoSpaceDN w:val="0"/>
        <w:adjustRightInd w:val="0"/>
        <w:spacing w:line="360" w:lineRule="exact"/>
        <w:ind w:firstLine="420"/>
        <w:jc w:val="left"/>
        <w:rPr>
          <w:rFonts w:hint="eastAsia" w:ascii="宋体" w:hAnsi="宋体" w:cs="宋体"/>
          <w:kern w:val="0"/>
          <w:sz w:val="24"/>
          <w:highlight w:val="none"/>
        </w:rPr>
      </w:pPr>
      <w:r>
        <w:rPr>
          <w:rFonts w:hint="eastAsia" w:ascii="宋体" w:hAnsi="宋体" w:cs="宋体"/>
          <w:kern w:val="0"/>
          <w:sz w:val="24"/>
          <w:highlight w:val="none"/>
        </w:rPr>
        <w:t>7、本协议书一式</w:t>
      </w:r>
      <w:r>
        <w:rPr>
          <w:rFonts w:hint="eastAsia" w:ascii="宋体" w:hAnsi="宋体" w:cs="宋体"/>
          <w:kern w:val="0"/>
          <w:sz w:val="24"/>
          <w:highlight w:val="none"/>
          <w:u w:val="single"/>
        </w:rPr>
        <w:t xml:space="preserve">    </w:t>
      </w:r>
      <w:r>
        <w:rPr>
          <w:rFonts w:hint="eastAsia" w:ascii="宋体" w:hAnsi="宋体" w:cs="宋体"/>
          <w:kern w:val="0"/>
          <w:sz w:val="24"/>
          <w:highlight w:val="none"/>
        </w:rPr>
        <w:t>份，联合体成员和采购代理机构各执一份。</w:t>
      </w:r>
    </w:p>
    <w:p>
      <w:pPr>
        <w:autoSpaceDE w:val="0"/>
        <w:autoSpaceDN w:val="0"/>
        <w:adjustRightInd w:val="0"/>
        <w:spacing w:line="360" w:lineRule="exact"/>
        <w:ind w:firstLine="420"/>
        <w:jc w:val="left"/>
        <w:rPr>
          <w:rFonts w:hint="eastAsia" w:ascii="宋体" w:hAnsi="宋体" w:cs="宋体"/>
          <w:kern w:val="0"/>
          <w:sz w:val="24"/>
          <w:highlight w:val="none"/>
        </w:rPr>
      </w:pPr>
      <w:r>
        <w:rPr>
          <w:rFonts w:hint="eastAsia" w:ascii="宋体" w:hAnsi="宋体" w:cs="宋体"/>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hint="eastAsia" w:ascii="宋体" w:hAnsi="宋体" w:cs="宋体"/>
          <w:kern w:val="0"/>
          <w:sz w:val="24"/>
          <w:highlight w:val="none"/>
        </w:rPr>
      </w:pPr>
      <w:r>
        <w:rPr>
          <w:rFonts w:hint="eastAsia" w:ascii="宋体" w:hAnsi="宋体" w:cs="宋体"/>
          <w:kern w:val="0"/>
          <w:sz w:val="24"/>
          <w:highlight w:val="none"/>
        </w:rPr>
        <w:t>牵头人名称：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（盖公章）</w:t>
      </w:r>
    </w:p>
    <w:p>
      <w:pPr>
        <w:autoSpaceDE w:val="0"/>
        <w:autoSpaceDN w:val="0"/>
        <w:adjustRightInd w:val="0"/>
        <w:spacing w:line="360" w:lineRule="exact"/>
        <w:jc w:val="left"/>
        <w:rPr>
          <w:rFonts w:hint="eastAsia" w:ascii="宋体" w:hAnsi="宋体" w:cs="宋体"/>
          <w:kern w:val="0"/>
          <w:sz w:val="24"/>
          <w:highlight w:val="none"/>
        </w:rPr>
      </w:pPr>
      <w:r>
        <w:rPr>
          <w:rFonts w:hint="eastAsia" w:ascii="宋体" w:hAnsi="宋体" w:cs="宋体"/>
          <w:kern w:val="0"/>
          <w:sz w:val="24"/>
          <w:highlight w:val="none"/>
        </w:rPr>
        <w:t>法定代表人或其委托代理人：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（签字）</w:t>
      </w:r>
    </w:p>
    <w:p>
      <w:pPr>
        <w:autoSpaceDE w:val="0"/>
        <w:autoSpaceDN w:val="0"/>
        <w:adjustRightInd w:val="0"/>
        <w:spacing w:line="360" w:lineRule="exact"/>
        <w:jc w:val="left"/>
        <w:rPr>
          <w:rFonts w:hint="eastAsia" w:ascii="宋体" w:hAnsi="宋体" w:cs="宋体"/>
          <w:kern w:val="0"/>
          <w:sz w:val="24"/>
          <w:highlight w:val="none"/>
        </w:rPr>
      </w:pPr>
    </w:p>
    <w:p>
      <w:pPr>
        <w:autoSpaceDE w:val="0"/>
        <w:autoSpaceDN w:val="0"/>
        <w:adjustRightInd w:val="0"/>
        <w:spacing w:line="360" w:lineRule="exact"/>
        <w:jc w:val="left"/>
        <w:rPr>
          <w:rFonts w:hint="eastAsia" w:ascii="宋体" w:hAnsi="宋体" w:cs="宋体"/>
          <w:kern w:val="0"/>
          <w:sz w:val="24"/>
          <w:highlight w:val="none"/>
        </w:rPr>
      </w:pPr>
      <w:r>
        <w:rPr>
          <w:rFonts w:hint="eastAsia" w:ascii="宋体" w:hAnsi="宋体" w:cs="宋体"/>
          <w:kern w:val="0"/>
          <w:sz w:val="24"/>
          <w:highlight w:val="none"/>
        </w:rPr>
        <w:t>成员一名称：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（盖公章）</w:t>
      </w:r>
    </w:p>
    <w:p>
      <w:pPr>
        <w:autoSpaceDE w:val="0"/>
        <w:autoSpaceDN w:val="0"/>
        <w:adjustRightInd w:val="0"/>
        <w:spacing w:line="360" w:lineRule="exact"/>
        <w:jc w:val="left"/>
        <w:rPr>
          <w:rFonts w:hint="eastAsia" w:ascii="宋体" w:hAnsi="宋体" w:cs="宋体"/>
          <w:kern w:val="0"/>
          <w:sz w:val="24"/>
          <w:highlight w:val="none"/>
        </w:rPr>
      </w:pPr>
      <w:r>
        <w:rPr>
          <w:rFonts w:hint="eastAsia" w:ascii="宋体" w:hAnsi="宋体" w:cs="宋体"/>
          <w:kern w:val="0"/>
          <w:sz w:val="24"/>
          <w:highlight w:val="none"/>
        </w:rPr>
        <w:t>法定代表人或其委托代理人：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（签字）</w:t>
      </w:r>
    </w:p>
    <w:p>
      <w:pPr>
        <w:autoSpaceDE w:val="0"/>
        <w:autoSpaceDN w:val="0"/>
        <w:adjustRightInd w:val="0"/>
        <w:spacing w:line="360" w:lineRule="exact"/>
        <w:jc w:val="left"/>
        <w:rPr>
          <w:rFonts w:hint="eastAsia" w:ascii="宋体" w:hAnsi="宋体" w:cs="宋体"/>
          <w:kern w:val="0"/>
          <w:szCs w:val="21"/>
          <w:highlight w:val="none"/>
        </w:rPr>
      </w:pPr>
    </w:p>
    <w:p>
      <w:pPr>
        <w:autoSpaceDE w:val="0"/>
        <w:autoSpaceDN w:val="0"/>
        <w:adjustRightInd w:val="0"/>
        <w:spacing w:line="360" w:lineRule="exact"/>
        <w:jc w:val="left"/>
        <w:rPr>
          <w:rFonts w:hint="eastAsia" w:ascii="宋体" w:hAnsi="宋体" w:cs="宋体"/>
          <w:kern w:val="0"/>
          <w:sz w:val="24"/>
          <w:highlight w:val="none"/>
        </w:rPr>
      </w:pPr>
      <w:r>
        <w:rPr>
          <w:rFonts w:hint="eastAsia" w:ascii="宋体" w:hAnsi="宋体" w:cs="宋体"/>
          <w:kern w:val="0"/>
          <w:sz w:val="24"/>
          <w:highlight w:val="none"/>
        </w:rPr>
        <w:t>成员二名称：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（盖公章）</w:t>
      </w:r>
    </w:p>
    <w:p>
      <w:pPr>
        <w:autoSpaceDE w:val="0"/>
        <w:autoSpaceDN w:val="0"/>
        <w:adjustRightInd w:val="0"/>
        <w:spacing w:line="360" w:lineRule="exact"/>
        <w:jc w:val="left"/>
        <w:rPr>
          <w:rFonts w:hint="eastAsia" w:ascii="宋体" w:hAnsi="宋体" w:cs="宋体"/>
          <w:kern w:val="0"/>
          <w:sz w:val="24"/>
          <w:highlight w:val="none"/>
        </w:rPr>
      </w:pPr>
      <w:r>
        <w:rPr>
          <w:rFonts w:hint="eastAsia" w:ascii="宋体" w:hAnsi="宋体" w:cs="宋体"/>
          <w:kern w:val="0"/>
          <w:sz w:val="24"/>
          <w:highlight w:val="none"/>
        </w:rPr>
        <w:t>法定代表人或其委托代理人：                         （签字）</w:t>
      </w:r>
    </w:p>
    <w:p>
      <w:pPr>
        <w:autoSpaceDE w:val="0"/>
        <w:autoSpaceDN w:val="0"/>
        <w:adjustRightInd w:val="0"/>
        <w:spacing w:line="360" w:lineRule="exact"/>
        <w:jc w:val="left"/>
        <w:rPr>
          <w:rFonts w:hint="eastAsia" w:ascii="宋体" w:hAnsi="宋体" w:cs="宋体"/>
          <w:kern w:val="0"/>
          <w:sz w:val="24"/>
          <w:highlight w:val="none"/>
        </w:rPr>
      </w:pPr>
    </w:p>
    <w:p>
      <w:pPr>
        <w:autoSpaceDE w:val="0"/>
        <w:autoSpaceDN w:val="0"/>
        <w:adjustRightInd w:val="0"/>
        <w:spacing w:line="360" w:lineRule="exact"/>
        <w:jc w:val="left"/>
        <w:rPr>
          <w:rFonts w:ascii="宋体" w:hAnsi="宋体" w:cs="宋体"/>
          <w:kern w:val="0"/>
          <w:sz w:val="24"/>
          <w:highlight w:val="none"/>
        </w:rPr>
      </w:pPr>
      <w:r>
        <w:rPr>
          <w:rFonts w:hint="eastAsia" w:ascii="宋体" w:hAnsi="宋体" w:cs="宋体"/>
          <w:kern w:val="0"/>
          <w:sz w:val="24"/>
          <w:highlight w:val="none"/>
        </w:rPr>
        <w:t>......</w:t>
      </w:r>
    </w:p>
    <w:p>
      <w:pPr>
        <w:autoSpaceDE w:val="0"/>
        <w:autoSpaceDN w:val="0"/>
        <w:spacing w:line="360" w:lineRule="exact"/>
        <w:ind w:left="4365" w:leftChars="1850" w:hanging="480" w:hangingChars="200"/>
        <w:rPr>
          <w:rFonts w:hint="eastAsia" w:ascii="宋体" w:hAnsi="宋体" w:cs="宋体"/>
          <w:kern w:val="0"/>
          <w:sz w:val="24"/>
          <w:highlight w:val="none"/>
        </w:rPr>
      </w:pPr>
    </w:p>
    <w:p>
      <w:pPr>
        <w:autoSpaceDE w:val="0"/>
        <w:autoSpaceDN w:val="0"/>
        <w:spacing w:line="360" w:lineRule="exact"/>
        <w:ind w:firstLine="6120" w:firstLineChars="2550"/>
        <w:rPr>
          <w:rFonts w:hint="eastAsia" w:ascii="宋体" w:hAnsi="宋体" w:cs="宋体"/>
          <w:kern w:val="0"/>
          <w:sz w:val="24"/>
          <w:highlight w:val="none"/>
          <w:lang w:val="zh-CN"/>
        </w:rPr>
      </w:pPr>
      <w:r>
        <w:rPr>
          <w:rFonts w:hint="eastAsia" w:ascii="宋体" w:hAnsi="宋体" w:cs="宋体"/>
          <w:kern w:val="0"/>
          <w:sz w:val="24"/>
          <w:highlight w:val="none"/>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highlight w:val="none"/>
          <w:lang w:val="zh-CN"/>
        </w:rPr>
      </w:pPr>
    </w:p>
    <w:p>
      <w:pPr>
        <w:autoSpaceDE w:val="0"/>
        <w:autoSpaceDN w:val="0"/>
        <w:spacing w:line="360" w:lineRule="auto"/>
        <w:ind w:firstLine="6120" w:firstLineChars="2550"/>
        <w:rPr>
          <w:rFonts w:hint="eastAsia" w:ascii="仿宋_GB2312" w:hAnsi="仿宋" w:eastAsia="仿宋_GB2312" w:cs="仿宋_GB2312"/>
          <w:kern w:val="0"/>
          <w:sz w:val="24"/>
          <w:highlight w:val="none"/>
          <w:lang w:val="zh-CN"/>
        </w:rPr>
      </w:pPr>
    </w:p>
    <w:p>
      <w:pPr>
        <w:pStyle w:val="3"/>
        <w:jc w:val="center"/>
        <w:rPr>
          <w:rFonts w:hint="eastAsia" w:ascii="宋体" w:hAnsi="宋体"/>
          <w:b w:val="0"/>
          <w:highlight w:val="none"/>
        </w:rPr>
      </w:pPr>
      <w:bookmarkStart w:id="137" w:name="_Toc20562"/>
      <w:bookmarkStart w:id="138" w:name="_Toc80205940"/>
      <w:bookmarkStart w:id="139" w:name="_Toc15951"/>
      <w:bookmarkStart w:id="140" w:name="_Toc80886944"/>
      <w:r>
        <w:rPr>
          <w:rFonts w:hint="eastAsia" w:ascii="宋体" w:hAnsi="宋体"/>
          <w:b w:val="0"/>
          <w:bCs w:val="0"/>
          <w:highlight w:val="none"/>
        </w:rPr>
        <w:t xml:space="preserve">第二节 </w:t>
      </w:r>
      <w:r>
        <w:rPr>
          <w:rFonts w:hint="eastAsia" w:ascii="宋体" w:hAnsi="宋体"/>
          <w:b w:val="0"/>
          <w:highlight w:val="none"/>
        </w:rPr>
        <w:t>商务技术文件格式</w:t>
      </w:r>
      <w:bookmarkEnd w:id="137"/>
      <w:bookmarkEnd w:id="138"/>
      <w:bookmarkEnd w:id="139"/>
      <w:bookmarkEnd w:id="140"/>
    </w:p>
    <w:p>
      <w:pPr>
        <w:snapToGrid w:val="0"/>
        <w:spacing w:before="120" w:beforeLines="50" w:after="50" w:line="360" w:lineRule="auto"/>
        <w:jc w:val="left"/>
        <w:rPr>
          <w:rFonts w:hint="eastAsia" w:ascii="宋体" w:hAnsi="宋体"/>
          <w:b/>
          <w:color w:val="000000"/>
          <w:sz w:val="32"/>
          <w:szCs w:val="32"/>
          <w:highlight w:val="none"/>
        </w:rPr>
      </w:pPr>
      <w:r>
        <w:rPr>
          <w:rFonts w:hint="eastAsia" w:ascii="宋体" w:hAnsi="宋体"/>
          <w:b/>
          <w:color w:val="000000"/>
          <w:sz w:val="28"/>
          <w:szCs w:val="28"/>
          <w:highlight w:val="none"/>
        </w:rPr>
        <w:t>1.商务技术文件封面的格式</w:t>
      </w:r>
      <w:r>
        <w:rPr>
          <w:rFonts w:hint="eastAsia" w:ascii="宋体" w:hAnsi="宋体" w:cs="宋体"/>
          <w:b/>
          <w:color w:val="000000"/>
          <w:sz w:val="28"/>
          <w:szCs w:val="28"/>
          <w:highlight w:val="none"/>
        </w:rPr>
        <w:t>（参照此格式自拟）</w:t>
      </w:r>
      <w:r>
        <w:rPr>
          <w:rFonts w:hint="eastAsia" w:ascii="宋体" w:hAnsi="宋体"/>
          <w:b/>
          <w:color w:val="000000"/>
          <w:sz w:val="28"/>
          <w:szCs w:val="28"/>
          <w:highlight w:val="none"/>
        </w:rPr>
        <w:t>：</w:t>
      </w:r>
    </w:p>
    <w:p>
      <w:pPr>
        <w:snapToGrid w:val="0"/>
        <w:spacing w:before="120" w:beforeLines="50" w:after="50"/>
        <w:rPr>
          <w:rFonts w:hint="eastAsia"/>
          <w:sz w:val="24"/>
          <w:highlight w:val="none"/>
        </w:rPr>
      </w:pPr>
      <w:r>
        <w:rPr>
          <w:rFonts w:hint="eastAsia"/>
          <w:sz w:val="24"/>
          <w:highlight w:val="none"/>
        </w:rPr>
        <w:t xml:space="preserve">                                             </w:t>
      </w:r>
    </w:p>
    <w:p>
      <w:pPr>
        <w:snapToGrid w:val="0"/>
        <w:spacing w:before="120" w:beforeLines="50" w:after="50"/>
        <w:ind w:firstLine="6720" w:firstLineChars="3200"/>
        <w:rPr>
          <w:rFonts w:hint="eastAsia"/>
          <w:bCs/>
          <w:sz w:val="32"/>
          <w:szCs w:val="20"/>
          <w:highlight w:val="none"/>
        </w:rPr>
      </w:pPr>
      <w:r>
        <w:rPr>
          <w:rFonts w:hint="eastAsia"/>
          <w:bCs/>
          <w:highlight w:val="none"/>
        </w:rPr>
        <w:t>全流程电子文件</w:t>
      </w:r>
    </w:p>
    <w:p>
      <w:pPr>
        <w:snapToGrid w:val="0"/>
        <w:spacing w:before="120" w:beforeLines="50" w:after="50"/>
        <w:rPr>
          <w:rFonts w:hint="eastAsia"/>
          <w:sz w:val="24"/>
          <w:szCs w:val="20"/>
          <w:highlight w:val="none"/>
        </w:rPr>
      </w:pPr>
    </w:p>
    <w:p>
      <w:pPr>
        <w:snapToGrid w:val="0"/>
        <w:spacing w:before="120" w:beforeLines="50" w:after="50"/>
        <w:rPr>
          <w:rFonts w:hint="eastAsia"/>
          <w:sz w:val="24"/>
          <w:szCs w:val="20"/>
          <w:highlight w:val="none"/>
        </w:rPr>
      </w:pPr>
    </w:p>
    <w:p>
      <w:pPr>
        <w:snapToGrid w:val="0"/>
        <w:spacing w:before="120" w:beforeLines="50" w:after="50"/>
        <w:rPr>
          <w:rFonts w:hint="eastAsia"/>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商  务  技  术  文  件</w:t>
      </w: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ind w:firstLine="640" w:firstLineChars="200"/>
        <w:rPr>
          <w:rFonts w:hint="eastAsia" w:cs="仿宋_GB2312"/>
          <w:bCs/>
          <w:sz w:val="32"/>
          <w:szCs w:val="32"/>
          <w:highlight w:val="none"/>
        </w:rPr>
      </w:pPr>
      <w:r>
        <w:rPr>
          <w:rFonts w:hint="eastAsia" w:cs="仿宋_GB2312"/>
          <w:bCs/>
          <w:sz w:val="32"/>
          <w:szCs w:val="32"/>
          <w:highlight w:val="none"/>
        </w:rPr>
        <w:t>项目名称：</w:t>
      </w:r>
    </w:p>
    <w:p>
      <w:pPr>
        <w:snapToGrid w:val="0"/>
        <w:spacing w:before="120" w:beforeLines="50" w:after="50"/>
        <w:ind w:firstLine="720" w:firstLineChars="225"/>
        <w:rPr>
          <w:rFonts w:hint="eastAsia" w:cs="仿宋_GB2312"/>
          <w:bCs/>
          <w:sz w:val="32"/>
          <w:szCs w:val="32"/>
          <w:highlight w:val="none"/>
        </w:rPr>
      </w:pPr>
    </w:p>
    <w:p>
      <w:pPr>
        <w:snapToGrid w:val="0"/>
        <w:spacing w:before="120" w:beforeLines="50" w:after="50"/>
        <w:ind w:firstLine="640" w:firstLineChars="200"/>
        <w:rPr>
          <w:rFonts w:hint="eastAsia" w:cs="仿宋_GB2312"/>
          <w:bCs/>
          <w:sz w:val="32"/>
          <w:szCs w:val="32"/>
          <w:highlight w:val="none"/>
        </w:rPr>
      </w:pPr>
      <w:r>
        <w:rPr>
          <w:rFonts w:hint="eastAsia" w:cs="仿宋_GB2312"/>
          <w:bCs/>
          <w:sz w:val="32"/>
          <w:szCs w:val="32"/>
          <w:highlight w:val="none"/>
        </w:rPr>
        <w:t>项目编号：</w:t>
      </w:r>
    </w:p>
    <w:p>
      <w:pPr>
        <w:snapToGrid w:val="0"/>
        <w:spacing w:before="120" w:beforeLines="50" w:after="50"/>
        <w:ind w:firstLine="720" w:firstLineChars="225"/>
        <w:rPr>
          <w:rFonts w:hint="eastAsia" w:cs="仿宋_GB2312"/>
          <w:bCs/>
          <w:sz w:val="32"/>
          <w:szCs w:val="32"/>
          <w:highlight w:val="none"/>
        </w:rPr>
      </w:pPr>
      <w:r>
        <w:rPr>
          <w:rFonts w:hint="eastAsia" w:cs="仿宋_GB2312"/>
          <w:bCs/>
          <w:sz w:val="32"/>
          <w:szCs w:val="32"/>
          <w:highlight w:val="none"/>
        </w:rPr>
        <w:t xml:space="preserve"> </w:t>
      </w:r>
    </w:p>
    <w:p>
      <w:pPr>
        <w:snapToGrid w:val="0"/>
        <w:spacing w:before="120" w:beforeLines="50" w:after="50"/>
        <w:ind w:firstLine="640" w:firstLineChars="200"/>
        <w:rPr>
          <w:rFonts w:hint="eastAsia" w:cs="仿宋_GB2312"/>
          <w:bCs/>
          <w:sz w:val="32"/>
          <w:szCs w:val="32"/>
          <w:highlight w:val="none"/>
        </w:rPr>
      </w:pPr>
      <w:r>
        <w:rPr>
          <w:rFonts w:hint="eastAsia" w:cs="仿宋_GB2312"/>
          <w:bCs/>
          <w:sz w:val="32"/>
          <w:szCs w:val="32"/>
          <w:highlight w:val="none"/>
        </w:rPr>
        <w:t>所竞分标（如有则填写，无分标时填写“无”或者留空）：</w:t>
      </w:r>
    </w:p>
    <w:p>
      <w:pPr>
        <w:snapToGrid w:val="0"/>
        <w:spacing w:before="120" w:beforeLines="50" w:after="50"/>
        <w:ind w:firstLine="720" w:firstLineChars="225"/>
        <w:rPr>
          <w:rFonts w:hint="eastAsia" w:cs="仿宋_GB2312"/>
          <w:bCs/>
          <w:sz w:val="32"/>
          <w:szCs w:val="32"/>
          <w:highlight w:val="none"/>
        </w:rPr>
      </w:pPr>
    </w:p>
    <w:p>
      <w:pPr>
        <w:pStyle w:val="7"/>
        <w:snapToGrid w:val="0"/>
        <w:spacing w:before="50" w:after="50"/>
        <w:ind w:firstLine="640" w:firstLineChars="200"/>
        <w:rPr>
          <w:rFonts w:hint="eastAsia" w:cs="仿宋_GB2312"/>
          <w:bCs/>
          <w:sz w:val="32"/>
          <w:szCs w:val="32"/>
          <w:highlight w:val="none"/>
        </w:rPr>
      </w:pPr>
      <w:r>
        <w:rPr>
          <w:rFonts w:hint="eastAsia" w:cs="仿宋_GB2312"/>
          <w:bCs/>
          <w:sz w:val="32"/>
          <w:szCs w:val="32"/>
          <w:highlight w:val="none"/>
        </w:rPr>
        <w:t>供应商名称：</w:t>
      </w:r>
    </w:p>
    <w:p>
      <w:pPr>
        <w:pStyle w:val="7"/>
        <w:snapToGrid w:val="0"/>
        <w:spacing w:before="50" w:after="50"/>
        <w:ind w:firstLine="720" w:firstLineChars="225"/>
        <w:rPr>
          <w:rFonts w:hint="eastAsia" w:cs="仿宋_GB2312"/>
          <w:bCs/>
          <w:sz w:val="32"/>
          <w:szCs w:val="32"/>
          <w:highlight w:val="none"/>
        </w:rPr>
      </w:pPr>
    </w:p>
    <w:p>
      <w:pPr>
        <w:pStyle w:val="7"/>
        <w:snapToGrid w:val="0"/>
        <w:spacing w:before="50" w:after="50"/>
        <w:ind w:firstLine="720" w:firstLineChars="225"/>
        <w:rPr>
          <w:rFonts w:hint="eastAsia" w:cs="仿宋_GB2312"/>
          <w:bCs/>
          <w:sz w:val="32"/>
          <w:szCs w:val="32"/>
          <w:highlight w:val="none"/>
        </w:rPr>
      </w:pPr>
    </w:p>
    <w:p>
      <w:pPr>
        <w:pStyle w:val="7"/>
        <w:snapToGrid w:val="0"/>
        <w:spacing w:before="50" w:after="50"/>
        <w:ind w:firstLine="1280" w:firstLineChars="400"/>
        <w:rPr>
          <w:rFonts w:hint="eastAsia" w:cs="仿宋_GB2312"/>
          <w:bCs/>
          <w:sz w:val="32"/>
          <w:szCs w:val="32"/>
          <w:highlight w:val="none"/>
        </w:rPr>
      </w:pPr>
    </w:p>
    <w:p>
      <w:pPr>
        <w:snapToGrid w:val="0"/>
        <w:spacing w:before="120" w:beforeLines="50" w:after="50"/>
        <w:jc w:val="center"/>
        <w:rPr>
          <w:rFonts w:hint="eastAsia" w:cs="仿宋_GB2312"/>
          <w:sz w:val="32"/>
          <w:szCs w:val="32"/>
          <w:highlight w:val="none"/>
        </w:rPr>
      </w:pPr>
      <w:r>
        <w:rPr>
          <w:rFonts w:hint="eastAsia" w:cs="仿宋_GB2312"/>
          <w:sz w:val="32"/>
          <w:szCs w:val="32"/>
          <w:highlight w:val="none"/>
        </w:rPr>
        <w:t>年    月    日</w:t>
      </w:r>
    </w:p>
    <w:p>
      <w:pPr>
        <w:snapToGrid w:val="0"/>
        <w:spacing w:before="120" w:beforeLines="50" w:after="50" w:line="360" w:lineRule="auto"/>
        <w:ind w:left="142" w:firstLine="643" w:firstLineChars="200"/>
        <w:jc w:val="left"/>
        <w:rPr>
          <w:b/>
          <w:bCs/>
          <w:sz w:val="32"/>
          <w:szCs w:val="32"/>
          <w:highlight w:val="none"/>
        </w:rPr>
        <w:sectPr>
          <w:pgSz w:w="11911" w:h="16838"/>
          <w:pgMar w:top="1134" w:right="1134" w:bottom="1134" w:left="1134" w:header="720" w:footer="720" w:gutter="0"/>
          <w:cols w:space="720" w:num="1"/>
        </w:sectPr>
      </w:pPr>
    </w:p>
    <w:p>
      <w:pPr>
        <w:spacing w:line="360" w:lineRule="auto"/>
        <w:ind w:right="420"/>
        <w:rPr>
          <w:rFonts w:hint="eastAsia" w:ascii="宋体" w:hAnsi="宋体" w:cs="宋体"/>
          <w:sz w:val="24"/>
          <w:szCs w:val="20"/>
          <w:highlight w:val="none"/>
        </w:rPr>
      </w:pPr>
      <w:r>
        <w:rPr>
          <w:rFonts w:hint="eastAsia" w:ascii="宋体" w:hAnsi="宋体" w:cs="宋体"/>
          <w:b/>
          <w:bCs/>
          <w:color w:val="000000"/>
          <w:sz w:val="28"/>
          <w:szCs w:val="28"/>
          <w:highlight w:val="none"/>
        </w:rPr>
        <w:t>2.商务技术文件目录</w:t>
      </w:r>
    </w:p>
    <w:p>
      <w:pPr>
        <w:spacing w:line="400" w:lineRule="exact"/>
        <w:rPr>
          <w:rFonts w:hint="eastAsia" w:ascii="仿宋_GB2312" w:hAnsi="仿宋_GB2312" w:eastAsia="仿宋_GB2312" w:cs="仿宋_GB2312"/>
          <w:sz w:val="32"/>
          <w:szCs w:val="32"/>
          <w:highlight w:val="none"/>
        </w:rPr>
      </w:pPr>
      <w:r>
        <w:rPr>
          <w:rFonts w:hint="eastAsia" w:ascii="宋体" w:hAnsi="宋体" w:cs="宋体"/>
          <w:kern w:val="0"/>
          <w:sz w:val="24"/>
          <w:highlight w:val="none"/>
        </w:rPr>
        <w:t xml:space="preserve">  根据竞争性磋商文件规定及供应商提供的材料自行编写目录（部分格式后附）。</w:t>
      </w:r>
    </w:p>
    <w:p>
      <w:pPr>
        <w:spacing w:line="520" w:lineRule="exact"/>
        <w:jc w:val="left"/>
        <w:rPr>
          <w:rFonts w:hint="eastAsia" w:ascii="宋体" w:hAnsi="宋体" w:cs="宋体"/>
          <w:sz w:val="28"/>
          <w:szCs w:val="28"/>
          <w:highlight w:val="none"/>
        </w:rPr>
      </w:pPr>
      <w:r>
        <w:rPr>
          <w:rFonts w:hint="eastAsia" w:ascii="方正小标宋简体" w:hAnsi="方正小标宋简体" w:eastAsia="方正小标宋简体" w:cs="方正小标宋简体"/>
          <w:sz w:val="44"/>
          <w:szCs w:val="44"/>
          <w:highlight w:val="none"/>
        </w:rPr>
        <w:br w:type="page"/>
      </w:r>
      <w:r>
        <w:rPr>
          <w:rFonts w:hint="eastAsia" w:ascii="宋体" w:hAnsi="宋体" w:cs="宋体"/>
          <w:b/>
          <w:sz w:val="28"/>
          <w:szCs w:val="28"/>
          <w:highlight w:val="none"/>
        </w:rPr>
        <w:t>3.无串通竞标行为的承诺函的格式：</w:t>
      </w:r>
    </w:p>
    <w:p>
      <w:pPr>
        <w:spacing w:line="520" w:lineRule="exact"/>
        <w:jc w:val="center"/>
        <w:rPr>
          <w:rFonts w:hint="eastAsia" w:ascii="方正小标宋简体" w:hAnsi="方正小标宋简体" w:eastAsia="方正小标宋简体" w:cs="方正小标宋简体"/>
          <w:sz w:val="44"/>
          <w:szCs w:val="44"/>
          <w:highlight w:val="none"/>
        </w:rPr>
      </w:pPr>
    </w:p>
    <w:p>
      <w:pPr>
        <w:spacing w:line="52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无串通竞标行为的承诺函</w:t>
      </w:r>
    </w:p>
    <w:p>
      <w:pPr>
        <w:spacing w:line="520" w:lineRule="exact"/>
        <w:ind w:firstLine="640" w:firstLineChars="200"/>
        <w:rPr>
          <w:rFonts w:hint="eastAsia" w:ascii="仿宋_GB2312" w:hAnsi="仿宋_GB2312" w:eastAsia="仿宋_GB2312" w:cs="仿宋_GB2312"/>
          <w:sz w:val="32"/>
          <w:szCs w:val="32"/>
          <w:highlight w:val="none"/>
        </w:rPr>
      </w:pPr>
    </w:p>
    <w:p>
      <w:pPr>
        <w:spacing w:line="360" w:lineRule="auto"/>
        <w:ind w:firstLine="482" w:firstLineChars="200"/>
        <w:contextualSpacing/>
        <w:rPr>
          <w:rFonts w:hint="eastAsia" w:ascii="宋体" w:hAnsi="宋体" w:cs="宋体"/>
          <w:b/>
          <w:bCs/>
          <w:sz w:val="24"/>
          <w:highlight w:val="none"/>
        </w:rPr>
      </w:pPr>
      <w:r>
        <w:rPr>
          <w:rFonts w:hint="eastAsia" w:ascii="宋体" w:hAnsi="宋体" w:cs="宋体"/>
          <w:b/>
          <w:bCs/>
          <w:sz w:val="24"/>
          <w:highlight w:val="none"/>
        </w:rPr>
        <w:t>一、我方承诺无下列相互串通竞标的情形：</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1.不同供应商的响应文件由同一单位或者个人编制；</w:t>
      </w:r>
      <w:r>
        <w:rPr>
          <w:rFonts w:hint="eastAsia" w:ascii="宋体" w:hAnsi="宋体" w:cs="宋体"/>
          <w:b/>
          <w:bCs/>
          <w:szCs w:val="21"/>
          <w:highlight w:val="none"/>
        </w:rPr>
        <w:t xml:space="preserve">或不同供应商报名的IP地址一致的； </w:t>
      </w:r>
      <w:r>
        <w:rPr>
          <w:rFonts w:hint="eastAsia" w:ascii="宋体" w:hAnsi="宋体" w:cs="宋体"/>
          <w:sz w:val="24"/>
          <w:highlight w:val="none"/>
        </w:rPr>
        <w:t xml:space="preserve"> </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2.不同供应商委托同一单位或者个人办理竞标事宜；</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3.不同供应商的响应文件载明的项目管理员为同一个人；</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4.不</w:t>
      </w:r>
      <w:r>
        <w:rPr>
          <w:rFonts w:hint="eastAsia" w:ascii="宋体" w:hAnsi="宋体" w:cs="宋体"/>
          <w:spacing w:val="-6"/>
          <w:sz w:val="24"/>
          <w:highlight w:val="none"/>
        </w:rPr>
        <w:t>同供应商的响应文件异常一致或者响应报价呈规律性差异；</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5.不同供应商的响应文件相互混装；</w:t>
      </w:r>
    </w:p>
    <w:p>
      <w:pPr>
        <w:pStyle w:val="13"/>
        <w:ind w:firstLine="480" w:firstLineChars="200"/>
        <w:rPr>
          <w:rFonts w:hint="eastAsia" w:ascii="宋体" w:hAnsi="宋体" w:cs="宋体"/>
          <w:highlight w:val="none"/>
        </w:rPr>
      </w:pPr>
      <w:r>
        <w:rPr>
          <w:rFonts w:hint="eastAsia" w:ascii="宋体" w:hAnsi="宋体" w:cs="宋体"/>
          <w:sz w:val="24"/>
          <w:highlight w:val="none"/>
        </w:rPr>
        <w:t>6.不同供应商的磋商保证金从同一单位或者个人账户转出。</w:t>
      </w:r>
    </w:p>
    <w:p>
      <w:pPr>
        <w:spacing w:line="360" w:lineRule="auto"/>
        <w:ind w:firstLine="482" w:firstLineChars="200"/>
        <w:contextualSpacing/>
        <w:rPr>
          <w:rFonts w:hint="eastAsia" w:ascii="宋体" w:hAnsi="宋体" w:cs="宋体"/>
          <w:b/>
          <w:bCs/>
          <w:sz w:val="24"/>
          <w:highlight w:val="none"/>
        </w:rPr>
      </w:pPr>
      <w:r>
        <w:rPr>
          <w:rFonts w:hint="eastAsia" w:ascii="宋体" w:hAnsi="宋体" w:cs="宋体"/>
          <w:b/>
          <w:bCs/>
          <w:sz w:val="24"/>
          <w:highlight w:val="none"/>
        </w:rPr>
        <w:t>二、我方承诺无下列恶意串通的情形：</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3.供</w:t>
      </w:r>
      <w:r>
        <w:rPr>
          <w:rFonts w:hint="eastAsia" w:ascii="宋体" w:hAnsi="宋体" w:cs="宋体"/>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7.供应商与采购人或者采购代理机构之间、供应商相互之间，为</w:t>
      </w:r>
      <w:r>
        <w:rPr>
          <w:rFonts w:hint="eastAsia" w:ascii="宋体" w:hAnsi="宋体" w:cs="宋体"/>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cs="宋体"/>
          <w:sz w:val="24"/>
          <w:highlight w:val="none"/>
        </w:rPr>
      </w:pPr>
    </w:p>
    <w:p>
      <w:pPr>
        <w:spacing w:line="360" w:lineRule="auto"/>
        <w:ind w:firstLine="482" w:firstLineChars="200"/>
        <w:contextualSpacing/>
        <w:rPr>
          <w:rFonts w:hint="eastAsia" w:ascii="宋体" w:hAnsi="宋体" w:cs="宋体"/>
          <w:b/>
          <w:bCs/>
          <w:color w:val="000000"/>
          <w:sz w:val="24"/>
          <w:highlight w:val="none"/>
        </w:rPr>
      </w:pPr>
      <w:r>
        <w:rPr>
          <w:rFonts w:hint="eastAsia" w:ascii="宋体" w:hAnsi="宋体" w:cs="宋体"/>
          <w:b/>
          <w:bCs/>
          <w:color w:val="000000"/>
          <w:sz w:val="24"/>
          <w:highlight w:val="none"/>
        </w:rPr>
        <w:t>以上情形一经核查属实，接受政府采购监管部门对我方认定存在围标串标行为，我方愿意承担一切后果，并不再寻求任何旨在减轻或者免除法律责任的辩解。</w:t>
      </w:r>
    </w:p>
    <w:p>
      <w:pPr>
        <w:pStyle w:val="20"/>
        <w:rPr>
          <w:rFonts w:hint="eastAsia" w:ascii="宋体" w:hAnsi="宋体" w:cs="宋体"/>
          <w:b/>
          <w:bCs/>
          <w:color w:val="000000"/>
          <w:sz w:val="24"/>
          <w:highlight w:val="none"/>
        </w:rPr>
      </w:pPr>
    </w:p>
    <w:p>
      <w:pPr>
        <w:pStyle w:val="20"/>
        <w:rPr>
          <w:rFonts w:hint="eastAsia" w:ascii="宋体" w:hAnsi="宋体" w:cs="宋体"/>
          <w:b/>
          <w:bCs/>
          <w:color w:val="000000"/>
          <w:sz w:val="24"/>
          <w:highlight w:val="none"/>
        </w:rPr>
      </w:pPr>
    </w:p>
    <w:p>
      <w:pPr>
        <w:autoSpaceDE w:val="0"/>
        <w:autoSpaceDN w:val="0"/>
        <w:spacing w:line="360" w:lineRule="auto"/>
        <w:ind w:left="4335" w:leftChars="1950" w:hanging="240" w:hangingChars="100"/>
        <w:rPr>
          <w:rFonts w:hint="eastAsia" w:ascii="宋体" w:hAnsi="宋体" w:cs="宋体"/>
          <w:kern w:val="0"/>
          <w:sz w:val="24"/>
          <w:highlight w:val="none"/>
        </w:rPr>
      </w:pPr>
      <w:r>
        <w:rPr>
          <w:rFonts w:hint="eastAsia" w:ascii="宋体" w:hAnsi="宋体" w:cs="宋体"/>
          <w:kern w:val="0"/>
          <w:sz w:val="24"/>
          <w:highlight w:val="none"/>
        </w:rPr>
        <w:t>供应商名称（盖公章）：</w:t>
      </w:r>
    </w:p>
    <w:p>
      <w:pPr>
        <w:spacing w:line="480" w:lineRule="auto"/>
        <w:ind w:firstLine="5040" w:firstLineChars="2100"/>
        <w:jc w:val="left"/>
        <w:rPr>
          <w:rFonts w:hint="eastAsia" w:ascii="宋体" w:hAnsi="宋体" w:cs="宋体"/>
          <w:b/>
          <w:bCs/>
          <w:sz w:val="28"/>
          <w:szCs w:val="28"/>
          <w:highlight w:val="none"/>
        </w:rPr>
      </w:pPr>
      <w:r>
        <w:rPr>
          <w:rFonts w:hint="eastAsia" w:ascii="宋体" w:hAnsi="宋体" w:cs="宋体"/>
          <w:kern w:val="0"/>
          <w:sz w:val="24"/>
          <w:highlight w:val="none"/>
          <w:lang w:val="zh-CN"/>
        </w:rPr>
        <w:t xml:space="preserve">日期：  年  月   日   </w:t>
      </w:r>
      <w:r>
        <w:rPr>
          <w:b/>
          <w:bCs/>
          <w:sz w:val="32"/>
          <w:szCs w:val="32"/>
          <w:highlight w:val="none"/>
        </w:rPr>
        <w:br w:type="page"/>
      </w:r>
      <w:r>
        <w:rPr>
          <w:rFonts w:hint="eastAsia" w:ascii="宋体" w:hAnsi="宋体" w:cs="宋体"/>
          <w:b/>
          <w:bCs/>
          <w:sz w:val="28"/>
          <w:szCs w:val="28"/>
          <w:highlight w:val="none"/>
        </w:rPr>
        <w:t>4.法定代表人身份证明的格式：</w:t>
      </w:r>
    </w:p>
    <w:p>
      <w:pPr>
        <w:spacing w:line="520" w:lineRule="exact"/>
        <w:jc w:val="center"/>
        <w:rPr>
          <w:rFonts w:hint="eastAsia" w:ascii="仿宋_GB2312" w:hAnsi="仿宋_GB2312" w:eastAsia="仿宋_GB2312" w:cs="仿宋_GB2312"/>
          <w:sz w:val="32"/>
          <w:szCs w:val="32"/>
          <w:highlight w:val="none"/>
        </w:rPr>
      </w:pPr>
      <w:r>
        <w:rPr>
          <w:rFonts w:hint="eastAsia" w:ascii="宋体" w:hAnsi="宋体" w:cs="宋体"/>
          <w:bCs/>
          <w:sz w:val="32"/>
          <w:szCs w:val="32"/>
          <w:highlight w:val="none"/>
        </w:rPr>
        <w:t>法定代表人身份证明</w:t>
      </w:r>
    </w:p>
    <w:p>
      <w:pPr>
        <w:spacing w:line="360" w:lineRule="auto"/>
        <w:ind w:left="540"/>
        <w:contextualSpacing/>
        <w:rPr>
          <w:rFonts w:hint="eastAsia" w:ascii="仿宋_GB2312" w:hAnsi="仿宋_GB2312" w:eastAsia="仿宋_GB2312" w:cs="仿宋_GB2312"/>
          <w:sz w:val="32"/>
          <w:szCs w:val="32"/>
          <w:highlight w:val="none"/>
        </w:rPr>
      </w:pPr>
    </w:p>
    <w:p>
      <w:pPr>
        <w:spacing w:line="360" w:lineRule="auto"/>
        <w:ind w:left="540"/>
        <w:contextualSpacing/>
        <w:rPr>
          <w:rFonts w:hint="eastAsia"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pPr>
        <w:spacing w:line="360" w:lineRule="auto"/>
        <w:ind w:left="540"/>
        <w:contextualSpacing/>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360" w:lineRule="auto"/>
        <w:ind w:left="540"/>
        <w:contextualSpacing/>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pPr>
        <w:spacing w:line="360" w:lineRule="auto"/>
        <w:ind w:left="540"/>
        <w:contextualSpacing/>
        <w:rPr>
          <w:rFonts w:hint="eastAsia"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pPr>
        <w:spacing w:line="360" w:lineRule="auto"/>
        <w:ind w:left="540"/>
        <w:contextualSpacing/>
        <w:rPr>
          <w:rFonts w:hint="eastAsia"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w:t>
      </w:r>
    </w:p>
    <w:p>
      <w:pPr>
        <w:spacing w:line="360" w:lineRule="auto"/>
        <w:ind w:left="540"/>
        <w:contextualSpacing/>
        <w:rPr>
          <w:rFonts w:hint="eastAsia" w:ascii="宋体" w:hAnsi="宋体" w:cs="宋体"/>
          <w:sz w:val="24"/>
          <w:highlight w:val="none"/>
        </w:rPr>
      </w:pPr>
      <w:r>
        <w:rPr>
          <w:rFonts w:hint="eastAsia" w:ascii="宋体" w:hAnsi="宋体" w:cs="宋体"/>
          <w:sz w:val="24"/>
          <w:highlight w:val="none"/>
        </w:rPr>
        <w:t>特此证明。</w:t>
      </w:r>
    </w:p>
    <w:p>
      <w:pPr>
        <w:spacing w:line="360" w:lineRule="auto"/>
        <w:ind w:left="540"/>
        <w:contextualSpacing/>
        <w:rPr>
          <w:rFonts w:hint="eastAsia" w:ascii="宋体" w:hAnsi="宋体" w:cs="宋体"/>
          <w:sz w:val="24"/>
          <w:highlight w:val="none"/>
        </w:rPr>
      </w:pPr>
    </w:p>
    <w:p>
      <w:pPr>
        <w:spacing w:line="360" w:lineRule="auto"/>
        <w:ind w:left="540"/>
        <w:contextualSpacing/>
        <w:rPr>
          <w:rFonts w:hint="eastAsia" w:ascii="宋体" w:hAnsi="宋体" w:cs="宋体"/>
          <w:sz w:val="24"/>
          <w:highlight w:val="none"/>
        </w:rPr>
      </w:pPr>
    </w:p>
    <w:p>
      <w:pPr>
        <w:spacing w:line="360" w:lineRule="auto"/>
        <w:ind w:left="540"/>
        <w:contextualSpacing/>
        <w:rPr>
          <w:rFonts w:hint="eastAsia" w:ascii="宋体" w:hAnsi="宋体" w:cs="宋体"/>
          <w:sz w:val="24"/>
          <w:highlight w:val="none"/>
        </w:rPr>
      </w:pPr>
    </w:p>
    <w:p>
      <w:pPr>
        <w:spacing w:line="360" w:lineRule="auto"/>
        <w:ind w:left="540"/>
        <w:contextualSpacing/>
        <w:rPr>
          <w:rFonts w:hint="eastAsia" w:ascii="宋体" w:hAnsi="宋体" w:cs="宋体"/>
          <w:sz w:val="24"/>
          <w:highlight w:val="none"/>
        </w:rPr>
      </w:pPr>
      <w:r>
        <w:rPr>
          <w:rFonts w:hint="eastAsia" w:ascii="宋体" w:hAnsi="宋体" w:cs="宋体"/>
          <w:sz w:val="24"/>
          <w:highlight w:val="none"/>
        </w:rPr>
        <w:t>附件：法定代表人有效身份证正反面复印件</w:t>
      </w:r>
    </w:p>
    <w:p>
      <w:pPr>
        <w:spacing w:line="360" w:lineRule="auto"/>
        <w:ind w:left="540"/>
        <w:contextualSpacing/>
        <w:rPr>
          <w:rFonts w:hint="eastAsia" w:ascii="宋体" w:hAnsi="宋体" w:cs="宋体"/>
          <w:sz w:val="24"/>
          <w:highlight w:val="none"/>
        </w:rPr>
      </w:pPr>
    </w:p>
    <w:p>
      <w:pPr>
        <w:autoSpaceDE w:val="0"/>
        <w:autoSpaceDN w:val="0"/>
        <w:spacing w:line="360" w:lineRule="auto"/>
        <w:ind w:left="4335" w:leftChars="1950" w:hanging="240" w:hangingChars="100"/>
        <w:rPr>
          <w:rFonts w:hint="eastAsia" w:ascii="宋体" w:hAnsi="宋体" w:cs="宋体"/>
          <w:kern w:val="0"/>
          <w:sz w:val="24"/>
          <w:highlight w:val="none"/>
        </w:rPr>
      </w:pPr>
      <w:r>
        <w:rPr>
          <w:rFonts w:hint="eastAsia" w:ascii="宋体" w:hAnsi="宋体" w:cs="宋体"/>
          <w:kern w:val="0"/>
          <w:sz w:val="24"/>
          <w:highlight w:val="none"/>
        </w:rPr>
        <w:t>供应商名称（盖公章）：</w:t>
      </w:r>
    </w:p>
    <w:p>
      <w:pPr>
        <w:spacing w:line="360" w:lineRule="auto"/>
        <w:contextualSpacing/>
        <w:jc w:val="center"/>
        <w:rPr>
          <w:rFonts w:hint="eastAsia" w:ascii="宋体" w:hAnsi="宋体" w:cs="宋体"/>
          <w:b/>
          <w:sz w:val="24"/>
          <w:highlight w:val="none"/>
        </w:rPr>
      </w:pPr>
      <w:r>
        <w:rPr>
          <w:rFonts w:hint="eastAsia" w:ascii="宋体" w:hAnsi="宋体" w:cs="宋体"/>
          <w:kern w:val="0"/>
          <w:sz w:val="24"/>
          <w:highlight w:val="none"/>
          <w:lang w:val="zh-CN"/>
        </w:rPr>
        <w:t xml:space="preserve">                                                   日期：  年  月   日</w:t>
      </w:r>
    </w:p>
    <w:p>
      <w:pPr>
        <w:spacing w:line="360" w:lineRule="auto"/>
        <w:contextualSpacing/>
        <w:jc w:val="left"/>
        <w:rPr>
          <w:rFonts w:hint="eastAsia" w:ascii="宋体" w:hAnsi="宋体" w:cs="宋体"/>
          <w:sz w:val="24"/>
          <w:highlight w:val="none"/>
        </w:rPr>
      </w:pPr>
    </w:p>
    <w:p>
      <w:pPr>
        <w:spacing w:line="360" w:lineRule="auto"/>
        <w:contextualSpacing/>
        <w:jc w:val="left"/>
        <w:rPr>
          <w:rFonts w:hint="eastAsia" w:ascii="宋体" w:hAnsi="宋体" w:cs="宋体"/>
          <w:sz w:val="24"/>
          <w:highlight w:val="none"/>
        </w:rPr>
      </w:pPr>
    </w:p>
    <w:p>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注：</w:t>
      </w:r>
    </w:p>
    <w:p>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1.自然人竞标的无需提供，联合体竞标的只需牵头人出具。</w:t>
      </w:r>
    </w:p>
    <w:p>
      <w:pPr>
        <w:spacing w:line="360" w:lineRule="auto"/>
        <w:ind w:firstLine="420" w:firstLineChars="200"/>
        <w:contextualSpacing/>
        <w:jc w:val="left"/>
        <w:rPr>
          <w:rFonts w:hint="eastAsia" w:ascii="宋体" w:hAnsi="宋体" w:cs="宋体"/>
          <w:szCs w:val="21"/>
          <w:highlight w:val="none"/>
        </w:rPr>
        <w:sectPr>
          <w:pgSz w:w="11911" w:h="16838"/>
          <w:pgMar w:top="1134" w:right="1134" w:bottom="1134" w:left="1134" w:header="720" w:footer="720" w:gutter="0"/>
          <w:cols w:space="720" w:num="1"/>
        </w:sectPr>
      </w:pPr>
      <w:r>
        <w:rPr>
          <w:rFonts w:hint="eastAsia" w:ascii="宋体" w:hAnsi="宋体" w:cs="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9"/>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noWrap w:val="0"/>
            <w:vAlign w:val="top"/>
          </w:tcPr>
          <w:p>
            <w:pPr>
              <w:spacing w:line="360" w:lineRule="auto"/>
              <w:rPr>
                <w:rFonts w:hAnsi="Calibri"/>
                <w:b/>
                <w:sz w:val="24"/>
                <w:highlight w:val="none"/>
              </w:rPr>
            </w:pPr>
          </w:p>
          <w:p>
            <w:pPr>
              <w:spacing w:line="360" w:lineRule="auto"/>
              <w:rPr>
                <w:rFonts w:hAnsi="Calibri"/>
                <w:b/>
                <w:sz w:val="24"/>
                <w:highlight w:val="none"/>
              </w:rPr>
            </w:pPr>
            <w:r>
              <w:rPr>
                <w:rFonts w:hint="eastAsia" w:hAnsi="Calibri"/>
                <w:b/>
                <w:sz w:val="24"/>
                <w:highlight w:val="none"/>
              </w:rPr>
              <w:t>法定代表人身份证复印件粘帖处（正、反面）</w:t>
            </w:r>
          </w:p>
        </w:tc>
      </w:tr>
    </w:tbl>
    <w:p>
      <w:pPr>
        <w:spacing w:line="360" w:lineRule="auto"/>
        <w:ind w:firstLine="482" w:firstLineChars="200"/>
        <w:contextualSpacing/>
        <w:jc w:val="left"/>
        <w:rPr>
          <w:rFonts w:hint="eastAsia" w:ascii="仿宋_GB2312" w:hAnsi="仿宋_GB2312" w:eastAsia="仿宋_GB2312" w:cs="仿宋_GB2312"/>
          <w:b/>
          <w:sz w:val="32"/>
          <w:szCs w:val="32"/>
          <w:highlight w:val="none"/>
        </w:rPr>
      </w:pPr>
      <w:r>
        <w:rPr>
          <w:rFonts w:hint="eastAsia" w:ascii="Calibri"/>
          <w:b/>
          <w:sz w:val="24"/>
          <w:highlight w:val="none"/>
        </w:rPr>
        <w:t>附件：</w:t>
      </w:r>
    </w:p>
    <w:p>
      <w:pPr>
        <w:adjustRightInd w:val="0"/>
        <w:snapToGrid w:val="0"/>
        <w:spacing w:line="300" w:lineRule="auto"/>
        <w:jc w:val="left"/>
        <w:rPr>
          <w:rFonts w:hint="eastAsia"/>
          <w:b/>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ind w:firstLine="880"/>
        <w:jc w:val="left"/>
        <w:rPr>
          <w:rFonts w:hint="eastAsia" w:ascii="宋体" w:hAnsi="宋体" w:cs="宋体"/>
          <w:color w:val="000000"/>
          <w:szCs w:val="21"/>
          <w:highlight w:val="none"/>
        </w:rPr>
      </w:pPr>
    </w:p>
    <w:p>
      <w:pPr>
        <w:spacing w:line="520" w:lineRule="exact"/>
        <w:jc w:val="left"/>
        <w:rPr>
          <w:rFonts w:hint="eastAsia" w:ascii="方正小标宋简体" w:hAnsi="方正小标宋简体" w:eastAsia="仿宋" w:cs="方正小标宋简体"/>
          <w:bCs/>
          <w:sz w:val="44"/>
          <w:szCs w:val="44"/>
          <w:highlight w:val="none"/>
        </w:rPr>
      </w:pPr>
      <w:r>
        <w:rPr>
          <w:rFonts w:hint="eastAsia" w:ascii="方正小标宋简体" w:hAnsi="方正小标宋简体" w:eastAsia="方正小标宋简体" w:cs="方正小标宋简体"/>
          <w:sz w:val="44"/>
          <w:szCs w:val="44"/>
          <w:highlight w:val="none"/>
        </w:rPr>
        <w:br w:type="page"/>
      </w:r>
      <w:r>
        <w:rPr>
          <w:rFonts w:hint="eastAsia" w:ascii="宋体" w:hAnsi="宋体" w:cs="宋体"/>
          <w:b/>
          <w:bCs/>
          <w:sz w:val="28"/>
          <w:szCs w:val="28"/>
          <w:highlight w:val="none"/>
        </w:rPr>
        <w:t>5.法定代表人授权委托书的格式：</w:t>
      </w:r>
    </w:p>
    <w:p>
      <w:pPr>
        <w:spacing w:line="500" w:lineRule="exact"/>
        <w:jc w:val="center"/>
        <w:rPr>
          <w:rFonts w:hint="eastAsia" w:ascii="方正小标宋简体" w:hAnsi="方正小标宋简体" w:eastAsia="方正小标宋简体" w:cs="方正小标宋简体"/>
          <w:sz w:val="44"/>
          <w:szCs w:val="44"/>
          <w:highlight w:val="none"/>
        </w:rPr>
      </w:pPr>
    </w:p>
    <w:p>
      <w:pPr>
        <w:spacing w:line="520" w:lineRule="exact"/>
        <w:jc w:val="center"/>
        <w:rPr>
          <w:rFonts w:hint="eastAsia" w:ascii="宋体" w:hAnsi="宋体" w:cs="宋体"/>
          <w:sz w:val="32"/>
          <w:szCs w:val="32"/>
          <w:highlight w:val="none"/>
        </w:rPr>
      </w:pPr>
      <w:r>
        <w:rPr>
          <w:rFonts w:hint="eastAsia" w:ascii="宋体" w:hAnsi="宋体" w:cs="宋体"/>
          <w:sz w:val="32"/>
          <w:szCs w:val="32"/>
          <w:highlight w:val="none"/>
        </w:rPr>
        <w:t>授权委托书（非联合体竞标格式）</w:t>
      </w:r>
    </w:p>
    <w:p>
      <w:pPr>
        <w:spacing w:line="520" w:lineRule="exact"/>
        <w:jc w:val="center"/>
        <w:rPr>
          <w:rFonts w:hint="eastAsia" w:ascii="宋体" w:hAnsi="宋体" w:cs="宋体"/>
          <w:sz w:val="32"/>
          <w:szCs w:val="32"/>
          <w:highlight w:val="none"/>
        </w:rPr>
      </w:pPr>
      <w:r>
        <w:rPr>
          <w:rFonts w:hint="eastAsia" w:ascii="宋体" w:hAnsi="宋体" w:cs="宋体"/>
          <w:sz w:val="32"/>
          <w:szCs w:val="32"/>
          <w:highlight w:val="none"/>
        </w:rPr>
        <w:t>（如有委托时）</w:t>
      </w:r>
    </w:p>
    <w:p>
      <w:pPr>
        <w:spacing w:line="520" w:lineRule="exact"/>
        <w:rPr>
          <w:rFonts w:hint="eastAsia" w:ascii="仿宋_GB2312" w:hAnsi="仿宋_GB2312" w:eastAsia="仿宋_GB2312" w:cs="仿宋_GB2312"/>
          <w:sz w:val="32"/>
          <w:szCs w:val="32"/>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i/>
          <w:iCs/>
          <w:sz w:val="24"/>
          <w:highlight w:val="none"/>
          <w:u w:val="single"/>
        </w:rPr>
        <w:t>（姓名）</w:t>
      </w:r>
      <w:r>
        <w:rPr>
          <w:rFonts w:hint="eastAsia" w:ascii="宋体" w:hAnsi="宋体" w:cs="宋体"/>
          <w:sz w:val="24"/>
          <w:highlight w:val="none"/>
          <w:u w:val="single"/>
        </w:rPr>
        <w:t xml:space="preserve">  </w:t>
      </w: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i/>
          <w:iCs/>
          <w:sz w:val="24"/>
          <w:highlight w:val="none"/>
          <w:u w:val="single"/>
        </w:rPr>
        <w:t>（供应商名称）</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 xml:space="preserve"> </w:t>
      </w:r>
      <w:r>
        <w:rPr>
          <w:rFonts w:hint="eastAsia" w:ascii="宋体" w:hAnsi="宋体" w:cs="宋体"/>
          <w:i/>
          <w:iCs/>
          <w:sz w:val="24"/>
          <w:highlight w:val="none"/>
          <w:u w:val="single"/>
        </w:rPr>
        <w:t>（姓名）</w:t>
      </w:r>
      <w:r>
        <w:rPr>
          <w:rFonts w:hint="eastAsia" w:ascii="宋体" w:hAnsi="宋体" w:cs="宋体"/>
          <w:sz w:val="24"/>
          <w:highlight w:val="none"/>
          <w:u w:val="single"/>
        </w:rPr>
        <w:t xml:space="preserve"> </w:t>
      </w:r>
      <w:r>
        <w:rPr>
          <w:rFonts w:hint="eastAsia" w:ascii="宋体" w:hAnsi="宋体" w:cs="宋体"/>
          <w:sz w:val="24"/>
          <w:highlight w:val="none"/>
        </w:rPr>
        <w:t>以我方的名义参加</w:t>
      </w:r>
      <w:r>
        <w:rPr>
          <w:rFonts w:hint="eastAsia" w:ascii="宋体" w:hAnsi="宋体" w:cs="宋体"/>
          <w:sz w:val="24"/>
          <w:highlight w:val="none"/>
          <w:u w:val="single"/>
        </w:rPr>
        <w:t xml:space="preserve">      </w:t>
      </w:r>
      <w:r>
        <w:rPr>
          <w:rFonts w:hint="eastAsia" w:ascii="宋体" w:hAnsi="宋体" w:cs="宋体"/>
          <w:i/>
          <w:iCs/>
          <w:sz w:val="24"/>
          <w:highlight w:val="none"/>
          <w:u w:val="single"/>
        </w:rPr>
        <w:t>（项目名称）</w:t>
      </w:r>
      <w:r>
        <w:rPr>
          <w:rFonts w:hint="eastAsia" w:ascii="宋体" w:hAnsi="宋体" w:cs="宋体"/>
          <w:sz w:val="24"/>
          <w:highlight w:val="none"/>
          <w:u w:val="single"/>
        </w:rPr>
        <w:t xml:space="preserve">        </w:t>
      </w:r>
      <w:r>
        <w:rPr>
          <w:rFonts w:hint="eastAsia" w:ascii="宋体" w:hAnsi="宋体" w:cs="宋体"/>
          <w:sz w:val="24"/>
          <w:highlight w:val="none"/>
        </w:rPr>
        <w:t>项目的竞标活动，并代表我方全权办理针对上述项目的所有采购程序和环节的具体事务和签署相关文件。</w:t>
      </w:r>
    </w:p>
    <w:p>
      <w:pPr>
        <w:spacing w:line="360" w:lineRule="auto"/>
        <w:rPr>
          <w:rFonts w:hint="eastAsia" w:ascii="宋体" w:hAnsi="宋体" w:cs="宋体"/>
          <w:sz w:val="24"/>
          <w:highlight w:val="none"/>
        </w:rPr>
      </w:pPr>
      <w:r>
        <w:rPr>
          <w:rFonts w:hint="eastAsia" w:ascii="宋体" w:hAnsi="宋体" w:cs="宋体"/>
          <w:sz w:val="24"/>
          <w:highlight w:val="none"/>
        </w:rPr>
        <w:t xml:space="preserve">    我方对委托代理人的签字事项负全部责任。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委托代理人无转委托权，特此委托。</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附：委托代理人有效身份证正反面复印件</w:t>
      </w: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 xml:space="preserve">委托代理人（签字）：         法定代表人（签字）：                    </w:t>
      </w:r>
    </w:p>
    <w:p>
      <w:pPr>
        <w:spacing w:line="360" w:lineRule="auto"/>
        <w:rPr>
          <w:rFonts w:hint="eastAsia" w:ascii="宋体" w:hAnsi="宋体" w:cs="宋体"/>
          <w:sz w:val="24"/>
          <w:highlight w:val="none"/>
        </w:rPr>
      </w:pPr>
      <w:r>
        <w:rPr>
          <w:rFonts w:hint="eastAsia" w:ascii="宋体" w:hAnsi="宋体" w:cs="宋体"/>
          <w:sz w:val="24"/>
          <w:highlight w:val="none"/>
        </w:rPr>
        <w:t xml:space="preserve">委托代理人身份证号码：                              </w:t>
      </w:r>
    </w:p>
    <w:p>
      <w:pPr>
        <w:spacing w:line="360" w:lineRule="auto"/>
        <w:rPr>
          <w:rFonts w:hint="eastAsia" w:ascii="宋体" w:hAnsi="宋体" w:cs="宋体"/>
          <w:sz w:val="24"/>
          <w:highlight w:val="none"/>
        </w:rPr>
      </w:pPr>
      <w:r>
        <w:rPr>
          <w:rFonts w:hint="eastAsia" w:ascii="宋体" w:hAnsi="宋体" w:cs="宋体"/>
          <w:sz w:val="24"/>
          <w:highlight w:val="non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rPr>
        <w:t>供应商名称（盖公章）：</w:t>
      </w:r>
    </w:p>
    <w:p>
      <w:pPr>
        <w:spacing w:line="360" w:lineRule="auto"/>
        <w:contextualSpacing/>
        <w:jc w:val="center"/>
        <w:rPr>
          <w:rFonts w:hint="eastAsia" w:ascii="宋体" w:hAnsi="宋体" w:cs="宋体"/>
          <w:b/>
          <w:sz w:val="24"/>
          <w:highlight w:val="none"/>
        </w:rPr>
      </w:pPr>
      <w:r>
        <w:rPr>
          <w:rFonts w:hint="eastAsia" w:ascii="宋体" w:hAnsi="宋体" w:cs="宋体"/>
          <w:kern w:val="0"/>
          <w:sz w:val="24"/>
          <w:highlight w:val="none"/>
          <w:lang w:val="zh-CN"/>
        </w:rPr>
        <w:t xml:space="preserve">                                                   日期：  年  月   日</w:t>
      </w:r>
    </w:p>
    <w:p>
      <w:pPr>
        <w:spacing w:line="360" w:lineRule="auto"/>
        <w:rPr>
          <w:rFonts w:hint="eastAsia" w:ascii="宋体" w:hAnsi="宋体" w:cs="宋体"/>
          <w:sz w:val="24"/>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 法定代表人和委托代理人必须在授权委托书上签字，</w:t>
      </w:r>
      <w:r>
        <w:rPr>
          <w:rFonts w:hint="eastAsia" w:ascii="宋体" w:hAnsi="宋体" w:cs="宋体"/>
          <w:b/>
          <w:szCs w:val="21"/>
          <w:highlight w:val="none"/>
        </w:rPr>
        <w:t>否则其响应文件按无效响应处理。</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 法人、其他组织竞标时“我方”是指“我单位”，自然人竞标时“我方”是指“本人”。</w:t>
      </w:r>
    </w:p>
    <w:p>
      <w:pPr>
        <w:spacing w:line="500" w:lineRule="exact"/>
        <w:jc w:val="center"/>
        <w:rPr>
          <w:rFonts w:hint="eastAsia" w:ascii="宋体" w:hAnsi="宋体" w:cs="宋体"/>
          <w:b/>
          <w:bCs/>
          <w:sz w:val="32"/>
          <w:szCs w:val="32"/>
          <w:highlight w:val="none"/>
        </w:rPr>
      </w:pPr>
      <w:r>
        <w:rPr>
          <w:rFonts w:ascii="仿宋_GB2312" w:hAnsi="仿宋_GB2312" w:eastAsia="仿宋_GB2312" w:cs="仿宋_GB2312"/>
          <w:szCs w:val="21"/>
          <w:highlight w:val="none"/>
        </w:rPr>
        <w:br w:type="page"/>
      </w:r>
      <w:r>
        <w:rPr>
          <w:rFonts w:hint="eastAsia" w:ascii="宋体" w:hAnsi="宋体" w:cs="宋体"/>
          <w:b/>
          <w:bCs/>
          <w:sz w:val="32"/>
          <w:szCs w:val="32"/>
          <w:highlight w:val="none"/>
        </w:rPr>
        <w:t>授权委托书（联合体竞标格式）</w:t>
      </w:r>
    </w:p>
    <w:p>
      <w:pPr>
        <w:spacing w:line="50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（如有委托时）</w:t>
      </w:r>
    </w:p>
    <w:p>
      <w:pPr>
        <w:spacing w:line="500" w:lineRule="exact"/>
        <w:jc w:val="center"/>
        <w:rPr>
          <w:rFonts w:ascii="方正小标宋简体" w:hAnsi="方正小标宋简体" w:eastAsia="方正小标宋简体" w:cs="方正小标宋简体"/>
          <w:sz w:val="44"/>
          <w:szCs w:val="44"/>
          <w:highlight w:val="none"/>
        </w:rPr>
      </w:pPr>
    </w:p>
    <w:p>
      <w:pPr>
        <w:spacing w:line="500" w:lineRule="exact"/>
        <w:jc w:val="center"/>
        <w:rPr>
          <w:rFonts w:hint="eastAsia" w:ascii="仿宋_GB2312" w:hAnsi="仿宋_GB2312" w:eastAsia="仿宋_GB2312" w:cs="仿宋_GB2312"/>
          <w:sz w:val="32"/>
          <w:szCs w:val="32"/>
          <w:highlight w:val="none"/>
        </w:rPr>
      </w:pP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本授权委托书声明：根据</w:t>
      </w:r>
      <w:r>
        <w:rPr>
          <w:rFonts w:hint="eastAsia" w:ascii="宋体" w:hAnsi="宋体" w:cs="宋体"/>
          <w:sz w:val="24"/>
          <w:highlight w:val="none"/>
          <w:u w:val="single"/>
        </w:rPr>
        <w:t xml:space="preserve">                </w:t>
      </w:r>
      <w:r>
        <w:rPr>
          <w:rFonts w:hint="eastAsia" w:ascii="宋体" w:hAnsi="宋体" w:cs="宋体"/>
          <w:sz w:val="24"/>
          <w:highlight w:val="none"/>
        </w:rPr>
        <w:t>（牵头人名称）与</w:t>
      </w:r>
      <w:r>
        <w:rPr>
          <w:rFonts w:hint="eastAsia" w:ascii="宋体" w:hAnsi="宋体" w:cs="宋体"/>
          <w:sz w:val="24"/>
          <w:highlight w:val="none"/>
          <w:u w:val="single"/>
        </w:rPr>
        <w:t xml:space="preserve">              </w:t>
      </w:r>
      <w:r>
        <w:rPr>
          <w:rFonts w:hint="eastAsia" w:ascii="宋体" w:hAnsi="宋体" w:cs="宋体"/>
          <w:sz w:val="24"/>
          <w:highlight w:val="none"/>
        </w:rPr>
        <w:t>（联合体其他成员名称）签订的《联合体竞标协议书》的内容，</w:t>
      </w:r>
      <w:r>
        <w:rPr>
          <w:rFonts w:hint="eastAsia" w:ascii="宋体" w:hAnsi="宋体" w:cs="宋体"/>
          <w:sz w:val="24"/>
          <w:highlight w:val="none"/>
          <w:u w:val="single"/>
        </w:rPr>
        <w:t xml:space="preserve">                       </w:t>
      </w:r>
      <w:r>
        <w:rPr>
          <w:rFonts w:hint="eastAsia" w:ascii="宋体" w:hAnsi="宋体" w:cs="宋体"/>
          <w:sz w:val="24"/>
          <w:highlight w:val="none"/>
        </w:rPr>
        <w:t>（牵头人名称）的法定代表人</w:t>
      </w:r>
      <w:r>
        <w:rPr>
          <w:rFonts w:hint="eastAsia" w:ascii="宋体" w:hAnsi="宋体" w:cs="宋体"/>
          <w:sz w:val="24"/>
          <w:highlight w:val="none"/>
          <w:u w:val="single"/>
        </w:rPr>
        <w:t xml:space="preserve">      </w:t>
      </w:r>
      <w:r>
        <w:rPr>
          <w:rFonts w:hint="eastAsia" w:ascii="宋体" w:hAnsi="宋体" w:cs="宋体"/>
          <w:i/>
          <w:iCs/>
          <w:sz w:val="24"/>
          <w:highlight w:val="none"/>
          <w:u w:val="single"/>
        </w:rPr>
        <w:t>（姓名）</w:t>
      </w:r>
      <w:r>
        <w:rPr>
          <w:rFonts w:hint="eastAsia" w:ascii="宋体" w:hAnsi="宋体" w:cs="宋体"/>
          <w:sz w:val="24"/>
          <w:highlight w:val="none"/>
        </w:rPr>
        <w:t>现授权</w:t>
      </w:r>
      <w:r>
        <w:rPr>
          <w:rFonts w:hint="eastAsia" w:ascii="宋体" w:hAnsi="宋体" w:cs="宋体"/>
          <w:sz w:val="24"/>
          <w:highlight w:val="none"/>
          <w:u w:val="single"/>
        </w:rPr>
        <w:t xml:space="preserve">     </w:t>
      </w:r>
      <w:r>
        <w:rPr>
          <w:rFonts w:hint="eastAsia" w:ascii="宋体" w:hAnsi="宋体" w:cs="宋体"/>
          <w:i/>
          <w:iCs/>
          <w:sz w:val="24"/>
          <w:highlight w:val="none"/>
          <w:u w:val="single"/>
        </w:rPr>
        <w:t xml:space="preserve"> （姓名）</w:t>
      </w:r>
      <w:r>
        <w:rPr>
          <w:rFonts w:hint="eastAsia" w:ascii="宋体" w:hAnsi="宋体" w:cs="宋体"/>
          <w:sz w:val="24"/>
          <w:highlight w:val="none"/>
        </w:rPr>
        <w:t>为联合委托代理人，并代表我方全权办理针对上述项目的所有采购程序和环节的具体事务和签署相关文件。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我方对委托代理人的签字事项负全部责任。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委托代理人无转委托权，特此委托。</w:t>
      </w:r>
    </w:p>
    <w:p>
      <w:pPr>
        <w:spacing w:line="360" w:lineRule="auto"/>
        <w:rPr>
          <w:rFonts w:hint="eastAsia" w:ascii="宋体" w:hAnsi="宋体" w:cs="宋体"/>
          <w:sz w:val="24"/>
          <w:highlight w:val="none"/>
        </w:rPr>
      </w:pPr>
      <w:r>
        <w:rPr>
          <w:rFonts w:hint="eastAsia" w:ascii="宋体" w:hAnsi="宋体" w:cs="宋体"/>
          <w:sz w:val="24"/>
          <w:highlight w:val="none"/>
        </w:rPr>
        <w:t xml:space="preserve">    </w:t>
      </w:r>
    </w:p>
    <w:p>
      <w:pPr>
        <w:spacing w:line="360" w:lineRule="auto"/>
        <w:ind w:firstLine="1560" w:firstLineChars="650"/>
        <w:rPr>
          <w:rFonts w:hint="eastAsia" w:ascii="宋体" w:hAnsi="宋体" w:cs="宋体"/>
          <w:sz w:val="24"/>
          <w:highlight w:val="none"/>
        </w:rPr>
      </w:pPr>
      <w:r>
        <w:rPr>
          <w:rFonts w:hint="eastAsia" w:ascii="宋体" w:hAnsi="宋体" w:cs="宋体"/>
          <w:sz w:val="24"/>
          <w:highlight w:val="none"/>
        </w:rPr>
        <w:t>牵头人法定代表人（签字）：</w:t>
      </w:r>
    </w:p>
    <w:p>
      <w:pPr>
        <w:spacing w:line="360" w:lineRule="auto"/>
        <w:ind w:firstLine="3120" w:firstLineChars="1300"/>
        <w:rPr>
          <w:rFonts w:hint="eastAsia" w:ascii="宋体" w:hAnsi="宋体" w:cs="宋体"/>
          <w:sz w:val="24"/>
          <w:highlight w:val="none"/>
        </w:rPr>
      </w:pPr>
      <w:r>
        <w:rPr>
          <w:rFonts w:hint="eastAsia" w:ascii="宋体" w:hAnsi="宋体" w:cs="宋体"/>
          <w:sz w:val="24"/>
          <w:highlight w:val="none"/>
        </w:rPr>
        <w:t>牵头人名称（盖公章）：</w:t>
      </w:r>
    </w:p>
    <w:p>
      <w:pPr>
        <w:spacing w:line="360" w:lineRule="auto"/>
        <w:ind w:firstLine="3840" w:firstLineChars="1600"/>
        <w:rPr>
          <w:rFonts w:hint="eastAsia" w:ascii="宋体" w:hAnsi="宋体" w:cs="宋体"/>
          <w:sz w:val="24"/>
          <w:highlight w:val="none"/>
        </w:rPr>
      </w:pPr>
      <w:r>
        <w:rPr>
          <w:rFonts w:hint="eastAsia" w:ascii="宋体" w:hAnsi="宋体" w:cs="宋体"/>
          <w:sz w:val="24"/>
          <w:highlight w:val="none"/>
        </w:rPr>
        <w:t>日期：    年   月   日</w:t>
      </w:r>
    </w:p>
    <w:p>
      <w:pPr>
        <w:spacing w:line="360" w:lineRule="auto"/>
        <w:rPr>
          <w:rFonts w:hint="eastAsia" w:ascii="宋体" w:hAnsi="宋体" w:cs="宋体"/>
          <w:sz w:val="24"/>
          <w:highlight w:val="none"/>
        </w:rPr>
      </w:pPr>
    </w:p>
    <w:p>
      <w:pPr>
        <w:spacing w:line="360" w:lineRule="auto"/>
        <w:ind w:firstLine="3120" w:firstLineChars="1300"/>
        <w:rPr>
          <w:rFonts w:hint="eastAsia" w:ascii="宋体" w:hAnsi="宋体" w:cs="宋体"/>
          <w:sz w:val="24"/>
          <w:highlight w:val="none"/>
        </w:rPr>
      </w:pPr>
      <w:r>
        <w:rPr>
          <w:rFonts w:hint="eastAsia" w:ascii="宋体" w:hAnsi="宋体" w:cs="宋体"/>
          <w:sz w:val="24"/>
          <w:highlight w:val="none"/>
        </w:rPr>
        <w:t>委托代理人（签字）：</w:t>
      </w:r>
    </w:p>
    <w:p>
      <w:pPr>
        <w:spacing w:line="360" w:lineRule="auto"/>
        <w:ind w:firstLine="3840" w:firstLineChars="1600"/>
        <w:rPr>
          <w:rFonts w:hint="eastAsia" w:ascii="宋体" w:hAnsi="宋体" w:cs="宋体"/>
          <w:sz w:val="24"/>
          <w:highlight w:val="none"/>
        </w:rPr>
      </w:pPr>
      <w:r>
        <w:rPr>
          <w:rFonts w:hint="eastAsia" w:ascii="宋体" w:hAnsi="宋体" w:cs="宋体"/>
          <w:sz w:val="24"/>
          <w:highlight w:val="none"/>
        </w:rPr>
        <w:t>日期：    年   月   日</w:t>
      </w:r>
    </w:p>
    <w:p>
      <w:pPr>
        <w:spacing w:line="360" w:lineRule="auto"/>
        <w:rPr>
          <w:rFonts w:hint="eastAsia" w:ascii="宋体" w:hAnsi="宋体" w:cs="宋体"/>
          <w:sz w:val="24"/>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 法定代表人和委托代理人必须在授权委托书上签字，</w:t>
      </w:r>
      <w:r>
        <w:rPr>
          <w:rFonts w:hint="eastAsia" w:ascii="宋体" w:hAnsi="宋体" w:cs="宋体"/>
          <w:b/>
          <w:szCs w:val="21"/>
          <w:highlight w:val="none"/>
        </w:rPr>
        <w:t>否则其响应文件按无效响应处理。</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2.本授权委托书应由联合体牵头人的法定代表人按上述规定签署。</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cs="宋体"/>
          <w:sz w:val="24"/>
          <w:highlight w:val="none"/>
        </w:rPr>
      </w:pPr>
      <w:r>
        <w:rPr>
          <w:rFonts w:hint="eastAsia" w:ascii="宋体" w:hAnsi="宋体" w:cs="宋体"/>
          <w:szCs w:val="21"/>
          <w:highlight w:val="none"/>
        </w:rPr>
        <w:t>4.法人、其他组织竞标时“我方”是指“我单位”，自然人竞标时“我方”是指“本人”。</w:t>
      </w:r>
    </w:p>
    <w:p>
      <w:pPr>
        <w:spacing w:line="360" w:lineRule="auto"/>
        <w:ind w:firstLine="420" w:firstLineChars="200"/>
        <w:jc w:val="left"/>
        <w:rPr>
          <w:rFonts w:hint="eastAsia" w:ascii="仿宋_GB2312" w:hAnsi="仿宋_GB2312" w:eastAsia="仿宋_GB2312" w:cs="仿宋_GB2312"/>
          <w:szCs w:val="21"/>
          <w:highlight w:val="none"/>
        </w:rPr>
      </w:pPr>
    </w:p>
    <w:p>
      <w:pPr>
        <w:spacing w:line="520" w:lineRule="exact"/>
        <w:jc w:val="left"/>
        <w:rPr>
          <w:rFonts w:hint="eastAsia" w:ascii="仿宋" w:hAnsi="仿宋" w:eastAsia="仿宋" w:cs="仿宋_GB2312"/>
          <w:b/>
          <w:sz w:val="30"/>
          <w:szCs w:val="30"/>
          <w:highlight w:val="none"/>
        </w:rPr>
      </w:pPr>
      <w:r>
        <w:rPr>
          <w:rFonts w:hint="eastAsia" w:ascii="仿宋_GB2312" w:hAnsi="仿宋_GB2312" w:eastAsia="仿宋_GB2312" w:cs="仿宋_GB2312"/>
          <w:sz w:val="32"/>
          <w:szCs w:val="32"/>
          <w:highlight w:val="none"/>
        </w:rPr>
        <w:br w:type="page"/>
      </w:r>
      <w:r>
        <w:rPr>
          <w:rFonts w:hint="eastAsia" w:ascii="宋体" w:hAnsi="宋体" w:cs="宋体"/>
          <w:b/>
          <w:sz w:val="28"/>
          <w:szCs w:val="28"/>
          <w:highlight w:val="none"/>
        </w:rPr>
        <w:t>6.商务条款偏离表的格式：</w:t>
      </w:r>
    </w:p>
    <w:p>
      <w:pPr>
        <w:pStyle w:val="20"/>
        <w:rPr>
          <w:rFonts w:hint="eastAsia"/>
          <w:highlight w:val="none"/>
        </w:rPr>
      </w:pPr>
    </w:p>
    <w:p>
      <w:pPr>
        <w:spacing w:line="500" w:lineRule="exact"/>
        <w:jc w:val="center"/>
        <w:rPr>
          <w:rFonts w:hint="eastAsia" w:ascii="宋体" w:hAnsi="宋体" w:cs="宋体"/>
          <w:bCs/>
          <w:sz w:val="44"/>
          <w:szCs w:val="44"/>
          <w:highlight w:val="none"/>
        </w:rPr>
      </w:pPr>
      <w:r>
        <w:rPr>
          <w:rFonts w:hint="eastAsia" w:ascii="宋体" w:hAnsi="宋体" w:cs="宋体"/>
          <w:bCs/>
          <w:sz w:val="44"/>
          <w:szCs w:val="44"/>
          <w:highlight w:val="none"/>
        </w:rPr>
        <w:t>商务条款偏离表</w:t>
      </w:r>
    </w:p>
    <w:p>
      <w:pPr>
        <w:spacing w:line="520" w:lineRule="exact"/>
        <w:rPr>
          <w:rFonts w:hint="eastAsia" w:ascii="宋体" w:hAnsi="宋体" w:cs="宋体"/>
          <w:sz w:val="32"/>
          <w:szCs w:val="32"/>
          <w:highlight w:val="none"/>
        </w:rPr>
      </w:pPr>
    </w:p>
    <w:p>
      <w:pPr>
        <w:spacing w:line="360" w:lineRule="auto"/>
        <w:contextualSpacing/>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spacing w:line="360" w:lineRule="auto"/>
        <w:contextualSpacing/>
        <w:rPr>
          <w:rFonts w:hint="eastAsia"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p>
      <w:pPr>
        <w:spacing w:line="360" w:lineRule="auto"/>
        <w:contextualSpacing/>
        <w:rPr>
          <w:rFonts w:hint="eastAsia" w:ascii="宋体" w:hAnsi="宋体" w:cs="宋体"/>
          <w:sz w:val="24"/>
          <w:highlight w:val="none"/>
          <w:u w:val="singl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tbl>
      <w:tblPr>
        <w:tblStyle w:val="2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highlight w:val="none"/>
              </w:rPr>
            </w:pPr>
            <w:r>
              <w:rPr>
                <w:rFonts w:hint="eastAsia" w:ascii="宋体" w:hAnsi="宋体" w:cs="宋体"/>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highlight w:val="none"/>
              </w:rPr>
            </w:pPr>
            <w:r>
              <w:rPr>
                <w:rFonts w:hint="eastAsia" w:ascii="宋体" w:hAnsi="宋体" w:cs="宋体"/>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highlight w:val="none"/>
              </w:rPr>
            </w:pPr>
            <w:r>
              <w:rPr>
                <w:rFonts w:hint="eastAsia" w:ascii="宋体" w:hAnsi="宋体" w:cs="宋体"/>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szCs w:val="21"/>
                <w:highlight w:val="none"/>
              </w:rPr>
            </w:pPr>
          </w:p>
        </w:tc>
      </w:tr>
    </w:tbl>
    <w:p>
      <w:pPr>
        <w:pStyle w:val="14"/>
        <w:spacing w:line="400" w:lineRule="exact"/>
        <w:ind w:firstLine="0" w:firstLineChars="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pStyle w:val="14"/>
        <w:spacing w:line="4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1.应对照磋商文件“第二章 采购需求”中的商务条款逐条作出明确响应，并作出偏离说明。</w:t>
      </w:r>
    </w:p>
    <w:p>
      <w:pPr>
        <w:pStyle w:val="14"/>
        <w:spacing w:line="4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3.表格内容均需按要求填写，不得留空，</w:t>
      </w:r>
      <w:r>
        <w:rPr>
          <w:rFonts w:hint="eastAsia" w:ascii="宋体" w:hAnsi="宋体" w:cs="宋体"/>
          <w:b/>
          <w:bCs/>
          <w:kern w:val="0"/>
          <w:sz w:val="24"/>
          <w:highlight w:val="none"/>
        </w:rPr>
        <w:t>否则按竞标无效处理。</w:t>
      </w:r>
    </w:p>
    <w:p>
      <w:pPr>
        <w:spacing w:line="400" w:lineRule="exact"/>
        <w:ind w:firstLine="480" w:firstLineChars="200"/>
        <w:contextualSpacing/>
        <w:rPr>
          <w:rFonts w:hint="eastAsia" w:ascii="宋体" w:hAnsi="宋体" w:cs="宋体"/>
          <w:kern w:val="0"/>
          <w:sz w:val="24"/>
          <w:highlight w:val="none"/>
        </w:rPr>
      </w:pPr>
    </w:p>
    <w:p>
      <w:pPr>
        <w:spacing w:line="360" w:lineRule="auto"/>
        <w:ind w:firstLine="3840" w:firstLineChars="1600"/>
        <w:rPr>
          <w:rFonts w:hint="eastAsia" w:ascii="宋体" w:hAnsi="宋体" w:cs="宋体"/>
          <w:sz w:val="24"/>
          <w:highlight w:val="none"/>
        </w:rPr>
      </w:pPr>
      <w:r>
        <w:rPr>
          <w:rFonts w:hint="eastAsia" w:ascii="宋体" w:hAnsi="宋体" w:cs="宋体"/>
          <w:kern w:val="0"/>
          <w:sz w:val="24"/>
          <w:highlight w:val="none"/>
        </w:rPr>
        <w:t>供应商名称（盖公章）：</w:t>
      </w:r>
    </w:p>
    <w:p>
      <w:pPr>
        <w:spacing w:line="360" w:lineRule="auto"/>
        <w:contextualSpacing/>
        <w:jc w:val="center"/>
        <w:rPr>
          <w:rFonts w:hint="eastAsia" w:ascii="宋体" w:hAnsi="宋体" w:cs="宋体"/>
          <w:b/>
          <w:sz w:val="24"/>
          <w:highlight w:val="none"/>
        </w:rPr>
      </w:pPr>
      <w:r>
        <w:rPr>
          <w:rFonts w:hint="eastAsia" w:ascii="宋体" w:hAnsi="宋体" w:cs="宋体"/>
          <w:kern w:val="0"/>
          <w:sz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sz w:val="30"/>
          <w:szCs w:val="30"/>
          <w:highlight w:val="none"/>
        </w:rPr>
      </w:pPr>
    </w:p>
    <w:p>
      <w:pPr>
        <w:snapToGrid w:val="0"/>
        <w:spacing w:line="360" w:lineRule="auto"/>
        <w:ind w:firstLine="602" w:firstLineChars="200"/>
        <w:rPr>
          <w:rFonts w:hint="eastAsia" w:ascii="仿宋" w:hAnsi="仿宋" w:eastAsia="仿宋" w:cs="仿宋_GB2312"/>
          <w:b/>
          <w:sz w:val="30"/>
          <w:szCs w:val="30"/>
          <w:highlight w:val="none"/>
        </w:rPr>
      </w:pPr>
    </w:p>
    <w:p>
      <w:pPr>
        <w:pStyle w:val="20"/>
        <w:rPr>
          <w:rFonts w:hint="eastAsia"/>
          <w:highlight w:val="none"/>
        </w:rPr>
      </w:pPr>
    </w:p>
    <w:p>
      <w:pPr>
        <w:snapToGrid w:val="0"/>
        <w:spacing w:line="360" w:lineRule="auto"/>
        <w:ind w:firstLine="602" w:firstLineChars="200"/>
        <w:rPr>
          <w:rFonts w:ascii="仿宋" w:hAnsi="仿宋" w:eastAsia="仿宋" w:cs="仿宋_GB2312"/>
          <w:b/>
          <w:sz w:val="30"/>
          <w:szCs w:val="30"/>
          <w:highlight w:val="none"/>
        </w:rPr>
      </w:pPr>
    </w:p>
    <w:p>
      <w:pPr>
        <w:pStyle w:val="23"/>
        <w:snapToGrid w:val="0"/>
        <w:ind w:left="562" w:hanging="562"/>
        <w:rPr>
          <w:rFonts w:hint="eastAsia" w:ascii="宋体" w:hAnsi="宋体" w:cs="宋体"/>
          <w:i/>
          <w:iCs/>
          <w:sz w:val="24"/>
          <w:highlight w:val="none"/>
        </w:rPr>
      </w:pPr>
      <w:r>
        <w:rPr>
          <w:rFonts w:hint="eastAsia" w:ascii="宋体" w:hAnsi="宋体" w:cs="宋体"/>
          <w:b/>
          <w:sz w:val="28"/>
          <w:szCs w:val="28"/>
          <w:highlight w:val="none"/>
        </w:rPr>
        <w:t>7.供应商类似的业绩证明文件</w:t>
      </w:r>
      <w:r>
        <w:rPr>
          <w:rFonts w:hint="eastAsia" w:ascii="宋体" w:hAnsi="宋体" w:cs="宋体"/>
          <w:b/>
          <w:bCs/>
          <w:sz w:val="30"/>
          <w:szCs w:val="30"/>
          <w:highlight w:val="none"/>
        </w:rPr>
        <w:t>（如有要求）：</w:t>
      </w:r>
    </w:p>
    <w:p>
      <w:pPr>
        <w:spacing w:line="360" w:lineRule="auto"/>
        <w:ind w:firstLine="2880" w:firstLineChars="900"/>
        <w:contextualSpacing/>
        <w:rPr>
          <w:rFonts w:hint="eastAsia" w:ascii="宋体" w:hAnsi="宋体" w:cs="宋体"/>
          <w:sz w:val="32"/>
          <w:szCs w:val="32"/>
          <w:highlight w:val="none"/>
        </w:rPr>
      </w:pPr>
    </w:p>
    <w:p>
      <w:pPr>
        <w:spacing w:line="360" w:lineRule="auto"/>
        <w:ind w:firstLine="2880" w:firstLineChars="900"/>
        <w:contextualSpacing/>
        <w:rPr>
          <w:rFonts w:hint="eastAsia" w:ascii="宋体" w:hAnsi="宋体" w:cs="宋体"/>
          <w:sz w:val="32"/>
          <w:szCs w:val="32"/>
          <w:highlight w:val="none"/>
        </w:rPr>
      </w:pPr>
      <w:r>
        <w:rPr>
          <w:rFonts w:hint="eastAsia" w:ascii="宋体" w:hAnsi="宋体" w:cs="宋体"/>
          <w:sz w:val="32"/>
          <w:szCs w:val="32"/>
          <w:highlight w:val="none"/>
        </w:rPr>
        <w:t>类似项目的业绩一览表</w:t>
      </w:r>
    </w:p>
    <w:p>
      <w:pPr>
        <w:spacing w:line="360" w:lineRule="auto"/>
        <w:contextualSpacing/>
        <w:rPr>
          <w:rFonts w:hint="eastAsia" w:ascii="宋体" w:hAnsi="宋体" w:cs="宋体"/>
          <w:sz w:val="24"/>
          <w:highlight w:val="none"/>
          <w:u w:val="singl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tbl>
      <w:tblPr>
        <w:tblStyle w:val="29"/>
        <w:tblpPr w:leftFromText="180" w:rightFromText="180" w:vertAnchor="page" w:horzAnchor="page" w:tblpX="1255" w:tblpY="36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合同</w:t>
            </w:r>
          </w:p>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金额</w:t>
            </w:r>
          </w:p>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s="宋体"/>
                <w:sz w:val="24"/>
                <w:highlight w:val="none"/>
              </w:rPr>
            </w:pPr>
            <w:r>
              <w:rPr>
                <w:rFonts w:hint="eastAsia" w:ascii="宋体" w:hAnsi="宋体" w:cs="宋体"/>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highlight w:val="none"/>
              </w:rPr>
            </w:pPr>
          </w:p>
        </w:tc>
      </w:tr>
    </w:tbl>
    <w:p>
      <w:pPr>
        <w:snapToGrid w:val="0"/>
        <w:spacing w:line="360" w:lineRule="auto"/>
        <w:ind w:firstLine="4935" w:firstLineChars="2350"/>
        <w:rPr>
          <w:rFonts w:hint="eastAsia" w:ascii="宋体" w:hAnsi="宋体" w:cs="宋体"/>
          <w:szCs w:val="21"/>
          <w:highlight w:val="none"/>
        </w:rPr>
      </w:pPr>
    </w:p>
    <w:p>
      <w:pPr>
        <w:snapToGrid w:val="0"/>
        <w:spacing w:line="360" w:lineRule="auto"/>
        <w:rPr>
          <w:rFonts w:hint="eastAsia" w:ascii="宋体" w:hAnsi="宋体" w:cs="宋体"/>
          <w:szCs w:val="21"/>
          <w:highlight w:val="none"/>
        </w:rPr>
      </w:pPr>
      <w:r>
        <w:rPr>
          <w:rFonts w:hint="eastAsia" w:ascii="宋体" w:hAnsi="宋体" w:cs="宋体"/>
          <w:color w:val="000000"/>
          <w:sz w:val="24"/>
          <w:szCs w:val="20"/>
          <w:highlight w:val="none"/>
        </w:rPr>
        <w:t>注：在填写时，如本表格不适合供应商的实际情况，可参照本表格式自行制表填写，并附上相关证明材料</w:t>
      </w:r>
      <w:r>
        <w:rPr>
          <w:rFonts w:hint="eastAsia"/>
          <w:highlight w:val="none"/>
        </w:rPr>
        <w:t>。</w:t>
      </w:r>
    </w:p>
    <w:p>
      <w:pPr>
        <w:snapToGrid w:val="0"/>
        <w:spacing w:line="360" w:lineRule="auto"/>
        <w:rPr>
          <w:rFonts w:hint="eastAsia" w:ascii="宋体" w:hAnsi="宋体" w:cs="宋体"/>
          <w:szCs w:val="21"/>
          <w:highlight w:val="none"/>
        </w:rPr>
      </w:pPr>
    </w:p>
    <w:p>
      <w:pPr>
        <w:snapToGrid w:val="0"/>
        <w:spacing w:line="360" w:lineRule="auto"/>
        <w:rPr>
          <w:rFonts w:hint="eastAsia" w:ascii="宋体" w:hAnsi="宋体" w:cs="宋体"/>
          <w:szCs w:val="21"/>
          <w:highlight w:val="none"/>
        </w:rPr>
      </w:pPr>
    </w:p>
    <w:p>
      <w:pPr>
        <w:snapToGrid w:val="0"/>
        <w:spacing w:line="360" w:lineRule="auto"/>
        <w:rPr>
          <w:rFonts w:hint="eastAsia"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供应商名称(盖公章)：</w:t>
      </w:r>
    </w:p>
    <w:p>
      <w:pPr>
        <w:spacing w:line="500" w:lineRule="exact"/>
        <w:jc w:val="center"/>
        <w:rPr>
          <w:rFonts w:hint="eastAsia" w:ascii="宋体" w:hAnsi="宋体" w:cs="宋体"/>
          <w:sz w:val="32"/>
          <w:szCs w:val="32"/>
          <w:highlight w:val="none"/>
        </w:rPr>
        <w:sectPr>
          <w:pgSz w:w="11911" w:h="16838"/>
          <w:pgMar w:top="1134" w:right="1134" w:bottom="1134" w:left="1134" w:header="720" w:footer="720" w:gutter="0"/>
          <w:cols w:space="720" w:num="1"/>
        </w:sect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rPr>
          <w:rFonts w:hint="eastAsia" w:ascii="宋体" w:hAnsi="宋体" w:cs="宋体"/>
          <w:sz w:val="28"/>
          <w:szCs w:val="28"/>
          <w:highlight w:val="none"/>
        </w:rPr>
      </w:pPr>
      <w:r>
        <w:rPr>
          <w:rFonts w:hint="eastAsia" w:ascii="宋体" w:hAnsi="宋体" w:cs="宋体"/>
          <w:b/>
          <w:sz w:val="28"/>
          <w:szCs w:val="28"/>
          <w:highlight w:val="none"/>
        </w:rPr>
        <w:t>8.服务需求偏离表的格式：</w:t>
      </w:r>
    </w:p>
    <w:p>
      <w:pPr>
        <w:spacing w:line="500" w:lineRule="exact"/>
        <w:jc w:val="center"/>
        <w:rPr>
          <w:rFonts w:hint="eastAsia" w:ascii="宋体" w:hAnsi="宋体" w:cs="宋体"/>
          <w:bCs/>
          <w:sz w:val="44"/>
          <w:szCs w:val="44"/>
          <w:highlight w:val="none"/>
        </w:rPr>
      </w:pPr>
      <w:r>
        <w:rPr>
          <w:rFonts w:hint="eastAsia" w:ascii="宋体" w:hAnsi="宋体" w:cs="宋体"/>
          <w:bCs/>
          <w:sz w:val="44"/>
          <w:szCs w:val="44"/>
          <w:highlight w:val="none"/>
        </w:rPr>
        <w:t>服务需求偏离表</w:t>
      </w:r>
    </w:p>
    <w:p>
      <w:pPr>
        <w:spacing w:line="500" w:lineRule="exact"/>
        <w:jc w:val="center"/>
        <w:rPr>
          <w:rFonts w:hint="eastAsia" w:ascii="宋体" w:hAnsi="宋体" w:cs="宋体"/>
          <w:b/>
          <w:sz w:val="32"/>
          <w:szCs w:val="32"/>
          <w:highlight w:val="none"/>
        </w:rPr>
      </w:pPr>
      <w:r>
        <w:rPr>
          <w:rFonts w:hint="eastAsia" w:ascii="宋体" w:hAnsi="宋体" w:cs="宋体"/>
          <w:bCs/>
          <w:sz w:val="44"/>
          <w:szCs w:val="44"/>
          <w:highlight w:val="none"/>
        </w:rPr>
        <w:t>(注：按采购需求具体条款修改)</w:t>
      </w:r>
    </w:p>
    <w:p>
      <w:pPr>
        <w:spacing w:line="360" w:lineRule="auto"/>
        <w:contextualSpacing/>
        <w:jc w:val="left"/>
        <w:rPr>
          <w:rFonts w:hint="eastAsia" w:ascii="宋体" w:hAnsi="宋体" w:cs="宋体"/>
          <w:sz w:val="24"/>
          <w:highlight w:val="none"/>
        </w:rPr>
      </w:pPr>
    </w:p>
    <w:p>
      <w:pPr>
        <w:spacing w:line="360" w:lineRule="auto"/>
        <w:ind w:firstLine="720" w:firstLineChars="300"/>
        <w:contextualSpacing/>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spacing w:line="360" w:lineRule="auto"/>
        <w:ind w:firstLine="720" w:firstLineChars="300"/>
        <w:contextualSpacing/>
        <w:rPr>
          <w:rFonts w:hint="eastAsia"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p>
      <w:pPr>
        <w:spacing w:line="360" w:lineRule="auto"/>
        <w:ind w:firstLine="720" w:firstLineChars="300"/>
        <w:contextualSpacing/>
        <w:rPr>
          <w:rFonts w:hint="eastAsia" w:ascii="宋体" w:hAnsi="宋体" w:cs="宋体"/>
          <w:sz w:val="24"/>
          <w:highlight w:val="none"/>
          <w:u w:val="singl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2118"/>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标的名称</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竞争性磋商文件</w:t>
            </w:r>
            <w:r>
              <w:rPr>
                <w:rFonts w:hint="eastAsia" w:ascii="宋体" w:hAnsi="宋体"/>
                <w:szCs w:val="21"/>
                <w:highlight w:val="none"/>
              </w:rPr>
              <w:t>采购需求中的服务</w:t>
            </w:r>
            <w:r>
              <w:rPr>
                <w:rFonts w:hint="eastAsia" w:ascii="宋体" w:hAnsi="宋体" w:cs="宋体"/>
                <w:kern w:val="0"/>
                <w:szCs w:val="21"/>
                <w:highlight w:val="none"/>
              </w:rPr>
              <w:t>参数</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响应文件响应的</w:t>
            </w:r>
            <w:r>
              <w:rPr>
                <w:rFonts w:hint="eastAsia" w:ascii="宋体" w:hAnsi="宋体"/>
                <w:szCs w:val="21"/>
                <w:highlight w:val="none"/>
              </w:rPr>
              <w:t>服务</w:t>
            </w:r>
            <w:r>
              <w:rPr>
                <w:rFonts w:hint="eastAsia" w:ascii="宋体" w:hAnsi="宋体" w:cs="宋体"/>
                <w:kern w:val="0"/>
                <w:szCs w:val="21"/>
                <w:highlight w:val="none"/>
              </w:rPr>
              <w:t>参数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p>
        </w:tc>
      </w:tr>
    </w:tbl>
    <w:p>
      <w:pPr>
        <w:pStyle w:val="12"/>
        <w:spacing w:after="0" w:line="360" w:lineRule="auto"/>
        <w:contextualSpacing/>
        <w:rPr>
          <w:rFonts w:hint="eastAsia" w:ascii="宋体" w:hAnsi="宋体" w:cs="宋体"/>
          <w:kern w:val="0"/>
          <w:sz w:val="24"/>
          <w:szCs w:val="24"/>
          <w:highlight w:val="none"/>
        </w:rPr>
      </w:pPr>
    </w:p>
    <w:p>
      <w:pPr>
        <w:pStyle w:val="12"/>
        <w:spacing w:after="0" w:line="480" w:lineRule="auto"/>
        <w:ind w:firstLine="420" w:firstLineChars="200"/>
        <w:contextualSpacing/>
        <w:rPr>
          <w:rFonts w:hint="eastAsia" w:ascii="宋体" w:hAnsi="宋体" w:cs="宋体"/>
          <w:kern w:val="0"/>
          <w:sz w:val="21"/>
          <w:szCs w:val="21"/>
          <w:highlight w:val="none"/>
        </w:rPr>
      </w:pPr>
      <w:r>
        <w:rPr>
          <w:rFonts w:hint="eastAsia" w:ascii="宋体" w:hAnsi="宋体" w:cs="宋体"/>
          <w:kern w:val="0"/>
          <w:sz w:val="21"/>
          <w:szCs w:val="21"/>
          <w:highlight w:val="none"/>
        </w:rPr>
        <w:t>注：</w:t>
      </w:r>
    </w:p>
    <w:p>
      <w:pPr>
        <w:pStyle w:val="12"/>
        <w:spacing w:after="0" w:line="480" w:lineRule="auto"/>
        <w:ind w:firstLine="420" w:firstLineChars="200"/>
        <w:contextualSpacing/>
        <w:rPr>
          <w:rFonts w:hint="eastAsia" w:ascii="宋体" w:hAnsi="宋体" w:cs="宋体"/>
          <w:kern w:val="0"/>
          <w:sz w:val="21"/>
          <w:szCs w:val="21"/>
          <w:highlight w:val="none"/>
        </w:rPr>
      </w:pPr>
      <w:r>
        <w:rPr>
          <w:rFonts w:hint="eastAsia" w:ascii="宋体" w:hAnsi="宋体" w:cs="宋体"/>
          <w:kern w:val="0"/>
          <w:sz w:val="21"/>
          <w:szCs w:val="21"/>
          <w:highlight w:val="none"/>
        </w:rPr>
        <w:t xml:space="preserve">1.说明：应对照磋商文件“第二章  </w:t>
      </w:r>
      <w:r>
        <w:rPr>
          <w:rFonts w:hint="eastAsia" w:ascii="Cambria" w:hAnsi="Cambria"/>
          <w:bCs/>
          <w:sz w:val="21"/>
          <w:szCs w:val="21"/>
          <w:highlight w:val="none"/>
        </w:rPr>
        <w:t>采购需求</w:t>
      </w:r>
      <w:r>
        <w:rPr>
          <w:rFonts w:hint="eastAsia" w:ascii="宋体" w:hAnsi="宋体" w:cs="宋体"/>
          <w:kern w:val="0"/>
          <w:sz w:val="21"/>
          <w:szCs w:val="21"/>
          <w:highlight w:val="none"/>
        </w:rPr>
        <w:t>”中“需求一览表”的服务参数条款逐条作出明确响应，并作出偏离说明。</w:t>
      </w:r>
    </w:p>
    <w:p>
      <w:pPr>
        <w:pStyle w:val="14"/>
        <w:spacing w:line="48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2.供应商应根据自身的承诺，对照磋商文件要求，在“偏离说明”中注明“正偏离”或者“负偏离”或者“无偏离”。既不属于“正偏离”也不属于“负偏离”即为“无偏离”。 当响应文件的服务参数内容低于竞争性磋商文件要求时，供应商应当如实写明“负偏离”。</w:t>
      </w:r>
    </w:p>
    <w:p>
      <w:pPr>
        <w:spacing w:line="48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3.表格内容均需按要求填写并盖公章，不得留空，</w:t>
      </w:r>
      <w:r>
        <w:rPr>
          <w:rFonts w:hint="eastAsia" w:ascii="宋体" w:hAnsi="宋体" w:cs="宋体"/>
          <w:b/>
          <w:bCs/>
          <w:kern w:val="0"/>
          <w:szCs w:val="21"/>
          <w:highlight w:val="none"/>
        </w:rPr>
        <w:t>否则按竞标无效处理。</w:t>
      </w:r>
    </w:p>
    <w:p>
      <w:pPr>
        <w:pStyle w:val="14"/>
        <w:spacing w:line="480" w:lineRule="auto"/>
        <w:ind w:firstLine="420" w:firstLineChars="200"/>
        <w:contextualSpacing/>
        <w:rPr>
          <w:rFonts w:hint="eastAsia" w:ascii="宋体" w:hAnsi="宋体" w:eastAsia="宋体" w:cs="宋体"/>
          <w:sz w:val="21"/>
          <w:szCs w:val="21"/>
          <w:highlight w:val="none"/>
        </w:rPr>
      </w:pPr>
    </w:p>
    <w:p>
      <w:pPr>
        <w:snapToGrid w:val="0"/>
        <w:spacing w:line="360" w:lineRule="auto"/>
        <w:rPr>
          <w:rFonts w:hint="eastAsia" w:ascii="宋体" w:hAnsi="宋体" w:cs="宋体"/>
          <w:b/>
          <w:sz w:val="30"/>
          <w:szCs w:val="30"/>
          <w:highlight w:val="none"/>
        </w:rPr>
      </w:pPr>
    </w:p>
    <w:p>
      <w:pPr>
        <w:autoSpaceDE w:val="0"/>
        <w:autoSpaceDN w:val="0"/>
        <w:spacing w:line="360" w:lineRule="auto"/>
        <w:ind w:left="4335" w:leftChars="1950" w:hanging="240" w:hangingChars="100"/>
        <w:rPr>
          <w:rFonts w:hint="eastAsia"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480" w:firstLineChars="2700"/>
        <w:rPr>
          <w:rFonts w:hint="eastAsia" w:ascii="宋体" w:hAnsi="宋体" w:cs="宋体"/>
          <w:b/>
          <w:bCs/>
          <w:sz w:val="24"/>
          <w:highlight w:val="none"/>
        </w:rPr>
      </w:pPr>
      <w:r>
        <w:rPr>
          <w:rFonts w:hint="eastAsia" w:ascii="宋体" w:hAnsi="宋体" w:cs="宋体"/>
          <w:kern w:val="0"/>
          <w:sz w:val="24"/>
          <w:highlight w:val="none"/>
          <w:lang w:val="zh-CN"/>
        </w:rPr>
        <w:t>日期：  年  月   日</w:t>
      </w:r>
    </w:p>
    <w:p>
      <w:pPr>
        <w:adjustRightInd w:val="0"/>
        <w:snapToGrid w:val="0"/>
        <w:spacing w:line="520" w:lineRule="exact"/>
        <w:jc w:val="center"/>
        <w:rPr>
          <w:rFonts w:hint="eastAsia" w:ascii="方正小标宋简体" w:hAnsi="方正小标宋简体" w:eastAsia="方正小标宋简体" w:cs="方正小标宋简体"/>
          <w:bCs/>
          <w:sz w:val="44"/>
          <w:szCs w:val="44"/>
          <w:highlight w:val="none"/>
        </w:rPr>
      </w:pPr>
    </w:p>
    <w:p>
      <w:pPr>
        <w:snapToGrid w:val="0"/>
        <w:spacing w:line="360" w:lineRule="auto"/>
        <w:rPr>
          <w:rFonts w:hint="eastAsia" w:ascii="宋体" w:hAnsi="宋体" w:cs="宋体"/>
          <w:b/>
          <w:sz w:val="28"/>
          <w:szCs w:val="28"/>
          <w:highlight w:val="none"/>
        </w:rPr>
      </w:pPr>
    </w:p>
    <w:p>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9.服务方案</w:t>
      </w:r>
    </w:p>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（由供应商根据采购需求及采购文件要求编制）</w:t>
      </w:r>
    </w:p>
    <w:p>
      <w:pPr>
        <w:rPr>
          <w:rFonts w:hint="eastAsia" w:ascii="宋体" w:hAnsi="宋体" w:cs="宋体"/>
          <w:b/>
          <w:bCs/>
          <w:kern w:val="0"/>
          <w:sz w:val="24"/>
          <w:highlight w:val="none"/>
          <w:lang w:val="zh-CN"/>
        </w:rPr>
      </w:pPr>
      <w:r>
        <w:rPr>
          <w:rFonts w:hint="eastAsia" w:ascii="宋体" w:hAnsi="宋体" w:cs="宋体"/>
          <w:b/>
          <w:sz w:val="24"/>
          <w:highlight w:val="none"/>
        </w:rPr>
        <w:t xml:space="preserve"> </w:t>
      </w:r>
    </w:p>
    <w:tbl>
      <w:tblPr>
        <w:tblStyle w:val="2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pPr>
              <w:spacing w:line="360" w:lineRule="auto"/>
              <w:rPr>
                <w:rFonts w:hint="eastAsia" w:ascii="宋体" w:hAnsi="宋体" w:cs="宋体"/>
                <w:sz w:val="24"/>
                <w:highlight w:val="none"/>
              </w:rPr>
            </w:pPr>
            <w:r>
              <w:rPr>
                <w:rFonts w:hint="eastAsia" w:ascii="宋体" w:hAnsi="宋体" w:cs="宋体"/>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rPr>
                                        <w:rFonts w:ascii="Calibri" w:hAnsi="Calibri"/>
                                      </w:rPr>
                                    </w:pPr>
                                    <w:r>
                                      <w:rPr>
                                        <w:rFonts w:ascii="Calibri" w:hAnsi="Calibri"/>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rPr>
                                        <w:rFonts w:ascii="Calibri" w:hAnsi="Calibri"/>
                                      </w:rPr>
                                    </w:pPr>
                                    <w:r>
                                      <w:rPr>
                                        <w:rFonts w:ascii="Calibri" w:hAnsi="Calibri"/>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rPr>
                                        <w:rFonts w:ascii="Calibri" w:hAnsi="Calibri"/>
                                      </w:rPr>
                                    </w:pPr>
                                    <w:r>
                                      <w:rPr>
                                        <w:rFonts w:ascii="Calibri" w:hAnsi="Calibri"/>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Calibri" w:hAnsi="Calibri"/>
                                </w:rPr>
                              </w:pPr>
                              <w:r>
                                <w:rPr>
                                  <w:rFonts w:ascii="Calibri" w:hAnsi="Calibri"/>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Calibri" w:hAnsi="Calibri"/>
                                </w:rPr>
                              </w:pPr>
                              <w:r>
                                <w:rPr>
                                  <w:rFonts w:ascii="Calibri" w:hAnsi="Calibri"/>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Calibri" w:hAnsi="Calibri"/>
                                </w:rPr>
                              </w:pPr>
                              <w:r>
                                <w:rPr>
                                  <w:rFonts w:ascii="Calibri" w:hAnsi="Calibri"/>
                                </w:rPr>
                                <w:t>日</w:t>
                              </w:r>
                            </w:p>
                          </w:txbxContent>
                        </v:textbox>
                      </v:shape>
                    </v:group>
                  </w:pict>
                </mc:Fallback>
              </mc:AlternateContent>
            </w: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内容</w:t>
            </w:r>
          </w:p>
        </w:tc>
        <w:tc>
          <w:tcPr>
            <w:tcW w:w="552"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1</w:t>
            </w:r>
          </w:p>
        </w:tc>
        <w:tc>
          <w:tcPr>
            <w:tcW w:w="552"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2</w:t>
            </w:r>
          </w:p>
        </w:tc>
        <w:tc>
          <w:tcPr>
            <w:tcW w:w="552"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3</w:t>
            </w:r>
          </w:p>
        </w:tc>
        <w:tc>
          <w:tcPr>
            <w:tcW w:w="552"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4</w:t>
            </w:r>
          </w:p>
        </w:tc>
        <w:tc>
          <w:tcPr>
            <w:tcW w:w="552"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5</w:t>
            </w:r>
          </w:p>
        </w:tc>
        <w:tc>
          <w:tcPr>
            <w:tcW w:w="552"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6</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7</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8</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9</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10</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11</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12</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13</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14</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15</w:t>
            </w:r>
          </w:p>
        </w:tc>
        <w:tc>
          <w:tcPr>
            <w:tcW w:w="553"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2"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c>
          <w:tcPr>
            <w:tcW w:w="553" w:type="dxa"/>
            <w:noWrap w:val="0"/>
            <w:vAlign w:val="top"/>
          </w:tcPr>
          <w:p>
            <w:pPr>
              <w:spacing w:line="360" w:lineRule="auto"/>
              <w:rPr>
                <w:rFonts w:hint="eastAsia" w:ascii="宋体" w:hAnsi="宋体" w:cs="宋体"/>
                <w:sz w:val="24"/>
                <w:highlight w:val="none"/>
              </w:rPr>
            </w:pPr>
          </w:p>
        </w:tc>
      </w:tr>
    </w:tbl>
    <w:p>
      <w:pPr>
        <w:autoSpaceDE w:val="0"/>
        <w:autoSpaceDN w:val="0"/>
        <w:spacing w:line="360" w:lineRule="auto"/>
        <w:rPr>
          <w:rFonts w:hint="eastAsia" w:ascii="宋体" w:hAnsi="宋体" w:cs="宋体"/>
          <w:kern w:val="0"/>
          <w:sz w:val="24"/>
          <w:highlight w:val="none"/>
        </w:rPr>
      </w:pPr>
      <w:r>
        <w:rPr>
          <w:rFonts w:hint="eastAsia" w:ascii="宋体" w:hAnsi="宋体" w:cs="宋体"/>
          <w:b/>
          <w:sz w:val="24"/>
          <w:highlight w:val="none"/>
        </w:rPr>
        <w:t>注：供应商可参照上述时间表的格式自行编制切合实际的具体时间表。</w:t>
      </w:r>
    </w:p>
    <w:p>
      <w:pPr>
        <w:spacing w:line="500" w:lineRule="exact"/>
        <w:rPr>
          <w:rFonts w:hint="eastAsia" w:ascii="宋体" w:hAnsi="宋体" w:cs="宋体"/>
          <w:sz w:val="32"/>
          <w:szCs w:val="32"/>
          <w:highlight w:val="none"/>
        </w:rPr>
      </w:pPr>
    </w:p>
    <w:p>
      <w:pPr>
        <w:autoSpaceDE w:val="0"/>
        <w:autoSpaceDN w:val="0"/>
        <w:spacing w:line="360" w:lineRule="auto"/>
        <w:ind w:left="4335" w:leftChars="1950" w:hanging="240" w:hangingChars="100"/>
        <w:rPr>
          <w:rFonts w:hint="eastAsia"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480" w:firstLineChars="2700"/>
        <w:rPr>
          <w:rFonts w:hint="eastAsia" w:ascii="宋体" w:hAnsi="宋体" w:cs="宋体"/>
          <w:b/>
          <w:bCs/>
          <w:sz w:val="24"/>
          <w:highlight w:val="none"/>
        </w:rPr>
      </w:pPr>
      <w:r>
        <w:rPr>
          <w:rFonts w:hint="eastAsia" w:ascii="宋体" w:hAnsi="宋体" w:cs="宋体"/>
          <w:kern w:val="0"/>
          <w:sz w:val="24"/>
          <w:highlight w:val="none"/>
          <w:lang w:val="zh-CN"/>
        </w:rPr>
        <w:t>日期：  年  月   日</w:t>
      </w:r>
    </w:p>
    <w:p>
      <w:pPr>
        <w:spacing w:line="500" w:lineRule="exact"/>
        <w:rPr>
          <w:rFonts w:hint="eastAsia" w:ascii="宋体" w:hAnsi="宋体" w:cs="宋体"/>
          <w:sz w:val="32"/>
          <w:szCs w:val="32"/>
          <w:highlight w:val="none"/>
        </w:rPr>
      </w:pPr>
    </w:p>
    <w:p>
      <w:pPr>
        <w:pStyle w:val="23"/>
        <w:snapToGrid w:val="0"/>
        <w:ind w:left="562" w:hanging="562"/>
        <w:rPr>
          <w:rFonts w:hint="eastAsia" w:ascii="宋体" w:hAnsi="宋体" w:cs="宋体"/>
          <w:i/>
          <w:iCs/>
          <w:sz w:val="24"/>
          <w:highlight w:val="none"/>
        </w:rPr>
      </w:pPr>
      <w:r>
        <w:rPr>
          <w:rFonts w:hint="eastAsia" w:ascii="宋体" w:hAnsi="宋体" w:cs="宋体"/>
          <w:b/>
          <w:sz w:val="28"/>
          <w:szCs w:val="28"/>
          <w:highlight w:val="none"/>
        </w:rPr>
        <w:t>10.售后服务方案</w:t>
      </w:r>
    </w:p>
    <w:p>
      <w:pPr>
        <w:snapToGrid w:val="0"/>
        <w:spacing w:before="120" w:beforeLines="50" w:after="50"/>
        <w:rPr>
          <w:rFonts w:hint="eastAsia" w:ascii="宋体" w:hAnsi="宋体" w:cs="宋体"/>
          <w:b/>
          <w:sz w:val="28"/>
          <w:szCs w:val="28"/>
          <w:highlight w:val="none"/>
        </w:rPr>
      </w:pPr>
    </w:p>
    <w:p>
      <w:pPr>
        <w:snapToGrid w:val="0"/>
        <w:spacing w:before="120" w:beforeLines="50" w:after="50"/>
        <w:ind w:left="143" w:leftChars="68" w:firstLine="420" w:firstLineChars="200"/>
        <w:rPr>
          <w:rFonts w:hint="eastAsia" w:ascii="宋体" w:hAnsi="宋体" w:cs="宋体"/>
          <w:highlight w:val="none"/>
        </w:rPr>
      </w:pPr>
      <w:r>
        <w:rPr>
          <w:rFonts w:hint="eastAsia" w:ascii="宋体" w:hAnsi="宋体" w:cs="宋体"/>
          <w:highlight w:val="none"/>
        </w:rPr>
        <w:t>由供应商按本项目竞争性磋商文件第二章“采购需求”中商务条款部分的售后服务要求自行填写，其中要包含售后服务承诺。</w:t>
      </w:r>
    </w:p>
    <w:p>
      <w:pPr>
        <w:snapToGrid w:val="0"/>
        <w:spacing w:before="120" w:beforeLines="50" w:after="50"/>
        <w:jc w:val="center"/>
        <w:rPr>
          <w:rFonts w:hint="eastAsia" w:ascii="宋体" w:hAnsi="宋体" w:cs="宋体"/>
          <w:b/>
          <w:sz w:val="32"/>
          <w:szCs w:val="32"/>
          <w:highlight w:val="none"/>
        </w:rPr>
      </w:pPr>
      <w:r>
        <w:rPr>
          <w:rFonts w:hint="eastAsia" w:ascii="宋体" w:hAnsi="宋体" w:cs="宋体"/>
          <w:b/>
          <w:sz w:val="32"/>
          <w:szCs w:val="32"/>
          <w:highlight w:val="none"/>
        </w:rPr>
        <w:t>售后服务承诺</w:t>
      </w:r>
    </w:p>
    <w:p>
      <w:pPr>
        <w:autoSpaceDE w:val="0"/>
        <w:autoSpaceDN w:val="0"/>
        <w:spacing w:line="360" w:lineRule="auto"/>
        <w:rPr>
          <w:rFonts w:hint="eastAsia" w:ascii="宋体" w:hAnsi="宋体" w:cs="宋体"/>
          <w:b/>
          <w:sz w:val="24"/>
          <w:highlight w:val="none"/>
        </w:rPr>
      </w:pPr>
      <w:r>
        <w:rPr>
          <w:rFonts w:hint="eastAsia" w:ascii="宋体" w:hAnsi="宋体" w:cs="宋体"/>
          <w:b/>
          <w:sz w:val="24"/>
          <w:highlight w:val="none"/>
        </w:rPr>
        <w:t>附表A:售后服务机构情况表</w:t>
      </w:r>
      <w:r>
        <w:rPr>
          <w:rFonts w:hint="eastAsia" w:ascii="宋体" w:hAnsi="宋体" w:cs="宋体"/>
          <w:sz w:val="24"/>
          <w:highlight w:val="none"/>
        </w:rPr>
        <w:t>（参照此格式自制）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68"/>
        <w:gridCol w:w="1385"/>
        <w:gridCol w:w="166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autoSpaceDE w:val="0"/>
              <w:autoSpaceDN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340" w:type="dxa"/>
            <w:noWrap w:val="0"/>
            <w:vAlign w:val="center"/>
          </w:tcPr>
          <w:p>
            <w:pPr>
              <w:autoSpaceDE w:val="0"/>
              <w:autoSpaceDN w:val="0"/>
              <w:spacing w:line="360" w:lineRule="auto"/>
              <w:jc w:val="center"/>
              <w:rPr>
                <w:rFonts w:hint="eastAsia" w:ascii="宋体" w:hAnsi="宋体" w:cs="宋体"/>
                <w:b/>
                <w:sz w:val="24"/>
                <w:highlight w:val="none"/>
              </w:rPr>
            </w:pPr>
            <w:r>
              <w:rPr>
                <w:rFonts w:hint="eastAsia" w:ascii="宋体" w:hAnsi="宋体" w:cs="宋体"/>
                <w:b/>
                <w:sz w:val="24"/>
                <w:highlight w:val="none"/>
              </w:rPr>
              <w:t>机构名称</w:t>
            </w:r>
          </w:p>
        </w:tc>
        <w:tc>
          <w:tcPr>
            <w:tcW w:w="1268" w:type="dxa"/>
            <w:noWrap w:val="0"/>
            <w:vAlign w:val="center"/>
          </w:tcPr>
          <w:p>
            <w:pPr>
              <w:autoSpaceDE w:val="0"/>
              <w:autoSpaceDN w:val="0"/>
              <w:spacing w:line="360" w:lineRule="auto"/>
              <w:jc w:val="center"/>
              <w:rPr>
                <w:rFonts w:hint="eastAsia" w:ascii="宋体" w:hAnsi="宋体" w:cs="宋体"/>
                <w:b/>
                <w:sz w:val="24"/>
                <w:highlight w:val="none"/>
              </w:rPr>
            </w:pPr>
            <w:r>
              <w:rPr>
                <w:rFonts w:hint="eastAsia" w:ascii="宋体" w:hAnsi="宋体" w:cs="宋体"/>
                <w:b/>
                <w:sz w:val="24"/>
                <w:highlight w:val="none"/>
              </w:rPr>
              <w:t>机构性质</w:t>
            </w:r>
          </w:p>
        </w:tc>
        <w:tc>
          <w:tcPr>
            <w:tcW w:w="1385" w:type="dxa"/>
            <w:noWrap w:val="0"/>
            <w:vAlign w:val="center"/>
          </w:tcPr>
          <w:p>
            <w:pPr>
              <w:autoSpaceDE w:val="0"/>
              <w:autoSpaceDN w:val="0"/>
              <w:spacing w:line="360" w:lineRule="auto"/>
              <w:jc w:val="center"/>
              <w:rPr>
                <w:rFonts w:hint="eastAsia" w:ascii="宋体" w:hAnsi="宋体" w:cs="宋体"/>
                <w:b/>
                <w:sz w:val="24"/>
                <w:highlight w:val="none"/>
              </w:rPr>
            </w:pPr>
            <w:r>
              <w:rPr>
                <w:rFonts w:hint="eastAsia" w:ascii="宋体" w:hAnsi="宋体" w:cs="宋体"/>
                <w:b/>
                <w:sz w:val="24"/>
                <w:highlight w:val="none"/>
              </w:rPr>
              <w:t>注册地址</w:t>
            </w:r>
          </w:p>
        </w:tc>
        <w:tc>
          <w:tcPr>
            <w:tcW w:w="1667" w:type="dxa"/>
            <w:noWrap w:val="0"/>
            <w:vAlign w:val="center"/>
          </w:tcPr>
          <w:p>
            <w:pPr>
              <w:autoSpaceDE w:val="0"/>
              <w:autoSpaceDN w:val="0"/>
              <w:spacing w:line="360" w:lineRule="auto"/>
              <w:jc w:val="center"/>
              <w:rPr>
                <w:rFonts w:hint="eastAsia" w:ascii="宋体" w:hAnsi="宋体" w:cs="宋体"/>
                <w:b/>
                <w:sz w:val="24"/>
                <w:highlight w:val="none"/>
              </w:rPr>
            </w:pPr>
            <w:r>
              <w:rPr>
                <w:rFonts w:hint="eastAsia" w:ascii="宋体" w:hAnsi="宋体" w:cs="宋体"/>
                <w:b/>
                <w:sz w:val="24"/>
                <w:highlight w:val="none"/>
              </w:rPr>
              <w:t>服务技术人员数量</w:t>
            </w:r>
          </w:p>
        </w:tc>
        <w:tc>
          <w:tcPr>
            <w:tcW w:w="1260" w:type="dxa"/>
            <w:noWrap w:val="0"/>
            <w:vAlign w:val="center"/>
          </w:tcPr>
          <w:p>
            <w:pPr>
              <w:autoSpaceDE w:val="0"/>
              <w:autoSpaceDN w:val="0"/>
              <w:spacing w:line="360" w:lineRule="auto"/>
              <w:jc w:val="center"/>
              <w:rPr>
                <w:rFonts w:hint="eastAsia" w:ascii="宋体" w:hAnsi="宋体" w:cs="宋体"/>
                <w:b/>
                <w:sz w:val="24"/>
                <w:highlight w:val="none"/>
              </w:rPr>
            </w:pPr>
            <w:r>
              <w:rPr>
                <w:rFonts w:hint="eastAsia" w:ascii="宋体" w:hAnsi="宋体" w:cs="宋体"/>
                <w:b/>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宋体" w:hAnsi="宋体" w:cs="宋体"/>
                <w:sz w:val="24"/>
                <w:highlight w:val="none"/>
              </w:rPr>
            </w:pPr>
          </w:p>
        </w:tc>
        <w:tc>
          <w:tcPr>
            <w:tcW w:w="2340" w:type="dxa"/>
            <w:noWrap w:val="0"/>
            <w:vAlign w:val="top"/>
          </w:tcPr>
          <w:p>
            <w:pPr>
              <w:autoSpaceDE w:val="0"/>
              <w:autoSpaceDN w:val="0"/>
              <w:spacing w:line="360" w:lineRule="auto"/>
              <w:jc w:val="center"/>
              <w:rPr>
                <w:rFonts w:hint="eastAsia" w:ascii="宋体" w:hAnsi="宋体" w:cs="宋体"/>
                <w:sz w:val="24"/>
                <w:highlight w:val="none"/>
              </w:rPr>
            </w:pPr>
          </w:p>
        </w:tc>
        <w:tc>
          <w:tcPr>
            <w:tcW w:w="1268" w:type="dxa"/>
            <w:noWrap w:val="0"/>
            <w:vAlign w:val="top"/>
          </w:tcPr>
          <w:p>
            <w:pPr>
              <w:autoSpaceDE w:val="0"/>
              <w:autoSpaceDN w:val="0"/>
              <w:spacing w:line="360" w:lineRule="auto"/>
              <w:jc w:val="center"/>
              <w:rPr>
                <w:rFonts w:hint="eastAsia" w:ascii="宋体" w:hAnsi="宋体" w:cs="宋体"/>
                <w:sz w:val="24"/>
                <w:highlight w:val="none"/>
              </w:rPr>
            </w:pPr>
          </w:p>
        </w:tc>
        <w:tc>
          <w:tcPr>
            <w:tcW w:w="1385" w:type="dxa"/>
            <w:noWrap w:val="0"/>
            <w:vAlign w:val="top"/>
          </w:tcPr>
          <w:p>
            <w:pPr>
              <w:autoSpaceDE w:val="0"/>
              <w:autoSpaceDN w:val="0"/>
              <w:spacing w:line="360" w:lineRule="auto"/>
              <w:jc w:val="center"/>
              <w:rPr>
                <w:rFonts w:hint="eastAsia" w:ascii="宋体" w:hAnsi="宋体" w:cs="宋体"/>
                <w:sz w:val="24"/>
                <w:highlight w:val="none"/>
              </w:rPr>
            </w:pPr>
          </w:p>
        </w:tc>
        <w:tc>
          <w:tcPr>
            <w:tcW w:w="1667" w:type="dxa"/>
            <w:noWrap w:val="0"/>
            <w:vAlign w:val="top"/>
          </w:tcPr>
          <w:p>
            <w:pPr>
              <w:autoSpaceDE w:val="0"/>
              <w:autoSpaceDN w:val="0"/>
              <w:spacing w:line="360" w:lineRule="auto"/>
              <w:jc w:val="center"/>
              <w:rPr>
                <w:rFonts w:hint="eastAsia" w:ascii="宋体" w:hAnsi="宋体" w:cs="宋体"/>
                <w:sz w:val="24"/>
                <w:highlight w:val="none"/>
              </w:rPr>
            </w:pPr>
          </w:p>
        </w:tc>
        <w:tc>
          <w:tcPr>
            <w:tcW w:w="1260" w:type="dxa"/>
            <w:noWrap w:val="0"/>
            <w:vAlign w:val="top"/>
          </w:tcPr>
          <w:p>
            <w:pPr>
              <w:autoSpaceDE w:val="0"/>
              <w:autoSpaceDN w:val="0"/>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宋体" w:hAnsi="宋体" w:cs="宋体"/>
                <w:sz w:val="24"/>
                <w:highlight w:val="none"/>
              </w:rPr>
            </w:pPr>
          </w:p>
        </w:tc>
        <w:tc>
          <w:tcPr>
            <w:tcW w:w="2340" w:type="dxa"/>
            <w:noWrap w:val="0"/>
            <w:vAlign w:val="top"/>
          </w:tcPr>
          <w:p>
            <w:pPr>
              <w:autoSpaceDE w:val="0"/>
              <w:autoSpaceDN w:val="0"/>
              <w:spacing w:line="360" w:lineRule="auto"/>
              <w:jc w:val="center"/>
              <w:rPr>
                <w:rFonts w:hint="eastAsia" w:ascii="宋体" w:hAnsi="宋体" w:cs="宋体"/>
                <w:sz w:val="24"/>
                <w:highlight w:val="none"/>
              </w:rPr>
            </w:pPr>
          </w:p>
        </w:tc>
        <w:tc>
          <w:tcPr>
            <w:tcW w:w="1268" w:type="dxa"/>
            <w:noWrap w:val="0"/>
            <w:vAlign w:val="top"/>
          </w:tcPr>
          <w:p>
            <w:pPr>
              <w:autoSpaceDE w:val="0"/>
              <w:autoSpaceDN w:val="0"/>
              <w:spacing w:line="360" w:lineRule="auto"/>
              <w:jc w:val="center"/>
              <w:rPr>
                <w:rFonts w:hint="eastAsia" w:ascii="宋体" w:hAnsi="宋体" w:cs="宋体"/>
                <w:sz w:val="24"/>
                <w:highlight w:val="none"/>
              </w:rPr>
            </w:pPr>
          </w:p>
        </w:tc>
        <w:tc>
          <w:tcPr>
            <w:tcW w:w="1385" w:type="dxa"/>
            <w:noWrap w:val="0"/>
            <w:vAlign w:val="top"/>
          </w:tcPr>
          <w:p>
            <w:pPr>
              <w:autoSpaceDE w:val="0"/>
              <w:autoSpaceDN w:val="0"/>
              <w:spacing w:line="360" w:lineRule="auto"/>
              <w:jc w:val="center"/>
              <w:rPr>
                <w:rFonts w:hint="eastAsia" w:ascii="宋体" w:hAnsi="宋体" w:cs="宋体"/>
                <w:sz w:val="24"/>
                <w:highlight w:val="none"/>
              </w:rPr>
            </w:pPr>
          </w:p>
        </w:tc>
        <w:tc>
          <w:tcPr>
            <w:tcW w:w="1667" w:type="dxa"/>
            <w:noWrap w:val="0"/>
            <w:vAlign w:val="top"/>
          </w:tcPr>
          <w:p>
            <w:pPr>
              <w:autoSpaceDE w:val="0"/>
              <w:autoSpaceDN w:val="0"/>
              <w:spacing w:line="360" w:lineRule="auto"/>
              <w:jc w:val="center"/>
              <w:rPr>
                <w:rFonts w:hint="eastAsia" w:ascii="宋体" w:hAnsi="宋体" w:cs="宋体"/>
                <w:sz w:val="24"/>
                <w:highlight w:val="none"/>
              </w:rPr>
            </w:pPr>
          </w:p>
        </w:tc>
        <w:tc>
          <w:tcPr>
            <w:tcW w:w="1260" w:type="dxa"/>
            <w:noWrap w:val="0"/>
            <w:vAlign w:val="top"/>
          </w:tcPr>
          <w:p>
            <w:pPr>
              <w:autoSpaceDE w:val="0"/>
              <w:autoSpaceDN w:val="0"/>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宋体" w:hAnsi="宋体" w:cs="宋体"/>
                <w:sz w:val="24"/>
                <w:highlight w:val="none"/>
              </w:rPr>
            </w:pPr>
          </w:p>
        </w:tc>
        <w:tc>
          <w:tcPr>
            <w:tcW w:w="2340" w:type="dxa"/>
            <w:noWrap w:val="0"/>
            <w:vAlign w:val="top"/>
          </w:tcPr>
          <w:p>
            <w:pPr>
              <w:autoSpaceDE w:val="0"/>
              <w:autoSpaceDN w:val="0"/>
              <w:spacing w:line="360" w:lineRule="auto"/>
              <w:jc w:val="center"/>
              <w:rPr>
                <w:rFonts w:hint="eastAsia" w:ascii="宋体" w:hAnsi="宋体" w:cs="宋体"/>
                <w:sz w:val="24"/>
                <w:highlight w:val="none"/>
              </w:rPr>
            </w:pPr>
          </w:p>
        </w:tc>
        <w:tc>
          <w:tcPr>
            <w:tcW w:w="1268" w:type="dxa"/>
            <w:noWrap w:val="0"/>
            <w:vAlign w:val="top"/>
          </w:tcPr>
          <w:p>
            <w:pPr>
              <w:autoSpaceDE w:val="0"/>
              <w:autoSpaceDN w:val="0"/>
              <w:spacing w:line="360" w:lineRule="auto"/>
              <w:jc w:val="center"/>
              <w:rPr>
                <w:rFonts w:hint="eastAsia" w:ascii="宋体" w:hAnsi="宋体" w:cs="宋体"/>
                <w:sz w:val="24"/>
                <w:highlight w:val="none"/>
              </w:rPr>
            </w:pPr>
          </w:p>
        </w:tc>
        <w:tc>
          <w:tcPr>
            <w:tcW w:w="1385" w:type="dxa"/>
            <w:noWrap w:val="0"/>
            <w:vAlign w:val="top"/>
          </w:tcPr>
          <w:p>
            <w:pPr>
              <w:autoSpaceDE w:val="0"/>
              <w:autoSpaceDN w:val="0"/>
              <w:spacing w:line="360" w:lineRule="auto"/>
              <w:jc w:val="center"/>
              <w:rPr>
                <w:rFonts w:hint="eastAsia" w:ascii="宋体" w:hAnsi="宋体" w:cs="宋体"/>
                <w:sz w:val="24"/>
                <w:highlight w:val="none"/>
              </w:rPr>
            </w:pPr>
          </w:p>
        </w:tc>
        <w:tc>
          <w:tcPr>
            <w:tcW w:w="1667" w:type="dxa"/>
            <w:noWrap w:val="0"/>
            <w:vAlign w:val="top"/>
          </w:tcPr>
          <w:p>
            <w:pPr>
              <w:autoSpaceDE w:val="0"/>
              <w:autoSpaceDN w:val="0"/>
              <w:spacing w:line="360" w:lineRule="auto"/>
              <w:jc w:val="center"/>
              <w:rPr>
                <w:rFonts w:hint="eastAsia" w:ascii="宋体" w:hAnsi="宋体" w:cs="宋体"/>
                <w:sz w:val="24"/>
                <w:highlight w:val="none"/>
              </w:rPr>
            </w:pPr>
          </w:p>
        </w:tc>
        <w:tc>
          <w:tcPr>
            <w:tcW w:w="1260" w:type="dxa"/>
            <w:noWrap w:val="0"/>
            <w:vAlign w:val="top"/>
          </w:tcPr>
          <w:p>
            <w:pPr>
              <w:autoSpaceDE w:val="0"/>
              <w:autoSpaceDN w:val="0"/>
              <w:spacing w:line="360" w:lineRule="auto"/>
              <w:jc w:val="center"/>
              <w:rPr>
                <w:rFonts w:hint="eastAsia" w:ascii="宋体" w:hAnsi="宋体" w:cs="宋体"/>
                <w:sz w:val="24"/>
                <w:highlight w:val="none"/>
              </w:rPr>
            </w:pPr>
          </w:p>
        </w:tc>
      </w:tr>
    </w:tbl>
    <w:p>
      <w:pPr>
        <w:autoSpaceDE w:val="0"/>
        <w:autoSpaceDN w:val="0"/>
        <w:spacing w:line="360" w:lineRule="auto"/>
        <w:rPr>
          <w:rFonts w:hint="eastAsia" w:ascii="宋体" w:hAnsi="宋体" w:cs="宋体"/>
          <w:b/>
          <w:sz w:val="24"/>
          <w:highlight w:val="none"/>
        </w:rPr>
      </w:pPr>
      <w:r>
        <w:rPr>
          <w:rFonts w:hint="eastAsia" w:ascii="宋体" w:hAnsi="宋体" w:cs="宋体"/>
          <w:b/>
          <w:sz w:val="24"/>
          <w:highlight w:val="none"/>
        </w:rPr>
        <w:t>注：关于项目涉及的所有售后服务机构均在本表注明，包括供应商本单位和符合条件的第三方服务机构。</w:t>
      </w:r>
    </w:p>
    <w:p>
      <w:pPr>
        <w:autoSpaceDE w:val="0"/>
        <w:autoSpaceDN w:val="0"/>
        <w:spacing w:line="360" w:lineRule="auto"/>
        <w:rPr>
          <w:rFonts w:hint="eastAsia" w:ascii="宋体" w:hAnsi="宋体" w:cs="宋体"/>
          <w:kern w:val="0"/>
          <w:sz w:val="24"/>
          <w:highlight w:val="none"/>
        </w:rPr>
      </w:pPr>
    </w:p>
    <w:p>
      <w:pPr>
        <w:autoSpaceDE w:val="0"/>
        <w:autoSpaceDN w:val="0"/>
        <w:spacing w:line="360" w:lineRule="auto"/>
        <w:rPr>
          <w:rFonts w:hint="eastAsia" w:ascii="宋体" w:hAnsi="宋体" w:cs="宋体"/>
          <w:kern w:val="0"/>
          <w:sz w:val="24"/>
          <w:highlight w:val="none"/>
        </w:rPr>
      </w:pPr>
      <w:r>
        <w:rPr>
          <w:rFonts w:hint="eastAsia" w:ascii="宋体" w:hAnsi="宋体" w:cs="宋体"/>
          <w:b/>
          <w:kern w:val="0"/>
          <w:sz w:val="24"/>
          <w:highlight w:val="none"/>
        </w:rPr>
        <w:t>附表B：售后服务人员情况表</w:t>
      </w:r>
      <w:r>
        <w:rPr>
          <w:rFonts w:hint="eastAsia" w:ascii="宋体" w:hAnsi="宋体" w:cs="宋体"/>
          <w:sz w:val="24"/>
          <w:highlight w:val="none"/>
        </w:rPr>
        <w:t>（参照此格式自制）</w:t>
      </w:r>
    </w:p>
    <w:tbl>
      <w:tblPr>
        <w:tblStyle w:val="29"/>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r>
    </w:tbl>
    <w:p>
      <w:pPr>
        <w:spacing w:line="440" w:lineRule="exact"/>
        <w:ind w:firstLine="396" w:firstLineChars="198"/>
        <w:rPr>
          <w:rFonts w:hint="eastAsia" w:ascii="宋体" w:hAnsi="宋体" w:cs="宋体"/>
          <w:kern w:val="0"/>
          <w:sz w:val="20"/>
          <w:szCs w:val="21"/>
          <w:highlight w:val="none"/>
        </w:rPr>
      </w:pPr>
    </w:p>
    <w:p>
      <w:pPr>
        <w:spacing w:line="500" w:lineRule="exact"/>
        <w:rPr>
          <w:rFonts w:hint="eastAsia" w:ascii="宋体" w:hAnsi="宋体" w:cs="宋体"/>
          <w:sz w:val="32"/>
          <w:szCs w:val="32"/>
          <w:highlight w:val="none"/>
        </w:rPr>
      </w:pPr>
    </w:p>
    <w:p>
      <w:pPr>
        <w:autoSpaceDE w:val="0"/>
        <w:autoSpaceDN w:val="0"/>
        <w:spacing w:line="360" w:lineRule="auto"/>
        <w:ind w:left="4335" w:leftChars="1950" w:hanging="240" w:hangingChars="100"/>
        <w:rPr>
          <w:rFonts w:hint="eastAsia" w:ascii="宋体" w:hAnsi="宋体" w:cs="宋体"/>
          <w:kern w:val="0"/>
          <w:sz w:val="24"/>
          <w:highlight w:val="none"/>
        </w:rPr>
      </w:pPr>
      <w:r>
        <w:rPr>
          <w:rFonts w:hint="eastAsia" w:ascii="宋体" w:hAnsi="宋体" w:cs="宋体"/>
          <w:kern w:val="0"/>
          <w:sz w:val="24"/>
          <w:highlight w:val="none"/>
        </w:rPr>
        <w:t>供应商名称（盖公章）：</w:t>
      </w:r>
    </w:p>
    <w:p>
      <w:pPr>
        <w:snapToGrid w:val="0"/>
        <w:spacing w:line="360" w:lineRule="auto"/>
        <w:ind w:firstLine="6120" w:firstLineChars="2550"/>
        <w:rPr>
          <w:rFonts w:hint="eastAsia" w:ascii="宋体" w:hAnsi="宋体" w:cs="宋体"/>
          <w:kern w:val="0"/>
          <w:sz w:val="24"/>
          <w:highlight w:val="none"/>
          <w:lang w:val="zh-CN"/>
        </w:rPr>
      </w:pPr>
      <w:r>
        <w:rPr>
          <w:rFonts w:hint="eastAsia" w:ascii="宋体" w:hAnsi="宋体" w:cs="宋体"/>
          <w:kern w:val="0"/>
          <w:sz w:val="24"/>
          <w:highlight w:val="none"/>
          <w:lang w:val="zh-CN"/>
        </w:rPr>
        <w:t>日期：  年  月   日</w:t>
      </w:r>
    </w:p>
    <w:p>
      <w:pPr>
        <w:snapToGrid w:val="0"/>
        <w:spacing w:line="360" w:lineRule="auto"/>
        <w:ind w:firstLine="602" w:firstLineChars="200"/>
        <w:rPr>
          <w:rFonts w:hint="eastAsia" w:ascii="宋体" w:hAnsi="宋体" w:cs="宋体"/>
          <w:b/>
          <w:sz w:val="30"/>
          <w:szCs w:val="30"/>
          <w:highlight w:val="none"/>
        </w:rPr>
      </w:pPr>
    </w:p>
    <w:p>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11.项目实施人员一览表（如有要求）</w:t>
      </w:r>
    </w:p>
    <w:p>
      <w:pPr>
        <w:spacing w:line="360" w:lineRule="auto"/>
        <w:jc w:val="center"/>
        <w:rPr>
          <w:rFonts w:hint="eastAsia" w:ascii="宋体" w:hAnsi="宋体" w:cs="宋体"/>
          <w:sz w:val="24"/>
          <w:highlight w:val="none"/>
        </w:rPr>
      </w:pPr>
      <w:r>
        <w:rPr>
          <w:rFonts w:hint="eastAsia" w:ascii="宋体" w:hAnsi="宋体" w:cs="宋体"/>
          <w:sz w:val="24"/>
          <w:highlight w:val="none"/>
        </w:rPr>
        <w:t>（由供应商根据采购需求及采购文件要求编制）</w:t>
      </w:r>
    </w:p>
    <w:p>
      <w:pPr>
        <w:pStyle w:val="20"/>
        <w:rPr>
          <w:rFonts w:hint="eastAsia"/>
          <w:highlight w:val="none"/>
        </w:rPr>
      </w:pPr>
    </w:p>
    <w:p>
      <w:pPr>
        <w:spacing w:line="360" w:lineRule="auto"/>
        <w:rPr>
          <w:rFonts w:hint="eastAsia" w:ascii="宋体" w:hAnsi="宋体" w:cs="宋体"/>
          <w:kern w:val="0"/>
          <w:sz w:val="24"/>
          <w:highlight w:val="non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p>
      <w:pPr>
        <w:keepNext/>
        <w:autoSpaceDE w:val="0"/>
        <w:autoSpaceDN w:val="0"/>
        <w:spacing w:line="360" w:lineRule="auto"/>
        <w:rPr>
          <w:rFonts w:hint="eastAsia" w:ascii="宋体" w:hAnsi="宋体" w:cs="宋体"/>
          <w:b/>
          <w:sz w:val="24"/>
          <w:highlight w:val="none"/>
        </w:rPr>
      </w:pPr>
      <w:r>
        <w:rPr>
          <w:rFonts w:hint="eastAsia" w:ascii="宋体" w:hAnsi="宋体" w:cs="宋体"/>
          <w:b/>
          <w:sz w:val="24"/>
          <w:highlight w:val="none"/>
        </w:rPr>
        <w:t>附表A:本项目的项目经理情况表</w:t>
      </w:r>
    </w:p>
    <w:tbl>
      <w:tblPr>
        <w:tblStyle w:val="29"/>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cs="宋体"/>
                <w:sz w:val="24"/>
                <w:highlight w:val="none"/>
              </w:rPr>
            </w:pPr>
            <w:r>
              <w:rPr>
                <w:rFonts w:hint="eastAsia" w:ascii="宋体" w:hAnsi="宋体" w:cs="宋体"/>
                <w:sz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cs="宋体"/>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p>
        </w:tc>
      </w:tr>
    </w:tbl>
    <w:p>
      <w:pPr>
        <w:autoSpaceDE w:val="0"/>
        <w:autoSpaceDN w:val="0"/>
        <w:spacing w:line="360" w:lineRule="auto"/>
        <w:rPr>
          <w:rFonts w:hint="eastAsia" w:ascii="宋体" w:hAnsi="宋体" w:cs="宋体"/>
          <w:b/>
          <w:sz w:val="24"/>
          <w:highlight w:val="none"/>
        </w:rPr>
      </w:pPr>
      <w:r>
        <w:rPr>
          <w:rFonts w:hint="eastAsia" w:ascii="宋体" w:hAnsi="宋体" w:cs="宋体"/>
          <w:b/>
          <w:sz w:val="24"/>
          <w:highlight w:val="none"/>
        </w:rPr>
        <w:t>注：供应商可参照上述的格式自行编制，并注明所在响应技术文件页码。</w:t>
      </w:r>
    </w:p>
    <w:p>
      <w:pPr>
        <w:autoSpaceDE w:val="0"/>
        <w:autoSpaceDN w:val="0"/>
        <w:spacing w:line="360" w:lineRule="auto"/>
        <w:rPr>
          <w:rFonts w:hint="eastAsia" w:ascii="宋体" w:hAnsi="宋体" w:cs="宋体"/>
          <w:b/>
          <w:sz w:val="24"/>
          <w:highlight w:val="none"/>
        </w:rPr>
      </w:pPr>
    </w:p>
    <w:p>
      <w:pPr>
        <w:autoSpaceDE w:val="0"/>
        <w:autoSpaceDN w:val="0"/>
        <w:spacing w:line="360" w:lineRule="auto"/>
        <w:rPr>
          <w:rFonts w:hint="eastAsia" w:ascii="宋体" w:hAnsi="宋体" w:cs="宋体"/>
          <w:b/>
          <w:sz w:val="24"/>
          <w:highlight w:val="none"/>
        </w:rPr>
      </w:pPr>
      <w:r>
        <w:rPr>
          <w:rFonts w:hint="eastAsia" w:ascii="宋体" w:hAnsi="宋体" w:cs="宋体"/>
          <w:b/>
          <w:sz w:val="24"/>
          <w:highlight w:val="none"/>
        </w:rPr>
        <w:t>附表B:本项目的项目小组人员情况表</w:t>
      </w:r>
    </w:p>
    <w:tbl>
      <w:tblPr>
        <w:tblStyle w:val="29"/>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学历</w:t>
            </w:r>
          </w:p>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专业</w:t>
            </w:r>
          </w:p>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职称</w:t>
            </w:r>
          </w:p>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highlight w:val="none"/>
              </w:rPr>
            </w:pPr>
          </w:p>
        </w:tc>
      </w:tr>
    </w:tbl>
    <w:p>
      <w:pPr>
        <w:spacing w:line="360" w:lineRule="auto"/>
        <w:rPr>
          <w:rFonts w:hint="eastAsia" w:ascii="宋体" w:hAnsi="宋体" w:cs="宋体"/>
          <w:b/>
          <w:bCs/>
          <w:sz w:val="24"/>
          <w:highlight w:val="none"/>
        </w:rPr>
      </w:pPr>
      <w:r>
        <w:rPr>
          <w:rFonts w:hint="eastAsia" w:ascii="宋体" w:hAnsi="宋体" w:cs="宋体"/>
          <w:b/>
          <w:sz w:val="24"/>
          <w:highlight w:val="none"/>
        </w:rPr>
        <w:t>注：供应商可参照上述的格式自行编制，并注明所在响应技术文件页码。</w:t>
      </w:r>
    </w:p>
    <w:p>
      <w:pPr>
        <w:snapToGrid w:val="0"/>
        <w:spacing w:line="360" w:lineRule="auto"/>
        <w:ind w:firstLine="602" w:firstLineChars="200"/>
        <w:rPr>
          <w:rFonts w:hint="eastAsia" w:ascii="宋体" w:hAnsi="宋体" w:cs="宋体"/>
          <w:b/>
          <w:sz w:val="30"/>
          <w:szCs w:val="30"/>
          <w:highlight w:val="none"/>
        </w:rPr>
      </w:pPr>
    </w:p>
    <w:p>
      <w:pPr>
        <w:autoSpaceDE w:val="0"/>
        <w:autoSpaceDN w:val="0"/>
        <w:spacing w:line="360" w:lineRule="auto"/>
        <w:ind w:firstLine="6505" w:firstLineChars="2700"/>
        <w:rPr>
          <w:rFonts w:hint="eastAsia" w:ascii="宋体" w:hAnsi="宋体" w:cs="宋体"/>
          <w:b/>
          <w:bCs/>
          <w:sz w:val="24"/>
          <w:highlight w:val="none"/>
        </w:rPr>
      </w:pPr>
    </w:p>
    <w:p>
      <w:pPr>
        <w:autoSpaceDE w:val="0"/>
        <w:autoSpaceDN w:val="0"/>
        <w:spacing w:line="360" w:lineRule="auto"/>
        <w:ind w:left="4335" w:leftChars="1950" w:hanging="240" w:hangingChars="100"/>
        <w:rPr>
          <w:rFonts w:hint="eastAsia"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480" w:firstLineChars="2700"/>
        <w:rPr>
          <w:rFonts w:hint="eastAsia" w:ascii="宋体" w:hAnsi="宋体" w:cs="宋体"/>
          <w:kern w:val="0"/>
          <w:sz w:val="24"/>
          <w:highlight w:val="none"/>
          <w:lang w:val="zh-CN"/>
        </w:rPr>
      </w:pPr>
      <w:r>
        <w:rPr>
          <w:rFonts w:hint="eastAsia" w:ascii="宋体" w:hAnsi="宋体" w:cs="宋体"/>
          <w:kern w:val="0"/>
          <w:sz w:val="24"/>
          <w:highlight w:val="none"/>
          <w:lang w:val="zh-CN"/>
        </w:rPr>
        <w:t>日期：  年  月   日</w:t>
      </w:r>
    </w:p>
    <w:p>
      <w:pPr>
        <w:autoSpaceDE w:val="0"/>
        <w:autoSpaceDN w:val="0"/>
        <w:spacing w:line="360" w:lineRule="auto"/>
        <w:ind w:firstLine="6480" w:firstLineChars="2700"/>
        <w:rPr>
          <w:rFonts w:hint="eastAsia" w:ascii="仿宋_GB2312" w:hAnsi="仿宋" w:eastAsia="仿宋_GB2312" w:cs="仿宋_GB2312"/>
          <w:kern w:val="0"/>
          <w:sz w:val="24"/>
          <w:highlight w:val="none"/>
          <w:lang w:val="zh-CN"/>
        </w:rPr>
      </w:pPr>
    </w:p>
    <w:p>
      <w:pPr>
        <w:autoSpaceDE w:val="0"/>
        <w:autoSpaceDN w:val="0"/>
        <w:spacing w:line="360" w:lineRule="auto"/>
        <w:ind w:firstLine="8132" w:firstLineChars="2700"/>
        <w:rPr>
          <w:rFonts w:ascii="仿宋_GB2312" w:hAnsi="仿宋" w:eastAsia="仿宋_GB2312" w:cs="仿宋_GB2312"/>
          <w:b/>
          <w:bCs/>
          <w:sz w:val="24"/>
          <w:highlight w:val="none"/>
        </w:rPr>
      </w:pPr>
      <w:r>
        <w:rPr>
          <w:rFonts w:hint="eastAsia" w:ascii="仿宋" w:hAnsi="仿宋" w:eastAsia="仿宋" w:cs="仿宋_GB2312"/>
          <w:b/>
          <w:sz w:val="30"/>
          <w:szCs w:val="30"/>
          <w:highlight w:val="none"/>
        </w:rPr>
        <w:br w:type="page"/>
      </w:r>
    </w:p>
    <w:p>
      <w:pPr>
        <w:pStyle w:val="3"/>
        <w:jc w:val="center"/>
        <w:rPr>
          <w:rFonts w:hint="eastAsia" w:ascii="宋体" w:hAnsi="宋体"/>
          <w:highlight w:val="none"/>
        </w:rPr>
      </w:pPr>
      <w:bookmarkStart w:id="141" w:name="_Toc12611"/>
      <w:bookmarkStart w:id="142" w:name="_Toc80886945"/>
      <w:bookmarkStart w:id="143" w:name="_Toc80205941"/>
      <w:bookmarkStart w:id="144" w:name="_Toc31035"/>
      <w:r>
        <w:rPr>
          <w:rFonts w:hint="eastAsia" w:ascii="宋体" w:hAnsi="宋体"/>
          <w:highlight w:val="none"/>
        </w:rPr>
        <w:t>第三节 报价文件格式</w:t>
      </w:r>
      <w:bookmarkEnd w:id="141"/>
      <w:bookmarkEnd w:id="142"/>
      <w:bookmarkEnd w:id="143"/>
      <w:bookmarkEnd w:id="144"/>
    </w:p>
    <w:p>
      <w:pPr>
        <w:pStyle w:val="20"/>
        <w:rPr>
          <w:rFonts w:hint="eastAsia"/>
          <w:highlight w:val="none"/>
          <w:lang w:val="zh-CN"/>
        </w:rPr>
      </w:pPr>
      <w:r>
        <w:rPr>
          <w:rFonts w:hint="eastAsia"/>
          <w:sz w:val="24"/>
          <w:highlight w:val="none"/>
        </w:rPr>
        <w:t xml:space="preserve">  </w:t>
      </w:r>
      <w:r>
        <w:rPr>
          <w:rFonts w:hint="eastAsia" w:ascii="宋体" w:hAnsi="宋体" w:cs="宋体"/>
          <w:b/>
          <w:bCs/>
          <w:sz w:val="28"/>
          <w:szCs w:val="28"/>
          <w:highlight w:val="none"/>
        </w:rPr>
        <w:t>1.报价文件封面的格式</w:t>
      </w:r>
      <w:r>
        <w:rPr>
          <w:rFonts w:hint="eastAsia" w:ascii="宋体" w:hAnsi="宋体" w:cs="宋体"/>
          <w:b/>
          <w:color w:val="000000"/>
          <w:sz w:val="28"/>
          <w:szCs w:val="28"/>
          <w:highlight w:val="none"/>
        </w:rPr>
        <w:t>（参照此格式自拟）</w:t>
      </w:r>
      <w:r>
        <w:rPr>
          <w:rFonts w:hint="eastAsia" w:ascii="宋体" w:hAnsi="宋体" w:cs="宋体"/>
          <w:b/>
          <w:bCs/>
          <w:sz w:val="28"/>
          <w:szCs w:val="28"/>
          <w:highlight w:val="none"/>
        </w:rPr>
        <w:t>：</w:t>
      </w:r>
    </w:p>
    <w:p>
      <w:pPr>
        <w:snapToGrid w:val="0"/>
        <w:spacing w:before="120" w:beforeLines="50" w:after="50"/>
        <w:rPr>
          <w:rFonts w:hint="eastAsia"/>
          <w:sz w:val="24"/>
          <w:highlight w:val="none"/>
        </w:rPr>
      </w:pPr>
      <w:r>
        <w:rPr>
          <w:rFonts w:hint="eastAsia"/>
          <w:sz w:val="24"/>
          <w:highlight w:val="none"/>
        </w:rPr>
        <w:t xml:space="preserve">                                             </w:t>
      </w:r>
    </w:p>
    <w:p>
      <w:pPr>
        <w:snapToGrid w:val="0"/>
        <w:spacing w:before="120" w:beforeLines="50" w:after="50"/>
        <w:ind w:firstLine="6720" w:firstLineChars="3200"/>
        <w:rPr>
          <w:rFonts w:hint="eastAsia"/>
          <w:bCs/>
          <w:sz w:val="32"/>
          <w:szCs w:val="20"/>
          <w:highlight w:val="none"/>
        </w:rPr>
      </w:pPr>
      <w:r>
        <w:rPr>
          <w:rFonts w:hint="eastAsia"/>
          <w:bCs/>
          <w:highlight w:val="none"/>
        </w:rPr>
        <w:t>全流程电子文件</w:t>
      </w:r>
    </w:p>
    <w:p>
      <w:pPr>
        <w:snapToGrid w:val="0"/>
        <w:spacing w:before="120" w:beforeLines="50" w:after="50"/>
        <w:rPr>
          <w:rFonts w:hint="eastAsia"/>
          <w:sz w:val="24"/>
          <w:szCs w:val="20"/>
          <w:highlight w:val="none"/>
        </w:rPr>
      </w:pPr>
    </w:p>
    <w:p>
      <w:pPr>
        <w:snapToGrid w:val="0"/>
        <w:spacing w:before="120" w:beforeLines="50" w:after="50"/>
        <w:rPr>
          <w:rFonts w:hint="eastAsia"/>
          <w:sz w:val="24"/>
          <w:szCs w:val="20"/>
          <w:highlight w:val="none"/>
        </w:rPr>
      </w:pPr>
    </w:p>
    <w:p>
      <w:pPr>
        <w:snapToGrid w:val="0"/>
        <w:spacing w:before="120" w:beforeLines="50" w:after="50"/>
        <w:rPr>
          <w:rFonts w:hint="eastAsia"/>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 xml:space="preserve">报 </w:t>
      </w:r>
      <w:r>
        <w:rPr>
          <w:rFonts w:ascii="方正小标宋简体" w:hAnsi="方正小标宋简体" w:eastAsia="方正小标宋简体" w:cs="方正小标宋简体"/>
          <w:bCs/>
          <w:sz w:val="44"/>
          <w:szCs w:val="44"/>
          <w:highlight w:val="none"/>
        </w:rPr>
        <w:t xml:space="preserve"> </w:t>
      </w:r>
      <w:r>
        <w:rPr>
          <w:rFonts w:hint="eastAsia" w:ascii="方正小标宋简体" w:hAnsi="方正小标宋简体" w:eastAsia="方正小标宋简体" w:cs="方正小标宋简体"/>
          <w:bCs/>
          <w:sz w:val="44"/>
          <w:szCs w:val="44"/>
          <w:highlight w:val="none"/>
        </w:rPr>
        <w:t>价  文  件</w:t>
      </w: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rPr>
          <w:rFonts w:hint="eastAsia"/>
          <w:bCs/>
          <w:sz w:val="24"/>
          <w:szCs w:val="20"/>
          <w:highlight w:val="none"/>
        </w:rPr>
      </w:pPr>
    </w:p>
    <w:p>
      <w:pPr>
        <w:snapToGrid w:val="0"/>
        <w:spacing w:before="120" w:beforeLines="50" w:after="50"/>
        <w:ind w:firstLine="640" w:firstLineChars="200"/>
        <w:rPr>
          <w:rFonts w:hint="eastAsia" w:cs="仿宋_GB2312"/>
          <w:bCs/>
          <w:sz w:val="32"/>
          <w:szCs w:val="32"/>
          <w:highlight w:val="none"/>
        </w:rPr>
      </w:pPr>
      <w:r>
        <w:rPr>
          <w:rFonts w:hint="eastAsia" w:cs="仿宋_GB2312"/>
          <w:bCs/>
          <w:sz w:val="32"/>
          <w:szCs w:val="32"/>
          <w:highlight w:val="none"/>
        </w:rPr>
        <w:t>项目名称：</w:t>
      </w:r>
    </w:p>
    <w:p>
      <w:pPr>
        <w:snapToGrid w:val="0"/>
        <w:spacing w:before="120" w:beforeLines="50" w:after="50"/>
        <w:ind w:firstLine="720" w:firstLineChars="225"/>
        <w:rPr>
          <w:rFonts w:hint="eastAsia" w:cs="仿宋_GB2312"/>
          <w:bCs/>
          <w:sz w:val="32"/>
          <w:szCs w:val="32"/>
          <w:highlight w:val="none"/>
        </w:rPr>
      </w:pPr>
    </w:p>
    <w:p>
      <w:pPr>
        <w:snapToGrid w:val="0"/>
        <w:spacing w:before="120" w:beforeLines="50" w:after="50"/>
        <w:ind w:firstLine="640" w:firstLineChars="200"/>
        <w:rPr>
          <w:rFonts w:hint="eastAsia" w:cs="仿宋_GB2312"/>
          <w:bCs/>
          <w:sz w:val="32"/>
          <w:szCs w:val="32"/>
          <w:highlight w:val="none"/>
        </w:rPr>
      </w:pPr>
      <w:r>
        <w:rPr>
          <w:rFonts w:hint="eastAsia" w:cs="仿宋_GB2312"/>
          <w:bCs/>
          <w:sz w:val="32"/>
          <w:szCs w:val="32"/>
          <w:highlight w:val="none"/>
        </w:rPr>
        <w:t>项目编号：</w:t>
      </w:r>
    </w:p>
    <w:p>
      <w:pPr>
        <w:snapToGrid w:val="0"/>
        <w:spacing w:before="120" w:beforeLines="50" w:after="50"/>
        <w:ind w:firstLine="720" w:firstLineChars="225"/>
        <w:rPr>
          <w:rFonts w:hint="eastAsia" w:cs="仿宋_GB2312"/>
          <w:bCs/>
          <w:sz w:val="32"/>
          <w:szCs w:val="32"/>
          <w:highlight w:val="none"/>
        </w:rPr>
      </w:pPr>
      <w:r>
        <w:rPr>
          <w:rFonts w:hint="eastAsia" w:cs="仿宋_GB2312"/>
          <w:bCs/>
          <w:sz w:val="32"/>
          <w:szCs w:val="32"/>
          <w:highlight w:val="none"/>
        </w:rPr>
        <w:t xml:space="preserve"> </w:t>
      </w:r>
    </w:p>
    <w:p>
      <w:pPr>
        <w:snapToGrid w:val="0"/>
        <w:spacing w:before="120" w:beforeLines="50" w:after="50"/>
        <w:ind w:firstLine="640" w:firstLineChars="200"/>
        <w:rPr>
          <w:rFonts w:hint="eastAsia" w:cs="仿宋_GB2312"/>
          <w:bCs/>
          <w:sz w:val="32"/>
          <w:szCs w:val="32"/>
          <w:highlight w:val="none"/>
        </w:rPr>
      </w:pPr>
      <w:r>
        <w:rPr>
          <w:rFonts w:hint="eastAsia" w:cs="仿宋_GB2312"/>
          <w:bCs/>
          <w:sz w:val="32"/>
          <w:szCs w:val="32"/>
          <w:highlight w:val="none"/>
        </w:rPr>
        <w:t>所竞分标（如有则填写，无分标时填写“无”或者留空）：</w:t>
      </w:r>
    </w:p>
    <w:p>
      <w:pPr>
        <w:snapToGrid w:val="0"/>
        <w:spacing w:before="120" w:beforeLines="50" w:after="50"/>
        <w:ind w:firstLine="720" w:firstLineChars="225"/>
        <w:rPr>
          <w:rFonts w:hint="eastAsia" w:cs="仿宋_GB2312"/>
          <w:bCs/>
          <w:sz w:val="32"/>
          <w:szCs w:val="32"/>
          <w:highlight w:val="none"/>
        </w:rPr>
      </w:pPr>
    </w:p>
    <w:p>
      <w:pPr>
        <w:pStyle w:val="7"/>
        <w:snapToGrid w:val="0"/>
        <w:spacing w:before="50" w:after="50"/>
        <w:ind w:firstLine="640" w:firstLineChars="200"/>
        <w:rPr>
          <w:rFonts w:hint="eastAsia" w:cs="仿宋_GB2312"/>
          <w:bCs/>
          <w:sz w:val="32"/>
          <w:szCs w:val="32"/>
          <w:highlight w:val="none"/>
        </w:rPr>
      </w:pPr>
      <w:r>
        <w:rPr>
          <w:rFonts w:hint="eastAsia" w:cs="仿宋_GB2312"/>
          <w:bCs/>
          <w:sz w:val="32"/>
          <w:szCs w:val="32"/>
          <w:highlight w:val="none"/>
        </w:rPr>
        <w:t>供应商名称：</w:t>
      </w:r>
    </w:p>
    <w:p>
      <w:pPr>
        <w:pStyle w:val="7"/>
        <w:snapToGrid w:val="0"/>
        <w:spacing w:before="50" w:after="50"/>
        <w:ind w:firstLine="720" w:firstLineChars="225"/>
        <w:rPr>
          <w:rFonts w:hint="eastAsia" w:cs="仿宋_GB2312"/>
          <w:bCs/>
          <w:sz w:val="32"/>
          <w:szCs w:val="32"/>
          <w:highlight w:val="none"/>
        </w:rPr>
      </w:pPr>
    </w:p>
    <w:p>
      <w:pPr>
        <w:pStyle w:val="7"/>
        <w:snapToGrid w:val="0"/>
        <w:spacing w:before="50" w:after="50"/>
        <w:ind w:firstLine="720" w:firstLineChars="225"/>
        <w:rPr>
          <w:rFonts w:hint="eastAsia" w:cs="仿宋_GB2312"/>
          <w:bCs/>
          <w:sz w:val="32"/>
          <w:szCs w:val="32"/>
          <w:highlight w:val="none"/>
        </w:rPr>
      </w:pPr>
    </w:p>
    <w:p>
      <w:pPr>
        <w:pStyle w:val="7"/>
        <w:snapToGrid w:val="0"/>
        <w:spacing w:before="50" w:after="50"/>
        <w:ind w:firstLine="1280" w:firstLineChars="400"/>
        <w:rPr>
          <w:rFonts w:hint="eastAsia" w:cs="仿宋_GB2312"/>
          <w:bCs/>
          <w:sz w:val="32"/>
          <w:szCs w:val="32"/>
          <w:highlight w:val="none"/>
        </w:rPr>
      </w:pPr>
    </w:p>
    <w:p>
      <w:pPr>
        <w:snapToGrid w:val="0"/>
        <w:spacing w:before="120" w:beforeLines="50" w:after="50"/>
        <w:jc w:val="center"/>
        <w:rPr>
          <w:rFonts w:hint="eastAsia" w:cs="仿宋_GB2312"/>
          <w:sz w:val="32"/>
          <w:szCs w:val="32"/>
          <w:highlight w:val="none"/>
        </w:rPr>
      </w:pPr>
      <w:r>
        <w:rPr>
          <w:rFonts w:hint="eastAsia" w:cs="仿宋_GB2312"/>
          <w:sz w:val="32"/>
          <w:szCs w:val="32"/>
          <w:highlight w:val="none"/>
        </w:rPr>
        <w:t>年    月    日</w:t>
      </w:r>
    </w:p>
    <w:p>
      <w:pPr>
        <w:snapToGrid w:val="0"/>
        <w:spacing w:before="120" w:beforeLines="50" w:after="50" w:line="360" w:lineRule="auto"/>
        <w:jc w:val="left"/>
        <w:rPr>
          <w:rFonts w:hint="eastAsia" w:ascii="宋体" w:hAnsi="宋体" w:cs="宋体"/>
          <w:color w:val="000000"/>
          <w:sz w:val="28"/>
          <w:szCs w:val="28"/>
          <w:highlight w:val="none"/>
        </w:rPr>
      </w:pPr>
      <w:r>
        <w:rPr>
          <w:sz w:val="24"/>
          <w:highlight w:val="none"/>
        </w:rPr>
        <w:br w:type="page"/>
      </w:r>
      <w:r>
        <w:rPr>
          <w:rFonts w:hint="eastAsia" w:ascii="宋体" w:hAnsi="宋体" w:cs="宋体"/>
          <w:b/>
          <w:color w:val="000000"/>
          <w:sz w:val="28"/>
          <w:szCs w:val="28"/>
          <w:highlight w:val="none"/>
        </w:rPr>
        <w:t>2.</w:t>
      </w:r>
      <w:r>
        <w:rPr>
          <w:rFonts w:hint="eastAsia" w:ascii="宋体" w:hAnsi="宋体" w:cs="宋体"/>
          <w:b/>
          <w:bCs/>
          <w:color w:val="000000"/>
          <w:sz w:val="28"/>
          <w:szCs w:val="28"/>
          <w:highlight w:val="none"/>
        </w:rPr>
        <w:t>报价文件目录</w:t>
      </w:r>
    </w:p>
    <w:p>
      <w:pPr>
        <w:snapToGrid w:val="0"/>
        <w:spacing w:before="50" w:after="120" w:afterLines="50" w:line="360" w:lineRule="auto"/>
        <w:jc w:val="left"/>
        <w:rPr>
          <w:rFonts w:hint="eastAsia" w:ascii="宋体" w:hAnsi="宋体" w:cs="宋体"/>
          <w:b/>
          <w:color w:val="000000"/>
          <w:sz w:val="28"/>
          <w:szCs w:val="28"/>
          <w:highlight w:val="none"/>
        </w:rPr>
      </w:pPr>
      <w:r>
        <w:rPr>
          <w:rFonts w:hint="eastAsia" w:ascii="宋体" w:hAnsi="宋体" w:cs="宋体"/>
          <w:color w:val="000000"/>
          <w:sz w:val="28"/>
          <w:szCs w:val="28"/>
          <w:highlight w:val="none"/>
        </w:rPr>
        <w:t>根据竞争性磋商文件规定及供应商提供的材料自行编写目录</w:t>
      </w:r>
      <w:r>
        <w:rPr>
          <w:rFonts w:hint="eastAsia" w:ascii="宋体" w:hAnsi="宋体" w:cs="宋体"/>
          <w:kern w:val="0"/>
          <w:sz w:val="28"/>
          <w:szCs w:val="28"/>
          <w:highlight w:val="none"/>
        </w:rPr>
        <w:t>（部分格式后附）</w:t>
      </w:r>
      <w:r>
        <w:rPr>
          <w:rFonts w:hint="eastAsia" w:ascii="宋体" w:hAnsi="宋体" w:cs="宋体"/>
          <w:color w:val="000000"/>
          <w:sz w:val="28"/>
          <w:szCs w:val="28"/>
          <w:highlight w:val="none"/>
        </w:rPr>
        <w:t>。</w:t>
      </w:r>
    </w:p>
    <w:p>
      <w:pPr>
        <w:spacing w:line="360" w:lineRule="auto"/>
        <w:rPr>
          <w:rFonts w:hint="eastAsia" w:ascii="仿宋_GB2312" w:hAnsi="仿宋" w:eastAsia="仿宋_GB2312" w:cs="仿宋_GB2312"/>
          <w:sz w:val="24"/>
          <w:highlight w:val="none"/>
        </w:rPr>
      </w:pP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highlight w:val="none"/>
        </w:rPr>
      </w:pPr>
    </w:p>
    <w:p>
      <w:pPr>
        <w:snapToGrid w:val="0"/>
        <w:spacing w:before="120" w:beforeLines="50" w:after="50" w:line="360" w:lineRule="auto"/>
        <w:jc w:val="left"/>
        <w:rPr>
          <w:rFonts w:ascii="Calibri" w:cs="仿宋_GB2312"/>
          <w:sz w:val="24"/>
          <w:highlight w:val="none"/>
        </w:rPr>
      </w:pPr>
      <w:r>
        <w:rPr>
          <w:rFonts w:ascii="Calibri" w:cs="仿宋_GB2312"/>
          <w:sz w:val="24"/>
          <w:highlight w:val="none"/>
        </w:rPr>
        <w:br w:type="page"/>
      </w:r>
      <w:r>
        <w:rPr>
          <w:rFonts w:hint="eastAsia" w:ascii="宋体" w:hAnsi="宋体" w:cs="宋体"/>
          <w:b/>
          <w:sz w:val="28"/>
          <w:szCs w:val="28"/>
          <w:highlight w:val="none"/>
        </w:rPr>
        <w:t>3.</w:t>
      </w:r>
      <w:r>
        <w:rPr>
          <w:rFonts w:hint="eastAsia" w:ascii="宋体" w:hAnsi="宋体" w:cs="宋体"/>
          <w:b/>
          <w:sz w:val="28"/>
          <w:szCs w:val="28"/>
          <w:highlight w:val="none"/>
          <w:lang w:val="zh-CN"/>
        </w:rPr>
        <w:t>响应函的格式：</w:t>
      </w:r>
    </w:p>
    <w:p>
      <w:pPr>
        <w:spacing w:line="500" w:lineRule="exact"/>
        <w:jc w:val="center"/>
        <w:rPr>
          <w:b/>
          <w:bCs/>
          <w:kern w:val="0"/>
          <w:sz w:val="30"/>
          <w:szCs w:val="30"/>
          <w:highlight w:val="none"/>
        </w:rPr>
      </w:pPr>
      <w:r>
        <w:rPr>
          <w:rFonts w:hint="eastAsia"/>
          <w:b/>
          <w:bCs/>
          <w:kern w:val="0"/>
          <w:sz w:val="30"/>
          <w:szCs w:val="30"/>
          <w:highlight w:val="none"/>
        </w:rPr>
        <w:t>响应函</w:t>
      </w:r>
    </w:p>
    <w:p>
      <w:pPr>
        <w:spacing w:line="500" w:lineRule="exact"/>
        <w:rPr>
          <w:kern w:val="0"/>
          <w:sz w:val="32"/>
          <w:szCs w:val="21"/>
          <w:highlight w:val="none"/>
        </w:rPr>
      </w:pPr>
    </w:p>
    <w:p>
      <w:pPr>
        <w:spacing w:line="440" w:lineRule="exact"/>
        <w:rPr>
          <w:rFonts w:hint="eastAsia" w:ascii="宋体" w:hAnsi="宋体" w:cs="宋体"/>
          <w:kern w:val="0"/>
          <w:sz w:val="20"/>
          <w:szCs w:val="21"/>
          <w:highlight w:val="none"/>
        </w:rPr>
      </w:pPr>
      <w:r>
        <w:rPr>
          <w:rFonts w:hint="eastAsia" w:ascii="宋体" w:hAnsi="宋体" w:cs="宋体"/>
          <w:kern w:val="0"/>
          <w:sz w:val="20"/>
          <w:szCs w:val="21"/>
          <w:highlight w:val="none"/>
        </w:rPr>
        <w:t>致：</w:t>
      </w:r>
      <w:r>
        <w:rPr>
          <w:rFonts w:hint="eastAsia" w:ascii="宋体" w:hAnsi="宋体" w:cs="宋体"/>
          <w:kern w:val="0"/>
          <w:sz w:val="20"/>
          <w:szCs w:val="21"/>
          <w:highlight w:val="none"/>
          <w:u w:val="single"/>
        </w:rPr>
        <w:t xml:space="preserve">                      </w:t>
      </w:r>
      <w:r>
        <w:rPr>
          <w:rFonts w:hint="eastAsia" w:ascii="宋体" w:hAnsi="宋体" w:cs="宋体"/>
          <w:kern w:val="0"/>
          <w:sz w:val="20"/>
          <w:szCs w:val="21"/>
          <w:highlight w:val="none"/>
        </w:rPr>
        <w:t>（采购代理机构名称）</w:t>
      </w:r>
    </w:p>
    <w:p>
      <w:pPr>
        <w:spacing w:line="440" w:lineRule="exact"/>
        <w:ind w:firstLine="400" w:firstLineChars="200"/>
        <w:rPr>
          <w:rFonts w:hint="eastAsia" w:ascii="宋体" w:hAnsi="宋体" w:cs="宋体"/>
          <w:kern w:val="0"/>
          <w:sz w:val="20"/>
          <w:szCs w:val="21"/>
          <w:highlight w:val="none"/>
        </w:rPr>
      </w:pPr>
    </w:p>
    <w:p>
      <w:pPr>
        <w:spacing w:line="440" w:lineRule="exact"/>
        <w:ind w:firstLine="400" w:firstLineChars="200"/>
        <w:rPr>
          <w:rFonts w:hint="eastAsia" w:ascii="宋体" w:hAnsi="宋体" w:cs="宋体"/>
          <w:kern w:val="0"/>
          <w:sz w:val="20"/>
          <w:szCs w:val="21"/>
          <w:highlight w:val="none"/>
        </w:rPr>
      </w:pPr>
      <w:r>
        <w:rPr>
          <w:rFonts w:hint="eastAsia" w:ascii="宋体" w:hAnsi="宋体" w:cs="宋体"/>
          <w:kern w:val="0"/>
          <w:sz w:val="20"/>
          <w:szCs w:val="21"/>
          <w:highlight w:val="none"/>
        </w:rPr>
        <w:t>我方已仔细阅读了贵方组织的</w:t>
      </w:r>
      <w:r>
        <w:rPr>
          <w:rFonts w:hint="eastAsia" w:ascii="宋体" w:hAnsi="宋体" w:cs="宋体"/>
          <w:kern w:val="0"/>
          <w:sz w:val="20"/>
          <w:szCs w:val="21"/>
          <w:highlight w:val="none"/>
          <w:u w:val="single"/>
        </w:rPr>
        <w:t xml:space="preserve">                </w:t>
      </w:r>
      <w:r>
        <w:rPr>
          <w:rFonts w:hint="eastAsia" w:ascii="宋体" w:hAnsi="宋体" w:cs="宋体"/>
          <w:kern w:val="0"/>
          <w:sz w:val="20"/>
          <w:szCs w:val="21"/>
          <w:highlight w:val="none"/>
        </w:rPr>
        <w:t>项目（项目编号：</w:t>
      </w:r>
      <w:r>
        <w:rPr>
          <w:rFonts w:hint="eastAsia" w:ascii="宋体" w:hAnsi="宋体" w:cs="宋体"/>
          <w:kern w:val="0"/>
          <w:sz w:val="20"/>
          <w:szCs w:val="21"/>
          <w:highlight w:val="none"/>
          <w:u w:val="single"/>
        </w:rPr>
        <w:t xml:space="preserve">             </w:t>
      </w:r>
      <w:r>
        <w:rPr>
          <w:rFonts w:hint="eastAsia" w:ascii="宋体" w:hAnsi="宋体" w:cs="宋体"/>
          <w:kern w:val="0"/>
          <w:sz w:val="20"/>
          <w:szCs w:val="21"/>
          <w:highlight w:val="none"/>
        </w:rPr>
        <w:t xml:space="preserve">）的竞争性磋商文件的全部内容，现正式递交下述文件参加贵方组织的本次政府采购活动： </w:t>
      </w:r>
    </w:p>
    <w:p>
      <w:pPr>
        <w:spacing w:line="440" w:lineRule="exact"/>
        <w:ind w:firstLine="400" w:firstLineChars="200"/>
        <w:rPr>
          <w:rFonts w:hint="eastAsia" w:ascii="宋体" w:hAnsi="宋体" w:cs="宋体"/>
          <w:kern w:val="0"/>
          <w:sz w:val="20"/>
          <w:szCs w:val="21"/>
          <w:highlight w:val="none"/>
        </w:rPr>
      </w:pPr>
      <w:r>
        <w:rPr>
          <w:rFonts w:hint="eastAsia" w:ascii="宋体" w:hAnsi="宋体" w:cs="宋体"/>
          <w:kern w:val="0"/>
          <w:sz w:val="20"/>
          <w:szCs w:val="21"/>
          <w:highlight w:val="none"/>
        </w:rPr>
        <w:t>一、首次报价文件电子版（包含按“第三章 供应商须知”提交的全部文件）；</w:t>
      </w:r>
    </w:p>
    <w:p>
      <w:pPr>
        <w:spacing w:line="440" w:lineRule="exact"/>
        <w:ind w:firstLine="400" w:firstLineChars="200"/>
        <w:rPr>
          <w:rFonts w:hint="eastAsia" w:ascii="宋体" w:hAnsi="宋体" w:cs="宋体"/>
          <w:kern w:val="0"/>
          <w:sz w:val="20"/>
          <w:szCs w:val="21"/>
          <w:highlight w:val="none"/>
        </w:rPr>
      </w:pPr>
      <w:r>
        <w:rPr>
          <w:rFonts w:hint="eastAsia" w:ascii="宋体" w:hAnsi="宋体" w:cs="宋体"/>
          <w:kern w:val="0"/>
          <w:sz w:val="20"/>
          <w:szCs w:val="21"/>
          <w:highlight w:val="none"/>
        </w:rPr>
        <w:t>二、技术文件电子版（包含按“第三章 供应商须知”提交的全部文件）；商务文件电子版（包含按“第三章 供应商须知”提交的全部文件）；</w:t>
      </w:r>
    </w:p>
    <w:p>
      <w:pPr>
        <w:spacing w:line="440" w:lineRule="exact"/>
        <w:ind w:firstLine="400" w:firstLineChars="200"/>
        <w:rPr>
          <w:rFonts w:hint="eastAsia" w:ascii="宋体" w:hAnsi="宋体" w:cs="宋体"/>
          <w:kern w:val="0"/>
          <w:sz w:val="20"/>
          <w:szCs w:val="21"/>
          <w:highlight w:val="none"/>
        </w:rPr>
      </w:pPr>
      <w:r>
        <w:rPr>
          <w:rFonts w:hint="eastAsia" w:ascii="宋体" w:hAnsi="宋体" w:cs="宋体"/>
          <w:kern w:val="0"/>
          <w:sz w:val="20"/>
          <w:szCs w:val="21"/>
          <w:highlight w:val="none"/>
        </w:rPr>
        <w:t>三、资格证明文件电子版（包含按“第三章供应商须知”提交的全部文件）。</w:t>
      </w:r>
    </w:p>
    <w:p>
      <w:pPr>
        <w:spacing w:line="440" w:lineRule="exact"/>
        <w:ind w:firstLine="400" w:firstLineChars="200"/>
        <w:rPr>
          <w:rFonts w:hint="eastAsia" w:ascii="宋体" w:hAnsi="宋体" w:cs="宋体"/>
          <w:kern w:val="0"/>
          <w:sz w:val="20"/>
          <w:szCs w:val="21"/>
          <w:highlight w:val="none"/>
        </w:rPr>
      </w:pPr>
      <w:r>
        <w:rPr>
          <w:rFonts w:hint="eastAsia" w:ascii="宋体" w:hAnsi="宋体" w:cs="宋体"/>
          <w:kern w:val="0"/>
          <w:sz w:val="20"/>
          <w:szCs w:val="21"/>
          <w:highlight w:val="none"/>
        </w:rPr>
        <w:t>据此函，我方兹宣布：</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1、我方愿意以磋商时</w:t>
      </w:r>
      <w:r>
        <w:rPr>
          <w:rFonts w:hint="eastAsia" w:hAnsi="宋体" w:cs="宋体"/>
          <w:highlight w:val="none"/>
        </w:rPr>
        <w:t>提交的最后报价表中的竞标总</w:t>
      </w:r>
      <w:r>
        <w:rPr>
          <w:rFonts w:hint="eastAsia" w:ascii="宋体" w:hAnsi="宋体" w:cs="宋体"/>
          <w:szCs w:val="22"/>
          <w:highlight w:val="none"/>
        </w:rPr>
        <w:t>报价</w:t>
      </w:r>
      <w:r>
        <w:rPr>
          <w:rFonts w:hint="eastAsia" w:hAnsi="宋体" w:cs="宋体"/>
          <w:szCs w:val="22"/>
          <w:highlight w:val="none"/>
        </w:rPr>
        <w:t>，在承诺的</w:t>
      </w:r>
      <w:r>
        <w:rPr>
          <w:rFonts w:hint="eastAsia" w:ascii="宋体" w:hAnsi="宋体" w:cs="宋体"/>
          <w:kern w:val="0"/>
          <w:sz w:val="20"/>
          <w:szCs w:val="21"/>
          <w:highlight w:val="none"/>
        </w:rPr>
        <w:t>服务期限</w:t>
      </w:r>
      <w:r>
        <w:rPr>
          <w:rFonts w:hint="eastAsia" w:hAnsi="宋体" w:cs="宋体"/>
          <w:szCs w:val="22"/>
          <w:highlight w:val="none"/>
        </w:rPr>
        <w:t>内</w:t>
      </w:r>
      <w:r>
        <w:rPr>
          <w:rFonts w:hint="eastAsia" w:ascii="宋体" w:hAnsi="宋体" w:cs="宋体"/>
          <w:kern w:val="0"/>
          <w:sz w:val="20"/>
          <w:szCs w:val="21"/>
          <w:highlight w:val="none"/>
        </w:rPr>
        <w:t>提供本项目竞争性磋商文件第二章“采购需求”中相应的采购内容</w:t>
      </w:r>
      <w:r>
        <w:rPr>
          <w:rFonts w:hint="eastAsia" w:hAnsi="宋体" w:cs="宋体"/>
          <w:highlight w:val="none"/>
        </w:rPr>
        <w:t>，具体详见最后报价表</w:t>
      </w:r>
      <w:r>
        <w:rPr>
          <w:rFonts w:hint="eastAsia" w:ascii="宋体" w:hAnsi="宋体" w:cs="宋体"/>
          <w:kern w:val="0"/>
          <w:sz w:val="20"/>
          <w:szCs w:val="21"/>
          <w:highlight w:val="none"/>
        </w:rPr>
        <w:t>。</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2、我方同意自本项目竞争性磋商文件采购公告规定的提交响应文件截止时间起遵循本响应函，并承诺在“第三章 供应商须知”规定的竞标有效期内不修改、撤销响应文件。</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3、我方在此声明，所递交的响应文件及有关资料内容完整、真实和准确。</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4、如本项目采购内容涉及须符合国家强制规定的，我方承诺我方本次竞标均符合国家有关强制规定。</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6、我方已详细审核竞争性磋商文件，我方知道必须放弃提出含糊不清或误解问题的权利。</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7、我方承诺满足竞争性磋商文件第六章“合同文本”的条款，承担完成合同的责任和义务。</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8、我方同意应贵方要求提供与本竞标有关的任何数据或资料。若贵方需要，我方愿意提供我方作出的一切承诺的证明材料。</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9、我方完全理解贵方不一定接受响应报价最低的供应商为成交供应商的行为。</w:t>
      </w:r>
    </w:p>
    <w:p>
      <w:pPr>
        <w:spacing w:line="440" w:lineRule="exact"/>
        <w:ind w:firstLine="482"/>
        <w:rPr>
          <w:rFonts w:hint="eastAsia" w:ascii="宋体" w:hAnsi="宋体" w:cs="宋体"/>
          <w:kern w:val="0"/>
          <w:sz w:val="20"/>
          <w:szCs w:val="21"/>
          <w:highlight w:val="none"/>
        </w:rPr>
      </w:pPr>
      <w:r>
        <w:rPr>
          <w:rFonts w:hint="eastAsia" w:ascii="宋体" w:hAnsi="宋体" w:cs="宋体"/>
          <w:kern w:val="0"/>
          <w:sz w:val="20"/>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tabs>
          <w:tab w:val="left" w:pos="945"/>
        </w:tabs>
        <w:spacing w:line="480" w:lineRule="auto"/>
        <w:rPr>
          <w:rFonts w:hint="eastAsia" w:ascii="宋体" w:hAnsi="宋体" w:cs="宋体"/>
          <w:kern w:val="0"/>
          <w:sz w:val="20"/>
          <w:szCs w:val="21"/>
          <w:highlight w:val="none"/>
        </w:rPr>
      </w:pPr>
      <w:r>
        <w:rPr>
          <w:rFonts w:hint="eastAsia" w:ascii="宋体" w:hAnsi="宋体" w:cs="宋体"/>
          <w:kern w:val="0"/>
          <w:sz w:val="20"/>
          <w:szCs w:val="21"/>
          <w:highlight w:val="none"/>
        </w:rPr>
        <w:t>提供虚假材料谋取中标、成交的；</w:t>
      </w:r>
    </w:p>
    <w:p>
      <w:pPr>
        <w:numPr>
          <w:ilvl w:val="0"/>
          <w:numId w:val="5"/>
        </w:numPr>
        <w:tabs>
          <w:tab w:val="left" w:pos="945"/>
        </w:tabs>
        <w:spacing w:line="480" w:lineRule="auto"/>
        <w:rPr>
          <w:rFonts w:hint="eastAsia" w:ascii="宋体" w:hAnsi="宋体" w:cs="宋体"/>
          <w:kern w:val="0"/>
          <w:sz w:val="20"/>
          <w:szCs w:val="21"/>
          <w:highlight w:val="none"/>
        </w:rPr>
      </w:pPr>
      <w:r>
        <w:rPr>
          <w:rFonts w:hint="eastAsia" w:ascii="宋体" w:hAnsi="宋体" w:cs="宋体"/>
          <w:kern w:val="0"/>
          <w:sz w:val="20"/>
          <w:szCs w:val="21"/>
          <w:highlight w:val="none"/>
        </w:rPr>
        <w:t>采取不正当手段诋毁、排挤其他供应商的；</w:t>
      </w:r>
    </w:p>
    <w:p>
      <w:pPr>
        <w:numPr>
          <w:ilvl w:val="0"/>
          <w:numId w:val="5"/>
        </w:numPr>
        <w:tabs>
          <w:tab w:val="left" w:pos="945"/>
        </w:tabs>
        <w:spacing w:line="480" w:lineRule="auto"/>
        <w:rPr>
          <w:rFonts w:hint="eastAsia" w:ascii="宋体" w:hAnsi="宋体" w:cs="宋体"/>
          <w:kern w:val="0"/>
          <w:sz w:val="20"/>
          <w:szCs w:val="21"/>
          <w:highlight w:val="none"/>
        </w:rPr>
      </w:pPr>
      <w:r>
        <w:rPr>
          <w:rFonts w:hint="eastAsia" w:ascii="宋体" w:hAnsi="宋体" w:cs="宋体"/>
          <w:kern w:val="0"/>
          <w:sz w:val="20"/>
          <w:szCs w:val="21"/>
          <w:highlight w:val="none"/>
        </w:rPr>
        <w:t>与采购人、其他供应商或者采购代理机构恶意串通的；</w:t>
      </w:r>
    </w:p>
    <w:p>
      <w:pPr>
        <w:numPr>
          <w:ilvl w:val="0"/>
          <w:numId w:val="5"/>
        </w:numPr>
        <w:tabs>
          <w:tab w:val="left" w:pos="945"/>
        </w:tabs>
        <w:spacing w:line="480" w:lineRule="auto"/>
        <w:rPr>
          <w:rFonts w:hint="eastAsia" w:ascii="宋体" w:hAnsi="宋体" w:cs="宋体"/>
          <w:kern w:val="0"/>
          <w:sz w:val="20"/>
          <w:szCs w:val="21"/>
          <w:highlight w:val="none"/>
        </w:rPr>
      </w:pPr>
      <w:r>
        <w:rPr>
          <w:rFonts w:hint="eastAsia" w:ascii="宋体" w:hAnsi="宋体" w:cs="宋体"/>
          <w:kern w:val="0"/>
          <w:sz w:val="20"/>
          <w:szCs w:val="21"/>
          <w:highlight w:val="none"/>
        </w:rPr>
        <w:t>向采购人、采购代理机构行贿或者提供其他不正当利益的；</w:t>
      </w:r>
    </w:p>
    <w:p>
      <w:pPr>
        <w:numPr>
          <w:ilvl w:val="0"/>
          <w:numId w:val="5"/>
        </w:numPr>
        <w:tabs>
          <w:tab w:val="left" w:pos="945"/>
        </w:tabs>
        <w:spacing w:line="480" w:lineRule="auto"/>
        <w:rPr>
          <w:rFonts w:hint="eastAsia" w:ascii="宋体" w:hAnsi="宋体" w:cs="宋体"/>
          <w:kern w:val="0"/>
          <w:sz w:val="20"/>
          <w:szCs w:val="21"/>
          <w:highlight w:val="none"/>
        </w:rPr>
      </w:pPr>
      <w:r>
        <w:rPr>
          <w:rFonts w:hint="eastAsia" w:ascii="宋体" w:hAnsi="宋体" w:cs="宋体"/>
          <w:kern w:val="0"/>
          <w:sz w:val="20"/>
          <w:szCs w:val="21"/>
          <w:highlight w:val="none"/>
        </w:rPr>
        <w:t>在采购过程中与采购人进行协商磋商的；</w:t>
      </w:r>
    </w:p>
    <w:p>
      <w:pPr>
        <w:numPr>
          <w:ilvl w:val="0"/>
          <w:numId w:val="5"/>
        </w:numPr>
        <w:tabs>
          <w:tab w:val="left" w:pos="945"/>
        </w:tabs>
        <w:spacing w:line="480" w:lineRule="auto"/>
        <w:rPr>
          <w:rFonts w:hint="eastAsia" w:ascii="宋体" w:hAnsi="宋体" w:cs="宋体"/>
          <w:kern w:val="0"/>
          <w:sz w:val="20"/>
          <w:szCs w:val="21"/>
          <w:highlight w:val="none"/>
        </w:rPr>
      </w:pPr>
      <w:r>
        <w:rPr>
          <w:rFonts w:hint="eastAsia" w:ascii="宋体" w:hAnsi="宋体" w:cs="宋体"/>
          <w:kern w:val="0"/>
          <w:sz w:val="20"/>
          <w:szCs w:val="21"/>
          <w:highlight w:val="none"/>
        </w:rPr>
        <w:t>拒绝有关部门监督检查或提供虚假情况的。</w:t>
      </w:r>
    </w:p>
    <w:p>
      <w:pPr>
        <w:spacing w:line="480" w:lineRule="auto"/>
        <w:ind w:firstLine="420"/>
        <w:rPr>
          <w:rFonts w:hint="eastAsia" w:ascii="宋体" w:hAnsi="宋体" w:cs="宋体"/>
          <w:b/>
          <w:bCs/>
          <w:kern w:val="0"/>
          <w:szCs w:val="21"/>
          <w:highlight w:val="none"/>
        </w:rPr>
      </w:pPr>
      <w:r>
        <w:rPr>
          <w:rFonts w:hint="eastAsia" w:ascii="宋体" w:hAnsi="宋体" w:cs="宋体"/>
          <w:color w:val="000000"/>
          <w:kern w:val="0"/>
          <w:sz w:val="20"/>
          <w:szCs w:val="20"/>
          <w:highlight w:val="none"/>
        </w:rPr>
        <w:t>11、</w:t>
      </w:r>
      <w:r>
        <w:rPr>
          <w:rFonts w:hint="eastAsia"/>
          <w:color w:val="000000"/>
          <w:highlight w:val="none"/>
        </w:rPr>
        <w:t>以上事项如有虚假或者隐瞒，我方愿意承担一切后果，并不再寻求任何旨在减轻或者免除法律责任的辩解。</w:t>
      </w:r>
    </w:p>
    <w:p>
      <w:pPr>
        <w:spacing w:line="480" w:lineRule="auto"/>
        <w:ind w:firstLine="420"/>
        <w:rPr>
          <w:rFonts w:hint="eastAsia" w:ascii="宋体" w:hAnsi="宋体" w:cs="宋体"/>
          <w:b/>
          <w:bCs/>
          <w:kern w:val="0"/>
          <w:szCs w:val="21"/>
          <w:highlight w:val="none"/>
        </w:rPr>
      </w:pPr>
      <w:r>
        <w:rPr>
          <w:rFonts w:hint="eastAsia" w:ascii="宋体" w:hAnsi="宋体" w:cs="宋体"/>
          <w:b/>
          <w:bCs/>
          <w:kern w:val="0"/>
          <w:szCs w:val="21"/>
          <w:highlight w:val="none"/>
        </w:rPr>
        <w:t>1</w:t>
      </w:r>
      <w:r>
        <w:rPr>
          <w:rFonts w:ascii="宋体" w:hAnsi="宋体" w:cs="宋体"/>
          <w:b/>
          <w:bCs/>
          <w:kern w:val="0"/>
          <w:szCs w:val="21"/>
          <w:highlight w:val="none"/>
        </w:rPr>
        <w:t>2</w:t>
      </w:r>
      <w:r>
        <w:rPr>
          <w:rFonts w:hint="eastAsia" w:ascii="宋体" w:hAnsi="宋体" w:cs="宋体"/>
          <w:b/>
          <w:bCs/>
          <w:kern w:val="0"/>
          <w:szCs w:val="21"/>
          <w:highlight w:val="none"/>
        </w:rPr>
        <w:t xml:space="preserve">、与本磋商有关的一切正式往来信函请寄： </w:t>
      </w:r>
    </w:p>
    <w:p>
      <w:pPr>
        <w:snapToGrid w:val="0"/>
        <w:spacing w:line="380" w:lineRule="exact"/>
        <w:rPr>
          <w:rFonts w:hint="eastAsia"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邮编：</w:t>
      </w:r>
      <w:r>
        <w:rPr>
          <w:rFonts w:hint="eastAsia" w:ascii="宋体" w:hAnsi="宋体" w:cs="宋体"/>
          <w:szCs w:val="21"/>
          <w:highlight w:val="none"/>
          <w:u w:val="single"/>
        </w:rPr>
        <w:t xml:space="preserve">                  </w:t>
      </w: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napToGrid w:val="0"/>
        <w:spacing w:line="380" w:lineRule="exact"/>
        <w:rPr>
          <w:rFonts w:hint="eastAsia"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r>
        <w:rPr>
          <w:rFonts w:hint="eastAsia" w:ascii="宋体" w:hAnsi="宋体" w:cs="宋体"/>
          <w:szCs w:val="21"/>
          <w:highlight w:val="none"/>
        </w:rPr>
        <w:t xml:space="preserve"> 电子信箱：</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napToGrid w:val="0"/>
        <w:spacing w:line="380" w:lineRule="exact"/>
        <w:rPr>
          <w:rFonts w:hint="eastAsia" w:ascii="宋体" w:hAnsi="宋体" w:cs="宋体"/>
          <w:szCs w:val="21"/>
          <w:highlight w:val="none"/>
          <w:u w:val="single"/>
        </w:rPr>
      </w:pPr>
      <w:r>
        <w:rPr>
          <w:rFonts w:hint="eastAsia" w:ascii="宋体" w:hAnsi="宋体" w:cs="宋体"/>
          <w:szCs w:val="21"/>
          <w:highlight w:val="none"/>
          <w:lang w:eastAsia="zh-CN"/>
        </w:rPr>
        <w:t>供应商</w:t>
      </w:r>
      <w:r>
        <w:rPr>
          <w:rFonts w:hint="eastAsia" w:ascii="宋体" w:hAnsi="宋体" w:cs="宋体"/>
          <w:szCs w:val="21"/>
          <w:highlight w:val="none"/>
        </w:rPr>
        <w:t>代表姓名：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pPr>
        <w:snapToGrid w:val="0"/>
        <w:spacing w:line="380" w:lineRule="exact"/>
        <w:rPr>
          <w:rFonts w:hint="eastAsia" w:ascii="宋体" w:hAnsi="宋体" w:cs="宋体"/>
          <w:szCs w:val="21"/>
          <w:highlight w:val="none"/>
          <w:u w:val="single"/>
        </w:rPr>
      </w:pPr>
      <w:r>
        <w:rPr>
          <w:rFonts w:hint="eastAsia" w:ascii="宋体" w:hAnsi="宋体" w:cs="宋体"/>
          <w:szCs w:val="21"/>
          <w:highlight w:val="none"/>
          <w:lang w:eastAsia="zh-CN"/>
        </w:rPr>
        <w:t>供应商</w:t>
      </w:r>
      <w:r>
        <w:rPr>
          <w:rFonts w:hint="eastAsia" w:ascii="宋体" w:hAnsi="宋体" w:cs="宋体"/>
          <w:szCs w:val="21"/>
          <w:highlight w:val="none"/>
        </w:rPr>
        <w:t>名称（公章）：</w:t>
      </w:r>
      <w:r>
        <w:rPr>
          <w:rFonts w:hint="eastAsia" w:ascii="宋体" w:hAnsi="宋体" w:cs="宋体"/>
          <w:szCs w:val="21"/>
          <w:highlight w:val="none"/>
          <w:u w:val="single"/>
        </w:rPr>
        <w:t xml:space="preserve">                                          </w:t>
      </w:r>
    </w:p>
    <w:p>
      <w:pPr>
        <w:snapToGrid w:val="0"/>
        <w:spacing w:line="380" w:lineRule="exact"/>
        <w:rPr>
          <w:rFonts w:hint="eastAsia" w:ascii="宋体" w:hAnsi="宋体" w:cs="宋体"/>
          <w:szCs w:val="21"/>
          <w:highlight w:val="none"/>
          <w:u w:val="single"/>
        </w:rPr>
      </w:pPr>
      <w:r>
        <w:rPr>
          <w:rFonts w:hint="eastAsia" w:ascii="宋体" w:hAnsi="宋体" w:cs="宋体"/>
          <w:szCs w:val="21"/>
          <w:highlight w:val="none"/>
          <w:lang w:eastAsia="zh-CN"/>
        </w:rPr>
        <w:t>供应商</w:t>
      </w:r>
      <w:r>
        <w:rPr>
          <w:rFonts w:hint="eastAsia" w:ascii="宋体" w:hAnsi="宋体" w:cs="宋体"/>
          <w:szCs w:val="21"/>
          <w:highlight w:val="none"/>
        </w:rPr>
        <w:t>统一社会信用代码：</w:t>
      </w:r>
      <w:r>
        <w:rPr>
          <w:rFonts w:hint="eastAsia" w:ascii="宋体" w:hAnsi="宋体" w:cs="宋体"/>
          <w:szCs w:val="21"/>
          <w:highlight w:val="none"/>
          <w:u w:val="single"/>
        </w:rPr>
        <w:t xml:space="preserve">                                  </w:t>
      </w:r>
    </w:p>
    <w:p>
      <w:pPr>
        <w:snapToGrid w:val="0"/>
        <w:spacing w:line="380" w:lineRule="exact"/>
        <w:rPr>
          <w:rFonts w:hint="eastAsia" w:ascii="宋体" w:hAnsi="宋体" w:cs="宋体"/>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企业工商营业执照注册地址：</w:t>
      </w:r>
      <w:r>
        <w:rPr>
          <w:rFonts w:hint="eastAsia" w:ascii="宋体" w:hAnsi="宋体" w:cs="宋体"/>
          <w:szCs w:val="21"/>
          <w:highlight w:val="none"/>
          <w:u w:val="single"/>
        </w:rPr>
        <w:t xml:space="preserve">                                 </w:t>
      </w:r>
    </w:p>
    <w:p>
      <w:pPr>
        <w:snapToGrid w:val="0"/>
        <w:spacing w:line="380" w:lineRule="exact"/>
        <w:rPr>
          <w:rFonts w:hint="eastAsia" w:ascii="宋体" w:hAnsi="宋体" w:cs="宋体"/>
          <w:szCs w:val="21"/>
          <w:highlight w:val="none"/>
          <w:u w:val="single"/>
        </w:rPr>
      </w:pPr>
      <w:r>
        <w:rPr>
          <w:rFonts w:hint="eastAsia" w:ascii="宋体" w:hAnsi="宋体" w:cs="宋体"/>
          <w:szCs w:val="21"/>
          <w:highlight w:val="none"/>
        </w:rPr>
        <w:t>法定代表人姓名：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法定代表人身份证号码：</w:t>
      </w:r>
      <w:r>
        <w:rPr>
          <w:rFonts w:hint="eastAsia" w:ascii="宋体" w:hAnsi="宋体" w:cs="宋体"/>
          <w:szCs w:val="21"/>
          <w:highlight w:val="none"/>
          <w:u w:val="single"/>
        </w:rPr>
        <w:t xml:space="preserve">                      </w:t>
      </w:r>
    </w:p>
    <w:p>
      <w:pPr>
        <w:snapToGrid w:val="0"/>
        <w:spacing w:line="380" w:lineRule="exact"/>
        <w:rPr>
          <w:rFonts w:hint="eastAsia" w:ascii="宋体" w:hAnsi="宋体" w:cs="宋体"/>
          <w:szCs w:val="21"/>
          <w:highlight w:val="none"/>
          <w:u w:val="single"/>
        </w:rPr>
      </w:pPr>
      <w:r>
        <w:rPr>
          <w:rFonts w:hint="eastAsia" w:ascii="宋体" w:hAnsi="宋体" w:cs="宋体"/>
          <w:szCs w:val="21"/>
          <w:highlight w:val="none"/>
        </w:rPr>
        <w:t>授权委托代理人姓名：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授权委托代理人身份证号码：</w:t>
      </w:r>
      <w:r>
        <w:rPr>
          <w:rFonts w:hint="eastAsia" w:ascii="宋体" w:hAnsi="宋体" w:cs="宋体"/>
          <w:szCs w:val="21"/>
          <w:highlight w:val="none"/>
          <w:u w:val="single"/>
        </w:rPr>
        <w:t xml:space="preserve">                      </w:t>
      </w:r>
    </w:p>
    <w:p>
      <w:pPr>
        <w:snapToGrid w:val="0"/>
        <w:spacing w:line="380" w:lineRule="exact"/>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15"/>
        <w:tabs>
          <w:tab w:val="left" w:pos="939"/>
        </w:tabs>
        <w:spacing w:line="480" w:lineRule="auto"/>
        <w:ind w:left="141" w:leftChars="67" w:firstLine="315" w:firstLineChars="150"/>
        <w:rPr>
          <w:rFonts w:hint="eastAsia" w:ascii="宋体" w:hAnsi="宋体" w:cs="宋体"/>
          <w:szCs w:val="21"/>
          <w:highlight w:val="none"/>
        </w:rPr>
      </w:pPr>
    </w:p>
    <w:p>
      <w:pPr>
        <w:pStyle w:val="15"/>
        <w:tabs>
          <w:tab w:val="left" w:pos="939"/>
        </w:tabs>
        <w:spacing w:line="48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特此承诺。</w:t>
      </w:r>
    </w:p>
    <w:p>
      <w:pPr>
        <w:spacing w:line="360" w:lineRule="auto"/>
        <w:contextualSpacing/>
        <w:jc w:val="left"/>
        <w:rPr>
          <w:rFonts w:hint="eastAsia" w:ascii="宋体" w:hAnsi="宋体" w:cs="宋体"/>
          <w:szCs w:val="21"/>
          <w:highlight w:val="none"/>
        </w:rPr>
      </w:pPr>
    </w:p>
    <w:p>
      <w:pPr>
        <w:autoSpaceDE w:val="0"/>
        <w:autoSpaceDN w:val="0"/>
        <w:spacing w:line="360" w:lineRule="auto"/>
        <w:ind w:left="4335" w:leftChars="1950" w:hanging="240" w:hangingChars="100"/>
        <w:rPr>
          <w:rFonts w:hint="eastAsia"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480" w:firstLineChars="2700"/>
        <w:rPr>
          <w:rFonts w:hint="eastAsia"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500" w:lineRule="exact"/>
        <w:rPr>
          <w:rFonts w:hint="eastAsia" w:ascii="宋体" w:hAnsi="宋体" w:cs="宋体"/>
          <w:b/>
          <w:sz w:val="28"/>
          <w:szCs w:val="28"/>
          <w:highlight w:val="none"/>
        </w:rPr>
      </w:pPr>
    </w:p>
    <w:p>
      <w:pPr>
        <w:spacing w:line="500" w:lineRule="exact"/>
        <w:rPr>
          <w:rFonts w:hint="eastAsia" w:ascii="仿宋" w:hAnsi="仿宋" w:eastAsia="仿宋" w:cs="仿宋_GB2312"/>
          <w:b/>
          <w:sz w:val="30"/>
          <w:szCs w:val="30"/>
          <w:highlight w:val="none"/>
          <w:lang w:val="zh-CN"/>
        </w:rPr>
      </w:pPr>
      <w:r>
        <w:rPr>
          <w:rFonts w:hint="eastAsia" w:ascii="宋体" w:hAnsi="宋体" w:cs="宋体"/>
          <w:b/>
          <w:sz w:val="28"/>
          <w:szCs w:val="28"/>
          <w:highlight w:val="none"/>
        </w:rPr>
        <w:br w:type="page"/>
      </w:r>
      <w:r>
        <w:rPr>
          <w:rFonts w:hint="eastAsia" w:ascii="宋体" w:hAnsi="宋体" w:cs="宋体"/>
          <w:b/>
          <w:sz w:val="28"/>
          <w:szCs w:val="28"/>
          <w:highlight w:val="none"/>
        </w:rPr>
        <w:t>4.</w:t>
      </w:r>
      <w:r>
        <w:rPr>
          <w:rFonts w:hint="eastAsia" w:ascii="宋体" w:hAnsi="宋体" w:cs="宋体"/>
          <w:b/>
          <w:sz w:val="28"/>
          <w:szCs w:val="28"/>
          <w:highlight w:val="none"/>
          <w:lang w:val="zh-CN"/>
        </w:rPr>
        <w:t>响应报价表的格式：</w:t>
      </w:r>
      <w:r>
        <w:rPr>
          <w:rFonts w:hint="eastAsia" w:ascii="仿宋" w:hAnsi="仿宋" w:eastAsia="仿宋" w:cs="仿宋_GB2312"/>
          <w:b/>
          <w:sz w:val="30"/>
          <w:szCs w:val="30"/>
          <w:highlight w:val="none"/>
          <w:lang w:val="zh-CN"/>
        </w:rPr>
        <w:t xml:space="preserve"> </w:t>
      </w:r>
    </w:p>
    <w:p>
      <w:pPr>
        <w:spacing w:line="520" w:lineRule="exact"/>
        <w:ind w:firstLine="420" w:firstLineChars="200"/>
        <w:rPr>
          <w:rFonts w:hint="eastAsia" w:ascii="Calibri" w:hAnsi="Calibri"/>
          <w:highlight w:val="none"/>
        </w:rPr>
      </w:pPr>
    </w:p>
    <w:p>
      <w:pPr>
        <w:spacing w:line="520" w:lineRule="exact"/>
        <w:jc w:val="center"/>
        <w:rPr>
          <w:rFonts w:hint="eastAsia"/>
          <w:b/>
          <w:bCs/>
          <w:sz w:val="32"/>
          <w:szCs w:val="32"/>
          <w:highlight w:val="none"/>
        </w:rPr>
      </w:pPr>
      <w:r>
        <w:rPr>
          <w:rFonts w:hint="eastAsia"/>
          <w:b/>
          <w:bCs/>
          <w:sz w:val="32"/>
          <w:szCs w:val="32"/>
          <w:highlight w:val="none"/>
        </w:rPr>
        <w:t>响应报价表</w:t>
      </w:r>
    </w:p>
    <w:p>
      <w:pPr>
        <w:snapToGrid w:val="0"/>
        <w:spacing w:before="50" w:after="50" w:line="360" w:lineRule="auto"/>
        <w:rPr>
          <w:rFonts w:hint="eastAsia"/>
          <w:sz w:val="24"/>
          <w:highlight w:val="none"/>
        </w:rPr>
      </w:pPr>
    </w:p>
    <w:p>
      <w:pPr>
        <w:snapToGrid w:val="0"/>
        <w:spacing w:before="50" w:after="50" w:line="360" w:lineRule="auto"/>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before="50" w:after="50" w:line="360" w:lineRule="auto"/>
        <w:rPr>
          <w:rFonts w:hint="eastAsia"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contextualSpacing/>
        <w:rPr>
          <w:rFonts w:hint="eastAsia" w:ascii="宋体" w:hAnsi="宋体" w:cs="宋体"/>
          <w:sz w:val="24"/>
          <w:highlight w:val="none"/>
          <w:u w:val="singl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szCs w:val="22"/>
                <w:highlight w:val="none"/>
              </w:rPr>
              <w:t>标的的名称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数量及 单位①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szCs w:val="22"/>
                <w:highlight w:val="none"/>
              </w:rPr>
              <w:t>单项合价（元）</w:t>
            </w:r>
          </w:p>
          <w:p>
            <w:pPr>
              <w:rPr>
                <w:rFonts w:hint="eastAsia" w:ascii="宋体" w:hAnsi="宋体" w:cs="宋体"/>
                <w:szCs w:val="22"/>
                <w:highlight w:val="none"/>
              </w:rPr>
            </w:pPr>
            <w:r>
              <w:rPr>
                <w:rFonts w:hint="eastAsia" w:ascii="宋体" w:hAnsi="宋体" w:cs="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2"/>
                <w:highlight w:val="none"/>
              </w:rPr>
            </w:pPr>
            <w:r>
              <w:rPr>
                <w:rFonts w:hint="eastAsia" w:ascii="宋体" w:hAnsi="宋体" w:cs="宋体"/>
                <w:szCs w:val="22"/>
                <w:highlight w:val="none"/>
              </w:rPr>
              <w:t>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szCs w:val="22"/>
                <w:highlight w:val="none"/>
              </w:rPr>
              <w:t>202</w:t>
            </w:r>
            <w:r>
              <w:rPr>
                <w:rFonts w:hint="eastAsia" w:ascii="宋体" w:hAnsi="宋体" w:cs="宋体"/>
                <w:szCs w:val="22"/>
                <w:highlight w:val="none"/>
                <w:lang w:val="en-US" w:eastAsia="zh-CN"/>
              </w:rPr>
              <w:t>5</w:t>
            </w:r>
            <w:r>
              <w:rPr>
                <w:rFonts w:hint="eastAsia" w:ascii="宋体" w:hAnsi="宋体" w:cs="宋体"/>
                <w:szCs w:val="22"/>
                <w:highlight w:val="none"/>
              </w:rPr>
              <w:t>年网络安全保障服务采购项目</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highlight w:val="none"/>
              </w:rPr>
            </w:pPr>
            <w:r>
              <w:rPr>
                <w:rFonts w:hint="eastAsia"/>
                <w:highlight w:val="none"/>
              </w:rPr>
              <w:t xml:space="preserve">竞标总报价（包含税费等所有费用）：（大写）人民币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highlight w:val="none"/>
                <w:lang w:val="en-US" w:eastAsia="zh-CN"/>
              </w:rPr>
            </w:pPr>
            <w:r>
              <w:rPr>
                <w:rFonts w:hint="eastAsia" w:ascii="宋体" w:hAnsi="宋体" w:cs="宋体"/>
                <w:sz w:val="24"/>
                <w:highlight w:val="none"/>
              </w:rPr>
              <w:t>针对本项目设立</w:t>
            </w:r>
            <w:r>
              <w:rPr>
                <w:rFonts w:hint="eastAsia" w:ascii="宋体" w:hAnsi="宋体" w:cs="宋体"/>
                <w:sz w:val="24"/>
                <w:highlight w:val="none"/>
                <w:u w:val="single"/>
              </w:rPr>
              <w:t xml:space="preserve">    </w:t>
            </w:r>
            <w:r>
              <w:rPr>
                <w:rFonts w:hint="eastAsia" w:ascii="宋体" w:hAnsi="宋体" w:cs="宋体"/>
                <w:sz w:val="24"/>
                <w:highlight w:val="none"/>
              </w:rPr>
              <w:t>人的技术服务组，按要求</w:t>
            </w:r>
            <w:r>
              <w:rPr>
                <w:rFonts w:hint="eastAsia" w:ascii="宋体" w:hAnsi="宋体" w:cs="宋体"/>
                <w:sz w:val="24"/>
                <w:highlight w:val="none"/>
                <w:u w:val="single"/>
              </w:rPr>
              <w:t xml:space="preserve">    </w:t>
            </w:r>
            <w:r>
              <w:rPr>
                <w:rFonts w:hint="eastAsia" w:ascii="宋体" w:hAnsi="宋体" w:cs="宋体"/>
                <w:sz w:val="24"/>
                <w:highlight w:val="none"/>
              </w:rPr>
              <w:t>名服务工程师驻场服务。</w:t>
            </w:r>
          </w:p>
          <w:p>
            <w:pPr>
              <w:rPr>
                <w:rFonts w:hint="eastAsia" w:ascii="宋体" w:hAnsi="宋体" w:cs="宋体"/>
                <w:szCs w:val="22"/>
                <w:highlight w:val="none"/>
              </w:rPr>
            </w:pPr>
            <w:r>
              <w:rPr>
                <w:rFonts w:hint="eastAsia" w:ascii="宋体" w:hAnsi="宋体" w:eastAsia="宋体" w:cs="宋体"/>
                <w:sz w:val="24"/>
                <w:highlight w:val="none"/>
              </w:rPr>
              <w:t>优惠及其它：（如没有填写无）</w:t>
            </w:r>
          </w:p>
        </w:tc>
      </w:tr>
    </w:tbl>
    <w:p>
      <w:pPr>
        <w:snapToGrid w:val="0"/>
        <w:spacing w:before="50" w:after="50"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 xml:space="preserve">注： </w:t>
      </w:r>
    </w:p>
    <w:p>
      <w:pPr>
        <w:snapToGrid w:val="0"/>
        <w:spacing w:before="50" w:after="50"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1、供应商需按本表格式填写，不得自行更改，也不得留空（</w:t>
      </w:r>
      <w:r>
        <w:rPr>
          <w:rFonts w:hint="eastAsia" w:ascii="宋体" w:hAnsi="宋体" w:cs="宋体"/>
          <w:szCs w:val="21"/>
          <w:highlight w:val="none"/>
        </w:rPr>
        <w:t>备注除外</w:t>
      </w:r>
      <w:r>
        <w:rPr>
          <w:rFonts w:hint="eastAsia" w:ascii="宋体" w:hAnsi="宋体" w:cs="宋体"/>
          <w:kern w:val="0"/>
          <w:szCs w:val="21"/>
          <w:highlight w:val="none"/>
          <w:lang w:val="zh-CN"/>
        </w:rPr>
        <w:t>）, 如有多分标，按分标分别提供响应报价表，</w:t>
      </w:r>
      <w:r>
        <w:rPr>
          <w:rFonts w:hint="eastAsia" w:ascii="宋体" w:hAnsi="宋体" w:cs="宋体"/>
          <w:b/>
          <w:kern w:val="0"/>
          <w:szCs w:val="21"/>
          <w:highlight w:val="none"/>
          <w:lang w:val="zh-CN"/>
        </w:rPr>
        <w:t>否则其响应按无效响应处理。</w:t>
      </w:r>
    </w:p>
    <w:p>
      <w:pPr>
        <w:snapToGrid w:val="0"/>
        <w:spacing w:before="50" w:after="50" w:line="360" w:lineRule="auto"/>
        <w:ind w:firstLine="420" w:firstLineChars="200"/>
        <w:jc w:val="left"/>
        <w:rPr>
          <w:rFonts w:hint="eastAsia" w:ascii="宋体" w:hAnsi="宋体" w:cs="宋体"/>
          <w:b/>
          <w:kern w:val="0"/>
          <w:szCs w:val="21"/>
          <w:highlight w:val="none"/>
          <w:lang w:val="zh-CN"/>
        </w:rPr>
      </w:pPr>
      <w:r>
        <w:rPr>
          <w:rFonts w:hint="eastAsia" w:ascii="宋体" w:hAnsi="宋体" w:cs="宋体"/>
          <w:kern w:val="0"/>
          <w:szCs w:val="21"/>
          <w:highlight w:val="none"/>
          <w:lang w:val="zh-CN"/>
        </w:rPr>
        <w:t>2、如为联合体响应的，“供应商名称”处必须列明联合体各方名称，并标注联合体牵头人名称，且盖章处须加盖联合体各方公章，</w:t>
      </w:r>
      <w:r>
        <w:rPr>
          <w:rFonts w:hint="eastAsia" w:ascii="宋体" w:hAnsi="宋体" w:cs="宋体"/>
          <w:b/>
          <w:kern w:val="0"/>
          <w:szCs w:val="21"/>
          <w:highlight w:val="none"/>
          <w:lang w:val="zh-CN"/>
        </w:rPr>
        <w:t>否则其响应按无效响应处理。</w:t>
      </w:r>
    </w:p>
    <w:p>
      <w:pPr>
        <w:snapToGrid w:val="0"/>
        <w:spacing w:before="50" w:after="50" w:line="360" w:lineRule="auto"/>
        <w:ind w:firstLine="420" w:firstLineChars="200"/>
        <w:jc w:val="left"/>
        <w:rPr>
          <w:rFonts w:hint="eastAsia" w:ascii="宋体" w:hAnsi="宋体" w:cs="宋体"/>
          <w:b/>
          <w:kern w:val="0"/>
          <w:szCs w:val="21"/>
          <w:highlight w:val="none"/>
          <w:lang w:val="zh-CN"/>
        </w:rPr>
      </w:pPr>
      <w:r>
        <w:rPr>
          <w:rFonts w:hint="eastAsia" w:ascii="宋体" w:hAnsi="宋体" w:cs="宋体"/>
          <w:kern w:val="0"/>
          <w:szCs w:val="21"/>
          <w:highlight w:val="none"/>
          <w:lang w:val="zh-CN"/>
        </w:rPr>
        <w:t>3、</w:t>
      </w:r>
      <w:r>
        <w:rPr>
          <w:rFonts w:hint="eastAsia" w:ascii="宋体" w:hAnsi="宋体" w:cs="宋体"/>
          <w:kern w:val="0"/>
          <w:szCs w:val="21"/>
          <w:highlight w:val="none"/>
        </w:rPr>
        <w:t>请</w:t>
      </w:r>
      <w:r>
        <w:rPr>
          <w:rFonts w:hint="eastAsia" w:ascii="宋体" w:hAnsi="宋体" w:cs="宋体"/>
          <w:szCs w:val="21"/>
          <w:highlight w:val="none"/>
        </w:rPr>
        <w:t>根据所竞</w:t>
      </w:r>
      <w:r>
        <w:rPr>
          <w:rFonts w:hint="eastAsia" w:hAnsi="宋体" w:cs="宋体"/>
          <w:szCs w:val="21"/>
          <w:highlight w:val="none"/>
        </w:rPr>
        <w:t>服务内容</w:t>
      </w:r>
      <w:r>
        <w:rPr>
          <w:rFonts w:hint="eastAsia" w:ascii="宋体" w:hAnsi="宋体" w:cs="宋体"/>
          <w:szCs w:val="21"/>
          <w:highlight w:val="none"/>
        </w:rPr>
        <w:t>，逐条对应本项目竞争性磋商文件“第二章 采购需求”中“服务参数”的</w:t>
      </w:r>
      <w:r>
        <w:rPr>
          <w:rFonts w:hint="eastAsia" w:hAnsi="宋体" w:cs="宋体"/>
          <w:szCs w:val="21"/>
          <w:highlight w:val="none"/>
        </w:rPr>
        <w:t>内容</w:t>
      </w:r>
      <w:r>
        <w:rPr>
          <w:rFonts w:hint="eastAsia" w:ascii="宋体" w:hAnsi="宋体" w:cs="宋体"/>
          <w:szCs w:val="21"/>
          <w:highlight w:val="none"/>
        </w:rPr>
        <w:t>详细填写相应的具体内容。</w:t>
      </w:r>
    </w:p>
    <w:p>
      <w:pPr>
        <w:snapToGrid w:val="0"/>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4、特别提示：采购代理机构将对项目名称和项目编号，成交供应商名称、地址和成交金额，主要成交标的的名称、服务范围、服务要求、服务时间、服务标准等予以公示。</w:t>
      </w:r>
    </w:p>
    <w:p>
      <w:pPr>
        <w:snapToGrid w:val="0"/>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5、符合采购文件中列明的可享受中小企业扶持政策的供应商，请填写中小企业声明函。</w:t>
      </w:r>
    </w:p>
    <w:p>
      <w:pPr>
        <w:snapToGrid w:val="0"/>
        <w:spacing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rPr>
        <w:t>6、</w:t>
      </w:r>
      <w:r>
        <w:rPr>
          <w:rFonts w:hint="eastAsia" w:ascii="宋体" w:hAnsi="宋体" w:cs="宋体"/>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cs="宋体"/>
          <w:kern w:val="0"/>
          <w:sz w:val="24"/>
          <w:highlight w:val="none"/>
        </w:rPr>
      </w:pPr>
    </w:p>
    <w:p>
      <w:pPr>
        <w:pStyle w:val="13"/>
        <w:rPr>
          <w:rFonts w:hint="eastAsia" w:ascii="宋体" w:hAnsi="宋体" w:cs="宋体"/>
          <w:highlight w:val="none"/>
        </w:rPr>
      </w:pPr>
    </w:p>
    <w:p>
      <w:pPr>
        <w:autoSpaceDE w:val="0"/>
        <w:autoSpaceDN w:val="0"/>
        <w:spacing w:line="360" w:lineRule="auto"/>
        <w:ind w:firstLine="4560" w:firstLineChars="1900"/>
        <w:rPr>
          <w:rFonts w:hint="eastAsia" w:ascii="宋体" w:hAnsi="宋体" w:cs="宋体"/>
          <w:kern w:val="0"/>
          <w:sz w:val="24"/>
          <w:highlight w:val="none"/>
        </w:rPr>
      </w:pPr>
      <w:r>
        <w:rPr>
          <w:rFonts w:hint="eastAsia" w:ascii="宋体" w:hAnsi="宋体" w:cs="宋体"/>
          <w:kern w:val="0"/>
          <w:sz w:val="24"/>
          <w:highlight w:val="none"/>
        </w:rPr>
        <w:t>供应商名称（盖公章）：</w:t>
      </w:r>
    </w:p>
    <w:p>
      <w:pPr>
        <w:spacing w:line="500" w:lineRule="exact"/>
        <w:ind w:firstLine="6360" w:firstLineChars="2650"/>
        <w:rPr>
          <w:rFonts w:hint="eastAsia" w:ascii="宋体" w:hAnsi="宋体" w:cs="宋体"/>
          <w:kern w:val="0"/>
          <w:sz w:val="24"/>
          <w:szCs w:val="21"/>
          <w:highlight w:val="none"/>
          <w:lang w:val="zh-CN"/>
        </w:rPr>
      </w:pPr>
      <w:r>
        <w:rPr>
          <w:rFonts w:hint="eastAsia" w:ascii="宋体" w:hAnsi="宋体" w:cs="宋体"/>
          <w:kern w:val="0"/>
          <w:sz w:val="24"/>
          <w:szCs w:val="21"/>
          <w:highlight w:val="none"/>
          <w:lang w:val="zh-CN"/>
        </w:rPr>
        <w:t>日期：  年  月   日</w:t>
      </w:r>
    </w:p>
    <w:p>
      <w:pPr>
        <w:spacing w:line="500" w:lineRule="exact"/>
        <w:rPr>
          <w:rFonts w:hint="eastAsia" w:ascii="仿宋" w:hAnsi="仿宋" w:eastAsia="仿宋" w:cs="仿宋_GB2312"/>
          <w:b/>
          <w:sz w:val="30"/>
          <w:szCs w:val="30"/>
          <w:highlight w:val="none"/>
          <w:lang w:val="zh-CN"/>
        </w:rPr>
      </w:pPr>
      <w:r>
        <w:rPr>
          <w:rFonts w:hint="eastAsia" w:ascii="宋体" w:hAnsi="宋体" w:cs="宋体"/>
          <w:kern w:val="0"/>
          <w:sz w:val="24"/>
          <w:szCs w:val="21"/>
          <w:highlight w:val="none"/>
          <w:lang w:val="zh-CN"/>
        </w:rPr>
        <w:br w:type="page"/>
      </w:r>
      <w:r>
        <w:rPr>
          <w:rFonts w:hint="eastAsia" w:ascii="宋体" w:hAnsi="宋体" w:cs="宋体"/>
          <w:b/>
          <w:sz w:val="28"/>
          <w:szCs w:val="28"/>
          <w:highlight w:val="none"/>
        </w:rPr>
        <w:t>5.</w:t>
      </w:r>
      <w:r>
        <w:rPr>
          <w:rFonts w:hint="eastAsia" w:ascii="宋体" w:hAnsi="宋体" w:cs="宋体"/>
          <w:b/>
          <w:sz w:val="28"/>
          <w:szCs w:val="28"/>
          <w:highlight w:val="none"/>
          <w:lang w:val="zh-CN"/>
        </w:rPr>
        <w:t>最后报价表的格式：</w:t>
      </w:r>
      <w:r>
        <w:rPr>
          <w:rFonts w:hint="eastAsia" w:ascii="仿宋" w:hAnsi="仿宋" w:eastAsia="仿宋" w:cs="仿宋_GB2312"/>
          <w:b/>
          <w:sz w:val="30"/>
          <w:szCs w:val="30"/>
          <w:highlight w:val="none"/>
          <w:lang w:val="zh-CN"/>
        </w:rPr>
        <w:t xml:space="preserve"> </w:t>
      </w:r>
    </w:p>
    <w:p>
      <w:pPr>
        <w:spacing w:line="520" w:lineRule="exact"/>
        <w:ind w:firstLine="420" w:firstLineChars="200"/>
        <w:rPr>
          <w:rFonts w:hint="eastAsia" w:ascii="Calibri" w:hAnsi="Calibri"/>
          <w:highlight w:val="none"/>
        </w:rPr>
      </w:pPr>
    </w:p>
    <w:p>
      <w:pPr>
        <w:spacing w:line="520" w:lineRule="exact"/>
        <w:jc w:val="center"/>
        <w:rPr>
          <w:rFonts w:hint="eastAsia"/>
          <w:b/>
          <w:bCs/>
          <w:sz w:val="32"/>
          <w:szCs w:val="32"/>
          <w:highlight w:val="none"/>
        </w:rPr>
      </w:pPr>
      <w:r>
        <w:rPr>
          <w:rFonts w:hint="eastAsia"/>
          <w:b/>
          <w:bCs/>
          <w:sz w:val="32"/>
          <w:szCs w:val="32"/>
          <w:highlight w:val="none"/>
        </w:rPr>
        <w:t>最后报价表</w:t>
      </w:r>
    </w:p>
    <w:p>
      <w:pPr>
        <w:snapToGrid w:val="0"/>
        <w:spacing w:before="50" w:after="50" w:line="360" w:lineRule="auto"/>
        <w:rPr>
          <w:rFonts w:hint="eastAsia"/>
          <w:sz w:val="24"/>
          <w:highlight w:val="none"/>
        </w:rPr>
      </w:pPr>
    </w:p>
    <w:p>
      <w:pPr>
        <w:snapToGrid w:val="0"/>
        <w:spacing w:before="50" w:after="50" w:line="360" w:lineRule="auto"/>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before="50" w:after="50" w:line="360" w:lineRule="auto"/>
        <w:rPr>
          <w:rFonts w:hint="eastAsia"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contextualSpacing/>
        <w:rPr>
          <w:rFonts w:hint="eastAsia" w:ascii="宋体" w:hAnsi="宋体" w:cs="宋体"/>
          <w:sz w:val="24"/>
          <w:highlight w:val="none"/>
          <w:u w:val="singl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szCs w:val="22"/>
                <w:highlight w:val="none"/>
              </w:rPr>
              <w:t>标的的名称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数量</w:t>
            </w:r>
            <w:r>
              <w:rPr>
                <w:rFonts w:hint="eastAsia"/>
                <w:highlight w:val="none"/>
              </w:rPr>
              <w:t>及单位</w:t>
            </w:r>
            <w:r>
              <w:rPr>
                <w:rFonts w:hint="eastAsia" w:ascii="宋体" w:hAnsi="宋体" w:cs="宋体"/>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szCs w:val="22"/>
                <w:highlight w:val="none"/>
              </w:rPr>
              <w:t>单项合价（元）</w:t>
            </w:r>
          </w:p>
          <w:p>
            <w:pPr>
              <w:rPr>
                <w:rFonts w:hint="eastAsia" w:ascii="宋体" w:hAnsi="宋体" w:cs="宋体"/>
                <w:szCs w:val="22"/>
                <w:highlight w:val="none"/>
              </w:rPr>
            </w:pPr>
            <w:r>
              <w:rPr>
                <w:rFonts w:hint="eastAsia" w:ascii="宋体" w:hAnsi="宋体" w:cs="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2"/>
                <w:highlight w:val="none"/>
              </w:rPr>
            </w:pPr>
            <w:r>
              <w:rPr>
                <w:rFonts w:hint="eastAsia" w:ascii="宋体" w:hAnsi="宋体" w:cs="宋体"/>
                <w:szCs w:val="22"/>
                <w:highlight w:val="none"/>
              </w:rPr>
              <w:t>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highlight w:val="none"/>
              </w:rPr>
            </w:pPr>
            <w:r>
              <w:rPr>
                <w:rFonts w:hint="eastAsia" w:ascii="宋体" w:hAnsi="宋体" w:cs="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szCs w:val="22"/>
                <w:highlight w:val="none"/>
              </w:rPr>
              <w:t>202</w:t>
            </w:r>
            <w:r>
              <w:rPr>
                <w:rFonts w:hint="eastAsia" w:ascii="宋体" w:hAnsi="宋体" w:cs="宋体"/>
                <w:szCs w:val="22"/>
                <w:highlight w:val="none"/>
                <w:lang w:val="en-US" w:eastAsia="zh-CN"/>
              </w:rPr>
              <w:t>5</w:t>
            </w:r>
            <w:r>
              <w:rPr>
                <w:rFonts w:hint="eastAsia" w:ascii="宋体" w:hAnsi="宋体" w:cs="宋体"/>
                <w:szCs w:val="22"/>
                <w:highlight w:val="none"/>
              </w:rPr>
              <w:t>年网络安全保障服务采购项目</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kern w:val="0"/>
                <w:sz w:val="20"/>
                <w:szCs w:val="21"/>
                <w:highlight w:val="none"/>
              </w:rPr>
              <w:t>竞标总报价</w:t>
            </w:r>
            <w:r>
              <w:rPr>
                <w:rFonts w:hint="eastAsia" w:ascii="宋体" w:hAnsi="宋体" w:cs="宋体"/>
                <w:szCs w:val="22"/>
                <w:highlight w:val="none"/>
              </w:rPr>
              <w:t>（包含税费等所有费用）：</w:t>
            </w:r>
            <w:r>
              <w:rPr>
                <w:rFonts w:hint="eastAsia" w:ascii="宋体" w:hAnsi="宋体" w:cs="宋体"/>
                <w:szCs w:val="22"/>
                <w:highlight w:val="none"/>
                <w:u w:val="single"/>
              </w:rPr>
              <w:t xml:space="preserve">（大写）人民币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highlight w:val="none"/>
              </w:rPr>
            </w:pPr>
            <w:r>
              <w:rPr>
                <w:rFonts w:hint="eastAsia" w:ascii="宋体" w:hAnsi="宋体" w:cs="宋体"/>
                <w:sz w:val="24"/>
                <w:highlight w:val="none"/>
              </w:rPr>
              <w:t>针对本项目设立</w:t>
            </w:r>
            <w:r>
              <w:rPr>
                <w:rFonts w:hint="eastAsia" w:ascii="宋体" w:hAnsi="宋体" w:cs="宋体"/>
                <w:sz w:val="24"/>
                <w:highlight w:val="none"/>
                <w:u w:val="single"/>
              </w:rPr>
              <w:t xml:space="preserve">    </w:t>
            </w:r>
            <w:r>
              <w:rPr>
                <w:rFonts w:hint="eastAsia" w:ascii="宋体" w:hAnsi="宋体" w:cs="宋体"/>
                <w:sz w:val="24"/>
                <w:highlight w:val="none"/>
              </w:rPr>
              <w:t>人的技术服务组，按要求</w:t>
            </w:r>
            <w:r>
              <w:rPr>
                <w:rFonts w:hint="eastAsia" w:ascii="宋体" w:hAnsi="宋体" w:cs="宋体"/>
                <w:sz w:val="24"/>
                <w:highlight w:val="none"/>
                <w:u w:val="single"/>
              </w:rPr>
              <w:t xml:space="preserve">    </w:t>
            </w:r>
            <w:r>
              <w:rPr>
                <w:rFonts w:hint="eastAsia" w:ascii="宋体" w:hAnsi="宋体" w:cs="宋体"/>
                <w:sz w:val="24"/>
                <w:highlight w:val="none"/>
              </w:rPr>
              <w:t>名服务工程师驻场服务。</w:t>
            </w:r>
          </w:p>
          <w:p>
            <w:pPr>
              <w:rPr>
                <w:rFonts w:hint="eastAsia" w:ascii="宋体" w:hAnsi="宋体" w:cs="宋体"/>
                <w:szCs w:val="22"/>
                <w:highlight w:val="none"/>
              </w:rPr>
            </w:pPr>
            <w:r>
              <w:rPr>
                <w:rFonts w:hint="eastAsia" w:ascii="宋体" w:hAnsi="宋体" w:eastAsia="宋体" w:cs="宋体"/>
                <w:szCs w:val="22"/>
                <w:highlight w:val="none"/>
              </w:rPr>
              <w:t>优惠及其它：（如没有填写无）</w:t>
            </w:r>
          </w:p>
        </w:tc>
      </w:tr>
    </w:tbl>
    <w:p>
      <w:pPr>
        <w:pStyle w:val="20"/>
        <w:rPr>
          <w:rFonts w:hint="eastAsia" w:ascii="宋体" w:hAnsi="宋体" w:cs="宋体"/>
          <w:sz w:val="21"/>
          <w:szCs w:val="21"/>
          <w:highlight w:val="none"/>
          <w:lang w:val="zh-CN"/>
        </w:rPr>
      </w:pPr>
    </w:p>
    <w:p>
      <w:pPr>
        <w:pStyle w:val="20"/>
        <w:rPr>
          <w:rFonts w:hint="eastAsia" w:ascii="宋体" w:hAnsi="宋体" w:cs="宋体"/>
          <w:sz w:val="21"/>
          <w:szCs w:val="21"/>
          <w:highlight w:val="none"/>
          <w:lang w:val="zh-CN"/>
        </w:rPr>
      </w:pPr>
    </w:p>
    <w:p>
      <w:pPr>
        <w:pStyle w:val="13"/>
        <w:rPr>
          <w:rFonts w:hint="eastAsia" w:ascii="宋体" w:hAnsi="宋体" w:cs="宋体"/>
          <w:highlight w:val="none"/>
        </w:rPr>
      </w:pPr>
    </w:p>
    <w:p>
      <w:pPr>
        <w:autoSpaceDE w:val="0"/>
        <w:autoSpaceDN w:val="0"/>
        <w:spacing w:line="360" w:lineRule="auto"/>
        <w:ind w:firstLine="4560" w:firstLineChars="1900"/>
        <w:rPr>
          <w:rFonts w:hint="eastAsia" w:ascii="宋体" w:hAnsi="宋体" w:cs="宋体"/>
          <w:kern w:val="0"/>
          <w:sz w:val="24"/>
          <w:highlight w:val="none"/>
        </w:rPr>
      </w:pPr>
      <w:r>
        <w:rPr>
          <w:rFonts w:hint="eastAsia" w:ascii="宋体" w:hAnsi="宋体" w:cs="宋体"/>
          <w:kern w:val="0"/>
          <w:sz w:val="24"/>
          <w:highlight w:val="none"/>
        </w:rPr>
        <w:t>供应商名称（盖公章）：</w:t>
      </w:r>
    </w:p>
    <w:p>
      <w:pPr>
        <w:spacing w:line="500" w:lineRule="exact"/>
        <w:ind w:firstLine="6360" w:firstLineChars="2650"/>
        <w:rPr>
          <w:rFonts w:hint="eastAsia" w:ascii="宋体" w:hAnsi="宋体" w:cs="宋体"/>
          <w:sz w:val="24"/>
          <w:highlight w:val="none"/>
          <w:lang w:val="zh-CN"/>
        </w:rPr>
        <w:sectPr>
          <w:pgSz w:w="11911" w:h="16838"/>
          <w:pgMar w:top="1134" w:right="1134" w:bottom="1134" w:left="1134" w:header="720" w:footer="720" w:gutter="0"/>
          <w:cols w:space="720" w:num="1"/>
        </w:sectPr>
      </w:pPr>
      <w:r>
        <w:rPr>
          <w:rFonts w:hint="eastAsia" w:ascii="宋体" w:hAnsi="宋体" w:cs="宋体"/>
          <w:kern w:val="0"/>
          <w:sz w:val="24"/>
          <w:szCs w:val="21"/>
          <w:highlight w:val="none"/>
          <w:lang w:val="zh-CN"/>
        </w:rPr>
        <w:t>日期：  年  月   日</w:t>
      </w:r>
    </w:p>
    <w:p>
      <w:pPr>
        <w:pStyle w:val="3"/>
        <w:jc w:val="center"/>
        <w:rPr>
          <w:rFonts w:ascii="宋体" w:hAnsi="宋体"/>
          <w:b w:val="0"/>
          <w:highlight w:val="none"/>
        </w:rPr>
      </w:pPr>
      <w:bookmarkStart w:id="145" w:name="_Toc13936"/>
      <w:bookmarkStart w:id="146" w:name="_Toc18482"/>
      <w:bookmarkStart w:id="147" w:name="_Toc80886946"/>
      <w:bookmarkStart w:id="148" w:name="_Toc80205942"/>
      <w:r>
        <w:rPr>
          <w:rFonts w:hint="eastAsia" w:ascii="宋体" w:hAnsi="宋体"/>
          <w:highlight w:val="none"/>
        </w:rPr>
        <w:t>第四节 其他文书、文件格式</w:t>
      </w:r>
      <w:bookmarkEnd w:id="145"/>
      <w:bookmarkEnd w:id="146"/>
      <w:bookmarkEnd w:id="147"/>
      <w:bookmarkEnd w:id="148"/>
    </w:p>
    <w:p>
      <w:pPr>
        <w:spacing w:line="500" w:lineRule="exact"/>
        <w:rPr>
          <w:rFonts w:hint="eastAsia" w:ascii="宋体" w:hAnsi="宋体" w:cs="宋体"/>
          <w:b/>
          <w:sz w:val="30"/>
          <w:szCs w:val="30"/>
          <w:highlight w:val="none"/>
          <w:lang w:val="zh-CN"/>
        </w:rPr>
      </w:pPr>
      <w:r>
        <w:rPr>
          <w:rFonts w:hint="eastAsia" w:ascii="宋体" w:hAnsi="宋体" w:cs="宋体"/>
          <w:b/>
          <w:sz w:val="30"/>
          <w:szCs w:val="30"/>
          <w:highlight w:val="none"/>
        </w:rPr>
        <w:t>1.</w:t>
      </w:r>
      <w:r>
        <w:rPr>
          <w:rFonts w:hint="eastAsia" w:ascii="宋体" w:hAnsi="宋体" w:cs="宋体"/>
          <w:b/>
          <w:sz w:val="30"/>
          <w:szCs w:val="30"/>
          <w:highlight w:val="none"/>
          <w:lang w:val="zh-CN"/>
        </w:rPr>
        <w:t>中小企业声明函的格式：</w:t>
      </w:r>
    </w:p>
    <w:p>
      <w:pPr>
        <w:pStyle w:val="20"/>
        <w:rPr>
          <w:rFonts w:hint="eastAsia" w:ascii="宋体" w:hAnsi="宋体" w:cs="宋体"/>
          <w:highlight w:val="none"/>
        </w:rPr>
      </w:pPr>
    </w:p>
    <w:p>
      <w:pPr>
        <w:spacing w:line="300" w:lineRule="auto"/>
        <w:ind w:firstLine="3520" w:firstLineChars="800"/>
        <w:rPr>
          <w:rFonts w:hint="eastAsia" w:ascii="宋体" w:hAnsi="宋体" w:cs="宋体"/>
          <w:sz w:val="44"/>
          <w:szCs w:val="44"/>
          <w:highlight w:val="none"/>
        </w:rPr>
      </w:pPr>
      <w:r>
        <w:rPr>
          <w:rFonts w:hint="eastAsia" w:ascii="宋体" w:hAnsi="宋体" w:cs="宋体"/>
          <w:sz w:val="44"/>
          <w:szCs w:val="44"/>
          <w:highlight w:val="none"/>
        </w:rPr>
        <w:t>中小企业声明函</w:t>
      </w:r>
    </w:p>
    <w:p>
      <w:pPr>
        <w:pStyle w:val="13"/>
        <w:spacing w:after="0" w:line="360" w:lineRule="auto"/>
        <w:ind w:left="-426" w:right="142" w:firstLine="640"/>
        <w:contextualSpacing/>
        <w:rPr>
          <w:rFonts w:hint="eastAsia" w:ascii="宋体" w:hAnsi="宋体" w:cs="宋体"/>
          <w:sz w:val="24"/>
          <w:highlight w:val="none"/>
        </w:rPr>
      </w:pPr>
    </w:p>
    <w:p>
      <w:pPr>
        <w:pStyle w:val="13"/>
        <w:spacing w:after="0" w:line="360" w:lineRule="auto"/>
        <w:ind w:left="-426" w:right="142" w:firstLine="640"/>
        <w:contextualSpacing/>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i/>
          <w:iCs/>
          <w:sz w:val="24"/>
          <w:highlight w:val="none"/>
          <w:u w:val="single"/>
        </w:rPr>
        <w:t>（单位名称）</w:t>
      </w:r>
      <w:r>
        <w:rPr>
          <w:rFonts w:hint="eastAsia" w:ascii="宋体" w:hAnsi="宋体" w:cs="宋体"/>
          <w:sz w:val="24"/>
          <w:highlight w:val="none"/>
        </w:rPr>
        <w:t>的</w:t>
      </w:r>
      <w:r>
        <w:rPr>
          <w:rFonts w:hint="eastAsia" w:ascii="宋体" w:hAnsi="宋体" w:cs="宋体"/>
          <w:i/>
          <w:iCs/>
          <w:sz w:val="24"/>
          <w:highlight w:val="none"/>
          <w:u w:val="single"/>
        </w:rPr>
        <w:t>（项目名称）</w:t>
      </w:r>
      <w:r>
        <w:rPr>
          <w:rFonts w:hint="eastAsia" w:ascii="宋体" w:hAnsi="宋体" w:cs="宋体"/>
          <w:sz w:val="24"/>
          <w:highlight w:val="none"/>
        </w:rPr>
        <w:t>采购活动，</w:t>
      </w:r>
      <w:r>
        <w:rPr>
          <w:rFonts w:hint="eastAsia" w:ascii="宋体" w:hAnsi="宋体" w:cs="宋体"/>
          <w:color w:val="000000"/>
          <w:kern w:val="0"/>
          <w:sz w:val="24"/>
          <w:highlight w:val="none"/>
        </w:rPr>
        <w:t>服务全部由符合政策要求的中小企业承接</w:t>
      </w:r>
      <w:r>
        <w:rPr>
          <w:rFonts w:hint="eastAsia" w:ascii="宋体" w:hAnsi="宋体" w:cs="宋体"/>
          <w:sz w:val="24"/>
          <w:highlight w:val="none"/>
        </w:rPr>
        <w:t>。相关企业（含联合体中的中小企业、签订分包意向协议的中小企业）的具体情况如下：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w:t>
      </w:r>
      <w:r>
        <w:rPr>
          <w:rFonts w:hint="eastAsia" w:ascii="宋体" w:hAnsi="宋体" w:cs="宋体"/>
          <w:i/>
          <w:iCs/>
          <w:sz w:val="24"/>
          <w:highlight w:val="none"/>
          <w:u w:val="single"/>
        </w:rPr>
        <w:t>标的名称</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w:t>
      </w:r>
      <w:r>
        <w:rPr>
          <w:rFonts w:hint="eastAsia" w:ascii="宋体" w:hAnsi="宋体" w:cs="宋体"/>
          <w:i/>
          <w:iCs/>
          <w:sz w:val="24"/>
          <w:highlight w:val="none"/>
          <w:u w:val="single"/>
        </w:rPr>
        <w:t>采购文件中明确的所属行业</w:t>
      </w:r>
      <w:r>
        <w:rPr>
          <w:rFonts w:hint="eastAsia" w:ascii="宋体" w:hAnsi="宋体" w:cs="宋体"/>
          <w:sz w:val="24"/>
          <w:highlight w:val="none"/>
          <w:u w:val="single"/>
        </w:rPr>
        <w:t>）</w:t>
      </w:r>
      <w:r>
        <w:rPr>
          <w:rFonts w:hint="eastAsia" w:ascii="宋体" w:hAnsi="宋体" w:cs="宋体"/>
          <w:sz w:val="24"/>
          <w:highlight w:val="none"/>
        </w:rPr>
        <w:t>；</w:t>
      </w:r>
      <w:r>
        <w:rPr>
          <w:rFonts w:hint="eastAsia" w:ascii="宋体" w:hAnsi="宋体" w:cs="宋体"/>
          <w:color w:val="000000"/>
          <w:kern w:val="0"/>
          <w:sz w:val="24"/>
          <w:highlight w:val="none"/>
        </w:rPr>
        <w:t>承建（承接）企业</w:t>
      </w:r>
      <w:r>
        <w:rPr>
          <w:rFonts w:hint="eastAsia" w:ascii="宋体" w:hAnsi="宋体" w:cs="宋体"/>
          <w:sz w:val="24"/>
          <w:highlight w:val="none"/>
        </w:rPr>
        <w:t>为</w:t>
      </w:r>
      <w:r>
        <w:rPr>
          <w:rFonts w:hint="eastAsia" w:ascii="宋体" w:hAnsi="宋体" w:cs="宋体"/>
          <w:sz w:val="24"/>
          <w:highlight w:val="none"/>
          <w:u w:val="single"/>
        </w:rPr>
        <w:t>（</w:t>
      </w:r>
      <w:r>
        <w:rPr>
          <w:rFonts w:hint="eastAsia" w:ascii="宋体" w:hAnsi="宋体" w:cs="宋体"/>
          <w:i/>
          <w:iCs/>
          <w:sz w:val="24"/>
          <w:highlight w:val="none"/>
          <w:u w:val="single"/>
        </w:rPr>
        <w:t>企业名称</w:t>
      </w:r>
      <w:r>
        <w:rPr>
          <w:rFonts w:hint="eastAsia" w:ascii="宋体" w:hAnsi="宋体" w:cs="宋体"/>
          <w:sz w:val="24"/>
          <w:highlight w:val="none"/>
          <w:u w:val="single"/>
        </w:rPr>
        <w:t>）</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w:t>
      </w:r>
      <w:r>
        <w:rPr>
          <w:rFonts w:hint="eastAsia" w:ascii="宋体" w:hAnsi="宋体" w:cs="宋体"/>
          <w:i/>
          <w:iCs/>
          <w:sz w:val="24"/>
          <w:highlight w:val="none"/>
          <w:u w:val="single"/>
        </w:rPr>
        <w:t>中型企业、小型企业、微型企业</w:t>
      </w:r>
      <w:r>
        <w:rPr>
          <w:rFonts w:hint="eastAsia" w:ascii="宋体" w:hAnsi="宋体" w:cs="宋体"/>
          <w:sz w:val="24"/>
          <w:highlight w:val="none"/>
          <w:u w:val="single"/>
        </w:rPr>
        <w:t>）</w:t>
      </w:r>
      <w:r>
        <w:rPr>
          <w:rFonts w:hint="eastAsia" w:ascii="宋体" w:hAnsi="宋体" w:cs="宋体"/>
          <w:sz w:val="24"/>
          <w:highlight w:val="none"/>
        </w:rPr>
        <w:t>；</w:t>
      </w:r>
    </w:p>
    <w:p>
      <w:pPr>
        <w:tabs>
          <w:tab w:val="left" w:pos="1065"/>
          <w:tab w:val="left" w:pos="6477"/>
        </w:tabs>
        <w:spacing w:line="360" w:lineRule="auto"/>
        <w:ind w:left="-426" w:right="-58" w:firstLine="655"/>
        <w:contextualSpacing/>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w:t>
      </w:r>
      <w:r>
        <w:rPr>
          <w:rFonts w:hint="eastAsia" w:ascii="宋体" w:hAnsi="宋体" w:cs="宋体"/>
          <w:i/>
          <w:iCs/>
          <w:sz w:val="24"/>
          <w:highlight w:val="none"/>
          <w:u w:val="single"/>
        </w:rPr>
        <w:t>标的名称</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w:t>
      </w:r>
      <w:r>
        <w:rPr>
          <w:rFonts w:hint="eastAsia" w:ascii="宋体" w:hAnsi="宋体" w:cs="宋体"/>
          <w:i/>
          <w:iCs/>
          <w:sz w:val="24"/>
          <w:highlight w:val="none"/>
          <w:u w:val="single"/>
        </w:rPr>
        <w:t>采购文件中明确的所属行业</w:t>
      </w:r>
      <w:r>
        <w:rPr>
          <w:rFonts w:hint="eastAsia" w:ascii="宋体" w:hAnsi="宋体" w:cs="宋体"/>
          <w:sz w:val="24"/>
          <w:highlight w:val="none"/>
          <w:u w:val="single"/>
        </w:rPr>
        <w:t>）</w:t>
      </w:r>
      <w:r>
        <w:rPr>
          <w:rFonts w:hint="eastAsia" w:ascii="宋体" w:hAnsi="宋体" w:cs="宋体"/>
          <w:sz w:val="24"/>
          <w:highlight w:val="none"/>
        </w:rPr>
        <w:t>；</w:t>
      </w:r>
      <w:r>
        <w:rPr>
          <w:rFonts w:hint="eastAsia" w:ascii="宋体" w:hAnsi="宋体" w:cs="宋体"/>
          <w:color w:val="000000"/>
          <w:kern w:val="0"/>
          <w:sz w:val="24"/>
          <w:highlight w:val="none"/>
        </w:rPr>
        <w:t>承建（承接）企业</w:t>
      </w:r>
      <w:r>
        <w:rPr>
          <w:rFonts w:hint="eastAsia" w:ascii="宋体" w:hAnsi="宋体" w:cs="宋体"/>
          <w:sz w:val="24"/>
          <w:highlight w:val="none"/>
        </w:rPr>
        <w:t>为</w:t>
      </w:r>
      <w:r>
        <w:rPr>
          <w:rFonts w:hint="eastAsia" w:ascii="宋体" w:hAnsi="宋体" w:cs="宋体"/>
          <w:sz w:val="24"/>
          <w:highlight w:val="none"/>
          <w:u w:val="single"/>
        </w:rPr>
        <w:t>（</w:t>
      </w:r>
      <w:r>
        <w:rPr>
          <w:rFonts w:hint="eastAsia" w:ascii="宋体" w:hAnsi="宋体" w:cs="宋体"/>
          <w:i/>
          <w:iCs/>
          <w:sz w:val="24"/>
          <w:highlight w:val="none"/>
          <w:u w:val="single"/>
        </w:rPr>
        <w:t>企业名称</w:t>
      </w:r>
      <w:r>
        <w:rPr>
          <w:rFonts w:hint="eastAsia" w:ascii="宋体" w:hAnsi="宋体" w:cs="宋体"/>
          <w:sz w:val="24"/>
          <w:highlight w:val="none"/>
          <w:u w:val="single"/>
        </w:rPr>
        <w:t>）</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w:t>
      </w:r>
      <w:r>
        <w:rPr>
          <w:rFonts w:hint="eastAsia" w:ascii="宋体" w:hAnsi="宋体" w:cs="宋体"/>
          <w:i/>
          <w:iCs/>
          <w:sz w:val="24"/>
          <w:highlight w:val="none"/>
          <w:u w:val="single"/>
        </w:rPr>
        <w:t>中型企业、小型企业、微型企业</w:t>
      </w:r>
      <w:r>
        <w:rPr>
          <w:rFonts w:hint="eastAsia" w:ascii="宋体" w:hAnsi="宋体" w:cs="宋体"/>
          <w:sz w:val="24"/>
          <w:highlight w:val="none"/>
          <w:u w:val="single"/>
        </w:rPr>
        <w:t>）</w:t>
      </w:r>
      <w:r>
        <w:rPr>
          <w:rFonts w:hint="eastAsia" w:ascii="宋体" w:hAnsi="宋体" w:cs="宋体"/>
          <w:sz w:val="24"/>
          <w:highlight w:val="none"/>
        </w:rPr>
        <w:t>；</w:t>
      </w:r>
    </w:p>
    <w:p>
      <w:pPr>
        <w:pStyle w:val="13"/>
        <w:spacing w:after="0" w:line="360" w:lineRule="auto"/>
        <w:ind w:left="142" w:right="142"/>
        <w:contextualSpacing/>
        <w:rPr>
          <w:rFonts w:hint="eastAsia" w:ascii="宋体" w:hAnsi="宋体" w:cs="宋体"/>
          <w:sz w:val="24"/>
          <w:highlight w:val="none"/>
        </w:rPr>
      </w:pPr>
      <w:r>
        <w:rPr>
          <w:rFonts w:hint="eastAsia" w:ascii="宋体" w:hAnsi="宋体" w:cs="宋体"/>
          <w:sz w:val="24"/>
          <w:highlight w:val="none"/>
        </w:rPr>
        <w:t xml:space="preserve">…… </w:t>
      </w:r>
    </w:p>
    <w:p>
      <w:pPr>
        <w:pStyle w:val="13"/>
        <w:spacing w:after="0" w:line="360" w:lineRule="auto"/>
        <w:ind w:left="-405" w:leftChars="-193" w:right="142" w:firstLine="453" w:firstLineChars="189"/>
        <w:contextualSpacing/>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pStyle w:val="13"/>
        <w:spacing w:after="0" w:line="360" w:lineRule="auto"/>
        <w:ind w:left="-426" w:right="142" w:firstLine="567"/>
        <w:contextualSpacing/>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pStyle w:val="13"/>
        <w:spacing w:after="0" w:line="360" w:lineRule="auto"/>
        <w:ind w:left="3960" w:right="1808"/>
        <w:contextualSpacing/>
        <w:rPr>
          <w:rFonts w:hint="eastAsia" w:ascii="宋体" w:hAnsi="宋体" w:cs="宋体"/>
          <w:sz w:val="24"/>
          <w:highlight w:val="none"/>
        </w:rPr>
      </w:pPr>
    </w:p>
    <w:p>
      <w:pPr>
        <w:autoSpaceDE w:val="0"/>
        <w:autoSpaceDN w:val="0"/>
        <w:spacing w:line="360" w:lineRule="auto"/>
        <w:ind w:left="4335" w:leftChars="1950" w:hanging="240" w:hangingChars="100"/>
        <w:rPr>
          <w:rFonts w:hint="eastAsia" w:ascii="宋体" w:hAnsi="宋体" w:cs="宋体"/>
          <w:kern w:val="0"/>
          <w:sz w:val="24"/>
          <w:highlight w:val="none"/>
        </w:rPr>
      </w:pPr>
      <w:r>
        <w:rPr>
          <w:rFonts w:hint="eastAsia" w:ascii="宋体" w:hAnsi="宋体" w:cs="宋体"/>
          <w:kern w:val="0"/>
          <w:sz w:val="24"/>
          <w:highlight w:val="none"/>
        </w:rPr>
        <w:t>供应商名称（盖公章）：</w:t>
      </w:r>
    </w:p>
    <w:p>
      <w:pPr>
        <w:autoSpaceDE w:val="0"/>
        <w:autoSpaceDN w:val="0"/>
        <w:spacing w:line="360" w:lineRule="auto"/>
        <w:ind w:firstLine="6480" w:firstLineChars="2700"/>
        <w:rPr>
          <w:rFonts w:hint="eastAsia" w:ascii="宋体" w:hAnsi="宋体" w:cs="宋体"/>
          <w:kern w:val="0"/>
          <w:sz w:val="24"/>
          <w:highlight w:val="none"/>
          <w:lang w:val="zh-CN"/>
        </w:rPr>
      </w:pPr>
      <w:r>
        <w:rPr>
          <w:rFonts w:hint="eastAsia" w:ascii="宋体" w:hAnsi="宋体" w:cs="宋体"/>
          <w:kern w:val="0"/>
          <w:sz w:val="24"/>
          <w:highlight w:val="none"/>
          <w:lang w:val="zh-CN"/>
        </w:rPr>
        <w:t>日期：  年  月   日</w:t>
      </w:r>
    </w:p>
    <w:p>
      <w:pPr>
        <w:pStyle w:val="13"/>
        <w:spacing w:after="0" w:line="360" w:lineRule="auto"/>
        <w:ind w:left="3960" w:right="1808"/>
        <w:contextualSpacing/>
        <w:rPr>
          <w:rFonts w:hint="eastAsia" w:ascii="宋体" w:hAnsi="宋体" w:cs="宋体"/>
          <w:highlight w:val="none"/>
        </w:rPr>
      </w:pPr>
    </w:p>
    <w:p>
      <w:pPr>
        <w:spacing w:line="360" w:lineRule="auto"/>
        <w:ind w:firstLine="480" w:firstLineChars="200"/>
        <w:contextualSpacing/>
        <w:jc w:val="left"/>
        <w:rPr>
          <w:rFonts w:hint="eastAsia" w:ascii="宋体" w:hAnsi="宋体" w:cs="宋体"/>
          <w:kern w:val="0"/>
          <w:sz w:val="24"/>
          <w:highlight w:val="none"/>
        </w:rPr>
      </w:pPr>
      <w:r>
        <w:rPr>
          <w:rFonts w:hint="eastAsia" w:ascii="宋体" w:hAnsi="宋体" w:cs="宋体"/>
          <w:sz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rFonts w:hint="eastAsia" w:ascii="宋体" w:hAnsi="宋体" w:cs="宋体"/>
          <w:b/>
          <w:bCs/>
          <w:sz w:val="32"/>
          <w:szCs w:val="32"/>
          <w:highlight w:val="none"/>
        </w:rPr>
        <w:sectPr>
          <w:pgSz w:w="11911" w:h="16838"/>
          <w:pgMar w:top="1134" w:right="1134" w:bottom="1134" w:left="1134" w:header="720" w:footer="720" w:gutter="0"/>
          <w:cols w:space="720" w:num="1"/>
        </w:sectPr>
      </w:pPr>
    </w:p>
    <w:p>
      <w:pPr>
        <w:spacing w:line="520" w:lineRule="exact"/>
        <w:rPr>
          <w:rFonts w:hint="eastAsia" w:hAnsi="宋体" w:cs="宋体"/>
          <w:b/>
          <w:sz w:val="28"/>
          <w:szCs w:val="28"/>
          <w:highlight w:val="none"/>
        </w:rPr>
      </w:pPr>
      <w:r>
        <w:rPr>
          <w:rFonts w:hint="eastAsia" w:ascii="宋体" w:hAnsi="宋体" w:cs="宋体"/>
          <w:b/>
          <w:sz w:val="28"/>
          <w:szCs w:val="28"/>
          <w:highlight w:val="none"/>
        </w:rPr>
        <w:t>2.</w:t>
      </w:r>
      <w:r>
        <w:rPr>
          <w:rFonts w:hint="eastAsia" w:hAnsi="宋体" w:cs="宋体"/>
          <w:b/>
          <w:sz w:val="28"/>
          <w:szCs w:val="28"/>
          <w:highlight w:val="none"/>
        </w:rPr>
        <w:t>残疾人福利性单位声明函的格式：</w:t>
      </w:r>
    </w:p>
    <w:p>
      <w:pPr>
        <w:pStyle w:val="20"/>
        <w:rPr>
          <w:highlight w:val="none"/>
        </w:rPr>
      </w:pPr>
    </w:p>
    <w:p>
      <w:pPr>
        <w:spacing w:line="520" w:lineRule="exact"/>
        <w:jc w:val="center"/>
        <w:rPr>
          <w:rFonts w:hint="eastAsia" w:ascii="方正小标宋简体" w:hAnsi="方正小标宋简体" w:eastAsia="方正小标宋简体" w:cs="方正小标宋简体"/>
          <w:sz w:val="44"/>
          <w:szCs w:val="44"/>
          <w:highlight w:val="none"/>
        </w:rPr>
      </w:pPr>
    </w:p>
    <w:p>
      <w:pPr>
        <w:spacing w:line="520" w:lineRule="exact"/>
        <w:jc w:val="center"/>
        <w:rPr>
          <w:rFonts w:hint="eastAsia" w:ascii="方正小标宋简体" w:hAnsi="方正小标宋简体" w:eastAsia="方正小标宋简体" w:cs="方正小标宋简体"/>
          <w:sz w:val="44"/>
          <w:szCs w:val="44"/>
          <w:highlight w:val="none"/>
        </w:rPr>
      </w:pPr>
    </w:p>
    <w:p>
      <w:pPr>
        <w:spacing w:line="520" w:lineRule="exact"/>
        <w:jc w:val="center"/>
        <w:rPr>
          <w:rFonts w:hint="eastAsia" w:ascii="宋体" w:hAnsi="宋体" w:cs="宋体"/>
          <w:b/>
          <w:bCs/>
          <w:sz w:val="36"/>
          <w:szCs w:val="36"/>
          <w:highlight w:val="none"/>
        </w:rPr>
      </w:pPr>
      <w:r>
        <w:rPr>
          <w:rFonts w:hint="eastAsia" w:ascii="宋体" w:hAnsi="宋体" w:cs="宋体"/>
          <w:b/>
          <w:bCs/>
          <w:sz w:val="36"/>
          <w:szCs w:val="36"/>
          <w:highlight w:val="none"/>
        </w:rPr>
        <w:t>残疾人福利性单位声明函</w:t>
      </w:r>
    </w:p>
    <w:p>
      <w:pPr>
        <w:spacing w:line="520" w:lineRule="exact"/>
        <w:rPr>
          <w:rFonts w:hint="eastAsia" w:ascii="宋体" w:hAnsi="宋体" w:cs="宋体"/>
          <w:sz w:val="32"/>
          <w:szCs w:val="32"/>
          <w:highlight w:val="none"/>
        </w:rPr>
      </w:pPr>
    </w:p>
    <w:p>
      <w:pPr>
        <w:spacing w:line="360" w:lineRule="auto"/>
        <w:ind w:firstLine="480" w:firstLineChars="200"/>
        <w:contextualSpacing/>
        <w:rPr>
          <w:rFonts w:hint="eastAsia" w:ascii="宋体" w:hAnsi="宋体" w:cs="宋体"/>
          <w:sz w:val="24"/>
          <w:highlight w:val="none"/>
        </w:rPr>
      </w:pP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contextualSpacing/>
        <w:rPr>
          <w:rFonts w:hint="eastAsia" w:ascii="宋体" w:hAnsi="宋体" w:cs="宋体"/>
          <w:sz w:val="24"/>
          <w:highlight w:val="none"/>
        </w:rPr>
      </w:pPr>
    </w:p>
    <w:p>
      <w:pPr>
        <w:spacing w:line="360" w:lineRule="auto"/>
        <w:contextualSpacing/>
        <w:rPr>
          <w:rFonts w:hint="eastAsia" w:ascii="宋体" w:hAnsi="宋体" w:cs="宋体"/>
          <w:sz w:val="24"/>
          <w:highlight w:val="none"/>
        </w:rPr>
      </w:pPr>
    </w:p>
    <w:p>
      <w:pPr>
        <w:spacing w:line="360" w:lineRule="auto"/>
        <w:contextualSpacing/>
        <w:rPr>
          <w:rFonts w:hint="eastAsia" w:ascii="宋体" w:hAnsi="宋体" w:cs="宋体"/>
          <w:sz w:val="24"/>
          <w:highlight w:val="none"/>
        </w:rPr>
      </w:pPr>
    </w:p>
    <w:p>
      <w:pPr>
        <w:spacing w:line="360" w:lineRule="auto"/>
        <w:ind w:firstLine="2400" w:firstLineChars="1000"/>
        <w:contextualSpacing/>
        <w:rPr>
          <w:rFonts w:hint="eastAsia" w:ascii="宋体" w:hAnsi="宋体" w:cs="宋体"/>
          <w:sz w:val="24"/>
          <w:highlight w:val="none"/>
        </w:rPr>
      </w:pPr>
      <w:r>
        <w:rPr>
          <w:rFonts w:hint="eastAsia" w:ascii="宋体" w:hAnsi="宋体" w:cs="宋体"/>
          <w:sz w:val="24"/>
          <w:highlight w:val="none"/>
        </w:rPr>
        <w:t>供应商名称（盖公章）：</w:t>
      </w:r>
    </w:p>
    <w:p>
      <w:pPr>
        <w:spacing w:line="360" w:lineRule="auto"/>
        <w:ind w:firstLine="4320" w:firstLineChars="1800"/>
        <w:contextualSpacing/>
        <w:rPr>
          <w:rFonts w:hint="eastAsia" w:ascii="宋体" w:hAnsi="宋体" w:cs="宋体"/>
          <w:sz w:val="24"/>
          <w:highlight w:val="none"/>
        </w:rPr>
      </w:pPr>
      <w:r>
        <w:rPr>
          <w:rFonts w:hint="eastAsia" w:ascii="宋体" w:hAnsi="宋体" w:cs="宋体"/>
          <w:sz w:val="24"/>
          <w:highlight w:val="none"/>
        </w:rPr>
        <w:t>日  期：     年   月   日</w:t>
      </w:r>
    </w:p>
    <w:p>
      <w:pPr>
        <w:spacing w:line="360" w:lineRule="auto"/>
        <w:contextualSpacing/>
        <w:rPr>
          <w:rFonts w:hint="eastAsia" w:ascii="宋体" w:hAnsi="宋体" w:cs="宋体"/>
          <w:sz w:val="24"/>
          <w:highlight w:val="none"/>
        </w:rPr>
      </w:pPr>
    </w:p>
    <w:p>
      <w:pPr>
        <w:spacing w:line="360" w:lineRule="auto"/>
        <w:contextualSpacing/>
        <w:rPr>
          <w:rFonts w:hint="eastAsia" w:ascii="宋体" w:hAnsi="宋体" w:cs="宋体"/>
          <w:sz w:val="24"/>
          <w:highlight w:val="none"/>
        </w:rPr>
      </w:pPr>
    </w:p>
    <w:p>
      <w:pPr>
        <w:spacing w:line="360" w:lineRule="auto"/>
        <w:contextualSpacing/>
        <w:rPr>
          <w:rFonts w:hint="eastAsia" w:ascii="宋体" w:hAnsi="宋体" w:cs="宋体"/>
          <w:sz w:val="24"/>
          <w:highlight w:val="none"/>
        </w:rPr>
      </w:pP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hint="eastAsia" w:ascii="宋体" w:hAnsi="宋体" w:cs="宋体"/>
          <w:color w:val="000000"/>
          <w:kern w:val="0"/>
          <w:sz w:val="28"/>
          <w:szCs w:val="28"/>
          <w:highlight w:val="none"/>
        </w:rPr>
      </w:pPr>
      <w:r>
        <w:rPr>
          <w:rFonts w:hint="eastAsia" w:ascii="宋体" w:hAnsi="宋体" w:cs="宋体"/>
          <w:sz w:val="24"/>
          <w:highlight w:val="none"/>
        </w:rPr>
        <w:br w:type="page"/>
      </w:r>
      <w:r>
        <w:rPr>
          <w:rFonts w:hint="eastAsia" w:ascii="宋体" w:hAnsi="宋体" w:cs="宋体"/>
          <w:sz w:val="28"/>
          <w:szCs w:val="28"/>
          <w:highlight w:val="none"/>
        </w:rPr>
        <w:t>3.</w:t>
      </w:r>
      <w:r>
        <w:rPr>
          <w:rFonts w:hint="eastAsia" w:ascii="宋体" w:hAnsi="宋体" w:cs="宋体"/>
          <w:color w:val="000000"/>
          <w:kern w:val="0"/>
          <w:sz w:val="28"/>
          <w:szCs w:val="28"/>
          <w:highlight w:val="none"/>
        </w:rPr>
        <w:t>广西壮族自治区政府采购项目合同验收书的格式：</w:t>
      </w:r>
    </w:p>
    <w:p>
      <w:pPr>
        <w:spacing w:line="360" w:lineRule="auto"/>
        <w:ind w:firstLine="480" w:firstLineChars="200"/>
        <w:contextualSpacing/>
        <w:rPr>
          <w:rFonts w:cs="仿宋_GB2312"/>
          <w:sz w:val="24"/>
          <w:highlight w:val="none"/>
        </w:rPr>
      </w:pPr>
    </w:p>
    <w:p>
      <w:pPr>
        <w:widowControl/>
        <w:shd w:val="clear" w:color="auto" w:fill="FFFFFF"/>
        <w:spacing w:line="480" w:lineRule="atLeast"/>
        <w:jc w:val="center"/>
        <w:rPr>
          <w:rFonts w:hint="eastAsia" w:ascii="仿宋" w:hAnsi="仿宋" w:eastAsia="仿宋" w:cs="宋体"/>
          <w:color w:val="000000"/>
          <w:kern w:val="0"/>
          <w:sz w:val="32"/>
          <w:szCs w:val="32"/>
          <w:highlight w:val="none"/>
        </w:rPr>
      </w:pPr>
      <w:r>
        <w:rPr>
          <w:rFonts w:hint="eastAsia" w:ascii="宋体" w:hAnsi="宋体" w:cs="宋体"/>
          <w:b/>
          <w:bCs/>
          <w:color w:val="000000"/>
          <w:kern w:val="0"/>
          <w:sz w:val="32"/>
          <w:szCs w:val="32"/>
          <w:highlight w:val="none"/>
        </w:rPr>
        <w:t>广西壮族自治区政府采购项目合同验收书</w:t>
      </w:r>
    </w:p>
    <w:p>
      <w:pPr>
        <w:widowControl/>
        <w:shd w:val="clear" w:color="auto" w:fill="FFFFFF"/>
        <w:spacing w:line="480" w:lineRule="atLeast"/>
        <w:jc w:val="center"/>
        <w:rPr>
          <w:rFonts w:hint="eastAsia" w:ascii="仿宋" w:hAnsi="仿宋" w:eastAsia="仿宋" w:cs="宋体"/>
          <w:color w:val="000000"/>
          <w:kern w:val="0"/>
          <w:sz w:val="32"/>
          <w:szCs w:val="32"/>
          <w:highlight w:val="none"/>
        </w:rPr>
      </w:pPr>
    </w:p>
    <w:p>
      <w:pPr>
        <w:widowControl/>
        <w:shd w:val="clear" w:color="auto" w:fill="FFFFFF"/>
        <w:snapToGrid w:val="0"/>
        <w:spacing w:line="320" w:lineRule="atLeast"/>
        <w:ind w:firstLine="480"/>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根据政府采购项目（</w:t>
      </w:r>
      <w:r>
        <w:rPr>
          <w:rFonts w:hint="eastAsia" w:ascii="仿宋" w:hAnsi="仿宋" w:eastAsia="仿宋" w:cs="宋体"/>
          <w:color w:val="000000"/>
          <w:kern w:val="0"/>
          <w:szCs w:val="21"/>
          <w:highlight w:val="none"/>
          <w:u w:val="single"/>
        </w:rPr>
        <w:t>采购合同编号：</w:t>
      </w:r>
      <w:r>
        <w:rPr>
          <w:rFonts w:hint="eastAsia" w:ascii="仿宋" w:hAnsi="仿宋" w:eastAsia="仿宋" w:cs="宋体"/>
          <w:color w:val="000000"/>
          <w:kern w:val="0"/>
          <w:szCs w:val="21"/>
          <w:highlight w:val="none"/>
          <w:u w:val="single"/>
        </w:rPr>
        <w:softHyphen/>
      </w:r>
      <w:r>
        <w:rPr>
          <w:rFonts w:hint="eastAsia" w:ascii="仿宋" w:hAnsi="仿宋" w:eastAsia="仿宋" w:cs="宋体"/>
          <w:color w:val="000000"/>
          <w:kern w:val="0"/>
          <w:szCs w:val="21"/>
          <w:highlight w:val="none"/>
          <w:u w:val="single"/>
        </w:rPr>
        <w:t xml:space="preserve"> </w:t>
      </w:r>
      <w:r>
        <w:rPr>
          <w:rFonts w:hint="eastAsia" w:ascii="仿宋" w:hAnsi="仿宋" w:eastAsia="仿宋" w:cs="宋体"/>
          <w:color w:val="000000"/>
          <w:kern w:val="0"/>
          <w:szCs w:val="21"/>
          <w:highlight w:val="none"/>
        </w:rPr>
        <w:t>）的约定，我单位对（</w:t>
      </w:r>
      <w:r>
        <w:rPr>
          <w:rFonts w:hint="eastAsia" w:ascii="仿宋" w:hAnsi="仿宋" w:eastAsia="仿宋" w:cs="宋体"/>
          <w:color w:val="000000"/>
          <w:kern w:val="0"/>
          <w:szCs w:val="21"/>
          <w:highlight w:val="none"/>
          <w:u w:val="single"/>
        </w:rPr>
        <w:t xml:space="preserve"> 项目名称 </w:t>
      </w:r>
      <w:r>
        <w:rPr>
          <w:rFonts w:hint="eastAsia" w:ascii="仿宋" w:hAnsi="仿宋" w:eastAsia="仿宋" w:cs="宋体"/>
          <w:color w:val="000000"/>
          <w:kern w:val="0"/>
          <w:szCs w:val="21"/>
          <w:highlight w:val="none"/>
        </w:rPr>
        <w:t>） 政府采购项目成交供应商（</w:t>
      </w:r>
      <w:r>
        <w:rPr>
          <w:rFonts w:hint="eastAsia" w:ascii="仿宋" w:hAnsi="仿宋" w:eastAsia="仿宋" w:cs="宋体"/>
          <w:color w:val="000000"/>
          <w:kern w:val="0"/>
          <w:szCs w:val="21"/>
          <w:highlight w:val="none"/>
          <w:u w:val="single"/>
        </w:rPr>
        <w:t xml:space="preserve"> 公司名称 </w:t>
      </w:r>
      <w:r>
        <w:rPr>
          <w:rFonts w:hint="eastAsia" w:ascii="仿宋" w:hAnsi="仿宋" w:eastAsia="仿宋" w:cs="宋体"/>
          <w:color w:val="000000"/>
          <w:kern w:val="0"/>
          <w:szCs w:val="21"/>
          <w:highlight w:val="none"/>
        </w:rPr>
        <w:t>） 提供的货物（或者工程、服务）进行了验收，验收情况如下：</w:t>
      </w:r>
    </w:p>
    <w:tbl>
      <w:tblPr>
        <w:tblStyle w:val="29"/>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kern w:val="0"/>
                <w:szCs w:val="21"/>
                <w:highlight w:val="none"/>
              </w:rPr>
            </w:pPr>
            <w:r>
              <w:rPr>
                <w:rFonts w:ascii="Verdana" w:hAnsi="Verdana" w:cs="宋体"/>
                <w:color w:val="000000"/>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000000"/>
                <w:kern w:val="0"/>
                <w:szCs w:val="21"/>
                <w:highlight w:val="none"/>
              </w:rPr>
            </w:pPr>
            <w:r>
              <w:rPr>
                <w:rFonts w:hint="eastAsia" w:ascii="宋体" w:hAnsi="宋体" w:cs="宋体"/>
                <w:color w:val="000000"/>
                <w:kern w:val="0"/>
                <w:szCs w:val="21"/>
                <w:highlight w:val="none"/>
              </w:rPr>
              <w:t>□</w:t>
            </w:r>
            <w:r>
              <w:rPr>
                <w:rFonts w:ascii="Verdana" w:hAnsi="Verdana" w:cs="宋体"/>
                <w:color w:val="000000"/>
                <w:kern w:val="0"/>
                <w:szCs w:val="21"/>
                <w:highlight w:val="none"/>
              </w:rPr>
              <w:t xml:space="preserve">自行验收 </w:t>
            </w:r>
            <w:r>
              <w:rPr>
                <w:rFonts w:hint="eastAsia" w:ascii="宋体" w:hAnsi="宋体" w:cs="宋体"/>
                <w:color w:val="000000"/>
                <w:kern w:val="0"/>
                <w:szCs w:val="21"/>
                <w:highlight w:val="none"/>
              </w:rPr>
              <w:t>□</w:t>
            </w:r>
            <w:r>
              <w:rPr>
                <w:rFonts w:ascii="Verdana" w:hAnsi="Verdana" w:cs="宋体"/>
                <w:color w:val="000000"/>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000000"/>
                <w:kern w:val="0"/>
                <w:szCs w:val="21"/>
                <w:highlight w:val="none"/>
              </w:rPr>
            </w:pPr>
            <w:r>
              <w:rPr>
                <w:rFonts w:ascii="Verdana" w:hAnsi="Verdana" w:cs="宋体"/>
                <w:color w:val="000000"/>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kern w:val="0"/>
                <w:szCs w:val="21"/>
                <w:highlight w:val="none"/>
              </w:rPr>
            </w:pPr>
            <w:r>
              <w:rPr>
                <w:rFonts w:ascii="Verdana" w:hAnsi="Verdana" w:cs="宋体"/>
                <w:color w:val="000000"/>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 xml:space="preserve">合计大写金额：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仟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佰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拾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万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仟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佰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拾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000000"/>
                <w:kern w:val="0"/>
                <w:szCs w:val="21"/>
                <w:highlight w:val="none"/>
              </w:rPr>
            </w:pPr>
            <w:r>
              <w:rPr>
                <w:rFonts w:ascii="Verdana" w:hAnsi="Verdana" w:cs="宋体"/>
                <w:color w:val="000000"/>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000000"/>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监督人员或者</w:t>
            </w:r>
            <w:r>
              <w:rPr>
                <w:rFonts w:hint="eastAsia" w:ascii="Verdana" w:hAnsi="Verdana" w:cs="宋体"/>
                <w:color w:val="000000"/>
                <w:kern w:val="0"/>
                <w:szCs w:val="21"/>
                <w:highlight w:val="none"/>
              </w:rPr>
              <w:t>其他</w:t>
            </w:r>
            <w:r>
              <w:rPr>
                <w:rFonts w:ascii="Verdana" w:hAnsi="Verdana" w:cs="宋体"/>
                <w:color w:val="000000"/>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000000"/>
                <w:kern w:val="0"/>
                <w:szCs w:val="21"/>
                <w:highlight w:val="none"/>
              </w:rPr>
            </w:pPr>
            <w:r>
              <w:rPr>
                <w:rFonts w:ascii="Verdana" w:hAnsi="Verdana" w:cs="宋体"/>
                <w:color w:val="000000"/>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000000"/>
                <w:kern w:val="0"/>
                <w:szCs w:val="21"/>
                <w:highlight w:val="none"/>
              </w:rPr>
            </w:pPr>
          </w:p>
          <w:p>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联系电话：</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000000"/>
                <w:kern w:val="0"/>
                <w:szCs w:val="21"/>
                <w:highlight w:val="none"/>
              </w:rPr>
            </w:pPr>
            <w:r>
              <w:rPr>
                <w:rFonts w:ascii="Verdana" w:hAnsi="Verdana" w:cs="宋体"/>
                <w:color w:val="000000"/>
                <w:kern w:val="0"/>
                <w:szCs w:val="21"/>
                <w:highlight w:val="none"/>
              </w:rPr>
              <w:t>年</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 月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日</w:t>
            </w:r>
          </w:p>
        </w:tc>
        <w:tc>
          <w:tcPr>
            <w:tcW w:w="4293" w:type="dxa"/>
            <w:gridSpan w:val="4"/>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p>
          <w:p>
            <w:pPr>
              <w:widowControl/>
              <w:spacing w:before="100" w:beforeAutospacing="1" w:after="100" w:afterAutospacing="1" w:line="320" w:lineRule="atLeast"/>
              <w:ind w:firstLine="210" w:firstLineChars="100"/>
              <w:jc w:val="left"/>
              <w:rPr>
                <w:rFonts w:hint="eastAsia" w:ascii="Verdana" w:hAnsi="Verdana" w:cs="宋体"/>
                <w:color w:val="000000"/>
                <w:kern w:val="0"/>
                <w:szCs w:val="21"/>
                <w:highlight w:val="none"/>
              </w:rPr>
            </w:pPr>
            <w:r>
              <w:rPr>
                <w:rFonts w:ascii="Verdana" w:hAnsi="Verdana" w:cs="宋体"/>
                <w:color w:val="000000"/>
                <w:kern w:val="0"/>
                <w:szCs w:val="21"/>
                <w:highlight w:val="none"/>
              </w:rPr>
              <w:t>联系电话：</w:t>
            </w:r>
            <w:r>
              <w:rPr>
                <w:rFonts w:hint="eastAsia" w:ascii="Verdana" w:hAnsi="Verdana" w:cs="宋体"/>
                <w:color w:val="000000"/>
                <w:kern w:val="0"/>
                <w:szCs w:val="21"/>
                <w:highlight w:val="none"/>
              </w:rPr>
              <w:t xml:space="preserve">               </w:t>
            </w:r>
          </w:p>
          <w:p>
            <w:pPr>
              <w:widowControl/>
              <w:spacing w:before="100" w:beforeAutospacing="1" w:after="100" w:afterAutospacing="1" w:line="320" w:lineRule="atLeast"/>
              <w:ind w:firstLine="2310" w:firstLineChars="1100"/>
              <w:jc w:val="left"/>
              <w:rPr>
                <w:rFonts w:ascii="Verdana" w:hAnsi="Verdana" w:cs="宋体"/>
                <w:color w:val="000000"/>
                <w:kern w:val="0"/>
                <w:szCs w:val="21"/>
                <w:highlight w:val="none"/>
              </w:rPr>
            </w:pP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年</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 月</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 日</w:t>
            </w:r>
          </w:p>
        </w:tc>
      </w:tr>
    </w:tbl>
    <w:p>
      <w:pPr>
        <w:rPr>
          <w:rFonts w:hint="eastAsia" w:ascii="宋体" w:hAnsi="宋体" w:cs="宋体"/>
          <w:sz w:val="28"/>
          <w:szCs w:val="28"/>
          <w:highlight w:val="none"/>
        </w:rPr>
      </w:pPr>
      <w:r>
        <w:rPr>
          <w:rFonts w:hAnsi="宋体"/>
          <w:color w:val="000000"/>
          <w:highlight w:val="none"/>
        </w:rPr>
        <w:br w:type="page"/>
      </w:r>
      <w:r>
        <w:rPr>
          <w:rFonts w:hint="eastAsia" w:ascii="宋体" w:hAnsi="宋体" w:cs="宋体"/>
          <w:sz w:val="28"/>
          <w:szCs w:val="28"/>
          <w:highlight w:val="none"/>
        </w:rPr>
        <w:t>4.政府采购项目履约保证金退付意见书的格式：</w:t>
      </w:r>
    </w:p>
    <w:p>
      <w:pPr>
        <w:pStyle w:val="17"/>
        <w:snapToGrid w:val="0"/>
        <w:rPr>
          <w:rFonts w:hint="eastAsia" w:ascii="黑体" w:hAnsi="黑体" w:eastAsia="黑体" w:cs="黑体"/>
          <w:color w:val="000000"/>
          <w:sz w:val="32"/>
          <w:szCs w:val="32"/>
          <w:highlight w:val="none"/>
        </w:rPr>
      </w:pPr>
    </w:p>
    <w:p>
      <w:pPr>
        <w:pStyle w:val="9"/>
        <w:rPr>
          <w:rFonts w:hint="eastAsia"/>
          <w:highlight w:val="none"/>
        </w:rPr>
      </w:pPr>
    </w:p>
    <w:p>
      <w:pPr>
        <w:jc w:val="cente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政府采购项目履约保证金退付意见书（参考）</w:t>
      </w:r>
    </w:p>
    <w:p>
      <w:pPr>
        <w:jc w:val="center"/>
        <w:rPr>
          <w:rFonts w:hint="eastAsia" w:ascii="黑体" w:hAnsi="黑体" w:eastAsia="黑体"/>
          <w:color w:val="000000"/>
          <w:sz w:val="36"/>
          <w:szCs w:val="36"/>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pPr>
              <w:jc w:val="center"/>
              <w:rPr>
                <w:rFonts w:hint="eastAsia"/>
                <w:color w:val="000000"/>
                <w:sz w:val="24"/>
                <w:highlight w:val="none"/>
              </w:rPr>
            </w:pPr>
            <w:r>
              <w:rPr>
                <w:rFonts w:hint="eastAsia"/>
                <w:color w:val="000000"/>
                <w:sz w:val="24"/>
                <w:highlight w:val="none"/>
              </w:rPr>
              <w:t>供</w:t>
            </w:r>
          </w:p>
          <w:p>
            <w:pPr>
              <w:jc w:val="center"/>
              <w:rPr>
                <w:rFonts w:hint="eastAsia"/>
                <w:color w:val="000000"/>
                <w:sz w:val="24"/>
                <w:highlight w:val="none"/>
              </w:rPr>
            </w:pPr>
            <w:r>
              <w:rPr>
                <w:rFonts w:hint="eastAsia"/>
                <w:color w:val="000000"/>
                <w:sz w:val="24"/>
                <w:highlight w:val="none"/>
              </w:rPr>
              <w:t>应</w:t>
            </w:r>
          </w:p>
          <w:p>
            <w:pPr>
              <w:jc w:val="center"/>
              <w:rPr>
                <w:rFonts w:hint="eastAsia"/>
                <w:color w:val="000000"/>
                <w:sz w:val="24"/>
                <w:highlight w:val="none"/>
              </w:rPr>
            </w:pPr>
            <w:r>
              <w:rPr>
                <w:rFonts w:hint="eastAsia"/>
                <w:color w:val="000000"/>
                <w:sz w:val="24"/>
                <w:highlight w:val="none"/>
              </w:rPr>
              <w:t>商</w:t>
            </w:r>
          </w:p>
          <w:p>
            <w:pPr>
              <w:jc w:val="center"/>
              <w:rPr>
                <w:rFonts w:hint="eastAsia"/>
                <w:color w:val="000000"/>
                <w:sz w:val="24"/>
                <w:highlight w:val="none"/>
              </w:rPr>
            </w:pPr>
            <w:r>
              <w:rPr>
                <w:rFonts w:hint="eastAsia"/>
                <w:color w:val="000000"/>
                <w:sz w:val="24"/>
                <w:highlight w:val="none"/>
              </w:rPr>
              <w:t>申</w:t>
            </w:r>
          </w:p>
          <w:p>
            <w:pPr>
              <w:jc w:val="center"/>
              <w:rPr>
                <w:rFonts w:hint="eastAsia"/>
                <w:color w:val="000000"/>
                <w:sz w:val="24"/>
                <w:highlight w:val="none"/>
              </w:rPr>
            </w:pPr>
            <w:r>
              <w:rPr>
                <w:rFonts w:hint="eastAsia"/>
                <w:color w:val="000000"/>
                <w:sz w:val="24"/>
                <w:highlight w:val="none"/>
              </w:rPr>
              <w:t>请</w:t>
            </w:r>
          </w:p>
        </w:tc>
        <w:tc>
          <w:tcPr>
            <w:tcW w:w="8009" w:type="dxa"/>
            <w:noWrap w:val="0"/>
            <w:vAlign w:val="center"/>
          </w:tcPr>
          <w:p>
            <w:pPr>
              <w:rPr>
                <w:rFonts w:hint="eastAsia"/>
                <w:color w:val="000000"/>
                <w:sz w:val="24"/>
                <w:highlight w:val="none"/>
              </w:rPr>
            </w:pPr>
            <w:r>
              <w:rPr>
                <w:rFonts w:hint="eastAsia"/>
                <w:color w:val="000000"/>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pPr>
              <w:rPr>
                <w:rFonts w:hint="eastAsia"/>
                <w:color w:val="000000"/>
                <w:sz w:val="24"/>
                <w:highlight w:val="none"/>
              </w:rPr>
            </w:pPr>
          </w:p>
        </w:tc>
        <w:tc>
          <w:tcPr>
            <w:tcW w:w="8009" w:type="dxa"/>
            <w:noWrap w:val="0"/>
            <w:vAlign w:val="center"/>
          </w:tcPr>
          <w:p>
            <w:pPr>
              <w:rPr>
                <w:rFonts w:hint="eastAsia"/>
                <w:color w:val="000000"/>
                <w:sz w:val="24"/>
                <w:highlight w:val="none"/>
              </w:rPr>
            </w:pPr>
            <w:r>
              <w:rPr>
                <w:rFonts w:hint="eastAsia"/>
                <w:color w:val="000000"/>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pPr>
              <w:rPr>
                <w:rFonts w:hint="eastAsia"/>
                <w:color w:val="000000"/>
                <w:sz w:val="24"/>
                <w:highlight w:val="none"/>
              </w:rPr>
            </w:pPr>
          </w:p>
        </w:tc>
        <w:tc>
          <w:tcPr>
            <w:tcW w:w="8009" w:type="dxa"/>
            <w:noWrap w:val="0"/>
            <w:vAlign w:val="top"/>
          </w:tcPr>
          <w:p>
            <w:pPr>
              <w:rPr>
                <w:rFonts w:hint="eastAsia"/>
                <w:color w:val="000000"/>
                <w:sz w:val="24"/>
                <w:highlight w:val="none"/>
              </w:rPr>
            </w:pPr>
            <w:r>
              <w:rPr>
                <w:rFonts w:hint="eastAsia"/>
                <w:color w:val="000000"/>
                <w:sz w:val="24"/>
                <w:highlight w:val="none"/>
              </w:rPr>
              <w:t xml:space="preserve">  </w:t>
            </w:r>
          </w:p>
          <w:p>
            <w:pPr>
              <w:ind w:firstLine="480" w:firstLineChars="200"/>
              <w:rPr>
                <w:rFonts w:hint="eastAsia"/>
                <w:color w:val="000000"/>
                <w:sz w:val="24"/>
                <w:highlight w:val="none"/>
              </w:rPr>
            </w:pPr>
            <w:r>
              <w:rPr>
                <w:rFonts w:hint="eastAsia"/>
                <w:color w:val="000000"/>
                <w:sz w:val="24"/>
                <w:highlight w:val="none"/>
              </w:rPr>
              <w:t>该项目已于</w:t>
            </w:r>
            <w:r>
              <w:rPr>
                <w:rFonts w:hint="eastAsia"/>
                <w:color w:val="000000"/>
                <w:sz w:val="24"/>
                <w:highlight w:val="none"/>
                <w:u w:val="single"/>
              </w:rPr>
              <w:t xml:space="preserve">       </w:t>
            </w:r>
            <w:r>
              <w:rPr>
                <w:rFonts w:hint="eastAsia"/>
                <w:color w:val="000000"/>
                <w:sz w:val="24"/>
                <w:highlight w:val="none"/>
              </w:rPr>
              <w:t>年</w:t>
            </w:r>
            <w:r>
              <w:rPr>
                <w:rFonts w:hint="eastAsia"/>
                <w:color w:val="000000"/>
                <w:sz w:val="24"/>
                <w:highlight w:val="none"/>
                <w:u w:val="single"/>
              </w:rPr>
              <w:t xml:space="preserve">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rPr>
              <w:t>日验收并交付使用。根据合同规定，该项目的履约保证金期限于</w:t>
            </w:r>
            <w:r>
              <w:rPr>
                <w:rFonts w:hint="eastAsia"/>
                <w:color w:val="000000"/>
                <w:sz w:val="24"/>
                <w:highlight w:val="none"/>
                <w:u w:val="single"/>
              </w:rPr>
              <w:t xml:space="preserve">         </w:t>
            </w:r>
            <w:r>
              <w:rPr>
                <w:rFonts w:hint="eastAsia"/>
                <w:color w:val="000000"/>
                <w:sz w:val="24"/>
                <w:highlight w:val="none"/>
              </w:rPr>
              <w:t>年</w:t>
            </w:r>
            <w:r>
              <w:rPr>
                <w:rFonts w:hint="eastAsia"/>
                <w:color w:val="000000"/>
                <w:sz w:val="24"/>
                <w:highlight w:val="none"/>
                <w:u w:val="single"/>
              </w:rPr>
              <w:t xml:space="preserve">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rPr>
              <w:t>日已满，请将履约保证金</w:t>
            </w:r>
          </w:p>
          <w:p>
            <w:pPr>
              <w:rPr>
                <w:rFonts w:hint="eastAsia"/>
                <w:color w:val="000000"/>
                <w:sz w:val="24"/>
                <w:highlight w:val="none"/>
              </w:rPr>
            </w:pPr>
            <w:r>
              <w:rPr>
                <w:rFonts w:hint="eastAsia"/>
                <w:color w:val="000000"/>
                <w:sz w:val="24"/>
                <w:highlight w:val="none"/>
              </w:rPr>
              <w:t>（大写）</w:t>
            </w:r>
            <w:r>
              <w:rPr>
                <w:rFonts w:hint="eastAsia"/>
                <w:color w:val="000000"/>
                <w:sz w:val="24"/>
                <w:highlight w:val="none"/>
                <w:u w:val="single"/>
              </w:rPr>
              <w:t xml:space="preserve">人民币                            </w:t>
            </w:r>
            <w:r>
              <w:rPr>
                <w:rFonts w:hint="eastAsia"/>
                <w:color w:val="000000"/>
                <w:sz w:val="24"/>
                <w:highlight w:val="none"/>
              </w:rPr>
              <w:t>（小写）¥</w:t>
            </w:r>
            <w:r>
              <w:rPr>
                <w:rFonts w:hint="eastAsia"/>
                <w:color w:val="000000"/>
                <w:sz w:val="24"/>
                <w:highlight w:val="none"/>
                <w:u w:val="single"/>
              </w:rPr>
              <w:t xml:space="preserve">          </w:t>
            </w:r>
            <w:r>
              <w:rPr>
                <w:rFonts w:hint="eastAsia"/>
                <w:color w:val="000000"/>
                <w:sz w:val="24"/>
                <w:highlight w:val="none"/>
              </w:rPr>
              <w:t>退付到达以下账户。</w:t>
            </w:r>
          </w:p>
          <w:p>
            <w:pPr>
              <w:rPr>
                <w:rFonts w:hint="eastAsia"/>
                <w:color w:val="000000"/>
                <w:sz w:val="24"/>
                <w:highlight w:val="none"/>
              </w:rPr>
            </w:pPr>
            <w:r>
              <w:rPr>
                <w:rFonts w:hint="eastAsia"/>
                <w:color w:val="000000"/>
                <w:sz w:val="24"/>
                <w:highlight w:val="none"/>
              </w:rPr>
              <w:t>单位名称：</w:t>
            </w:r>
          </w:p>
          <w:p>
            <w:pPr>
              <w:rPr>
                <w:rFonts w:hint="eastAsia"/>
                <w:color w:val="000000"/>
                <w:sz w:val="24"/>
                <w:highlight w:val="none"/>
              </w:rPr>
            </w:pPr>
            <w:r>
              <w:rPr>
                <w:rFonts w:hint="eastAsia"/>
                <w:color w:val="000000"/>
                <w:sz w:val="24"/>
                <w:highlight w:val="none"/>
              </w:rPr>
              <w:t>开户银行：</w:t>
            </w:r>
          </w:p>
          <w:p>
            <w:pPr>
              <w:rPr>
                <w:rFonts w:hint="eastAsia"/>
                <w:color w:val="000000"/>
                <w:sz w:val="24"/>
                <w:highlight w:val="none"/>
              </w:rPr>
            </w:pPr>
            <w:r>
              <w:rPr>
                <w:rFonts w:hint="eastAsia"/>
                <w:color w:val="000000"/>
                <w:sz w:val="24"/>
                <w:highlight w:val="none"/>
              </w:rPr>
              <w:t>账    号：</w:t>
            </w:r>
          </w:p>
          <w:p>
            <w:pPr>
              <w:rPr>
                <w:rFonts w:hint="eastAsia"/>
                <w:color w:val="000000"/>
                <w:sz w:val="24"/>
                <w:highlight w:val="none"/>
              </w:rPr>
            </w:pPr>
            <w:r>
              <w:rPr>
                <w:rFonts w:hint="eastAsia"/>
                <w:color w:val="000000"/>
                <w:sz w:val="24"/>
                <w:highlight w:val="none"/>
              </w:rPr>
              <w:t>联系人及电话：</w:t>
            </w:r>
          </w:p>
          <w:p>
            <w:pPr>
              <w:rPr>
                <w:rFonts w:hint="eastAsia"/>
                <w:color w:val="000000"/>
                <w:sz w:val="24"/>
                <w:highlight w:val="none"/>
              </w:rPr>
            </w:pPr>
          </w:p>
          <w:p>
            <w:pPr>
              <w:jc w:val="center"/>
              <w:rPr>
                <w:rFonts w:hint="eastAsia"/>
                <w:color w:val="000000"/>
                <w:sz w:val="24"/>
                <w:highlight w:val="none"/>
              </w:rPr>
            </w:pPr>
            <w:r>
              <w:rPr>
                <w:rFonts w:hint="eastAsia"/>
                <w:color w:val="000000"/>
                <w:sz w:val="24"/>
                <w:highlight w:val="none"/>
              </w:rPr>
              <w:t xml:space="preserve">                           供应商签章：</w:t>
            </w:r>
          </w:p>
          <w:p>
            <w:pPr>
              <w:jc w:val="center"/>
              <w:rPr>
                <w:rFonts w:hint="eastAsia"/>
                <w:color w:val="000000"/>
                <w:sz w:val="24"/>
                <w:highlight w:val="none"/>
              </w:rPr>
            </w:pPr>
            <w:r>
              <w:rPr>
                <w:rFonts w:hint="eastAsia"/>
                <w:color w:val="00000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pPr>
              <w:jc w:val="center"/>
              <w:rPr>
                <w:rFonts w:hint="eastAsia"/>
                <w:color w:val="000000"/>
                <w:sz w:val="24"/>
                <w:highlight w:val="none"/>
              </w:rPr>
            </w:pPr>
            <w:r>
              <w:rPr>
                <w:rFonts w:hint="eastAsia"/>
                <w:color w:val="000000"/>
                <w:sz w:val="24"/>
                <w:highlight w:val="none"/>
              </w:rPr>
              <w:t>采</w:t>
            </w:r>
          </w:p>
          <w:p>
            <w:pPr>
              <w:jc w:val="center"/>
              <w:rPr>
                <w:rFonts w:hint="eastAsia"/>
                <w:color w:val="000000"/>
                <w:sz w:val="24"/>
                <w:highlight w:val="none"/>
              </w:rPr>
            </w:pPr>
            <w:r>
              <w:rPr>
                <w:rFonts w:hint="eastAsia"/>
                <w:color w:val="000000"/>
                <w:sz w:val="24"/>
                <w:highlight w:val="none"/>
              </w:rPr>
              <w:t>购</w:t>
            </w:r>
          </w:p>
          <w:p>
            <w:pPr>
              <w:jc w:val="center"/>
              <w:rPr>
                <w:rFonts w:hint="eastAsia"/>
                <w:color w:val="000000"/>
                <w:sz w:val="24"/>
                <w:highlight w:val="none"/>
              </w:rPr>
            </w:pPr>
            <w:r>
              <w:rPr>
                <w:rFonts w:hint="eastAsia"/>
                <w:color w:val="000000"/>
                <w:sz w:val="24"/>
                <w:highlight w:val="none"/>
              </w:rPr>
              <w:t>单</w:t>
            </w:r>
          </w:p>
          <w:p>
            <w:pPr>
              <w:jc w:val="center"/>
              <w:rPr>
                <w:rFonts w:hint="eastAsia"/>
                <w:color w:val="000000"/>
                <w:sz w:val="24"/>
                <w:highlight w:val="none"/>
              </w:rPr>
            </w:pPr>
            <w:r>
              <w:rPr>
                <w:rFonts w:hint="eastAsia"/>
                <w:color w:val="000000"/>
                <w:sz w:val="24"/>
                <w:highlight w:val="none"/>
              </w:rPr>
              <w:t>位</w:t>
            </w:r>
          </w:p>
          <w:p>
            <w:pPr>
              <w:jc w:val="center"/>
              <w:rPr>
                <w:rFonts w:hint="eastAsia"/>
                <w:color w:val="000000"/>
                <w:sz w:val="24"/>
                <w:highlight w:val="none"/>
              </w:rPr>
            </w:pPr>
            <w:r>
              <w:rPr>
                <w:rFonts w:hint="eastAsia"/>
                <w:color w:val="000000"/>
                <w:sz w:val="24"/>
                <w:highlight w:val="none"/>
              </w:rPr>
              <w:t>意</w:t>
            </w:r>
          </w:p>
          <w:p>
            <w:pPr>
              <w:jc w:val="center"/>
              <w:rPr>
                <w:rFonts w:hint="eastAsia"/>
                <w:color w:val="000000"/>
                <w:sz w:val="24"/>
                <w:highlight w:val="none"/>
              </w:rPr>
            </w:pPr>
            <w:r>
              <w:rPr>
                <w:rFonts w:hint="eastAsia"/>
                <w:color w:val="000000"/>
                <w:sz w:val="24"/>
                <w:highlight w:val="none"/>
              </w:rPr>
              <w:t>见</w:t>
            </w:r>
          </w:p>
        </w:tc>
        <w:tc>
          <w:tcPr>
            <w:tcW w:w="8009" w:type="dxa"/>
            <w:noWrap w:val="0"/>
            <w:vAlign w:val="top"/>
          </w:tcPr>
          <w:p>
            <w:pPr>
              <w:rPr>
                <w:rFonts w:hint="eastAsia"/>
                <w:color w:val="000000"/>
                <w:sz w:val="24"/>
                <w:highlight w:val="none"/>
              </w:rPr>
            </w:pPr>
          </w:p>
          <w:p>
            <w:pPr>
              <w:rPr>
                <w:rFonts w:hint="eastAsia"/>
                <w:color w:val="000000"/>
                <w:sz w:val="24"/>
                <w:highlight w:val="none"/>
              </w:rPr>
            </w:pPr>
            <w:r>
              <w:rPr>
                <w:rFonts w:hint="eastAsia"/>
                <w:color w:val="000000"/>
                <w:sz w:val="24"/>
                <w:highlight w:val="none"/>
              </w:rPr>
              <w:t>退付意见：是否同意退付履约保证金及退付金额：</w:t>
            </w: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r>
              <w:rPr>
                <w:rFonts w:hint="eastAsia"/>
                <w:color w:val="000000"/>
                <w:sz w:val="24"/>
                <w:highlight w:val="none"/>
              </w:rPr>
              <w:t xml:space="preserve">联系人及电话：                                </w:t>
            </w:r>
          </w:p>
          <w:p>
            <w:pPr>
              <w:rPr>
                <w:rFonts w:hint="eastAsia"/>
                <w:color w:val="000000"/>
                <w:sz w:val="24"/>
                <w:highlight w:val="none"/>
              </w:rPr>
            </w:pPr>
          </w:p>
          <w:p>
            <w:pPr>
              <w:ind w:firstLine="4560" w:firstLineChars="1900"/>
              <w:rPr>
                <w:rFonts w:hint="eastAsia"/>
                <w:color w:val="000000"/>
                <w:sz w:val="24"/>
                <w:highlight w:val="none"/>
              </w:rPr>
            </w:pPr>
            <w:r>
              <w:rPr>
                <w:rFonts w:hint="eastAsia"/>
                <w:color w:val="000000"/>
                <w:sz w:val="24"/>
                <w:highlight w:val="none"/>
              </w:rPr>
              <w:t xml:space="preserve"> 采购人签章：</w:t>
            </w:r>
          </w:p>
          <w:p>
            <w:pPr>
              <w:jc w:val="center"/>
              <w:rPr>
                <w:rFonts w:hint="eastAsia"/>
                <w:color w:val="000000"/>
                <w:sz w:val="24"/>
                <w:highlight w:val="none"/>
              </w:rPr>
            </w:pPr>
            <w:r>
              <w:rPr>
                <w:rFonts w:hint="eastAsia"/>
                <w:color w:val="00000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pPr>
              <w:jc w:val="center"/>
              <w:rPr>
                <w:rFonts w:hint="eastAsia"/>
                <w:color w:val="000000"/>
                <w:sz w:val="24"/>
                <w:highlight w:val="none"/>
              </w:rPr>
            </w:pPr>
            <w:r>
              <w:rPr>
                <w:rFonts w:hint="eastAsia"/>
                <w:color w:val="000000"/>
                <w:sz w:val="24"/>
                <w:highlight w:val="none"/>
              </w:rPr>
              <w:t>备注</w:t>
            </w:r>
          </w:p>
        </w:tc>
        <w:tc>
          <w:tcPr>
            <w:tcW w:w="8009" w:type="dxa"/>
            <w:noWrap w:val="0"/>
            <w:vAlign w:val="top"/>
          </w:tcPr>
          <w:p>
            <w:pPr>
              <w:rPr>
                <w:rFonts w:hint="eastAsia"/>
                <w:color w:val="000000"/>
                <w:sz w:val="24"/>
                <w:highlight w:val="none"/>
              </w:rPr>
            </w:pPr>
          </w:p>
        </w:tc>
      </w:tr>
    </w:tbl>
    <w:p>
      <w:pPr>
        <w:pStyle w:val="13"/>
        <w:ind w:left="1" w:firstLine="2" w:firstLineChars="1"/>
        <w:rPr>
          <w:rFonts w:hint="eastAsia" w:ascii="宋体"/>
          <w:b/>
          <w:bCs/>
          <w:color w:val="000000"/>
          <w:sz w:val="18"/>
          <w:szCs w:val="18"/>
          <w:highlight w:val="none"/>
        </w:rPr>
      </w:pPr>
    </w:p>
    <w:p>
      <w:pPr>
        <w:pStyle w:val="13"/>
        <w:ind w:left="1" w:firstLine="2" w:firstLineChars="1"/>
        <w:rPr>
          <w:rFonts w:hint="eastAsia" w:ascii="宋体"/>
          <w:b/>
          <w:bCs/>
          <w:color w:val="000000"/>
          <w:sz w:val="18"/>
          <w:szCs w:val="18"/>
          <w:highlight w:val="none"/>
        </w:rPr>
      </w:pPr>
      <w:r>
        <w:rPr>
          <w:rFonts w:hint="eastAsia" w:ascii="宋体"/>
          <w:b/>
          <w:bCs/>
          <w:color w:val="000000"/>
          <w:sz w:val="18"/>
          <w:szCs w:val="18"/>
          <w:highlight w:val="none"/>
        </w:rPr>
        <w:t>　　　注：供应商凭经采购人审批的退付意见书到履约保证金收取单位财务部门办理履约保证金退付事宜。</w:t>
      </w:r>
    </w:p>
    <w:p>
      <w:pPr>
        <w:spacing w:line="520" w:lineRule="exact"/>
        <w:jc w:val="center"/>
        <w:rPr>
          <w:sz w:val="24"/>
          <w:highlight w:val="none"/>
        </w:rPr>
      </w:pPr>
      <w:r>
        <w:rPr>
          <w:b/>
          <w:kern w:val="0"/>
          <w:sz w:val="20"/>
          <w:szCs w:val="21"/>
          <w:highlight w:val="none"/>
        </w:rPr>
        <w:br w:type="page"/>
      </w:r>
    </w:p>
    <w:p>
      <w:pPr>
        <w:spacing w:line="520" w:lineRule="exact"/>
        <w:jc w:val="center"/>
        <w:rPr>
          <w:sz w:val="24"/>
          <w:highlight w:val="none"/>
        </w:rPr>
      </w:pPr>
    </w:p>
    <w:p>
      <w:pPr>
        <w:spacing w:line="520" w:lineRule="exact"/>
        <w:jc w:val="center"/>
        <w:rPr>
          <w:sz w:val="24"/>
          <w:highlight w:val="none"/>
        </w:rPr>
      </w:pPr>
    </w:p>
    <w:p>
      <w:pPr>
        <w:spacing w:line="520" w:lineRule="exact"/>
        <w:jc w:val="center"/>
        <w:rPr>
          <w:sz w:val="24"/>
          <w:highlight w:val="none"/>
        </w:rPr>
      </w:pPr>
    </w:p>
    <w:p>
      <w:pPr>
        <w:spacing w:line="520" w:lineRule="exact"/>
        <w:jc w:val="center"/>
        <w:rPr>
          <w:sz w:val="24"/>
          <w:highlight w:val="none"/>
        </w:rPr>
      </w:pPr>
    </w:p>
    <w:p>
      <w:pPr>
        <w:spacing w:line="520" w:lineRule="exact"/>
        <w:jc w:val="center"/>
        <w:rPr>
          <w:sz w:val="24"/>
          <w:highlight w:val="none"/>
        </w:rPr>
      </w:pPr>
    </w:p>
    <w:p>
      <w:pPr>
        <w:spacing w:line="520" w:lineRule="exact"/>
        <w:jc w:val="center"/>
        <w:rPr>
          <w:sz w:val="24"/>
          <w:highlight w:val="none"/>
        </w:rPr>
      </w:pPr>
    </w:p>
    <w:p>
      <w:pPr>
        <w:spacing w:line="520" w:lineRule="exact"/>
        <w:jc w:val="center"/>
        <w:rPr>
          <w:sz w:val="24"/>
          <w:highlight w:val="none"/>
        </w:rPr>
      </w:pPr>
    </w:p>
    <w:p>
      <w:pPr>
        <w:spacing w:line="520" w:lineRule="exact"/>
        <w:jc w:val="center"/>
        <w:rPr>
          <w:sz w:val="24"/>
          <w:highlight w:val="none"/>
        </w:rPr>
      </w:pPr>
    </w:p>
    <w:p>
      <w:pPr>
        <w:pStyle w:val="2"/>
        <w:jc w:val="center"/>
        <w:rPr>
          <w:rFonts w:hint="eastAsia"/>
          <w:b w:val="0"/>
          <w:bCs w:val="0"/>
          <w:highlight w:val="none"/>
        </w:rPr>
      </w:pPr>
      <w:bookmarkStart w:id="149" w:name="_Toc18676"/>
      <w:bookmarkStart w:id="150" w:name="_Toc24786"/>
      <w:bookmarkStart w:id="151" w:name="_Toc9343"/>
      <w:bookmarkStart w:id="152" w:name="_Toc80886947"/>
      <w:bookmarkStart w:id="153" w:name="_Toc15154"/>
      <w:bookmarkStart w:id="154" w:name="_Toc15161"/>
      <w:bookmarkStart w:id="155" w:name="_Toc4005"/>
      <w:bookmarkStart w:id="156" w:name="_Toc12748"/>
      <w:r>
        <w:rPr>
          <w:rFonts w:hint="eastAsia"/>
          <w:b w:val="0"/>
          <w:bCs w:val="0"/>
          <w:highlight w:val="none"/>
        </w:rPr>
        <w:t xml:space="preserve">第六章 </w:t>
      </w:r>
      <w:r>
        <w:rPr>
          <w:b w:val="0"/>
          <w:bCs w:val="0"/>
          <w:highlight w:val="none"/>
        </w:rPr>
        <w:t xml:space="preserve"> </w:t>
      </w:r>
      <w:r>
        <w:rPr>
          <w:rFonts w:hint="eastAsia"/>
          <w:b w:val="0"/>
          <w:bCs w:val="0"/>
          <w:highlight w:val="none"/>
        </w:rPr>
        <w:t>合同文本</w:t>
      </w:r>
      <w:bookmarkEnd w:id="149"/>
      <w:bookmarkEnd w:id="150"/>
      <w:bookmarkEnd w:id="151"/>
      <w:bookmarkEnd w:id="152"/>
      <w:bookmarkEnd w:id="153"/>
      <w:bookmarkEnd w:id="154"/>
      <w:bookmarkEnd w:id="155"/>
    </w:p>
    <w:p>
      <w:pPr>
        <w:pStyle w:val="3"/>
        <w:rPr>
          <w:rFonts w:ascii="宋体" w:hAnsi="宋体"/>
          <w:sz w:val="28"/>
          <w:szCs w:val="28"/>
          <w:highlight w:val="none"/>
        </w:rPr>
      </w:pPr>
      <w:r>
        <w:rPr>
          <w:b w:val="0"/>
          <w:bCs w:val="0"/>
          <w:highlight w:val="none"/>
        </w:rPr>
        <w:br w:type="page"/>
      </w:r>
      <w:bookmarkEnd w:id="156"/>
      <w:bookmarkStart w:id="157" w:name="_Toc241058521"/>
      <w:r>
        <w:rPr>
          <w:rFonts w:hint="eastAsia" w:ascii="宋体" w:hAnsi="宋体"/>
          <w:sz w:val="28"/>
          <w:szCs w:val="28"/>
          <w:highlight w:val="none"/>
        </w:rPr>
        <w:t>合同编号</w:t>
      </w:r>
      <w:bookmarkEnd w:id="157"/>
    </w:p>
    <w:p>
      <w:pPr>
        <w:spacing w:line="500" w:lineRule="exact"/>
        <w:ind w:firstLine="560" w:firstLineChars="200"/>
        <w:rPr>
          <w:rFonts w:ascii="宋体" w:hAnsi="宋体"/>
          <w:sz w:val="28"/>
          <w:szCs w:val="28"/>
          <w:highlight w:val="none"/>
        </w:rPr>
      </w:pPr>
    </w:p>
    <w:p>
      <w:pPr>
        <w:spacing w:line="360" w:lineRule="auto"/>
        <w:rPr>
          <w:rFonts w:ascii="宋体" w:hAnsi="宋体"/>
          <w:sz w:val="28"/>
          <w:szCs w:val="28"/>
          <w:highlight w:val="none"/>
        </w:rPr>
      </w:pPr>
    </w:p>
    <w:p>
      <w:pPr>
        <w:spacing w:line="360" w:lineRule="auto"/>
        <w:ind w:left="105" w:leftChars="50" w:right="105" w:rightChars="50"/>
        <w:jc w:val="center"/>
        <w:outlineLvl w:val="0"/>
        <w:rPr>
          <w:rFonts w:ascii="宋体" w:hAnsi="宋体" w:cs="宋体"/>
          <w:b/>
          <w:bCs/>
          <w:sz w:val="44"/>
          <w:szCs w:val="44"/>
          <w:highlight w:val="none"/>
        </w:rPr>
      </w:pPr>
      <w:r>
        <w:rPr>
          <w:rFonts w:hint="eastAsia" w:ascii="宋体" w:hAnsi="宋体" w:cs="宋体"/>
          <w:b/>
          <w:bCs/>
          <w:sz w:val="44"/>
          <w:szCs w:val="44"/>
          <w:highlight w:val="none"/>
        </w:rPr>
        <w:t>广西壮族自治区财政厅</w:t>
      </w:r>
    </w:p>
    <w:p>
      <w:pPr>
        <w:spacing w:line="360" w:lineRule="auto"/>
        <w:jc w:val="center"/>
        <w:outlineLvl w:val="0"/>
        <w:rPr>
          <w:rFonts w:ascii="方正小标宋简体" w:hAnsi="宋体" w:eastAsia="方正小标宋简体"/>
          <w:sz w:val="44"/>
          <w:szCs w:val="44"/>
          <w:highlight w:val="none"/>
        </w:rPr>
      </w:pPr>
      <w:r>
        <w:rPr>
          <w:rFonts w:hint="eastAsia" w:ascii="宋体" w:hAnsi="宋体" w:cs="宋体"/>
          <w:b/>
          <w:bCs/>
          <w:sz w:val="44"/>
          <w:szCs w:val="44"/>
          <w:highlight w:val="none"/>
        </w:rPr>
        <w:t>202</w:t>
      </w:r>
      <w:r>
        <w:rPr>
          <w:rFonts w:hint="eastAsia" w:ascii="宋体" w:hAnsi="宋体" w:cs="宋体"/>
          <w:b/>
          <w:bCs/>
          <w:sz w:val="44"/>
          <w:szCs w:val="44"/>
          <w:highlight w:val="none"/>
          <w:lang w:val="en-US" w:eastAsia="zh-CN"/>
        </w:rPr>
        <w:t>5</w:t>
      </w:r>
      <w:r>
        <w:rPr>
          <w:rFonts w:hint="eastAsia" w:ascii="宋体" w:hAnsi="宋体" w:cs="宋体"/>
          <w:b/>
          <w:bCs/>
          <w:sz w:val="44"/>
          <w:szCs w:val="44"/>
          <w:highlight w:val="none"/>
        </w:rPr>
        <w:t>年网络安全保障服务项目采购合同</w:t>
      </w:r>
    </w:p>
    <w:p>
      <w:pPr>
        <w:spacing w:line="360" w:lineRule="auto"/>
        <w:ind w:firstLine="560" w:firstLineChars="200"/>
        <w:jc w:val="center"/>
        <w:rPr>
          <w:rFonts w:ascii="宋体" w:hAnsi="宋体"/>
          <w:sz w:val="28"/>
          <w:szCs w:val="28"/>
          <w:highlight w:val="none"/>
        </w:rPr>
      </w:pPr>
    </w:p>
    <w:p>
      <w:pPr>
        <w:spacing w:line="500" w:lineRule="exact"/>
        <w:ind w:firstLine="560" w:firstLineChars="200"/>
        <w:jc w:val="center"/>
        <w:rPr>
          <w:rFonts w:ascii="宋体" w:hAnsi="宋体"/>
          <w:sz w:val="28"/>
          <w:szCs w:val="28"/>
          <w:highlight w:val="none"/>
        </w:rPr>
      </w:pPr>
    </w:p>
    <w:p>
      <w:pPr>
        <w:spacing w:line="500" w:lineRule="exact"/>
        <w:ind w:firstLine="560" w:firstLineChars="200"/>
        <w:jc w:val="center"/>
        <w:rPr>
          <w:rFonts w:ascii="宋体" w:hAnsi="宋体"/>
          <w:sz w:val="28"/>
          <w:szCs w:val="28"/>
          <w:highlight w:val="none"/>
        </w:rPr>
      </w:pPr>
    </w:p>
    <w:p>
      <w:pPr>
        <w:spacing w:line="500" w:lineRule="exact"/>
        <w:ind w:firstLine="560" w:firstLineChars="200"/>
        <w:jc w:val="center"/>
        <w:rPr>
          <w:rFonts w:ascii="宋体" w:hAnsi="宋体"/>
          <w:sz w:val="28"/>
          <w:szCs w:val="28"/>
          <w:highlight w:val="none"/>
        </w:rPr>
      </w:pPr>
    </w:p>
    <w:p>
      <w:pPr>
        <w:spacing w:line="500" w:lineRule="exact"/>
        <w:ind w:firstLine="560" w:firstLineChars="200"/>
        <w:jc w:val="center"/>
        <w:rPr>
          <w:rFonts w:ascii="宋体" w:hAnsi="宋体"/>
          <w:sz w:val="28"/>
          <w:szCs w:val="28"/>
          <w:highlight w:val="none"/>
        </w:rPr>
      </w:pPr>
    </w:p>
    <w:p>
      <w:pPr>
        <w:spacing w:line="500" w:lineRule="exact"/>
        <w:ind w:firstLine="2240" w:firstLineChars="800"/>
        <w:outlineLvl w:val="0"/>
        <w:rPr>
          <w:rFonts w:ascii="宋体" w:hAnsi="宋体" w:cs="宋体"/>
          <w:sz w:val="28"/>
          <w:szCs w:val="28"/>
          <w:highlight w:val="none"/>
        </w:rPr>
      </w:pPr>
      <w:r>
        <w:rPr>
          <w:rFonts w:hint="eastAsia" w:ascii="宋体" w:hAnsi="宋体" w:cs="宋体"/>
          <w:sz w:val="28"/>
          <w:szCs w:val="28"/>
          <w:highlight w:val="none"/>
        </w:rPr>
        <w:t>甲方：</w:t>
      </w:r>
      <w:r>
        <w:rPr>
          <w:rFonts w:hint="eastAsia" w:ascii="宋体" w:hAnsi="宋体" w:cs="宋体"/>
          <w:sz w:val="28"/>
          <w:szCs w:val="28"/>
          <w:highlight w:val="none"/>
          <w:u w:val="single"/>
        </w:rPr>
        <w:t xml:space="preserve"> 广西财政信息管理中心 </w:t>
      </w:r>
    </w:p>
    <w:p>
      <w:pPr>
        <w:spacing w:line="500" w:lineRule="exact"/>
        <w:ind w:firstLine="2240" w:firstLineChars="800"/>
        <w:outlineLvl w:val="0"/>
        <w:rPr>
          <w:rFonts w:ascii="宋体" w:hAnsi="宋体" w:cs="宋体"/>
          <w:sz w:val="28"/>
          <w:szCs w:val="28"/>
          <w:highlight w:val="none"/>
        </w:rPr>
      </w:pPr>
      <w:r>
        <w:rPr>
          <w:rFonts w:hint="eastAsia" w:ascii="宋体" w:hAnsi="宋体" w:cs="宋体"/>
          <w:sz w:val="28"/>
          <w:szCs w:val="28"/>
          <w:highlight w:val="none"/>
        </w:rPr>
        <w:t>乙方：</w:t>
      </w:r>
      <w:r>
        <w:rPr>
          <w:rFonts w:hint="eastAsia" w:ascii="宋体" w:hAnsi="宋体" w:cs="宋体"/>
          <w:sz w:val="28"/>
          <w:szCs w:val="28"/>
          <w:highlight w:val="none"/>
          <w:u w:val="single"/>
        </w:rPr>
        <w:t xml:space="preserve">                      </w:t>
      </w:r>
    </w:p>
    <w:p>
      <w:pPr>
        <w:spacing w:line="500" w:lineRule="exact"/>
        <w:ind w:firstLine="560" w:firstLineChars="200"/>
        <w:rPr>
          <w:rFonts w:ascii="宋体" w:hAnsi="宋体" w:cs="宋体"/>
          <w:sz w:val="28"/>
          <w:szCs w:val="28"/>
          <w:highlight w:val="none"/>
        </w:rPr>
      </w:pPr>
    </w:p>
    <w:p>
      <w:pPr>
        <w:spacing w:line="500" w:lineRule="exact"/>
        <w:ind w:firstLine="560" w:firstLineChars="200"/>
        <w:rPr>
          <w:rFonts w:ascii="宋体" w:hAnsi="宋体"/>
          <w:sz w:val="28"/>
          <w:szCs w:val="28"/>
          <w:highlight w:val="none"/>
        </w:rPr>
      </w:pPr>
    </w:p>
    <w:p>
      <w:pPr>
        <w:spacing w:line="500" w:lineRule="exact"/>
        <w:ind w:firstLine="560" w:firstLineChars="200"/>
        <w:rPr>
          <w:rFonts w:ascii="宋体" w:hAnsi="宋体"/>
          <w:sz w:val="28"/>
          <w:szCs w:val="28"/>
          <w:highlight w:val="none"/>
        </w:rPr>
      </w:pPr>
    </w:p>
    <w:p>
      <w:pPr>
        <w:spacing w:line="500" w:lineRule="exact"/>
        <w:ind w:firstLine="2520" w:firstLineChars="900"/>
        <w:outlineLvl w:val="0"/>
        <w:rPr>
          <w:rFonts w:ascii="宋体" w:hAnsi="宋体"/>
          <w:sz w:val="28"/>
          <w:szCs w:val="28"/>
          <w:highlight w:val="none"/>
        </w:rPr>
      </w:pPr>
      <w:r>
        <w:rPr>
          <w:rFonts w:hint="eastAsia" w:ascii="宋体" w:hAnsi="宋体"/>
          <w:sz w:val="28"/>
          <w:szCs w:val="28"/>
          <w:highlight w:val="none"/>
        </w:rPr>
        <w:t>签约地点：广西南宁</w:t>
      </w:r>
    </w:p>
    <w:p>
      <w:pPr>
        <w:spacing w:line="500" w:lineRule="exact"/>
        <w:ind w:firstLine="2520" w:firstLineChars="900"/>
        <w:outlineLvl w:val="0"/>
        <w:rPr>
          <w:rFonts w:ascii="宋体" w:hAnsi="宋体"/>
          <w:sz w:val="28"/>
          <w:szCs w:val="28"/>
          <w:highlight w:val="none"/>
        </w:rPr>
      </w:pPr>
      <w:r>
        <w:rPr>
          <w:rFonts w:hint="eastAsia" w:ascii="宋体" w:hAnsi="宋体"/>
          <w:sz w:val="28"/>
          <w:szCs w:val="28"/>
          <w:highlight w:val="none"/>
        </w:rPr>
        <w:t>签约日期：    年   月</w:t>
      </w:r>
    </w:p>
    <w:p>
      <w:pPr>
        <w:spacing w:line="360" w:lineRule="auto"/>
        <w:ind w:firstLine="560" w:firstLineChars="200"/>
        <w:rPr>
          <w:rFonts w:ascii="宋体" w:hAnsi="宋体" w:cs="宋体"/>
          <w:highlight w:val="none"/>
        </w:rPr>
      </w:pPr>
      <w:r>
        <w:rPr>
          <w:rFonts w:ascii="宋体" w:hAnsi="宋体"/>
          <w:sz w:val="28"/>
          <w:szCs w:val="28"/>
          <w:highlight w:val="none"/>
        </w:rPr>
        <w:br w:type="page"/>
      </w:r>
      <w:r>
        <w:rPr>
          <w:rFonts w:hint="eastAsia" w:ascii="宋体" w:hAnsi="宋体" w:cs="宋体"/>
          <w:highlight w:val="none"/>
        </w:rPr>
        <w:t>依据《中华人民共和国民法典》及相关法律法规有关规定，本着平等互利的原则，广西财政信息管理中心（以下简称“甲方”）与</w:t>
      </w:r>
      <w:r>
        <w:rPr>
          <w:rFonts w:hint="eastAsia" w:ascii="宋体" w:hAnsi="宋体" w:cs="宋体"/>
          <w:highlight w:val="none"/>
          <w:u w:val="single"/>
        </w:rPr>
        <w:t xml:space="preserve">                           </w:t>
      </w:r>
      <w:r>
        <w:rPr>
          <w:rFonts w:hint="eastAsia" w:ascii="宋体" w:hAnsi="宋体" w:cs="宋体"/>
          <w:highlight w:val="none"/>
        </w:rPr>
        <w:t>（以下简称“乙方”）就“广西壮族自治区财政厅202</w:t>
      </w:r>
      <w:r>
        <w:rPr>
          <w:rFonts w:hint="eastAsia" w:ascii="宋体" w:hAnsi="宋体" w:cs="宋体"/>
          <w:highlight w:val="none"/>
          <w:lang w:val="en-US" w:eastAsia="zh-CN"/>
        </w:rPr>
        <w:t>5</w:t>
      </w:r>
      <w:r>
        <w:rPr>
          <w:rFonts w:hint="eastAsia" w:ascii="宋体" w:hAnsi="宋体" w:cs="宋体"/>
          <w:highlight w:val="none"/>
        </w:rPr>
        <w:t>年网络安全保障服务项目”（以下简称“项目”）等事宜，经协商达成一致意见，签订本合同。具体条款如下：</w:t>
      </w:r>
    </w:p>
    <w:p>
      <w:pPr>
        <w:spacing w:line="360" w:lineRule="auto"/>
        <w:ind w:firstLine="422" w:firstLineChars="200"/>
        <w:outlineLvl w:val="0"/>
        <w:rPr>
          <w:rFonts w:ascii="宋体" w:hAnsi="宋体" w:cs="宋体"/>
          <w:b/>
          <w:bCs/>
          <w:highlight w:val="none"/>
        </w:rPr>
      </w:pPr>
      <w:r>
        <w:rPr>
          <w:rFonts w:hint="eastAsia" w:ascii="宋体" w:hAnsi="宋体" w:cs="宋体"/>
          <w:b/>
          <w:bCs/>
          <w:highlight w:val="none"/>
        </w:rPr>
        <w:t>第一条  项目组成</w:t>
      </w:r>
    </w:p>
    <w:p>
      <w:pPr>
        <w:spacing w:line="360" w:lineRule="auto"/>
        <w:ind w:firstLine="420" w:firstLineChars="200"/>
        <w:rPr>
          <w:rFonts w:ascii="宋体" w:hAnsi="宋体" w:cs="宋体"/>
          <w:highlight w:val="none"/>
        </w:rPr>
      </w:pPr>
      <w:r>
        <w:rPr>
          <w:rFonts w:hint="eastAsia" w:ascii="宋体" w:hAnsi="宋体" w:cs="宋体"/>
          <w:highlight w:val="none"/>
        </w:rPr>
        <w:t>以下附件作为本合同不可分割的部分，与本合同具有同等法律效力：</w:t>
      </w:r>
    </w:p>
    <w:p>
      <w:pPr>
        <w:spacing w:line="360" w:lineRule="auto"/>
        <w:ind w:firstLine="420" w:firstLineChars="200"/>
        <w:rPr>
          <w:rFonts w:ascii="宋体" w:hAnsi="宋体" w:cs="宋体"/>
          <w:highlight w:val="none"/>
        </w:rPr>
      </w:pPr>
      <w:r>
        <w:rPr>
          <w:rFonts w:hint="eastAsia" w:ascii="宋体" w:hAnsi="宋体" w:cs="宋体"/>
          <w:highlight w:val="none"/>
        </w:rPr>
        <w:t>附件一：项目磋商文件。</w:t>
      </w:r>
    </w:p>
    <w:p>
      <w:pPr>
        <w:spacing w:line="360" w:lineRule="auto"/>
        <w:ind w:firstLine="420" w:firstLineChars="200"/>
        <w:rPr>
          <w:rFonts w:ascii="宋体" w:hAnsi="宋体" w:cs="宋体"/>
          <w:highlight w:val="none"/>
        </w:rPr>
      </w:pPr>
      <w:r>
        <w:rPr>
          <w:rFonts w:hint="eastAsia" w:ascii="宋体" w:hAnsi="宋体" w:cs="宋体"/>
          <w:highlight w:val="none"/>
        </w:rPr>
        <w:t>附件二：乙方提交的磋商函、磋商报价表、商务、技术响应、偏离情况说明表及售后服务方案等响应内容。</w:t>
      </w:r>
    </w:p>
    <w:p>
      <w:pPr>
        <w:spacing w:line="360" w:lineRule="auto"/>
        <w:ind w:firstLine="420" w:firstLineChars="200"/>
        <w:rPr>
          <w:rFonts w:hint="eastAsia" w:ascii="宋体" w:hAnsi="宋体" w:cs="宋体"/>
          <w:highlight w:val="none"/>
        </w:rPr>
      </w:pPr>
      <w:r>
        <w:rPr>
          <w:rFonts w:hint="eastAsia" w:ascii="宋体" w:hAnsi="宋体" w:cs="宋体"/>
          <w:highlight w:val="none"/>
        </w:rPr>
        <w:t>附件三：成交通知书。</w:t>
      </w:r>
    </w:p>
    <w:p>
      <w:pPr>
        <w:pStyle w:val="27"/>
        <w:spacing w:after="0" w:line="360" w:lineRule="auto"/>
        <w:ind w:firstLineChars="200"/>
        <w:rPr>
          <w:highlight w:val="none"/>
        </w:rPr>
      </w:pPr>
      <w:r>
        <w:rPr>
          <w:rFonts w:hint="eastAsia" w:ascii="宋体" w:hAnsi="宋体" w:cs="宋体"/>
          <w:highlight w:val="none"/>
        </w:rPr>
        <w:t>附件四：保密协议。</w:t>
      </w:r>
    </w:p>
    <w:p>
      <w:pPr>
        <w:spacing w:line="360" w:lineRule="auto"/>
        <w:ind w:firstLine="422" w:firstLineChars="200"/>
        <w:outlineLvl w:val="0"/>
        <w:rPr>
          <w:rFonts w:ascii="宋体" w:hAnsi="宋体" w:cs="宋体"/>
          <w:b/>
          <w:bCs/>
          <w:highlight w:val="none"/>
        </w:rPr>
      </w:pPr>
      <w:r>
        <w:rPr>
          <w:rFonts w:hint="eastAsia" w:ascii="宋体" w:hAnsi="宋体" w:cs="宋体"/>
          <w:b/>
          <w:bCs/>
          <w:highlight w:val="none"/>
        </w:rPr>
        <w:t>第二条  项目服务范围和要求</w:t>
      </w:r>
    </w:p>
    <w:p>
      <w:pPr>
        <w:spacing w:line="360" w:lineRule="auto"/>
        <w:ind w:firstLine="420" w:firstLineChars="200"/>
        <w:outlineLvl w:val="1"/>
        <w:rPr>
          <w:rFonts w:ascii="宋体" w:hAnsi="宋体" w:cs="宋体"/>
          <w:highlight w:val="none"/>
        </w:rPr>
      </w:pPr>
      <w:r>
        <w:rPr>
          <w:rFonts w:hint="eastAsia" w:ascii="宋体" w:hAnsi="宋体" w:cs="宋体"/>
          <w:highlight w:val="none"/>
        </w:rPr>
        <w:t>（一）服务地点和服务时间。</w:t>
      </w:r>
    </w:p>
    <w:p>
      <w:pPr>
        <w:spacing w:line="360" w:lineRule="auto"/>
        <w:ind w:firstLine="420" w:firstLineChars="200"/>
        <w:outlineLvl w:val="2"/>
        <w:rPr>
          <w:rFonts w:ascii="宋体" w:hAnsi="宋体" w:cs="宋体"/>
          <w:highlight w:val="none"/>
        </w:rPr>
      </w:pPr>
      <w:r>
        <w:rPr>
          <w:rFonts w:hint="eastAsia" w:ascii="宋体" w:hAnsi="宋体" w:cs="宋体"/>
          <w:highlight w:val="none"/>
        </w:rPr>
        <w:t>1．服务地点：广西财政厅。</w:t>
      </w:r>
    </w:p>
    <w:p>
      <w:pPr>
        <w:spacing w:line="360" w:lineRule="auto"/>
        <w:ind w:firstLine="420" w:firstLineChars="200"/>
        <w:outlineLvl w:val="2"/>
        <w:rPr>
          <w:rFonts w:ascii="宋体" w:hAnsi="宋体" w:cs="宋体"/>
          <w:highlight w:val="none"/>
        </w:rPr>
      </w:pPr>
      <w:r>
        <w:rPr>
          <w:rFonts w:hint="eastAsia" w:ascii="宋体" w:hAnsi="宋体" w:cs="宋体"/>
          <w:highlight w:val="none"/>
        </w:rPr>
        <w:t>2．项目服务时间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日起至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日止。</w:t>
      </w:r>
    </w:p>
    <w:p>
      <w:pPr>
        <w:spacing w:line="360" w:lineRule="auto"/>
        <w:ind w:firstLine="420" w:firstLineChars="200"/>
        <w:outlineLvl w:val="1"/>
        <w:rPr>
          <w:rFonts w:ascii="宋体" w:hAnsi="宋体" w:cs="宋体"/>
          <w:highlight w:val="none"/>
        </w:rPr>
      </w:pPr>
      <w:r>
        <w:rPr>
          <w:rFonts w:hint="eastAsia" w:ascii="宋体" w:hAnsi="宋体" w:cs="宋体"/>
          <w:highlight w:val="none"/>
        </w:rPr>
        <w:t>（二）项目具体服务范围、内容和要求。</w:t>
      </w:r>
    </w:p>
    <w:p>
      <w:pPr>
        <w:spacing w:line="360" w:lineRule="auto"/>
        <w:ind w:firstLine="420" w:firstLineChars="200"/>
        <w:rPr>
          <w:rFonts w:hint="eastAsia" w:ascii="宋体" w:hAnsi="宋体" w:cs="宋体"/>
          <w:highlight w:val="none"/>
        </w:rPr>
      </w:pPr>
      <w:r>
        <w:rPr>
          <w:rFonts w:hint="eastAsia" w:ascii="宋体" w:hAnsi="宋体" w:cs="宋体"/>
          <w:highlight w:val="none"/>
        </w:rPr>
        <w:t>1．网络安全保障服务服务范围包括但不限于为部署在广西财政厅内网和外网及广西电子政务外网的46个业务系统和10个测试系统</w:t>
      </w:r>
      <w:r>
        <w:rPr>
          <w:rFonts w:hint="eastAsia" w:ascii="宋体" w:hAnsi="宋体" w:cs="宋体"/>
          <w:highlight w:val="none"/>
          <w:lang w:eastAsia="zh-CN"/>
        </w:rPr>
        <w:t>，以及</w:t>
      </w:r>
      <w:r>
        <w:rPr>
          <w:rFonts w:hint="eastAsia" w:ascii="宋体" w:hAnsi="宋体" w:cs="宋体"/>
          <w:highlight w:val="none"/>
        </w:rPr>
        <w:t>所涉及的</w:t>
      </w:r>
      <w:r>
        <w:rPr>
          <w:rFonts w:hint="eastAsia" w:ascii="宋体" w:hAnsi="宋体" w:cs="宋体"/>
          <w:highlight w:val="none"/>
          <w:lang w:val="en-US" w:eastAsia="zh-CN"/>
        </w:rPr>
        <w:t>577</w:t>
      </w:r>
      <w:r>
        <w:rPr>
          <w:rFonts w:hint="eastAsia" w:ascii="宋体" w:hAnsi="宋体" w:cs="宋体"/>
          <w:highlight w:val="none"/>
        </w:rPr>
        <w:t>台服务器和</w:t>
      </w:r>
      <w:r>
        <w:rPr>
          <w:rFonts w:hint="eastAsia" w:ascii="宋体" w:hAnsi="宋体" w:cs="宋体"/>
          <w:highlight w:val="none"/>
          <w:lang w:val="en-US" w:eastAsia="zh-CN"/>
        </w:rPr>
        <w:t>294</w:t>
      </w:r>
      <w:r>
        <w:rPr>
          <w:rFonts w:hint="eastAsia" w:ascii="宋体" w:hAnsi="宋体" w:cs="宋体"/>
          <w:highlight w:val="none"/>
        </w:rPr>
        <w:t>台网络安全设备提供1年的云防护服务、风险评估服务、安全加固服务、驻场值守服务、应急演练服务、安全培训服务、新系统或重大调整系统上线前安全评估和加固服务、重要时期安全保障服务、护网重点保障和网络攻防演练服务、网络安全检查技术支持服务、安全设备和杀毒软件特征库授权和升级服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详细服务范围、内容（以下简称“系统设备”）和要求详见磋商文件采购需求。</w:t>
      </w:r>
    </w:p>
    <w:p>
      <w:pPr>
        <w:spacing w:line="360" w:lineRule="auto"/>
        <w:ind w:firstLine="422" w:firstLineChars="200"/>
        <w:outlineLvl w:val="0"/>
        <w:rPr>
          <w:rFonts w:ascii="宋体" w:hAnsi="宋体" w:cs="宋体"/>
          <w:b/>
          <w:bCs/>
          <w:szCs w:val="21"/>
          <w:highlight w:val="none"/>
        </w:rPr>
      </w:pPr>
      <w:r>
        <w:rPr>
          <w:rFonts w:hint="eastAsia" w:ascii="宋体" w:hAnsi="宋体" w:cs="宋体"/>
          <w:b/>
          <w:bCs/>
          <w:szCs w:val="21"/>
          <w:highlight w:val="none"/>
        </w:rPr>
        <w:t>第三条  服务安全条款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乙方在服务过程中应遵守以下安全条款，否则视为服务不合格。同时，对乙方未遵守相关条款造成甲方损失的，按照实际损失赔偿。</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（一）产品安全条款。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1．运维服务中乙方所使用软硬件工具应具有相应的安全许可证书或销售许可证。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2．运维服务中乙方所使用的软硬件工具，在使用前应取得甲方许可，不得使用有损甲方安全和利益的工具。</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（二）运维操作安全条款。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1．乙方进行运维操作应遵守甲方的机房规章制度、网络管理制度、运维操作管理制度等各项规章制度。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进行运维操作前，应出具详细的方案、步骤和应急预案，经甲方审核同意后才能实施。需要上传文件至甲方设备上的，应提前提交一份相同文件给甲方备查；需从甲方设备下载文件的需在方案中详细注明，经甲方同意后拷贝给乙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3．乙方运维操作时，在甲方系统设备上安装的辅助软件和程序在当次运维结束后应完全卸载，恢复甲方系统至运维操作前的状态，经甲方同意升级的软件及各种补丁程序除外。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4．乙方在运维操作时，对甲方的系统设备策略的更改，需经甲方同意才能实施，在更改后甲方未明确表示保留更改后状态的，应当恢复原状。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5．乙方不得使用甲方的系统设备从事与本合同无关的工作。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6．禁止乙方以任何形式将甲方的网站架构、主机参数、网络设备参数和策略、网络拓扑结构、内部网络IP地址等透露给第三方或者与本合同技术服务无关的乙方人员。</w:t>
      </w:r>
    </w:p>
    <w:p>
      <w:pPr>
        <w:spacing w:line="360" w:lineRule="auto"/>
        <w:ind w:firstLine="422" w:firstLineChars="200"/>
        <w:outlineLvl w:val="0"/>
        <w:rPr>
          <w:rFonts w:ascii="宋体" w:hAnsi="宋体" w:cs="宋体"/>
          <w:b/>
          <w:bCs/>
          <w:szCs w:val="21"/>
          <w:highlight w:val="none"/>
        </w:rPr>
      </w:pPr>
      <w:r>
        <w:rPr>
          <w:rFonts w:hint="eastAsia" w:ascii="宋体" w:hAnsi="宋体" w:cs="宋体"/>
          <w:b/>
          <w:bCs/>
          <w:szCs w:val="21"/>
          <w:highlight w:val="none"/>
        </w:rPr>
        <w:t>第四条  服务验收条款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履行完毕后，乙方应准备齐全验收材料并向甲方提出项目验收申请，由甲方组织专家对本项目进行验收（验收费用由甲方承担），验收合格后甲方出具服务合格书；验收不合格的乙方必须进行整改，整改后甲方再次组织验收（验收费用由乙方承担），验收仍不合格的视为服务不合格。验收的主要内容为：</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（一）服务内容。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乙方需提供本合同及附件列出的服务内容，不得有缺漏项。</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（二）服务效果。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核查服务保障效果。主要核查服务期内是否保障了广西财政厅系统设备的安全稳定运行，按照</w:t>
      </w:r>
      <w:r>
        <w:rPr>
          <w:rFonts w:hint="eastAsia" w:ascii="宋体" w:hAnsi="宋体" w:cs="宋体"/>
          <w:highlight w:val="none"/>
        </w:rPr>
        <w:t>《广西财政厅网络安全保障服务考核办法》和《广西财政厅机房运维服务考核办法》</w:t>
      </w:r>
      <w:r>
        <w:rPr>
          <w:rFonts w:hint="eastAsia" w:ascii="宋体" w:hAnsi="宋体" w:cs="宋体"/>
          <w:szCs w:val="21"/>
          <w:highlight w:val="none"/>
        </w:rPr>
        <w:t>进行考核。</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（三）文档资料。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本项目验收时需完整提交以下文档资料：</w:t>
      </w:r>
    </w:p>
    <w:tbl>
      <w:tblPr>
        <w:tblStyle w:val="29"/>
        <w:tblW w:w="0" w:type="auto"/>
        <w:jc w:val="center"/>
        <w:tblLayout w:type="fixed"/>
        <w:tblCellMar>
          <w:top w:w="0" w:type="dxa"/>
          <w:left w:w="108" w:type="dxa"/>
          <w:bottom w:w="0" w:type="dxa"/>
          <w:right w:w="108" w:type="dxa"/>
        </w:tblCellMar>
      </w:tblPr>
      <w:tblGrid>
        <w:gridCol w:w="2886"/>
        <w:gridCol w:w="6060"/>
      </w:tblGrid>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项目阶段</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提</w:t>
            </w:r>
            <w:r>
              <w:rPr>
                <w:rFonts w:ascii="宋体" w:hAnsi="宋体" w:cs="宋体"/>
                <w:highlight w:val="none"/>
              </w:rPr>
              <w:t xml:space="preserve"> </w:t>
            </w:r>
            <w:r>
              <w:rPr>
                <w:rFonts w:hint="eastAsia" w:ascii="宋体" w:hAnsi="宋体" w:cs="宋体"/>
                <w:highlight w:val="none"/>
              </w:rPr>
              <w:t>交</w:t>
            </w:r>
            <w:r>
              <w:rPr>
                <w:rFonts w:ascii="宋体" w:hAnsi="宋体" w:cs="宋体"/>
                <w:highlight w:val="none"/>
              </w:rPr>
              <w:t xml:space="preserve"> </w:t>
            </w:r>
            <w:r>
              <w:rPr>
                <w:rFonts w:hint="eastAsia" w:ascii="宋体" w:hAnsi="宋体" w:cs="宋体"/>
                <w:highlight w:val="none"/>
              </w:rPr>
              <w:t>文</w:t>
            </w:r>
            <w:r>
              <w:rPr>
                <w:rFonts w:ascii="宋体" w:hAnsi="宋体" w:cs="宋体"/>
                <w:highlight w:val="none"/>
              </w:rPr>
              <w:t xml:space="preserve"> </w:t>
            </w:r>
            <w:r>
              <w:rPr>
                <w:rFonts w:hint="eastAsia" w:ascii="宋体" w:hAnsi="宋体" w:cs="宋体"/>
                <w:highlight w:val="none"/>
              </w:rPr>
              <w:t>档</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网站云防护</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jc w:val="left"/>
              <w:rPr>
                <w:rFonts w:ascii="宋体" w:hAnsi="宋体" w:cs="宋体"/>
                <w:highlight w:val="none"/>
              </w:rPr>
            </w:pPr>
            <w:r>
              <w:rPr>
                <w:rFonts w:hint="eastAsia" w:ascii="宋体" w:hAnsi="宋体" w:cs="宋体"/>
                <w:highlight w:val="none"/>
              </w:rPr>
              <w:t>《广西财政厅系统云防护周报》（周</w:t>
            </w:r>
            <w:r>
              <w:rPr>
                <w:rFonts w:ascii="宋体" w:hAnsi="宋体" w:cs="宋体"/>
                <w:highlight w:val="none"/>
              </w:rPr>
              <w:t>/次）</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风险评估</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rPr>
                <w:rFonts w:ascii="宋体" w:hAnsi="宋体" w:cs="宋体"/>
                <w:highlight w:val="none"/>
              </w:rPr>
            </w:pPr>
            <w:r>
              <w:rPr>
                <w:rFonts w:hint="eastAsia" w:ascii="宋体" w:hAnsi="宋体" w:cs="宋体"/>
                <w:highlight w:val="none"/>
              </w:rPr>
              <w:t>《广西财政厅风险评估报告》（2</w:t>
            </w:r>
            <w:r>
              <w:rPr>
                <w:rFonts w:ascii="宋体" w:hAnsi="宋体" w:cs="宋体"/>
                <w:highlight w:val="none"/>
              </w:rPr>
              <w:t>次）</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脆弱性扫描</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rPr>
                <w:rFonts w:ascii="宋体" w:hAnsi="宋体" w:cs="宋体"/>
                <w:highlight w:val="none"/>
              </w:rPr>
            </w:pPr>
            <w:r>
              <w:rPr>
                <w:rFonts w:hint="eastAsia" w:ascii="宋体" w:hAnsi="宋体" w:cs="宋体"/>
                <w:highlight w:val="none"/>
              </w:rPr>
              <w:t>《广西财政厅漏洞检测报告》（6</w:t>
            </w:r>
            <w:r>
              <w:rPr>
                <w:rFonts w:ascii="宋体" w:hAnsi="宋体" w:cs="宋体"/>
                <w:highlight w:val="none"/>
              </w:rPr>
              <w:t>次）</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渗透测试</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rPr>
                <w:rFonts w:ascii="宋体" w:hAnsi="宋体" w:cs="宋体"/>
                <w:highlight w:val="none"/>
              </w:rPr>
            </w:pPr>
            <w:r>
              <w:rPr>
                <w:rFonts w:hint="eastAsia" w:ascii="宋体" w:hAnsi="宋体" w:cs="宋体"/>
                <w:highlight w:val="none"/>
              </w:rPr>
              <w:t>《广西财政厅业务系统渗透测试报告》（2</w:t>
            </w:r>
            <w:r>
              <w:rPr>
                <w:rFonts w:ascii="宋体" w:hAnsi="宋体" w:cs="宋体"/>
                <w:highlight w:val="none"/>
              </w:rPr>
              <w:t>次）</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安全配置检查</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rPr>
                <w:rFonts w:ascii="宋体" w:hAnsi="宋体" w:cs="宋体"/>
                <w:highlight w:val="none"/>
              </w:rPr>
            </w:pPr>
            <w:r>
              <w:rPr>
                <w:rFonts w:hint="eastAsia" w:ascii="宋体" w:hAnsi="宋体" w:cs="宋体"/>
                <w:highlight w:val="none"/>
              </w:rPr>
              <w:t>《广西财政厅配置检查报告》（2</w:t>
            </w:r>
            <w:r>
              <w:rPr>
                <w:rFonts w:ascii="宋体" w:hAnsi="宋体" w:cs="宋体"/>
                <w:highlight w:val="none"/>
              </w:rPr>
              <w:t>次）</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安全加固</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rPr>
                <w:rFonts w:hint="eastAsia" w:ascii="宋体" w:hAnsi="宋体" w:cs="宋体"/>
                <w:highlight w:val="none"/>
              </w:rPr>
            </w:pPr>
            <w:r>
              <w:rPr>
                <w:rFonts w:hint="eastAsia" w:ascii="宋体" w:hAnsi="宋体" w:cs="宋体"/>
                <w:highlight w:val="none"/>
              </w:rPr>
              <w:t>《广西财政厅安全加固报告》《广西财政厅安全风险修复情况记录》《广西财政厅网络安全事件处理报告》</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驻场值守</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rPr>
                <w:rFonts w:ascii="宋体" w:hAnsi="宋体" w:cs="宋体"/>
                <w:highlight w:val="none"/>
              </w:rPr>
            </w:pPr>
            <w:r>
              <w:rPr>
                <w:rFonts w:hint="eastAsia" w:ascii="宋体" w:hAnsi="宋体" w:cs="宋体"/>
                <w:highlight w:val="none"/>
              </w:rPr>
              <w:t>《广西财政厅网络安全保障服务工作周报》（周</w:t>
            </w:r>
            <w:r>
              <w:rPr>
                <w:rFonts w:ascii="宋体" w:hAnsi="宋体" w:cs="宋体"/>
                <w:highlight w:val="none"/>
              </w:rPr>
              <w:t>/次</w:t>
            </w:r>
            <w:r>
              <w:rPr>
                <w:rFonts w:hint="eastAsia" w:ascii="宋体" w:hAnsi="宋体" w:cs="宋体"/>
                <w:highlight w:val="none"/>
              </w:rPr>
              <w:t>）《广西财政厅网络安全保障服务工作月报》（月</w:t>
            </w:r>
            <w:r>
              <w:rPr>
                <w:rFonts w:ascii="宋体" w:hAnsi="宋体" w:cs="宋体"/>
                <w:highlight w:val="none"/>
              </w:rPr>
              <w:t>/次</w:t>
            </w:r>
            <w:r>
              <w:rPr>
                <w:rFonts w:hint="eastAsia" w:ascii="宋体" w:hAnsi="宋体" w:cs="宋体"/>
                <w:highlight w:val="none"/>
              </w:rPr>
              <w:t>）</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网络安全应急演练</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jc w:val="left"/>
              <w:rPr>
                <w:rFonts w:ascii="宋体" w:hAnsi="宋体" w:cs="宋体"/>
                <w:highlight w:val="none"/>
              </w:rPr>
            </w:pPr>
            <w:r>
              <w:rPr>
                <w:rFonts w:hint="eastAsia" w:ascii="宋体" w:hAnsi="宋体" w:cs="宋体"/>
                <w:highlight w:val="none"/>
              </w:rPr>
              <w:t>《广西财政厅网络安全应急演练方案》《广西财政厅网络安全应急演练总结报告》</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安全培训</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rPr>
                <w:rFonts w:ascii="宋体" w:hAnsi="宋体" w:cs="宋体"/>
                <w:highlight w:val="none"/>
              </w:rPr>
            </w:pPr>
            <w:r>
              <w:rPr>
                <w:rFonts w:hint="eastAsia" w:ascii="宋体" w:hAnsi="宋体" w:cs="宋体"/>
                <w:highlight w:val="none"/>
              </w:rPr>
              <w:t>《培训计划》（期</w:t>
            </w:r>
            <w:r>
              <w:rPr>
                <w:rFonts w:ascii="宋体" w:hAnsi="宋体" w:cs="宋体"/>
                <w:highlight w:val="none"/>
              </w:rPr>
              <w:t>/次</w:t>
            </w:r>
            <w:r>
              <w:rPr>
                <w:rFonts w:hint="eastAsia" w:ascii="宋体" w:hAnsi="宋体" w:cs="宋体"/>
                <w:highlight w:val="none"/>
              </w:rPr>
              <w:t>）《培训教材文件》（期</w:t>
            </w:r>
            <w:r>
              <w:rPr>
                <w:rFonts w:ascii="宋体" w:hAnsi="宋体" w:cs="宋体"/>
                <w:highlight w:val="none"/>
              </w:rPr>
              <w:t>/次</w:t>
            </w:r>
            <w:r>
              <w:rPr>
                <w:rFonts w:hint="eastAsia" w:ascii="宋体" w:hAnsi="宋体" w:cs="宋体"/>
                <w:highlight w:val="none"/>
              </w:rPr>
              <w:t>）《培训人员签到表》（期</w:t>
            </w:r>
            <w:r>
              <w:rPr>
                <w:rFonts w:ascii="宋体" w:hAnsi="宋体" w:cs="宋体"/>
                <w:highlight w:val="none"/>
              </w:rPr>
              <w:t>/次</w:t>
            </w:r>
            <w:r>
              <w:rPr>
                <w:rFonts w:hint="eastAsia" w:ascii="宋体" w:hAnsi="宋体" w:cs="宋体"/>
                <w:highlight w:val="none"/>
              </w:rPr>
              <w:t>）</w:t>
            </w:r>
          </w:p>
        </w:tc>
      </w:tr>
      <w:tr>
        <w:tblPrEx>
          <w:tblCellMar>
            <w:top w:w="0" w:type="dxa"/>
            <w:left w:w="108" w:type="dxa"/>
            <w:bottom w:w="0" w:type="dxa"/>
            <w:right w:w="108" w:type="dxa"/>
          </w:tblCellMar>
        </w:tblPrEx>
        <w:trPr>
          <w:trHeight w:val="340" w:hRule="atLeast"/>
          <w:jc w:val="center"/>
        </w:trPr>
        <w:tc>
          <w:tcPr>
            <w:tcW w:w="28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s="宋体"/>
                <w:highlight w:val="none"/>
              </w:rPr>
            </w:pPr>
            <w:r>
              <w:rPr>
                <w:rFonts w:hint="eastAsia" w:ascii="宋体" w:hAnsi="宋体" w:cs="宋体"/>
                <w:highlight w:val="none"/>
              </w:rPr>
              <w:t>新系统上线前安全评估和加固服务</w:t>
            </w:r>
          </w:p>
        </w:tc>
        <w:tc>
          <w:tcPr>
            <w:tcW w:w="6060" w:type="dxa"/>
            <w:tcBorders>
              <w:top w:val="single" w:color="auto" w:sz="6" w:space="0"/>
              <w:left w:val="nil"/>
              <w:bottom w:val="single" w:color="auto" w:sz="6" w:space="0"/>
              <w:right w:val="single" w:color="auto" w:sz="6" w:space="0"/>
            </w:tcBorders>
            <w:noWrap w:val="0"/>
            <w:vAlign w:val="center"/>
          </w:tcPr>
          <w:p>
            <w:pPr>
              <w:spacing w:line="360" w:lineRule="auto"/>
              <w:rPr>
                <w:rFonts w:hint="eastAsia" w:ascii="宋体" w:hAnsi="宋体" w:cs="宋体"/>
                <w:highlight w:val="none"/>
              </w:rPr>
            </w:pPr>
            <w:r>
              <w:rPr>
                <w:rFonts w:hint="eastAsia" w:ascii="宋体" w:hAnsi="宋体" w:cs="宋体"/>
                <w:highlight w:val="none"/>
              </w:rPr>
              <w:t>《广西财政厅xx业务系统上线评估报告》《广西财政厅xx业务系统上线复测报告》</w:t>
            </w:r>
          </w:p>
        </w:tc>
      </w:tr>
      <w:tr>
        <w:tblPrEx>
          <w:tblCellMar>
            <w:top w:w="0" w:type="dxa"/>
            <w:left w:w="108" w:type="dxa"/>
            <w:bottom w:w="0" w:type="dxa"/>
            <w:right w:w="108" w:type="dxa"/>
          </w:tblCellMar>
        </w:tblPrEx>
        <w:trPr>
          <w:trHeight w:val="340" w:hRule="atLeast"/>
          <w:jc w:val="center"/>
        </w:trPr>
        <w:tc>
          <w:tcPr>
            <w:tcW w:w="2886"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重要时期安全保障</w:t>
            </w:r>
          </w:p>
        </w:tc>
        <w:tc>
          <w:tcPr>
            <w:tcW w:w="6060" w:type="dxa"/>
            <w:tcBorders>
              <w:top w:val="single" w:color="auto" w:sz="4" w:space="0"/>
              <w:left w:val="nil"/>
              <w:bottom w:val="single" w:color="auto" w:sz="4" w:space="0"/>
              <w:right w:val="single" w:color="auto" w:sz="6" w:space="0"/>
            </w:tcBorders>
            <w:noWrap w:val="0"/>
            <w:vAlign w:val="center"/>
          </w:tcPr>
          <w:p>
            <w:pPr>
              <w:spacing w:line="360" w:lineRule="auto"/>
              <w:jc w:val="left"/>
              <w:rPr>
                <w:rFonts w:hint="eastAsia" w:ascii="宋体" w:hAnsi="宋体" w:cs="宋体"/>
                <w:highlight w:val="none"/>
              </w:rPr>
            </w:pPr>
            <w:r>
              <w:rPr>
                <w:rFonts w:hint="eastAsia" w:ascii="宋体" w:hAnsi="宋体" w:cs="宋体"/>
                <w:highlight w:val="none"/>
              </w:rPr>
              <w:t>《广西财政厅重要时期安全保障方案》</w:t>
            </w:r>
          </w:p>
        </w:tc>
      </w:tr>
      <w:tr>
        <w:tblPrEx>
          <w:tblCellMar>
            <w:top w:w="0" w:type="dxa"/>
            <w:left w:w="108" w:type="dxa"/>
            <w:bottom w:w="0" w:type="dxa"/>
            <w:right w:w="108" w:type="dxa"/>
          </w:tblCellMar>
        </w:tblPrEx>
        <w:trPr>
          <w:trHeight w:val="340" w:hRule="atLeast"/>
          <w:jc w:val="center"/>
        </w:trPr>
        <w:tc>
          <w:tcPr>
            <w:tcW w:w="2886"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护网重点安全保障</w:t>
            </w:r>
          </w:p>
        </w:tc>
        <w:tc>
          <w:tcPr>
            <w:tcW w:w="6060" w:type="dxa"/>
            <w:tcBorders>
              <w:top w:val="single" w:color="auto" w:sz="4" w:space="0"/>
              <w:left w:val="nil"/>
              <w:bottom w:val="single" w:color="auto" w:sz="4" w:space="0"/>
              <w:right w:val="single" w:color="auto" w:sz="6" w:space="0"/>
            </w:tcBorders>
            <w:noWrap w:val="0"/>
            <w:vAlign w:val="center"/>
          </w:tcPr>
          <w:p>
            <w:pPr>
              <w:spacing w:line="360" w:lineRule="auto"/>
              <w:jc w:val="left"/>
              <w:rPr>
                <w:rFonts w:hint="eastAsia" w:ascii="宋体" w:hAnsi="宋体" w:cs="宋体"/>
                <w:highlight w:val="none"/>
              </w:rPr>
            </w:pPr>
            <w:r>
              <w:rPr>
                <w:rFonts w:hint="eastAsia" w:ascii="宋体" w:hAnsi="宋体" w:cs="宋体"/>
                <w:highlight w:val="none"/>
              </w:rPr>
              <w:t>《广西财政厅xx护网安全保障方案》及相关文档</w:t>
            </w:r>
          </w:p>
        </w:tc>
      </w:tr>
      <w:tr>
        <w:tblPrEx>
          <w:tblCellMar>
            <w:top w:w="0" w:type="dxa"/>
            <w:left w:w="108" w:type="dxa"/>
            <w:bottom w:w="0" w:type="dxa"/>
            <w:right w:w="108" w:type="dxa"/>
          </w:tblCellMar>
        </w:tblPrEx>
        <w:trPr>
          <w:trHeight w:val="340" w:hRule="atLeast"/>
          <w:jc w:val="center"/>
        </w:trPr>
        <w:tc>
          <w:tcPr>
            <w:tcW w:w="2886"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安全通告</w:t>
            </w:r>
          </w:p>
        </w:tc>
        <w:tc>
          <w:tcPr>
            <w:tcW w:w="6060" w:type="dxa"/>
            <w:tcBorders>
              <w:top w:val="single" w:color="auto" w:sz="4" w:space="0"/>
              <w:left w:val="nil"/>
              <w:bottom w:val="single" w:color="auto" w:sz="4" w:space="0"/>
              <w:right w:val="single" w:color="auto" w:sz="6" w:space="0"/>
            </w:tcBorders>
            <w:noWrap w:val="0"/>
            <w:vAlign w:val="center"/>
          </w:tcPr>
          <w:p>
            <w:pPr>
              <w:spacing w:line="360" w:lineRule="auto"/>
              <w:jc w:val="left"/>
              <w:rPr>
                <w:rFonts w:hint="eastAsia" w:ascii="宋体" w:hAnsi="宋体" w:cs="宋体"/>
                <w:highlight w:val="none"/>
              </w:rPr>
            </w:pPr>
            <w:r>
              <w:rPr>
                <w:rFonts w:hint="eastAsia" w:ascii="宋体" w:hAnsi="宋体" w:cs="宋体"/>
                <w:highlight w:val="none"/>
              </w:rPr>
              <w:t>《安全通报》（周</w:t>
            </w:r>
            <w:r>
              <w:rPr>
                <w:rFonts w:ascii="宋体" w:hAnsi="宋体" w:cs="宋体"/>
                <w:highlight w:val="none"/>
              </w:rPr>
              <w:t>/次）</w:t>
            </w:r>
          </w:p>
        </w:tc>
      </w:tr>
      <w:tr>
        <w:tblPrEx>
          <w:tblCellMar>
            <w:top w:w="0" w:type="dxa"/>
            <w:left w:w="108" w:type="dxa"/>
            <w:bottom w:w="0" w:type="dxa"/>
            <w:right w:w="108" w:type="dxa"/>
          </w:tblCellMar>
        </w:tblPrEx>
        <w:trPr>
          <w:trHeight w:val="340" w:hRule="atLeast"/>
          <w:jc w:val="center"/>
        </w:trPr>
        <w:tc>
          <w:tcPr>
            <w:tcW w:w="2886"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其他</w:t>
            </w:r>
          </w:p>
        </w:tc>
        <w:tc>
          <w:tcPr>
            <w:tcW w:w="6060" w:type="dxa"/>
            <w:tcBorders>
              <w:top w:val="single" w:color="auto" w:sz="4" w:space="0"/>
              <w:left w:val="nil"/>
              <w:bottom w:val="single" w:color="auto" w:sz="4" w:space="0"/>
              <w:right w:val="single" w:color="auto" w:sz="6" w:space="0"/>
            </w:tcBorders>
            <w:noWrap w:val="0"/>
            <w:vAlign w:val="center"/>
          </w:tcPr>
          <w:p>
            <w:pPr>
              <w:spacing w:line="360" w:lineRule="auto"/>
              <w:jc w:val="left"/>
              <w:rPr>
                <w:rFonts w:hint="eastAsia" w:ascii="宋体" w:hAnsi="宋体" w:cs="宋体"/>
                <w:highlight w:val="none"/>
              </w:rPr>
            </w:pPr>
            <w:r>
              <w:rPr>
                <w:rFonts w:hint="eastAsia" w:ascii="宋体" w:hAnsi="宋体" w:cs="宋体"/>
                <w:highlight w:val="none"/>
              </w:rPr>
              <w:t>其它与项目相关需要提供的文档资料</w:t>
            </w:r>
          </w:p>
        </w:tc>
      </w:tr>
    </w:tbl>
    <w:p>
      <w:pPr>
        <w:spacing w:line="360" w:lineRule="auto"/>
        <w:ind w:firstLine="420" w:firstLineChars="200"/>
        <w:rPr>
          <w:rFonts w:ascii="宋体" w:hAnsi="宋体" w:cs="宋体"/>
          <w:highlight w:val="none"/>
        </w:rPr>
      </w:pPr>
      <w:r>
        <w:rPr>
          <w:rFonts w:hint="eastAsia" w:ascii="宋体" w:hAnsi="宋体" w:cs="宋体"/>
          <w:highlight w:val="none"/>
        </w:rPr>
        <w:t>以上文档需甲方签字确认有效。</w:t>
      </w:r>
    </w:p>
    <w:p>
      <w:pPr>
        <w:spacing w:line="360" w:lineRule="auto"/>
        <w:ind w:firstLine="422" w:firstLineChars="200"/>
        <w:outlineLvl w:val="0"/>
        <w:rPr>
          <w:rFonts w:ascii="宋体" w:hAnsi="宋体" w:cs="宋体"/>
          <w:b/>
          <w:bCs/>
          <w:highlight w:val="none"/>
        </w:rPr>
      </w:pPr>
      <w:r>
        <w:rPr>
          <w:rFonts w:hint="eastAsia" w:ascii="宋体" w:hAnsi="宋体" w:cs="宋体"/>
          <w:b/>
          <w:bCs/>
          <w:highlight w:val="none"/>
        </w:rPr>
        <w:t>第五条  合同费用和支付方式</w:t>
      </w:r>
    </w:p>
    <w:p>
      <w:pPr>
        <w:spacing w:line="360" w:lineRule="auto"/>
        <w:ind w:firstLine="420" w:firstLineChars="200"/>
        <w:outlineLvl w:val="1"/>
        <w:rPr>
          <w:rFonts w:ascii="宋体" w:hAnsi="宋体" w:cs="宋体"/>
          <w:highlight w:val="none"/>
          <w:u w:val="single"/>
        </w:rPr>
      </w:pPr>
      <w:r>
        <w:rPr>
          <w:rFonts w:hint="eastAsia" w:ascii="宋体" w:hAnsi="宋体" w:cs="宋体"/>
          <w:highlight w:val="none"/>
        </w:rPr>
        <w:t>（一）本项目合同总金额：人民币</w:t>
      </w:r>
      <w:r>
        <w:rPr>
          <w:rFonts w:hint="eastAsia" w:ascii="宋体" w:hAnsi="宋体" w:cs="宋体"/>
          <w:highlight w:val="none"/>
          <w:u w:val="single"/>
        </w:rPr>
        <w:t xml:space="preserve">          元整（¥    )</w:t>
      </w:r>
      <w:r>
        <w:rPr>
          <w:rFonts w:hint="eastAsia" w:ascii="宋体" w:hAnsi="宋体" w:cs="宋体"/>
          <w:highlight w:val="none"/>
        </w:rPr>
        <w:t>。</w:t>
      </w:r>
    </w:p>
    <w:p>
      <w:pPr>
        <w:spacing w:line="360" w:lineRule="auto"/>
        <w:ind w:firstLine="420" w:firstLineChars="200"/>
        <w:outlineLvl w:val="1"/>
        <w:rPr>
          <w:rFonts w:ascii="宋体" w:hAnsi="宋体" w:cs="宋体"/>
          <w:highlight w:val="none"/>
        </w:rPr>
      </w:pPr>
      <w:r>
        <w:rPr>
          <w:rFonts w:hint="eastAsia" w:ascii="宋体" w:hAnsi="宋体" w:cs="宋体"/>
          <w:highlight w:val="none"/>
        </w:rPr>
        <w:t>（二）付款方式：银行转账。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 xml:space="preserve">1. </w:t>
      </w:r>
      <w:r>
        <w:rPr>
          <w:rFonts w:hint="eastAsia" w:ascii="宋体" w:hAnsi="宋体" w:cs="宋体"/>
          <w:szCs w:val="21"/>
          <w:highlight w:val="none"/>
        </w:rPr>
        <w:t>预付款：双方签订合同后（以双方盖章的合同为准），乙方提出书面付款申请，甲方在15个工作日内向乙方支付项目合同总金额</w:t>
      </w:r>
      <w:r>
        <w:rPr>
          <w:rFonts w:hint="eastAsia" w:ascii="宋体" w:hAnsi="宋体" w:cs="宋体"/>
          <w:szCs w:val="21"/>
          <w:highlight w:val="none"/>
          <w:lang w:val="en-US" w:eastAsia="zh-CN"/>
        </w:rPr>
        <w:t>50</w:t>
      </w:r>
      <w:r>
        <w:rPr>
          <w:rFonts w:hint="eastAsia" w:ascii="宋体" w:hAnsi="宋体" w:cs="宋体"/>
          <w:szCs w:val="21"/>
          <w:highlight w:val="none"/>
        </w:rPr>
        <w:t>%的预付款，即</w:t>
      </w:r>
      <w:r>
        <w:rPr>
          <w:rFonts w:hint="eastAsia" w:ascii="宋体" w:hAnsi="宋体" w:cs="宋体"/>
          <w:szCs w:val="21"/>
          <w:highlight w:val="none"/>
          <w:u w:val="single"/>
        </w:rPr>
        <w:t>：人民币              （</w:t>
      </w:r>
      <w:r>
        <w:rPr>
          <w:rFonts w:hint="eastAsia" w:ascii="宋体" w:hAnsi="宋体" w:cs="宋体"/>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 xml:space="preserve">2. </w:t>
      </w:r>
      <w:r>
        <w:rPr>
          <w:rFonts w:hint="eastAsia" w:ascii="宋体" w:hAnsi="宋体" w:cs="宋体"/>
          <w:szCs w:val="21"/>
          <w:highlight w:val="none"/>
        </w:rPr>
        <w:t>考核服务款：服务结束后，乙方应向甲方提出考核书面申请，并提供考核佐证材料，甲方根据《广西财政厅网络安全保障服务考核办法》（100分制打分），对乙方提供的服务进行考核，考核结束后，乙方向甲方提出书面付款申请，甲方在15个工作日内支付乙方服务费，甲方实际支付乙方的</w:t>
      </w:r>
      <w:r>
        <w:rPr>
          <w:rFonts w:hint="eastAsia" w:ascii="宋体" w:hAnsi="宋体" w:cs="宋体"/>
          <w:b/>
          <w:bCs/>
          <w:szCs w:val="21"/>
          <w:highlight w:val="none"/>
          <w:lang w:eastAsia="zh-CN"/>
        </w:rPr>
        <w:t>考核</w:t>
      </w:r>
      <w:r>
        <w:rPr>
          <w:rFonts w:hint="eastAsia" w:ascii="宋体" w:hAnsi="宋体" w:cs="宋体"/>
          <w:b/>
          <w:bCs/>
          <w:szCs w:val="21"/>
          <w:highlight w:val="none"/>
        </w:rPr>
        <w:t>服务费=合同总金额</w:t>
      </w:r>
      <w:r>
        <w:rPr>
          <w:rFonts w:hint="eastAsia" w:ascii="宋体" w:hAnsi="宋体" w:cs="宋体"/>
          <w:b/>
          <w:bCs/>
          <w:szCs w:val="21"/>
          <w:highlight w:val="none"/>
          <w:lang w:val="en-US" w:eastAsia="zh-CN"/>
        </w:rPr>
        <w:t>50</w:t>
      </w:r>
      <w:r>
        <w:rPr>
          <w:rFonts w:hint="eastAsia" w:ascii="宋体" w:hAnsi="宋体" w:cs="宋体"/>
          <w:b/>
          <w:bCs/>
          <w:szCs w:val="21"/>
          <w:highlight w:val="none"/>
        </w:rPr>
        <w:t>%*考核</w:t>
      </w:r>
      <w:r>
        <w:rPr>
          <w:rFonts w:hint="eastAsia" w:ascii="宋体" w:hAnsi="宋体" w:cs="宋体"/>
          <w:b/>
          <w:bCs/>
          <w:szCs w:val="21"/>
          <w:highlight w:val="none"/>
          <w:lang w:eastAsia="zh-CN"/>
        </w:rPr>
        <w:t>得分</w:t>
      </w:r>
      <w:r>
        <w:rPr>
          <w:rFonts w:hint="eastAsia" w:ascii="宋体" w:hAnsi="宋体" w:cs="宋体"/>
          <w:b/>
          <w:bCs/>
          <w:szCs w:val="21"/>
          <w:highlight w:val="none"/>
        </w:rPr>
        <w:t>对应的</w:t>
      </w:r>
      <w:r>
        <w:rPr>
          <w:rFonts w:hint="eastAsia" w:ascii="宋体" w:hAnsi="宋体" w:cs="宋体"/>
          <w:b/>
          <w:bCs/>
          <w:szCs w:val="21"/>
          <w:highlight w:val="none"/>
          <w:lang w:eastAsia="zh-CN"/>
        </w:rPr>
        <w:t>考核</w:t>
      </w:r>
      <w:r>
        <w:rPr>
          <w:rFonts w:hint="eastAsia" w:ascii="宋体" w:hAnsi="宋体" w:cs="宋体"/>
          <w:b/>
          <w:bCs/>
          <w:szCs w:val="21"/>
          <w:highlight w:val="none"/>
        </w:rPr>
        <w:t>服务款支付比例-考核扣款</w:t>
      </w:r>
      <w:r>
        <w:rPr>
          <w:rFonts w:hint="eastAsia" w:ascii="宋体" w:hAnsi="宋体" w:cs="宋体"/>
          <w:b/>
          <w:bCs/>
          <w:szCs w:val="21"/>
          <w:highlight w:val="none"/>
          <w:lang w:eastAsia="zh-CN"/>
        </w:rPr>
        <w:t>，</w:t>
      </w:r>
      <w:r>
        <w:rPr>
          <w:rFonts w:hint="eastAsia" w:ascii="宋体" w:hAnsi="宋体" w:cs="宋体"/>
          <w:szCs w:val="21"/>
          <w:highlight w:val="none"/>
          <w:lang w:eastAsia="zh-CN"/>
        </w:rPr>
        <w:t>考核</w:t>
      </w:r>
      <w:r>
        <w:rPr>
          <w:rFonts w:hint="eastAsia" w:ascii="宋体" w:hAnsi="宋体" w:cs="宋体"/>
          <w:szCs w:val="21"/>
          <w:highlight w:val="none"/>
        </w:rPr>
        <w:t>服务款</w:t>
      </w:r>
      <w:r>
        <w:rPr>
          <w:rFonts w:hint="eastAsia" w:ascii="宋体" w:hAnsi="宋体" w:cs="宋体"/>
          <w:szCs w:val="21"/>
          <w:highlight w:val="none"/>
          <w:lang w:eastAsia="zh-CN"/>
        </w:rPr>
        <w:t>最多</w:t>
      </w:r>
      <w:r>
        <w:rPr>
          <w:rFonts w:hint="eastAsia" w:ascii="宋体" w:hAnsi="宋体" w:cs="宋体"/>
          <w:szCs w:val="21"/>
          <w:highlight w:val="none"/>
        </w:rPr>
        <w:t>为合同总金额</w:t>
      </w:r>
      <w:r>
        <w:rPr>
          <w:rFonts w:hint="eastAsia" w:ascii="宋体" w:hAnsi="宋体" w:cs="宋体"/>
          <w:szCs w:val="21"/>
          <w:highlight w:val="none"/>
          <w:lang w:val="en-US" w:eastAsia="zh-CN"/>
        </w:rPr>
        <w:t>50</w:t>
      </w:r>
      <w:r>
        <w:rPr>
          <w:rFonts w:hint="eastAsia" w:ascii="宋体" w:hAnsi="宋体" w:cs="宋体"/>
          <w:szCs w:val="21"/>
          <w:highlight w:val="none"/>
        </w:rPr>
        <w:t>%, 即</w:t>
      </w:r>
      <w:r>
        <w:rPr>
          <w:rFonts w:hint="eastAsia" w:ascii="宋体" w:hAnsi="宋体" w:cs="宋体"/>
          <w:szCs w:val="21"/>
          <w:highlight w:val="none"/>
          <w:u w:val="single"/>
        </w:rPr>
        <w:t>：人民币   （</w:t>
      </w:r>
      <w:r>
        <w:rPr>
          <w:rFonts w:hint="eastAsia" w:ascii="宋体" w:hAnsi="宋体" w:cs="宋体"/>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。考核得分对应服务款支付比例如下表：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106"/>
        <w:gridCol w:w="168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考核得分Z（分）</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服务款支付比例</w:t>
            </w:r>
          </w:p>
        </w:tc>
        <w:tc>
          <w:tcPr>
            <w:tcW w:w="168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考核得分（分）</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服务款支付比例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Z≥80</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100%</w:t>
            </w:r>
          </w:p>
        </w:tc>
        <w:tc>
          <w:tcPr>
            <w:tcW w:w="168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45≤Z</w:t>
            </w:r>
            <w:r>
              <w:rPr>
                <w:rFonts w:hint="eastAsia" w:ascii="仿宋_GB2312" w:hAnsi="仿宋_GB2312" w:eastAsia="仿宋_GB2312"/>
                <w:szCs w:val="21"/>
                <w:highlight w:val="none"/>
              </w:rPr>
              <w:t>&lt;</w:t>
            </w:r>
            <w:r>
              <w:rPr>
                <w:rFonts w:hint="eastAsia" w:ascii="仿宋_GB2312" w:eastAsia="仿宋_GB2312"/>
                <w:szCs w:val="21"/>
                <w:highlight w:val="none"/>
              </w:rPr>
              <w:t>50</w:t>
            </w:r>
          </w:p>
        </w:tc>
        <w:tc>
          <w:tcPr>
            <w:tcW w:w="2106" w:type="dxa"/>
            <w:noWrap w:val="0"/>
            <w:vAlign w:val="top"/>
          </w:tcPr>
          <w:p>
            <w:pPr>
              <w:spacing w:line="360" w:lineRule="auto"/>
              <w:jc w:val="center"/>
              <w:rPr>
                <w:rFonts w:ascii="仿宋_GB2312" w:eastAsia="仿宋_GB2312"/>
                <w:szCs w:val="21"/>
                <w:highlight w:val="none"/>
              </w:rPr>
            </w:pPr>
            <w:r>
              <w:rPr>
                <w:rFonts w:hint="default" w:ascii="仿宋_GB2312" w:eastAsia="仿宋_GB2312"/>
                <w:szCs w:val="21"/>
                <w:highlight w:val="none"/>
                <w:lang w:val="en-US"/>
              </w:rPr>
              <w:t>60</w:t>
            </w:r>
            <w:r>
              <w:rPr>
                <w:rFonts w:hint="eastAsia" w:ascii="仿宋_GB2312" w:eastAsia="仿宋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75≤Z</w:t>
            </w:r>
            <w:r>
              <w:rPr>
                <w:rFonts w:hint="eastAsia" w:ascii="仿宋_GB2312" w:hAnsi="仿宋_GB2312" w:eastAsia="仿宋_GB2312"/>
                <w:szCs w:val="21"/>
                <w:highlight w:val="none"/>
              </w:rPr>
              <w:t>&lt;</w:t>
            </w:r>
            <w:r>
              <w:rPr>
                <w:rFonts w:hint="eastAsia" w:ascii="仿宋_GB2312" w:eastAsia="仿宋_GB2312"/>
                <w:szCs w:val="21"/>
                <w:highlight w:val="none"/>
              </w:rPr>
              <w:t>80</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90%</w:t>
            </w:r>
          </w:p>
        </w:tc>
        <w:tc>
          <w:tcPr>
            <w:tcW w:w="168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40≤Z</w:t>
            </w:r>
            <w:r>
              <w:rPr>
                <w:rFonts w:hint="eastAsia" w:ascii="仿宋_GB2312" w:hAnsi="仿宋_GB2312" w:eastAsia="仿宋_GB2312"/>
                <w:szCs w:val="21"/>
                <w:highlight w:val="none"/>
              </w:rPr>
              <w:t>&lt;</w:t>
            </w:r>
            <w:r>
              <w:rPr>
                <w:rFonts w:hint="eastAsia" w:ascii="仿宋_GB2312" w:eastAsia="仿宋_GB2312"/>
                <w:szCs w:val="21"/>
                <w:highlight w:val="none"/>
              </w:rPr>
              <w:t>45</w:t>
            </w:r>
          </w:p>
        </w:tc>
        <w:tc>
          <w:tcPr>
            <w:tcW w:w="2106" w:type="dxa"/>
            <w:noWrap w:val="0"/>
            <w:vAlign w:val="top"/>
          </w:tcPr>
          <w:p>
            <w:pPr>
              <w:spacing w:line="360" w:lineRule="auto"/>
              <w:jc w:val="center"/>
              <w:rPr>
                <w:rFonts w:ascii="仿宋_GB2312" w:eastAsia="仿宋_GB2312"/>
                <w:szCs w:val="21"/>
                <w:highlight w:val="none"/>
              </w:rPr>
            </w:pPr>
            <w:r>
              <w:rPr>
                <w:rFonts w:hint="default" w:ascii="仿宋_GB2312" w:eastAsia="仿宋_GB2312"/>
                <w:szCs w:val="21"/>
                <w:highlight w:val="none"/>
                <w:lang w:val="en-US"/>
              </w:rPr>
              <w:t>55</w:t>
            </w:r>
            <w:r>
              <w:rPr>
                <w:rFonts w:hint="eastAsia" w:ascii="仿宋_GB2312" w:eastAsia="仿宋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70≤Z</w:t>
            </w:r>
            <w:r>
              <w:rPr>
                <w:rFonts w:hint="eastAsia" w:ascii="仿宋_GB2312" w:hAnsi="仿宋_GB2312" w:eastAsia="仿宋_GB2312"/>
                <w:szCs w:val="21"/>
                <w:highlight w:val="none"/>
              </w:rPr>
              <w:t>&lt;</w:t>
            </w:r>
            <w:r>
              <w:rPr>
                <w:rFonts w:hint="eastAsia" w:ascii="仿宋_GB2312" w:eastAsia="仿宋_GB2312"/>
                <w:szCs w:val="21"/>
                <w:highlight w:val="none"/>
              </w:rPr>
              <w:t>75</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85%</w:t>
            </w:r>
          </w:p>
        </w:tc>
        <w:tc>
          <w:tcPr>
            <w:tcW w:w="168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35≤Z</w:t>
            </w:r>
            <w:r>
              <w:rPr>
                <w:rFonts w:hint="eastAsia" w:ascii="仿宋_GB2312" w:hAnsi="仿宋_GB2312" w:eastAsia="仿宋_GB2312"/>
                <w:szCs w:val="21"/>
                <w:highlight w:val="none"/>
              </w:rPr>
              <w:t>&lt;</w:t>
            </w:r>
            <w:r>
              <w:rPr>
                <w:rFonts w:hint="eastAsia" w:ascii="仿宋_GB2312" w:eastAsia="仿宋_GB2312"/>
                <w:szCs w:val="21"/>
                <w:highlight w:val="none"/>
              </w:rPr>
              <w:t>40</w:t>
            </w:r>
          </w:p>
        </w:tc>
        <w:tc>
          <w:tcPr>
            <w:tcW w:w="2106" w:type="dxa"/>
            <w:noWrap w:val="0"/>
            <w:vAlign w:val="top"/>
          </w:tcPr>
          <w:p>
            <w:pPr>
              <w:spacing w:line="360" w:lineRule="auto"/>
              <w:jc w:val="center"/>
              <w:rPr>
                <w:rFonts w:ascii="仿宋_GB2312" w:eastAsia="仿宋_GB2312"/>
                <w:szCs w:val="21"/>
                <w:highlight w:val="none"/>
              </w:rPr>
            </w:pPr>
            <w:r>
              <w:rPr>
                <w:rFonts w:hint="default" w:ascii="仿宋_GB2312" w:eastAsia="仿宋_GB2312"/>
                <w:szCs w:val="21"/>
                <w:highlight w:val="none"/>
                <w:lang w:val="en-US"/>
              </w:rPr>
              <w:t>50</w:t>
            </w:r>
            <w:r>
              <w:rPr>
                <w:rFonts w:hint="eastAsia" w:ascii="仿宋_GB2312" w:eastAsia="仿宋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65≤Z</w:t>
            </w:r>
            <w:r>
              <w:rPr>
                <w:rFonts w:hint="eastAsia" w:ascii="仿宋_GB2312" w:hAnsi="仿宋_GB2312" w:eastAsia="仿宋_GB2312"/>
                <w:szCs w:val="21"/>
                <w:highlight w:val="none"/>
              </w:rPr>
              <w:t>&lt;</w:t>
            </w:r>
            <w:r>
              <w:rPr>
                <w:rFonts w:hint="eastAsia" w:ascii="仿宋_GB2312" w:eastAsia="仿宋_GB2312"/>
                <w:szCs w:val="21"/>
                <w:highlight w:val="none"/>
              </w:rPr>
              <w:t>70</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80%</w:t>
            </w:r>
          </w:p>
        </w:tc>
        <w:tc>
          <w:tcPr>
            <w:tcW w:w="168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30≤Z</w:t>
            </w:r>
            <w:r>
              <w:rPr>
                <w:rFonts w:hint="eastAsia" w:ascii="仿宋_GB2312" w:hAnsi="仿宋_GB2312" w:eastAsia="仿宋_GB2312"/>
                <w:szCs w:val="21"/>
                <w:highlight w:val="none"/>
              </w:rPr>
              <w:t>&lt;</w:t>
            </w:r>
            <w:r>
              <w:rPr>
                <w:rFonts w:hint="eastAsia" w:ascii="仿宋_GB2312" w:eastAsia="仿宋_GB2312"/>
                <w:szCs w:val="21"/>
                <w:highlight w:val="none"/>
              </w:rPr>
              <w:t>35</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60≤Z</w:t>
            </w:r>
            <w:r>
              <w:rPr>
                <w:rFonts w:hint="eastAsia" w:ascii="仿宋_GB2312" w:hAnsi="仿宋_GB2312" w:eastAsia="仿宋_GB2312"/>
                <w:szCs w:val="21"/>
                <w:highlight w:val="none"/>
              </w:rPr>
              <w:t>&lt;</w:t>
            </w:r>
            <w:r>
              <w:rPr>
                <w:rFonts w:hint="eastAsia" w:ascii="仿宋_GB2312" w:eastAsia="仿宋_GB2312"/>
                <w:szCs w:val="21"/>
                <w:highlight w:val="none"/>
              </w:rPr>
              <w:t>65</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75%</w:t>
            </w:r>
          </w:p>
        </w:tc>
        <w:tc>
          <w:tcPr>
            <w:tcW w:w="168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25≤Z</w:t>
            </w:r>
            <w:r>
              <w:rPr>
                <w:rFonts w:hint="eastAsia" w:ascii="仿宋_GB2312" w:hAnsi="仿宋_GB2312" w:eastAsia="仿宋_GB2312"/>
                <w:szCs w:val="21"/>
                <w:highlight w:val="none"/>
              </w:rPr>
              <w:t>&lt;</w:t>
            </w:r>
            <w:r>
              <w:rPr>
                <w:rFonts w:hint="eastAsia" w:ascii="仿宋_GB2312" w:eastAsia="仿宋_GB2312"/>
                <w:szCs w:val="21"/>
                <w:highlight w:val="none"/>
              </w:rPr>
              <w:t>30</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55≤Z</w:t>
            </w:r>
            <w:r>
              <w:rPr>
                <w:rFonts w:hint="eastAsia" w:ascii="仿宋_GB2312" w:hAnsi="仿宋_GB2312" w:eastAsia="仿宋_GB2312"/>
                <w:szCs w:val="21"/>
                <w:highlight w:val="none"/>
              </w:rPr>
              <w:t>&lt;</w:t>
            </w:r>
            <w:r>
              <w:rPr>
                <w:rFonts w:hint="eastAsia" w:ascii="仿宋_GB2312" w:eastAsia="仿宋_GB2312"/>
                <w:szCs w:val="21"/>
                <w:highlight w:val="none"/>
              </w:rPr>
              <w:t>60</w:t>
            </w:r>
          </w:p>
        </w:tc>
        <w:tc>
          <w:tcPr>
            <w:tcW w:w="2106" w:type="dxa"/>
            <w:noWrap w:val="0"/>
            <w:vAlign w:val="top"/>
          </w:tcPr>
          <w:p>
            <w:pPr>
              <w:spacing w:line="360" w:lineRule="auto"/>
              <w:jc w:val="center"/>
              <w:rPr>
                <w:rFonts w:ascii="仿宋_GB2312" w:eastAsia="仿宋_GB2312"/>
                <w:szCs w:val="21"/>
                <w:highlight w:val="none"/>
              </w:rPr>
            </w:pPr>
            <w:r>
              <w:rPr>
                <w:rFonts w:hint="default" w:ascii="仿宋_GB2312" w:eastAsia="仿宋_GB2312"/>
                <w:szCs w:val="21"/>
                <w:highlight w:val="none"/>
                <w:lang w:val="en-US"/>
              </w:rPr>
              <w:t>70</w:t>
            </w:r>
            <w:r>
              <w:rPr>
                <w:rFonts w:hint="eastAsia" w:ascii="仿宋_GB2312" w:eastAsia="仿宋_GB2312"/>
                <w:szCs w:val="21"/>
                <w:highlight w:val="none"/>
              </w:rPr>
              <w:t>%</w:t>
            </w:r>
          </w:p>
        </w:tc>
        <w:tc>
          <w:tcPr>
            <w:tcW w:w="168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20≤Z</w:t>
            </w:r>
            <w:r>
              <w:rPr>
                <w:rFonts w:hint="eastAsia" w:ascii="仿宋_GB2312" w:hAnsi="仿宋_GB2312" w:eastAsia="仿宋_GB2312"/>
                <w:szCs w:val="21"/>
                <w:highlight w:val="none"/>
              </w:rPr>
              <w:t>&lt;</w:t>
            </w:r>
            <w:r>
              <w:rPr>
                <w:rFonts w:hint="eastAsia" w:ascii="仿宋_GB2312" w:eastAsia="仿宋_GB2312"/>
                <w:szCs w:val="21"/>
                <w:highlight w:val="none"/>
              </w:rPr>
              <w:t>25</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4"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50≤Z</w:t>
            </w:r>
            <w:r>
              <w:rPr>
                <w:rFonts w:hint="eastAsia" w:ascii="仿宋_GB2312" w:hAnsi="仿宋_GB2312" w:eastAsia="仿宋_GB2312"/>
                <w:szCs w:val="21"/>
                <w:highlight w:val="none"/>
              </w:rPr>
              <w:t>&lt;</w:t>
            </w:r>
            <w:r>
              <w:rPr>
                <w:rFonts w:hint="eastAsia" w:ascii="仿宋_GB2312" w:eastAsia="仿宋_GB2312"/>
                <w:szCs w:val="21"/>
                <w:highlight w:val="none"/>
              </w:rPr>
              <w:t>55</w:t>
            </w:r>
          </w:p>
        </w:tc>
        <w:tc>
          <w:tcPr>
            <w:tcW w:w="2106" w:type="dxa"/>
            <w:noWrap w:val="0"/>
            <w:vAlign w:val="top"/>
          </w:tcPr>
          <w:p>
            <w:pPr>
              <w:spacing w:line="360" w:lineRule="auto"/>
              <w:jc w:val="center"/>
              <w:rPr>
                <w:rFonts w:ascii="仿宋_GB2312" w:eastAsia="仿宋_GB2312"/>
                <w:szCs w:val="21"/>
                <w:highlight w:val="none"/>
              </w:rPr>
            </w:pPr>
            <w:r>
              <w:rPr>
                <w:rFonts w:hint="default" w:ascii="仿宋_GB2312" w:eastAsia="仿宋_GB2312"/>
                <w:szCs w:val="21"/>
                <w:highlight w:val="none"/>
                <w:lang w:val="en-US"/>
              </w:rPr>
              <w:t>65</w:t>
            </w:r>
            <w:r>
              <w:rPr>
                <w:rFonts w:hint="eastAsia" w:ascii="仿宋_GB2312" w:eastAsia="仿宋_GB2312"/>
                <w:szCs w:val="21"/>
                <w:highlight w:val="none"/>
              </w:rPr>
              <w:t>%</w:t>
            </w:r>
          </w:p>
        </w:tc>
        <w:tc>
          <w:tcPr>
            <w:tcW w:w="1686" w:type="dxa"/>
            <w:noWrap w:val="0"/>
            <w:vAlign w:val="top"/>
          </w:tcPr>
          <w:p>
            <w:pPr>
              <w:spacing w:line="360" w:lineRule="auto"/>
              <w:jc w:val="center"/>
              <w:rPr>
                <w:rFonts w:ascii="仿宋_GB2312" w:eastAsia="仿宋_GB2312"/>
                <w:szCs w:val="21"/>
                <w:highlight w:val="none"/>
              </w:rPr>
            </w:pPr>
            <w:r>
              <w:rPr>
                <w:rFonts w:hint="eastAsia" w:ascii="仿宋_GB2312" w:hAnsi="仿宋_GB2312" w:eastAsia="仿宋_GB2312"/>
                <w:szCs w:val="21"/>
                <w:highlight w:val="none"/>
              </w:rPr>
              <w:t>0&lt;</w:t>
            </w:r>
            <w:r>
              <w:rPr>
                <w:rFonts w:hint="eastAsia" w:ascii="仿宋_GB2312" w:eastAsia="仿宋_GB2312"/>
                <w:szCs w:val="21"/>
                <w:highlight w:val="none"/>
              </w:rPr>
              <w:t>Z</w:t>
            </w:r>
            <w:r>
              <w:rPr>
                <w:rFonts w:hint="eastAsia" w:ascii="仿宋_GB2312" w:hAnsi="仿宋_GB2312" w:eastAsia="仿宋_GB2312"/>
                <w:szCs w:val="21"/>
                <w:highlight w:val="none"/>
              </w:rPr>
              <w:t>&lt;</w:t>
            </w:r>
            <w:r>
              <w:rPr>
                <w:rFonts w:hint="eastAsia" w:ascii="仿宋_GB2312" w:eastAsia="仿宋_GB2312"/>
                <w:szCs w:val="21"/>
                <w:highlight w:val="none"/>
              </w:rPr>
              <w:t>20</w:t>
            </w:r>
          </w:p>
        </w:tc>
        <w:tc>
          <w:tcPr>
            <w:tcW w:w="2106" w:type="dxa"/>
            <w:noWrap w:val="0"/>
            <w:vAlign w:val="top"/>
          </w:tcPr>
          <w:p>
            <w:pPr>
              <w:spacing w:line="360" w:lineRule="auto"/>
              <w:jc w:val="center"/>
              <w:rPr>
                <w:rFonts w:ascii="仿宋_GB2312" w:eastAsia="仿宋_GB2312"/>
                <w:szCs w:val="21"/>
                <w:highlight w:val="none"/>
              </w:rPr>
            </w:pPr>
            <w:r>
              <w:rPr>
                <w:rFonts w:hint="eastAsia" w:ascii="仿宋_GB2312" w:eastAsia="仿宋_GB2312"/>
                <w:szCs w:val="21"/>
                <w:highlight w:val="none"/>
              </w:rPr>
              <w:t>30%</w:t>
            </w:r>
          </w:p>
        </w:tc>
      </w:tr>
    </w:tbl>
    <w:p>
      <w:pPr>
        <w:numPr>
          <w:ilvl w:val="0"/>
          <w:numId w:val="0"/>
        </w:numPr>
        <w:spacing w:line="360" w:lineRule="auto"/>
        <w:ind w:firstLine="0" w:firstLineChars="0"/>
        <w:rPr>
          <w:rFonts w:hint="eastAsia" w:ascii="宋体" w:hAnsi="宋体" w:cs="宋体"/>
          <w:highlight w:val="none"/>
        </w:rPr>
      </w:pPr>
      <w:r>
        <w:rPr>
          <w:rFonts w:hint="eastAsia" w:ascii="宋体" w:hAnsi="宋体" w:cs="宋体"/>
          <w:highlight w:val="none"/>
          <w:lang w:val="en-US" w:eastAsia="zh-CN"/>
        </w:rPr>
        <w:t xml:space="preserve">    3. </w:t>
      </w:r>
      <w:r>
        <w:rPr>
          <w:rFonts w:hint="eastAsia" w:ascii="宋体" w:hAnsi="宋体" w:cs="宋体"/>
          <w:highlight w:val="none"/>
        </w:rPr>
        <w:t>考核扣款：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a.乙方驻场人员未遵守甲方工作时间，按时打卡。上下班存在迟到、早退等情况的，每发现一次扣款500元。</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b.乙方驻场人员与其提交的响应文件中的驻场人员名单不一致的，每发现1个人员，扣款10000元；驻场人员不得随意更换，更换后的人员应持有不低于原驻场人员的相关资质，无特殊情况在项目期间不能有超过2人以上的人员变动，如需变动至少提前2个月正式书面通知甲方，并提供新驻场人员的相关资质材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c.乙方应保障甲方在国家、行业和自治区网络安全攻防演习（护网）期间网络和系统不被攻破，甲方每被攻击队攻破一次，扣除乙方5000元。</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d.乙方应保障甲方在国家和自治区重大活动及重大节假日等重要时期不被攻破，甲方每被攻破一次，扣除乙方扣50000元。</w:t>
      </w:r>
    </w:p>
    <w:p>
      <w:pPr>
        <w:spacing w:line="360" w:lineRule="auto"/>
        <w:ind w:firstLine="420" w:firstLineChars="200"/>
        <w:rPr>
          <w:highlight w:val="none"/>
        </w:rPr>
      </w:pPr>
      <w:r>
        <w:rPr>
          <w:rFonts w:hint="eastAsia" w:ascii="宋体" w:hAnsi="宋体" w:cs="宋体"/>
          <w:szCs w:val="21"/>
          <w:highlight w:val="none"/>
          <w:lang w:val="en-US" w:eastAsia="zh-CN"/>
        </w:rPr>
        <w:t xml:space="preserve">4. </w:t>
      </w:r>
      <w:r>
        <w:rPr>
          <w:rFonts w:hint="eastAsia" w:ascii="宋体" w:hAnsi="宋体" w:cs="宋体"/>
          <w:szCs w:val="21"/>
          <w:highlight w:val="none"/>
        </w:rPr>
        <w:t>验收款</w:t>
      </w:r>
      <w:r>
        <w:rPr>
          <w:rFonts w:hint="eastAsia" w:ascii="宋体" w:hAnsi="宋体" w:cs="宋体"/>
          <w:szCs w:val="21"/>
          <w:highlight w:val="none"/>
          <w:lang w:eastAsia="zh-CN"/>
        </w:rPr>
        <w:t>（考核服务费）</w:t>
      </w:r>
      <w:r>
        <w:rPr>
          <w:rFonts w:hint="eastAsia" w:ascii="宋体" w:hAnsi="宋体" w:cs="宋体"/>
          <w:szCs w:val="21"/>
          <w:highlight w:val="none"/>
        </w:rPr>
        <w:t>：本合同履行完毕后，乙方按照项目要求准备齐全验收材料并向甲方提出项目验收申请，由甲方组织专家对本项目进行验收（验收费用由甲方承担）。验收不合格的乙方须在15个工作日内进行整改，再按上述验收流程由甲方再次组织验收（验收费用由乙方承担），直至项目通过专家验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 xml:space="preserve">5. </w:t>
      </w:r>
      <w:r>
        <w:rPr>
          <w:rFonts w:hint="eastAsia" w:ascii="宋体" w:hAnsi="宋体" w:cs="宋体"/>
          <w:szCs w:val="21"/>
          <w:highlight w:val="none"/>
        </w:rPr>
        <w:t>乙方在合同期内发生《广西财政厅网络安全保障服务考核办法》规定的重大事故或累计第二次发生较大事故的，甲方可单方面终止合同，并拒付合同终止时当期全额服务款。其余违约追责及终止合同处理分别详见“第八条违约责任”及“第九条争议解决和合同终止”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 xml:space="preserve">6. </w:t>
      </w:r>
      <w:r>
        <w:rPr>
          <w:rFonts w:hint="eastAsia" w:ascii="宋体" w:hAnsi="宋体" w:cs="宋体"/>
          <w:szCs w:val="21"/>
          <w:highlight w:val="none"/>
        </w:rPr>
        <w:t>乙方自收到款项之日起10个工作日内开具发票给甲方。</w:t>
      </w:r>
    </w:p>
    <w:p>
      <w:pPr>
        <w:snapToGrid w:val="0"/>
        <w:spacing w:line="360" w:lineRule="auto"/>
        <w:ind w:firstLine="422" w:firstLineChars="200"/>
        <w:outlineLvl w:val="0"/>
        <w:rPr>
          <w:rFonts w:ascii="宋体" w:hAnsi="宋体" w:cs="宋体"/>
          <w:b/>
          <w:bCs/>
          <w:highlight w:val="none"/>
        </w:rPr>
      </w:pPr>
      <w:r>
        <w:rPr>
          <w:rFonts w:hint="eastAsia" w:ascii="宋体" w:hAnsi="宋体" w:cs="宋体"/>
          <w:b/>
          <w:bCs/>
          <w:highlight w:val="none"/>
        </w:rPr>
        <w:t>第六条  双方的责任和义务</w:t>
      </w:r>
    </w:p>
    <w:p>
      <w:pPr>
        <w:spacing w:line="360" w:lineRule="auto"/>
        <w:ind w:firstLine="420" w:firstLineChars="200"/>
        <w:outlineLvl w:val="1"/>
        <w:rPr>
          <w:rFonts w:ascii="宋体" w:hAnsi="宋体" w:cs="宋体"/>
          <w:highlight w:val="none"/>
        </w:rPr>
      </w:pPr>
      <w:r>
        <w:rPr>
          <w:rFonts w:hint="eastAsia" w:ascii="宋体" w:hAnsi="宋体" w:cs="宋体"/>
          <w:highlight w:val="none"/>
        </w:rPr>
        <w:t>（一）甲方的责任和义务。</w:t>
      </w:r>
    </w:p>
    <w:p>
      <w:pPr>
        <w:spacing w:line="360" w:lineRule="auto"/>
        <w:ind w:firstLine="420" w:firstLineChars="200"/>
        <w:rPr>
          <w:rFonts w:ascii="宋体" w:hAnsi="宋体" w:cs="宋体"/>
          <w:highlight w:val="none"/>
        </w:rPr>
      </w:pPr>
      <w:r>
        <w:rPr>
          <w:rFonts w:hint="eastAsia" w:ascii="宋体" w:hAnsi="宋体" w:cs="宋体"/>
          <w:highlight w:val="none"/>
        </w:rPr>
        <w:t>1．履行告知义务。甲方的系统、设备、网络拓扑发生更改或发现系统、设备出现异常，应及时通知乙方并说明情况，便于乙方制定相应的服务方案。</w:t>
      </w:r>
    </w:p>
    <w:p>
      <w:pPr>
        <w:spacing w:line="360" w:lineRule="auto"/>
        <w:ind w:firstLine="420" w:firstLineChars="200"/>
        <w:rPr>
          <w:rFonts w:ascii="宋体" w:hAnsi="宋体" w:cs="宋体"/>
          <w:szCs w:val="21"/>
          <w:highlight w:val="none"/>
        </w:rPr>
      </w:pPr>
      <w:r>
        <w:rPr>
          <w:rFonts w:hint="eastAsia" w:ascii="宋体" w:hAnsi="宋体" w:cs="宋体"/>
          <w:highlight w:val="none"/>
        </w:rPr>
        <w:t>2．协助乙方工作和提供工作便利。乙方在对甲方的系统和设备服务过程中，提供必要</w:t>
      </w:r>
      <w:r>
        <w:rPr>
          <w:rFonts w:hint="eastAsia" w:ascii="宋体" w:hAnsi="宋体" w:cs="宋体"/>
          <w:szCs w:val="21"/>
          <w:highlight w:val="none"/>
        </w:rPr>
        <w:t>的协助和设施便利等。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3．负责对乙方工程师进行1天保密知识培训，培训费用由乙方自行承担。</w:t>
      </w:r>
    </w:p>
    <w:p>
      <w:pPr>
        <w:spacing w:line="360" w:lineRule="auto"/>
        <w:ind w:firstLine="420" w:firstLineChars="200"/>
        <w:rPr>
          <w:rFonts w:ascii="宋体" w:hAnsi="宋体" w:cs="宋体"/>
          <w:highlight w:val="none"/>
        </w:rPr>
      </w:pPr>
      <w:r>
        <w:rPr>
          <w:rFonts w:hint="eastAsia" w:ascii="宋体" w:hAnsi="宋体" w:cs="宋体"/>
          <w:highlight w:val="none"/>
        </w:rPr>
        <w:t>4．按时向乙方支付合同费用。</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（二）乙方责任和义务。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负责广西财政厅系统设备的安全防护，确保系统设备的安全稳定运行，不发生被入侵、网页被篡改、挂马、断网、中断服务等安全事件，因不可抗拒的技术因素导致的安全事件除外，不可抗拒技术因素是指：未知的病毒及漏洞，即国内网络安全厂商当日及以前均未检测和发现的病毒及漏洞，以当日之前（含当日以及以往的历史数据）国家互联网应急中心、乌云网、绿盟科技、安恒信息、微软、自治区财政厅网站所使用服务器及安全设备生产商已经发布的漏洞、病毒及其他数据为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w:t>
      </w:r>
      <w:r>
        <w:rPr>
          <w:rFonts w:ascii="宋体" w:hAnsi="宋体" w:cs="宋体"/>
          <w:szCs w:val="21"/>
          <w:highlight w:val="none"/>
        </w:rPr>
        <w:t>负责对风险评估、脆弱性扫描、</w:t>
      </w:r>
      <w:r>
        <w:rPr>
          <w:rFonts w:hint="eastAsia" w:ascii="宋体" w:hAnsi="宋体" w:cs="宋体"/>
          <w:szCs w:val="21"/>
          <w:highlight w:val="none"/>
        </w:rPr>
        <w:t>渗透测试、安全配置检查、安全通报、等保测评等发现的安全隐患提供补丁或整改措施，并与系统或设备运维厂商一起开展安全隐患的整改和验证工作。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3．针对本项目设立</w:t>
      </w:r>
      <w:r>
        <w:rPr>
          <w:rFonts w:hint="eastAsia" w:ascii="宋体" w:hAnsi="宋体" w:cs="宋体"/>
          <w:szCs w:val="21"/>
          <w:highlight w:val="none"/>
          <w:u w:val="single"/>
        </w:rPr>
        <w:t xml:space="preserve">    </w:t>
      </w:r>
      <w:r>
        <w:rPr>
          <w:rFonts w:hint="eastAsia" w:ascii="宋体" w:hAnsi="宋体" w:cs="宋体"/>
          <w:szCs w:val="21"/>
          <w:highlight w:val="none"/>
        </w:rPr>
        <w:t>人的技术服务组，按要求</w:t>
      </w:r>
      <w:r>
        <w:rPr>
          <w:rFonts w:hint="eastAsia" w:ascii="宋体" w:hAnsi="宋体" w:cs="宋体"/>
          <w:szCs w:val="21"/>
          <w:highlight w:val="none"/>
          <w:u w:val="single"/>
        </w:rPr>
        <w:t xml:space="preserve">    </w:t>
      </w:r>
      <w:r>
        <w:rPr>
          <w:rFonts w:hint="eastAsia" w:ascii="宋体" w:hAnsi="宋体" w:cs="宋体"/>
          <w:szCs w:val="21"/>
          <w:highlight w:val="none"/>
        </w:rPr>
        <w:t>名服务工程师驻场服务，并保证人员基本固定，当人员将发生变动时，应至少提前2个月书面通知甲方并获得甲方同意。同时，乙方提供服务的工程师需要经甲方登记审核，并与甲方签订保密协议。乙方维护服务期间，工程师必须获得甲方许可才能进行相应的测试、维护等相关工作，并遵守甲方的规章制度及安全保密等各项规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4．提供7×24小时的响应服务和技术咨询，积极响应甲方系统设备故障或安全事件处理请求。接到甲方需求通知后，行政班上班时间内</w:t>
      </w:r>
      <w:r>
        <w:rPr>
          <w:rFonts w:hint="eastAsia" w:ascii="宋体" w:hAnsi="宋体" w:cs="宋体"/>
          <w:szCs w:val="21"/>
          <w:highlight w:val="none"/>
          <w:lang w:eastAsia="zh-CN"/>
        </w:rPr>
        <w:t>（</w:t>
      </w:r>
      <w:r>
        <w:rPr>
          <w:rFonts w:hint="eastAsia" w:ascii="宋体" w:hAnsi="宋体" w:cs="宋体"/>
          <w:szCs w:val="21"/>
          <w:highlight w:val="none"/>
          <w:lang w:val="en-US" w:eastAsia="zh-CN"/>
        </w:rPr>
        <w:t>8：00-18：00</w:t>
      </w:r>
      <w:r>
        <w:rPr>
          <w:rFonts w:hint="eastAsia" w:ascii="宋体" w:hAnsi="宋体" w:cs="宋体"/>
          <w:szCs w:val="21"/>
          <w:highlight w:val="none"/>
          <w:lang w:eastAsia="zh-CN"/>
        </w:rPr>
        <w:t>）</w:t>
      </w:r>
      <w:r>
        <w:rPr>
          <w:rFonts w:hint="eastAsia" w:ascii="宋体" w:hAnsi="宋体" w:cs="宋体"/>
          <w:szCs w:val="21"/>
          <w:highlight w:val="none"/>
        </w:rPr>
        <w:t>须在5分钟内到达现场，其余时间须在30分钟内到达现场处理；一般事故应在4小时内解决，较大事故应在8小时内解决，重大事故应在16小时内解决，确保网络和系统正常运行。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．乙方根据本项目需求和甲方要求，提供4期8天网络安全专题方面培训，培训必须提供培训教材，教材应为电子版并允许拷贝。</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乙方需在服务期间建立全面详细的服务档案，例行巡查或维护后及时向甲方提供完整的工作周报告、月报告、季度报告和年总结服务报告及漏洞扫描、渗透测试、安全设备策略分析更改、应急响应服务记录等资料，并经甲方签字确认，以便甲方对乙方服务进行考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．乙方在对甲方系统设备进行扫描、渗透测试等操作可能造成甲方网络、网站、设备等出现故障的，应提前告知甲方，充分提示风险并提出可能出现问题后的应急解决方案，取得甲方同意后方可进行。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．乙方有义务接受甲方对其服务成果、服务质量的考核，并接受甲方根据考核结果作出的奖惩措施。</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乙方须加强参与本项目人员的遵纪守法、廉洁自律教育和监督，对项目人员在项目期间实施违法犯罪行为并对甲方利益造成的侵害承担相应经济和法律责任。乙方须在签订合同之日起30日内提供驻场服务人员的遵纪守法、恪守职业道德、征信等方面的入职调查材料。</w:t>
      </w:r>
    </w:p>
    <w:p>
      <w:pPr>
        <w:pStyle w:val="27"/>
        <w:spacing w:after="0" w:line="360" w:lineRule="auto"/>
        <w:ind w:firstLineChars="200"/>
        <w:rPr>
          <w:highlight w:val="none"/>
        </w:rPr>
      </w:pPr>
      <w:r>
        <w:rPr>
          <w:rFonts w:hint="eastAsia"/>
          <w:highlight w:val="none"/>
        </w:rPr>
        <w:t>1</w:t>
      </w:r>
      <w:r>
        <w:rPr>
          <w:rFonts w:hint="eastAsia"/>
          <w:highlight w:val="none"/>
          <w:lang w:val="en-US" w:eastAsia="zh-CN"/>
        </w:rPr>
        <w:t>0</w:t>
      </w:r>
      <w:r>
        <w:rPr>
          <w:rFonts w:hint="eastAsia"/>
          <w:highlight w:val="none"/>
        </w:rPr>
        <w:t>. 乙方实施项目服务工作期间如出现维护人员人身、财产安全事故、损失等由乙方全部负责，甲方不负任何责任。</w:t>
      </w:r>
    </w:p>
    <w:p>
      <w:pPr>
        <w:spacing w:line="360" w:lineRule="auto"/>
        <w:ind w:firstLine="422" w:firstLineChars="200"/>
        <w:outlineLvl w:val="0"/>
        <w:rPr>
          <w:rFonts w:ascii="宋体" w:hAnsi="宋体" w:cs="宋体"/>
          <w:b/>
          <w:bCs/>
          <w:szCs w:val="21"/>
          <w:highlight w:val="none"/>
        </w:rPr>
      </w:pPr>
      <w:r>
        <w:rPr>
          <w:rFonts w:hint="eastAsia" w:ascii="宋体" w:hAnsi="宋体" w:cs="宋体"/>
          <w:b/>
          <w:bCs/>
          <w:szCs w:val="21"/>
          <w:highlight w:val="none"/>
        </w:rPr>
        <w:t>第七条  知识产权及保密条款</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（一）知识产权归属。</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乙方提交的服务成果和相关文档资料的知识产权归甲方所有。</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（二）转委托。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本项目不允许转包或分包。</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（三）保密条款。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1．双方须签订保密协议，具体条款和格式见《202</w:t>
      </w:r>
      <w:r>
        <w:rPr>
          <w:rFonts w:hint="eastAsia" w:ascii="宋体" w:hAnsi="宋体" w:cs="宋体"/>
          <w:szCs w:val="21"/>
          <w:highlight w:val="none"/>
          <w:lang w:val="en-US" w:eastAsia="zh-CN"/>
        </w:rPr>
        <w:t>5</w:t>
      </w:r>
      <w:r>
        <w:rPr>
          <w:rFonts w:hint="eastAsia" w:ascii="宋体" w:hAnsi="宋体" w:cs="宋体"/>
          <w:szCs w:val="21"/>
          <w:highlight w:val="none"/>
        </w:rPr>
        <w:t>年网络安全保障服务项目保密协议》。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2．未经一方同意，另一方不得以任何形式公开合同及其相关附件的内容。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3．双方应对参加项目工作人员严格要求，遵守保密协议。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4．任何一方违反保密条款，给对方造成损失，应按对方的实际损失承担赔偿责任。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5．甲乙双方都负有保守对方的单位机密或商业秘密的义务，保密范围包括但不限于技术情报、财政数据资料及其他公开后对对方造成影响或损失的秘密。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6．本条款不因合同的变更、解除和终止而失效。</w:t>
      </w:r>
    </w:p>
    <w:p>
      <w:pPr>
        <w:spacing w:line="360" w:lineRule="auto"/>
        <w:ind w:firstLine="422" w:firstLineChars="200"/>
        <w:outlineLvl w:val="0"/>
        <w:rPr>
          <w:rFonts w:ascii="宋体" w:hAnsi="宋体" w:cs="宋体"/>
          <w:b/>
          <w:bCs/>
          <w:szCs w:val="21"/>
          <w:highlight w:val="none"/>
        </w:rPr>
      </w:pPr>
      <w:r>
        <w:rPr>
          <w:rFonts w:hint="eastAsia" w:ascii="宋体" w:hAnsi="宋体" w:cs="宋体"/>
          <w:b/>
          <w:bCs/>
          <w:szCs w:val="21"/>
          <w:highlight w:val="none"/>
        </w:rPr>
        <w:t>第八条  违约责任</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（一）甲方违约责任。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甲方逾期30个工作日以上向乙方支付合同金额，造成项目工作停滞、延误的，甲方应承担相应延期款额5%的违约金。</w:t>
      </w:r>
    </w:p>
    <w:p>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（二）乙方违约责任。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1．乙方出现以下情况之一的，视为违约，须承担项目合同总金额20%的违约金：</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（1）乙方未能按照甲方要求设立技术服务组，或驻场工程师配置不符合磋商文件和响应文件服务承诺要求，甲方提出后5个工作日内，乙方仍不整改的。</w:t>
      </w:r>
    </w:p>
    <w:p>
      <w:pPr>
        <w:spacing w:line="360" w:lineRule="auto"/>
        <w:ind w:firstLine="420" w:firstLineChars="200"/>
        <w:rPr>
          <w:rFonts w:hint="eastAsia" w:ascii="宋体" w:hAnsi="宋体" w:cs="宋体"/>
          <w:szCs w:val="21"/>
          <w:highlight w:val="none"/>
        </w:rPr>
      </w:pPr>
      <w:r>
        <w:rPr>
          <w:rFonts w:hint="eastAsia" w:ascii="宋体" w:hAnsi="宋体" w:cs="宋体"/>
          <w:highlight w:val="none"/>
        </w:rPr>
        <w:t>（2）</w:t>
      </w:r>
      <w:r>
        <w:rPr>
          <w:rFonts w:hint="eastAsia" w:ascii="宋体" w:hAnsi="宋体" w:cs="宋体"/>
          <w:szCs w:val="21"/>
          <w:highlight w:val="none"/>
        </w:rPr>
        <w:t>乙方调整驻场人员，必须提前2个月获得甲方书面同意。没有甲方书面同意，乙方擅自调整驻场人员的。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（3）应急预案不管用，备用设备没能按时到位的。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（4）乙方未能按甲方的需求和本项目服务方案提供服务，造成甲方系统设备出现较大及以上事故的。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2．乙方在合同期内发生《广西财政厅网络安全保障服务考核办法》中规定的重大事故、较大事故、一般事故，处理如下：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每发生一次重大事故的，乙方应赔偿甲方合同总金额</w:t>
      </w:r>
      <w:r>
        <w:rPr>
          <w:rFonts w:hint="eastAsia" w:ascii="宋体" w:hAnsi="宋体" w:cs="宋体"/>
          <w:szCs w:val="21"/>
          <w:highlight w:val="none"/>
        </w:rPr>
        <w:t>20</w:t>
      </w:r>
      <w:r>
        <w:rPr>
          <w:rFonts w:ascii="宋体" w:hAnsi="宋体" w:cs="宋体"/>
          <w:szCs w:val="21"/>
          <w:highlight w:val="none"/>
        </w:rPr>
        <w:t>%的违约金；每发生一次较大事故的，乙方应赔偿甲方合同总金额</w:t>
      </w:r>
      <w:r>
        <w:rPr>
          <w:rFonts w:hint="eastAsia" w:ascii="宋体" w:hAnsi="宋体" w:cs="宋体"/>
          <w:szCs w:val="21"/>
          <w:highlight w:val="none"/>
        </w:rPr>
        <w:t>10</w:t>
      </w:r>
      <w:r>
        <w:rPr>
          <w:rFonts w:ascii="宋体" w:hAnsi="宋体" w:cs="宋体"/>
          <w:szCs w:val="21"/>
          <w:highlight w:val="none"/>
        </w:rPr>
        <w:t>%的违约金；每发生一次</w:t>
      </w:r>
      <w:r>
        <w:rPr>
          <w:rFonts w:hint="eastAsia" w:ascii="宋体" w:hAnsi="宋体" w:cs="宋体"/>
          <w:szCs w:val="21"/>
          <w:highlight w:val="none"/>
        </w:rPr>
        <w:t>一般</w:t>
      </w:r>
      <w:r>
        <w:rPr>
          <w:rFonts w:ascii="宋体" w:hAnsi="宋体" w:cs="宋体"/>
          <w:szCs w:val="21"/>
          <w:highlight w:val="none"/>
        </w:rPr>
        <w:t>事故，乙方应赔偿甲方合同总金额</w:t>
      </w:r>
      <w:r>
        <w:rPr>
          <w:rFonts w:hint="eastAsia" w:ascii="宋体" w:hAnsi="宋体" w:cs="宋体"/>
          <w:szCs w:val="21"/>
          <w:highlight w:val="none"/>
        </w:rPr>
        <w:t>5</w:t>
      </w:r>
      <w:r>
        <w:rPr>
          <w:rFonts w:ascii="宋体" w:hAnsi="宋体" w:cs="宋体"/>
          <w:szCs w:val="21"/>
          <w:highlight w:val="none"/>
        </w:rPr>
        <w:t>%的违约金。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（2）乙方在合同期内发生重大事故或累计第二次发生较大事故造成合同终止的，甲方有权按照乙方已提供的服务期数要求乙方退回部分预付款，计算公式：退回金额=预付款金额 </w:t>
      </w:r>
      <w:r>
        <w:rPr>
          <w:rFonts w:hint="eastAsia"/>
          <w:position w:val="-12"/>
          <w:highlight w:val="none"/>
        </w:rPr>
        <w:drawing>
          <wp:inline distT="0" distB="0" distL="114300" distR="114300">
            <wp:extent cx="476250" cy="266700"/>
            <wp:effectExtent l="0" t="0" r="11430" b="762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4"/>
                    <a:stretch>
                      <a:fillRect/>
                    </a:stretch>
                  </pic:blipFill>
                  <pic:spPr>
                    <a:xfrm>
                      <a:off x="0" y="0"/>
                      <a:ext cx="476250" cy="266700"/>
                    </a:xfrm>
                    <a:prstGeom prst="rect">
                      <a:avLst/>
                    </a:prstGeom>
                    <a:noFill/>
                    <a:ln>
                      <a:noFill/>
                    </a:ln>
                  </pic:spPr>
                </pic:pic>
              </a:graphicData>
            </a:graphic>
          </wp:inline>
        </w:drawing>
      </w:r>
      <w:r>
        <w:rPr>
          <w:rFonts w:hint="eastAsia"/>
          <w:position w:val="-12"/>
          <w:highlight w:val="none"/>
        </w:rPr>
        <w:t xml:space="preserve"> </w:t>
      </w:r>
      <w:r>
        <w:rPr>
          <w:rFonts w:hint="eastAsia" w:ascii="宋体" w:hAnsi="宋体" w:cs="宋体"/>
          <w:szCs w:val="21"/>
          <w:highlight w:val="none"/>
        </w:rPr>
        <w:t>,其中n为考核总期数，m为在第m个考核期终止合同。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（3）乙方在合同期内发生重大事故、较大事故、一般事故，甲方有权要求其按规定采取补救措施，并按所遭受到的实际损失向乙方追讨赔偿。</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 xml:space="preserve"> </w:t>
      </w:r>
      <w:r>
        <w:rPr>
          <w:rFonts w:hint="eastAsia" w:ascii="宋体" w:hAnsi="宋体" w:cs="宋体"/>
          <w:szCs w:val="21"/>
          <w:highlight w:val="none"/>
        </w:rPr>
        <w:t>乙方转包或分包本项目的，按《政府采购法实施条例》的规定承担相关法律责任。</w:t>
      </w:r>
    </w:p>
    <w:p>
      <w:pPr>
        <w:spacing w:line="360" w:lineRule="auto"/>
        <w:ind w:firstLine="422" w:firstLineChars="200"/>
        <w:outlineLvl w:val="0"/>
        <w:rPr>
          <w:rFonts w:ascii="宋体" w:hAnsi="宋体" w:cs="宋体"/>
          <w:b/>
          <w:bCs/>
          <w:szCs w:val="21"/>
          <w:highlight w:val="none"/>
        </w:rPr>
      </w:pPr>
      <w:r>
        <w:rPr>
          <w:rFonts w:hint="eastAsia" w:ascii="宋体" w:hAnsi="宋体" w:cs="宋体"/>
          <w:b/>
          <w:bCs/>
          <w:szCs w:val="21"/>
          <w:highlight w:val="none"/>
        </w:rPr>
        <w:t>第九条  争议解决和合同终止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不可抗力。甲乙双方任何一方由于电力故障、火灾、自然灾害等不可抗力因素不能履行或不能完全履行合同时，应允许延期履行、部分履行或不履行，并可免责，但应以书面形式告知对方，并应于告知之日起10个工作日内出具有关部门的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（二）争议解决。双方在履行合同中产生争议，应友好协商解决；协商不成的，可向甲方所在地有管辖权的法院起诉。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（三）合同终止。如果乙方存在下列情况，则本合同自动终止：转包或分包本项目、提出破产申请、被判破产、被提请破产申请或停止经营。甲方保留向乙方索赔的权力。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1．如果一方未按合同规定履行义务，对方可以提出解除合同；任何一方若有依据证实另一方无法履行本合同时，可提出解除合同。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2．如果乙方在合同期内发生《广西财政厅网络安全保障服务考核办法》中规定的重大事故或累计两次发生较大事故的，甲方有权单方面终止合同。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3．乙方未经甲方同意，擅自调整驻场人员的，或实际驻场人员不符合磋商文件承诺的人员，视为乙方违约，甲方有权单方面终止合同。</w:t>
      </w:r>
    </w:p>
    <w:p>
      <w:pPr>
        <w:spacing w:line="360" w:lineRule="auto"/>
        <w:ind w:firstLine="422" w:firstLineChars="200"/>
        <w:outlineLvl w:val="0"/>
        <w:rPr>
          <w:rFonts w:ascii="宋体" w:hAnsi="宋体" w:cs="宋体"/>
          <w:b/>
          <w:bCs/>
          <w:szCs w:val="21"/>
          <w:highlight w:val="none"/>
        </w:rPr>
      </w:pPr>
      <w:r>
        <w:rPr>
          <w:rFonts w:hint="eastAsia" w:ascii="宋体" w:hAnsi="宋体" w:cs="宋体"/>
          <w:b/>
          <w:bCs/>
          <w:szCs w:val="21"/>
          <w:highlight w:val="none"/>
        </w:rPr>
        <w:t>第十条  其他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1．本合同一式陆份，甲乙双方各执</w:t>
      </w:r>
      <w:r>
        <w:rPr>
          <w:rFonts w:hint="eastAsia" w:ascii="宋体" w:hAnsi="宋体" w:cs="宋体"/>
          <w:szCs w:val="21"/>
          <w:highlight w:val="none"/>
        </w:rPr>
        <w:fldChar w:fldCharType="begin"/>
      </w:r>
      <w:r>
        <w:rPr>
          <w:rFonts w:hint="eastAsia" w:ascii="宋体" w:hAnsi="宋体" w:cs="宋体"/>
          <w:szCs w:val="21"/>
          <w:highlight w:val="none"/>
        </w:rPr>
        <w:instrText xml:space="preserve"> = 2 \* CHINESENUM2 </w:instrText>
      </w:r>
      <w:r>
        <w:rPr>
          <w:rFonts w:hint="eastAsia" w:ascii="宋体" w:hAnsi="宋体" w:cs="宋体"/>
          <w:szCs w:val="21"/>
          <w:highlight w:val="none"/>
        </w:rPr>
        <w:fldChar w:fldCharType="separate"/>
      </w:r>
      <w:r>
        <w:rPr>
          <w:rFonts w:hint="eastAsia" w:ascii="宋体" w:hAnsi="宋体" w:cs="宋体"/>
          <w:szCs w:val="21"/>
          <w:highlight w:val="none"/>
        </w:rPr>
        <w:t>贰</w:t>
      </w:r>
      <w:r>
        <w:rPr>
          <w:rFonts w:hint="eastAsia" w:ascii="宋体" w:hAnsi="宋体" w:cs="宋体"/>
          <w:szCs w:val="21"/>
          <w:highlight w:val="none"/>
        </w:rPr>
        <w:fldChar w:fldCharType="end"/>
      </w:r>
      <w:r>
        <w:rPr>
          <w:rFonts w:hint="eastAsia" w:ascii="宋体" w:hAnsi="宋体" w:cs="宋体"/>
          <w:szCs w:val="21"/>
          <w:highlight w:val="none"/>
        </w:rPr>
        <w:t>份，采购监督管理部门执壹份，采购代理机构执壹份。自甲乙双方法定代表人或委托代理人签字并加盖单位公章之日起正式生效。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2．本合同未尽事宜，由双方协商签订书面补充协议，补充协议与本协议具同等法律效力。</w:t>
      </w:r>
    </w:p>
    <w:p>
      <w:pPr>
        <w:snapToGrid w:val="0"/>
        <w:spacing w:line="360" w:lineRule="auto"/>
        <w:ind w:firstLine="200"/>
        <w:rPr>
          <w:rFonts w:hint="eastAsia" w:ascii="宋体" w:hAnsi="宋体" w:cs="宋体"/>
          <w:szCs w:val="21"/>
          <w:highlight w:val="none"/>
        </w:rPr>
      </w:pPr>
      <w:r>
        <w:rPr>
          <w:rFonts w:hint="eastAsia" w:ascii="宋体" w:hAnsi="宋体" w:cs="宋体"/>
          <w:szCs w:val="21"/>
          <w:highlight w:val="none"/>
        </w:rPr>
        <w:t>（以下无正文，转签章页。）</w:t>
      </w:r>
    </w:p>
    <w:p>
      <w:pPr>
        <w:pStyle w:val="7"/>
        <w:rPr>
          <w:rFonts w:hint="eastAsia" w:ascii="宋体" w:hAnsi="宋体" w:cs="宋体"/>
          <w:szCs w:val="21"/>
          <w:highlight w:val="none"/>
        </w:rPr>
      </w:pPr>
    </w:p>
    <w:p>
      <w:pPr>
        <w:pStyle w:val="7"/>
        <w:rPr>
          <w:rFonts w:hint="eastAsia" w:ascii="宋体" w:hAnsi="宋体" w:cs="宋体"/>
          <w:szCs w:val="21"/>
          <w:highlight w:val="none"/>
        </w:rPr>
      </w:pPr>
    </w:p>
    <w:p>
      <w:pPr>
        <w:spacing w:line="360" w:lineRule="auto"/>
        <w:rPr>
          <w:rFonts w:ascii="宋体" w:hAnsi="宋体" w:cs="宋体"/>
          <w:highlight w:val="none"/>
        </w:rPr>
      </w:pPr>
      <w:r>
        <w:rPr>
          <w:rFonts w:hint="eastAsia" w:ascii="宋体" w:hAnsi="宋体" w:cs="宋体"/>
          <w:highlight w:val="none"/>
        </w:rPr>
        <w:t xml:space="preserve">甲方：广西财政信息管理中心                      </w:t>
      </w:r>
      <w:r>
        <w:rPr>
          <w:rFonts w:hint="eastAsia" w:ascii="宋体" w:hAnsi="宋体" w:cs="宋体"/>
          <w:highlight w:val="none"/>
          <w:lang w:val="en-US" w:eastAsia="zh-CN"/>
        </w:rPr>
        <w:t xml:space="preserve"> </w:t>
      </w:r>
      <w:r>
        <w:rPr>
          <w:rFonts w:hint="eastAsia" w:ascii="宋体" w:hAnsi="宋体" w:cs="宋体"/>
          <w:highlight w:val="none"/>
        </w:rPr>
        <w:t>乙方：</w:t>
      </w:r>
    </w:p>
    <w:p>
      <w:pPr>
        <w:spacing w:line="360" w:lineRule="auto"/>
        <w:rPr>
          <w:rFonts w:ascii="宋体" w:hAnsi="宋体" w:cs="宋体"/>
          <w:highlight w:val="none"/>
        </w:rPr>
      </w:pPr>
      <w:r>
        <w:rPr>
          <w:rFonts w:hint="eastAsia" w:ascii="宋体" w:hAnsi="宋体" w:cs="宋体"/>
          <w:highlight w:val="none"/>
        </w:rPr>
        <w:t>法定代表人：                                     法定代表人：</w:t>
      </w:r>
    </w:p>
    <w:p>
      <w:pPr>
        <w:spacing w:line="360" w:lineRule="auto"/>
        <w:rPr>
          <w:rFonts w:ascii="宋体" w:hAnsi="宋体" w:cs="宋体"/>
          <w:highlight w:val="none"/>
        </w:rPr>
      </w:pPr>
      <w:r>
        <w:rPr>
          <w:rFonts w:hint="eastAsia"/>
          <w:highlight w:val="none"/>
        </w:rPr>
        <w:t>委托代理人</w:t>
      </w: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highlight w:val="none"/>
        </w:rPr>
        <w:t>委托代理人</w:t>
      </w:r>
      <w:r>
        <w:rPr>
          <w:rFonts w:hint="eastAsia" w:ascii="宋体" w:hAnsi="宋体" w:cs="宋体"/>
          <w:highlight w:val="none"/>
        </w:rPr>
        <w:t>：</w:t>
      </w:r>
    </w:p>
    <w:p>
      <w:pPr>
        <w:spacing w:line="360" w:lineRule="auto"/>
        <w:rPr>
          <w:rFonts w:ascii="宋体" w:hAnsi="宋体" w:cs="宋体"/>
          <w:highlight w:val="none"/>
        </w:rPr>
      </w:pPr>
      <w:r>
        <w:rPr>
          <w:rFonts w:hint="eastAsia" w:ascii="宋体" w:hAnsi="宋体" w:cs="宋体"/>
          <w:highlight w:val="none"/>
        </w:rPr>
        <w:t>电话：                                           电话：</w:t>
      </w:r>
    </w:p>
    <w:p>
      <w:pPr>
        <w:spacing w:line="360" w:lineRule="auto"/>
        <w:rPr>
          <w:rFonts w:hint="eastAsia" w:ascii="宋体" w:hAnsi="宋体" w:cs="宋体"/>
          <w:highlight w:val="none"/>
        </w:rPr>
      </w:pPr>
      <w:r>
        <w:rPr>
          <w:rFonts w:hint="eastAsia" w:ascii="宋体" w:hAnsi="宋体" w:cs="宋体"/>
          <w:highlight w:val="none"/>
        </w:rPr>
        <w:t>签约日期：202</w:t>
      </w:r>
      <w:r>
        <w:rPr>
          <w:rFonts w:hint="eastAsia" w:ascii="宋体" w:hAnsi="宋体" w:cs="宋体"/>
          <w:highlight w:val="none"/>
          <w:lang w:val="en-US" w:eastAsia="zh-CN"/>
        </w:rPr>
        <w:t>5</w:t>
      </w:r>
      <w:r>
        <w:rPr>
          <w:rFonts w:hint="eastAsia" w:ascii="宋体" w:hAnsi="宋体" w:cs="宋体"/>
          <w:highlight w:val="none"/>
        </w:rPr>
        <w:t>年  月  日                        签约日期：202</w:t>
      </w:r>
      <w:r>
        <w:rPr>
          <w:rFonts w:hint="eastAsia" w:ascii="宋体" w:hAnsi="宋体" w:cs="宋体"/>
          <w:highlight w:val="none"/>
          <w:lang w:val="en-US" w:eastAsia="zh-CN"/>
        </w:rPr>
        <w:t>5</w:t>
      </w:r>
      <w:r>
        <w:rPr>
          <w:rFonts w:hint="eastAsia" w:ascii="宋体" w:hAnsi="宋体" w:cs="宋体"/>
          <w:highlight w:val="none"/>
        </w:rPr>
        <w:t>年  月  日</w:t>
      </w:r>
    </w:p>
    <w:p>
      <w:pPr>
        <w:spacing w:line="360" w:lineRule="auto"/>
        <w:rPr>
          <w:rFonts w:hint="eastAsia" w:ascii="宋体" w:hAnsi="宋体" w:cs="宋体"/>
          <w:highlight w:val="none"/>
        </w:rPr>
      </w:pPr>
      <w:r>
        <w:rPr>
          <w:rFonts w:hint="eastAsia" w:ascii="宋体" w:hAnsi="宋体" w:cs="宋体"/>
          <w:highlight w:val="none"/>
        </w:rPr>
        <w:t>户名：广西财政信息管理中心                       户名:</w:t>
      </w:r>
    </w:p>
    <w:p>
      <w:pPr>
        <w:spacing w:line="360" w:lineRule="auto"/>
        <w:rPr>
          <w:rFonts w:hint="eastAsia" w:ascii="宋体" w:hAnsi="宋体" w:cs="宋体"/>
          <w:highlight w:val="none"/>
        </w:rPr>
      </w:pPr>
      <w:r>
        <w:rPr>
          <w:rFonts w:hint="eastAsia" w:ascii="宋体" w:hAnsi="宋体" w:cs="宋体"/>
          <w:highlight w:val="none"/>
        </w:rPr>
        <w:t>账号：451060500018000202745                      账号：</w:t>
      </w:r>
    </w:p>
    <w:p>
      <w:pPr>
        <w:spacing w:line="360" w:lineRule="auto"/>
        <w:rPr>
          <w:rFonts w:hint="eastAsia" w:ascii="宋体" w:hAnsi="宋体" w:cs="宋体"/>
          <w:highlight w:val="none"/>
        </w:rPr>
      </w:pPr>
      <w:r>
        <w:rPr>
          <w:rFonts w:hint="eastAsia" w:ascii="宋体" w:hAnsi="宋体" w:cs="宋体"/>
          <w:highlight w:val="none"/>
        </w:rPr>
        <w:t>开户行:交通银行南宁市桃源支行                    开户行：</w:t>
      </w:r>
    </w:p>
    <w:p>
      <w:pPr>
        <w:spacing w:line="360" w:lineRule="auto"/>
        <w:rPr>
          <w:rFonts w:ascii="宋体" w:hAnsi="宋体" w:cs="宋体"/>
          <w:highlight w:val="none"/>
        </w:rPr>
      </w:pPr>
      <w:r>
        <w:rPr>
          <w:rFonts w:hint="eastAsia" w:ascii="宋体" w:hAnsi="宋体" w:cs="宋体"/>
          <w:highlight w:val="none"/>
        </w:rPr>
        <w:t>联行号：301611000050</w:t>
      </w:r>
    </w:p>
    <w:p>
      <w:pPr>
        <w:pStyle w:val="27"/>
        <w:ind w:firstLine="210"/>
        <w:rPr>
          <w:rFonts w:hint="eastAsia"/>
          <w:highlight w:val="none"/>
        </w:rPr>
      </w:pPr>
    </w:p>
    <w:p>
      <w:pPr>
        <w:spacing w:line="700" w:lineRule="atLeast"/>
        <w:jc w:val="center"/>
        <w:rPr>
          <w:rFonts w:ascii="方正小标宋简体" w:eastAsia="方正小标宋简体"/>
          <w:sz w:val="44"/>
          <w:szCs w:val="44"/>
          <w:highlight w:val="none"/>
        </w:rPr>
        <w:sectPr>
          <w:headerReference r:id="rId9" w:type="default"/>
          <w:footerReference r:id="rId10" w:type="default"/>
          <w:pgSz w:w="11906" w:h="16838"/>
          <w:pgMar w:top="1134" w:right="1247" w:bottom="1276" w:left="1247" w:header="851" w:footer="992" w:gutter="0"/>
          <w:cols w:space="720" w:num="1"/>
          <w:docGrid w:linePitch="312" w:charSpace="0"/>
        </w:sectPr>
      </w:pPr>
    </w:p>
    <w:p>
      <w:pPr>
        <w:spacing w:line="700" w:lineRule="atLeast"/>
        <w:jc w:val="center"/>
        <w:rPr>
          <w:rFonts w:hint="eastAsia" w:ascii="方正小标宋简体" w:eastAsia="方正小标宋简体"/>
          <w:sz w:val="44"/>
          <w:szCs w:val="44"/>
          <w:highlight w:val="none"/>
        </w:rPr>
      </w:pPr>
    </w:p>
    <w:p>
      <w:pPr>
        <w:spacing w:line="700" w:lineRule="atLeast"/>
        <w:jc w:val="center"/>
        <w:rPr>
          <w:rFonts w:hint="eastAsia" w:ascii="方正小标宋简体" w:eastAsia="方正小标宋简体"/>
          <w:sz w:val="44"/>
          <w:szCs w:val="44"/>
          <w:highlight w:val="none"/>
        </w:rPr>
      </w:pPr>
    </w:p>
    <w:p>
      <w:pPr>
        <w:spacing w:line="700" w:lineRule="atLeas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广西壮族自治区财政厅</w:t>
      </w:r>
    </w:p>
    <w:p>
      <w:pPr>
        <w:spacing w:line="700" w:lineRule="atLeas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5</w:t>
      </w:r>
      <w:r>
        <w:rPr>
          <w:rFonts w:hint="eastAsia" w:ascii="方正小标宋简体" w:eastAsia="方正小标宋简体"/>
          <w:sz w:val="44"/>
          <w:szCs w:val="44"/>
          <w:highlight w:val="none"/>
        </w:rPr>
        <w:t>年网络安全保障服务项目保密协议</w:t>
      </w:r>
    </w:p>
    <w:p>
      <w:pPr>
        <w:spacing w:line="700" w:lineRule="atLeast"/>
        <w:jc w:val="center"/>
        <w:rPr>
          <w:rFonts w:hint="eastAsia" w:ascii="方正小标宋简体" w:eastAsia="方正小标宋简体"/>
          <w:sz w:val="44"/>
          <w:szCs w:val="44"/>
          <w:highlight w:val="none"/>
        </w:rPr>
      </w:pPr>
    </w:p>
    <w:p>
      <w:pPr>
        <w:spacing w:line="700" w:lineRule="atLeast"/>
        <w:jc w:val="center"/>
        <w:rPr>
          <w:rFonts w:hint="eastAsia" w:ascii="方正小标宋简体" w:eastAsia="方正小标宋简体"/>
          <w:sz w:val="44"/>
          <w:szCs w:val="44"/>
          <w:highlight w:val="none"/>
        </w:rPr>
      </w:pPr>
    </w:p>
    <w:p>
      <w:pPr>
        <w:spacing w:line="700" w:lineRule="atLeast"/>
        <w:jc w:val="center"/>
        <w:rPr>
          <w:rFonts w:hint="eastAsia" w:ascii="方正小标宋简体" w:eastAsia="方正小标宋简体"/>
          <w:sz w:val="44"/>
          <w:szCs w:val="44"/>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noWrap w:val="0"/>
            <w:vAlign w:val="center"/>
          </w:tcPr>
          <w:p>
            <w:pPr>
              <w:spacing w:line="700" w:lineRule="atLeast"/>
              <w:jc w:val="center"/>
              <w:rPr>
                <w:rFonts w:hint="eastAsia" w:ascii="黑体" w:hAnsi="黑体" w:eastAsia="黑体"/>
                <w:sz w:val="32"/>
                <w:szCs w:val="32"/>
                <w:highlight w:val="none"/>
              </w:rPr>
            </w:pPr>
            <w:r>
              <w:rPr>
                <w:rFonts w:hint="eastAsia" w:ascii="黑体" w:hAnsi="黑体" w:eastAsia="黑体"/>
                <w:sz w:val="32"/>
                <w:szCs w:val="32"/>
                <w:highlight w:val="none"/>
              </w:rPr>
              <w:t>甲 方：</w:t>
            </w:r>
          </w:p>
        </w:tc>
        <w:tc>
          <w:tcPr>
            <w:tcW w:w="6803" w:type="dxa"/>
            <w:noWrap w:val="0"/>
            <w:vAlign w:val="center"/>
          </w:tcPr>
          <w:p>
            <w:pPr>
              <w:spacing w:line="700" w:lineRule="atLeast"/>
              <w:jc w:val="center"/>
              <w:rPr>
                <w:rFonts w:hint="eastAsia" w:ascii="黑体" w:hAnsi="黑体" w:eastAsia="黑体"/>
                <w:sz w:val="32"/>
                <w:szCs w:val="32"/>
                <w:highlight w:val="none"/>
              </w:rPr>
            </w:pPr>
            <w:r>
              <w:rPr>
                <w:rFonts w:hint="eastAsia" w:ascii="黑体" w:hAnsi="黑体" w:eastAsia="黑体"/>
                <w:sz w:val="32"/>
                <w:szCs w:val="32"/>
                <w:highlight w:val="none"/>
              </w:rPr>
              <w:t>广西财政信息管理中心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26" w:type="dxa"/>
            <w:noWrap w:val="0"/>
            <w:vAlign w:val="center"/>
          </w:tcPr>
          <w:p>
            <w:pPr>
              <w:spacing w:line="700" w:lineRule="atLeast"/>
              <w:jc w:val="center"/>
              <w:rPr>
                <w:rFonts w:hint="eastAsia" w:ascii="黑体" w:hAnsi="黑体" w:eastAsia="黑体"/>
                <w:sz w:val="32"/>
                <w:szCs w:val="32"/>
                <w:highlight w:val="none"/>
              </w:rPr>
            </w:pPr>
            <w:r>
              <w:rPr>
                <w:rFonts w:hint="eastAsia" w:ascii="黑体" w:hAnsi="黑体" w:eastAsia="黑体"/>
                <w:sz w:val="32"/>
                <w:szCs w:val="32"/>
                <w:highlight w:val="none"/>
              </w:rPr>
              <w:t>乙 方：</w:t>
            </w:r>
          </w:p>
        </w:tc>
        <w:tc>
          <w:tcPr>
            <w:tcW w:w="6803" w:type="dxa"/>
            <w:noWrap w:val="0"/>
            <w:vAlign w:val="center"/>
          </w:tcPr>
          <w:p>
            <w:pPr>
              <w:spacing w:line="700" w:lineRule="atLeast"/>
              <w:jc w:val="center"/>
              <w:rPr>
                <w:rFonts w:hint="eastAsia" w:ascii="黑体" w:hAnsi="黑体" w:eastAsia="黑体"/>
                <w:sz w:val="30"/>
                <w:szCs w:val="30"/>
                <w:highlight w:val="none"/>
              </w:rPr>
            </w:pPr>
          </w:p>
        </w:tc>
      </w:tr>
    </w:tbl>
    <w:p>
      <w:pPr>
        <w:spacing w:line="700" w:lineRule="atLeast"/>
        <w:jc w:val="center"/>
        <w:rPr>
          <w:rFonts w:hint="eastAsia" w:ascii="方正小标宋简体" w:eastAsia="方正小标宋简体"/>
          <w:sz w:val="44"/>
          <w:szCs w:val="44"/>
          <w:highlight w:val="none"/>
        </w:rPr>
      </w:pPr>
    </w:p>
    <w:p>
      <w:pPr>
        <w:spacing w:line="700" w:lineRule="atLeast"/>
        <w:jc w:val="center"/>
        <w:rPr>
          <w:rFonts w:hint="eastAsia" w:ascii="方正小标宋简体" w:eastAsia="方正小标宋简体"/>
          <w:sz w:val="44"/>
          <w:szCs w:val="44"/>
          <w:highlight w:val="none"/>
        </w:rPr>
      </w:pPr>
    </w:p>
    <w:p>
      <w:pPr>
        <w:spacing w:line="700" w:lineRule="atLeast"/>
        <w:jc w:val="center"/>
        <w:rPr>
          <w:rFonts w:hint="eastAsia" w:ascii="方正小标宋简体" w:eastAsia="方正小标宋简体"/>
          <w:sz w:val="44"/>
          <w:szCs w:val="44"/>
          <w:highlight w:val="none"/>
        </w:rPr>
      </w:pPr>
    </w:p>
    <w:p>
      <w:pPr>
        <w:spacing w:line="700" w:lineRule="atLeast"/>
        <w:ind w:firstLine="1920" w:firstLineChars="600"/>
        <w:outlineLvl w:val="2"/>
        <w:rPr>
          <w:rFonts w:hint="eastAsia" w:ascii="黑体" w:hAnsi="黑体" w:eastAsia="黑体"/>
          <w:sz w:val="32"/>
          <w:szCs w:val="32"/>
          <w:highlight w:val="none"/>
        </w:rPr>
      </w:pPr>
      <w:r>
        <w:rPr>
          <w:rFonts w:hint="eastAsia" w:ascii="黑体" w:hAnsi="黑体" w:eastAsia="黑体"/>
          <w:sz w:val="32"/>
          <w:szCs w:val="32"/>
          <w:highlight w:val="none"/>
        </w:rPr>
        <w:t>签订地点：  广西南宁市青秀区</w:t>
      </w:r>
    </w:p>
    <w:p>
      <w:pPr>
        <w:spacing w:line="700" w:lineRule="atLeast"/>
        <w:ind w:firstLine="1920" w:firstLineChars="600"/>
        <w:outlineLvl w:val="2"/>
        <w:rPr>
          <w:rFonts w:hint="eastAsia" w:ascii="黑体" w:hAnsi="黑体" w:eastAsia="黑体"/>
          <w:sz w:val="32"/>
          <w:szCs w:val="32"/>
          <w:highlight w:val="none"/>
        </w:rPr>
      </w:pPr>
      <w:r>
        <w:rPr>
          <w:rFonts w:hint="eastAsia" w:ascii="黑体" w:hAnsi="黑体" w:eastAsia="黑体"/>
          <w:sz w:val="32"/>
          <w:szCs w:val="32"/>
          <w:highlight w:val="none"/>
        </w:rPr>
        <w:t>签订日期：    年   月   日</w:t>
      </w:r>
    </w:p>
    <w:p>
      <w:pPr>
        <w:ind w:firstLine="1920" w:firstLineChars="600"/>
        <w:rPr>
          <w:rFonts w:hint="eastAsia" w:ascii="黑体" w:hAnsi="黑体" w:eastAsia="黑体"/>
          <w:sz w:val="32"/>
          <w:szCs w:val="32"/>
          <w:highlight w:val="none"/>
        </w:rPr>
      </w:pPr>
    </w:p>
    <w:p>
      <w:pPr>
        <w:ind w:firstLine="1920" w:firstLineChars="600"/>
        <w:rPr>
          <w:rFonts w:hint="eastAsia" w:ascii="黑体" w:hAnsi="黑体" w:eastAsia="黑体"/>
          <w:sz w:val="32"/>
          <w:szCs w:val="32"/>
          <w:highlight w:val="none"/>
        </w:rPr>
      </w:pPr>
    </w:p>
    <w:p>
      <w:pPr>
        <w:spacing w:line="400" w:lineRule="exact"/>
        <w:ind w:firstLine="627" w:firstLineChars="196"/>
        <w:rPr>
          <w:rFonts w:hint="eastAsia" w:ascii="宋体" w:hAnsi="宋体" w:cs="宋体"/>
          <w:b/>
          <w:bCs/>
          <w:szCs w:val="21"/>
          <w:highlight w:val="none"/>
        </w:rPr>
      </w:pPr>
      <w:r>
        <w:rPr>
          <w:rFonts w:ascii="仿宋_GB2312" w:eastAsia="仿宋_GB2312"/>
          <w:sz w:val="32"/>
          <w:szCs w:val="32"/>
          <w:highlight w:val="none"/>
        </w:rPr>
        <w:br w:type="page"/>
      </w:r>
      <w:r>
        <w:rPr>
          <w:rFonts w:hint="eastAsia" w:ascii="宋体" w:hAnsi="宋体" w:cs="宋体"/>
          <w:b/>
          <w:bCs/>
          <w:szCs w:val="21"/>
          <w:highlight w:val="none"/>
        </w:rPr>
        <w:t>本次广西壮族自治区财政厅202</w:t>
      </w:r>
      <w:r>
        <w:rPr>
          <w:rFonts w:hint="eastAsia" w:ascii="宋体" w:hAnsi="宋体" w:cs="宋体"/>
          <w:b/>
          <w:bCs/>
          <w:szCs w:val="21"/>
          <w:highlight w:val="none"/>
          <w:lang w:val="en-US" w:eastAsia="zh-CN"/>
        </w:rPr>
        <w:t>5</w:t>
      </w:r>
      <w:r>
        <w:rPr>
          <w:rFonts w:hint="eastAsia" w:ascii="宋体" w:hAnsi="宋体" w:cs="宋体"/>
          <w:b/>
          <w:bCs/>
          <w:szCs w:val="21"/>
          <w:highlight w:val="none"/>
        </w:rPr>
        <w:t>年网络安全保障服务项目（项目编号：            ），涉及甲方的网络安全设备、机房配套系统设备、网络和信息系统等核心信息资产，为保障甲方的网络、系统和机房的安全稳定运行，需对本次项目的内容进行保密，甲乙双方签订协议如下:</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1．定义:</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1．1“专有信息”或“秘密信息”的定义:</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协议所称的“专有信息”或“秘密信息”是指在合作过程中，乙方从甲方（或其有关联的公司、单位）获得的与合作有关或因合作产生的任何商业、技术、运维数据或其他性质的资料，“专有信息”或“秘密信息”包括但不限于：数据、模型、样品、草案、技术、方法、仪器设备和其它信息。上述“专有信息”或“秘密信息”可以以数据、文字及记载上述内容的资料、光盘、软件、图书等有形媒介体现，也可通过口头等视听形式传递。无论是书面的、口头的、图形的、电磁的或其它任何形式的信息，无论以何种形式或载于何种载体，无论在披露时是否以口头、图像或以书面形式表现均具有保密性。凡未经过甲方允许，擅自以口头、书面、电子数据等形式直接或间接提供涉及保密信息的行为均属泄密和违约行为。</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2．保密义务: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1乙方同意严格控制甲方所透露的专有信息或秘密信息，保护的程度不能低于乙方保护自己的专有信息或秘密信息。但无论如何，未经甲方的书面许可，不得在本协议约定的项目范围以外使用该专有信息或秘密信息，不得以任何方式披露或允许第三方以任何方式披露或使用该专有信息或秘密信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2乙方保证采取所有必要的方法对甲方提供的专有信息或秘密信息进行保密，包括但不限于执行和坚持必要的作业程序来避免非授权透露、使用或复制专有信息或秘密信息，其中该作业程序必须书面提交甲方确认。</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2．3乙方保证不向任何第三方透露本协议的存在或本协议的任何内容。</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3．使用方式和不使用的义务: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3．1乙方同意如下内容: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3．1．1甲方所透露的专有信息或秘密信息只能被乙方用于完成本项目的工作；</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3．1．2不能将甲方所透露的专有信息或秘密信息用于其它任何目的；</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3．1．3除乙方书面提交甲方确认的参与本项目的工作人员外，不能将专有信息或秘密信息透露给其它任何人；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3．1．4未经甲方许可，不能将此专有信息或秘密信息的全部或部分进行复制或仿造;</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3．2乙方应当告知并以适当方式要求其参与本项目的工作人员遵守本协议规定，若参与本项目的工作人员违反本协议规定，乙方应承担连带责任。</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4．例外情况:</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4．1乙方保密和不使用的义务不适用于下列专有信息或秘密信息: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4．1．1有书面材料证明，甲方在未附加保密义务的情况下公开透露的信息;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4．1．2有书面材料证明，在未进行任何透露之前，乙方在未受任何限制的情况下已经拥有的专有信息或秘密信息;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4．1．3有书面材料证明，该专有信息或秘密信息已经被乙方之外的经甲方授权的他方公开;</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4．1．4有书面材料证明,乙方通过合法手段从经甲方授权的第三方在未受到任何限制的情况下获得该专有信息或秘密信息。</w:t>
      </w:r>
      <w:r>
        <w:rPr>
          <w:rFonts w:hint="eastAsia"/>
          <w:highlight w:val="none"/>
        </w:rPr>
        <w:t>自甲乙双方法定代表人或委托代理人签字并加盖单位公章之日起正式生效</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5．专有信息或秘密信息的交回:</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当甲方以书面形式要求乙方交回专有信息或秘密信息时，乙方应当立即交回所有书面的或其他有形的专有信息或秘密信息，以及所有描述和概括该专有信息或秘密信息的文件(包括原件和任何有形的备份件)，同时立即清除乙方电子设备上的相关电子信息，甲方有权进行检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5．2没有甲方的书面许可，乙方不可以处理任何书面的或其他有形的专有信息或秘密信息。</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6．否认许可: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除非甲方明确地书面授权，乙方不能认为甲方授予其包含该专有信息或秘密信息的任何专利权、专利申请权、商标权、著作权、商业秘密或其它的知识产权。</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7．救济方法: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7．1双方承认并同意如下内容: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7．1．1甲方透露的专有信息或秘密信息是有价值的商业秘密;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7．1．2遵守本协议的条款和条件对于保护专有信息或秘密信息的秘密是有必要的;</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7．1．3所有违约对该专有信息或秘密信息进行未被授权的透露或使用将对甲方造成不可挽回的和持续的损害。</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7．2违约责任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2．1乙方及乙方参加项目工作人员有违反本协议的情形，无论是故意或过失行为，应当立即停止侵害，并在第一时间采取一切必要措施防止保密信息的扩散，尽最大可能消除影响，所产生费用由乙方承担，并承担由此给甲方造成损害的赔偿责任。</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8．保密期限:</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8．1自本协议生效之日起，双方应遵循本协议的条款。</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2除非甲方通过书面通知明确说明本协议所涉及的某项专有信息或秘密信息可以不用保密，乙方必须按照本协议所承担的保密义务对在结束协议前收到的专有信息或秘密信息进行保密，保密期限不受本协议有效期限的限制。</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9．其他规定：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9．1对本协议任何条款进行修改，均应以书面形式作出并经双方法人代表或各自的合法授权代表签署并加盖有效公章，否则无效。</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9．2本协议任何部分的无效不应影响本协议其他部分的效力。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9．3甲方无义务向乙方保证其所披露保密信息的准确性与完整性，也无义务承担所披露的信息所造成的任何特殊的、偶然的、后续的、间接的损害或损失，但该方应知所披露的保密信息会给对方造成损害或损失的除外。</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9．4一方没有履行本协议的规定或没有行使协议项下的权利或其他有关权利，并不构成该方将来履行该规定或其他规定、行使该权利或其他有关权利的放弃。</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9．5任何一方不得将本协议的权利和义务转让给第三方，但获得对方书面同意的除外。</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9．6本协议不因合同的变更、解除和终止而失效。在本协议失效后，如果本协议中包括的某些保密信息并未失去保密性的，本协议仍对这些未失去保密性的信息发生效力，约束双方的行为。</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10．适用法律: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本协议受中华人民共和国法律管辖，并在所有方面依其进行解释。</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11．争议的解决:</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由本协议产生的一切争议由双方友好协商解决。协商不成，双方约定由合同签订地的法院管辖。</w:t>
      </w:r>
    </w:p>
    <w:p>
      <w:pPr>
        <w:spacing w:line="400" w:lineRule="exact"/>
        <w:ind w:firstLine="420" w:firstLineChars="200"/>
        <w:outlineLvl w:val="2"/>
        <w:rPr>
          <w:rFonts w:hint="eastAsia" w:ascii="宋体" w:hAnsi="宋体" w:cs="宋体"/>
          <w:szCs w:val="21"/>
          <w:highlight w:val="none"/>
        </w:rPr>
      </w:pPr>
      <w:r>
        <w:rPr>
          <w:rFonts w:hint="eastAsia" w:ascii="宋体" w:hAnsi="宋体" w:cs="宋体"/>
          <w:szCs w:val="21"/>
          <w:highlight w:val="none"/>
        </w:rPr>
        <w:t>12．生效及其它事项: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12．1本协议壹式贰份，双方各持壹份，均具有相同的法律效力。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12．2本协议于双方代表签字并盖公章后生效，合同签订地为南宁市青秀区。本协议未明确的部分按国家有关法律法规执行。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12．3未尽事宜由双方友好协商解决。</w:t>
      </w:r>
    </w:p>
    <w:p>
      <w:pPr>
        <w:spacing w:line="400" w:lineRule="exact"/>
        <w:ind w:firstLine="420" w:firstLineChars="200"/>
        <w:rPr>
          <w:rFonts w:hint="eastAsia" w:ascii="宋体" w:hAnsi="宋体" w:cs="宋体"/>
          <w:szCs w:val="21"/>
          <w:highlight w:val="none"/>
        </w:rPr>
      </w:pPr>
    </w:p>
    <w:p>
      <w:pPr>
        <w:spacing w:line="400" w:lineRule="exact"/>
        <w:ind w:firstLine="420" w:firstLineChars="200"/>
        <w:rPr>
          <w:rFonts w:hint="eastAsia" w:ascii="宋体" w:hAnsi="宋体" w:cs="宋体"/>
          <w:szCs w:val="21"/>
          <w:highlight w:val="none"/>
        </w:rPr>
      </w:pPr>
    </w:p>
    <w:tbl>
      <w:tblPr>
        <w:tblStyle w:val="29"/>
        <w:tblW w:w="0" w:type="auto"/>
        <w:tblInd w:w="0" w:type="dxa"/>
        <w:tblLayout w:type="fixed"/>
        <w:tblCellMar>
          <w:top w:w="0" w:type="dxa"/>
          <w:left w:w="108" w:type="dxa"/>
          <w:bottom w:w="0" w:type="dxa"/>
          <w:right w:w="108" w:type="dxa"/>
        </w:tblCellMar>
      </w:tblPr>
      <w:tblGrid>
        <w:gridCol w:w="4660"/>
        <w:gridCol w:w="5300"/>
      </w:tblGrid>
      <w:tr>
        <w:tblPrEx>
          <w:tblCellMar>
            <w:top w:w="0" w:type="dxa"/>
            <w:left w:w="108" w:type="dxa"/>
            <w:bottom w:w="0" w:type="dxa"/>
            <w:right w:w="108" w:type="dxa"/>
          </w:tblCellMar>
        </w:tblPrEx>
        <w:trPr>
          <w:trHeight w:val="914" w:hRule="atLeast"/>
        </w:trPr>
        <w:tc>
          <w:tcPr>
            <w:tcW w:w="4660" w:type="dxa"/>
            <w:noWrap w:val="0"/>
            <w:vAlign w:val="center"/>
          </w:tcPr>
          <w:p>
            <w:pPr>
              <w:spacing w:line="400" w:lineRule="exact"/>
              <w:rPr>
                <w:rFonts w:hint="eastAsia" w:ascii="宋体" w:hAnsi="宋体" w:cs="宋体"/>
                <w:b/>
                <w:szCs w:val="21"/>
                <w:highlight w:val="none"/>
              </w:rPr>
            </w:pPr>
            <w:r>
              <w:rPr>
                <w:rFonts w:hint="eastAsia" w:ascii="宋体" w:hAnsi="宋体" w:cs="宋体"/>
                <w:b/>
                <w:szCs w:val="21"/>
                <w:highlight w:val="none"/>
              </w:rPr>
              <w:t>甲方（盖章）：</w:t>
            </w:r>
          </w:p>
          <w:p>
            <w:pPr>
              <w:spacing w:line="400" w:lineRule="exact"/>
              <w:ind w:firstLine="420" w:firstLineChars="200"/>
              <w:rPr>
                <w:rFonts w:hint="eastAsia" w:ascii="宋体" w:hAnsi="宋体" w:cs="宋体"/>
                <w:bCs/>
                <w:szCs w:val="21"/>
                <w:highlight w:val="none"/>
              </w:rPr>
            </w:pPr>
          </w:p>
        </w:tc>
        <w:tc>
          <w:tcPr>
            <w:tcW w:w="5300" w:type="dxa"/>
            <w:noWrap w:val="0"/>
            <w:vAlign w:val="center"/>
          </w:tcPr>
          <w:p>
            <w:pPr>
              <w:spacing w:line="400" w:lineRule="exact"/>
              <w:rPr>
                <w:rFonts w:hint="eastAsia" w:ascii="宋体" w:hAnsi="宋体" w:cs="宋体"/>
                <w:b/>
                <w:szCs w:val="21"/>
                <w:highlight w:val="none"/>
              </w:rPr>
            </w:pPr>
            <w:r>
              <w:rPr>
                <w:rFonts w:hint="eastAsia" w:ascii="宋体" w:hAnsi="宋体" w:cs="宋体"/>
                <w:b/>
                <w:szCs w:val="21"/>
                <w:highlight w:val="none"/>
              </w:rPr>
              <w:t>乙方（盖章）：</w:t>
            </w:r>
          </w:p>
          <w:p>
            <w:pPr>
              <w:spacing w:line="400" w:lineRule="exact"/>
              <w:ind w:firstLine="315" w:firstLineChars="150"/>
              <w:rPr>
                <w:rFonts w:hint="eastAsia" w:ascii="宋体" w:hAnsi="宋体" w:cs="宋体"/>
                <w:bCs/>
                <w:szCs w:val="21"/>
                <w:highlight w:val="none"/>
              </w:rPr>
            </w:pPr>
          </w:p>
        </w:tc>
      </w:tr>
      <w:tr>
        <w:tblPrEx>
          <w:tblCellMar>
            <w:top w:w="0" w:type="dxa"/>
            <w:left w:w="108" w:type="dxa"/>
            <w:bottom w:w="0" w:type="dxa"/>
            <w:right w:w="108" w:type="dxa"/>
          </w:tblCellMar>
        </w:tblPrEx>
        <w:trPr>
          <w:trHeight w:val="715" w:hRule="atLeast"/>
        </w:trPr>
        <w:tc>
          <w:tcPr>
            <w:tcW w:w="4660" w:type="dxa"/>
            <w:noWrap w:val="0"/>
            <w:vAlign w:val="center"/>
          </w:tcPr>
          <w:p>
            <w:pPr>
              <w:widowControl/>
              <w:spacing w:line="400" w:lineRule="exact"/>
              <w:rPr>
                <w:rFonts w:hint="eastAsia" w:ascii="宋体" w:hAnsi="宋体" w:cs="宋体"/>
                <w:b/>
                <w:bCs/>
                <w:szCs w:val="21"/>
                <w:highlight w:val="none"/>
              </w:rPr>
            </w:pPr>
            <w:r>
              <w:rPr>
                <w:rFonts w:hint="eastAsia" w:ascii="宋体" w:hAnsi="宋体" w:cs="宋体"/>
                <w:b/>
                <w:bCs/>
                <w:szCs w:val="21"/>
                <w:highlight w:val="none"/>
              </w:rPr>
              <w:t>法定代表人：</w:t>
            </w:r>
          </w:p>
        </w:tc>
        <w:tc>
          <w:tcPr>
            <w:tcW w:w="5300" w:type="dxa"/>
            <w:noWrap w:val="0"/>
            <w:vAlign w:val="center"/>
          </w:tcPr>
          <w:p>
            <w:pPr>
              <w:widowControl/>
              <w:spacing w:line="400" w:lineRule="exact"/>
              <w:rPr>
                <w:rFonts w:hint="eastAsia" w:ascii="宋体" w:hAnsi="宋体" w:cs="宋体"/>
                <w:b/>
                <w:bCs/>
                <w:szCs w:val="21"/>
                <w:highlight w:val="none"/>
              </w:rPr>
            </w:pPr>
            <w:r>
              <w:rPr>
                <w:rFonts w:hint="eastAsia" w:ascii="宋体" w:hAnsi="宋体" w:cs="宋体"/>
                <w:b/>
                <w:bCs/>
                <w:szCs w:val="21"/>
                <w:highlight w:val="none"/>
              </w:rPr>
              <w:t>法定代表人：</w:t>
            </w:r>
          </w:p>
        </w:tc>
      </w:tr>
      <w:tr>
        <w:tblPrEx>
          <w:tblCellMar>
            <w:top w:w="0" w:type="dxa"/>
            <w:left w:w="108" w:type="dxa"/>
            <w:bottom w:w="0" w:type="dxa"/>
            <w:right w:w="108" w:type="dxa"/>
          </w:tblCellMar>
        </w:tblPrEx>
        <w:trPr>
          <w:trHeight w:val="569" w:hRule="atLeast"/>
        </w:trPr>
        <w:tc>
          <w:tcPr>
            <w:tcW w:w="4660" w:type="dxa"/>
            <w:noWrap w:val="0"/>
            <w:vAlign w:val="center"/>
          </w:tcPr>
          <w:p>
            <w:pPr>
              <w:spacing w:line="400" w:lineRule="exact"/>
              <w:rPr>
                <w:rFonts w:hint="eastAsia" w:ascii="宋体" w:hAnsi="宋体" w:cs="宋体"/>
                <w:bCs/>
                <w:szCs w:val="21"/>
                <w:highlight w:val="none"/>
              </w:rPr>
            </w:pPr>
            <w:r>
              <w:rPr>
                <w:rFonts w:hint="eastAsia" w:ascii="宋体" w:hAnsi="宋体" w:cs="宋体"/>
                <w:b/>
                <w:szCs w:val="21"/>
                <w:highlight w:val="none"/>
              </w:rPr>
              <w:t>委托代理人：</w:t>
            </w:r>
          </w:p>
        </w:tc>
        <w:tc>
          <w:tcPr>
            <w:tcW w:w="5300" w:type="dxa"/>
            <w:noWrap w:val="0"/>
            <w:vAlign w:val="center"/>
          </w:tcPr>
          <w:p>
            <w:pPr>
              <w:spacing w:line="400" w:lineRule="exact"/>
              <w:rPr>
                <w:rFonts w:hint="eastAsia" w:ascii="宋体" w:hAnsi="宋体" w:cs="宋体"/>
                <w:bCs/>
                <w:szCs w:val="21"/>
                <w:highlight w:val="none"/>
              </w:rPr>
            </w:pPr>
            <w:r>
              <w:rPr>
                <w:rFonts w:hint="eastAsia" w:ascii="宋体" w:hAnsi="宋体" w:cs="宋体"/>
                <w:b/>
                <w:szCs w:val="21"/>
                <w:highlight w:val="none"/>
              </w:rPr>
              <w:t>委托代理人：</w:t>
            </w:r>
          </w:p>
        </w:tc>
      </w:tr>
      <w:tr>
        <w:tblPrEx>
          <w:tblCellMar>
            <w:top w:w="0" w:type="dxa"/>
            <w:left w:w="108" w:type="dxa"/>
            <w:bottom w:w="0" w:type="dxa"/>
            <w:right w:w="108" w:type="dxa"/>
          </w:tblCellMar>
        </w:tblPrEx>
        <w:trPr>
          <w:trHeight w:val="421" w:hRule="atLeast"/>
        </w:trPr>
        <w:tc>
          <w:tcPr>
            <w:tcW w:w="4660" w:type="dxa"/>
            <w:noWrap w:val="0"/>
            <w:vAlign w:val="center"/>
          </w:tcPr>
          <w:p>
            <w:pPr>
              <w:spacing w:line="400" w:lineRule="exact"/>
              <w:rPr>
                <w:rFonts w:hint="eastAsia" w:ascii="宋体" w:hAnsi="宋体" w:cs="宋体"/>
                <w:b/>
                <w:szCs w:val="21"/>
                <w:highlight w:val="none"/>
              </w:rPr>
            </w:pPr>
            <w:r>
              <w:rPr>
                <w:rFonts w:hint="eastAsia" w:ascii="宋体" w:hAnsi="宋体" w:cs="宋体"/>
                <w:b/>
                <w:szCs w:val="21"/>
                <w:highlight w:val="none"/>
              </w:rPr>
              <w:t>电话：</w:t>
            </w:r>
          </w:p>
        </w:tc>
        <w:tc>
          <w:tcPr>
            <w:tcW w:w="5300" w:type="dxa"/>
            <w:noWrap w:val="0"/>
            <w:vAlign w:val="center"/>
          </w:tcPr>
          <w:p>
            <w:pPr>
              <w:spacing w:line="400" w:lineRule="exact"/>
              <w:rPr>
                <w:rFonts w:hint="eastAsia" w:ascii="宋体" w:hAnsi="宋体" w:cs="宋体"/>
                <w:b/>
                <w:szCs w:val="21"/>
                <w:highlight w:val="none"/>
              </w:rPr>
            </w:pPr>
            <w:r>
              <w:rPr>
                <w:rFonts w:hint="eastAsia" w:ascii="宋体" w:hAnsi="宋体" w:cs="宋体"/>
                <w:b/>
                <w:szCs w:val="21"/>
                <w:highlight w:val="none"/>
              </w:rPr>
              <w:t>电话：</w:t>
            </w:r>
          </w:p>
        </w:tc>
      </w:tr>
      <w:tr>
        <w:tblPrEx>
          <w:tblCellMar>
            <w:top w:w="0" w:type="dxa"/>
            <w:left w:w="108" w:type="dxa"/>
            <w:bottom w:w="0" w:type="dxa"/>
            <w:right w:w="108" w:type="dxa"/>
          </w:tblCellMar>
        </w:tblPrEx>
        <w:trPr>
          <w:trHeight w:val="427" w:hRule="atLeast"/>
        </w:trPr>
        <w:tc>
          <w:tcPr>
            <w:tcW w:w="4660" w:type="dxa"/>
            <w:noWrap w:val="0"/>
            <w:vAlign w:val="center"/>
          </w:tcPr>
          <w:p>
            <w:pPr>
              <w:spacing w:line="400" w:lineRule="exact"/>
              <w:rPr>
                <w:rFonts w:hint="eastAsia" w:ascii="宋体" w:hAnsi="宋体" w:cs="宋体"/>
                <w:bCs/>
                <w:szCs w:val="21"/>
                <w:highlight w:val="none"/>
              </w:rPr>
            </w:pPr>
            <w:r>
              <w:rPr>
                <w:rFonts w:hint="eastAsia" w:ascii="宋体" w:hAnsi="宋体" w:cs="宋体"/>
                <w:b/>
                <w:bCs/>
                <w:szCs w:val="21"/>
                <w:highlight w:val="none"/>
              </w:rPr>
              <w:t>签约日期：</w:t>
            </w:r>
            <w:r>
              <w:rPr>
                <w:rFonts w:hint="eastAsia" w:ascii="宋体" w:hAnsi="宋体" w:cs="宋体"/>
                <w:bCs/>
                <w:szCs w:val="21"/>
                <w:highlight w:val="none"/>
              </w:rPr>
              <w:t>202</w:t>
            </w:r>
            <w:r>
              <w:rPr>
                <w:rFonts w:hint="eastAsia" w:ascii="宋体" w:hAnsi="宋体" w:cs="宋体"/>
                <w:bCs/>
                <w:szCs w:val="21"/>
                <w:highlight w:val="none"/>
                <w:lang w:val="en-US" w:eastAsia="zh-CN"/>
              </w:rPr>
              <w:t>5</w:t>
            </w:r>
            <w:r>
              <w:rPr>
                <w:rFonts w:hint="eastAsia" w:ascii="宋体" w:hAnsi="宋体" w:cs="宋体"/>
                <w:bCs/>
                <w:szCs w:val="21"/>
                <w:highlight w:val="none"/>
              </w:rPr>
              <w:t>年  月  日</w:t>
            </w:r>
          </w:p>
        </w:tc>
        <w:tc>
          <w:tcPr>
            <w:tcW w:w="5300" w:type="dxa"/>
            <w:noWrap w:val="0"/>
            <w:vAlign w:val="center"/>
          </w:tcPr>
          <w:p>
            <w:pPr>
              <w:spacing w:line="400" w:lineRule="exact"/>
              <w:rPr>
                <w:rFonts w:hint="eastAsia" w:ascii="宋体" w:hAnsi="宋体" w:cs="宋体"/>
                <w:bCs/>
                <w:szCs w:val="21"/>
                <w:highlight w:val="none"/>
              </w:rPr>
            </w:pPr>
            <w:r>
              <w:rPr>
                <w:rFonts w:hint="eastAsia" w:ascii="宋体" w:hAnsi="宋体" w:cs="宋体"/>
                <w:b/>
                <w:bCs/>
                <w:szCs w:val="21"/>
                <w:highlight w:val="none"/>
              </w:rPr>
              <w:t>签约日期：</w:t>
            </w:r>
            <w:r>
              <w:rPr>
                <w:rFonts w:hint="eastAsia" w:ascii="宋体" w:hAnsi="宋体" w:cs="宋体"/>
                <w:bCs/>
                <w:szCs w:val="21"/>
                <w:highlight w:val="none"/>
              </w:rPr>
              <w:t>202</w:t>
            </w:r>
            <w:r>
              <w:rPr>
                <w:rFonts w:hint="eastAsia" w:ascii="宋体" w:hAnsi="宋体" w:cs="宋体"/>
                <w:bCs/>
                <w:szCs w:val="21"/>
                <w:highlight w:val="none"/>
                <w:lang w:val="en-US" w:eastAsia="zh-CN"/>
              </w:rPr>
              <w:t>5</w:t>
            </w:r>
            <w:r>
              <w:rPr>
                <w:rFonts w:hint="eastAsia" w:ascii="宋体" w:hAnsi="宋体" w:cs="宋体"/>
                <w:bCs/>
                <w:szCs w:val="21"/>
                <w:highlight w:val="none"/>
              </w:rPr>
              <w:t>年  月  日</w:t>
            </w:r>
          </w:p>
        </w:tc>
      </w:tr>
    </w:tbl>
    <w:p>
      <w:pPr>
        <w:spacing w:line="540" w:lineRule="exact"/>
        <w:rPr>
          <w:rFonts w:hint="eastAsia" w:ascii="仿宋_GB2312" w:eastAsia="仿宋_GB2312"/>
          <w:spacing w:val="-20"/>
          <w:sz w:val="32"/>
          <w:szCs w:val="32"/>
          <w:highlight w:val="none"/>
        </w:rPr>
      </w:pPr>
    </w:p>
    <w:p>
      <w:pPr>
        <w:pStyle w:val="27"/>
        <w:ind w:firstLine="210"/>
        <w:rPr>
          <w:rFonts w:hint="eastAsia"/>
          <w:highlight w:val="none"/>
        </w:rPr>
      </w:pPr>
    </w:p>
    <w:p>
      <w:pPr>
        <w:snapToGrid w:val="0"/>
        <w:spacing w:line="360" w:lineRule="auto"/>
        <w:jc w:val="left"/>
        <w:rPr>
          <w:rFonts w:hint="eastAsia" w:ascii="宋体" w:hAnsi="宋体"/>
          <w:color w:val="000000"/>
          <w:szCs w:val="21"/>
          <w:highlight w:val="none"/>
        </w:rPr>
      </w:pPr>
    </w:p>
    <w:p>
      <w:pPr>
        <w:snapToGrid w:val="0"/>
        <w:spacing w:line="360" w:lineRule="auto"/>
        <w:rPr>
          <w:rFonts w:hint="eastAsia" w:ascii="宋体" w:hAnsi="宋体" w:cs="Courier New"/>
          <w:b/>
          <w:color w:val="000000"/>
          <w:szCs w:val="21"/>
          <w:highlight w:val="none"/>
        </w:rPr>
      </w:pPr>
    </w:p>
    <w:p>
      <w:pPr>
        <w:tabs>
          <w:tab w:val="left" w:pos="3261"/>
        </w:tabs>
        <w:spacing w:line="360" w:lineRule="auto"/>
        <w:contextualSpacing/>
        <w:jc w:val="center"/>
        <w:rPr>
          <w:rFonts w:cs="仿宋_GB2312"/>
          <w:b/>
          <w:sz w:val="44"/>
          <w:szCs w:val="44"/>
          <w:highlight w:val="none"/>
        </w:rPr>
      </w:pPr>
    </w:p>
    <w:p>
      <w:pPr>
        <w:tabs>
          <w:tab w:val="left" w:pos="3261"/>
        </w:tabs>
        <w:spacing w:line="360" w:lineRule="auto"/>
        <w:contextualSpacing/>
        <w:jc w:val="center"/>
        <w:rPr>
          <w:rFonts w:cs="仿宋_GB2312"/>
          <w:b/>
          <w:sz w:val="44"/>
          <w:szCs w:val="44"/>
          <w:highlight w:val="none"/>
        </w:rPr>
      </w:pPr>
      <w:r>
        <w:rPr>
          <w:rFonts w:cs="仿宋_GB2312"/>
          <w:b/>
          <w:sz w:val="44"/>
          <w:szCs w:val="44"/>
          <w:highlight w:val="none"/>
        </w:rPr>
        <w:br w:type="page"/>
      </w:r>
    </w:p>
    <w:p>
      <w:pPr>
        <w:tabs>
          <w:tab w:val="left" w:pos="3261"/>
        </w:tabs>
        <w:spacing w:line="360" w:lineRule="auto"/>
        <w:contextualSpacing/>
        <w:jc w:val="center"/>
        <w:rPr>
          <w:rFonts w:cs="仿宋_GB2312"/>
          <w:b/>
          <w:sz w:val="44"/>
          <w:szCs w:val="44"/>
          <w:highlight w:val="none"/>
        </w:rPr>
      </w:pPr>
    </w:p>
    <w:p>
      <w:pPr>
        <w:tabs>
          <w:tab w:val="left" w:pos="3261"/>
        </w:tabs>
        <w:spacing w:line="360" w:lineRule="auto"/>
        <w:contextualSpacing/>
        <w:jc w:val="center"/>
        <w:rPr>
          <w:rFonts w:cs="仿宋_GB2312"/>
          <w:b/>
          <w:sz w:val="44"/>
          <w:szCs w:val="44"/>
          <w:highlight w:val="none"/>
        </w:rPr>
      </w:pPr>
    </w:p>
    <w:p>
      <w:pPr>
        <w:tabs>
          <w:tab w:val="left" w:pos="3261"/>
        </w:tabs>
        <w:spacing w:line="360" w:lineRule="auto"/>
        <w:contextualSpacing/>
        <w:jc w:val="center"/>
        <w:rPr>
          <w:rFonts w:cs="仿宋_GB2312"/>
          <w:b/>
          <w:sz w:val="44"/>
          <w:szCs w:val="44"/>
          <w:highlight w:val="none"/>
        </w:rPr>
      </w:pPr>
    </w:p>
    <w:p>
      <w:pPr>
        <w:pStyle w:val="2"/>
        <w:jc w:val="center"/>
        <w:rPr>
          <w:rFonts w:hint="eastAsia" w:cs="仿宋_GB2312"/>
          <w:highlight w:val="none"/>
        </w:rPr>
        <w:sectPr>
          <w:pgSz w:w="11911" w:h="16838"/>
          <w:pgMar w:top="1134" w:right="1134" w:bottom="1134" w:left="1134" w:header="720" w:footer="720" w:gutter="0"/>
          <w:cols w:space="720" w:num="1"/>
        </w:sectPr>
      </w:pPr>
      <w:bookmarkStart w:id="158" w:name="_Toc80886951"/>
      <w:bookmarkStart w:id="159" w:name="_Toc20915"/>
      <w:bookmarkStart w:id="160" w:name="_Toc610"/>
      <w:bookmarkStart w:id="161" w:name="_Toc29624"/>
      <w:bookmarkStart w:id="162" w:name="_Toc8963"/>
      <w:bookmarkStart w:id="163" w:name="_Toc13011"/>
      <w:bookmarkStart w:id="164" w:name="_Toc28283"/>
      <w:bookmarkStart w:id="165" w:name="_Toc178"/>
      <w:r>
        <w:rPr>
          <w:rFonts w:hint="eastAsia" w:cs="仿宋_GB2312"/>
          <w:b w:val="0"/>
          <w:highlight w:val="none"/>
        </w:rPr>
        <w:t>第七章 质疑、投诉材料格式</w:t>
      </w:r>
      <w:bookmarkEnd w:id="158"/>
      <w:bookmarkEnd w:id="159"/>
      <w:bookmarkEnd w:id="160"/>
      <w:bookmarkEnd w:id="161"/>
      <w:bookmarkEnd w:id="162"/>
      <w:bookmarkEnd w:id="163"/>
      <w:bookmarkEnd w:id="164"/>
      <w:bookmarkEnd w:id="165"/>
    </w:p>
    <w:p>
      <w:pPr>
        <w:spacing w:line="360" w:lineRule="auto"/>
        <w:jc w:val="center"/>
        <w:rPr>
          <w:rFonts w:hint="eastAsia"/>
          <w:b/>
          <w:bCs/>
          <w:sz w:val="32"/>
          <w:szCs w:val="32"/>
          <w:highlight w:val="none"/>
        </w:rPr>
      </w:pPr>
      <w:r>
        <w:rPr>
          <w:rFonts w:hint="eastAsia"/>
          <w:b/>
          <w:bCs/>
          <w:sz w:val="32"/>
          <w:szCs w:val="32"/>
          <w:highlight w:val="none"/>
        </w:rPr>
        <w:t>质疑函（格式）</w:t>
      </w:r>
    </w:p>
    <w:p>
      <w:pPr>
        <w:spacing w:line="360" w:lineRule="auto"/>
        <w:ind w:firstLine="482" w:firstLineChars="200"/>
        <w:contextualSpacing/>
        <w:rPr>
          <w:rFonts w:hint="eastAsia" w:ascii="宋体" w:hAnsi="宋体" w:cs="宋体"/>
          <w:b/>
          <w:bCs/>
          <w:kern w:val="0"/>
          <w:sz w:val="24"/>
          <w:highlight w:val="none"/>
        </w:rPr>
      </w:pPr>
      <w:r>
        <w:rPr>
          <w:rFonts w:hint="eastAsia" w:ascii="宋体" w:hAnsi="宋体" w:cs="宋体"/>
          <w:b/>
          <w:bCs/>
          <w:kern w:val="0"/>
          <w:sz w:val="24"/>
          <w:highlight w:val="none"/>
        </w:rPr>
        <w:t>一、质疑供应商基本信息：</w:t>
      </w:r>
    </w:p>
    <w:p>
      <w:pPr>
        <w:spacing w:line="360" w:lineRule="auto"/>
        <w:ind w:firstLine="480" w:firstLineChars="200"/>
        <w:contextualSpacing/>
        <w:rPr>
          <w:rFonts w:hint="eastAsia" w:ascii="宋体" w:hAnsi="宋体" w:cs="宋体"/>
          <w:bCs/>
          <w:kern w:val="0"/>
          <w:sz w:val="24"/>
          <w:highlight w:val="none"/>
          <w:u w:val="single"/>
        </w:rPr>
      </w:pPr>
      <w:r>
        <w:rPr>
          <w:rFonts w:hint="eastAsia" w:ascii="宋体" w:hAnsi="宋体" w:cs="宋体"/>
          <w:bCs/>
          <w:kern w:val="0"/>
          <w:sz w:val="24"/>
          <w:highlight w:val="none"/>
        </w:rPr>
        <w:t>质疑供应商：</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pacing w:line="360" w:lineRule="auto"/>
        <w:ind w:firstLine="480" w:firstLineChars="200"/>
        <w:contextualSpacing/>
        <w:rPr>
          <w:rFonts w:hint="eastAsia" w:ascii="宋体" w:hAnsi="宋体" w:cs="宋体"/>
          <w:bCs/>
          <w:kern w:val="0"/>
          <w:sz w:val="24"/>
          <w:highlight w:val="non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pacing w:line="360" w:lineRule="auto"/>
        <w:ind w:firstLine="480" w:firstLineChars="200"/>
        <w:contextualSpacing/>
        <w:rPr>
          <w:rFonts w:hint="eastAsia" w:ascii="宋体" w:hAnsi="宋体" w:cs="宋体"/>
          <w:bCs/>
          <w:kern w:val="0"/>
          <w:sz w:val="24"/>
          <w:highlight w:val="none"/>
        </w:rPr>
      </w:pPr>
      <w:r>
        <w:rPr>
          <w:rFonts w:hint="eastAsia" w:ascii="宋体" w:hAnsi="宋体" w:cs="宋体"/>
          <w:bCs/>
          <w:kern w:val="0"/>
          <w:sz w:val="24"/>
          <w:highlight w:val="none"/>
        </w:rPr>
        <w:t>联系人：</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pacing w:line="360" w:lineRule="auto"/>
        <w:ind w:firstLine="480" w:firstLineChars="200"/>
        <w:contextualSpacing/>
        <w:rPr>
          <w:rFonts w:hint="eastAsia" w:ascii="宋体" w:hAnsi="宋体" w:cs="宋体"/>
          <w:bCs/>
          <w:kern w:val="0"/>
          <w:sz w:val="24"/>
          <w:highlight w:val="none"/>
        </w:rPr>
      </w:pPr>
      <w:r>
        <w:rPr>
          <w:rFonts w:hint="eastAsia" w:ascii="宋体" w:hAnsi="宋体" w:cs="宋体"/>
          <w:bCs/>
          <w:kern w:val="0"/>
          <w:sz w:val="24"/>
          <w:highlight w:val="none"/>
        </w:rPr>
        <w:t>授权代表：</w:t>
      </w:r>
      <w:r>
        <w:rPr>
          <w:rFonts w:hint="eastAsia" w:ascii="宋体" w:hAnsi="宋体" w:cs="宋体"/>
          <w:bCs/>
          <w:kern w:val="0"/>
          <w:sz w:val="24"/>
          <w:highlight w:val="none"/>
          <w:u w:val="single"/>
        </w:rPr>
        <w:t xml:space="preserve">                      </w:t>
      </w:r>
    </w:p>
    <w:p>
      <w:pPr>
        <w:spacing w:line="360" w:lineRule="auto"/>
        <w:ind w:firstLine="480" w:firstLineChars="200"/>
        <w:contextualSpacing/>
        <w:rPr>
          <w:rFonts w:hint="eastAsia" w:ascii="宋体" w:hAnsi="宋体" w:cs="宋体"/>
          <w:bCs/>
          <w:kern w:val="0"/>
          <w:sz w:val="24"/>
          <w:highlight w:val="none"/>
          <w:u w:val="single"/>
        </w:rPr>
      </w:pP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pacing w:line="360" w:lineRule="auto"/>
        <w:ind w:firstLine="480" w:firstLineChars="200"/>
        <w:contextualSpacing/>
        <w:rPr>
          <w:rFonts w:hint="eastAsia" w:ascii="宋体" w:hAnsi="宋体" w:cs="宋体"/>
          <w:bCs/>
          <w:kern w:val="0"/>
          <w:sz w:val="24"/>
          <w:highlight w:val="non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pacing w:line="360" w:lineRule="auto"/>
        <w:ind w:firstLine="482" w:firstLineChars="200"/>
        <w:contextualSpacing/>
        <w:rPr>
          <w:rFonts w:hint="eastAsia" w:ascii="宋体" w:hAnsi="宋体" w:cs="宋体"/>
          <w:b/>
          <w:bCs/>
          <w:kern w:val="0"/>
          <w:sz w:val="24"/>
          <w:highlight w:val="none"/>
        </w:rPr>
      </w:pPr>
      <w:r>
        <w:rPr>
          <w:rFonts w:hint="eastAsia" w:ascii="宋体" w:hAnsi="宋体" w:cs="宋体"/>
          <w:b/>
          <w:bCs/>
          <w:kern w:val="0"/>
          <w:sz w:val="24"/>
          <w:highlight w:val="none"/>
        </w:rPr>
        <w:t>二、质疑项目基本情况：</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bCs/>
          <w:kern w:val="0"/>
          <w:sz w:val="24"/>
          <w:highlight w:val="none"/>
        </w:rPr>
        <w:t>质疑</w:t>
      </w:r>
      <w:r>
        <w:rPr>
          <w:rFonts w:hint="eastAsia" w:ascii="宋体" w:hAnsi="宋体" w:cs="宋体"/>
          <w:kern w:val="0"/>
          <w:sz w:val="24"/>
          <w:highlight w:val="none"/>
        </w:rPr>
        <w:t>项目的名称：</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bCs/>
          <w:kern w:val="0"/>
          <w:sz w:val="24"/>
          <w:highlight w:val="none"/>
        </w:rPr>
        <w:t>质疑</w:t>
      </w:r>
      <w:r>
        <w:rPr>
          <w:rFonts w:hint="eastAsia" w:ascii="宋体" w:hAnsi="宋体" w:cs="宋体"/>
          <w:kern w:val="0"/>
          <w:sz w:val="24"/>
          <w:highlight w:val="none"/>
        </w:rPr>
        <w:t>项目的编号：</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采购人名称：</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质疑事项：</w:t>
      </w:r>
    </w:p>
    <w:p>
      <w:pPr>
        <w:spacing w:line="360" w:lineRule="auto"/>
        <w:ind w:left="25" w:leftChars="12" w:firstLine="352" w:firstLineChars="147"/>
        <w:contextualSpacing/>
        <w:rPr>
          <w:rFonts w:hint="eastAsia" w:ascii="宋体" w:hAnsi="宋体" w:cs="宋体"/>
          <w:kern w:val="0"/>
          <w:sz w:val="24"/>
          <w:highlight w:val="none"/>
        </w:rPr>
      </w:pPr>
      <w:r>
        <w:rPr>
          <w:rFonts w:hint="eastAsia" w:ascii="宋体" w:hAnsi="宋体" w:cs="宋体"/>
          <w:kern w:val="0"/>
          <w:sz w:val="24"/>
          <w:highlight w:val="none"/>
        </w:rPr>
        <w:t>□采购文件   采购文件获取日期：</w:t>
      </w:r>
      <w:r>
        <w:rPr>
          <w:rFonts w:hint="eastAsia" w:ascii="宋体" w:hAnsi="宋体" w:cs="宋体"/>
          <w:bCs/>
          <w:kern w:val="0"/>
          <w:sz w:val="24"/>
          <w:highlight w:val="none"/>
          <w:u w:val="single"/>
        </w:rPr>
        <w:t xml:space="preserve">                                   </w:t>
      </w:r>
    </w:p>
    <w:p>
      <w:pPr>
        <w:spacing w:line="360" w:lineRule="auto"/>
        <w:ind w:left="25" w:leftChars="12" w:firstLine="352" w:firstLineChars="147"/>
        <w:contextualSpacing/>
        <w:rPr>
          <w:rFonts w:hint="eastAsia" w:ascii="宋体" w:hAnsi="宋体" w:cs="宋体"/>
          <w:kern w:val="0"/>
          <w:sz w:val="24"/>
          <w:highlight w:val="none"/>
        </w:rPr>
      </w:pPr>
      <w:r>
        <w:rPr>
          <w:rFonts w:hint="eastAsia" w:ascii="宋体" w:hAnsi="宋体" w:cs="宋体"/>
          <w:kern w:val="0"/>
          <w:sz w:val="24"/>
          <w:highlight w:val="none"/>
        </w:rPr>
        <w:t xml:space="preserve">□采购过程   </w:t>
      </w:r>
    </w:p>
    <w:p>
      <w:pPr>
        <w:spacing w:line="360" w:lineRule="auto"/>
        <w:ind w:left="25" w:leftChars="12" w:firstLine="352" w:firstLineChars="147"/>
        <w:contextualSpacing/>
        <w:rPr>
          <w:rFonts w:hint="eastAsia" w:ascii="宋体" w:hAnsi="宋体" w:cs="宋体"/>
          <w:bCs/>
          <w:kern w:val="0"/>
          <w:sz w:val="24"/>
          <w:highlight w:val="none"/>
          <w:u w:val="single"/>
        </w:rPr>
      </w:pPr>
      <w:r>
        <w:rPr>
          <w:rFonts w:hint="eastAsia" w:ascii="宋体" w:hAnsi="宋体" w:cs="宋体"/>
          <w:kern w:val="0"/>
          <w:sz w:val="24"/>
          <w:highlight w:val="none"/>
        </w:rPr>
        <w:t xml:space="preserve">□成交结果   </w:t>
      </w:r>
    </w:p>
    <w:p>
      <w:pPr>
        <w:spacing w:line="360" w:lineRule="auto"/>
        <w:ind w:left="25" w:leftChars="12" w:firstLine="472" w:firstLineChars="196"/>
        <w:contextualSpacing/>
        <w:rPr>
          <w:rFonts w:hint="eastAsia" w:ascii="宋体" w:hAnsi="宋体" w:cs="宋体"/>
          <w:b/>
          <w:kern w:val="0"/>
          <w:sz w:val="24"/>
          <w:highlight w:val="none"/>
        </w:rPr>
      </w:pPr>
      <w:r>
        <w:rPr>
          <w:rFonts w:hint="eastAsia" w:ascii="宋体" w:hAnsi="宋体" w:cs="宋体"/>
          <w:b/>
          <w:kern w:val="0"/>
          <w:sz w:val="24"/>
          <w:highlight w:val="none"/>
        </w:rPr>
        <w:t>三、质疑事项具体内容</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质疑事项1：</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事实依据：</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法律依据：</w:t>
      </w:r>
      <w:r>
        <w:rPr>
          <w:rFonts w:hint="eastAsia" w:ascii="宋体" w:hAnsi="宋体" w:cs="宋体"/>
          <w:kern w:val="0"/>
          <w:sz w:val="24"/>
          <w:highlight w:val="none"/>
          <w:u w:val="single"/>
        </w:rPr>
        <w:t xml:space="preserve">                                                        </w:t>
      </w:r>
      <w:r>
        <w:rPr>
          <w:rFonts w:hint="eastAsia" w:ascii="宋体" w:hAnsi="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质疑事项2</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四、与质疑事项相关的质疑请求：</w:t>
      </w: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请求：</w:t>
      </w:r>
      <w:r>
        <w:rPr>
          <w:rFonts w:hint="eastAsia" w:ascii="宋体" w:hAnsi="宋体" w:cs="宋体"/>
          <w:bCs/>
          <w:kern w:val="0"/>
          <w:sz w:val="24"/>
          <w:highlight w:val="none"/>
          <w:u w:val="single"/>
        </w:rPr>
        <w:t xml:space="preserve">                                                                </w:t>
      </w:r>
    </w:p>
    <w:p>
      <w:pPr>
        <w:spacing w:line="360" w:lineRule="auto"/>
        <w:ind w:left="25" w:leftChars="12" w:firstLine="352" w:firstLineChars="147"/>
        <w:contextualSpacing/>
        <w:rPr>
          <w:rFonts w:hint="eastAsia" w:ascii="宋体" w:hAnsi="宋体" w:cs="宋体"/>
          <w:kern w:val="0"/>
          <w:sz w:val="24"/>
          <w:highlight w:val="none"/>
        </w:rPr>
      </w:pP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签字（签章）：                                       公章：</w:t>
      </w:r>
    </w:p>
    <w:p>
      <w:pPr>
        <w:spacing w:line="360" w:lineRule="auto"/>
        <w:ind w:left="25" w:leftChars="12" w:firstLine="352" w:firstLineChars="147"/>
        <w:contextualSpacing/>
        <w:rPr>
          <w:rFonts w:hint="eastAsia" w:ascii="宋体" w:hAnsi="宋体" w:cs="宋体"/>
          <w:kern w:val="0"/>
          <w:sz w:val="24"/>
          <w:highlight w:val="none"/>
        </w:rPr>
      </w:pPr>
    </w:p>
    <w:p>
      <w:pPr>
        <w:spacing w:line="360" w:lineRule="auto"/>
        <w:ind w:left="25" w:leftChars="12" w:firstLine="472" w:firstLineChars="197"/>
        <w:contextualSpacing/>
        <w:rPr>
          <w:rFonts w:hint="eastAsia" w:ascii="宋体" w:hAnsi="宋体" w:cs="宋体"/>
          <w:kern w:val="0"/>
          <w:sz w:val="24"/>
          <w:highlight w:val="none"/>
        </w:rPr>
      </w:pPr>
      <w:r>
        <w:rPr>
          <w:rFonts w:hint="eastAsia" w:ascii="宋体" w:hAnsi="宋体" w:cs="宋体"/>
          <w:kern w:val="0"/>
          <w:sz w:val="24"/>
          <w:highlight w:val="none"/>
        </w:rPr>
        <w:t>日期：</w:t>
      </w:r>
    </w:p>
    <w:p>
      <w:pPr>
        <w:spacing w:line="360" w:lineRule="auto"/>
        <w:contextualSpacing/>
        <w:rPr>
          <w:rFonts w:hint="eastAsia"/>
          <w:b/>
          <w:kern w:val="0"/>
          <w:sz w:val="24"/>
          <w:highlight w:val="none"/>
        </w:rPr>
      </w:pPr>
    </w:p>
    <w:p>
      <w:pPr>
        <w:spacing w:line="360" w:lineRule="auto"/>
        <w:contextualSpacing/>
        <w:rPr>
          <w:rFonts w:hint="eastAsia"/>
          <w:b/>
          <w:kern w:val="0"/>
          <w:sz w:val="24"/>
          <w:highlight w:val="none"/>
        </w:rPr>
      </w:pPr>
    </w:p>
    <w:p>
      <w:pPr>
        <w:spacing w:line="360" w:lineRule="auto"/>
        <w:contextualSpacing/>
        <w:rPr>
          <w:rFonts w:hint="eastAsia"/>
          <w:b/>
          <w:kern w:val="0"/>
          <w:sz w:val="24"/>
          <w:highlight w:val="none"/>
        </w:rPr>
      </w:pPr>
      <w:r>
        <w:rPr>
          <w:rFonts w:hint="eastAsia"/>
          <w:b/>
          <w:kern w:val="0"/>
          <w:sz w:val="24"/>
          <w:highlight w:val="none"/>
        </w:rPr>
        <w:t>说明：</w:t>
      </w:r>
    </w:p>
    <w:p>
      <w:pPr>
        <w:spacing w:line="360" w:lineRule="auto"/>
        <w:ind w:left="25" w:leftChars="12" w:firstLine="354" w:firstLineChars="147"/>
        <w:contextualSpacing/>
        <w:rPr>
          <w:rFonts w:hint="eastAsia" w:ascii="宋体" w:hAnsi="宋体" w:cs="宋体"/>
          <w:b/>
          <w:bCs/>
          <w:kern w:val="0"/>
          <w:sz w:val="24"/>
          <w:highlight w:val="none"/>
        </w:rPr>
      </w:pPr>
      <w:r>
        <w:rPr>
          <w:rFonts w:hint="eastAsia" w:ascii="宋体" w:hAnsi="宋体" w:cs="宋体"/>
          <w:b/>
          <w:kern w:val="0"/>
          <w:sz w:val="24"/>
          <w:highlight w:val="none"/>
        </w:rPr>
        <w:t>1.供应商提出质疑时，应提交质疑函和必要的证明材料</w:t>
      </w:r>
      <w:r>
        <w:rPr>
          <w:rFonts w:hint="eastAsia" w:ascii="宋体" w:hAnsi="宋体" w:cs="宋体"/>
          <w:b/>
          <w:bCs/>
          <w:kern w:val="0"/>
          <w:sz w:val="24"/>
          <w:highlight w:val="none"/>
        </w:rPr>
        <w:t>。</w:t>
      </w:r>
    </w:p>
    <w:p>
      <w:pPr>
        <w:spacing w:line="360" w:lineRule="auto"/>
        <w:ind w:left="25" w:leftChars="12" w:firstLine="354" w:firstLineChars="147"/>
        <w:contextualSpacing/>
        <w:rPr>
          <w:rFonts w:hint="eastAsia" w:ascii="宋体" w:hAnsi="宋体" w:cs="宋体"/>
          <w:b/>
          <w:kern w:val="0"/>
          <w:sz w:val="24"/>
          <w:highlight w:val="none"/>
        </w:rPr>
      </w:pPr>
      <w:r>
        <w:rPr>
          <w:rFonts w:hint="eastAsia" w:ascii="宋体" w:hAnsi="宋体" w:cs="宋体"/>
          <w:b/>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cs="宋体"/>
          <w:b/>
          <w:kern w:val="0"/>
          <w:sz w:val="24"/>
          <w:highlight w:val="none"/>
        </w:rPr>
      </w:pPr>
      <w:r>
        <w:rPr>
          <w:rFonts w:hint="eastAsia" w:ascii="宋体" w:hAnsi="宋体" w:cs="宋体"/>
          <w:b/>
          <w:kern w:val="0"/>
          <w:sz w:val="24"/>
          <w:highlight w:val="none"/>
        </w:rPr>
        <w:t>3.质疑函的质疑事项应具体、明确，并有必要的事实依据和法律依据。</w:t>
      </w:r>
    </w:p>
    <w:p>
      <w:pPr>
        <w:spacing w:line="360" w:lineRule="auto"/>
        <w:ind w:left="25" w:leftChars="12" w:firstLine="354" w:firstLineChars="147"/>
        <w:contextualSpacing/>
        <w:rPr>
          <w:rFonts w:hint="eastAsia" w:ascii="宋体" w:hAnsi="宋体" w:cs="宋体"/>
          <w:b/>
          <w:kern w:val="0"/>
          <w:sz w:val="24"/>
          <w:highlight w:val="none"/>
        </w:rPr>
      </w:pPr>
      <w:r>
        <w:rPr>
          <w:rFonts w:hint="eastAsia" w:ascii="宋体" w:hAnsi="宋体" w:cs="宋体"/>
          <w:b/>
          <w:kern w:val="0"/>
          <w:sz w:val="24"/>
          <w:highlight w:val="none"/>
        </w:rPr>
        <w:t>4.质疑函的质疑请求应与质疑事项相关。</w:t>
      </w:r>
    </w:p>
    <w:p>
      <w:pPr>
        <w:spacing w:line="360" w:lineRule="auto"/>
        <w:ind w:left="25" w:leftChars="12" w:firstLine="354" w:firstLineChars="147"/>
        <w:contextualSpacing/>
        <w:rPr>
          <w:rFonts w:hint="eastAsia" w:ascii="宋体" w:hAnsi="宋体" w:cs="宋体"/>
          <w:b/>
          <w:kern w:val="0"/>
          <w:sz w:val="20"/>
          <w:szCs w:val="21"/>
          <w:highlight w:val="none"/>
        </w:rPr>
      </w:pPr>
      <w:r>
        <w:rPr>
          <w:rFonts w:hint="eastAsia" w:ascii="宋体" w:hAnsi="宋体" w:cs="宋体"/>
          <w:b/>
          <w:kern w:val="0"/>
          <w:sz w:val="24"/>
          <w:highlight w:val="none"/>
        </w:rPr>
        <w:t>5.质疑供应商为法人或者其他组织的，质疑函应由法定代表人、主要负责人，或者其授权代表签字或者盖章，并加盖公章。</w:t>
      </w:r>
    </w:p>
    <w:p>
      <w:pPr>
        <w:snapToGrid w:val="0"/>
        <w:rPr>
          <w:rFonts w:hint="eastAsia" w:hAnsi="Courier New"/>
          <w:b/>
          <w:kern w:val="0"/>
          <w:sz w:val="24"/>
          <w:highlight w:val="none"/>
        </w:rPr>
      </w:pPr>
    </w:p>
    <w:p>
      <w:pPr>
        <w:spacing w:line="460" w:lineRule="exact"/>
        <w:jc w:val="center"/>
        <w:rPr>
          <w:rFonts w:hint="eastAsia" w:ascii="Calibri" w:hAnsi="Calibri" w:eastAsia="隶书"/>
          <w:sz w:val="44"/>
          <w:highlight w:val="none"/>
        </w:rPr>
      </w:pPr>
      <w:r>
        <w:rPr>
          <w:rFonts w:ascii="Calibri" w:hAnsi="Calibri" w:eastAsia="隶书"/>
          <w:sz w:val="44"/>
          <w:highlight w:val="none"/>
        </w:rPr>
        <w:br w:type="page"/>
      </w:r>
    </w:p>
    <w:p>
      <w:pPr>
        <w:spacing w:line="360" w:lineRule="auto"/>
        <w:jc w:val="center"/>
        <w:rPr>
          <w:rFonts w:hint="eastAsia"/>
          <w:b/>
          <w:bCs/>
          <w:sz w:val="32"/>
          <w:szCs w:val="32"/>
          <w:highlight w:val="none"/>
        </w:rPr>
      </w:pPr>
      <w:r>
        <w:rPr>
          <w:rFonts w:hint="eastAsia"/>
          <w:b/>
          <w:bCs/>
          <w:sz w:val="32"/>
          <w:szCs w:val="32"/>
          <w:highlight w:val="none"/>
        </w:rPr>
        <w:t>投诉书（格式）</w:t>
      </w:r>
    </w:p>
    <w:p>
      <w:pPr>
        <w:snapToGrid w:val="0"/>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一、投诉相关主体基本情况：</w:t>
      </w:r>
    </w:p>
    <w:p>
      <w:pPr>
        <w:snapToGrid w:val="0"/>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供应商：</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法定代表人/主要负责人：</w:t>
      </w:r>
      <w:r>
        <w:rPr>
          <w:rFonts w:hint="eastAsia" w:ascii="宋体" w:hAnsi="宋体" w:cs="宋体"/>
          <w:bCs/>
          <w:kern w:val="0"/>
          <w:sz w:val="24"/>
          <w:highlight w:val="none"/>
          <w:u w:val="single"/>
        </w:rPr>
        <w:t xml:space="preserve">                                                         </w:t>
      </w:r>
    </w:p>
    <w:p>
      <w:pPr>
        <w:snapToGrid w:val="0"/>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napToGrid w:val="0"/>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授权代表：</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napToGrid w:val="0"/>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p>
    <w:p>
      <w:pPr>
        <w:snapToGrid w:val="0"/>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被投诉人1：</w:t>
      </w:r>
    </w:p>
    <w:p>
      <w:pPr>
        <w:snapToGrid w:val="0"/>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p>
    <w:p>
      <w:pPr>
        <w:snapToGrid w:val="0"/>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联系人：</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p>
    <w:p>
      <w:pPr>
        <w:snapToGrid w:val="0"/>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被投诉人2：</w:t>
      </w:r>
    </w:p>
    <w:p>
      <w:pPr>
        <w:snapToGrid w:val="0"/>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w:t>
      </w:r>
    </w:p>
    <w:p>
      <w:pPr>
        <w:snapToGrid w:val="0"/>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相关供应商：</w:t>
      </w:r>
      <w:r>
        <w:rPr>
          <w:rFonts w:hint="eastAsia" w:ascii="宋体" w:hAnsi="宋体" w:cs="宋体"/>
          <w:bCs/>
          <w:kern w:val="0"/>
          <w:sz w:val="24"/>
          <w:highlight w:val="none"/>
          <w:u w:val="single"/>
        </w:rPr>
        <w:t xml:space="preserve">                                                                       </w:t>
      </w:r>
    </w:p>
    <w:p>
      <w:pPr>
        <w:snapToGrid w:val="0"/>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地址：</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邮编：</w:t>
      </w:r>
      <w:r>
        <w:rPr>
          <w:rFonts w:hint="eastAsia" w:ascii="宋体" w:hAnsi="宋体" w:cs="宋体"/>
          <w:bCs/>
          <w:kern w:val="0"/>
          <w:sz w:val="24"/>
          <w:highlight w:val="none"/>
          <w:u w:val="single"/>
        </w:rPr>
        <w:t xml:space="preserve">                         </w:t>
      </w:r>
    </w:p>
    <w:p>
      <w:pPr>
        <w:snapToGrid w:val="0"/>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联系人：</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联系电话：</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snapToGrid w:val="0"/>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二、投诉项目基本情况：</w:t>
      </w:r>
    </w:p>
    <w:p>
      <w:pPr>
        <w:spacing w:line="360" w:lineRule="auto"/>
        <w:ind w:left="25" w:leftChars="12" w:firstLine="472" w:firstLineChars="197"/>
        <w:rPr>
          <w:rFonts w:hint="eastAsia" w:ascii="宋体" w:hAnsi="宋体" w:cs="宋体"/>
          <w:kern w:val="0"/>
          <w:sz w:val="24"/>
          <w:highlight w:val="none"/>
        </w:rPr>
      </w:pPr>
      <w:r>
        <w:rPr>
          <w:rFonts w:hint="eastAsia" w:ascii="宋体" w:hAnsi="宋体" w:cs="宋体"/>
          <w:bCs/>
          <w:kern w:val="0"/>
          <w:sz w:val="24"/>
          <w:highlight w:val="none"/>
        </w:rPr>
        <w:t>采购</w:t>
      </w:r>
      <w:r>
        <w:rPr>
          <w:rFonts w:hint="eastAsia" w:ascii="宋体" w:hAnsi="宋体" w:cs="宋体"/>
          <w:kern w:val="0"/>
          <w:sz w:val="24"/>
          <w:highlight w:val="none"/>
        </w:rPr>
        <w:t>项目的名称：</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hint="eastAsia" w:ascii="宋体" w:hAnsi="宋体" w:cs="宋体"/>
          <w:kern w:val="0"/>
          <w:sz w:val="24"/>
          <w:highlight w:val="none"/>
        </w:rPr>
      </w:pPr>
      <w:r>
        <w:rPr>
          <w:rFonts w:hint="eastAsia" w:ascii="宋体" w:hAnsi="宋体" w:cs="宋体"/>
          <w:bCs/>
          <w:kern w:val="0"/>
          <w:sz w:val="24"/>
          <w:highlight w:val="none"/>
        </w:rPr>
        <w:t>采购</w:t>
      </w:r>
      <w:r>
        <w:rPr>
          <w:rFonts w:hint="eastAsia" w:ascii="宋体" w:hAnsi="宋体" w:cs="宋体"/>
          <w:kern w:val="0"/>
          <w:sz w:val="24"/>
          <w:highlight w:val="none"/>
        </w:rPr>
        <w:t>项目的编号：</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hint="eastAsia" w:ascii="宋体" w:hAnsi="宋体" w:cs="宋体"/>
          <w:bCs/>
          <w:kern w:val="0"/>
          <w:sz w:val="24"/>
          <w:highlight w:val="none"/>
          <w:u w:val="single"/>
        </w:rPr>
      </w:pPr>
      <w:r>
        <w:rPr>
          <w:rFonts w:hint="eastAsia" w:ascii="宋体" w:hAnsi="宋体" w:cs="宋体"/>
          <w:kern w:val="0"/>
          <w:sz w:val="24"/>
          <w:highlight w:val="none"/>
        </w:rPr>
        <w:t>采购人名称：</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hint="eastAsia" w:ascii="宋体" w:hAnsi="宋体" w:cs="宋体"/>
          <w:bCs/>
          <w:kern w:val="0"/>
          <w:sz w:val="24"/>
          <w:highlight w:val="none"/>
          <w:u w:val="single"/>
        </w:rPr>
      </w:pPr>
      <w:r>
        <w:rPr>
          <w:rFonts w:hint="eastAsia" w:ascii="宋体" w:hAnsi="宋体" w:cs="宋体"/>
          <w:kern w:val="0"/>
          <w:sz w:val="24"/>
          <w:highlight w:val="none"/>
        </w:rPr>
        <w:t>代理机构名称：</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hint="eastAsia" w:ascii="宋体" w:hAnsi="宋体" w:cs="宋体"/>
          <w:bCs/>
          <w:kern w:val="0"/>
          <w:sz w:val="24"/>
          <w:highlight w:val="none"/>
          <w:u w:val="single"/>
        </w:rPr>
      </w:pPr>
      <w:r>
        <w:rPr>
          <w:rFonts w:hint="eastAsia" w:ascii="宋体" w:hAnsi="宋体" w:cs="宋体"/>
          <w:bCs/>
          <w:kern w:val="0"/>
          <w:sz w:val="24"/>
          <w:highlight w:val="none"/>
        </w:rPr>
        <w:t>采购文件公告：</w:t>
      </w:r>
      <w:r>
        <w:rPr>
          <w:rFonts w:hint="eastAsia" w:ascii="宋体" w:hAnsi="宋体" w:cs="宋体"/>
          <w:bCs/>
          <w:kern w:val="0"/>
          <w:sz w:val="24"/>
          <w:highlight w:val="none"/>
          <w:u w:val="single"/>
        </w:rPr>
        <w:t>是/否</w:t>
      </w:r>
      <w:r>
        <w:rPr>
          <w:rFonts w:hint="eastAsia" w:ascii="宋体" w:hAnsi="宋体" w:cs="宋体"/>
          <w:bCs/>
          <w:kern w:val="0"/>
          <w:sz w:val="24"/>
          <w:highlight w:val="none"/>
        </w:rPr>
        <w:t>公告期限：</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hint="eastAsia" w:ascii="宋体" w:hAnsi="宋体" w:cs="宋体"/>
          <w:b/>
          <w:kern w:val="0"/>
          <w:sz w:val="24"/>
          <w:highlight w:val="none"/>
        </w:rPr>
      </w:pPr>
      <w:r>
        <w:rPr>
          <w:rFonts w:hint="eastAsia" w:ascii="宋体" w:hAnsi="宋体" w:cs="宋体"/>
          <w:bCs/>
          <w:kern w:val="0"/>
          <w:sz w:val="24"/>
          <w:highlight w:val="none"/>
        </w:rPr>
        <w:t>采购结果公告：</w:t>
      </w:r>
      <w:r>
        <w:rPr>
          <w:rFonts w:hint="eastAsia" w:ascii="宋体" w:hAnsi="宋体" w:cs="宋体"/>
          <w:bCs/>
          <w:kern w:val="0"/>
          <w:sz w:val="24"/>
          <w:highlight w:val="none"/>
          <w:u w:val="single"/>
        </w:rPr>
        <w:t>是/否</w:t>
      </w:r>
      <w:r>
        <w:rPr>
          <w:rFonts w:hint="eastAsia" w:ascii="宋体" w:hAnsi="宋体" w:cs="宋体"/>
          <w:bCs/>
          <w:kern w:val="0"/>
          <w:sz w:val="24"/>
          <w:highlight w:val="none"/>
        </w:rPr>
        <w:t>公告期限：</w:t>
      </w:r>
      <w:r>
        <w:rPr>
          <w:rFonts w:hint="eastAsia" w:ascii="宋体" w:hAnsi="宋体" w:cs="宋体"/>
          <w:bCs/>
          <w:kern w:val="0"/>
          <w:sz w:val="24"/>
          <w:highlight w:val="none"/>
          <w:u w:val="single"/>
        </w:rPr>
        <w:t xml:space="preserve">                                                       </w:t>
      </w:r>
    </w:p>
    <w:p>
      <w:pPr>
        <w:spacing w:line="360" w:lineRule="auto"/>
        <w:ind w:left="25" w:leftChars="12" w:firstLine="472" w:firstLineChars="196"/>
        <w:rPr>
          <w:rFonts w:hint="eastAsia" w:ascii="宋体" w:hAnsi="宋体" w:cs="宋体"/>
          <w:b/>
          <w:kern w:val="0"/>
          <w:sz w:val="24"/>
          <w:highlight w:val="none"/>
        </w:rPr>
      </w:pPr>
      <w:r>
        <w:rPr>
          <w:rFonts w:hint="eastAsia" w:ascii="宋体" w:hAnsi="宋体" w:cs="宋体"/>
          <w:b/>
          <w:kern w:val="0"/>
          <w:sz w:val="24"/>
          <w:highlight w:val="none"/>
        </w:rPr>
        <w:t>三、质疑基本情况</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投诉人于</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日，向</w:t>
      </w:r>
      <w:r>
        <w:rPr>
          <w:rFonts w:hint="eastAsia" w:ascii="宋体" w:hAnsi="宋体" w:cs="宋体"/>
          <w:kern w:val="0"/>
          <w:sz w:val="24"/>
          <w:highlight w:val="none"/>
          <w:u w:val="single"/>
        </w:rPr>
        <w:t xml:space="preserve">                                </w:t>
      </w:r>
      <w:r>
        <w:rPr>
          <w:rFonts w:hint="eastAsia" w:ascii="宋体" w:hAnsi="宋体" w:cs="宋体"/>
          <w:kern w:val="0"/>
          <w:sz w:val="24"/>
          <w:highlight w:val="none"/>
        </w:rPr>
        <w:t>提出质疑，质疑事项为：</w:t>
      </w:r>
    </w:p>
    <w:p>
      <w:pPr>
        <w:spacing w:line="360" w:lineRule="auto"/>
        <w:ind w:firstLine="241"/>
        <w:rPr>
          <w:rFonts w:hint="eastAsia" w:ascii="宋体" w:hAnsi="宋体" w:cs="宋体"/>
          <w:bCs/>
          <w:kern w:val="0"/>
          <w:sz w:val="24"/>
          <w:highlight w:val="none"/>
          <w:u w:val="single"/>
        </w:rPr>
      </w:pPr>
      <w:r>
        <w:rPr>
          <w:rFonts w:hint="eastAsia" w:ascii="宋体" w:hAnsi="宋体" w:cs="宋体"/>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firstLine="241"/>
        <w:rPr>
          <w:rFonts w:hint="eastAsia" w:ascii="宋体" w:hAnsi="宋体" w:cs="宋体"/>
          <w:bCs/>
          <w:kern w:val="0"/>
          <w:sz w:val="24"/>
          <w:highlight w:val="none"/>
          <w:u w:val="single"/>
        </w:rPr>
      </w:pPr>
      <w:r>
        <w:rPr>
          <w:rFonts w:hint="eastAsia" w:ascii="宋体" w:hAnsi="宋体" w:cs="宋体"/>
          <w:bCs/>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firstLine="480" w:firstLineChars="200"/>
        <w:rPr>
          <w:rFonts w:hint="eastAsia" w:ascii="宋体" w:hAnsi="宋体" w:cs="宋体"/>
          <w:kern w:val="0"/>
          <w:sz w:val="24"/>
          <w:highlight w:val="none"/>
        </w:rPr>
      </w:pPr>
      <w:r>
        <w:rPr>
          <w:rFonts w:hint="eastAsia" w:ascii="宋体" w:hAnsi="宋体" w:cs="宋体"/>
          <w:bCs/>
          <w:kern w:val="0"/>
          <w:sz w:val="24"/>
          <w:highlight w:val="none"/>
          <w:u w:val="single"/>
        </w:rPr>
        <w:t>采购人/采购代理机构</w:t>
      </w:r>
      <w:r>
        <w:rPr>
          <w:rFonts w:hint="eastAsia" w:ascii="宋体" w:hAnsi="宋体" w:cs="宋体"/>
          <w:bCs/>
          <w:kern w:val="0"/>
          <w:sz w:val="24"/>
          <w:highlight w:val="none"/>
        </w:rPr>
        <w:t>于</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r>
        <w:rPr>
          <w:rFonts w:hint="eastAsia" w:ascii="宋体" w:hAnsi="宋体" w:cs="宋体"/>
          <w:bCs/>
          <w:kern w:val="0"/>
          <w:sz w:val="24"/>
          <w:highlight w:val="none"/>
        </w:rPr>
        <w:t xml:space="preserve">就质疑事项作出了答复/没有在法定期限内作出答复。                                                                                             </w:t>
      </w:r>
    </w:p>
    <w:p>
      <w:pPr>
        <w:spacing w:line="360" w:lineRule="auto"/>
        <w:ind w:left="25" w:leftChars="12" w:firstLine="472" w:firstLineChars="196"/>
        <w:rPr>
          <w:rFonts w:hint="eastAsia" w:ascii="宋体" w:hAnsi="宋体" w:cs="宋体"/>
          <w:b/>
          <w:kern w:val="0"/>
          <w:sz w:val="24"/>
          <w:highlight w:val="none"/>
        </w:rPr>
      </w:pPr>
      <w:r>
        <w:rPr>
          <w:rFonts w:hint="eastAsia" w:ascii="宋体" w:hAnsi="宋体" w:cs="宋体"/>
          <w:b/>
          <w:kern w:val="0"/>
          <w:sz w:val="24"/>
          <w:highlight w:val="none"/>
        </w:rPr>
        <w:t>四、投诉事项具体内容</w:t>
      </w:r>
    </w:p>
    <w:p>
      <w:pPr>
        <w:spacing w:line="360" w:lineRule="auto"/>
        <w:ind w:left="25" w:leftChars="12" w:firstLine="472" w:firstLineChars="197"/>
        <w:rPr>
          <w:rFonts w:hint="eastAsia" w:ascii="宋体" w:hAnsi="宋体" w:cs="宋体"/>
          <w:bCs/>
          <w:kern w:val="0"/>
          <w:sz w:val="24"/>
          <w:highlight w:val="none"/>
          <w:u w:val="single"/>
        </w:rPr>
      </w:pPr>
      <w:r>
        <w:rPr>
          <w:rFonts w:hint="eastAsia" w:ascii="宋体" w:hAnsi="宋体" w:cs="宋体"/>
          <w:kern w:val="0"/>
          <w:sz w:val="24"/>
          <w:highlight w:val="none"/>
        </w:rPr>
        <w:t>投诉事项1：</w:t>
      </w:r>
      <w:r>
        <w:rPr>
          <w:rFonts w:hint="eastAsia" w:ascii="宋体" w:hAnsi="宋体" w:cs="宋体"/>
          <w:bCs/>
          <w:kern w:val="0"/>
          <w:sz w:val="24"/>
          <w:highlight w:val="none"/>
          <w:u w:val="single"/>
        </w:rPr>
        <w:t xml:space="preserve">                                                                           </w:t>
      </w:r>
    </w:p>
    <w:p>
      <w:pPr>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事实依据：</w:t>
      </w:r>
      <w:r>
        <w:rPr>
          <w:rFonts w:hint="eastAsia" w:ascii="宋体" w:hAnsi="宋体" w:cs="宋体"/>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hint="eastAsia" w:ascii="宋体" w:hAnsi="宋体" w:cs="宋体"/>
          <w:kern w:val="0"/>
          <w:sz w:val="24"/>
          <w:highlight w:val="none"/>
        </w:rPr>
      </w:pPr>
      <w:r>
        <w:rPr>
          <w:rFonts w:hint="eastAsia" w:ascii="宋体" w:hAnsi="宋体" w:cs="宋体"/>
          <w:bCs/>
          <w:kern w:val="0"/>
          <w:sz w:val="24"/>
          <w:highlight w:val="none"/>
          <w:u w:val="single"/>
        </w:rPr>
        <w:t xml:space="preserve">                                                                                        </w:t>
      </w:r>
    </w:p>
    <w:p>
      <w:pPr>
        <w:spacing w:line="360" w:lineRule="auto"/>
        <w:ind w:firstLine="480" w:firstLineChars="200"/>
        <w:rPr>
          <w:rFonts w:hint="eastAsia" w:ascii="宋体" w:hAnsi="宋体" w:cs="宋体"/>
          <w:bCs/>
          <w:kern w:val="0"/>
          <w:sz w:val="24"/>
          <w:highlight w:val="none"/>
          <w:u w:val="single"/>
        </w:rPr>
      </w:pPr>
      <w:r>
        <w:rPr>
          <w:rFonts w:hint="eastAsia" w:ascii="宋体" w:hAnsi="宋体" w:cs="宋体"/>
          <w:bCs/>
          <w:kern w:val="0"/>
          <w:sz w:val="24"/>
          <w:highlight w:val="none"/>
        </w:rPr>
        <w:t>法律依据：</w:t>
      </w:r>
      <w:r>
        <w:rPr>
          <w:rFonts w:hint="eastAsia" w:ascii="宋体" w:hAnsi="宋体" w:cs="宋体"/>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left="25" w:leftChars="12" w:firstLine="352" w:firstLineChars="147"/>
        <w:rPr>
          <w:rFonts w:hint="eastAsia" w:ascii="宋体" w:hAnsi="宋体" w:cs="宋体"/>
          <w:bCs/>
          <w:kern w:val="0"/>
          <w:sz w:val="24"/>
          <w:highlight w:val="none"/>
          <w:u w:val="single"/>
        </w:rPr>
      </w:pPr>
      <w:r>
        <w:rPr>
          <w:rFonts w:hint="eastAsia" w:ascii="宋体" w:hAnsi="宋体" w:cs="宋体"/>
          <w:bCs/>
          <w:kern w:val="0"/>
          <w:sz w:val="24"/>
          <w:highlight w:val="none"/>
        </w:rPr>
        <w:t xml:space="preserve"> </w:t>
      </w:r>
      <w:r>
        <w:rPr>
          <w:rFonts w:hint="eastAsia" w:ascii="宋体" w:hAnsi="宋体" w:cs="宋体"/>
          <w:bCs/>
          <w:kern w:val="0"/>
          <w:sz w:val="24"/>
          <w:highlight w:val="none"/>
          <w:u w:val="single"/>
        </w:rPr>
        <w:t xml:space="preserve">                                                                                        </w:t>
      </w:r>
    </w:p>
    <w:p>
      <w:pPr>
        <w:spacing w:line="360" w:lineRule="auto"/>
        <w:ind w:left="25" w:leftChars="12" w:firstLine="472" w:firstLineChars="197"/>
        <w:rPr>
          <w:rFonts w:hint="eastAsia" w:ascii="宋体" w:hAnsi="宋体" w:cs="宋体"/>
          <w:bCs/>
          <w:kern w:val="0"/>
          <w:sz w:val="24"/>
          <w:highlight w:val="none"/>
        </w:rPr>
      </w:pPr>
      <w:r>
        <w:rPr>
          <w:rFonts w:hint="eastAsia" w:ascii="宋体" w:hAnsi="宋体" w:cs="宋体"/>
          <w:kern w:val="0"/>
          <w:sz w:val="24"/>
          <w:highlight w:val="none"/>
        </w:rPr>
        <w:t xml:space="preserve">投诉事项2  </w:t>
      </w:r>
      <w:r>
        <w:rPr>
          <w:rFonts w:hint="eastAsia" w:ascii="宋体" w:hAnsi="宋体" w:cs="宋体"/>
          <w:bCs/>
          <w:kern w:val="0"/>
          <w:sz w:val="24"/>
          <w:highlight w:val="none"/>
        </w:rPr>
        <w:t xml:space="preserve">   </w:t>
      </w:r>
    </w:p>
    <w:p>
      <w:pPr>
        <w:spacing w:line="360" w:lineRule="auto"/>
        <w:ind w:left="25" w:leftChars="12" w:firstLine="472" w:firstLineChars="197"/>
        <w:rPr>
          <w:rFonts w:hint="eastAsia" w:ascii="宋体" w:hAnsi="宋体" w:cs="宋体"/>
          <w:bCs/>
          <w:kern w:val="0"/>
          <w:sz w:val="24"/>
          <w:highlight w:val="none"/>
        </w:rPr>
      </w:pPr>
      <w:r>
        <w:rPr>
          <w:rFonts w:hint="eastAsia" w:ascii="宋体" w:hAnsi="宋体" w:cs="宋体"/>
          <w:bCs/>
          <w:kern w:val="0"/>
          <w:sz w:val="24"/>
          <w:highlight w:val="none"/>
        </w:rPr>
        <w:t>……</w:t>
      </w:r>
    </w:p>
    <w:p>
      <w:pPr>
        <w:spacing w:line="360" w:lineRule="auto"/>
        <w:ind w:left="25" w:leftChars="12" w:firstLine="472" w:firstLineChars="196"/>
        <w:rPr>
          <w:rFonts w:hint="eastAsia" w:ascii="宋体" w:hAnsi="宋体" w:cs="宋体"/>
          <w:b/>
          <w:kern w:val="0"/>
          <w:sz w:val="24"/>
          <w:highlight w:val="none"/>
        </w:rPr>
      </w:pPr>
      <w:r>
        <w:rPr>
          <w:rFonts w:hint="eastAsia" w:ascii="宋体" w:hAnsi="宋体" w:cs="宋体"/>
          <w:b/>
          <w:kern w:val="0"/>
          <w:sz w:val="24"/>
          <w:highlight w:val="none"/>
        </w:rPr>
        <w:t>五、与投诉事项相关的投诉请求：</w:t>
      </w:r>
    </w:p>
    <w:p>
      <w:pPr>
        <w:spacing w:line="360" w:lineRule="auto"/>
        <w:ind w:left="25" w:leftChars="12" w:firstLine="472" w:firstLineChars="197"/>
        <w:rPr>
          <w:rFonts w:hint="eastAsia" w:ascii="宋体" w:hAnsi="宋体" w:cs="宋体"/>
          <w:kern w:val="0"/>
          <w:sz w:val="24"/>
          <w:highlight w:val="none"/>
        </w:rPr>
      </w:pPr>
      <w:r>
        <w:rPr>
          <w:rFonts w:hint="eastAsia" w:ascii="宋体" w:hAnsi="宋体" w:cs="宋体"/>
          <w:kern w:val="0"/>
          <w:sz w:val="24"/>
          <w:highlight w:val="none"/>
        </w:rPr>
        <w:t>请求：</w:t>
      </w:r>
      <w:r>
        <w:rPr>
          <w:rFonts w:hint="eastAsia" w:ascii="宋体" w:hAnsi="宋体" w:cs="宋体"/>
          <w:bCs/>
          <w:kern w:val="0"/>
          <w:sz w:val="24"/>
          <w:highlight w:val="none"/>
          <w:u w:val="single"/>
        </w:rPr>
        <w:t xml:space="preserve">                                                                                 </w:t>
      </w:r>
    </w:p>
    <w:p>
      <w:pPr>
        <w:spacing w:line="360" w:lineRule="auto"/>
        <w:ind w:left="25" w:leftChars="12" w:firstLine="352" w:firstLineChars="147"/>
        <w:rPr>
          <w:rFonts w:hint="eastAsia" w:ascii="宋体" w:hAnsi="宋体" w:cs="宋体"/>
          <w:kern w:val="0"/>
          <w:sz w:val="24"/>
          <w:highlight w:val="none"/>
        </w:rPr>
      </w:pPr>
    </w:p>
    <w:p>
      <w:pPr>
        <w:spacing w:line="360" w:lineRule="auto"/>
        <w:ind w:left="25" w:leftChars="12" w:firstLine="472" w:firstLineChars="197"/>
        <w:rPr>
          <w:rFonts w:hint="eastAsia" w:ascii="宋体" w:hAnsi="宋体" w:cs="宋体"/>
          <w:kern w:val="0"/>
          <w:sz w:val="24"/>
          <w:highlight w:val="none"/>
        </w:rPr>
      </w:pPr>
      <w:r>
        <w:rPr>
          <w:rFonts w:hint="eastAsia" w:ascii="宋体" w:hAnsi="宋体" w:cs="宋体"/>
          <w:kern w:val="0"/>
          <w:sz w:val="24"/>
          <w:highlight w:val="none"/>
        </w:rPr>
        <w:t>签字（签章）：                                       公章：</w:t>
      </w:r>
    </w:p>
    <w:p>
      <w:pPr>
        <w:spacing w:line="360" w:lineRule="auto"/>
        <w:ind w:left="25" w:leftChars="12" w:firstLine="352" w:firstLineChars="147"/>
        <w:rPr>
          <w:rFonts w:hint="eastAsia" w:ascii="宋体" w:hAnsi="宋体" w:cs="宋体"/>
          <w:kern w:val="0"/>
          <w:sz w:val="24"/>
          <w:highlight w:val="none"/>
        </w:rPr>
      </w:pPr>
    </w:p>
    <w:p>
      <w:pPr>
        <w:spacing w:line="360" w:lineRule="auto"/>
        <w:ind w:left="25" w:leftChars="12" w:firstLine="472" w:firstLineChars="197"/>
        <w:rPr>
          <w:rFonts w:hint="eastAsia" w:ascii="宋体" w:hAnsi="宋体" w:cs="宋体"/>
          <w:kern w:val="0"/>
          <w:sz w:val="24"/>
          <w:highlight w:val="none"/>
        </w:rPr>
      </w:pPr>
      <w:r>
        <w:rPr>
          <w:rFonts w:hint="eastAsia" w:ascii="宋体" w:hAnsi="宋体" w:cs="宋体"/>
          <w:kern w:val="0"/>
          <w:sz w:val="24"/>
          <w:highlight w:val="none"/>
        </w:rPr>
        <w:t>日期：</w:t>
      </w:r>
    </w:p>
    <w:p>
      <w:pPr>
        <w:spacing w:line="360" w:lineRule="auto"/>
        <w:ind w:left="25" w:leftChars="12" w:firstLine="472" w:firstLineChars="197"/>
        <w:rPr>
          <w:rFonts w:hint="eastAsia" w:ascii="宋体" w:hAnsi="宋体" w:cs="宋体"/>
          <w:kern w:val="0"/>
          <w:sz w:val="24"/>
          <w:highlight w:val="none"/>
        </w:rPr>
      </w:pPr>
      <w:r>
        <w:rPr>
          <w:rFonts w:hint="eastAsia" w:ascii="宋体" w:hAnsi="宋体" w:cs="宋体"/>
          <w:bCs/>
          <w:kern w:val="0"/>
          <w:sz w:val="24"/>
          <w:highlight w:val="none"/>
        </w:rPr>
        <w:t xml:space="preserve">                                                                                 </w:t>
      </w:r>
    </w:p>
    <w:p>
      <w:pPr>
        <w:snapToGrid w:val="0"/>
        <w:spacing w:line="360" w:lineRule="auto"/>
        <w:rPr>
          <w:rFonts w:hint="eastAsia" w:ascii="宋体" w:hAnsi="宋体" w:cs="宋体"/>
          <w:b/>
          <w:kern w:val="0"/>
          <w:sz w:val="24"/>
          <w:highlight w:val="none"/>
        </w:rPr>
      </w:pPr>
    </w:p>
    <w:p>
      <w:pPr>
        <w:snapToGrid w:val="0"/>
        <w:spacing w:line="360" w:lineRule="auto"/>
        <w:rPr>
          <w:rFonts w:hint="eastAsia" w:ascii="宋体" w:hAnsi="宋体" w:cs="宋体"/>
          <w:b/>
          <w:kern w:val="0"/>
          <w:sz w:val="24"/>
          <w:highlight w:val="none"/>
        </w:rPr>
      </w:pPr>
      <w:r>
        <w:rPr>
          <w:rFonts w:hint="eastAsia" w:ascii="宋体" w:hAnsi="宋体" w:cs="宋体"/>
          <w:b/>
          <w:kern w:val="0"/>
          <w:sz w:val="24"/>
          <w:highlight w:val="none"/>
        </w:rPr>
        <w:t>说明：</w:t>
      </w:r>
    </w:p>
    <w:p>
      <w:pPr>
        <w:spacing w:line="360" w:lineRule="auto"/>
        <w:ind w:left="25" w:leftChars="12" w:firstLine="354" w:firstLineChars="147"/>
        <w:rPr>
          <w:rFonts w:hint="eastAsia" w:ascii="宋体" w:hAnsi="宋体" w:cs="宋体"/>
          <w:b/>
          <w:bCs/>
          <w:kern w:val="0"/>
          <w:sz w:val="24"/>
          <w:highlight w:val="none"/>
        </w:rPr>
      </w:pPr>
      <w:r>
        <w:rPr>
          <w:rFonts w:hint="eastAsia" w:ascii="宋体" w:hAnsi="宋体" w:cs="宋体"/>
          <w:b/>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kern w:val="0"/>
          <w:sz w:val="24"/>
          <w:highlight w:val="none"/>
        </w:rPr>
        <w:t>。</w:t>
      </w:r>
    </w:p>
    <w:p>
      <w:pPr>
        <w:spacing w:line="360" w:lineRule="auto"/>
        <w:ind w:left="25" w:leftChars="12" w:firstLine="354" w:firstLineChars="147"/>
        <w:rPr>
          <w:rFonts w:hint="eastAsia" w:ascii="宋体" w:hAnsi="宋体" w:cs="宋体"/>
          <w:b/>
          <w:kern w:val="0"/>
          <w:sz w:val="24"/>
          <w:highlight w:val="none"/>
        </w:rPr>
      </w:pPr>
      <w:r>
        <w:rPr>
          <w:rFonts w:hint="eastAsia" w:ascii="宋体" w:hAnsi="宋体" w:cs="宋体"/>
          <w:b/>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cs="宋体"/>
          <w:b/>
          <w:kern w:val="0"/>
          <w:sz w:val="24"/>
          <w:highlight w:val="none"/>
        </w:rPr>
      </w:pPr>
      <w:r>
        <w:rPr>
          <w:rFonts w:hint="eastAsia" w:ascii="宋体" w:hAnsi="宋体" w:cs="宋体"/>
          <w:b/>
          <w:kern w:val="0"/>
          <w:sz w:val="24"/>
          <w:highlight w:val="none"/>
        </w:rPr>
        <w:t>3.投诉书应简要列明质疑事项，质疑函、质疑答复等作为附件材料提供。</w:t>
      </w:r>
    </w:p>
    <w:p>
      <w:pPr>
        <w:spacing w:line="360" w:lineRule="auto"/>
        <w:ind w:left="25" w:leftChars="12" w:firstLine="354" w:firstLineChars="147"/>
        <w:rPr>
          <w:rFonts w:hint="eastAsia" w:ascii="宋体" w:hAnsi="宋体" w:cs="宋体"/>
          <w:b/>
          <w:kern w:val="0"/>
          <w:sz w:val="24"/>
          <w:highlight w:val="none"/>
        </w:rPr>
      </w:pPr>
      <w:r>
        <w:rPr>
          <w:rFonts w:hint="eastAsia" w:ascii="宋体" w:hAnsi="宋体" w:cs="宋体"/>
          <w:b/>
          <w:kern w:val="0"/>
          <w:sz w:val="24"/>
          <w:highlight w:val="none"/>
        </w:rPr>
        <w:t>4.投诉书的投诉事项应具体、明确，并有必要的事实依据和法律依据。</w:t>
      </w:r>
    </w:p>
    <w:p>
      <w:pPr>
        <w:spacing w:line="360" w:lineRule="auto"/>
        <w:ind w:left="25" w:leftChars="12" w:firstLine="354" w:firstLineChars="147"/>
        <w:rPr>
          <w:rFonts w:hint="eastAsia" w:ascii="宋体" w:hAnsi="宋体" w:cs="宋体"/>
          <w:b/>
          <w:kern w:val="0"/>
          <w:sz w:val="24"/>
          <w:highlight w:val="none"/>
        </w:rPr>
      </w:pPr>
      <w:r>
        <w:rPr>
          <w:rFonts w:hint="eastAsia" w:ascii="宋体" w:hAnsi="宋体" w:cs="宋体"/>
          <w:b/>
          <w:kern w:val="0"/>
          <w:sz w:val="24"/>
          <w:highlight w:val="none"/>
        </w:rPr>
        <w:t>5.投诉书的投诉请求应与投诉事项相关。</w:t>
      </w:r>
    </w:p>
    <w:p>
      <w:pPr>
        <w:spacing w:line="360" w:lineRule="auto"/>
        <w:ind w:left="25" w:leftChars="12" w:firstLine="354" w:firstLineChars="147"/>
        <w:rPr>
          <w:rFonts w:hint="eastAsia" w:ascii="宋体" w:hAnsi="宋体" w:cs="宋体"/>
          <w:highlight w:val="none"/>
        </w:rPr>
      </w:pPr>
      <w:r>
        <w:rPr>
          <w:rFonts w:hint="eastAsia" w:ascii="宋体" w:hAnsi="宋体" w:cs="宋体"/>
          <w:b/>
          <w:kern w:val="0"/>
          <w:sz w:val="24"/>
          <w:highlight w:val="none"/>
        </w:rPr>
        <w:t>6.投诉人为法人或者其他组织的，投诉书应由法定代表人、主要负责人，或者其授权代表签字或者盖章，并加盖公章。</w:t>
      </w:r>
    </w:p>
    <w:p>
      <w:pPr>
        <w:rPr>
          <w:rFonts w:hint="eastAsia"/>
          <w:highlight w:val="none"/>
        </w:rPr>
      </w:pPr>
    </w:p>
    <w:sectPr>
      <w:headerReference r:id="rId11" w:type="default"/>
      <w:footerReference r:id="rId12"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3939BB-46AC-450E-91AD-0ECBCDE0A222}"/>
  </w:font>
  <w:font w:name="Courier New">
    <w:panose1 w:val="02070309020205020404"/>
    <w:charset w:val="01"/>
    <w:family w:val="modern"/>
    <w:pitch w:val="default"/>
    <w:sig w:usb0="E0002EFF" w:usb1="C0007843" w:usb2="00000009" w:usb3="00000000" w:csb0="400001FF" w:csb1="FFFF0000"/>
    <w:embedRegular r:id="rId2" w:fontKey="{52EC7147-BCBA-4C5E-BF7F-9491264E9A4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1F54E0A-AA0F-4658-87E0-AC4B53055E20}"/>
  </w:font>
  <w:font w:name="Cambria">
    <w:panose1 w:val="02040503050406030204"/>
    <w:charset w:val="00"/>
    <w:family w:val="roman"/>
    <w:pitch w:val="default"/>
    <w:sig w:usb0="E00006FF" w:usb1="420024FF" w:usb2="02000000" w:usb3="00000000" w:csb0="2000019F" w:csb1="00000000"/>
    <w:embedRegular r:id="rId4" w:fontKey="{402DB77E-AD07-4C3A-9442-ABB4F1E44405}"/>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41422670-94AC-4453-8348-87DE69CBCB1A}"/>
  </w:font>
  <w:font w:name="仿宋">
    <w:panose1 w:val="02010609060101010101"/>
    <w:charset w:val="86"/>
    <w:family w:val="modern"/>
    <w:pitch w:val="default"/>
    <w:sig w:usb0="800002BF" w:usb1="38CF7CFA" w:usb2="00000016" w:usb3="00000000" w:csb0="00040001" w:csb1="00000000"/>
    <w:embedRegular r:id="rId6" w:fontKey="{8B5A8338-A8FD-4C37-B038-6503C96CF057}"/>
  </w:font>
  <w:font w:name="Tahoma">
    <w:panose1 w:val="020B0604030504040204"/>
    <w:charset w:val="00"/>
    <w:family w:val="swiss"/>
    <w:pitch w:val="default"/>
    <w:sig w:usb0="E1002EFF" w:usb1="C000605B" w:usb2="00000029" w:usb3="00000000" w:csb0="200101FF" w:csb1="20280000"/>
    <w:embedRegular r:id="rId7" w:fontKey="{423BE35E-DD6D-40C2-9463-C04C79455048}"/>
  </w:font>
  <w:font w:name="方正小标宋简体">
    <w:panose1 w:val="02000000000000000000"/>
    <w:charset w:val="86"/>
    <w:family w:val="auto"/>
    <w:pitch w:val="default"/>
    <w:sig w:usb0="00000001" w:usb1="08000000" w:usb2="00000000" w:usb3="00000000" w:csb0="00040000" w:csb1="00000000"/>
    <w:embedRegular r:id="rId8" w:fontKey="{1C7AA834-6ED6-474B-88EA-744714615F12}"/>
  </w:font>
  <w:font w:name="Wingdings 2">
    <w:panose1 w:val="05020102010507070707"/>
    <w:charset w:val="02"/>
    <w:family w:val="roman"/>
    <w:pitch w:val="default"/>
    <w:sig w:usb0="00000000" w:usb1="00000000" w:usb2="00000000" w:usb3="00000000" w:csb0="80000000" w:csb1="00000000"/>
    <w:embedRegular r:id="rId9" w:fontKey="{E15FFB09-61C3-46C1-8921-A73E48143093}"/>
  </w:font>
  <w:font w:name="Arial Unicode MS">
    <w:panose1 w:val="020B0604020202020204"/>
    <w:charset w:val="86"/>
    <w:family w:val="auto"/>
    <w:pitch w:val="default"/>
    <w:sig w:usb0="FFFFFFFF" w:usb1="E9FFFFFF" w:usb2="0000003F" w:usb3="00000000" w:csb0="603F01FF" w:csb1="FFFF0000"/>
    <w:embedRegular r:id="rId10" w:fontKey="{92574D7E-B587-44F6-A68C-2B3C1CA3A4F9}"/>
  </w:font>
  <w:font w:name="微软雅黑">
    <w:panose1 w:val="020B0503020204020204"/>
    <w:charset w:val="86"/>
    <w:family w:val="swiss"/>
    <w:pitch w:val="default"/>
    <w:sig w:usb0="80000287" w:usb1="2ACF3C50" w:usb2="00000016" w:usb3="00000000" w:csb0="0004001F" w:csb1="00000000"/>
    <w:embedRegular r:id="rId11" w:fontKey="{7782678E-C9BE-4CFD-AFB8-07C0880879CC}"/>
  </w:font>
  <w:font w:name="Verdana">
    <w:panose1 w:val="020B0604030504040204"/>
    <w:charset w:val="00"/>
    <w:family w:val="swiss"/>
    <w:pitch w:val="default"/>
    <w:sig w:usb0="A00006FF" w:usb1="4000205B" w:usb2="00000010" w:usb3="00000000" w:csb0="2000019F" w:csb1="00000000"/>
    <w:embedRegular r:id="rId12" w:fontKey="{52B2742A-A889-46F9-94BB-19E14E76E660}"/>
  </w:font>
  <w:font w:name="隶书">
    <w:panose1 w:val="02010509060101010101"/>
    <w:charset w:val="86"/>
    <w:family w:val="modern"/>
    <w:pitch w:val="default"/>
    <w:sig w:usb0="00000001" w:usb1="080E0000" w:usb2="00000000" w:usb3="00000000" w:csb0="00040000" w:csb1="00000000"/>
    <w:embedRegular r:id="rId13" w:fontKey="{73CEAC6E-228A-4B53-AFD3-E7F68060D3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jc w:val="both"/>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TKl8sBAACc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3m1&#10;XN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nkypfLAQAAnAMAAA4AAAAAAAAAAQAgAAAAHgEAAGRycy9lMm9E&#10;b2MueG1sUEsFBgAAAAAGAAYAWQEAAFsFA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jc w:val="both"/>
      <w:rPr>
        <w:rFonts w:ascii="Calibri" w:hAnsi="Calibr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pkbhzAEAAJwDAAAOAAAAAAAAAAEAIAAAAB4BAABkcnMvZTJv&#10;RG9jLnhtbFBLBQYAAAAABgAGAFkBAABcBQ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Calibri" w:hAnsi="Calibr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wik1WzAEAAJwDAAAOAAAAAAAAAAEAIAAAAB4BAABkcnMvZTJv&#10;RG9jLnhtbFBLBQYAAAAABgAGAFkBAABcBQ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p>
    <w:pPr>
      <w:pStyle w:val="20"/>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upright="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zoTMoBAACcAwAADgAAAAAAAAABACAAAAAeAQAAZHJzL2Uyb0Rv&#10;Yy54bWxQSwUGAAAAAAYABgBZAQAAWgUAAAAA&#10;">
              <v:fill on="f" focussize="0,0"/>
              <v:stroke on="f"/>
              <v:imagedata o:title=""/>
              <o:lock v:ext="edit" aspectratio="f"/>
              <v:textbox inset="0mm,0mm,0mm,0mm" style="mso-fit-shape-to-text:t;">
                <w:txbxContent>
                  <w:p>
                    <w:pPr>
                      <w:pStyle w:val="20"/>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98</w:t>
    </w:r>
    <w:r>
      <w:rPr>
        <w:lang w:val="zh-CN"/>
      </w:rPr>
      <w:fldChar w:fldCharType="end"/>
    </w:r>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102</w:t>
                          </w:r>
                          <w:r>
                            <w:rPr>
                              <w:rFonts w:hint="eastAsia"/>
                            </w:rP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cnpIM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XC2zQn2AGhPvAqam4a0fcG9mP6AzEx9UtPmLlAjGUd/zVV85JCLyo/Vqva4wJDA2XxCfPTwPEdI7&#10;6S3JRkMjDrDoyk8fII2pc0qu5vytNqYM0bi/HIiZPSz3PvaYrTTsh4nQ3rdn5NPj7BvqcNUpMe8d&#10;SpvXZDbibOxn4xiiPnRlj3I9CG+O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3J6SDLAQAAnAMAAA4AAAAAAAAAAQAgAAAAHgEAAGRycy9lMm9E&#10;b2MueG1sUEsFBgAAAAAGAAYAWQEAAFsFAAAAAA==&#10;">
              <v:fill on="f" focussize="0,0"/>
              <v:stroke on="f"/>
              <v:imagedata o:title=""/>
              <o:lock v:ext="edit" aspectratio="f"/>
              <v:textbox inset="0mm,0mm,0mm,0mm" style="mso-fit-shape-to-text:t;">
                <w:txbxContent>
                  <w:p>
                    <w:pPr>
                      <w:pStyle w:val="2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102</w:t>
                    </w:r>
                    <w:r>
                      <w:rPr>
                        <w:rFonts w:hint="eastAsia"/>
                      </w:rPr>
                      <w:fldChar w:fldCharType="end"/>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0"/>
        <w:tab w:val="clear" w:pos="4153"/>
      </w:tabs>
      <w:rPr>
        <w:rFonts w:ascii="Calibri" w:hAnsi="Calibri"/>
      </w:rPr>
    </w:pPr>
    <w:r>
      <w:rPr>
        <w:rFonts w:hint="eastAsia" w:ascii="Calibri" w:hAnsi="Calibri"/>
      </w:rPr>
      <w:t>南宁市政府采购竞争性磋商采购文件（项目编号：NNZC2021-C3--KLZB）</w:t>
    </w:r>
  </w:p>
  <w:p>
    <w:pPr>
      <w:pStyle w:val="21"/>
      <w:pBdr>
        <w:bottom w:val="none" w:color="auto" w:sz="0" w:space="1"/>
      </w:pBdr>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B82CD"/>
    <w:multiLevelType w:val="singleLevel"/>
    <w:tmpl w:val="D9EB82CD"/>
    <w:lvl w:ilvl="0" w:tentative="0">
      <w:start w:val="1"/>
      <w:numFmt w:val="decimal"/>
      <w:lvlText w:val="%1."/>
      <w:lvlJc w:val="left"/>
      <w:pPr>
        <w:tabs>
          <w:tab w:val="left" w:pos="312"/>
        </w:tabs>
      </w:pPr>
    </w:lvl>
  </w:abstractNum>
  <w:abstractNum w:abstractNumId="1">
    <w:nsid w:val="FB8CB544"/>
    <w:multiLevelType w:val="singleLevel"/>
    <w:tmpl w:val="FB8CB544"/>
    <w:lvl w:ilvl="0" w:tentative="0">
      <w:start w:val="4"/>
      <w:numFmt w:val="decimal"/>
      <w:lvlText w:val="(%1)"/>
      <w:lvlJc w:val="left"/>
      <w:pPr>
        <w:tabs>
          <w:tab w:val="left" w:pos="312"/>
        </w:tabs>
      </w:pPr>
    </w:lvl>
  </w:abstractNum>
  <w:abstractNum w:abstractNumId="2">
    <w:nsid w:val="00000003"/>
    <w:multiLevelType w:val="singleLevel"/>
    <w:tmpl w:val="00000003"/>
    <w:lvl w:ilvl="0" w:tentative="0">
      <w:start w:val="4"/>
      <w:numFmt w:val="decimal"/>
      <w:suff w:val="nothing"/>
      <w:lvlText w:val="%1．"/>
      <w:lvlJc w:val="left"/>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F6DA611"/>
    <w:multiLevelType w:val="singleLevel"/>
    <w:tmpl w:val="6F6DA611"/>
    <w:lvl w:ilvl="0" w:tentative="0">
      <w:start w:val="1"/>
      <w:numFmt w:val="decimal"/>
      <w:suff w:val="space"/>
      <w:lvlText w:val="（%1）"/>
      <w:lvlJc w:val="left"/>
    </w:lvl>
  </w:abstractNum>
  <w:num w:numId="1">
    <w:abstractNumId w:val="1"/>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6A96"/>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A51"/>
    <w:rsid w:val="00251043"/>
    <w:rsid w:val="00251C4A"/>
    <w:rsid w:val="0025271C"/>
    <w:rsid w:val="002529E4"/>
    <w:rsid w:val="002533CD"/>
    <w:rsid w:val="002535EA"/>
    <w:rsid w:val="00254973"/>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899"/>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1EC3"/>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97B6C"/>
    <w:rsid w:val="003A072E"/>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533"/>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9F3"/>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2D26"/>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2D0F"/>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9DC"/>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4FE5"/>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362"/>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A7F66"/>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6376"/>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64"/>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2C34"/>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97F"/>
    <w:rsid w:val="00FC1C47"/>
    <w:rsid w:val="00FC3102"/>
    <w:rsid w:val="00FC3493"/>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D7D05"/>
    <w:rsid w:val="00FE0794"/>
    <w:rsid w:val="00FE1041"/>
    <w:rsid w:val="00FE24CB"/>
    <w:rsid w:val="00FE323F"/>
    <w:rsid w:val="00FE3473"/>
    <w:rsid w:val="00FE4049"/>
    <w:rsid w:val="00FE4794"/>
    <w:rsid w:val="00FE480F"/>
    <w:rsid w:val="00FE4998"/>
    <w:rsid w:val="00FE57DE"/>
    <w:rsid w:val="00FE7A68"/>
    <w:rsid w:val="00FF0231"/>
    <w:rsid w:val="00FF043F"/>
    <w:rsid w:val="00FF1C9B"/>
    <w:rsid w:val="00FF1D49"/>
    <w:rsid w:val="00FF203B"/>
    <w:rsid w:val="00FF2562"/>
    <w:rsid w:val="00FF3A41"/>
    <w:rsid w:val="00FF3E5B"/>
    <w:rsid w:val="00FF57E4"/>
    <w:rsid w:val="00FF78E5"/>
    <w:rsid w:val="0103398B"/>
    <w:rsid w:val="014C1D05"/>
    <w:rsid w:val="015C7AD5"/>
    <w:rsid w:val="01737C26"/>
    <w:rsid w:val="01907316"/>
    <w:rsid w:val="01A433EB"/>
    <w:rsid w:val="01AF3D99"/>
    <w:rsid w:val="01B90B97"/>
    <w:rsid w:val="01E005CA"/>
    <w:rsid w:val="01E3453D"/>
    <w:rsid w:val="01FF4BEC"/>
    <w:rsid w:val="021741B2"/>
    <w:rsid w:val="02204683"/>
    <w:rsid w:val="02511F9D"/>
    <w:rsid w:val="025F06CD"/>
    <w:rsid w:val="02827C52"/>
    <w:rsid w:val="02C76111"/>
    <w:rsid w:val="02CC0355"/>
    <w:rsid w:val="02D6235F"/>
    <w:rsid w:val="030532A9"/>
    <w:rsid w:val="03286A1E"/>
    <w:rsid w:val="032B79A4"/>
    <w:rsid w:val="03305A68"/>
    <w:rsid w:val="033F12EC"/>
    <w:rsid w:val="03407951"/>
    <w:rsid w:val="03535D6B"/>
    <w:rsid w:val="039A08B0"/>
    <w:rsid w:val="03A314B8"/>
    <w:rsid w:val="03D82B98"/>
    <w:rsid w:val="03D964F4"/>
    <w:rsid w:val="03F83E8B"/>
    <w:rsid w:val="04137DFA"/>
    <w:rsid w:val="0453760B"/>
    <w:rsid w:val="049570A7"/>
    <w:rsid w:val="04BA414C"/>
    <w:rsid w:val="04CD2CEE"/>
    <w:rsid w:val="04D0617E"/>
    <w:rsid w:val="04F358DC"/>
    <w:rsid w:val="04FA60EF"/>
    <w:rsid w:val="04FC24D4"/>
    <w:rsid w:val="05023BEB"/>
    <w:rsid w:val="050E5E84"/>
    <w:rsid w:val="05102192"/>
    <w:rsid w:val="05480236"/>
    <w:rsid w:val="05557587"/>
    <w:rsid w:val="057F4E2B"/>
    <w:rsid w:val="0585008B"/>
    <w:rsid w:val="058F6224"/>
    <w:rsid w:val="05C56868"/>
    <w:rsid w:val="05D74547"/>
    <w:rsid w:val="06040198"/>
    <w:rsid w:val="06083B9D"/>
    <w:rsid w:val="06211C5A"/>
    <w:rsid w:val="06523206"/>
    <w:rsid w:val="066A6DED"/>
    <w:rsid w:val="06B25549"/>
    <w:rsid w:val="06B96E5F"/>
    <w:rsid w:val="06C91C0B"/>
    <w:rsid w:val="06D86BC4"/>
    <w:rsid w:val="072940AD"/>
    <w:rsid w:val="072E4C95"/>
    <w:rsid w:val="07633118"/>
    <w:rsid w:val="078627A3"/>
    <w:rsid w:val="079C21C8"/>
    <w:rsid w:val="07A5201F"/>
    <w:rsid w:val="07B72767"/>
    <w:rsid w:val="07C23DE6"/>
    <w:rsid w:val="07D77B4E"/>
    <w:rsid w:val="08077E72"/>
    <w:rsid w:val="08203C28"/>
    <w:rsid w:val="083C419B"/>
    <w:rsid w:val="084C5E23"/>
    <w:rsid w:val="08882DD0"/>
    <w:rsid w:val="08BE34E2"/>
    <w:rsid w:val="08F821C8"/>
    <w:rsid w:val="09783845"/>
    <w:rsid w:val="09852AD6"/>
    <w:rsid w:val="09860032"/>
    <w:rsid w:val="09921955"/>
    <w:rsid w:val="09CC2AAC"/>
    <w:rsid w:val="09D26E76"/>
    <w:rsid w:val="09DE2A8F"/>
    <w:rsid w:val="0A171D19"/>
    <w:rsid w:val="0A331AD7"/>
    <w:rsid w:val="0A5C3ECC"/>
    <w:rsid w:val="0A652D3E"/>
    <w:rsid w:val="0A6A1AA6"/>
    <w:rsid w:val="0A767E3E"/>
    <w:rsid w:val="0A9D4A5C"/>
    <w:rsid w:val="0AAB5F5D"/>
    <w:rsid w:val="0AB6063D"/>
    <w:rsid w:val="0ADA366D"/>
    <w:rsid w:val="0B041B99"/>
    <w:rsid w:val="0B193B77"/>
    <w:rsid w:val="0B325243"/>
    <w:rsid w:val="0B326F2A"/>
    <w:rsid w:val="0B3D510B"/>
    <w:rsid w:val="0B5679EE"/>
    <w:rsid w:val="0B623221"/>
    <w:rsid w:val="0B6B391E"/>
    <w:rsid w:val="0BE93715"/>
    <w:rsid w:val="0BEA3C78"/>
    <w:rsid w:val="0C11238F"/>
    <w:rsid w:val="0C1E2888"/>
    <w:rsid w:val="0C2D753D"/>
    <w:rsid w:val="0C2E225D"/>
    <w:rsid w:val="0C4502C0"/>
    <w:rsid w:val="0C530F2E"/>
    <w:rsid w:val="0C5361CC"/>
    <w:rsid w:val="0C6F29D6"/>
    <w:rsid w:val="0C92213C"/>
    <w:rsid w:val="0C9F5D63"/>
    <w:rsid w:val="0CAB5D64"/>
    <w:rsid w:val="0CD304AC"/>
    <w:rsid w:val="0D0114AE"/>
    <w:rsid w:val="0D0B5630"/>
    <w:rsid w:val="0D29001E"/>
    <w:rsid w:val="0D325EDF"/>
    <w:rsid w:val="0D445D4C"/>
    <w:rsid w:val="0D6D5644"/>
    <w:rsid w:val="0D84032B"/>
    <w:rsid w:val="0D953396"/>
    <w:rsid w:val="0D994191"/>
    <w:rsid w:val="0DA2594C"/>
    <w:rsid w:val="0DE53B38"/>
    <w:rsid w:val="0E2B3D03"/>
    <w:rsid w:val="0E5F47DD"/>
    <w:rsid w:val="0E6B66E8"/>
    <w:rsid w:val="0E8F2DCE"/>
    <w:rsid w:val="0EB36C82"/>
    <w:rsid w:val="0EC12D0A"/>
    <w:rsid w:val="0ED45624"/>
    <w:rsid w:val="0EE04BDF"/>
    <w:rsid w:val="0EE44AEB"/>
    <w:rsid w:val="0F150F54"/>
    <w:rsid w:val="0F2A74C4"/>
    <w:rsid w:val="0F553015"/>
    <w:rsid w:val="0FC53859"/>
    <w:rsid w:val="0FE030CE"/>
    <w:rsid w:val="10202CC1"/>
    <w:rsid w:val="103F7E8A"/>
    <w:rsid w:val="10A27F31"/>
    <w:rsid w:val="10A753AB"/>
    <w:rsid w:val="10AA5CB1"/>
    <w:rsid w:val="10B54EB2"/>
    <w:rsid w:val="10BF682C"/>
    <w:rsid w:val="10CB29C5"/>
    <w:rsid w:val="10CC3A02"/>
    <w:rsid w:val="10CC613F"/>
    <w:rsid w:val="10CC6281"/>
    <w:rsid w:val="10D87300"/>
    <w:rsid w:val="10E33AF2"/>
    <w:rsid w:val="110B438A"/>
    <w:rsid w:val="113E06F6"/>
    <w:rsid w:val="1167339E"/>
    <w:rsid w:val="11927058"/>
    <w:rsid w:val="11A02DC7"/>
    <w:rsid w:val="11AB0C22"/>
    <w:rsid w:val="11EE4343"/>
    <w:rsid w:val="120F3D85"/>
    <w:rsid w:val="12171B57"/>
    <w:rsid w:val="12573688"/>
    <w:rsid w:val="1260151C"/>
    <w:rsid w:val="127F4FEA"/>
    <w:rsid w:val="12AA40AD"/>
    <w:rsid w:val="12BF0B46"/>
    <w:rsid w:val="12EF08E6"/>
    <w:rsid w:val="133E327C"/>
    <w:rsid w:val="138C43DE"/>
    <w:rsid w:val="139C5DE4"/>
    <w:rsid w:val="139D71F2"/>
    <w:rsid w:val="13AC3968"/>
    <w:rsid w:val="13AF4F03"/>
    <w:rsid w:val="140A4F68"/>
    <w:rsid w:val="144401A2"/>
    <w:rsid w:val="14670F31"/>
    <w:rsid w:val="14736E66"/>
    <w:rsid w:val="147F458F"/>
    <w:rsid w:val="148954D3"/>
    <w:rsid w:val="14911257"/>
    <w:rsid w:val="14D958EC"/>
    <w:rsid w:val="14FA3E00"/>
    <w:rsid w:val="1531036E"/>
    <w:rsid w:val="1534169A"/>
    <w:rsid w:val="15412655"/>
    <w:rsid w:val="156D0F2C"/>
    <w:rsid w:val="156D25A1"/>
    <w:rsid w:val="15812F88"/>
    <w:rsid w:val="15911585"/>
    <w:rsid w:val="159513FB"/>
    <w:rsid w:val="159C0EE7"/>
    <w:rsid w:val="15A27358"/>
    <w:rsid w:val="15B14FA7"/>
    <w:rsid w:val="15C03E03"/>
    <w:rsid w:val="15EE508B"/>
    <w:rsid w:val="160C1153"/>
    <w:rsid w:val="160F4148"/>
    <w:rsid w:val="162A25EB"/>
    <w:rsid w:val="163E26D6"/>
    <w:rsid w:val="169F56FE"/>
    <w:rsid w:val="16BD6398"/>
    <w:rsid w:val="16D31DF9"/>
    <w:rsid w:val="16DE201F"/>
    <w:rsid w:val="16E832E7"/>
    <w:rsid w:val="16FD2A55"/>
    <w:rsid w:val="17067C1A"/>
    <w:rsid w:val="172045B4"/>
    <w:rsid w:val="172F08F7"/>
    <w:rsid w:val="17366761"/>
    <w:rsid w:val="17393A34"/>
    <w:rsid w:val="173A76F6"/>
    <w:rsid w:val="177C01F0"/>
    <w:rsid w:val="178167E0"/>
    <w:rsid w:val="17987A91"/>
    <w:rsid w:val="17C50D78"/>
    <w:rsid w:val="17CE6630"/>
    <w:rsid w:val="17D32A08"/>
    <w:rsid w:val="17EB3722"/>
    <w:rsid w:val="17EF65A5"/>
    <w:rsid w:val="18016C3F"/>
    <w:rsid w:val="180E6351"/>
    <w:rsid w:val="18750DB1"/>
    <w:rsid w:val="187B48A5"/>
    <w:rsid w:val="18A419CD"/>
    <w:rsid w:val="18CF3339"/>
    <w:rsid w:val="18EE2472"/>
    <w:rsid w:val="18F77ED0"/>
    <w:rsid w:val="193F68F3"/>
    <w:rsid w:val="19434380"/>
    <w:rsid w:val="19474F69"/>
    <w:rsid w:val="19491239"/>
    <w:rsid w:val="19621891"/>
    <w:rsid w:val="197A7D49"/>
    <w:rsid w:val="197D06B4"/>
    <w:rsid w:val="198F20D9"/>
    <w:rsid w:val="19A842D7"/>
    <w:rsid w:val="19AD5CB2"/>
    <w:rsid w:val="19C607E7"/>
    <w:rsid w:val="19F6165F"/>
    <w:rsid w:val="1A01258C"/>
    <w:rsid w:val="1A0B68A8"/>
    <w:rsid w:val="1A1B0F5C"/>
    <w:rsid w:val="1A232551"/>
    <w:rsid w:val="1A614813"/>
    <w:rsid w:val="1A782658"/>
    <w:rsid w:val="1A8573D4"/>
    <w:rsid w:val="1AC3132A"/>
    <w:rsid w:val="1AED6BF0"/>
    <w:rsid w:val="1AF65A4C"/>
    <w:rsid w:val="1AFF0AFE"/>
    <w:rsid w:val="1B34103B"/>
    <w:rsid w:val="1B39650C"/>
    <w:rsid w:val="1B4F19F8"/>
    <w:rsid w:val="1B5C2F75"/>
    <w:rsid w:val="1B6B7470"/>
    <w:rsid w:val="1B736F2A"/>
    <w:rsid w:val="1BAE3D4C"/>
    <w:rsid w:val="1BBD3EBB"/>
    <w:rsid w:val="1BEE7729"/>
    <w:rsid w:val="1BF6596D"/>
    <w:rsid w:val="1C1A42E7"/>
    <w:rsid w:val="1C226F03"/>
    <w:rsid w:val="1C3F670D"/>
    <w:rsid w:val="1C9A50D4"/>
    <w:rsid w:val="1CA823CD"/>
    <w:rsid w:val="1CDE1F2F"/>
    <w:rsid w:val="1CE61E5F"/>
    <w:rsid w:val="1CE76EE2"/>
    <w:rsid w:val="1CF93E51"/>
    <w:rsid w:val="1CFC28BA"/>
    <w:rsid w:val="1D1C46B8"/>
    <w:rsid w:val="1D3943AC"/>
    <w:rsid w:val="1D805CF0"/>
    <w:rsid w:val="1D8F637F"/>
    <w:rsid w:val="1D996796"/>
    <w:rsid w:val="1DA07F2F"/>
    <w:rsid w:val="1DD106A3"/>
    <w:rsid w:val="1DE721F7"/>
    <w:rsid w:val="1E0450B5"/>
    <w:rsid w:val="1E375346"/>
    <w:rsid w:val="1E657FE9"/>
    <w:rsid w:val="1E6D229A"/>
    <w:rsid w:val="1E72152A"/>
    <w:rsid w:val="1E842C7C"/>
    <w:rsid w:val="1E8C24F9"/>
    <w:rsid w:val="1ECC44FA"/>
    <w:rsid w:val="1ECE7147"/>
    <w:rsid w:val="1F063325"/>
    <w:rsid w:val="1F206483"/>
    <w:rsid w:val="1F4D240C"/>
    <w:rsid w:val="1F50678E"/>
    <w:rsid w:val="1F6A3BA7"/>
    <w:rsid w:val="1F80168B"/>
    <w:rsid w:val="1F843156"/>
    <w:rsid w:val="1F91158B"/>
    <w:rsid w:val="1FBC5DF5"/>
    <w:rsid w:val="1FC16863"/>
    <w:rsid w:val="1FEA075F"/>
    <w:rsid w:val="1FF90588"/>
    <w:rsid w:val="201167D2"/>
    <w:rsid w:val="20213923"/>
    <w:rsid w:val="20245062"/>
    <w:rsid w:val="204D2ACD"/>
    <w:rsid w:val="205D5FCF"/>
    <w:rsid w:val="20A621B5"/>
    <w:rsid w:val="20BB6724"/>
    <w:rsid w:val="20C3623F"/>
    <w:rsid w:val="20D84C09"/>
    <w:rsid w:val="20F25B07"/>
    <w:rsid w:val="211041C1"/>
    <w:rsid w:val="21781212"/>
    <w:rsid w:val="21B83F86"/>
    <w:rsid w:val="21DA0475"/>
    <w:rsid w:val="21E069CE"/>
    <w:rsid w:val="22106A4D"/>
    <w:rsid w:val="221178A8"/>
    <w:rsid w:val="221213CF"/>
    <w:rsid w:val="22327A92"/>
    <w:rsid w:val="22BB3EC7"/>
    <w:rsid w:val="22C5329C"/>
    <w:rsid w:val="22DB129D"/>
    <w:rsid w:val="22FA4C94"/>
    <w:rsid w:val="230436F8"/>
    <w:rsid w:val="231D53A2"/>
    <w:rsid w:val="23435214"/>
    <w:rsid w:val="234401DF"/>
    <w:rsid w:val="235477BA"/>
    <w:rsid w:val="236B5786"/>
    <w:rsid w:val="236D5383"/>
    <w:rsid w:val="23A41B75"/>
    <w:rsid w:val="23B134E6"/>
    <w:rsid w:val="23B7504C"/>
    <w:rsid w:val="23BA654A"/>
    <w:rsid w:val="23C509CD"/>
    <w:rsid w:val="24205BC8"/>
    <w:rsid w:val="24353D67"/>
    <w:rsid w:val="24354590"/>
    <w:rsid w:val="24571307"/>
    <w:rsid w:val="247C7D19"/>
    <w:rsid w:val="24B34021"/>
    <w:rsid w:val="24BE0ABD"/>
    <w:rsid w:val="24C9632B"/>
    <w:rsid w:val="24CB4B0D"/>
    <w:rsid w:val="25110A2A"/>
    <w:rsid w:val="251513DA"/>
    <w:rsid w:val="251569DF"/>
    <w:rsid w:val="252F3220"/>
    <w:rsid w:val="25647DF0"/>
    <w:rsid w:val="256C0944"/>
    <w:rsid w:val="25773D5F"/>
    <w:rsid w:val="257E73F2"/>
    <w:rsid w:val="25BE7679"/>
    <w:rsid w:val="25C00F8A"/>
    <w:rsid w:val="25C26124"/>
    <w:rsid w:val="25D53DA4"/>
    <w:rsid w:val="25EC2CF7"/>
    <w:rsid w:val="261F4447"/>
    <w:rsid w:val="26446DE3"/>
    <w:rsid w:val="26544270"/>
    <w:rsid w:val="267B0CDC"/>
    <w:rsid w:val="269669E7"/>
    <w:rsid w:val="26A744DB"/>
    <w:rsid w:val="26D4005A"/>
    <w:rsid w:val="26D7699F"/>
    <w:rsid w:val="26DE6C18"/>
    <w:rsid w:val="26E26183"/>
    <w:rsid w:val="26E36ACC"/>
    <w:rsid w:val="26E47D8B"/>
    <w:rsid w:val="26F73A2A"/>
    <w:rsid w:val="26FF2BB8"/>
    <w:rsid w:val="27102C21"/>
    <w:rsid w:val="27227C57"/>
    <w:rsid w:val="27320B57"/>
    <w:rsid w:val="2750171F"/>
    <w:rsid w:val="2769156F"/>
    <w:rsid w:val="27793F5D"/>
    <w:rsid w:val="27A2622E"/>
    <w:rsid w:val="27A60F83"/>
    <w:rsid w:val="27D24FCB"/>
    <w:rsid w:val="28124EAE"/>
    <w:rsid w:val="28785F5E"/>
    <w:rsid w:val="288659D6"/>
    <w:rsid w:val="28BE38E2"/>
    <w:rsid w:val="28F14595"/>
    <w:rsid w:val="29063629"/>
    <w:rsid w:val="291137B2"/>
    <w:rsid w:val="29343A82"/>
    <w:rsid w:val="293D6B2E"/>
    <w:rsid w:val="29462E61"/>
    <w:rsid w:val="29490B21"/>
    <w:rsid w:val="295E2317"/>
    <w:rsid w:val="296B020D"/>
    <w:rsid w:val="297D3FFE"/>
    <w:rsid w:val="299516A6"/>
    <w:rsid w:val="29AD0C8B"/>
    <w:rsid w:val="29BB39AC"/>
    <w:rsid w:val="29C5574F"/>
    <w:rsid w:val="29C67FA0"/>
    <w:rsid w:val="29E509C9"/>
    <w:rsid w:val="2A1279FF"/>
    <w:rsid w:val="2A4D3396"/>
    <w:rsid w:val="2A541720"/>
    <w:rsid w:val="2AD3205C"/>
    <w:rsid w:val="2AD830F7"/>
    <w:rsid w:val="2AE241C5"/>
    <w:rsid w:val="2B1079DC"/>
    <w:rsid w:val="2B305B1D"/>
    <w:rsid w:val="2B6A0459"/>
    <w:rsid w:val="2B774624"/>
    <w:rsid w:val="2B8A5BDD"/>
    <w:rsid w:val="2B8C3FB1"/>
    <w:rsid w:val="2BC83AB9"/>
    <w:rsid w:val="2BF5056F"/>
    <w:rsid w:val="2C1152C7"/>
    <w:rsid w:val="2C1B56AB"/>
    <w:rsid w:val="2C462502"/>
    <w:rsid w:val="2C7A72BE"/>
    <w:rsid w:val="2C8A7A52"/>
    <w:rsid w:val="2C9A7D75"/>
    <w:rsid w:val="2CAB1EE9"/>
    <w:rsid w:val="2CB734DA"/>
    <w:rsid w:val="2CBC587B"/>
    <w:rsid w:val="2CC17412"/>
    <w:rsid w:val="2CCB04B9"/>
    <w:rsid w:val="2CD40732"/>
    <w:rsid w:val="2CF350E3"/>
    <w:rsid w:val="2CFF7BB9"/>
    <w:rsid w:val="2D04594C"/>
    <w:rsid w:val="2D09222D"/>
    <w:rsid w:val="2D0C5851"/>
    <w:rsid w:val="2D1C1975"/>
    <w:rsid w:val="2D304824"/>
    <w:rsid w:val="2D446A9B"/>
    <w:rsid w:val="2DA120C4"/>
    <w:rsid w:val="2DAC6336"/>
    <w:rsid w:val="2DC65BA0"/>
    <w:rsid w:val="2DD85E2E"/>
    <w:rsid w:val="2DE23A89"/>
    <w:rsid w:val="2DF53CB0"/>
    <w:rsid w:val="2E41718B"/>
    <w:rsid w:val="2E5F03A4"/>
    <w:rsid w:val="2E717F8B"/>
    <w:rsid w:val="2E7B512B"/>
    <w:rsid w:val="2E7BFCCA"/>
    <w:rsid w:val="2E8E1E30"/>
    <w:rsid w:val="2E9976CE"/>
    <w:rsid w:val="2F134027"/>
    <w:rsid w:val="2F401D3C"/>
    <w:rsid w:val="2F5B24E1"/>
    <w:rsid w:val="2F6F4485"/>
    <w:rsid w:val="2F704EEA"/>
    <w:rsid w:val="2F8026D7"/>
    <w:rsid w:val="2F8F65C7"/>
    <w:rsid w:val="2FA95C88"/>
    <w:rsid w:val="2FAD2132"/>
    <w:rsid w:val="2FC97926"/>
    <w:rsid w:val="2FD471C0"/>
    <w:rsid w:val="2FF9770A"/>
    <w:rsid w:val="2FFB1024"/>
    <w:rsid w:val="30242658"/>
    <w:rsid w:val="302F4907"/>
    <w:rsid w:val="303B3107"/>
    <w:rsid w:val="3041370F"/>
    <w:rsid w:val="30506D05"/>
    <w:rsid w:val="306D5836"/>
    <w:rsid w:val="3097349C"/>
    <w:rsid w:val="30D32298"/>
    <w:rsid w:val="30EC5E2A"/>
    <w:rsid w:val="30ED1946"/>
    <w:rsid w:val="311B0A1E"/>
    <w:rsid w:val="311F0E80"/>
    <w:rsid w:val="31216B3F"/>
    <w:rsid w:val="312B50A3"/>
    <w:rsid w:val="312F5238"/>
    <w:rsid w:val="317172BB"/>
    <w:rsid w:val="318E6873"/>
    <w:rsid w:val="31B46ACE"/>
    <w:rsid w:val="31DD1C32"/>
    <w:rsid w:val="31F51115"/>
    <w:rsid w:val="32003808"/>
    <w:rsid w:val="321A6930"/>
    <w:rsid w:val="32453A27"/>
    <w:rsid w:val="3263064A"/>
    <w:rsid w:val="3265766A"/>
    <w:rsid w:val="32A43132"/>
    <w:rsid w:val="32AC0C06"/>
    <w:rsid w:val="32AD0CCA"/>
    <w:rsid w:val="32C33CD3"/>
    <w:rsid w:val="33027836"/>
    <w:rsid w:val="33344EF5"/>
    <w:rsid w:val="334F2212"/>
    <w:rsid w:val="336C7EF7"/>
    <w:rsid w:val="3378161D"/>
    <w:rsid w:val="33B22505"/>
    <w:rsid w:val="33E85CE2"/>
    <w:rsid w:val="33FA4335"/>
    <w:rsid w:val="341D0201"/>
    <w:rsid w:val="3427058C"/>
    <w:rsid w:val="342B0F4F"/>
    <w:rsid w:val="345B3B52"/>
    <w:rsid w:val="347B2D6D"/>
    <w:rsid w:val="34802A56"/>
    <w:rsid w:val="34B52163"/>
    <w:rsid w:val="34CD3CF5"/>
    <w:rsid w:val="34CF1920"/>
    <w:rsid w:val="34D72013"/>
    <w:rsid w:val="34EB7D5F"/>
    <w:rsid w:val="34EE1C44"/>
    <w:rsid w:val="352C24DC"/>
    <w:rsid w:val="3537750C"/>
    <w:rsid w:val="3537798C"/>
    <w:rsid w:val="357005A7"/>
    <w:rsid w:val="357A579A"/>
    <w:rsid w:val="358E312C"/>
    <w:rsid w:val="35C13FC9"/>
    <w:rsid w:val="35E91989"/>
    <w:rsid w:val="35EF4FE4"/>
    <w:rsid w:val="36085EA6"/>
    <w:rsid w:val="36111AC1"/>
    <w:rsid w:val="36266D8A"/>
    <w:rsid w:val="364257B6"/>
    <w:rsid w:val="368F0CB2"/>
    <w:rsid w:val="369E4AB8"/>
    <w:rsid w:val="36D310DF"/>
    <w:rsid w:val="3705788F"/>
    <w:rsid w:val="3724059E"/>
    <w:rsid w:val="374E4FB2"/>
    <w:rsid w:val="37725F65"/>
    <w:rsid w:val="37734E19"/>
    <w:rsid w:val="37776969"/>
    <w:rsid w:val="378D159B"/>
    <w:rsid w:val="37DE378C"/>
    <w:rsid w:val="37EA5922"/>
    <w:rsid w:val="380C2E7F"/>
    <w:rsid w:val="38134D6C"/>
    <w:rsid w:val="38276B93"/>
    <w:rsid w:val="38336FC4"/>
    <w:rsid w:val="384D3BF2"/>
    <w:rsid w:val="386A2AA2"/>
    <w:rsid w:val="389430F0"/>
    <w:rsid w:val="38AC3431"/>
    <w:rsid w:val="38C26745"/>
    <w:rsid w:val="38CD0AA7"/>
    <w:rsid w:val="38E67108"/>
    <w:rsid w:val="38F06097"/>
    <w:rsid w:val="38FE35D2"/>
    <w:rsid w:val="39033399"/>
    <w:rsid w:val="39113110"/>
    <w:rsid w:val="39226DE8"/>
    <w:rsid w:val="392F2E16"/>
    <w:rsid w:val="39406F09"/>
    <w:rsid w:val="396554F4"/>
    <w:rsid w:val="39791C92"/>
    <w:rsid w:val="39B614C9"/>
    <w:rsid w:val="39D94185"/>
    <w:rsid w:val="39E00529"/>
    <w:rsid w:val="39E359C2"/>
    <w:rsid w:val="39E9733C"/>
    <w:rsid w:val="3A0B6254"/>
    <w:rsid w:val="3A0B64A7"/>
    <w:rsid w:val="3A114DAD"/>
    <w:rsid w:val="3A1C7B1C"/>
    <w:rsid w:val="3A2F182B"/>
    <w:rsid w:val="3A2F1EE8"/>
    <w:rsid w:val="3A36312B"/>
    <w:rsid w:val="3A3B5CDC"/>
    <w:rsid w:val="3A520B7E"/>
    <w:rsid w:val="3A574DDA"/>
    <w:rsid w:val="3AA73CF1"/>
    <w:rsid w:val="3AD3075A"/>
    <w:rsid w:val="3AD5142D"/>
    <w:rsid w:val="3AD71232"/>
    <w:rsid w:val="3ADCEAF3"/>
    <w:rsid w:val="3AEA755C"/>
    <w:rsid w:val="3AF74C02"/>
    <w:rsid w:val="3B1A17C0"/>
    <w:rsid w:val="3B3A2F0E"/>
    <w:rsid w:val="3B447208"/>
    <w:rsid w:val="3B954BE0"/>
    <w:rsid w:val="3B9F1620"/>
    <w:rsid w:val="3BB84161"/>
    <w:rsid w:val="3C0059A5"/>
    <w:rsid w:val="3C134E78"/>
    <w:rsid w:val="3C15518D"/>
    <w:rsid w:val="3C33057E"/>
    <w:rsid w:val="3C334EAF"/>
    <w:rsid w:val="3C3D49BD"/>
    <w:rsid w:val="3C6D16C6"/>
    <w:rsid w:val="3C921FB2"/>
    <w:rsid w:val="3C9E1EBC"/>
    <w:rsid w:val="3CBF5E98"/>
    <w:rsid w:val="3CF52957"/>
    <w:rsid w:val="3D147205"/>
    <w:rsid w:val="3D2E6923"/>
    <w:rsid w:val="3D506996"/>
    <w:rsid w:val="3D67163F"/>
    <w:rsid w:val="3D6871A7"/>
    <w:rsid w:val="3D817764"/>
    <w:rsid w:val="3D873FCE"/>
    <w:rsid w:val="3DEC7285"/>
    <w:rsid w:val="3DF6345D"/>
    <w:rsid w:val="3E0C1CBB"/>
    <w:rsid w:val="3E2B5515"/>
    <w:rsid w:val="3E3E5EF1"/>
    <w:rsid w:val="3E4746B3"/>
    <w:rsid w:val="3E4D4F28"/>
    <w:rsid w:val="3E7F32DC"/>
    <w:rsid w:val="3EB11AC7"/>
    <w:rsid w:val="3EC9706E"/>
    <w:rsid w:val="3ED16D67"/>
    <w:rsid w:val="3ED818CD"/>
    <w:rsid w:val="3EE13701"/>
    <w:rsid w:val="3EE25742"/>
    <w:rsid w:val="3F144FB4"/>
    <w:rsid w:val="3F1A4BB3"/>
    <w:rsid w:val="3F4A64D9"/>
    <w:rsid w:val="3F60225A"/>
    <w:rsid w:val="3F6D7163"/>
    <w:rsid w:val="3F934E86"/>
    <w:rsid w:val="3FCF1BE8"/>
    <w:rsid w:val="3FF317AE"/>
    <w:rsid w:val="3FFA2455"/>
    <w:rsid w:val="40192BA6"/>
    <w:rsid w:val="40282CE0"/>
    <w:rsid w:val="402C58F5"/>
    <w:rsid w:val="40484D68"/>
    <w:rsid w:val="406C324E"/>
    <w:rsid w:val="40761BDC"/>
    <w:rsid w:val="40963BF6"/>
    <w:rsid w:val="40991CAB"/>
    <w:rsid w:val="40AE497E"/>
    <w:rsid w:val="40B15F11"/>
    <w:rsid w:val="40BE68D5"/>
    <w:rsid w:val="40D43427"/>
    <w:rsid w:val="41071387"/>
    <w:rsid w:val="410B7544"/>
    <w:rsid w:val="41184017"/>
    <w:rsid w:val="411E6115"/>
    <w:rsid w:val="413D6CFA"/>
    <w:rsid w:val="4151394D"/>
    <w:rsid w:val="415560AD"/>
    <w:rsid w:val="41766EA9"/>
    <w:rsid w:val="419C2619"/>
    <w:rsid w:val="41E40D4D"/>
    <w:rsid w:val="42145CCA"/>
    <w:rsid w:val="423035D9"/>
    <w:rsid w:val="4253716E"/>
    <w:rsid w:val="42550A18"/>
    <w:rsid w:val="425A4BD1"/>
    <w:rsid w:val="427B1BBB"/>
    <w:rsid w:val="429D496A"/>
    <w:rsid w:val="42BB1D1E"/>
    <w:rsid w:val="42CC751E"/>
    <w:rsid w:val="42E0276A"/>
    <w:rsid w:val="42EB6093"/>
    <w:rsid w:val="42F473A1"/>
    <w:rsid w:val="42F80FA5"/>
    <w:rsid w:val="4305361D"/>
    <w:rsid w:val="431C26D3"/>
    <w:rsid w:val="431F637C"/>
    <w:rsid w:val="434E3AB8"/>
    <w:rsid w:val="43537F8A"/>
    <w:rsid w:val="43773250"/>
    <w:rsid w:val="43F517CB"/>
    <w:rsid w:val="44107EE3"/>
    <w:rsid w:val="441E62C0"/>
    <w:rsid w:val="443E50E2"/>
    <w:rsid w:val="44406167"/>
    <w:rsid w:val="44967985"/>
    <w:rsid w:val="44974521"/>
    <w:rsid w:val="44FB65C3"/>
    <w:rsid w:val="45192471"/>
    <w:rsid w:val="451B7728"/>
    <w:rsid w:val="452F1A92"/>
    <w:rsid w:val="45325D14"/>
    <w:rsid w:val="454F4D0B"/>
    <w:rsid w:val="456A5852"/>
    <w:rsid w:val="45811C7C"/>
    <w:rsid w:val="45906116"/>
    <w:rsid w:val="45A0305D"/>
    <w:rsid w:val="45A03571"/>
    <w:rsid w:val="45F51AEF"/>
    <w:rsid w:val="460B016C"/>
    <w:rsid w:val="463B007F"/>
    <w:rsid w:val="46830E83"/>
    <w:rsid w:val="468B3EFB"/>
    <w:rsid w:val="46D5130D"/>
    <w:rsid w:val="46E15B1B"/>
    <w:rsid w:val="470A6193"/>
    <w:rsid w:val="471B4E2C"/>
    <w:rsid w:val="47316652"/>
    <w:rsid w:val="47385210"/>
    <w:rsid w:val="474D5830"/>
    <w:rsid w:val="475C3001"/>
    <w:rsid w:val="47690E29"/>
    <w:rsid w:val="4791127C"/>
    <w:rsid w:val="479A5F27"/>
    <w:rsid w:val="47A837E0"/>
    <w:rsid w:val="47C567E9"/>
    <w:rsid w:val="47D31E5D"/>
    <w:rsid w:val="47DC4F5C"/>
    <w:rsid w:val="47DD36B3"/>
    <w:rsid w:val="47EF90C6"/>
    <w:rsid w:val="481C7304"/>
    <w:rsid w:val="482C6A5C"/>
    <w:rsid w:val="48B40671"/>
    <w:rsid w:val="48F73DFC"/>
    <w:rsid w:val="490D112E"/>
    <w:rsid w:val="493C2711"/>
    <w:rsid w:val="495664BB"/>
    <w:rsid w:val="49970DE0"/>
    <w:rsid w:val="499B5738"/>
    <w:rsid w:val="499F244D"/>
    <w:rsid w:val="4A105051"/>
    <w:rsid w:val="4A2D0198"/>
    <w:rsid w:val="4A420EE7"/>
    <w:rsid w:val="4A973F3F"/>
    <w:rsid w:val="4AE6282E"/>
    <w:rsid w:val="4AF4108E"/>
    <w:rsid w:val="4AF50338"/>
    <w:rsid w:val="4AF96BC7"/>
    <w:rsid w:val="4B136101"/>
    <w:rsid w:val="4B203103"/>
    <w:rsid w:val="4B32607A"/>
    <w:rsid w:val="4B415A54"/>
    <w:rsid w:val="4B464533"/>
    <w:rsid w:val="4B496045"/>
    <w:rsid w:val="4B545C08"/>
    <w:rsid w:val="4B5A416B"/>
    <w:rsid w:val="4B667F55"/>
    <w:rsid w:val="4B7C6990"/>
    <w:rsid w:val="4B862A85"/>
    <w:rsid w:val="4B8B200B"/>
    <w:rsid w:val="4B98008D"/>
    <w:rsid w:val="4BAC4867"/>
    <w:rsid w:val="4BD71F7B"/>
    <w:rsid w:val="4BDE26E5"/>
    <w:rsid w:val="4BF417D4"/>
    <w:rsid w:val="4BF92147"/>
    <w:rsid w:val="4C2162FB"/>
    <w:rsid w:val="4C3A28DD"/>
    <w:rsid w:val="4C3C53B7"/>
    <w:rsid w:val="4C8018E7"/>
    <w:rsid w:val="4C8624FC"/>
    <w:rsid w:val="4C8A38D4"/>
    <w:rsid w:val="4C9C27CC"/>
    <w:rsid w:val="4CA20A24"/>
    <w:rsid w:val="4CB755B1"/>
    <w:rsid w:val="4CEF28C5"/>
    <w:rsid w:val="4CEF36E2"/>
    <w:rsid w:val="4CEF4DC5"/>
    <w:rsid w:val="4CF25996"/>
    <w:rsid w:val="4D171C3B"/>
    <w:rsid w:val="4D482BAA"/>
    <w:rsid w:val="4D4873F2"/>
    <w:rsid w:val="4D54264D"/>
    <w:rsid w:val="4D6A5813"/>
    <w:rsid w:val="4D891D2C"/>
    <w:rsid w:val="4D922FBD"/>
    <w:rsid w:val="4D9A766C"/>
    <w:rsid w:val="4D9C5952"/>
    <w:rsid w:val="4DA62246"/>
    <w:rsid w:val="4DC17B81"/>
    <w:rsid w:val="4DEE41E3"/>
    <w:rsid w:val="4DF71805"/>
    <w:rsid w:val="4E17231F"/>
    <w:rsid w:val="4E257655"/>
    <w:rsid w:val="4E8E7871"/>
    <w:rsid w:val="4EB42A1C"/>
    <w:rsid w:val="4EC4406A"/>
    <w:rsid w:val="4EC455C1"/>
    <w:rsid w:val="4ECF231D"/>
    <w:rsid w:val="4EF86E3C"/>
    <w:rsid w:val="4F06496B"/>
    <w:rsid w:val="4F0A6689"/>
    <w:rsid w:val="4F0C1AC6"/>
    <w:rsid w:val="4F127C58"/>
    <w:rsid w:val="4F161D18"/>
    <w:rsid w:val="4F372380"/>
    <w:rsid w:val="4F372FFB"/>
    <w:rsid w:val="4F485730"/>
    <w:rsid w:val="4F71142E"/>
    <w:rsid w:val="4F7A6CA5"/>
    <w:rsid w:val="4FA7341A"/>
    <w:rsid w:val="4FE34F88"/>
    <w:rsid w:val="4FEF4AC6"/>
    <w:rsid w:val="5016589E"/>
    <w:rsid w:val="5025116D"/>
    <w:rsid w:val="503D7DBA"/>
    <w:rsid w:val="50BF67C9"/>
    <w:rsid w:val="50ED7CC8"/>
    <w:rsid w:val="50FB62A0"/>
    <w:rsid w:val="51087650"/>
    <w:rsid w:val="511E0283"/>
    <w:rsid w:val="51277770"/>
    <w:rsid w:val="515158DB"/>
    <w:rsid w:val="51556D78"/>
    <w:rsid w:val="516623C4"/>
    <w:rsid w:val="519B36BA"/>
    <w:rsid w:val="51B05107"/>
    <w:rsid w:val="51DA39DC"/>
    <w:rsid w:val="51E0241A"/>
    <w:rsid w:val="51F1394A"/>
    <w:rsid w:val="522024E6"/>
    <w:rsid w:val="52314419"/>
    <w:rsid w:val="52395ECD"/>
    <w:rsid w:val="526D4E29"/>
    <w:rsid w:val="52735E8B"/>
    <w:rsid w:val="52B44696"/>
    <w:rsid w:val="52C10D75"/>
    <w:rsid w:val="52D55821"/>
    <w:rsid w:val="52EB2FB5"/>
    <w:rsid w:val="53655BA8"/>
    <w:rsid w:val="53A303CC"/>
    <w:rsid w:val="53C27FF8"/>
    <w:rsid w:val="53EC03B2"/>
    <w:rsid w:val="541057A4"/>
    <w:rsid w:val="544E00F4"/>
    <w:rsid w:val="5475679C"/>
    <w:rsid w:val="54882192"/>
    <w:rsid w:val="548E485C"/>
    <w:rsid w:val="549E1A80"/>
    <w:rsid w:val="54AB108A"/>
    <w:rsid w:val="54C658F4"/>
    <w:rsid w:val="54CB45B1"/>
    <w:rsid w:val="54E0494C"/>
    <w:rsid w:val="54E171CD"/>
    <w:rsid w:val="550C4BD7"/>
    <w:rsid w:val="55322669"/>
    <w:rsid w:val="5539470A"/>
    <w:rsid w:val="554C1D56"/>
    <w:rsid w:val="554E0253"/>
    <w:rsid w:val="555230CF"/>
    <w:rsid w:val="55572986"/>
    <w:rsid w:val="555761AA"/>
    <w:rsid w:val="555E236D"/>
    <w:rsid w:val="55A82C22"/>
    <w:rsid w:val="55C062DD"/>
    <w:rsid w:val="5607446A"/>
    <w:rsid w:val="56081243"/>
    <w:rsid w:val="561535A4"/>
    <w:rsid w:val="56245CC2"/>
    <w:rsid w:val="56330E85"/>
    <w:rsid w:val="565340FA"/>
    <w:rsid w:val="565C3ECA"/>
    <w:rsid w:val="56636EEC"/>
    <w:rsid w:val="56790914"/>
    <w:rsid w:val="569A7860"/>
    <w:rsid w:val="56B25952"/>
    <w:rsid w:val="56FC519F"/>
    <w:rsid w:val="571B3688"/>
    <w:rsid w:val="571F4860"/>
    <w:rsid w:val="5723343E"/>
    <w:rsid w:val="573D7EAB"/>
    <w:rsid w:val="57580904"/>
    <w:rsid w:val="577B374C"/>
    <w:rsid w:val="577E66BA"/>
    <w:rsid w:val="578057C8"/>
    <w:rsid w:val="578231ED"/>
    <w:rsid w:val="57856002"/>
    <w:rsid w:val="57893184"/>
    <w:rsid w:val="57AA18F7"/>
    <w:rsid w:val="57DD34B9"/>
    <w:rsid w:val="57E463EB"/>
    <w:rsid w:val="57E6392C"/>
    <w:rsid w:val="57E67CA2"/>
    <w:rsid w:val="57F706C9"/>
    <w:rsid w:val="58017793"/>
    <w:rsid w:val="58685C59"/>
    <w:rsid w:val="58697500"/>
    <w:rsid w:val="58843841"/>
    <w:rsid w:val="5891308F"/>
    <w:rsid w:val="589236B1"/>
    <w:rsid w:val="58C86B99"/>
    <w:rsid w:val="5904102E"/>
    <w:rsid w:val="590A564B"/>
    <w:rsid w:val="59415D84"/>
    <w:rsid w:val="594D2B53"/>
    <w:rsid w:val="598813E0"/>
    <w:rsid w:val="5999679A"/>
    <w:rsid w:val="599C38F2"/>
    <w:rsid w:val="59A03BB4"/>
    <w:rsid w:val="59AA0FB1"/>
    <w:rsid w:val="59B91F8C"/>
    <w:rsid w:val="59EF6A42"/>
    <w:rsid w:val="59F20EF7"/>
    <w:rsid w:val="59F23A73"/>
    <w:rsid w:val="5A176A5C"/>
    <w:rsid w:val="5A2F2CC8"/>
    <w:rsid w:val="5A673F93"/>
    <w:rsid w:val="5A723722"/>
    <w:rsid w:val="5A7D02BC"/>
    <w:rsid w:val="5A81226C"/>
    <w:rsid w:val="5A8D20F7"/>
    <w:rsid w:val="5AAA4EE2"/>
    <w:rsid w:val="5AC95C92"/>
    <w:rsid w:val="5B050AD9"/>
    <w:rsid w:val="5B2B276E"/>
    <w:rsid w:val="5B436D5A"/>
    <w:rsid w:val="5B487697"/>
    <w:rsid w:val="5B570637"/>
    <w:rsid w:val="5B79092D"/>
    <w:rsid w:val="5B7F28A2"/>
    <w:rsid w:val="5B9C3F03"/>
    <w:rsid w:val="5BA26962"/>
    <w:rsid w:val="5BA85879"/>
    <w:rsid w:val="5BC1259B"/>
    <w:rsid w:val="5BC95544"/>
    <w:rsid w:val="5C10205B"/>
    <w:rsid w:val="5C10702D"/>
    <w:rsid w:val="5C14136F"/>
    <w:rsid w:val="5C152601"/>
    <w:rsid w:val="5C20614F"/>
    <w:rsid w:val="5C591F03"/>
    <w:rsid w:val="5C8A1B2F"/>
    <w:rsid w:val="5C96399E"/>
    <w:rsid w:val="5CAF3DCD"/>
    <w:rsid w:val="5CDF21E6"/>
    <w:rsid w:val="5D1E0652"/>
    <w:rsid w:val="5D2C1215"/>
    <w:rsid w:val="5D2C5A97"/>
    <w:rsid w:val="5D857790"/>
    <w:rsid w:val="5D861815"/>
    <w:rsid w:val="5D8936D2"/>
    <w:rsid w:val="5D914004"/>
    <w:rsid w:val="5DD80331"/>
    <w:rsid w:val="5DD95E29"/>
    <w:rsid w:val="5DDD16DD"/>
    <w:rsid w:val="5DE63881"/>
    <w:rsid w:val="5DF41766"/>
    <w:rsid w:val="5E015F08"/>
    <w:rsid w:val="5E5129DE"/>
    <w:rsid w:val="5E5F59BA"/>
    <w:rsid w:val="5E615889"/>
    <w:rsid w:val="5E727AB0"/>
    <w:rsid w:val="5E7D2501"/>
    <w:rsid w:val="5E847BF7"/>
    <w:rsid w:val="5EC8520A"/>
    <w:rsid w:val="5F0341A4"/>
    <w:rsid w:val="5F174D94"/>
    <w:rsid w:val="5F4E185D"/>
    <w:rsid w:val="5F4F5E24"/>
    <w:rsid w:val="5F561B72"/>
    <w:rsid w:val="5F811AD3"/>
    <w:rsid w:val="5F8E3288"/>
    <w:rsid w:val="5F92448C"/>
    <w:rsid w:val="5FA13309"/>
    <w:rsid w:val="5FBB0ADC"/>
    <w:rsid w:val="5FBF10FB"/>
    <w:rsid w:val="5FE00927"/>
    <w:rsid w:val="5FE24EDD"/>
    <w:rsid w:val="5FE437FC"/>
    <w:rsid w:val="5FED0446"/>
    <w:rsid w:val="5FF87C07"/>
    <w:rsid w:val="60014470"/>
    <w:rsid w:val="602A626F"/>
    <w:rsid w:val="603E60FC"/>
    <w:rsid w:val="60504C82"/>
    <w:rsid w:val="606007BB"/>
    <w:rsid w:val="606107BE"/>
    <w:rsid w:val="606163EC"/>
    <w:rsid w:val="60690871"/>
    <w:rsid w:val="608E10F9"/>
    <w:rsid w:val="60AC7F66"/>
    <w:rsid w:val="60C13070"/>
    <w:rsid w:val="60FB1B80"/>
    <w:rsid w:val="611E12A8"/>
    <w:rsid w:val="61226064"/>
    <w:rsid w:val="61497909"/>
    <w:rsid w:val="614F0CAD"/>
    <w:rsid w:val="6189448A"/>
    <w:rsid w:val="61A66546"/>
    <w:rsid w:val="61BD42A4"/>
    <w:rsid w:val="61BF10D9"/>
    <w:rsid w:val="61DA3D4C"/>
    <w:rsid w:val="61F215C9"/>
    <w:rsid w:val="6265481D"/>
    <w:rsid w:val="626A5412"/>
    <w:rsid w:val="62AC22DC"/>
    <w:rsid w:val="62BF2D76"/>
    <w:rsid w:val="62E43D24"/>
    <w:rsid w:val="62FA4283"/>
    <w:rsid w:val="630871F9"/>
    <w:rsid w:val="630A6917"/>
    <w:rsid w:val="63177FBC"/>
    <w:rsid w:val="633E67A6"/>
    <w:rsid w:val="635251C8"/>
    <w:rsid w:val="635A3E88"/>
    <w:rsid w:val="635C1FFD"/>
    <w:rsid w:val="63606311"/>
    <w:rsid w:val="63607FA4"/>
    <w:rsid w:val="63724593"/>
    <w:rsid w:val="637833E8"/>
    <w:rsid w:val="63DE0947"/>
    <w:rsid w:val="63F14628"/>
    <w:rsid w:val="63F30799"/>
    <w:rsid w:val="64481274"/>
    <w:rsid w:val="646D1148"/>
    <w:rsid w:val="648743E5"/>
    <w:rsid w:val="64B10E28"/>
    <w:rsid w:val="64BB10E5"/>
    <w:rsid w:val="64C210FC"/>
    <w:rsid w:val="64D8014C"/>
    <w:rsid w:val="64E45EF7"/>
    <w:rsid w:val="651240A3"/>
    <w:rsid w:val="65164DAC"/>
    <w:rsid w:val="6528541A"/>
    <w:rsid w:val="6544472C"/>
    <w:rsid w:val="65465871"/>
    <w:rsid w:val="654866C3"/>
    <w:rsid w:val="654E2D83"/>
    <w:rsid w:val="655423F4"/>
    <w:rsid w:val="6555098E"/>
    <w:rsid w:val="65CD5500"/>
    <w:rsid w:val="65D06BA5"/>
    <w:rsid w:val="65F12154"/>
    <w:rsid w:val="6630196A"/>
    <w:rsid w:val="665253D0"/>
    <w:rsid w:val="667B74E1"/>
    <w:rsid w:val="66873275"/>
    <w:rsid w:val="668F6FD2"/>
    <w:rsid w:val="6691014E"/>
    <w:rsid w:val="66C2559B"/>
    <w:rsid w:val="66C87CCE"/>
    <w:rsid w:val="66E73D86"/>
    <w:rsid w:val="66FB490A"/>
    <w:rsid w:val="67592253"/>
    <w:rsid w:val="677435B2"/>
    <w:rsid w:val="6779688C"/>
    <w:rsid w:val="67814D8C"/>
    <w:rsid w:val="678801E7"/>
    <w:rsid w:val="678D2EAE"/>
    <w:rsid w:val="67E35B9E"/>
    <w:rsid w:val="67EF75F1"/>
    <w:rsid w:val="67F323FA"/>
    <w:rsid w:val="67FA33AF"/>
    <w:rsid w:val="682062DD"/>
    <w:rsid w:val="68327BBE"/>
    <w:rsid w:val="685A4D5A"/>
    <w:rsid w:val="689736F8"/>
    <w:rsid w:val="68B35F15"/>
    <w:rsid w:val="68B72539"/>
    <w:rsid w:val="68EE3A3C"/>
    <w:rsid w:val="69124F16"/>
    <w:rsid w:val="69280117"/>
    <w:rsid w:val="693022D8"/>
    <w:rsid w:val="694A5205"/>
    <w:rsid w:val="69684187"/>
    <w:rsid w:val="69AD518D"/>
    <w:rsid w:val="69CD5C14"/>
    <w:rsid w:val="69CE068D"/>
    <w:rsid w:val="69CF0D33"/>
    <w:rsid w:val="69D8686C"/>
    <w:rsid w:val="69D96AC3"/>
    <w:rsid w:val="69F567A0"/>
    <w:rsid w:val="6A1A7186"/>
    <w:rsid w:val="6A36068B"/>
    <w:rsid w:val="6A434A35"/>
    <w:rsid w:val="6A4B2209"/>
    <w:rsid w:val="6A5066CB"/>
    <w:rsid w:val="6A512713"/>
    <w:rsid w:val="6A542D51"/>
    <w:rsid w:val="6A6030C4"/>
    <w:rsid w:val="6A7F05D0"/>
    <w:rsid w:val="6AB235AF"/>
    <w:rsid w:val="6ABD719F"/>
    <w:rsid w:val="6AE644C3"/>
    <w:rsid w:val="6AFD4928"/>
    <w:rsid w:val="6B175FBC"/>
    <w:rsid w:val="6B1A70F6"/>
    <w:rsid w:val="6B297797"/>
    <w:rsid w:val="6B2F4D3E"/>
    <w:rsid w:val="6B303F71"/>
    <w:rsid w:val="6B374E7A"/>
    <w:rsid w:val="6B4317B4"/>
    <w:rsid w:val="6B4A10E4"/>
    <w:rsid w:val="6B5C4B71"/>
    <w:rsid w:val="6B9946B3"/>
    <w:rsid w:val="6B9B5061"/>
    <w:rsid w:val="6BF5106A"/>
    <w:rsid w:val="6C072825"/>
    <w:rsid w:val="6C241930"/>
    <w:rsid w:val="6C2D0A9C"/>
    <w:rsid w:val="6C4052D5"/>
    <w:rsid w:val="6C431EF3"/>
    <w:rsid w:val="6C4B7550"/>
    <w:rsid w:val="6C4E6902"/>
    <w:rsid w:val="6C662189"/>
    <w:rsid w:val="6C6B22D7"/>
    <w:rsid w:val="6C6C2F38"/>
    <w:rsid w:val="6C7007C7"/>
    <w:rsid w:val="6C80174A"/>
    <w:rsid w:val="6C8C2B67"/>
    <w:rsid w:val="6C8D38AF"/>
    <w:rsid w:val="6C8D7684"/>
    <w:rsid w:val="6CB04275"/>
    <w:rsid w:val="6CDC07DA"/>
    <w:rsid w:val="6CF92C55"/>
    <w:rsid w:val="6D4C7D54"/>
    <w:rsid w:val="6D60703C"/>
    <w:rsid w:val="6D68310A"/>
    <w:rsid w:val="6D6D4330"/>
    <w:rsid w:val="6D915D95"/>
    <w:rsid w:val="6D94625C"/>
    <w:rsid w:val="6D9B53CB"/>
    <w:rsid w:val="6DB63374"/>
    <w:rsid w:val="6DE76850"/>
    <w:rsid w:val="6DF8337B"/>
    <w:rsid w:val="6E1A3980"/>
    <w:rsid w:val="6E2B50E3"/>
    <w:rsid w:val="6E506EFF"/>
    <w:rsid w:val="6E8059E4"/>
    <w:rsid w:val="6E9E45BF"/>
    <w:rsid w:val="6EA34CC4"/>
    <w:rsid w:val="6EC00BE3"/>
    <w:rsid w:val="6EE54F57"/>
    <w:rsid w:val="6F055DD7"/>
    <w:rsid w:val="6F3FCE33"/>
    <w:rsid w:val="6F6B76CB"/>
    <w:rsid w:val="6F6E0ACF"/>
    <w:rsid w:val="6F753C1F"/>
    <w:rsid w:val="6F7BF44A"/>
    <w:rsid w:val="6FB20BD4"/>
    <w:rsid w:val="6FB650F7"/>
    <w:rsid w:val="6FB75277"/>
    <w:rsid w:val="6FBA59BE"/>
    <w:rsid w:val="6FBF5304"/>
    <w:rsid w:val="6FD36455"/>
    <w:rsid w:val="6FD7425E"/>
    <w:rsid w:val="6FF0C7BD"/>
    <w:rsid w:val="6FF16C9A"/>
    <w:rsid w:val="6FF2418B"/>
    <w:rsid w:val="6FF873B3"/>
    <w:rsid w:val="6FFBC7EA"/>
    <w:rsid w:val="6FFC1A3E"/>
    <w:rsid w:val="702726F0"/>
    <w:rsid w:val="70296B3E"/>
    <w:rsid w:val="704255C1"/>
    <w:rsid w:val="704751B9"/>
    <w:rsid w:val="70497291"/>
    <w:rsid w:val="705B357E"/>
    <w:rsid w:val="70611204"/>
    <w:rsid w:val="70BF0EE0"/>
    <w:rsid w:val="70C20C9C"/>
    <w:rsid w:val="70D01410"/>
    <w:rsid w:val="70D32204"/>
    <w:rsid w:val="70F15847"/>
    <w:rsid w:val="713116FD"/>
    <w:rsid w:val="71370AC8"/>
    <w:rsid w:val="71434E47"/>
    <w:rsid w:val="71486F7F"/>
    <w:rsid w:val="714E680C"/>
    <w:rsid w:val="71662A10"/>
    <w:rsid w:val="71982A8B"/>
    <w:rsid w:val="72204649"/>
    <w:rsid w:val="722C5869"/>
    <w:rsid w:val="727D6954"/>
    <w:rsid w:val="72844D41"/>
    <w:rsid w:val="72862C7E"/>
    <w:rsid w:val="728976DF"/>
    <w:rsid w:val="72CF4F19"/>
    <w:rsid w:val="72E77866"/>
    <w:rsid w:val="72EC79FB"/>
    <w:rsid w:val="733D16A9"/>
    <w:rsid w:val="73425548"/>
    <w:rsid w:val="73445350"/>
    <w:rsid w:val="73514DB1"/>
    <w:rsid w:val="73530A61"/>
    <w:rsid w:val="736A73D7"/>
    <w:rsid w:val="736FB107"/>
    <w:rsid w:val="737C5261"/>
    <w:rsid w:val="738A77D2"/>
    <w:rsid w:val="73926547"/>
    <w:rsid w:val="73AC15DC"/>
    <w:rsid w:val="73F27930"/>
    <w:rsid w:val="74121260"/>
    <w:rsid w:val="743462D3"/>
    <w:rsid w:val="743E7D5E"/>
    <w:rsid w:val="7441374C"/>
    <w:rsid w:val="744149C3"/>
    <w:rsid w:val="74A93E5A"/>
    <w:rsid w:val="74C633BB"/>
    <w:rsid w:val="74FA2C30"/>
    <w:rsid w:val="75066EB4"/>
    <w:rsid w:val="751D1A0B"/>
    <w:rsid w:val="752502A9"/>
    <w:rsid w:val="753B09F7"/>
    <w:rsid w:val="754D5C4B"/>
    <w:rsid w:val="756C78B0"/>
    <w:rsid w:val="757E50F6"/>
    <w:rsid w:val="75855224"/>
    <w:rsid w:val="75A05064"/>
    <w:rsid w:val="75C5646D"/>
    <w:rsid w:val="75CB60C0"/>
    <w:rsid w:val="75DF98DF"/>
    <w:rsid w:val="75E76F6F"/>
    <w:rsid w:val="75EA323F"/>
    <w:rsid w:val="75EC127C"/>
    <w:rsid w:val="75F142DB"/>
    <w:rsid w:val="760B3F34"/>
    <w:rsid w:val="76334397"/>
    <w:rsid w:val="765B4F30"/>
    <w:rsid w:val="766C4E79"/>
    <w:rsid w:val="767D07C6"/>
    <w:rsid w:val="76A143E8"/>
    <w:rsid w:val="76C240A7"/>
    <w:rsid w:val="76C8773D"/>
    <w:rsid w:val="76E00A43"/>
    <w:rsid w:val="770F3331"/>
    <w:rsid w:val="77315AC4"/>
    <w:rsid w:val="775246B7"/>
    <w:rsid w:val="77583C37"/>
    <w:rsid w:val="775974AF"/>
    <w:rsid w:val="775D1ECB"/>
    <w:rsid w:val="77977DAD"/>
    <w:rsid w:val="77BBA290"/>
    <w:rsid w:val="77CA234A"/>
    <w:rsid w:val="77FA4C87"/>
    <w:rsid w:val="781E69D1"/>
    <w:rsid w:val="782A2DF7"/>
    <w:rsid w:val="7849255A"/>
    <w:rsid w:val="787A8760"/>
    <w:rsid w:val="78DE4305"/>
    <w:rsid w:val="797F0359"/>
    <w:rsid w:val="798B5E75"/>
    <w:rsid w:val="79962040"/>
    <w:rsid w:val="799A2861"/>
    <w:rsid w:val="79A25882"/>
    <w:rsid w:val="79BC014A"/>
    <w:rsid w:val="79BC34FC"/>
    <w:rsid w:val="79C95D86"/>
    <w:rsid w:val="79D042C8"/>
    <w:rsid w:val="7A1560EA"/>
    <w:rsid w:val="7A263B6B"/>
    <w:rsid w:val="7A2D01BD"/>
    <w:rsid w:val="7A573C85"/>
    <w:rsid w:val="7A6D67DD"/>
    <w:rsid w:val="7A7106D0"/>
    <w:rsid w:val="7A8E7E6B"/>
    <w:rsid w:val="7A9F3904"/>
    <w:rsid w:val="7AB71C8F"/>
    <w:rsid w:val="7ADE0A90"/>
    <w:rsid w:val="7AF46346"/>
    <w:rsid w:val="7AF753E6"/>
    <w:rsid w:val="7AF763CB"/>
    <w:rsid w:val="7B0F5EBF"/>
    <w:rsid w:val="7B130FB9"/>
    <w:rsid w:val="7B14483E"/>
    <w:rsid w:val="7B1C0A25"/>
    <w:rsid w:val="7B2611AB"/>
    <w:rsid w:val="7B4E6A0D"/>
    <w:rsid w:val="7B641BCE"/>
    <w:rsid w:val="7B770612"/>
    <w:rsid w:val="7B875F34"/>
    <w:rsid w:val="7BCC4FA8"/>
    <w:rsid w:val="7BDD6F19"/>
    <w:rsid w:val="7BE79726"/>
    <w:rsid w:val="7BF64EDE"/>
    <w:rsid w:val="7C221C6B"/>
    <w:rsid w:val="7C400C1E"/>
    <w:rsid w:val="7C6B18A2"/>
    <w:rsid w:val="7C99714C"/>
    <w:rsid w:val="7CA07DE8"/>
    <w:rsid w:val="7CA53FD5"/>
    <w:rsid w:val="7CB416DE"/>
    <w:rsid w:val="7CB50883"/>
    <w:rsid w:val="7CBE6D5D"/>
    <w:rsid w:val="7CC25782"/>
    <w:rsid w:val="7CC61C8D"/>
    <w:rsid w:val="7CDD1808"/>
    <w:rsid w:val="7CF57CC1"/>
    <w:rsid w:val="7CFF2231"/>
    <w:rsid w:val="7D0B5456"/>
    <w:rsid w:val="7D352792"/>
    <w:rsid w:val="7D563551"/>
    <w:rsid w:val="7D6F6791"/>
    <w:rsid w:val="7D7F289D"/>
    <w:rsid w:val="7D830B9D"/>
    <w:rsid w:val="7D95172F"/>
    <w:rsid w:val="7DB23C3E"/>
    <w:rsid w:val="7DD11708"/>
    <w:rsid w:val="7DF813B2"/>
    <w:rsid w:val="7E0763E6"/>
    <w:rsid w:val="7E1202A7"/>
    <w:rsid w:val="7E156055"/>
    <w:rsid w:val="7E2D7872"/>
    <w:rsid w:val="7E2E9088"/>
    <w:rsid w:val="7E417307"/>
    <w:rsid w:val="7E483654"/>
    <w:rsid w:val="7E522C19"/>
    <w:rsid w:val="7E5C0F61"/>
    <w:rsid w:val="7E8E6EBF"/>
    <w:rsid w:val="7EAD55B0"/>
    <w:rsid w:val="7EBD579E"/>
    <w:rsid w:val="7EC167BD"/>
    <w:rsid w:val="7ED56D33"/>
    <w:rsid w:val="7EDA0A96"/>
    <w:rsid w:val="7EFC345C"/>
    <w:rsid w:val="7EFFA85F"/>
    <w:rsid w:val="7F1A6960"/>
    <w:rsid w:val="7F272D9E"/>
    <w:rsid w:val="7F507488"/>
    <w:rsid w:val="7F687D9B"/>
    <w:rsid w:val="7F6B76E2"/>
    <w:rsid w:val="7F6E49EE"/>
    <w:rsid w:val="7F7848F6"/>
    <w:rsid w:val="7F7E3CFF"/>
    <w:rsid w:val="7F9FC1B4"/>
    <w:rsid w:val="7FAE2652"/>
    <w:rsid w:val="7FC75C53"/>
    <w:rsid w:val="7FDDE96F"/>
    <w:rsid w:val="7FDFBA8E"/>
    <w:rsid w:val="7FE709FD"/>
    <w:rsid w:val="7FFE65B2"/>
    <w:rsid w:val="7FFE9A1D"/>
    <w:rsid w:val="7FFF751B"/>
    <w:rsid w:val="92F5B832"/>
    <w:rsid w:val="B2FB5CC2"/>
    <w:rsid w:val="B7B33C3F"/>
    <w:rsid w:val="B7B7107E"/>
    <w:rsid w:val="BB5D7B87"/>
    <w:rsid w:val="BD3FF249"/>
    <w:rsid w:val="BF7D6E85"/>
    <w:rsid w:val="BFB7A980"/>
    <w:rsid w:val="BFFF89D3"/>
    <w:rsid w:val="BFFF9F95"/>
    <w:rsid w:val="C27AE4D5"/>
    <w:rsid w:val="C5DA421A"/>
    <w:rsid w:val="C8F40DB3"/>
    <w:rsid w:val="D8F26A65"/>
    <w:rsid w:val="DEEC9060"/>
    <w:rsid w:val="DEFD7B7D"/>
    <w:rsid w:val="DFA92DD9"/>
    <w:rsid w:val="EBCA8B61"/>
    <w:rsid w:val="EFFF1463"/>
    <w:rsid w:val="F1FFA336"/>
    <w:rsid w:val="F3BDE88C"/>
    <w:rsid w:val="F3FD78BE"/>
    <w:rsid w:val="F6BA9E4A"/>
    <w:rsid w:val="F77C3189"/>
    <w:rsid w:val="F7B77BF9"/>
    <w:rsid w:val="F7DF536F"/>
    <w:rsid w:val="F8FF8AD7"/>
    <w:rsid w:val="FBFECB8C"/>
    <w:rsid w:val="FCFF5BB8"/>
    <w:rsid w:val="FE7F2D09"/>
    <w:rsid w:val="FEFBABDA"/>
    <w:rsid w:val="FF5F7C88"/>
    <w:rsid w:val="FF7F2E89"/>
    <w:rsid w:val="FFCB20BC"/>
    <w:rsid w:val="FFCD9251"/>
    <w:rsid w:val="FFDF6BE5"/>
    <w:rsid w:val="FFFF2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42"/>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43"/>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autoRedefine/>
    <w:unhideWhenUsed/>
    <w:qFormat/>
    <w:uiPriority w:val="1"/>
  </w:style>
  <w:style w:type="table" w:default="1" w:styleId="29">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4"/>
    <w:autoRedefine/>
    <w:qFormat/>
    <w:uiPriority w:val="0"/>
    <w:pPr>
      <w:jc w:val="left"/>
    </w:pPr>
  </w:style>
  <w:style w:type="paragraph" w:styleId="12">
    <w:name w:val="Body Text 3"/>
    <w:basedOn w:val="1"/>
    <w:link w:val="45"/>
    <w:autoRedefine/>
    <w:unhideWhenUsed/>
    <w:qFormat/>
    <w:uiPriority w:val="99"/>
    <w:pPr>
      <w:spacing w:after="120"/>
    </w:pPr>
    <w:rPr>
      <w:sz w:val="16"/>
      <w:szCs w:val="16"/>
    </w:rPr>
  </w:style>
  <w:style w:type="paragraph" w:styleId="13">
    <w:name w:val="Body Text"/>
    <w:basedOn w:val="1"/>
    <w:next w:val="1"/>
    <w:link w:val="46"/>
    <w:autoRedefine/>
    <w:unhideWhenUsed/>
    <w:qFormat/>
    <w:uiPriority w:val="0"/>
    <w:pPr>
      <w:spacing w:after="120"/>
    </w:pPr>
  </w:style>
  <w:style w:type="paragraph" w:styleId="14">
    <w:name w:val="Body Text Indent"/>
    <w:basedOn w:val="1"/>
    <w:link w:val="47"/>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toc 3"/>
    <w:basedOn w:val="1"/>
    <w:next w:val="1"/>
    <w:autoRedefine/>
    <w:unhideWhenUsed/>
    <w:qFormat/>
    <w:uiPriority w:val="39"/>
    <w:pPr>
      <w:ind w:left="840" w:leftChars="400"/>
    </w:pPr>
  </w:style>
  <w:style w:type="paragraph" w:styleId="17">
    <w:name w:val="Plain Text"/>
    <w:basedOn w:val="1"/>
    <w:next w:val="5"/>
    <w:link w:val="48"/>
    <w:autoRedefine/>
    <w:qFormat/>
    <w:uiPriority w:val="0"/>
    <w:rPr>
      <w:rFonts w:ascii="宋体" w:hAnsi="Courier New"/>
      <w:kern w:val="0"/>
      <w:sz w:val="20"/>
      <w:szCs w:val="21"/>
    </w:rPr>
  </w:style>
  <w:style w:type="paragraph" w:styleId="18">
    <w:name w:val="Date"/>
    <w:basedOn w:val="1"/>
    <w:next w:val="1"/>
    <w:link w:val="49"/>
    <w:autoRedefine/>
    <w:unhideWhenUsed/>
    <w:qFormat/>
    <w:uiPriority w:val="99"/>
    <w:pPr>
      <w:ind w:left="100" w:leftChars="2500"/>
    </w:pPr>
  </w:style>
  <w:style w:type="paragraph" w:styleId="19">
    <w:name w:val="Balloon Text"/>
    <w:basedOn w:val="1"/>
    <w:autoRedefine/>
    <w:semiHidden/>
    <w:qFormat/>
    <w:uiPriority w:val="0"/>
    <w:rPr>
      <w:sz w:val="18"/>
      <w:szCs w:val="18"/>
    </w:rPr>
  </w:style>
  <w:style w:type="paragraph" w:styleId="20">
    <w:name w:val="footer"/>
    <w:basedOn w:val="1"/>
    <w:next w:val="1"/>
    <w:link w:val="50"/>
    <w:autoRedefine/>
    <w:unhideWhenUsed/>
    <w:qFormat/>
    <w:uiPriority w:val="99"/>
    <w:pPr>
      <w:tabs>
        <w:tab w:val="center" w:pos="4153"/>
        <w:tab w:val="right" w:pos="8306"/>
      </w:tabs>
      <w:snapToGrid w:val="0"/>
      <w:jc w:val="left"/>
    </w:pPr>
    <w:rPr>
      <w:kern w:val="0"/>
      <w:sz w:val="18"/>
      <w:szCs w:val="18"/>
    </w:rPr>
  </w:style>
  <w:style w:type="paragraph" w:styleId="21">
    <w:name w:val="header"/>
    <w:basedOn w:val="1"/>
    <w:link w:val="5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unhideWhenUsed/>
    <w:qFormat/>
    <w:uiPriority w:val="39"/>
  </w:style>
  <w:style w:type="paragraph" w:styleId="23">
    <w:name w:val="List"/>
    <w:basedOn w:val="1"/>
    <w:autoRedefine/>
    <w:unhideWhenUsed/>
    <w:qFormat/>
    <w:uiPriority w:val="99"/>
    <w:pPr>
      <w:ind w:left="200" w:hanging="200" w:hangingChars="200"/>
      <w:contextualSpacing/>
    </w:pPr>
  </w:style>
  <w:style w:type="paragraph" w:styleId="24">
    <w:name w:val="toc 2"/>
    <w:basedOn w:val="1"/>
    <w:next w:val="1"/>
    <w:autoRedefine/>
    <w:unhideWhenUsed/>
    <w:qFormat/>
    <w:uiPriority w:val="39"/>
    <w:pPr>
      <w:tabs>
        <w:tab w:val="right" w:leader="dot" w:pos="8296"/>
      </w:tabs>
      <w:ind w:left="420" w:leftChars="200"/>
    </w:pPr>
  </w:style>
  <w:style w:type="paragraph" w:styleId="25">
    <w:name w:val="Normal (Web)"/>
    <w:basedOn w:val="1"/>
    <w:autoRedefine/>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annotation subject"/>
    <w:basedOn w:val="11"/>
    <w:next w:val="11"/>
    <w:link w:val="52"/>
    <w:autoRedefine/>
    <w:qFormat/>
    <w:uiPriority w:val="99"/>
    <w:rPr>
      <w:b/>
      <w:bCs/>
    </w:rPr>
  </w:style>
  <w:style w:type="paragraph" w:styleId="27">
    <w:name w:val="Body Text First Indent"/>
    <w:basedOn w:val="13"/>
    <w:autoRedefine/>
    <w:qFormat/>
    <w:uiPriority w:val="0"/>
    <w:pPr>
      <w:spacing w:after="120" w:line="240" w:lineRule="auto"/>
      <w:ind w:firstLine="420" w:firstLineChars="100"/>
    </w:pPr>
    <w:rPr>
      <w:rFonts w:ascii="Times New Roman" w:hAnsi="Times New Roman" w:eastAsia="宋体" w:cs="Times New Roman"/>
      <w:sz w:val="21"/>
    </w:rPr>
  </w:style>
  <w:style w:type="paragraph" w:styleId="28">
    <w:name w:val="Body Text First Indent 2"/>
    <w:basedOn w:val="1"/>
    <w:autoRedefine/>
    <w:qFormat/>
    <w:uiPriority w:val="0"/>
    <w:pPr>
      <w:autoSpaceDE w:val="0"/>
      <w:autoSpaceDN w:val="0"/>
      <w:spacing w:after="120" w:afterLines="0" w:line="360" w:lineRule="auto"/>
      <w:ind w:left="420" w:leftChars="200" w:firstLine="420" w:firstLineChars="200"/>
    </w:pPr>
    <w:rPr>
      <w:sz w:val="21"/>
      <w:szCs w:val="24"/>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autoRedefine/>
    <w:unhideWhenUsed/>
    <w:qFormat/>
    <w:uiPriority w:val="99"/>
    <w:rPr>
      <w:vertAlign w:val="superscript"/>
    </w:rPr>
  </w:style>
  <w:style w:type="character" w:styleId="33">
    <w:name w:val="page number"/>
    <w:basedOn w:val="31"/>
    <w:autoRedefine/>
    <w:qFormat/>
    <w:uiPriority w:val="0"/>
  </w:style>
  <w:style w:type="character" w:styleId="34">
    <w:name w:val="FollowedHyperlink"/>
    <w:autoRedefine/>
    <w:unhideWhenUsed/>
    <w:qFormat/>
    <w:uiPriority w:val="99"/>
    <w:rPr>
      <w:color w:val="771CAA"/>
      <w:u w:val="none"/>
    </w:rPr>
  </w:style>
  <w:style w:type="character" w:styleId="35">
    <w:name w:val="Emphasis"/>
    <w:autoRedefine/>
    <w:qFormat/>
    <w:uiPriority w:val="20"/>
    <w:rPr>
      <w:color w:val="F73131"/>
    </w:rPr>
  </w:style>
  <w:style w:type="character" w:styleId="36">
    <w:name w:val="Hyperlink"/>
    <w:autoRedefine/>
    <w:unhideWhenUsed/>
    <w:qFormat/>
    <w:uiPriority w:val="99"/>
    <w:rPr>
      <w:color w:val="2440B3"/>
      <w:u w:val="none"/>
    </w:rPr>
  </w:style>
  <w:style w:type="character" w:styleId="37">
    <w:name w:val="annotation reference"/>
    <w:autoRedefine/>
    <w:qFormat/>
    <w:uiPriority w:val="99"/>
    <w:rPr>
      <w:sz w:val="21"/>
      <w:szCs w:val="21"/>
    </w:rPr>
  </w:style>
  <w:style w:type="character" w:styleId="38">
    <w:name w:val="HTML Cite"/>
    <w:autoRedefine/>
    <w:unhideWhenUsed/>
    <w:qFormat/>
    <w:uiPriority w:val="99"/>
    <w:rPr>
      <w:color w:val="008000"/>
    </w:rPr>
  </w:style>
  <w:style w:type="character" w:customStyle="1" w:styleId="39">
    <w:name w:val="标题 1 Char"/>
    <w:link w:val="2"/>
    <w:autoRedefine/>
    <w:qFormat/>
    <w:uiPriority w:val="9"/>
    <w:rPr>
      <w:b/>
      <w:bCs/>
      <w:kern w:val="44"/>
      <w:sz w:val="44"/>
      <w:szCs w:val="44"/>
    </w:rPr>
  </w:style>
  <w:style w:type="character" w:customStyle="1" w:styleId="40">
    <w:name w:val="标题 2 Char1"/>
    <w:link w:val="3"/>
    <w:autoRedefine/>
    <w:qFormat/>
    <w:uiPriority w:val="9"/>
    <w:rPr>
      <w:rFonts w:ascii="Cambria" w:hAnsi="Cambria" w:eastAsia="宋体" w:cs="Times New Roman"/>
      <w:b/>
      <w:bCs/>
      <w:kern w:val="2"/>
      <w:sz w:val="32"/>
      <w:szCs w:val="32"/>
    </w:rPr>
  </w:style>
  <w:style w:type="character" w:customStyle="1" w:styleId="41">
    <w:name w:val="标题 3 Char"/>
    <w:link w:val="4"/>
    <w:autoRedefine/>
    <w:semiHidden/>
    <w:qFormat/>
    <w:uiPriority w:val="9"/>
    <w:rPr>
      <w:b/>
      <w:bCs/>
      <w:kern w:val="2"/>
      <w:sz w:val="32"/>
      <w:szCs w:val="32"/>
    </w:rPr>
  </w:style>
  <w:style w:type="character" w:customStyle="1" w:styleId="42">
    <w:name w:val="标题 5 Char"/>
    <w:link w:val="6"/>
    <w:autoRedefine/>
    <w:qFormat/>
    <w:uiPriority w:val="9"/>
    <w:rPr>
      <w:rFonts w:ascii="Times New Roman" w:hAnsi="Times New Roman"/>
      <w:b/>
      <w:bCs/>
      <w:kern w:val="2"/>
      <w:sz w:val="28"/>
      <w:szCs w:val="28"/>
    </w:rPr>
  </w:style>
  <w:style w:type="character" w:customStyle="1" w:styleId="43">
    <w:name w:val="标题 8 Char1"/>
    <w:link w:val="8"/>
    <w:autoRedefine/>
    <w:semiHidden/>
    <w:qFormat/>
    <w:uiPriority w:val="9"/>
    <w:rPr>
      <w:rFonts w:ascii="等线 Light" w:hAnsi="等线 Light" w:eastAsia="等线 Light" w:cs="Times New Roman"/>
      <w:kern w:val="2"/>
      <w:sz w:val="24"/>
      <w:szCs w:val="24"/>
    </w:rPr>
  </w:style>
  <w:style w:type="character" w:customStyle="1" w:styleId="44">
    <w:name w:val="批注文字 Char1"/>
    <w:link w:val="11"/>
    <w:autoRedefine/>
    <w:qFormat/>
    <w:uiPriority w:val="0"/>
    <w:rPr>
      <w:rFonts w:ascii="Times New Roman" w:hAnsi="Times New Roman"/>
      <w:kern w:val="2"/>
      <w:sz w:val="21"/>
      <w:szCs w:val="24"/>
    </w:rPr>
  </w:style>
  <w:style w:type="character" w:customStyle="1" w:styleId="45">
    <w:name w:val="正文文本 3 Char"/>
    <w:link w:val="12"/>
    <w:autoRedefine/>
    <w:semiHidden/>
    <w:qFormat/>
    <w:uiPriority w:val="99"/>
    <w:rPr>
      <w:kern w:val="2"/>
      <w:sz w:val="16"/>
      <w:szCs w:val="16"/>
    </w:rPr>
  </w:style>
  <w:style w:type="character" w:customStyle="1" w:styleId="46">
    <w:name w:val="正文文本 Char1"/>
    <w:link w:val="13"/>
    <w:autoRedefine/>
    <w:qFormat/>
    <w:uiPriority w:val="0"/>
    <w:rPr>
      <w:rFonts w:ascii="Times New Roman" w:hAnsi="Times New Roman"/>
      <w:kern w:val="2"/>
      <w:sz w:val="21"/>
      <w:szCs w:val="24"/>
    </w:rPr>
  </w:style>
  <w:style w:type="character" w:customStyle="1" w:styleId="47">
    <w:name w:val="正文文本缩进 Char"/>
    <w:link w:val="14"/>
    <w:autoRedefine/>
    <w:qFormat/>
    <w:uiPriority w:val="0"/>
    <w:rPr>
      <w:rFonts w:ascii="仿宋_GB2312" w:hAnsi="Times New Roman" w:eastAsia="仿宋_GB2312" w:cs="Times New Roman"/>
      <w:sz w:val="32"/>
      <w:szCs w:val="20"/>
    </w:rPr>
  </w:style>
  <w:style w:type="character" w:customStyle="1" w:styleId="48">
    <w:name w:val="纯文本 Char1"/>
    <w:link w:val="17"/>
    <w:autoRedefine/>
    <w:qFormat/>
    <w:uiPriority w:val="0"/>
    <w:rPr>
      <w:rFonts w:ascii="宋体" w:hAnsi="Courier New" w:eastAsia="宋体" w:cs="Courier New"/>
      <w:szCs w:val="21"/>
    </w:rPr>
  </w:style>
  <w:style w:type="character" w:customStyle="1" w:styleId="49">
    <w:name w:val="日期 Char"/>
    <w:link w:val="18"/>
    <w:autoRedefine/>
    <w:semiHidden/>
    <w:qFormat/>
    <w:uiPriority w:val="99"/>
    <w:rPr>
      <w:rFonts w:ascii="Times New Roman" w:hAnsi="Times New Roman"/>
      <w:kern w:val="2"/>
      <w:sz w:val="21"/>
      <w:szCs w:val="24"/>
    </w:rPr>
  </w:style>
  <w:style w:type="character" w:customStyle="1" w:styleId="50">
    <w:name w:val="页脚 Char"/>
    <w:link w:val="20"/>
    <w:autoRedefine/>
    <w:qFormat/>
    <w:uiPriority w:val="99"/>
    <w:rPr>
      <w:sz w:val="18"/>
      <w:szCs w:val="18"/>
    </w:rPr>
  </w:style>
  <w:style w:type="character" w:customStyle="1" w:styleId="51">
    <w:name w:val="页眉 Char"/>
    <w:link w:val="21"/>
    <w:autoRedefine/>
    <w:qFormat/>
    <w:uiPriority w:val="99"/>
    <w:rPr>
      <w:sz w:val="18"/>
      <w:szCs w:val="18"/>
    </w:rPr>
  </w:style>
  <w:style w:type="character" w:customStyle="1" w:styleId="52">
    <w:name w:val="批注主题 Char"/>
    <w:link w:val="26"/>
    <w:autoRedefine/>
    <w:qFormat/>
    <w:uiPriority w:val="99"/>
    <w:rPr>
      <w:rFonts w:ascii="Times New Roman" w:hAnsi="Times New Roman"/>
      <w:b/>
      <w:bCs/>
      <w:kern w:val="2"/>
      <w:sz w:val="21"/>
      <w:szCs w:val="24"/>
    </w:rPr>
  </w:style>
  <w:style w:type="character" w:customStyle="1" w:styleId="53">
    <w:name w:val="标题 8 Char"/>
    <w:autoRedefine/>
    <w:qFormat/>
    <w:uiPriority w:val="0"/>
    <w:rPr>
      <w:rFonts w:ascii="Arial" w:hAnsi="Arial" w:eastAsia="黑体"/>
      <w:kern w:val="2"/>
      <w:sz w:val="24"/>
      <w:szCs w:val="24"/>
    </w:rPr>
  </w:style>
  <w:style w:type="character" w:customStyle="1" w:styleId="54">
    <w:name w:val="hover25"/>
    <w:autoRedefine/>
    <w:qFormat/>
    <w:uiPriority w:val="0"/>
    <w:rPr>
      <w:color w:val="315EFB"/>
    </w:rPr>
  </w:style>
  <w:style w:type="character" w:customStyle="1" w:styleId="55">
    <w:name w:val="未处理的提及"/>
    <w:autoRedefine/>
    <w:unhideWhenUsed/>
    <w:qFormat/>
    <w:uiPriority w:val="99"/>
    <w:rPr>
      <w:color w:val="605E5C"/>
      <w:shd w:val="clear" w:color="auto" w:fill="E1DFDD"/>
    </w:rPr>
  </w:style>
  <w:style w:type="character" w:customStyle="1" w:styleId="56">
    <w:name w:val="正文文本 Char"/>
    <w:autoRedefine/>
    <w:qFormat/>
    <w:uiPriority w:val="0"/>
    <w:rPr>
      <w:rFonts w:ascii="Times New Roman" w:hAnsi="Times New Roman"/>
      <w:kern w:val="2"/>
      <w:sz w:val="21"/>
      <w:szCs w:val="24"/>
    </w:rPr>
  </w:style>
  <w:style w:type="character" w:customStyle="1" w:styleId="57">
    <w:name w:val="批注文字 字符"/>
    <w:autoRedefine/>
    <w:qFormat/>
    <w:uiPriority w:val="0"/>
    <w:rPr>
      <w:rFonts w:ascii="Times New Roman" w:hAnsi="Times New Roman"/>
      <w:kern w:val="2"/>
      <w:sz w:val="21"/>
      <w:szCs w:val="24"/>
    </w:rPr>
  </w:style>
  <w:style w:type="character" w:customStyle="1" w:styleId="58">
    <w:name w:val="apple-style-span"/>
    <w:autoRedefine/>
    <w:qFormat/>
    <w:uiPriority w:val="0"/>
  </w:style>
  <w:style w:type="character" w:customStyle="1" w:styleId="59">
    <w:name w:val="批注文字 字符1"/>
    <w:autoRedefine/>
    <w:qFormat/>
    <w:uiPriority w:val="0"/>
    <w:rPr>
      <w:rFonts w:ascii="Times New Roman" w:hAnsi="Times New Roman"/>
      <w:kern w:val="2"/>
      <w:sz w:val="21"/>
      <w:szCs w:val="24"/>
    </w:rPr>
  </w:style>
  <w:style w:type="character" w:customStyle="1" w:styleId="6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c-icon28"/>
    <w:basedOn w:val="31"/>
    <w:autoRedefine/>
    <w:qFormat/>
    <w:uiPriority w:val="0"/>
  </w:style>
  <w:style w:type="character" w:customStyle="1" w:styleId="62">
    <w:name w:val="textcontents"/>
    <w:autoRedefine/>
    <w:qFormat/>
    <w:uiPriority w:val="0"/>
  </w:style>
  <w:style w:type="character" w:customStyle="1" w:styleId="63">
    <w:name w:val="标题 1 字符1"/>
    <w:autoRedefine/>
    <w:qFormat/>
    <w:uiPriority w:val="0"/>
    <w:rPr>
      <w:b/>
      <w:bCs/>
      <w:kern w:val="44"/>
      <w:sz w:val="44"/>
      <w:szCs w:val="44"/>
    </w:rPr>
  </w:style>
  <w:style w:type="character" w:customStyle="1" w:styleId="64">
    <w:name w:val="hover24"/>
    <w:autoRedefine/>
    <w:qFormat/>
    <w:uiPriority w:val="0"/>
    <w:rPr>
      <w:color w:val="315EFB"/>
    </w:rPr>
  </w:style>
  <w:style w:type="character" w:customStyle="1" w:styleId="65">
    <w:name w:val="hover23"/>
    <w:basedOn w:val="31"/>
    <w:autoRedefine/>
    <w:qFormat/>
    <w:uiPriority w:val="0"/>
  </w:style>
  <w:style w:type="character" w:customStyle="1" w:styleId="66">
    <w:name w:val="正文文本 字符"/>
    <w:autoRedefine/>
    <w:qFormat/>
    <w:uiPriority w:val="0"/>
    <w:rPr>
      <w:rFonts w:ascii="Times New Roman" w:hAnsi="Times New Roman"/>
      <w:kern w:val="2"/>
      <w:sz w:val="21"/>
      <w:szCs w:val="24"/>
    </w:rPr>
  </w:style>
  <w:style w:type="character" w:customStyle="1" w:styleId="67">
    <w:name w:val="标题 2 Char"/>
    <w:autoRedefine/>
    <w:qFormat/>
    <w:uiPriority w:val="9"/>
    <w:rPr>
      <w:rFonts w:ascii="Cambria" w:hAnsi="Cambria" w:eastAsia="宋体" w:cs="Times New Roman"/>
      <w:b/>
      <w:bCs/>
      <w:kern w:val="2"/>
      <w:sz w:val="32"/>
      <w:szCs w:val="32"/>
    </w:rPr>
  </w:style>
  <w:style w:type="character" w:customStyle="1" w:styleId="68">
    <w:name w:val="批注文字 Char"/>
    <w:autoRedefine/>
    <w:qFormat/>
    <w:uiPriority w:val="0"/>
    <w:rPr>
      <w:rFonts w:ascii="Times New Roman" w:hAnsi="Times New Roman"/>
      <w:kern w:val="2"/>
      <w:sz w:val="21"/>
      <w:szCs w:val="24"/>
    </w:rPr>
  </w:style>
  <w:style w:type="character" w:customStyle="1" w:styleId="69">
    <w:name w:val="纯文本 字符"/>
    <w:autoRedefine/>
    <w:qFormat/>
    <w:uiPriority w:val="0"/>
    <w:rPr>
      <w:rFonts w:ascii="宋体" w:hAnsi="Courier New" w:eastAsia="宋体" w:cs="Courier New"/>
      <w:szCs w:val="21"/>
    </w:rPr>
  </w:style>
  <w:style w:type="character" w:customStyle="1" w:styleId="70">
    <w:name w:val="正文2 Char Char"/>
    <w:link w:val="71"/>
    <w:autoRedefine/>
    <w:qFormat/>
    <w:uiPriority w:val="0"/>
    <w:rPr>
      <w:sz w:val="24"/>
    </w:rPr>
  </w:style>
  <w:style w:type="paragraph" w:customStyle="1" w:styleId="71">
    <w:name w:val="正文2"/>
    <w:basedOn w:val="1"/>
    <w:link w:val="70"/>
    <w:autoRedefine/>
    <w:qFormat/>
    <w:uiPriority w:val="0"/>
    <w:pPr>
      <w:adjustRightInd w:val="0"/>
      <w:spacing w:before="156" w:line="360" w:lineRule="auto"/>
      <w:ind w:firstLine="510" w:firstLineChars="200"/>
    </w:pPr>
    <w:rPr>
      <w:kern w:val="0"/>
      <w:sz w:val="24"/>
      <w:szCs w:val="20"/>
    </w:rPr>
  </w:style>
  <w:style w:type="character" w:customStyle="1" w:styleId="72">
    <w:name w:val="纯文本 字符1"/>
    <w:autoRedefine/>
    <w:qFormat/>
    <w:uiPriority w:val="0"/>
    <w:rPr>
      <w:rFonts w:ascii="宋体" w:hAnsi="Courier New"/>
    </w:rPr>
  </w:style>
  <w:style w:type="character" w:customStyle="1" w:styleId="73">
    <w:name w:val="纯文本 Char"/>
    <w:autoRedefine/>
    <w:qFormat/>
    <w:uiPriority w:val="0"/>
    <w:rPr>
      <w:rFonts w:ascii="宋体" w:hAnsi="Courier New" w:eastAsia="宋体" w:cs="Courier New"/>
      <w:szCs w:val="21"/>
    </w:rPr>
  </w:style>
  <w:style w:type="character" w:customStyle="1" w:styleId="74">
    <w:name w:val="纯文本 字符2"/>
    <w:autoRedefine/>
    <w:qFormat/>
    <w:uiPriority w:val="0"/>
    <w:rPr>
      <w:rFonts w:ascii="宋体" w:hAnsi="Courier New" w:eastAsia="宋体" w:cs="Courier New"/>
      <w:szCs w:val="21"/>
    </w:rPr>
  </w:style>
  <w:style w:type="paragraph" w:customStyle="1" w:styleId="75">
    <w:name w:val="正文-2字符首行缩进"/>
    <w:basedOn w:val="1"/>
    <w:autoRedefine/>
    <w:qFormat/>
    <w:uiPriority w:val="0"/>
    <w:pPr>
      <w:spacing w:line="360" w:lineRule="auto"/>
      <w:ind w:firstLine="200" w:firstLineChars="200"/>
    </w:pPr>
    <w:rPr>
      <w:rFonts w:ascii="仿宋_GB2312" w:hAnsi="宋体" w:eastAsia="仿宋_GB2312" w:cs="Times New Roman"/>
      <w:sz w:val="28"/>
      <w:szCs w:val="22"/>
    </w:rPr>
  </w:style>
  <w:style w:type="paragraph" w:customStyle="1" w:styleId="76">
    <w:name w:val="正文样式1"/>
    <w:basedOn w:val="1"/>
    <w:autoRedefine/>
    <w:qFormat/>
    <w:uiPriority w:val="0"/>
    <w:pPr>
      <w:spacing w:line="400" w:lineRule="exact"/>
      <w:ind w:firstLine="424" w:firstLineChars="202"/>
      <w:jc w:val="left"/>
    </w:pPr>
    <w:rPr>
      <w:rFonts w:eastAsia="仿宋_GB2312"/>
      <w:szCs w:val="22"/>
    </w:rPr>
  </w:style>
  <w:style w:type="paragraph" w:customStyle="1" w:styleId="77">
    <w:name w:val="_Style 76"/>
    <w:basedOn w:val="2"/>
    <w:next w:val="1"/>
    <w:autoRedefine/>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78">
    <w:name w:val="List Paragraph1"/>
    <w:basedOn w:val="1"/>
    <w:autoRedefine/>
    <w:qFormat/>
    <w:uiPriority w:val="34"/>
    <w:pPr>
      <w:ind w:firstLine="420" w:firstLineChars="200"/>
    </w:pPr>
  </w:style>
  <w:style w:type="paragraph" w:customStyle="1" w:styleId="79">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列出段落2"/>
    <w:basedOn w:val="1"/>
    <w:autoRedefine/>
    <w:unhideWhenUsed/>
    <w:qFormat/>
    <w:uiPriority w:val="99"/>
    <w:pPr>
      <w:spacing w:line="360" w:lineRule="auto"/>
      <w:ind w:firstLine="420" w:firstLineChars="200"/>
    </w:pPr>
    <w:rPr>
      <w:rFonts w:ascii="Calibri" w:hAnsi="Calibri" w:eastAsia="仿宋" w:cs="Times New Roman"/>
      <w:sz w:val="28"/>
      <w:szCs w:val="22"/>
    </w:rPr>
  </w:style>
  <w:style w:type="paragraph" w:customStyle="1" w:styleId="82">
    <w:name w:val="Char Char Char Char"/>
    <w:basedOn w:val="1"/>
    <w:autoRedefine/>
    <w:qFormat/>
    <w:uiPriority w:val="0"/>
    <w:pPr>
      <w:widowControl/>
      <w:spacing w:after="160" w:line="240" w:lineRule="exact"/>
      <w:jc w:val="left"/>
    </w:pPr>
  </w:style>
  <w:style w:type="paragraph" w:customStyle="1" w:styleId="83">
    <w:name w:val="正文样式2"/>
    <w:basedOn w:val="1"/>
    <w:next w:val="1"/>
    <w:autoRedefine/>
    <w:qFormat/>
    <w:uiPriority w:val="0"/>
    <w:rPr>
      <w:rFonts w:ascii="宋体" w:hAnsi="宋体" w:eastAsia="仿宋_GB2312"/>
      <w:bCs/>
      <w:color w:val="FF0000"/>
      <w:szCs w:val="21"/>
    </w:rPr>
  </w:style>
  <w:style w:type="paragraph" w:customStyle="1" w:styleId="84">
    <w:name w:val="正文缩进1"/>
    <w:basedOn w:val="1"/>
    <w:next w:val="14"/>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6">
    <w:name w:val="List Paragraph"/>
    <w:basedOn w:val="1"/>
    <w:autoRedefine/>
    <w:qFormat/>
    <w:uiPriority w:val="34"/>
    <w:pPr>
      <w:ind w:firstLine="420" w:firstLineChars="200"/>
    </w:pPr>
  </w:style>
  <w:style w:type="paragraph" w:customStyle="1" w:styleId="87">
    <w:name w:val="默认段落字体 Para Char Char Char Char Char Char Char Char Char1 Char Char Char Char"/>
    <w:basedOn w:val="1"/>
    <w:autoRedefine/>
    <w:qFormat/>
    <w:uiPriority w:val="0"/>
    <w:rPr>
      <w:rFonts w:ascii="Tahoma" w:hAnsi="Tahoma"/>
      <w:sz w:val="24"/>
      <w:szCs w:val="20"/>
    </w:rPr>
  </w:style>
  <w:style w:type="paragraph" w:customStyle="1" w:styleId="88">
    <w:name w:val="Table Paragraph"/>
    <w:basedOn w:val="1"/>
    <w:autoRedefine/>
    <w:qFormat/>
    <w:uiPriority w:val="1"/>
    <w:pPr>
      <w:jc w:val="left"/>
    </w:pPr>
    <w:rPr>
      <w:rFonts w:ascii="Calibri" w:hAnsi="Calibri"/>
      <w:kern w:val="0"/>
      <w:sz w:val="22"/>
      <w:szCs w:val="22"/>
      <w:lang w:eastAsia="en-US"/>
    </w:rPr>
  </w:style>
  <w:style w:type="paragraph" w:customStyle="1" w:styleId="89">
    <w:name w:val="*正文"/>
    <w:basedOn w:val="1"/>
    <w:autoRedefine/>
    <w:qFormat/>
    <w:uiPriority w:val="0"/>
    <w:pPr>
      <w:spacing w:line="360" w:lineRule="auto"/>
      <w:ind w:firstLine="200" w:firstLineChars="200"/>
    </w:pPr>
    <w:rPr>
      <w:rFonts w:ascii="宋体" w:hAnsi="宋体" w:eastAsia="宋体" w:cs="Times New Roman"/>
      <w:kern w:val="2"/>
      <w:sz w:val="28"/>
      <w:szCs w:val="22"/>
      <w:lang w:val="zh-CN"/>
    </w:rPr>
  </w:style>
  <w:style w:type="paragraph" w:customStyle="1" w:styleId="90">
    <w:name w:val="无间隔1"/>
    <w:basedOn w:val="1"/>
    <w:autoRedefine/>
    <w:qFormat/>
    <w:uiPriority w:val="0"/>
    <w:pPr>
      <w:widowControl w:val="0"/>
      <w:adjustRightInd/>
      <w:snapToGrid/>
      <w:spacing w:after="0" w:line="400" w:lineRule="exact"/>
      <w:jc w:val="both"/>
    </w:pPr>
    <w:rPr>
      <w:rFonts w:ascii="Calibri" w:hAnsi="Calibri"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13618</Words>
  <Characters>14555</Characters>
  <Lines>533</Lines>
  <Paragraphs>150</Paragraphs>
  <TotalTime>57</TotalTime>
  <ScaleCrop>false</ScaleCrop>
  <LinksUpToDate>false</LinksUpToDate>
  <CharactersWithSpaces>14733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2024-03-17T13:23:00Z</dcterms:created>
  <dc:creator>唐冰</dc:creator>
  <cp:lastModifiedBy>欧明聪</cp:lastModifiedBy>
  <cp:lastPrinted>2021-08-30T13:26:00Z</cp:lastPrinted>
  <dcterms:modified xsi:type="dcterms:W3CDTF">2025-04-28T08:48:45Z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EFEB828BDADD4E72BFBD7D54DDAB7531_13</vt:lpwstr>
  </property>
  <property fmtid="{D5CDD505-2E9C-101B-9397-08002B2CF9AE}" pid="4" name="KSOTemplateDocerSaveRecord">
    <vt:lpwstr>eyJoZGlkIjoiNjM0MjEyZTBlNmZkNzkwMzBhODU4YjhhNWM5NmU3OWEiLCJ1c2VySWQiOiIxNTkyMzUzNDk3In0=</vt:lpwstr>
  </property>
</Properties>
</file>