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8"/>
        <w:ind w:firstLine="602"/>
        <w:rPr>
          <w:sz w:val="30"/>
          <w:szCs w:val="30"/>
        </w:rPr>
      </w:pPr>
      <w:r>
        <w:rPr>
          <w:rFonts w:hint="eastAsia"/>
          <w:sz w:val="30"/>
          <w:szCs w:val="30"/>
        </w:rPr>
        <w:t>一般货物类</w:t>
      </w:r>
    </w:p>
    <w:p>
      <w:pPr>
        <w:ind w:firstLine="482"/>
        <w:jc w:val="center"/>
        <w:rPr>
          <w:rFonts w:ascii="宋体" w:hAnsi="宋体" w:cs="宋体"/>
        </w:rPr>
      </w:pPr>
      <w:r>
        <w:rPr>
          <w:rFonts w:hint="eastAsia" w:ascii="宋体" w:hAnsi="宋体" w:cs="宋体"/>
        </w:rPr>
        <w:drawing>
          <wp:inline distT="0" distB="0" distL="114300" distR="114300">
            <wp:extent cx="893445" cy="932815"/>
            <wp:effectExtent l="0" t="0" r="1905" b="635"/>
            <wp:docPr id="2" name="图片 1" descr="科文名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科文名片"/>
                    <pic:cNvPicPr>
                      <a:picLocks noChangeAspect="1"/>
                    </pic:cNvPicPr>
                  </pic:nvPicPr>
                  <pic:blipFill>
                    <a:blip r:embed="rId15"/>
                    <a:stretch>
                      <a:fillRect/>
                    </a:stretch>
                  </pic:blipFill>
                  <pic:spPr>
                    <a:xfrm>
                      <a:off x="0" y="0"/>
                      <a:ext cx="893445" cy="932815"/>
                    </a:xfrm>
                    <a:prstGeom prst="rect">
                      <a:avLst/>
                    </a:prstGeom>
                    <a:noFill/>
                    <a:ln>
                      <a:noFill/>
                    </a:ln>
                  </pic:spPr>
                </pic:pic>
              </a:graphicData>
            </a:graphic>
          </wp:inline>
        </w:drawing>
      </w:r>
    </w:p>
    <w:p>
      <w:pPr>
        <w:pStyle w:val="25"/>
        <w:ind w:firstLine="1044"/>
        <w:jc w:val="center"/>
        <w:rPr>
          <w:rFonts w:hAnsi="宋体" w:cs="宋体"/>
          <w:sz w:val="52"/>
        </w:rPr>
      </w:pPr>
      <w:r>
        <w:rPr>
          <w:rFonts w:hint="eastAsia" w:hAnsi="宋体" w:cs="宋体"/>
          <w:sz w:val="52"/>
        </w:rPr>
        <w:t>广 西 科 文 招 标 有 限 公 司</w:t>
      </w:r>
    </w:p>
    <w:p>
      <w:pPr>
        <w:pStyle w:val="25"/>
        <w:ind w:firstLine="1280"/>
        <w:jc w:val="center"/>
        <w:rPr>
          <w:rFonts w:hAnsi="宋体" w:cs="宋体"/>
          <w:b/>
          <w:sz w:val="44"/>
          <w:szCs w:val="44"/>
        </w:rPr>
      </w:pPr>
      <w:r>
        <w:rPr>
          <w:rFonts w:hint="eastAsia" w:hAnsi="宋体" w:cs="宋体"/>
          <w:b/>
          <w:spacing w:val="-18"/>
          <w:sz w:val="64"/>
          <w:szCs w:val="6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7.8pt;height:0pt;width:432pt;z-index:251659264;mso-width-relative:page;mso-height-relative:page;" filled="f" stroked="t" coordsize="21600,21600" o:gfxdata="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9rBQzU&#10;AAAACAEAAA8AAAAAAAAAAQAgAAAAIgAAAGRycy9kb3ducmV2LnhtbFBLAQIUABQAAAAIAIdO4kAY&#10;TiCN6wEAANkDAAAOAAAAAAAAAAEAIAAAACMBAABkcnMvZTJvRG9jLnhtbFBLBQYAAAAABgAGAFkB&#10;AACABQAAAAA=&#10;">
                <v:fill on="f" focussize="0,0"/>
                <v:stroke weight="1pt" color="#000000" joinstyle="round"/>
                <v:imagedata o:title=""/>
                <o:lock v:ext="edit" aspectratio="f"/>
              </v:line>
            </w:pict>
          </mc:Fallback>
        </mc:AlternateContent>
      </w:r>
    </w:p>
    <w:p>
      <w:pPr>
        <w:snapToGrid w:val="0"/>
        <w:spacing w:before="165" w:beforeLines="50"/>
        <w:jc w:val="center"/>
        <w:rPr>
          <w:rFonts w:ascii="宋体" w:hAnsi="宋体" w:cs="宋体"/>
          <w:sz w:val="120"/>
          <w:szCs w:val="120"/>
        </w:rPr>
      </w:pPr>
      <w:r>
        <w:rPr>
          <w:rFonts w:hint="eastAsia" w:ascii="宋体" w:hAnsi="宋体" w:cs="宋体"/>
          <w:sz w:val="120"/>
          <w:szCs w:val="120"/>
        </w:rPr>
        <w:t>招 标 文 件</w:t>
      </w:r>
    </w:p>
    <w:p>
      <w:pPr>
        <w:pStyle w:val="25"/>
        <w:snapToGrid w:val="0"/>
        <w:ind w:firstLine="602"/>
        <w:jc w:val="center"/>
      </w:pPr>
      <w:r>
        <w:rPr>
          <w:rFonts w:hint="eastAsia" w:hAnsi="宋体" w:cs="宋体"/>
          <w:sz w:val="30"/>
          <w:szCs w:val="30"/>
        </w:rPr>
        <w:t>（</w:t>
      </w:r>
      <w:r>
        <w:rPr>
          <w:rFonts w:hint="eastAsia" w:hAnsi="宋体"/>
        </w:rPr>
        <w:t>全流程电子化评标</w:t>
      </w:r>
      <w:r>
        <w:rPr>
          <w:rFonts w:hint="eastAsia" w:hAnsi="宋体" w:cs="宋体"/>
          <w:sz w:val="30"/>
          <w:szCs w:val="30"/>
        </w:rPr>
        <w:t>）</w:t>
      </w:r>
    </w:p>
    <w:p>
      <w:pPr>
        <w:pStyle w:val="2"/>
        <w:ind w:firstLine="210"/>
      </w:pPr>
    </w:p>
    <w:p>
      <w:pPr>
        <w:ind w:firstLine="482"/>
      </w:pPr>
    </w:p>
    <w:p>
      <w:pPr>
        <w:pStyle w:val="43"/>
        <w:ind w:firstLine="442"/>
        <w:rPr>
          <w:sz w:val="22"/>
          <w:szCs w:val="21"/>
        </w:rPr>
      </w:pPr>
    </w:p>
    <w:p>
      <w:pPr>
        <w:pStyle w:val="25"/>
        <w:snapToGrid w:val="0"/>
        <w:spacing w:line="480" w:lineRule="auto"/>
        <w:ind w:firstLine="605"/>
        <w:jc w:val="center"/>
        <w:rPr>
          <w:rFonts w:hAnsi="宋体" w:cs="宋体"/>
          <w:b/>
          <w:bCs/>
          <w:w w:val="95"/>
          <w:sz w:val="32"/>
          <w:szCs w:val="32"/>
        </w:rPr>
      </w:pPr>
      <w:r>
        <w:rPr>
          <w:rFonts w:hint="eastAsia" w:hAnsi="宋体" w:cs="宋体"/>
          <w:b/>
          <w:bCs/>
          <w:w w:val="95"/>
          <w:sz w:val="32"/>
          <w:szCs w:val="32"/>
        </w:rPr>
        <w:t>项目名称：广西经贸职业技术学院五合新校区信息化建设项目-全光网络建设采购项目(有线+无线网络建设)</w:t>
      </w:r>
      <w:r>
        <w:rPr>
          <w:rFonts w:hAnsi="宋体" w:cs="宋体"/>
          <w:b/>
          <w:bCs/>
          <w:w w:val="95"/>
          <w:sz w:val="32"/>
          <w:szCs w:val="32"/>
        </w:rPr>
        <w:t xml:space="preserve"> </w:t>
      </w:r>
    </w:p>
    <w:p>
      <w:pPr>
        <w:pStyle w:val="25"/>
        <w:snapToGrid w:val="0"/>
        <w:spacing w:line="480" w:lineRule="auto"/>
        <w:jc w:val="center"/>
        <w:rPr>
          <w:rFonts w:hAnsi="宋体" w:cs="宋体"/>
          <w:b/>
          <w:bCs/>
          <w:w w:val="95"/>
          <w:sz w:val="32"/>
          <w:szCs w:val="32"/>
        </w:rPr>
      </w:pPr>
      <w:r>
        <w:rPr>
          <w:rFonts w:hint="eastAsia" w:hAnsi="宋体" w:cs="宋体"/>
          <w:b/>
          <w:bCs/>
          <w:w w:val="95"/>
          <w:sz w:val="32"/>
          <w:szCs w:val="32"/>
        </w:rPr>
        <w:t>项目编号：</w:t>
      </w:r>
      <w:bookmarkStart w:id="154" w:name="_GoBack"/>
      <w:r>
        <w:rPr>
          <w:rFonts w:hint="eastAsia" w:hAnsi="宋体" w:cs="宋体"/>
          <w:b/>
          <w:bCs/>
          <w:w w:val="95"/>
          <w:sz w:val="32"/>
          <w:szCs w:val="32"/>
        </w:rPr>
        <w:t>GXZC2024-G1-004138-KWZB</w:t>
      </w:r>
      <w:bookmarkEnd w:id="154"/>
    </w:p>
    <w:p>
      <w:pPr>
        <w:pStyle w:val="25"/>
        <w:snapToGrid w:val="0"/>
        <w:spacing w:line="360" w:lineRule="auto"/>
        <w:ind w:firstLine="1977" w:firstLineChars="691"/>
        <w:rPr>
          <w:rFonts w:hAnsi="宋体" w:cs="宋体"/>
          <w:b/>
          <w:bCs/>
          <w:w w:val="95"/>
          <w:sz w:val="30"/>
          <w:szCs w:val="30"/>
        </w:rPr>
      </w:pPr>
    </w:p>
    <w:p>
      <w:pPr>
        <w:pStyle w:val="7"/>
        <w:spacing w:before="165"/>
        <w:ind w:firstLine="562"/>
      </w:pPr>
    </w:p>
    <w:p>
      <w:pPr>
        <w:pStyle w:val="25"/>
        <w:snapToGrid w:val="0"/>
        <w:spacing w:line="360" w:lineRule="auto"/>
        <w:ind w:firstLine="567"/>
        <w:jc w:val="center"/>
        <w:rPr>
          <w:rFonts w:hAnsi="宋体" w:cs="宋体"/>
          <w:b/>
          <w:bCs/>
          <w:w w:val="95"/>
          <w:sz w:val="30"/>
          <w:szCs w:val="30"/>
        </w:rPr>
      </w:pPr>
      <w:r>
        <w:rPr>
          <w:rFonts w:hint="eastAsia" w:hAnsi="宋体" w:cs="宋体"/>
          <w:b/>
          <w:bCs/>
          <w:w w:val="95"/>
          <w:sz w:val="30"/>
          <w:szCs w:val="30"/>
        </w:rPr>
        <w:t>采 购 人：广西经贸职业技术学院</w:t>
      </w:r>
    </w:p>
    <w:p>
      <w:pPr>
        <w:pStyle w:val="25"/>
        <w:snapToGrid w:val="0"/>
        <w:spacing w:line="360" w:lineRule="auto"/>
        <w:ind w:firstLine="567"/>
        <w:jc w:val="center"/>
        <w:rPr>
          <w:rFonts w:hAnsi="宋体" w:cs="宋体"/>
          <w:b/>
          <w:bCs/>
          <w:w w:val="95"/>
          <w:sz w:val="30"/>
          <w:szCs w:val="30"/>
        </w:rPr>
      </w:pPr>
      <w:r>
        <w:rPr>
          <w:rFonts w:hint="eastAsia" w:hAnsi="宋体" w:cs="宋体"/>
          <w:b/>
          <w:bCs/>
          <w:w w:val="95"/>
          <w:sz w:val="30"/>
          <w:szCs w:val="30"/>
        </w:rPr>
        <w:t>采购代理机构：广西科文招标有限公司</w:t>
      </w:r>
      <w:r>
        <w:rPr>
          <w:rFonts w:hAnsi="宋体" w:cs="宋体"/>
          <w:b/>
          <w:bCs/>
          <w:w w:val="95"/>
          <w:sz w:val="30"/>
          <w:szCs w:val="30"/>
        </w:rPr>
        <w:t xml:space="preserve"> </w:t>
      </w:r>
    </w:p>
    <w:p>
      <w:pPr>
        <w:pStyle w:val="25"/>
        <w:snapToGrid w:val="0"/>
        <w:spacing w:line="360" w:lineRule="auto"/>
        <w:ind w:firstLine="567"/>
        <w:jc w:val="center"/>
        <w:rPr>
          <w:rFonts w:hAnsi="宋体" w:cs="宋体"/>
          <w:b/>
          <w:bCs/>
          <w:w w:val="95"/>
          <w:sz w:val="30"/>
          <w:szCs w:val="30"/>
        </w:rPr>
      </w:pPr>
    </w:p>
    <w:p>
      <w:pPr>
        <w:pStyle w:val="25"/>
        <w:snapToGrid w:val="0"/>
        <w:spacing w:line="360" w:lineRule="auto"/>
        <w:ind w:firstLine="567"/>
        <w:jc w:val="center"/>
        <w:rPr>
          <w:rFonts w:hAnsi="宋体" w:cs="宋体"/>
          <w:szCs w:val="20"/>
        </w:rPr>
      </w:pPr>
      <w:r>
        <w:rPr>
          <w:rFonts w:hint="eastAsia" w:hAnsi="宋体" w:cs="宋体"/>
          <w:b/>
          <w:bCs/>
          <w:w w:val="95"/>
          <w:sz w:val="30"/>
          <w:szCs w:val="30"/>
        </w:rPr>
        <w:t>2024年6月</w:t>
      </w:r>
      <w:r>
        <w:rPr>
          <w:rFonts w:hint="eastAsia" w:hAnsi="宋体" w:cs="宋体"/>
          <w:b/>
          <w:bCs/>
          <w:w w:val="95"/>
          <w:sz w:val="30"/>
          <w:szCs w:val="30"/>
          <w:lang w:val="en-US" w:eastAsia="zh-CN"/>
        </w:rPr>
        <w:t>28</w:t>
      </w:r>
      <w:r>
        <w:rPr>
          <w:rFonts w:hint="eastAsia" w:hAnsi="宋体" w:cs="宋体"/>
          <w:b/>
          <w:bCs/>
          <w:w w:val="95"/>
          <w:sz w:val="30"/>
          <w:szCs w:val="30"/>
        </w:rPr>
        <w:t>日</w:t>
      </w:r>
    </w:p>
    <w:p>
      <w:pPr>
        <w:spacing w:line="360" w:lineRule="auto"/>
        <w:ind w:firstLine="1040"/>
        <w:jc w:val="center"/>
        <w:rPr>
          <w:rFonts w:ascii="宋体" w:hAnsi="宋体" w:cs="宋体"/>
          <w:b/>
          <w:sz w:val="52"/>
          <w:szCs w:val="52"/>
        </w:rPr>
      </w:pPr>
    </w:p>
    <w:p>
      <w:pPr>
        <w:pStyle w:val="56"/>
        <w:ind w:firstLine="480"/>
      </w:pPr>
    </w:p>
    <w:p>
      <w:pPr>
        <w:ind w:firstLine="482"/>
      </w:pPr>
    </w:p>
    <w:p>
      <w:pPr>
        <w:pStyle w:val="56"/>
        <w:ind w:firstLine="480"/>
      </w:pPr>
    </w:p>
    <w:p>
      <w:pPr>
        <w:ind w:firstLine="482"/>
      </w:pPr>
    </w:p>
    <w:p>
      <w:pPr>
        <w:spacing w:line="360" w:lineRule="auto"/>
        <w:ind w:firstLine="1040"/>
        <w:jc w:val="center"/>
        <w:rPr>
          <w:rFonts w:ascii="宋体" w:hAnsi="宋体" w:cs="宋体"/>
          <w:b/>
          <w:sz w:val="52"/>
          <w:szCs w:val="52"/>
        </w:rPr>
      </w:pPr>
    </w:p>
    <w:p>
      <w:pPr>
        <w:spacing w:line="360" w:lineRule="auto"/>
        <w:jc w:val="center"/>
        <w:rPr>
          <w:rFonts w:ascii="宋体" w:hAnsi="宋体" w:cs="宋体"/>
          <w:b/>
          <w:sz w:val="52"/>
          <w:szCs w:val="52"/>
        </w:rPr>
      </w:pPr>
      <w:r>
        <w:rPr>
          <w:rFonts w:hint="eastAsia" w:ascii="宋体" w:hAnsi="宋体" w:cs="宋体"/>
          <w:b/>
          <w:sz w:val="52"/>
          <w:szCs w:val="52"/>
        </w:rPr>
        <w:t>目  录</w:t>
      </w:r>
    </w:p>
    <w:p>
      <w:pPr>
        <w:spacing w:line="360" w:lineRule="auto"/>
        <w:ind w:firstLine="1040"/>
        <w:jc w:val="center"/>
        <w:rPr>
          <w:rFonts w:ascii="宋体" w:hAnsi="宋体" w:cs="宋体"/>
          <w:b/>
          <w:sz w:val="52"/>
          <w:szCs w:val="52"/>
        </w:rPr>
      </w:pPr>
    </w:p>
    <w:p>
      <w:pPr>
        <w:pStyle w:val="33"/>
        <w:tabs>
          <w:tab w:val="left" w:pos="1260"/>
        </w:tabs>
        <w:spacing w:before="165" w:line="480" w:lineRule="auto"/>
        <w:ind w:left="1260" w:leftChars="600" w:firstLine="0" w:firstLineChars="0"/>
        <w:rPr>
          <w:rFonts w:cs="宋体"/>
          <w:b w:val="0"/>
          <w:bCs w:val="0"/>
          <w:caps w:val="0"/>
          <w:szCs w:val="28"/>
        </w:rPr>
      </w:pPr>
      <w:r>
        <w:rPr>
          <w:rFonts w:hint="eastAsia" w:cs="宋体"/>
          <w:b w:val="0"/>
          <w:sz w:val="32"/>
          <w:szCs w:val="32"/>
        </w:rPr>
        <w:fldChar w:fldCharType="begin"/>
      </w:r>
      <w:r>
        <w:rPr>
          <w:rFonts w:hint="eastAsia" w:cs="宋体"/>
          <w:b w:val="0"/>
          <w:sz w:val="32"/>
          <w:szCs w:val="32"/>
        </w:rPr>
        <w:instrText xml:space="preserve"> TOC \o "1-2" \h \z \u </w:instrText>
      </w:r>
      <w:r>
        <w:rPr>
          <w:rFonts w:hint="eastAsia" w:cs="宋体"/>
          <w:b w:val="0"/>
          <w:sz w:val="32"/>
          <w:szCs w:val="32"/>
        </w:rPr>
        <w:fldChar w:fldCharType="separate"/>
      </w:r>
      <w:r>
        <w:fldChar w:fldCharType="begin"/>
      </w:r>
      <w:r>
        <w:instrText xml:space="preserve"> HYPERLINK \l "_Toc74320800" </w:instrText>
      </w:r>
      <w:r>
        <w:fldChar w:fldCharType="separate"/>
      </w:r>
      <w:r>
        <w:rPr>
          <w:rStyle w:val="53"/>
          <w:rFonts w:hint="eastAsia" w:cs="宋体"/>
          <w:color w:val="auto"/>
          <w:sz w:val="32"/>
          <w:szCs w:val="32"/>
        </w:rPr>
        <w:t>第一章  招标公告</w:t>
      </w:r>
      <w:r>
        <w:rPr>
          <w:rStyle w:val="53"/>
          <w:rFonts w:hint="eastAsia" w:cs="宋体"/>
          <w:color w:val="auto"/>
          <w:sz w:val="32"/>
          <w:szCs w:val="32"/>
        </w:rPr>
        <w:fldChar w:fldCharType="end"/>
      </w:r>
      <w:r>
        <w:rPr>
          <w:rStyle w:val="53"/>
          <w:rFonts w:hint="eastAsia" w:cs="宋体"/>
          <w:color w:val="auto"/>
          <w:sz w:val="32"/>
          <w:szCs w:val="32"/>
        </w:rPr>
        <w:t xml:space="preserve">                   001</w:t>
      </w:r>
    </w:p>
    <w:p>
      <w:pPr>
        <w:pStyle w:val="33"/>
        <w:tabs>
          <w:tab w:val="left" w:pos="1260"/>
        </w:tabs>
        <w:spacing w:before="165" w:line="480" w:lineRule="auto"/>
        <w:ind w:left="1260" w:leftChars="600" w:firstLine="0" w:firstLineChars="0"/>
        <w:rPr>
          <w:rFonts w:cs="宋体"/>
          <w:b w:val="0"/>
          <w:bCs w:val="0"/>
          <w:caps w:val="0"/>
          <w:szCs w:val="28"/>
        </w:rPr>
      </w:pPr>
      <w:r>
        <w:fldChar w:fldCharType="begin"/>
      </w:r>
      <w:r>
        <w:instrText xml:space="preserve"> HYPERLINK \l "_Toc74320801" </w:instrText>
      </w:r>
      <w:r>
        <w:fldChar w:fldCharType="separate"/>
      </w:r>
      <w:r>
        <w:rPr>
          <w:rStyle w:val="53"/>
          <w:rFonts w:hint="eastAsia" w:cs="宋体"/>
          <w:color w:val="auto"/>
          <w:sz w:val="32"/>
          <w:szCs w:val="32"/>
        </w:rPr>
        <w:t>第二章  采购需求</w:t>
      </w:r>
      <w:r>
        <w:rPr>
          <w:rStyle w:val="53"/>
          <w:rFonts w:hint="eastAsia" w:cs="宋体"/>
          <w:color w:val="auto"/>
          <w:sz w:val="32"/>
          <w:szCs w:val="32"/>
        </w:rPr>
        <w:fldChar w:fldCharType="end"/>
      </w:r>
      <w:r>
        <w:rPr>
          <w:rStyle w:val="53"/>
          <w:rFonts w:hint="eastAsia" w:cs="宋体"/>
          <w:color w:val="auto"/>
          <w:sz w:val="32"/>
          <w:szCs w:val="32"/>
        </w:rPr>
        <w:t xml:space="preserve">                   007</w:t>
      </w:r>
    </w:p>
    <w:p>
      <w:pPr>
        <w:pStyle w:val="33"/>
        <w:tabs>
          <w:tab w:val="left" w:pos="1260"/>
        </w:tabs>
        <w:spacing w:before="165" w:line="480" w:lineRule="auto"/>
        <w:ind w:left="1260" w:leftChars="600" w:firstLine="0" w:firstLineChars="0"/>
        <w:rPr>
          <w:rFonts w:cs="宋体"/>
          <w:b w:val="0"/>
          <w:bCs w:val="0"/>
          <w:caps w:val="0"/>
          <w:szCs w:val="28"/>
        </w:rPr>
      </w:pPr>
      <w:r>
        <w:fldChar w:fldCharType="begin"/>
      </w:r>
      <w:r>
        <w:instrText xml:space="preserve"> HYPERLINK \l "_Toc74320802" </w:instrText>
      </w:r>
      <w:r>
        <w:fldChar w:fldCharType="separate"/>
      </w:r>
      <w:r>
        <w:rPr>
          <w:rStyle w:val="53"/>
          <w:rFonts w:hint="eastAsia" w:cs="宋体"/>
          <w:color w:val="auto"/>
          <w:sz w:val="32"/>
          <w:szCs w:val="32"/>
        </w:rPr>
        <w:t>第三章  投标人须</w:t>
      </w:r>
      <w:bookmarkStart w:id="0" w:name="_Hlt79572745"/>
      <w:bookmarkStart w:id="1" w:name="_Hlt79572744"/>
      <w:r>
        <w:rPr>
          <w:rStyle w:val="53"/>
          <w:rFonts w:hint="eastAsia" w:cs="宋体"/>
          <w:color w:val="auto"/>
          <w:sz w:val="32"/>
          <w:szCs w:val="32"/>
        </w:rPr>
        <w:t>知</w:t>
      </w:r>
      <w:bookmarkEnd w:id="0"/>
      <w:bookmarkEnd w:id="1"/>
      <w:r>
        <w:rPr>
          <w:rStyle w:val="53"/>
          <w:rFonts w:hint="eastAsia" w:cs="宋体"/>
          <w:color w:val="auto"/>
          <w:sz w:val="32"/>
          <w:szCs w:val="32"/>
        </w:rPr>
        <w:fldChar w:fldCharType="end"/>
      </w:r>
      <w:r>
        <w:rPr>
          <w:rStyle w:val="53"/>
          <w:rFonts w:hint="eastAsia" w:cs="宋体"/>
          <w:color w:val="auto"/>
          <w:sz w:val="32"/>
          <w:szCs w:val="32"/>
        </w:rPr>
        <w:t xml:space="preserve">                 042</w:t>
      </w:r>
    </w:p>
    <w:p>
      <w:pPr>
        <w:pStyle w:val="33"/>
        <w:tabs>
          <w:tab w:val="left" w:pos="1260"/>
        </w:tabs>
        <w:spacing w:before="165" w:line="480" w:lineRule="auto"/>
        <w:ind w:left="1260" w:leftChars="600" w:firstLine="0" w:firstLineChars="0"/>
        <w:rPr>
          <w:rFonts w:cs="宋体"/>
          <w:b w:val="0"/>
          <w:bCs w:val="0"/>
          <w:caps w:val="0"/>
          <w:szCs w:val="28"/>
        </w:rPr>
      </w:pPr>
      <w:r>
        <w:fldChar w:fldCharType="begin"/>
      </w:r>
      <w:r>
        <w:instrText xml:space="preserve"> HYPERLINK \l "_Toc74320803" </w:instrText>
      </w:r>
      <w:r>
        <w:fldChar w:fldCharType="separate"/>
      </w:r>
      <w:r>
        <w:rPr>
          <w:rStyle w:val="53"/>
          <w:rFonts w:hint="eastAsia" w:cs="宋体"/>
          <w:color w:val="auto"/>
          <w:sz w:val="32"/>
          <w:szCs w:val="32"/>
        </w:rPr>
        <w:t>第四章  评标方</w:t>
      </w:r>
      <w:bookmarkStart w:id="2" w:name="_Hlt82186273"/>
      <w:bookmarkStart w:id="3" w:name="_Hlt82186274"/>
      <w:r>
        <w:rPr>
          <w:rStyle w:val="53"/>
          <w:rFonts w:hint="eastAsia" w:cs="宋体"/>
          <w:color w:val="auto"/>
          <w:sz w:val="32"/>
          <w:szCs w:val="32"/>
        </w:rPr>
        <w:t>法</w:t>
      </w:r>
      <w:bookmarkEnd w:id="2"/>
      <w:bookmarkEnd w:id="3"/>
      <w:r>
        <w:rPr>
          <w:rStyle w:val="53"/>
          <w:rFonts w:hint="eastAsia" w:cs="宋体"/>
          <w:color w:val="auto"/>
          <w:sz w:val="32"/>
          <w:szCs w:val="32"/>
        </w:rPr>
        <w:t>及评标标准</w:t>
      </w:r>
      <w:r>
        <w:rPr>
          <w:rStyle w:val="53"/>
          <w:rFonts w:hint="eastAsia" w:cs="宋体"/>
          <w:color w:val="auto"/>
          <w:sz w:val="32"/>
          <w:szCs w:val="32"/>
        </w:rPr>
        <w:fldChar w:fldCharType="end"/>
      </w:r>
      <w:r>
        <w:rPr>
          <w:rStyle w:val="53"/>
          <w:rFonts w:hint="eastAsia" w:cs="宋体"/>
          <w:color w:val="auto"/>
          <w:sz w:val="32"/>
          <w:szCs w:val="32"/>
        </w:rPr>
        <w:t xml:space="preserve">         072</w:t>
      </w:r>
    </w:p>
    <w:p>
      <w:pPr>
        <w:pStyle w:val="33"/>
        <w:tabs>
          <w:tab w:val="left" w:pos="1260"/>
        </w:tabs>
        <w:spacing w:before="165" w:line="480" w:lineRule="auto"/>
        <w:ind w:left="1260" w:leftChars="600" w:firstLine="0" w:firstLineChars="0"/>
        <w:rPr>
          <w:rFonts w:cs="宋体"/>
          <w:b w:val="0"/>
          <w:bCs w:val="0"/>
          <w:caps w:val="0"/>
          <w:szCs w:val="28"/>
        </w:rPr>
      </w:pPr>
      <w:r>
        <w:fldChar w:fldCharType="begin"/>
      </w:r>
      <w:r>
        <w:instrText xml:space="preserve"> HYPERLINK \l "_Toc74320804" </w:instrText>
      </w:r>
      <w:r>
        <w:fldChar w:fldCharType="separate"/>
      </w:r>
      <w:r>
        <w:rPr>
          <w:rStyle w:val="53"/>
          <w:rFonts w:hint="eastAsia" w:cs="宋体"/>
          <w:color w:val="auto"/>
          <w:sz w:val="32"/>
          <w:szCs w:val="32"/>
        </w:rPr>
        <w:t>第五章  拟签订的合同文本</w:t>
      </w:r>
      <w:r>
        <w:rPr>
          <w:rStyle w:val="53"/>
          <w:rFonts w:hint="eastAsia" w:cs="宋体"/>
          <w:color w:val="auto"/>
          <w:sz w:val="32"/>
          <w:szCs w:val="32"/>
        </w:rPr>
        <w:fldChar w:fldCharType="end"/>
      </w:r>
      <w:r>
        <w:rPr>
          <w:rStyle w:val="53"/>
          <w:rFonts w:hint="eastAsia" w:cs="宋体"/>
          <w:color w:val="auto"/>
          <w:sz w:val="32"/>
          <w:szCs w:val="32"/>
        </w:rPr>
        <w:t xml:space="preserve">           084</w:t>
      </w:r>
    </w:p>
    <w:p>
      <w:pPr>
        <w:pStyle w:val="33"/>
        <w:tabs>
          <w:tab w:val="left" w:pos="1260"/>
        </w:tabs>
        <w:spacing w:before="165" w:line="480" w:lineRule="auto"/>
        <w:ind w:left="1260" w:leftChars="600" w:firstLine="0" w:firstLineChars="0"/>
        <w:rPr>
          <w:rFonts w:cs="宋体"/>
          <w:b w:val="0"/>
          <w:bCs w:val="0"/>
          <w:caps w:val="0"/>
          <w:szCs w:val="28"/>
        </w:rPr>
      </w:pPr>
      <w:r>
        <w:fldChar w:fldCharType="begin"/>
      </w:r>
      <w:r>
        <w:instrText xml:space="preserve"> HYPERLINK \l "_Toc74320805" </w:instrText>
      </w:r>
      <w:r>
        <w:fldChar w:fldCharType="separate"/>
      </w:r>
      <w:r>
        <w:rPr>
          <w:rStyle w:val="53"/>
          <w:rFonts w:hint="eastAsia" w:cs="宋体"/>
          <w:color w:val="auto"/>
          <w:sz w:val="32"/>
          <w:szCs w:val="32"/>
        </w:rPr>
        <w:t>第六章　投标文件格式</w:t>
      </w:r>
      <w:r>
        <w:rPr>
          <w:rStyle w:val="53"/>
          <w:rFonts w:hint="eastAsia" w:cs="宋体"/>
          <w:color w:val="auto"/>
          <w:sz w:val="32"/>
          <w:szCs w:val="32"/>
        </w:rPr>
        <w:fldChar w:fldCharType="end"/>
      </w:r>
      <w:r>
        <w:rPr>
          <w:rStyle w:val="53"/>
          <w:rFonts w:hint="eastAsia" w:cs="宋体"/>
          <w:color w:val="auto"/>
          <w:sz w:val="32"/>
          <w:szCs w:val="32"/>
        </w:rPr>
        <w:t xml:space="preserve">               098</w:t>
      </w:r>
    </w:p>
    <w:p>
      <w:pPr>
        <w:tabs>
          <w:tab w:val="left" w:pos="1260"/>
        </w:tabs>
        <w:spacing w:before="165" w:beforeLines="50" w:line="480" w:lineRule="auto"/>
        <w:ind w:left="1260" w:leftChars="600" w:firstLine="640"/>
        <w:rPr>
          <w:rFonts w:ascii="宋体" w:hAnsi="宋体" w:cs="宋体"/>
          <w:sz w:val="32"/>
          <w:szCs w:val="32"/>
        </w:rPr>
      </w:pPr>
      <w:r>
        <w:rPr>
          <w:rFonts w:hint="eastAsia" w:ascii="宋体" w:hAnsi="宋体" w:cs="宋体"/>
          <w:b/>
          <w:sz w:val="32"/>
          <w:szCs w:val="32"/>
        </w:rPr>
        <w:fldChar w:fldCharType="end"/>
      </w:r>
    </w:p>
    <w:p>
      <w:pPr>
        <w:spacing w:before="165" w:beforeLines="50" w:line="480" w:lineRule="auto"/>
        <w:ind w:firstLine="1890" w:firstLineChars="525"/>
        <w:rPr>
          <w:rFonts w:ascii="宋体" w:hAnsi="宋体" w:cs="宋体"/>
          <w:sz w:val="36"/>
          <w:szCs w:val="32"/>
        </w:rPr>
      </w:pPr>
    </w:p>
    <w:p>
      <w:pPr>
        <w:spacing w:line="480" w:lineRule="auto"/>
        <w:ind w:firstLine="1260" w:firstLineChars="525"/>
        <w:rPr>
          <w:rFonts w:ascii="宋体" w:hAnsi="宋体" w:cs="宋体"/>
          <w:sz w:val="24"/>
          <w:szCs w:val="32"/>
        </w:rPr>
      </w:pPr>
    </w:p>
    <w:p>
      <w:pPr>
        <w:spacing w:before="165" w:beforeLines="50" w:line="480" w:lineRule="exact"/>
        <w:ind w:firstLine="602"/>
        <w:rPr>
          <w:rFonts w:ascii="宋体" w:hAnsi="宋体" w:cs="宋体"/>
          <w:sz w:val="30"/>
        </w:rPr>
      </w:pPr>
    </w:p>
    <w:p>
      <w:pPr>
        <w:spacing w:before="165" w:beforeLines="50" w:line="480" w:lineRule="exact"/>
        <w:ind w:firstLine="602"/>
        <w:rPr>
          <w:rFonts w:ascii="宋体" w:hAnsi="宋体" w:cs="宋体"/>
          <w:sz w:val="30"/>
        </w:rPr>
      </w:pPr>
    </w:p>
    <w:p>
      <w:pPr>
        <w:pStyle w:val="18"/>
        <w:ind w:firstLine="480"/>
        <w:rPr>
          <w:rFonts w:ascii="宋体" w:hAnsi="宋体" w:cs="宋体"/>
          <w:b/>
          <w:bCs/>
        </w:rPr>
      </w:pPr>
      <w:bookmarkStart w:id="4" w:name="_Toc254970630"/>
      <w:bookmarkStart w:id="5" w:name="_Toc254970489"/>
    </w:p>
    <w:p>
      <w:pPr>
        <w:pStyle w:val="4"/>
        <w:keepNext w:val="0"/>
        <w:keepLines w:val="0"/>
        <w:tabs>
          <w:tab w:val="left" w:pos="0"/>
          <w:tab w:val="left" w:pos="3165"/>
          <w:tab w:val="center" w:pos="4153"/>
        </w:tabs>
        <w:autoSpaceDE w:val="0"/>
        <w:autoSpaceDN w:val="0"/>
        <w:adjustRightInd w:val="0"/>
        <w:spacing w:before="165" w:after="0" w:line="360" w:lineRule="auto"/>
        <w:ind w:firstLine="880"/>
        <w:jc w:val="center"/>
        <w:rPr>
          <w:rFonts w:ascii="宋体" w:hAnsi="宋体" w:cs="宋体"/>
        </w:rPr>
        <w:sectPr>
          <w:footerReference r:id="rId3" w:type="default"/>
          <w:pgSz w:w="11906" w:h="16838"/>
          <w:pgMar w:top="1134" w:right="1134" w:bottom="1134" w:left="1134" w:header="720" w:footer="720" w:gutter="0"/>
          <w:cols w:space="720" w:num="1"/>
          <w:docGrid w:type="lines" w:linePitch="331" w:charSpace="0"/>
        </w:sectPr>
      </w:pPr>
      <w:bookmarkStart w:id="6" w:name="_Toc74320800"/>
    </w:p>
    <w:p>
      <w:pPr>
        <w:pStyle w:val="4"/>
        <w:keepNext w:val="0"/>
        <w:keepLines w:val="0"/>
        <w:tabs>
          <w:tab w:val="left" w:pos="0"/>
          <w:tab w:val="left" w:pos="3165"/>
          <w:tab w:val="center" w:pos="4153"/>
        </w:tabs>
        <w:autoSpaceDE w:val="0"/>
        <w:autoSpaceDN w:val="0"/>
        <w:adjustRightInd w:val="0"/>
        <w:spacing w:before="165" w:after="0" w:line="360" w:lineRule="auto"/>
        <w:ind w:firstLine="880"/>
        <w:jc w:val="center"/>
        <w:rPr>
          <w:rFonts w:ascii="宋体" w:hAnsi="宋体" w:cs="宋体"/>
        </w:rPr>
      </w:pPr>
      <w:r>
        <w:rPr>
          <w:rFonts w:hint="eastAsia" w:ascii="宋体" w:hAnsi="宋体" w:cs="宋体"/>
        </w:rPr>
        <w:t>第一章</w:t>
      </w:r>
      <w:bookmarkEnd w:id="4"/>
      <w:bookmarkEnd w:id="5"/>
      <w:bookmarkStart w:id="7" w:name="_Toc35393789"/>
      <w:bookmarkStart w:id="8" w:name="_Toc28359001"/>
      <w:r>
        <w:rPr>
          <w:rFonts w:hint="eastAsia" w:ascii="宋体" w:hAnsi="宋体" w:cs="宋体"/>
        </w:rPr>
        <w:t xml:space="preserve"> 招标公告</w:t>
      </w:r>
      <w:bookmarkEnd w:id="6"/>
      <w:bookmarkEnd w:id="7"/>
      <w:bookmarkEnd w:id="8"/>
    </w:p>
    <w:p>
      <w:pPr>
        <w:ind w:firstLine="482"/>
        <w:rPr>
          <w:rFonts w:ascii="宋体" w:hAnsi="宋体" w:cs="宋体"/>
        </w:rPr>
      </w:pPr>
    </w:p>
    <w:p>
      <w:pPr>
        <w:widowControl w:val="0"/>
        <w:tabs>
          <w:tab w:val="left" w:pos="1260"/>
        </w:tabs>
        <w:spacing w:before="165" w:after="120" w:line="480" w:lineRule="auto"/>
        <w:ind w:left="1260" w:leftChars="600" w:firstLine="0" w:firstLineChars="0"/>
        <w:jc w:val="left"/>
        <w:rPr>
          <w:rFonts w:ascii="宋体" w:hAnsi="宋体" w:eastAsia="宋体" w:cs="宋体"/>
          <w:b w:val="0"/>
          <w:bCs w:val="0"/>
          <w:caps w:val="0"/>
          <w:color w:val="auto"/>
          <w:kern w:val="2"/>
          <w:sz w:val="24"/>
          <w:szCs w:val="28"/>
          <w:highlight w:val="none"/>
          <w:lang w:val="en-US" w:eastAsia="zh-CN" w:bidi="ar-SA"/>
        </w:rPr>
      </w:pPr>
      <w:r>
        <w:rPr>
          <w:rFonts w:hint="eastAsia" w:ascii="宋体" w:hAnsi="宋体" w:eastAsia="宋体" w:cs="宋体"/>
          <w:b w:val="0"/>
          <w:bCs/>
          <w:caps/>
          <w:color w:val="auto"/>
          <w:kern w:val="2"/>
          <w:sz w:val="32"/>
          <w:szCs w:val="32"/>
          <w:highlight w:val="none"/>
          <w:lang w:val="en-US" w:eastAsia="zh-CN" w:bidi="ar-SA"/>
        </w:rPr>
        <w:fldChar w:fldCharType="begin"/>
      </w:r>
      <w:r>
        <w:rPr>
          <w:rFonts w:hint="eastAsia" w:ascii="宋体" w:hAnsi="宋体" w:eastAsia="宋体" w:cs="宋体"/>
          <w:b w:val="0"/>
          <w:bCs/>
          <w:caps/>
          <w:color w:val="auto"/>
          <w:kern w:val="2"/>
          <w:sz w:val="32"/>
          <w:szCs w:val="32"/>
          <w:highlight w:val="none"/>
          <w:lang w:val="en-US" w:eastAsia="zh-CN" w:bidi="ar-SA"/>
        </w:rPr>
        <w:instrText xml:space="preserve"> TOC \o "1-2" \h \z \u </w:instrText>
      </w:r>
      <w:r>
        <w:rPr>
          <w:rFonts w:hint="eastAsia" w:ascii="宋体" w:hAnsi="宋体" w:eastAsia="宋体" w:cs="宋体"/>
          <w:b w:val="0"/>
          <w:bCs/>
          <w:caps/>
          <w:color w:val="auto"/>
          <w:kern w:val="2"/>
          <w:sz w:val="32"/>
          <w:szCs w:val="32"/>
          <w:highlight w:val="none"/>
          <w:lang w:val="en-US" w:eastAsia="zh-CN" w:bidi="ar-SA"/>
        </w:rPr>
        <w:fldChar w:fldCharType="separate"/>
      </w:r>
      <w:r>
        <w:rPr>
          <w:rFonts w:ascii="宋体" w:hAnsi="宋体" w:eastAsia="宋体" w:cs="Times New Roman"/>
          <w:b/>
          <w:bCs/>
          <w:caps/>
          <w:color w:val="auto"/>
          <w:kern w:val="2"/>
          <w:sz w:val="24"/>
          <w:szCs w:val="24"/>
          <w:highlight w:val="none"/>
          <w:lang w:val="en-US" w:eastAsia="zh-CN" w:bidi="ar-SA"/>
        </w:rPr>
        <w:fldChar w:fldCharType="begin"/>
      </w:r>
      <w:r>
        <w:rPr>
          <w:rFonts w:ascii="宋体" w:hAnsi="宋体" w:eastAsia="宋体" w:cs="Times New Roman"/>
          <w:b/>
          <w:bCs/>
          <w:caps/>
          <w:color w:val="auto"/>
          <w:kern w:val="2"/>
          <w:sz w:val="24"/>
          <w:szCs w:val="24"/>
          <w:highlight w:val="none"/>
          <w:lang w:val="en-US" w:eastAsia="zh-CN" w:bidi="ar-SA"/>
        </w:rPr>
        <w:instrText xml:space="preserve"> HYPERLINK \l "_Toc74320800" </w:instrText>
      </w:r>
      <w:r>
        <w:rPr>
          <w:rFonts w:ascii="宋体" w:hAnsi="宋体" w:eastAsia="宋体" w:cs="Times New Roman"/>
          <w:b/>
          <w:bCs/>
          <w:caps/>
          <w:color w:val="auto"/>
          <w:kern w:val="2"/>
          <w:sz w:val="24"/>
          <w:szCs w:val="24"/>
          <w:highlight w:val="none"/>
          <w:lang w:val="en-US" w:eastAsia="zh-CN" w:bidi="ar-SA"/>
        </w:rPr>
        <w:fldChar w:fldCharType="separate"/>
      </w:r>
      <w:r>
        <w:rPr>
          <w:rStyle w:val="53"/>
          <w:rFonts w:hint="eastAsia" w:ascii="Times New Roman" w:hAnsi="Times New Roman" w:eastAsia="宋体" w:cs="宋体"/>
          <w:b/>
          <w:bCs/>
          <w:caps/>
          <w:color w:val="auto"/>
          <w:kern w:val="2"/>
          <w:sz w:val="32"/>
          <w:szCs w:val="32"/>
          <w:highlight w:val="none"/>
          <w:lang w:val="en-US" w:eastAsia="zh-CN" w:bidi="ar-SA"/>
        </w:rPr>
        <w:t>第一章  招标公告</w:t>
      </w:r>
      <w:r>
        <w:rPr>
          <w:rStyle w:val="53"/>
          <w:rFonts w:hint="eastAsia" w:ascii="Times New Roman" w:hAnsi="Times New Roman" w:eastAsia="宋体" w:cs="宋体"/>
          <w:b/>
          <w:bCs/>
          <w:caps/>
          <w:color w:val="auto"/>
          <w:kern w:val="2"/>
          <w:sz w:val="32"/>
          <w:szCs w:val="32"/>
          <w:highlight w:val="none"/>
          <w:lang w:val="en-US" w:eastAsia="zh-CN" w:bidi="ar-SA"/>
        </w:rPr>
        <w:fldChar w:fldCharType="end"/>
      </w:r>
      <w:r>
        <w:rPr>
          <w:rStyle w:val="53"/>
          <w:rFonts w:hint="eastAsia" w:ascii="Times New Roman" w:hAnsi="Times New Roman" w:eastAsia="宋体" w:cs="宋体"/>
          <w:b/>
          <w:bCs/>
          <w:caps/>
          <w:color w:val="auto"/>
          <w:kern w:val="2"/>
          <w:sz w:val="32"/>
          <w:szCs w:val="32"/>
          <w:highlight w:val="none"/>
          <w:lang w:val="en-US" w:eastAsia="zh-CN" w:bidi="ar-SA"/>
        </w:rPr>
        <w:t xml:space="preserve">                   001</w:t>
      </w:r>
    </w:p>
    <w:p>
      <w:pPr>
        <w:widowControl w:val="0"/>
        <w:tabs>
          <w:tab w:val="left" w:pos="1260"/>
        </w:tabs>
        <w:spacing w:before="165" w:after="120" w:line="480" w:lineRule="auto"/>
        <w:ind w:left="1260" w:leftChars="600" w:firstLine="0" w:firstLineChars="0"/>
        <w:jc w:val="left"/>
        <w:rPr>
          <w:rFonts w:hint="eastAsia" w:ascii="宋体" w:hAnsi="宋体" w:eastAsia="宋体" w:cs="宋体"/>
          <w:b w:val="0"/>
          <w:bCs w:val="0"/>
          <w:caps w:val="0"/>
          <w:color w:val="auto"/>
          <w:kern w:val="2"/>
          <w:sz w:val="24"/>
          <w:szCs w:val="28"/>
          <w:highlight w:val="none"/>
          <w:lang w:val="en-US" w:eastAsia="zh-CN" w:bidi="ar-SA"/>
        </w:rPr>
      </w:pPr>
      <w:r>
        <w:rPr>
          <w:rFonts w:ascii="宋体" w:hAnsi="宋体" w:eastAsia="宋体" w:cs="Times New Roman"/>
          <w:b/>
          <w:bCs/>
          <w:caps/>
          <w:color w:val="auto"/>
          <w:kern w:val="2"/>
          <w:sz w:val="24"/>
          <w:szCs w:val="24"/>
          <w:highlight w:val="none"/>
          <w:lang w:val="en-US" w:eastAsia="zh-CN" w:bidi="ar-SA"/>
        </w:rPr>
        <w:fldChar w:fldCharType="begin"/>
      </w:r>
      <w:r>
        <w:rPr>
          <w:rFonts w:ascii="宋体" w:hAnsi="宋体" w:eastAsia="宋体" w:cs="Times New Roman"/>
          <w:b/>
          <w:bCs/>
          <w:caps/>
          <w:color w:val="auto"/>
          <w:kern w:val="2"/>
          <w:sz w:val="24"/>
          <w:szCs w:val="24"/>
          <w:highlight w:val="none"/>
          <w:lang w:val="en-US" w:eastAsia="zh-CN" w:bidi="ar-SA"/>
        </w:rPr>
        <w:instrText xml:space="preserve"> HYPERLINK \l "_Toc74320801" </w:instrText>
      </w:r>
      <w:r>
        <w:rPr>
          <w:rFonts w:ascii="宋体" w:hAnsi="宋体" w:eastAsia="宋体" w:cs="Times New Roman"/>
          <w:b/>
          <w:bCs/>
          <w:caps/>
          <w:color w:val="auto"/>
          <w:kern w:val="2"/>
          <w:sz w:val="24"/>
          <w:szCs w:val="24"/>
          <w:highlight w:val="none"/>
          <w:lang w:val="en-US" w:eastAsia="zh-CN" w:bidi="ar-SA"/>
        </w:rPr>
        <w:fldChar w:fldCharType="separate"/>
      </w:r>
      <w:r>
        <w:rPr>
          <w:rStyle w:val="53"/>
          <w:rFonts w:hint="eastAsia" w:ascii="Times New Roman" w:hAnsi="Times New Roman" w:eastAsia="宋体" w:cs="宋体"/>
          <w:b/>
          <w:bCs/>
          <w:caps/>
          <w:color w:val="auto"/>
          <w:kern w:val="2"/>
          <w:sz w:val="32"/>
          <w:szCs w:val="32"/>
          <w:highlight w:val="none"/>
          <w:lang w:val="en-US" w:eastAsia="zh-CN" w:bidi="ar-SA"/>
        </w:rPr>
        <w:t>第二章  采购需求</w:t>
      </w:r>
      <w:r>
        <w:rPr>
          <w:rStyle w:val="53"/>
          <w:rFonts w:hint="eastAsia" w:ascii="Times New Roman" w:hAnsi="Times New Roman" w:eastAsia="宋体" w:cs="宋体"/>
          <w:b/>
          <w:bCs/>
          <w:caps/>
          <w:color w:val="auto"/>
          <w:kern w:val="2"/>
          <w:sz w:val="32"/>
          <w:szCs w:val="32"/>
          <w:highlight w:val="none"/>
          <w:lang w:val="en-US" w:eastAsia="zh-CN" w:bidi="ar-SA"/>
        </w:rPr>
        <w:fldChar w:fldCharType="end"/>
      </w:r>
      <w:r>
        <w:rPr>
          <w:rStyle w:val="53"/>
          <w:rFonts w:hint="eastAsia" w:ascii="Times New Roman" w:hAnsi="Times New Roman" w:eastAsia="宋体" w:cs="宋体"/>
          <w:b/>
          <w:bCs/>
          <w:caps/>
          <w:color w:val="auto"/>
          <w:kern w:val="2"/>
          <w:sz w:val="32"/>
          <w:szCs w:val="32"/>
          <w:highlight w:val="none"/>
          <w:lang w:val="en-US" w:eastAsia="zh-CN" w:bidi="ar-SA"/>
        </w:rPr>
        <w:t xml:space="preserve">                   007</w:t>
      </w:r>
    </w:p>
    <w:p>
      <w:pPr>
        <w:widowControl w:val="0"/>
        <w:tabs>
          <w:tab w:val="left" w:pos="1260"/>
        </w:tabs>
        <w:spacing w:before="165" w:after="120" w:line="480" w:lineRule="auto"/>
        <w:ind w:left="1260" w:leftChars="600" w:firstLine="0" w:firstLineChars="0"/>
        <w:jc w:val="left"/>
        <w:rPr>
          <w:rFonts w:hint="default" w:ascii="宋体" w:hAnsi="宋体" w:eastAsia="宋体" w:cs="宋体"/>
          <w:b w:val="0"/>
          <w:bCs w:val="0"/>
          <w:caps w:val="0"/>
          <w:color w:val="auto"/>
          <w:kern w:val="2"/>
          <w:sz w:val="24"/>
          <w:szCs w:val="28"/>
          <w:highlight w:val="none"/>
          <w:lang w:val="en-US" w:eastAsia="zh-CN" w:bidi="ar-SA"/>
        </w:rPr>
      </w:pPr>
      <w:r>
        <w:rPr>
          <w:rFonts w:ascii="宋体" w:hAnsi="宋体" w:eastAsia="宋体" w:cs="Times New Roman"/>
          <w:b/>
          <w:bCs/>
          <w:caps/>
          <w:color w:val="auto"/>
          <w:kern w:val="2"/>
          <w:sz w:val="24"/>
          <w:szCs w:val="24"/>
          <w:highlight w:val="none"/>
          <w:lang w:val="en-US" w:eastAsia="zh-CN" w:bidi="ar-SA"/>
        </w:rPr>
        <w:fldChar w:fldCharType="begin"/>
      </w:r>
      <w:r>
        <w:rPr>
          <w:rFonts w:ascii="宋体" w:hAnsi="宋体" w:eastAsia="宋体" w:cs="Times New Roman"/>
          <w:b/>
          <w:bCs/>
          <w:caps/>
          <w:color w:val="auto"/>
          <w:kern w:val="2"/>
          <w:sz w:val="24"/>
          <w:szCs w:val="24"/>
          <w:highlight w:val="none"/>
          <w:lang w:val="en-US" w:eastAsia="zh-CN" w:bidi="ar-SA"/>
        </w:rPr>
        <w:instrText xml:space="preserve"> HYPERLINK \l "_Toc74320802" </w:instrText>
      </w:r>
      <w:r>
        <w:rPr>
          <w:rFonts w:ascii="宋体" w:hAnsi="宋体" w:eastAsia="宋体" w:cs="Times New Roman"/>
          <w:b/>
          <w:bCs/>
          <w:caps/>
          <w:color w:val="auto"/>
          <w:kern w:val="2"/>
          <w:sz w:val="24"/>
          <w:szCs w:val="24"/>
          <w:highlight w:val="none"/>
          <w:lang w:val="en-US" w:eastAsia="zh-CN" w:bidi="ar-SA"/>
        </w:rPr>
        <w:fldChar w:fldCharType="separate"/>
      </w:r>
      <w:r>
        <w:rPr>
          <w:rStyle w:val="53"/>
          <w:rFonts w:hint="eastAsia" w:ascii="Times New Roman" w:hAnsi="Times New Roman" w:eastAsia="宋体" w:cs="宋体"/>
          <w:b/>
          <w:bCs/>
          <w:caps/>
          <w:color w:val="auto"/>
          <w:kern w:val="2"/>
          <w:sz w:val="32"/>
          <w:szCs w:val="32"/>
          <w:highlight w:val="none"/>
          <w:lang w:val="en-US" w:eastAsia="zh-CN" w:bidi="ar-SA"/>
        </w:rPr>
        <w:t>第三章  投标人须知</w:t>
      </w:r>
      <w:r>
        <w:rPr>
          <w:rStyle w:val="53"/>
          <w:rFonts w:hint="eastAsia" w:ascii="Times New Roman" w:hAnsi="Times New Roman" w:eastAsia="宋体" w:cs="宋体"/>
          <w:b/>
          <w:bCs/>
          <w:caps/>
          <w:color w:val="auto"/>
          <w:kern w:val="2"/>
          <w:sz w:val="32"/>
          <w:szCs w:val="32"/>
          <w:highlight w:val="none"/>
          <w:lang w:val="en-US" w:eastAsia="zh-CN" w:bidi="ar-SA"/>
        </w:rPr>
        <w:fldChar w:fldCharType="end"/>
      </w:r>
      <w:r>
        <w:rPr>
          <w:rStyle w:val="53"/>
          <w:rFonts w:hint="eastAsia" w:ascii="Times New Roman" w:hAnsi="Times New Roman" w:eastAsia="宋体" w:cs="宋体"/>
          <w:b/>
          <w:bCs/>
          <w:caps/>
          <w:color w:val="auto"/>
          <w:kern w:val="2"/>
          <w:sz w:val="32"/>
          <w:szCs w:val="32"/>
          <w:highlight w:val="none"/>
          <w:lang w:val="en-US" w:eastAsia="zh-CN" w:bidi="ar-SA"/>
        </w:rPr>
        <w:t xml:space="preserve">                 044</w:t>
      </w:r>
    </w:p>
    <w:p>
      <w:pPr>
        <w:widowControl w:val="0"/>
        <w:tabs>
          <w:tab w:val="left" w:pos="1260"/>
        </w:tabs>
        <w:spacing w:before="165" w:after="120" w:line="480" w:lineRule="auto"/>
        <w:ind w:left="1260" w:leftChars="600" w:firstLine="0" w:firstLineChars="0"/>
        <w:jc w:val="left"/>
        <w:rPr>
          <w:rFonts w:hint="default" w:ascii="宋体" w:hAnsi="宋体" w:eastAsia="宋体" w:cs="宋体"/>
          <w:b w:val="0"/>
          <w:bCs w:val="0"/>
          <w:caps w:val="0"/>
          <w:color w:val="auto"/>
          <w:kern w:val="2"/>
          <w:sz w:val="24"/>
          <w:szCs w:val="28"/>
          <w:highlight w:val="none"/>
          <w:lang w:val="en-US" w:eastAsia="zh-CN" w:bidi="ar-SA"/>
        </w:rPr>
      </w:pPr>
      <w:r>
        <w:rPr>
          <w:rFonts w:ascii="宋体" w:hAnsi="宋体" w:eastAsia="宋体" w:cs="Times New Roman"/>
          <w:b/>
          <w:bCs/>
          <w:caps/>
          <w:color w:val="auto"/>
          <w:kern w:val="2"/>
          <w:sz w:val="24"/>
          <w:szCs w:val="24"/>
          <w:highlight w:val="none"/>
          <w:lang w:val="en-US" w:eastAsia="zh-CN" w:bidi="ar-SA"/>
        </w:rPr>
        <w:fldChar w:fldCharType="begin"/>
      </w:r>
      <w:r>
        <w:rPr>
          <w:rFonts w:ascii="宋体" w:hAnsi="宋体" w:eastAsia="宋体" w:cs="Times New Roman"/>
          <w:b/>
          <w:bCs/>
          <w:caps/>
          <w:color w:val="auto"/>
          <w:kern w:val="2"/>
          <w:sz w:val="24"/>
          <w:szCs w:val="24"/>
          <w:highlight w:val="none"/>
          <w:lang w:val="en-US" w:eastAsia="zh-CN" w:bidi="ar-SA"/>
        </w:rPr>
        <w:instrText xml:space="preserve"> HYPERLINK \l "_Toc74320803" </w:instrText>
      </w:r>
      <w:r>
        <w:rPr>
          <w:rFonts w:ascii="宋体" w:hAnsi="宋体" w:eastAsia="宋体" w:cs="Times New Roman"/>
          <w:b/>
          <w:bCs/>
          <w:caps/>
          <w:color w:val="auto"/>
          <w:kern w:val="2"/>
          <w:sz w:val="24"/>
          <w:szCs w:val="24"/>
          <w:highlight w:val="none"/>
          <w:lang w:val="en-US" w:eastAsia="zh-CN" w:bidi="ar-SA"/>
        </w:rPr>
        <w:fldChar w:fldCharType="separate"/>
      </w:r>
      <w:r>
        <w:rPr>
          <w:rStyle w:val="53"/>
          <w:rFonts w:hint="eastAsia" w:ascii="Times New Roman" w:hAnsi="Times New Roman" w:eastAsia="宋体" w:cs="宋体"/>
          <w:b/>
          <w:bCs/>
          <w:caps/>
          <w:color w:val="auto"/>
          <w:kern w:val="2"/>
          <w:sz w:val="32"/>
          <w:szCs w:val="32"/>
          <w:highlight w:val="none"/>
          <w:lang w:val="en-US" w:eastAsia="zh-CN" w:bidi="ar-SA"/>
        </w:rPr>
        <w:t>第四章  评标方法及评标标准</w:t>
      </w:r>
      <w:r>
        <w:rPr>
          <w:rStyle w:val="53"/>
          <w:rFonts w:hint="eastAsia" w:ascii="Times New Roman" w:hAnsi="Times New Roman" w:eastAsia="宋体" w:cs="宋体"/>
          <w:b/>
          <w:bCs/>
          <w:caps/>
          <w:color w:val="auto"/>
          <w:kern w:val="2"/>
          <w:sz w:val="32"/>
          <w:szCs w:val="32"/>
          <w:highlight w:val="none"/>
          <w:lang w:val="en-US" w:eastAsia="zh-CN" w:bidi="ar-SA"/>
        </w:rPr>
        <w:fldChar w:fldCharType="end"/>
      </w:r>
      <w:r>
        <w:rPr>
          <w:rStyle w:val="53"/>
          <w:rFonts w:hint="eastAsia" w:ascii="Times New Roman" w:hAnsi="Times New Roman" w:eastAsia="宋体" w:cs="宋体"/>
          <w:b/>
          <w:bCs/>
          <w:caps/>
          <w:color w:val="auto"/>
          <w:kern w:val="2"/>
          <w:sz w:val="32"/>
          <w:szCs w:val="32"/>
          <w:highlight w:val="none"/>
          <w:lang w:val="en-US" w:eastAsia="zh-CN" w:bidi="ar-SA"/>
        </w:rPr>
        <w:t xml:space="preserve">         074</w:t>
      </w:r>
    </w:p>
    <w:p>
      <w:pPr>
        <w:widowControl w:val="0"/>
        <w:tabs>
          <w:tab w:val="left" w:pos="1260"/>
        </w:tabs>
        <w:spacing w:before="165" w:after="120" w:line="480" w:lineRule="auto"/>
        <w:ind w:left="1260" w:leftChars="600" w:firstLine="0" w:firstLineChars="0"/>
        <w:jc w:val="left"/>
        <w:rPr>
          <w:rFonts w:hint="default" w:ascii="宋体" w:hAnsi="宋体" w:eastAsia="宋体" w:cs="宋体"/>
          <w:b w:val="0"/>
          <w:bCs w:val="0"/>
          <w:caps w:val="0"/>
          <w:color w:val="auto"/>
          <w:kern w:val="2"/>
          <w:sz w:val="24"/>
          <w:szCs w:val="28"/>
          <w:highlight w:val="none"/>
          <w:lang w:val="en-US" w:eastAsia="zh-CN" w:bidi="ar-SA"/>
        </w:rPr>
      </w:pPr>
      <w:r>
        <w:rPr>
          <w:rFonts w:ascii="宋体" w:hAnsi="宋体" w:eastAsia="宋体" w:cs="Times New Roman"/>
          <w:b/>
          <w:bCs/>
          <w:caps/>
          <w:color w:val="auto"/>
          <w:kern w:val="2"/>
          <w:sz w:val="24"/>
          <w:szCs w:val="24"/>
          <w:highlight w:val="none"/>
          <w:lang w:val="en-US" w:eastAsia="zh-CN" w:bidi="ar-SA"/>
        </w:rPr>
        <w:fldChar w:fldCharType="begin"/>
      </w:r>
      <w:r>
        <w:rPr>
          <w:rFonts w:ascii="宋体" w:hAnsi="宋体" w:eastAsia="宋体" w:cs="Times New Roman"/>
          <w:b/>
          <w:bCs/>
          <w:caps/>
          <w:color w:val="auto"/>
          <w:kern w:val="2"/>
          <w:sz w:val="24"/>
          <w:szCs w:val="24"/>
          <w:highlight w:val="none"/>
          <w:lang w:val="en-US" w:eastAsia="zh-CN" w:bidi="ar-SA"/>
        </w:rPr>
        <w:instrText xml:space="preserve"> HYPERLINK \l "_Toc74320804" </w:instrText>
      </w:r>
      <w:r>
        <w:rPr>
          <w:rFonts w:ascii="宋体" w:hAnsi="宋体" w:eastAsia="宋体" w:cs="Times New Roman"/>
          <w:b/>
          <w:bCs/>
          <w:caps/>
          <w:color w:val="auto"/>
          <w:kern w:val="2"/>
          <w:sz w:val="24"/>
          <w:szCs w:val="24"/>
          <w:highlight w:val="none"/>
          <w:lang w:val="en-US" w:eastAsia="zh-CN" w:bidi="ar-SA"/>
        </w:rPr>
        <w:fldChar w:fldCharType="separate"/>
      </w:r>
      <w:r>
        <w:rPr>
          <w:rStyle w:val="53"/>
          <w:rFonts w:hint="eastAsia" w:ascii="Times New Roman" w:hAnsi="Times New Roman" w:eastAsia="宋体" w:cs="宋体"/>
          <w:b/>
          <w:bCs/>
          <w:caps/>
          <w:color w:val="auto"/>
          <w:kern w:val="2"/>
          <w:sz w:val="32"/>
          <w:szCs w:val="32"/>
          <w:highlight w:val="none"/>
          <w:lang w:val="en-US" w:eastAsia="zh-CN" w:bidi="ar-SA"/>
        </w:rPr>
        <w:t>第五章  拟签订的合同文本</w:t>
      </w:r>
      <w:r>
        <w:rPr>
          <w:rStyle w:val="53"/>
          <w:rFonts w:hint="eastAsia" w:ascii="Times New Roman" w:hAnsi="Times New Roman" w:eastAsia="宋体" w:cs="宋体"/>
          <w:b/>
          <w:bCs/>
          <w:caps/>
          <w:color w:val="auto"/>
          <w:kern w:val="2"/>
          <w:sz w:val="32"/>
          <w:szCs w:val="32"/>
          <w:highlight w:val="none"/>
          <w:lang w:val="en-US" w:eastAsia="zh-CN" w:bidi="ar-SA"/>
        </w:rPr>
        <w:fldChar w:fldCharType="end"/>
      </w:r>
      <w:r>
        <w:rPr>
          <w:rStyle w:val="53"/>
          <w:rFonts w:hint="eastAsia" w:ascii="Times New Roman" w:hAnsi="Times New Roman" w:eastAsia="宋体" w:cs="宋体"/>
          <w:b/>
          <w:bCs/>
          <w:caps/>
          <w:color w:val="auto"/>
          <w:kern w:val="2"/>
          <w:sz w:val="32"/>
          <w:szCs w:val="32"/>
          <w:highlight w:val="none"/>
          <w:lang w:val="en-US" w:eastAsia="zh-CN" w:bidi="ar-SA"/>
        </w:rPr>
        <w:t xml:space="preserve">           086</w:t>
      </w:r>
    </w:p>
    <w:p>
      <w:pPr>
        <w:widowControl w:val="0"/>
        <w:tabs>
          <w:tab w:val="left" w:pos="1260"/>
        </w:tabs>
        <w:spacing w:before="165" w:after="120" w:line="480" w:lineRule="auto"/>
        <w:ind w:left="1260" w:leftChars="600" w:firstLine="0" w:firstLineChars="0"/>
        <w:jc w:val="left"/>
        <w:rPr>
          <w:rFonts w:hint="default" w:ascii="宋体" w:hAnsi="宋体" w:eastAsia="宋体" w:cs="宋体"/>
          <w:b w:val="0"/>
          <w:bCs w:val="0"/>
          <w:caps w:val="0"/>
          <w:color w:val="auto"/>
          <w:kern w:val="2"/>
          <w:sz w:val="24"/>
          <w:szCs w:val="28"/>
          <w:highlight w:val="none"/>
          <w:lang w:val="en-US" w:eastAsia="zh-CN" w:bidi="ar-SA"/>
        </w:rPr>
      </w:pPr>
      <w:r>
        <w:rPr>
          <w:rFonts w:ascii="宋体" w:hAnsi="宋体" w:eastAsia="宋体" w:cs="Times New Roman"/>
          <w:b/>
          <w:bCs/>
          <w:caps/>
          <w:color w:val="auto"/>
          <w:kern w:val="2"/>
          <w:sz w:val="24"/>
          <w:szCs w:val="24"/>
          <w:highlight w:val="none"/>
          <w:lang w:val="en-US" w:eastAsia="zh-CN" w:bidi="ar-SA"/>
        </w:rPr>
        <w:fldChar w:fldCharType="begin"/>
      </w:r>
      <w:r>
        <w:rPr>
          <w:rFonts w:ascii="宋体" w:hAnsi="宋体" w:eastAsia="宋体" w:cs="Times New Roman"/>
          <w:b/>
          <w:bCs/>
          <w:caps/>
          <w:color w:val="auto"/>
          <w:kern w:val="2"/>
          <w:sz w:val="24"/>
          <w:szCs w:val="24"/>
          <w:highlight w:val="none"/>
          <w:lang w:val="en-US" w:eastAsia="zh-CN" w:bidi="ar-SA"/>
        </w:rPr>
        <w:instrText xml:space="preserve"> HYPERLINK \l "_Toc74320805" </w:instrText>
      </w:r>
      <w:r>
        <w:rPr>
          <w:rFonts w:ascii="宋体" w:hAnsi="宋体" w:eastAsia="宋体" w:cs="Times New Roman"/>
          <w:b/>
          <w:bCs/>
          <w:caps/>
          <w:color w:val="auto"/>
          <w:kern w:val="2"/>
          <w:sz w:val="24"/>
          <w:szCs w:val="24"/>
          <w:highlight w:val="none"/>
          <w:lang w:val="en-US" w:eastAsia="zh-CN" w:bidi="ar-SA"/>
        </w:rPr>
        <w:fldChar w:fldCharType="separate"/>
      </w:r>
      <w:r>
        <w:rPr>
          <w:rStyle w:val="53"/>
          <w:rFonts w:hint="eastAsia" w:ascii="Times New Roman" w:hAnsi="Times New Roman" w:eastAsia="宋体" w:cs="宋体"/>
          <w:b/>
          <w:bCs/>
          <w:caps/>
          <w:color w:val="auto"/>
          <w:kern w:val="2"/>
          <w:sz w:val="32"/>
          <w:szCs w:val="32"/>
          <w:highlight w:val="none"/>
          <w:lang w:val="en-US" w:eastAsia="zh-CN" w:bidi="ar-SA"/>
        </w:rPr>
        <w:t>第六章　投标文件格式</w:t>
      </w:r>
      <w:r>
        <w:rPr>
          <w:rStyle w:val="53"/>
          <w:rFonts w:hint="eastAsia" w:ascii="Times New Roman" w:hAnsi="Times New Roman" w:eastAsia="宋体" w:cs="宋体"/>
          <w:b/>
          <w:bCs/>
          <w:caps/>
          <w:color w:val="auto"/>
          <w:kern w:val="2"/>
          <w:sz w:val="32"/>
          <w:szCs w:val="32"/>
          <w:highlight w:val="none"/>
          <w:lang w:val="en-US" w:eastAsia="zh-CN" w:bidi="ar-SA"/>
        </w:rPr>
        <w:fldChar w:fldCharType="end"/>
      </w:r>
      <w:r>
        <w:rPr>
          <w:rStyle w:val="53"/>
          <w:rFonts w:hint="eastAsia" w:ascii="Times New Roman" w:hAnsi="Times New Roman" w:eastAsia="宋体" w:cs="宋体"/>
          <w:b/>
          <w:bCs/>
          <w:caps/>
          <w:color w:val="auto"/>
          <w:kern w:val="2"/>
          <w:sz w:val="32"/>
          <w:szCs w:val="32"/>
          <w:highlight w:val="none"/>
          <w:lang w:val="en-US" w:eastAsia="zh-CN" w:bidi="ar-SA"/>
        </w:rPr>
        <w:t xml:space="preserve">               100</w:t>
      </w:r>
    </w:p>
    <w:p>
      <w:pPr>
        <w:tabs>
          <w:tab w:val="left" w:pos="1260"/>
        </w:tabs>
        <w:spacing w:before="165" w:beforeLines="50" w:line="480" w:lineRule="auto"/>
        <w:ind w:left="1260" w:leftChars="600" w:firstLine="640"/>
        <w:rPr>
          <w:rFonts w:ascii="宋体" w:hAnsi="宋体" w:eastAsia="宋体" w:cs="宋体"/>
          <w:color w:val="auto"/>
          <w:sz w:val="32"/>
          <w:szCs w:val="32"/>
          <w:highlight w:val="none"/>
        </w:rPr>
      </w:pPr>
      <w:r>
        <w:rPr>
          <w:rFonts w:hint="eastAsia" w:ascii="宋体" w:hAnsi="宋体" w:eastAsia="宋体" w:cs="宋体"/>
          <w:b/>
          <w:color w:val="auto"/>
          <w:sz w:val="32"/>
          <w:szCs w:val="32"/>
          <w:highlight w:val="none"/>
        </w:rPr>
        <w:fldChar w:fldCharType="end"/>
      </w:r>
    </w:p>
    <w:p>
      <w:pPr>
        <w:spacing w:before="165" w:beforeLines="50" w:line="480" w:lineRule="auto"/>
        <w:ind w:firstLine="1890" w:firstLineChars="525"/>
        <w:rPr>
          <w:rFonts w:ascii="宋体" w:hAnsi="宋体" w:eastAsia="宋体" w:cs="宋体"/>
          <w:color w:val="auto"/>
          <w:sz w:val="36"/>
          <w:szCs w:val="32"/>
          <w:highlight w:val="none"/>
        </w:rPr>
      </w:pPr>
    </w:p>
    <w:p>
      <w:pPr>
        <w:spacing w:line="480" w:lineRule="auto"/>
        <w:ind w:firstLine="1260" w:firstLineChars="525"/>
        <w:rPr>
          <w:rFonts w:ascii="宋体" w:hAnsi="宋体" w:eastAsia="宋体" w:cs="宋体"/>
          <w:color w:val="auto"/>
          <w:sz w:val="24"/>
          <w:szCs w:val="32"/>
          <w:highlight w:val="none"/>
        </w:rPr>
      </w:pPr>
    </w:p>
    <w:p>
      <w:pPr>
        <w:spacing w:before="165" w:beforeLines="50" w:line="480" w:lineRule="exact"/>
        <w:ind w:firstLine="602"/>
        <w:rPr>
          <w:rFonts w:ascii="宋体" w:hAnsi="宋体" w:eastAsia="宋体" w:cs="宋体"/>
          <w:color w:val="auto"/>
          <w:sz w:val="30"/>
          <w:highlight w:val="none"/>
        </w:rPr>
      </w:pPr>
    </w:p>
    <w:p>
      <w:pPr>
        <w:spacing w:before="165" w:beforeLines="50" w:line="480" w:lineRule="exact"/>
        <w:ind w:firstLine="602"/>
        <w:rPr>
          <w:rFonts w:ascii="宋体" w:hAnsi="宋体" w:eastAsia="宋体" w:cs="宋体"/>
          <w:color w:val="auto"/>
          <w:sz w:val="30"/>
          <w:highlight w:val="none"/>
        </w:rPr>
      </w:pPr>
    </w:p>
    <w:p>
      <w:pPr>
        <w:widowControl w:val="0"/>
        <w:ind w:firstLine="480"/>
        <w:jc w:val="left"/>
        <w:rPr>
          <w:rFonts w:ascii="宋体" w:hAnsi="宋体" w:eastAsia="宋体" w:cs="宋体"/>
          <w:b/>
          <w:bCs/>
          <w:color w:val="auto"/>
          <w:kern w:val="2"/>
          <w:sz w:val="21"/>
          <w:szCs w:val="24"/>
          <w:highlight w:val="none"/>
          <w:lang w:val="en-US" w:eastAsia="zh-CN" w:bidi="ar-SA"/>
        </w:rPr>
      </w:pPr>
    </w:p>
    <w:p>
      <w:pPr>
        <w:keepNext w:val="0"/>
        <w:keepLines w:val="0"/>
        <w:tabs>
          <w:tab w:val="left" w:pos="0"/>
          <w:tab w:val="left" w:pos="3165"/>
          <w:tab w:val="center" w:pos="4153"/>
        </w:tabs>
        <w:autoSpaceDE w:val="0"/>
        <w:autoSpaceDN w:val="0"/>
        <w:adjustRightInd w:val="0"/>
        <w:spacing w:before="165" w:after="0" w:line="360" w:lineRule="auto"/>
        <w:ind w:firstLine="880"/>
        <w:jc w:val="center"/>
        <w:rPr>
          <w:rFonts w:ascii="宋体" w:hAnsi="宋体" w:cs="宋体"/>
          <w:color w:val="auto"/>
          <w:highlight w:val="none"/>
        </w:rPr>
        <w:sectPr>
          <w:footerReference r:id="rId4" w:type="default"/>
          <w:pgSz w:w="11906" w:h="16838"/>
          <w:pgMar w:top="1134" w:right="1134" w:bottom="1134" w:left="1134" w:header="720" w:footer="720" w:gutter="0"/>
          <w:cols w:space="720" w:num="1"/>
          <w:docGrid w:type="lines" w:linePitch="331" w:charSpace="0"/>
        </w:sectPr>
      </w:pPr>
    </w:p>
    <w:p>
      <w:pPr>
        <w:keepNext w:val="0"/>
        <w:keepLines w:val="0"/>
        <w:widowControl w:val="0"/>
        <w:tabs>
          <w:tab w:val="left" w:pos="0"/>
          <w:tab w:val="left" w:pos="3165"/>
          <w:tab w:val="center" w:pos="4153"/>
        </w:tabs>
        <w:autoSpaceDE w:val="0"/>
        <w:autoSpaceDN w:val="0"/>
        <w:adjustRightInd w:val="0"/>
        <w:spacing w:before="165" w:after="0" w:line="360" w:lineRule="auto"/>
        <w:ind w:firstLine="880"/>
        <w:jc w:val="center"/>
        <w:outlineLvl w:val="0"/>
        <w:rPr>
          <w:rFonts w:ascii="宋体" w:hAnsi="宋体" w:eastAsia="宋体" w:cs="宋体"/>
          <w:b/>
          <w:bCs/>
          <w:color w:val="auto"/>
          <w:kern w:val="44"/>
          <w:sz w:val="44"/>
          <w:szCs w:val="44"/>
          <w:highlight w:val="none"/>
          <w:lang w:val="en-US" w:eastAsia="zh-CN" w:bidi="ar-SA"/>
        </w:rPr>
      </w:pPr>
      <w:r>
        <w:rPr>
          <w:rFonts w:hint="eastAsia" w:ascii="宋体" w:hAnsi="宋体" w:eastAsia="宋体" w:cs="宋体"/>
          <w:b/>
          <w:bCs/>
          <w:color w:val="auto"/>
          <w:kern w:val="44"/>
          <w:sz w:val="44"/>
          <w:szCs w:val="44"/>
          <w:highlight w:val="none"/>
          <w:lang w:val="en-US" w:eastAsia="zh-CN" w:bidi="ar-SA"/>
        </w:rPr>
        <w:t>第一章 招标公告</w:t>
      </w:r>
    </w:p>
    <w:p>
      <w:pPr>
        <w:ind w:firstLine="482"/>
        <w:rPr>
          <w:rFonts w:ascii="宋体" w:hAnsi="宋体" w:eastAsia="宋体" w:cs="宋体"/>
          <w:color w:val="auto"/>
          <w:highlight w:val="none"/>
        </w:rPr>
      </w:pPr>
    </w:p>
    <w:p>
      <w:pPr>
        <w:widowControl w:val="0"/>
        <w:spacing w:line="500" w:lineRule="exact"/>
        <w:ind w:firstLine="720"/>
        <w:jc w:val="center"/>
        <w:rPr>
          <w:rFonts w:ascii="宋体" w:hAnsi="宋体" w:eastAsia="宋体" w:cs="宋体"/>
          <w:b/>
          <w:color w:val="auto"/>
          <w:kern w:val="0"/>
          <w:sz w:val="36"/>
          <w:szCs w:val="36"/>
          <w:highlight w:val="none"/>
          <w:lang w:val="en-US" w:eastAsia="zh-CN" w:bidi="ar-SA"/>
        </w:rPr>
      </w:pPr>
      <w:r>
        <w:rPr>
          <w:rFonts w:hint="eastAsia" w:ascii="宋体" w:hAnsi="宋体" w:eastAsia="宋体" w:cs="宋体"/>
          <w:b/>
          <w:color w:val="auto"/>
          <w:kern w:val="0"/>
          <w:sz w:val="36"/>
          <w:szCs w:val="36"/>
          <w:highlight w:val="none"/>
          <w:lang w:val="en-US" w:eastAsia="zh-CN" w:bidi="ar-SA"/>
        </w:rPr>
        <w:t>广西科文招标有限公司</w:t>
      </w:r>
    </w:p>
    <w:p>
      <w:pPr>
        <w:keepNext/>
        <w:keepLines/>
        <w:widowControl w:val="0"/>
        <w:tabs>
          <w:tab w:val="left" w:pos="0"/>
          <w:tab w:val="left" w:pos="3165"/>
          <w:tab w:val="center" w:pos="4153"/>
        </w:tabs>
        <w:autoSpaceDE w:val="0"/>
        <w:autoSpaceDN w:val="0"/>
        <w:adjustRightInd w:val="0"/>
        <w:spacing w:before="165" w:after="0" w:line="500" w:lineRule="exact"/>
        <w:ind w:firstLine="720"/>
        <w:jc w:val="center"/>
        <w:outlineLvl w:val="0"/>
        <w:rPr>
          <w:rFonts w:ascii="宋体" w:hAnsi="宋体" w:eastAsia="宋体" w:cs="宋体"/>
          <w:b/>
          <w:bCs w:val="0"/>
          <w:color w:val="auto"/>
          <w:kern w:val="0"/>
          <w:sz w:val="36"/>
          <w:szCs w:val="36"/>
          <w:highlight w:val="none"/>
          <w:lang w:val="en-US" w:eastAsia="zh-CN" w:bidi="ar-SA"/>
        </w:rPr>
      </w:pPr>
      <w:r>
        <w:rPr>
          <w:rFonts w:hint="eastAsia" w:ascii="宋体" w:hAnsi="宋体" w:eastAsia="宋体" w:cs="宋体"/>
          <w:b/>
          <w:bCs w:val="0"/>
          <w:color w:val="auto"/>
          <w:kern w:val="0"/>
          <w:sz w:val="36"/>
          <w:szCs w:val="36"/>
          <w:highlight w:val="none"/>
          <w:lang w:val="en-US" w:eastAsia="zh-CN" w:bidi="ar-SA"/>
        </w:rPr>
        <w:t>广西经贸职业技术学院五合新校区信息化建设项目-全光网络建设采购项目(有线+无线网络建设)</w:t>
      </w:r>
    </w:p>
    <w:p>
      <w:pPr>
        <w:keepNext/>
        <w:keepLines/>
        <w:widowControl w:val="0"/>
        <w:tabs>
          <w:tab w:val="left" w:pos="0"/>
          <w:tab w:val="left" w:pos="3165"/>
          <w:tab w:val="center" w:pos="4153"/>
        </w:tabs>
        <w:autoSpaceDE w:val="0"/>
        <w:autoSpaceDN w:val="0"/>
        <w:adjustRightInd w:val="0"/>
        <w:spacing w:before="165" w:after="0" w:line="500" w:lineRule="exact"/>
        <w:ind w:firstLine="720"/>
        <w:jc w:val="center"/>
        <w:outlineLvl w:val="0"/>
        <w:rPr>
          <w:rFonts w:ascii="宋体" w:hAnsi="宋体" w:eastAsia="宋体" w:cs="宋体"/>
          <w:b/>
          <w:bCs/>
          <w:color w:val="auto"/>
          <w:kern w:val="44"/>
          <w:sz w:val="44"/>
          <w:szCs w:val="21"/>
          <w:highlight w:val="none"/>
          <w:lang w:val="en-US" w:eastAsia="zh-CN" w:bidi="ar-SA"/>
        </w:rPr>
      </w:pPr>
      <w:r>
        <w:rPr>
          <w:rFonts w:hint="eastAsia" w:ascii="宋体" w:hAnsi="宋体" w:eastAsia="宋体" w:cs="宋体"/>
          <w:b/>
          <w:bCs w:val="0"/>
          <w:color w:val="auto"/>
          <w:kern w:val="0"/>
          <w:sz w:val="36"/>
          <w:szCs w:val="36"/>
          <w:highlight w:val="none"/>
          <w:lang w:val="en-US" w:eastAsia="zh-CN" w:bidi="ar-SA"/>
        </w:rPr>
        <w:t>（GXZC2024-G1-004138-KWZB）公开</w:t>
      </w:r>
      <w:r>
        <w:rPr>
          <w:rFonts w:hint="eastAsia" w:ascii="宋体" w:hAnsi="宋体" w:eastAsia="宋体" w:cs="宋体"/>
          <w:b/>
          <w:bCs w:val="0"/>
          <w:color w:val="auto"/>
          <w:kern w:val="2"/>
          <w:sz w:val="36"/>
          <w:szCs w:val="36"/>
          <w:highlight w:val="none"/>
          <w:lang w:val="en-US" w:eastAsia="zh-CN" w:bidi="ar-SA"/>
        </w:rPr>
        <w:t>招标公告</w:t>
      </w:r>
    </w:p>
    <w:p>
      <w:pPr>
        <w:spacing w:line="360" w:lineRule="auto"/>
        <w:rPr>
          <w:rFonts w:ascii="宋体" w:hAnsi="宋体" w:eastAsia="宋体" w:cs="宋体"/>
          <w:color w:val="auto"/>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u w:val="single"/>
        </w:rPr>
        <w:t>广西经贸职业技术学院五合新校区信息化建设项目-全光网络建设采购项目(有线+无线网络建设)</w:t>
      </w:r>
      <w:r>
        <w:rPr>
          <w:rFonts w:hint="eastAsia" w:ascii="宋体" w:hAnsi="宋体" w:eastAsia="宋体" w:cs="宋体"/>
          <w:color w:val="auto"/>
          <w:sz w:val="24"/>
          <w:highlight w:val="none"/>
        </w:rPr>
        <w:t>招标项目的潜在投标人应在广西政府采购云平台（</w:t>
      </w:r>
      <w:r>
        <w:rPr>
          <w:rFonts w:hint="eastAsia"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HYPERLINK "https://www.zcygov.cn/）获取（下载）招标文件，并于2023年" </w:instrText>
      </w:r>
      <w:r>
        <w:rPr>
          <w:rFonts w:hint="eastAsia" w:ascii="Times New Roman" w:hAnsi="Times New Roman" w:eastAsia="宋体" w:cs="Times New Roman"/>
          <w:color w:val="auto"/>
          <w:highlight w:val="none"/>
        </w:rPr>
        <w:fldChar w:fldCharType="separate"/>
      </w:r>
      <w:r>
        <w:rPr>
          <w:rStyle w:val="53"/>
          <w:rFonts w:hint="eastAsia" w:ascii="宋体" w:hAnsi="宋体" w:eastAsia="宋体" w:cs="宋体"/>
          <w:color w:val="auto"/>
          <w:sz w:val="24"/>
          <w:highlight w:val="none"/>
        </w:rPr>
        <w:t>https://www.gcy.zfcg.gxzf.gov.cn/）获取（下载）招标文件，并于</w:t>
      </w:r>
      <w:r>
        <w:rPr>
          <w:rStyle w:val="53"/>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lang w:eastAsia="zh-CN"/>
        </w:rPr>
        <w:t>2024年7月19日9时30分</w:t>
      </w:r>
      <w:r>
        <w:rPr>
          <w:rFonts w:hint="eastAsia" w:ascii="宋体" w:hAnsi="宋体" w:eastAsia="宋体" w:cs="宋体"/>
          <w:bCs/>
          <w:color w:val="auto"/>
          <w:sz w:val="24"/>
          <w:highlight w:val="none"/>
        </w:rPr>
        <w:t>（北京时间）前递交投标文件</w:t>
      </w:r>
      <w:r>
        <w:rPr>
          <w:rFonts w:hint="eastAsia" w:ascii="宋体" w:hAnsi="宋体" w:eastAsia="宋体" w:cs="宋体"/>
          <w:color w:val="auto"/>
          <w:sz w:val="24"/>
          <w:highlight w:val="none"/>
        </w:rPr>
        <w:t>。</w:t>
      </w:r>
    </w:p>
    <w:p>
      <w:pPr>
        <w:spacing w:line="360" w:lineRule="auto"/>
        <w:rPr>
          <w:rFonts w:ascii="宋体" w:hAnsi="宋体" w:eastAsia="宋体" w:cs="宋体"/>
          <w:color w:val="auto"/>
          <w:sz w:val="24"/>
          <w:highlight w:val="none"/>
        </w:rPr>
      </w:pPr>
    </w:p>
    <w:p>
      <w:pPr>
        <w:spacing w:line="360" w:lineRule="auto"/>
        <w:ind w:firstLine="480"/>
        <w:rPr>
          <w:rFonts w:ascii="宋体" w:hAnsi="宋体" w:eastAsia="宋体" w:cs="宋体"/>
          <w:b/>
          <w:bCs/>
          <w:color w:val="auto"/>
          <w:sz w:val="24"/>
          <w:highlight w:val="none"/>
        </w:rPr>
      </w:pPr>
      <w:bookmarkStart w:id="9" w:name="_Toc35393790"/>
      <w:bookmarkStart w:id="10" w:name="_Toc35393621"/>
      <w:bookmarkStart w:id="11" w:name="_Toc28359079"/>
      <w:bookmarkStart w:id="12" w:name="_Toc28359002"/>
      <w:bookmarkStart w:id="13" w:name="_Hlk24379207"/>
      <w:r>
        <w:rPr>
          <w:rFonts w:hint="eastAsia" w:ascii="宋体" w:hAnsi="宋体" w:eastAsia="宋体" w:cs="宋体"/>
          <w:b/>
          <w:bCs/>
          <w:color w:val="auto"/>
          <w:sz w:val="24"/>
          <w:highlight w:val="none"/>
        </w:rPr>
        <w:t>一、项目基本情况</w:t>
      </w:r>
      <w:bookmarkEnd w:id="9"/>
      <w:bookmarkEnd w:id="10"/>
      <w:bookmarkEnd w:id="11"/>
      <w:bookmarkEnd w:id="12"/>
    </w:p>
    <w:p>
      <w:pPr>
        <w:spacing w:line="360" w:lineRule="auto"/>
        <w:ind w:firstLine="480" w:firstLineChars="200"/>
        <w:rPr>
          <w:rFonts w:ascii="宋体" w:hAnsi="宋体" w:eastAsia="宋体" w:cs="宋体"/>
          <w:bCs/>
          <w:color w:val="auto"/>
          <w:sz w:val="24"/>
          <w:highlight w:val="none"/>
        </w:rPr>
      </w:pPr>
      <w:r>
        <w:rPr>
          <w:rFonts w:hint="eastAsia" w:ascii="宋体" w:hAnsi="宋体" w:eastAsia="宋体" w:cs="宋体"/>
          <w:color w:val="auto"/>
          <w:sz w:val="24"/>
          <w:highlight w:val="none"/>
        </w:rPr>
        <w:t>项目名称：广西经贸职业技术学院五合新校区信息化建设项目-全光网络建设采购项目(有线+无线网络建设)</w:t>
      </w:r>
      <w:r>
        <w:rPr>
          <w:rFonts w:ascii="宋体" w:hAnsi="宋体" w:eastAsia="宋体" w:cs="宋体"/>
          <w:bCs/>
          <w:color w:val="auto"/>
          <w:sz w:val="24"/>
          <w:highlight w:val="none"/>
        </w:rPr>
        <w:t xml:space="preserve"> </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项目编号：GXZC2024-G1-004138-KWZB</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采购计划编号：</w:t>
      </w:r>
      <w:bookmarkEnd w:id="13"/>
      <w:r>
        <w:rPr>
          <w:rFonts w:hint="eastAsia" w:ascii="宋体" w:hAnsi="宋体" w:eastAsia="宋体" w:cs="宋体"/>
          <w:color w:val="auto"/>
          <w:sz w:val="24"/>
          <w:highlight w:val="none"/>
        </w:rPr>
        <w:t>广西政采[2024]10742号-001</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广西政采[2024]10742号-002</w:t>
      </w:r>
    </w:p>
    <w:p>
      <w:pPr>
        <w:spacing w:line="360" w:lineRule="auto"/>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预算金额： 893.9055万元</w:t>
      </w:r>
    </w:p>
    <w:p>
      <w:pPr>
        <w:spacing w:line="360" w:lineRule="auto"/>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采购需求：</w:t>
      </w:r>
    </w:p>
    <w:tbl>
      <w:tblPr>
        <w:tblStyle w:val="47"/>
        <w:tblW w:w="9617" w:type="dxa"/>
        <w:tblInd w:w="93" w:type="dxa"/>
        <w:tblLayout w:type="fixed"/>
        <w:tblCellMar>
          <w:top w:w="0" w:type="dxa"/>
          <w:left w:w="108" w:type="dxa"/>
          <w:bottom w:w="0" w:type="dxa"/>
          <w:right w:w="108" w:type="dxa"/>
        </w:tblCellMar>
      </w:tblPr>
      <w:tblGrid>
        <w:gridCol w:w="489"/>
        <w:gridCol w:w="2430"/>
        <w:gridCol w:w="600"/>
        <w:gridCol w:w="660"/>
        <w:gridCol w:w="3990"/>
        <w:gridCol w:w="1448"/>
      </w:tblGrid>
      <w:tr>
        <w:trPr>
          <w:trHeight w:val="742"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序号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货物名称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数量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单位</w:t>
            </w:r>
          </w:p>
        </w:tc>
        <w:tc>
          <w:tcPr>
            <w:tcW w:w="399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技术参数及性能（配置）摘要</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预算单价（元）</w:t>
            </w:r>
          </w:p>
        </w:tc>
      </w:tr>
      <w:tr>
        <w:tblPrEx>
          <w:tblCellMar>
            <w:top w:w="0" w:type="dxa"/>
            <w:left w:w="108" w:type="dxa"/>
            <w:bottom w:w="0" w:type="dxa"/>
            <w:right w:w="108" w:type="dxa"/>
          </w:tblCellMar>
        </w:tblPrEx>
        <w:trPr>
          <w:trHeight w:val="190" w:hRule="atLeast"/>
        </w:trPr>
        <w:tc>
          <w:tcPr>
            <w:tcW w:w="41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一、校园网</w:t>
            </w:r>
          </w:p>
        </w:tc>
        <w:tc>
          <w:tcPr>
            <w:tcW w:w="3990"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s="Times New Roman"/>
                <w:color w:val="auto"/>
                <w:sz w:val="24"/>
                <w:highlight w:val="none"/>
              </w:rPr>
            </w:pPr>
          </w:p>
        </w:tc>
        <w:tc>
          <w:tcPr>
            <w:tcW w:w="1448"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color w:val="auto"/>
                <w:sz w:val="24"/>
                <w:highlight w:val="none"/>
              </w:rPr>
            </w:pP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无线控制器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套</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千兆电口数≥8，千兆光口数≥8个，万兆接口≥4个</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110620.00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核心交换机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交换容量≥645Tbps，包转发速率≥230000Mpps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182300.00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汇聚交换机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交换容量≥35Tbps，包转发率≥7000Mpps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29720.00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汇聚交换机（7号楼汇聚交换机）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交换容量≥4.6Tbps，包转发率≥2000Mpps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29720.00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光纤汇聚无源设备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114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设备的各光链路通道实现物理隔离，无分光，带宽1：1独享</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1900.00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汇聚交换机配套光模块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114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组</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光模块同时支持1311nm、1331nm、1431nm、1451nm、1551nm、1571nm等不同的工作波长</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4106.00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接入设备配套光模块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114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组</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包含8个2.5G单模光模块</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1110.00</w:t>
            </w:r>
          </w:p>
        </w:tc>
      </w:tr>
      <w:tr>
        <w:tblPrEx>
          <w:tblCellMar>
            <w:top w:w="0" w:type="dxa"/>
            <w:left w:w="108" w:type="dxa"/>
            <w:bottom w:w="0" w:type="dxa"/>
            <w:right w:w="108" w:type="dxa"/>
          </w:tblCellMar>
        </w:tblPrEx>
        <w:trPr>
          <w:trHeight w:val="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吸顶AP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699</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套</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提供≥1个1000M以太网端口、1个2.5G SFP光口</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763.00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高密AP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套</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支持802.11ax标准，整机支持≥10条流，整机接入速率≥8.5Gbps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2100.00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室外AP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套</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提供≥1个2.5G SFP光口、≥1个10/100/1000Base-T以太网接口</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1636.00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4口光面板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320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个</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支持标准的802.11ax标准，采用双射频设计，整机≥4条空间流</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662.00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8口光面板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个</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支持标准的802.11ax标准，采用双射频设计，整机≥4条空间流</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1400.00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24口交换机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交换容量≥3Tbps，包转发率≥120Mpps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2000.00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8口光交换机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提供10/100/1000M以太网电口≥8个，2.5G SFP光接口≥1个</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1391.00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8口万兆POE光交换机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交换容量≥430Gbps，包转发率≥80Mpps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2200.00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8口POE交换机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391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交换容量≥430Gbps，包转发率≥80Mpps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1660.00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SDN控制器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套</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SDN 控制器要求硬件和软件组合交付(硬件配置≥2颗8 核 CPU、≥64G 内存、≥2T 以上硬盘空间、≥2 个万兆光口)</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64800.00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2芯单模光纤跳线 10米-15米长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条</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插入损耗≤0.2dB。回波损耗≥50dB</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60.00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2芯单模光纤跳线 2米长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171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条</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插入损耗≤0.2dB。回波损耗≥50dB</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一光一电</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一光一电千兆单模单纤光收发</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200.00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4口光纤盒 含尾纤、耦合器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个</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含4芯熔接配线盘、LC适配器……</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80.00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48口光纤配线架 含尾纤、耦合器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架</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含48芯熔接配线盘、LC适配器……</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w:t>
            </w:r>
            <w:r>
              <w:rPr>
                <w:rFonts w:hint="eastAsia" w:ascii="Times New Roman" w:hAnsi="Times New Roman" w:eastAsia="宋体" w:cs="Times New Roman"/>
                <w:color w:val="auto"/>
                <w:sz w:val="24"/>
                <w:highlight w:val="none"/>
                <w:lang w:val="en-US" w:eastAsia="zh-CN"/>
              </w:rPr>
              <w:t>42.5</w:t>
            </w:r>
            <w:r>
              <w:rPr>
                <w:rFonts w:hint="eastAsia" w:ascii="Times New Roman" w:hAnsi="Times New Roman" w:eastAsia="宋体" w:cs="Times New Roman"/>
                <w:color w:val="auto"/>
                <w:sz w:val="24"/>
                <w:highlight w:val="none"/>
              </w:rPr>
              <w:t>0</w:t>
            </w:r>
          </w:p>
        </w:tc>
      </w:tr>
      <w:tr>
        <w:tblPrEx>
          <w:tblCellMar>
            <w:top w:w="0" w:type="dxa"/>
            <w:left w:w="108" w:type="dxa"/>
            <w:bottom w:w="0" w:type="dxa"/>
            <w:right w:w="108" w:type="dxa"/>
          </w:tblCellMar>
        </w:tblPrEx>
        <w:trPr>
          <w:trHeight w:val="535" w:hRule="atLeast"/>
        </w:trPr>
        <w:tc>
          <w:tcPr>
            <w:tcW w:w="96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二、学生宿舍网</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出口路由器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交换容量≥160Tbps，包转发率≥22000Mpps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127900.00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核心交换机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交换容量≥640Tbps，包转发速率≥230000Mpps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187500.00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认证计费系统开发接入服务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项</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MAC认证性能≥2500次/秒，IPOE认证性能≥1000次/秒</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51500.00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无线控制器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套</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千兆电口数≥8，千兆光口数≥8个，万兆接口≥4个</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110620.00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汇聚交换机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交换容量≥36Tbps，包转发率≥7100Mpps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27244.00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光纤汇聚无源设备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224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设备的各光链路通道实现物理隔离，无分光，带宽1：1独享</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1900.00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汇聚交换机配套光模块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224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组</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光模块同时支持1311nm、1331nm、1431nm、1451nm、1551nm、1571nm等不同的工作波长</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4106.00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接入设备配套光模块</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224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组</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包含≥8个2.5G单模光模块</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1110.00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吸顶AP</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套</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至少支持1个1000M以太网端口、1个2.5G SFP光口</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763.00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4口光面板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个</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支持标准的802.11ax标准，采用双射频设计，整机≥4条空间流</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662.00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8口光面板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1686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个</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配置≥1个2.5G以太网上联光口，≥8个1G以太网口下联电口</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1400.00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8口POE交换机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交换容量≥430Gbps，包转发率≥80Mpps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1660.00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2芯单模光纤跳线 10米-15米长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条</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插入损耗≤0.2dB。回波损耗≥50dB</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60.00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2芯单模光纤跳线 2米长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213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条</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插入损耗≤0.2dB。回波损耗≥50dB</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30.00</w:t>
            </w:r>
          </w:p>
        </w:tc>
      </w:tr>
      <w:tr>
        <w:tblPrEx>
          <w:tblCellMar>
            <w:top w:w="0" w:type="dxa"/>
            <w:left w:w="108" w:type="dxa"/>
            <w:bottom w:w="0" w:type="dxa"/>
            <w:right w:w="108" w:type="dxa"/>
          </w:tblCellMar>
        </w:tblPrEx>
        <w:trPr>
          <w:trHeight w:val="422" w:hRule="atLeast"/>
        </w:trPr>
        <w:tc>
          <w:tcPr>
            <w:tcW w:w="96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三、设备网</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核心交换机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交换容量≥80Tbps，包转发性能≥57000Mpps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126881.00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24口POE交换机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129</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交换容量≥330Gbps，包转发率≥50Mpps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3200.00</w:t>
            </w:r>
          </w:p>
        </w:tc>
      </w:tr>
      <w:tr>
        <w:tblPrEx>
          <w:tblCellMar>
            <w:top w:w="0" w:type="dxa"/>
            <w:left w:w="108" w:type="dxa"/>
            <w:bottom w:w="0" w:type="dxa"/>
            <w:right w:w="108" w:type="dxa"/>
          </w:tblCellMar>
        </w:tblPrEx>
        <w:trPr>
          <w:trHeight w:val="19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24口交换机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交换容量≥3Tbps，包转发率≥120Mpps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2000.00</w:t>
            </w:r>
          </w:p>
        </w:tc>
      </w:tr>
      <w:tr>
        <w:tblPrEx>
          <w:tblCellMar>
            <w:top w:w="0" w:type="dxa"/>
            <w:left w:w="108" w:type="dxa"/>
            <w:bottom w:w="0" w:type="dxa"/>
            <w:right w:w="108" w:type="dxa"/>
          </w:tblCellMar>
        </w:tblPrEx>
        <w:trPr>
          <w:trHeight w:val="374"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48口全光口交换机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交换容量≥670Gbps，包转发率≥200Mpps</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17000.00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2芯单模光纤跳线 10米-15米长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153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条</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插入损耗≤0.2dB。回波损耗≥50dB</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60.00</w:t>
            </w:r>
          </w:p>
        </w:tc>
      </w:tr>
      <w:tr>
        <w:tblPrEx>
          <w:tblCellMar>
            <w:top w:w="0" w:type="dxa"/>
            <w:left w:w="108" w:type="dxa"/>
            <w:bottom w:w="0" w:type="dxa"/>
            <w:right w:w="108" w:type="dxa"/>
          </w:tblCellMar>
        </w:tblPrEx>
        <w:trPr>
          <w:trHeight w:val="558"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2芯单模光纤跳线 2米长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153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条</w:t>
            </w:r>
          </w:p>
        </w:tc>
        <w:tc>
          <w:tcPr>
            <w:tcW w:w="399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插入损耗≤0.2dB。回波损耗≥50dB</w:t>
            </w:r>
          </w:p>
        </w:tc>
        <w:tc>
          <w:tcPr>
            <w:tcW w:w="144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30.00</w:t>
            </w:r>
          </w:p>
        </w:tc>
      </w:tr>
      <w:tr>
        <w:tblPrEx>
          <w:tblCellMar>
            <w:top w:w="0" w:type="dxa"/>
            <w:left w:w="108" w:type="dxa"/>
            <w:bottom w:w="0" w:type="dxa"/>
            <w:right w:w="108" w:type="dxa"/>
          </w:tblCellMar>
        </w:tblPrEx>
        <w:trPr>
          <w:trHeight w:val="196" w:hRule="atLeast"/>
        </w:trPr>
        <w:tc>
          <w:tcPr>
            <w:tcW w:w="48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right"/>
              <w:textAlignment w:val="center"/>
              <w:rPr>
                <w:rFonts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43</w:t>
            </w:r>
          </w:p>
        </w:tc>
        <w:tc>
          <w:tcPr>
            <w:tcW w:w="243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6U机柜</w:t>
            </w:r>
          </w:p>
        </w:tc>
        <w:tc>
          <w:tcPr>
            <w:tcW w:w="60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107</w:t>
            </w:r>
          </w:p>
        </w:tc>
        <w:tc>
          <w:tcPr>
            <w:tcW w:w="66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台</w:t>
            </w:r>
          </w:p>
        </w:tc>
        <w:tc>
          <w:tcPr>
            <w:tcW w:w="3990" w:type="dxa"/>
            <w:tcBorders>
              <w:top w:val="single" w:color="000000" w:sz="4" w:space="0"/>
              <w:left w:val="single" w:color="000000" w:sz="4" w:space="0"/>
              <w:bottom w:val="single" w:color="auto" w:sz="4" w:space="0"/>
              <w:right w:val="single" w:color="000000" w:sz="4" w:space="0"/>
            </w:tcBorders>
            <w:vAlign w:val="center"/>
          </w:tcPr>
          <w:p>
            <w:pP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IP20防护等级</w:t>
            </w:r>
          </w:p>
        </w:tc>
        <w:tc>
          <w:tcPr>
            <w:tcW w:w="1448"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367.50</w:t>
            </w:r>
          </w:p>
        </w:tc>
      </w:tr>
    </w:tbl>
    <w:p>
      <w:pPr>
        <w:spacing w:line="360" w:lineRule="auto"/>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详见第二章采购需求。</w:t>
      </w:r>
    </w:p>
    <w:p>
      <w:pPr>
        <w:spacing w:line="360" w:lineRule="auto"/>
        <w:ind w:firstLine="480" w:firstLineChars="200"/>
        <w:rPr>
          <w:rFonts w:ascii="宋体" w:hAnsi="宋体" w:eastAsia="宋体" w:cs="宋体"/>
          <w:bCs/>
          <w:color w:val="auto"/>
          <w:sz w:val="24"/>
          <w:highlight w:val="none"/>
        </w:rPr>
      </w:pPr>
      <w:r>
        <w:rPr>
          <w:rFonts w:hint="eastAsia" w:ascii="宋体" w:hAnsi="宋体" w:eastAsia="宋体" w:cs="宋体"/>
          <w:color w:val="auto"/>
          <w:sz w:val="24"/>
          <w:highlight w:val="none"/>
        </w:rPr>
        <w:t>合同履行期限：自签订合同之日起40日历日内完成到货清点、安装联网、调试验收合格，交付采购人使用。</w:t>
      </w:r>
    </w:p>
    <w:p>
      <w:pPr>
        <w:spacing w:line="360" w:lineRule="auto"/>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本项目是否接受联合体投标：否。</w:t>
      </w:r>
    </w:p>
    <w:p>
      <w:pPr>
        <w:spacing w:line="360" w:lineRule="auto"/>
        <w:ind w:firstLine="480"/>
        <w:rPr>
          <w:rFonts w:ascii="宋体" w:hAnsi="宋体" w:eastAsia="宋体" w:cs="宋体"/>
          <w:b/>
          <w:bCs/>
          <w:color w:val="auto"/>
          <w:sz w:val="24"/>
          <w:highlight w:val="none"/>
        </w:rPr>
      </w:pPr>
      <w:bookmarkStart w:id="14" w:name="_Toc28359003"/>
      <w:bookmarkStart w:id="15" w:name="_Toc28359080"/>
      <w:bookmarkStart w:id="16" w:name="_Toc35393791"/>
      <w:bookmarkStart w:id="17" w:name="_Toc35393622"/>
      <w:r>
        <w:rPr>
          <w:rFonts w:hint="eastAsia" w:ascii="宋体" w:hAnsi="宋体" w:eastAsia="宋体" w:cs="宋体"/>
          <w:b/>
          <w:bCs/>
          <w:color w:val="auto"/>
          <w:sz w:val="24"/>
          <w:highlight w:val="none"/>
        </w:rPr>
        <w:t>二、申请人的资格要求：</w:t>
      </w:r>
      <w:bookmarkEnd w:id="14"/>
      <w:bookmarkEnd w:id="15"/>
      <w:bookmarkEnd w:id="16"/>
      <w:bookmarkEnd w:id="17"/>
    </w:p>
    <w:p>
      <w:pPr>
        <w:spacing w:line="360" w:lineRule="auto"/>
        <w:ind w:firstLine="480" w:firstLineChars="200"/>
        <w:rPr>
          <w:rFonts w:ascii="宋体" w:hAnsi="宋体" w:eastAsia="宋体" w:cs="宋体"/>
          <w:color w:val="auto"/>
          <w:sz w:val="24"/>
          <w:highlight w:val="none"/>
        </w:rPr>
      </w:pPr>
      <w:bookmarkStart w:id="18" w:name="_Hlk51746371"/>
      <w:r>
        <w:rPr>
          <w:rFonts w:hint="eastAsia" w:ascii="宋体" w:hAnsi="宋体" w:eastAsia="宋体" w:cs="宋体"/>
          <w:color w:val="auto"/>
          <w:sz w:val="24"/>
          <w:highlight w:val="none"/>
        </w:rPr>
        <w:t>1.满足《中华人民共和国政府采购法》第二十二条规定；</w:t>
      </w:r>
    </w:p>
    <w:p>
      <w:pPr>
        <w:spacing w:line="360" w:lineRule="auto"/>
        <w:ind w:firstLine="480" w:firstLineChars="200"/>
        <w:rPr>
          <w:rFonts w:ascii="宋体" w:hAnsi="宋体" w:eastAsia="宋体" w:cs="Times New Roman"/>
          <w:color w:val="auto"/>
          <w:sz w:val="24"/>
          <w:highlight w:val="none"/>
        </w:rPr>
      </w:pPr>
      <w:bookmarkStart w:id="19" w:name="_Toc28359004"/>
      <w:bookmarkStart w:id="20" w:name="_Toc28359081"/>
      <w:r>
        <w:rPr>
          <w:rFonts w:hint="eastAsia" w:ascii="宋体" w:hAnsi="宋体" w:eastAsia="宋体" w:cs="宋体"/>
          <w:color w:val="auto"/>
          <w:sz w:val="24"/>
          <w:highlight w:val="none"/>
        </w:rPr>
        <w:t>2.落实政府采购政策需满足的资格要求：非</w:t>
      </w:r>
      <w:r>
        <w:rPr>
          <w:rFonts w:hint="eastAsia" w:ascii="宋体" w:hAnsi="宋体" w:eastAsia="宋体" w:cs="Times New Roman"/>
          <w:color w:val="auto"/>
          <w:sz w:val="24"/>
          <w:highlight w:val="none"/>
        </w:rPr>
        <w:t>专门面向中小企业采购；</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3.本项目的特定资格要求：</w:t>
      </w:r>
      <w:bookmarkEnd w:id="18"/>
      <w:r>
        <w:rPr>
          <w:rFonts w:hint="eastAsia" w:ascii="宋体" w:hAnsi="宋体" w:eastAsia="宋体" w:cs="宋体"/>
          <w:color w:val="auto"/>
          <w:sz w:val="24"/>
          <w:highlight w:val="none"/>
        </w:rPr>
        <w:t>无。</w:t>
      </w:r>
    </w:p>
    <w:p>
      <w:pPr>
        <w:spacing w:line="360" w:lineRule="auto"/>
        <w:ind w:firstLine="480"/>
        <w:rPr>
          <w:rFonts w:ascii="宋体" w:hAnsi="宋体" w:eastAsia="宋体" w:cs="宋体"/>
          <w:b/>
          <w:bCs/>
          <w:color w:val="auto"/>
          <w:sz w:val="24"/>
          <w:highlight w:val="none"/>
        </w:rPr>
      </w:pPr>
      <w:bookmarkStart w:id="21" w:name="_Toc35393792"/>
      <w:bookmarkStart w:id="22" w:name="_Toc35393623"/>
      <w:r>
        <w:rPr>
          <w:rFonts w:hint="eastAsia" w:ascii="宋体" w:hAnsi="宋体" w:eastAsia="宋体" w:cs="宋体"/>
          <w:b/>
          <w:bCs/>
          <w:color w:val="auto"/>
          <w:sz w:val="24"/>
          <w:highlight w:val="none"/>
        </w:rPr>
        <w:t>三、获取招标文件</w:t>
      </w:r>
      <w:bookmarkEnd w:id="19"/>
      <w:bookmarkEnd w:id="20"/>
      <w:bookmarkEnd w:id="21"/>
      <w:bookmarkEnd w:id="22"/>
    </w:p>
    <w:p>
      <w:pPr>
        <w:spacing w:line="360" w:lineRule="auto"/>
        <w:ind w:firstLine="480" w:firstLineChars="200"/>
        <w:rPr>
          <w:rFonts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时间：2024年</w:t>
      </w:r>
      <w:r>
        <w:rPr>
          <w:rFonts w:hint="eastAsia" w:ascii="宋体" w:hAnsi="宋体" w:eastAsia="宋体" w:cs="宋体"/>
          <w:color w:val="auto"/>
          <w:sz w:val="24"/>
          <w:highlight w:val="none"/>
          <w:lang w:val="en-US" w:eastAsia="zh-CN"/>
        </w:rPr>
        <w:t>6</w:t>
      </w:r>
      <w:r>
        <w:rPr>
          <w:rFonts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28</w:t>
      </w:r>
      <w:r>
        <w:rPr>
          <w:rFonts w:ascii="宋体" w:hAnsi="宋体" w:eastAsia="宋体" w:cs="宋体"/>
          <w:color w:val="auto"/>
          <w:sz w:val="24"/>
          <w:highlight w:val="none"/>
        </w:rPr>
        <w:t>日至</w:t>
      </w:r>
      <w:r>
        <w:rPr>
          <w:rFonts w:hint="eastAsia" w:ascii="宋体" w:hAnsi="宋体" w:eastAsia="宋体" w:cs="宋体"/>
          <w:color w:val="auto"/>
          <w:sz w:val="24"/>
          <w:highlight w:val="none"/>
        </w:rPr>
        <w:t>2024年</w:t>
      </w:r>
      <w:r>
        <w:rPr>
          <w:rFonts w:hint="eastAsia" w:ascii="宋体" w:hAnsi="宋体" w:eastAsia="宋体" w:cs="宋体"/>
          <w:color w:val="auto"/>
          <w:sz w:val="24"/>
          <w:highlight w:val="none"/>
          <w:lang w:val="en-US" w:eastAsia="zh-CN"/>
        </w:rPr>
        <w:t>7</w:t>
      </w:r>
      <w:r>
        <w:rPr>
          <w:rFonts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5</w:t>
      </w:r>
      <w:r>
        <w:rPr>
          <w:rFonts w:ascii="宋体" w:hAnsi="宋体" w:eastAsia="宋体" w:cs="宋体"/>
          <w:color w:val="auto"/>
          <w:sz w:val="24"/>
          <w:highlight w:val="none"/>
        </w:rPr>
        <w:t>日</w:t>
      </w:r>
      <w:r>
        <w:rPr>
          <w:rFonts w:hint="eastAsia" w:ascii="宋体" w:hAnsi="宋体" w:eastAsia="宋体" w:cs="宋体"/>
          <w:color w:val="auto"/>
          <w:sz w:val="24"/>
          <w:highlight w:val="none"/>
        </w:rPr>
        <w:t>，</w:t>
      </w:r>
      <w:r>
        <w:rPr>
          <w:rFonts w:ascii="宋体" w:hAnsi="宋体" w:eastAsia="宋体" w:cs="宋体"/>
          <w:color w:val="auto"/>
          <w:sz w:val="24"/>
          <w:highlight w:val="none"/>
        </w:rPr>
        <w:t>每天上午00</w:t>
      </w:r>
      <w:r>
        <w:rPr>
          <w:rFonts w:hint="eastAsia" w:ascii="宋体" w:hAnsi="宋体" w:eastAsia="宋体" w:cs="宋体"/>
          <w:color w:val="auto"/>
          <w:sz w:val="24"/>
          <w:highlight w:val="none"/>
        </w:rPr>
        <w:t>:</w:t>
      </w:r>
      <w:r>
        <w:rPr>
          <w:rFonts w:ascii="宋体" w:hAnsi="宋体" w:eastAsia="宋体" w:cs="宋体"/>
          <w:color w:val="auto"/>
          <w:sz w:val="24"/>
          <w:highlight w:val="none"/>
        </w:rPr>
        <w:t>00至12</w:t>
      </w:r>
      <w:r>
        <w:rPr>
          <w:rFonts w:hint="eastAsia" w:ascii="宋体" w:hAnsi="宋体" w:eastAsia="宋体" w:cs="宋体"/>
          <w:color w:val="auto"/>
          <w:sz w:val="24"/>
          <w:highlight w:val="none"/>
        </w:rPr>
        <w:t>:</w:t>
      </w:r>
      <w:r>
        <w:rPr>
          <w:rFonts w:ascii="宋体" w:hAnsi="宋体" w:eastAsia="宋体" w:cs="宋体"/>
          <w:color w:val="auto"/>
          <w:sz w:val="24"/>
          <w:highlight w:val="none"/>
        </w:rPr>
        <w:t>00 ，下午12</w:t>
      </w:r>
      <w:r>
        <w:rPr>
          <w:rFonts w:hint="eastAsia" w:ascii="宋体" w:hAnsi="宋体" w:eastAsia="宋体" w:cs="宋体"/>
          <w:color w:val="auto"/>
          <w:sz w:val="24"/>
          <w:highlight w:val="none"/>
        </w:rPr>
        <w:t>:</w:t>
      </w:r>
      <w:r>
        <w:rPr>
          <w:rFonts w:ascii="宋体" w:hAnsi="宋体" w:eastAsia="宋体" w:cs="宋体"/>
          <w:color w:val="auto"/>
          <w:sz w:val="24"/>
          <w:highlight w:val="none"/>
        </w:rPr>
        <w:t>00至23</w:t>
      </w:r>
      <w:r>
        <w:rPr>
          <w:rFonts w:hint="eastAsia" w:ascii="宋体" w:hAnsi="宋体" w:eastAsia="宋体" w:cs="宋体"/>
          <w:color w:val="auto"/>
          <w:sz w:val="24"/>
          <w:highlight w:val="none"/>
        </w:rPr>
        <w:t>:</w:t>
      </w:r>
      <w:r>
        <w:rPr>
          <w:rFonts w:ascii="宋体" w:hAnsi="宋体" w:eastAsia="宋体" w:cs="宋体"/>
          <w:color w:val="auto"/>
          <w:sz w:val="24"/>
          <w:highlight w:val="none"/>
        </w:rPr>
        <w:t>59</w:t>
      </w:r>
      <w:r>
        <w:rPr>
          <w:rFonts w:hint="eastAsia" w:ascii="宋体" w:hAnsi="宋体" w:eastAsia="宋体" w:cs="宋体"/>
          <w:color w:val="auto"/>
          <w:sz w:val="24"/>
          <w:highlight w:val="none"/>
        </w:rPr>
        <w:t>（北京时间，法定节假日除外）</w:t>
      </w:r>
    </w:p>
    <w:p>
      <w:pPr>
        <w:spacing w:line="360" w:lineRule="auto"/>
        <w:ind w:firstLine="480" w:firstLineChars="200"/>
        <w:rPr>
          <w:rFonts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地点：广西政府采购云平台（https://www.gcy.zfcg.gxzf.gov.cn/）</w:t>
      </w:r>
    </w:p>
    <w:p>
      <w:pPr>
        <w:spacing w:line="360" w:lineRule="auto"/>
        <w:ind w:firstLine="480" w:firstLineChars="200"/>
        <w:rPr>
          <w:rFonts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方式：网上下载。本项目不发放纸质文件，供应商应自行在</w:t>
      </w:r>
      <w:r>
        <w:rPr>
          <w:rFonts w:ascii="Times New Roman" w:hAnsi="Times New Roman" w:eastAsia="宋体" w:cs="Times New Roman"/>
          <w:color w:val="auto"/>
          <w:highlight w:val="none"/>
        </w:rPr>
        <w:fldChar w:fldCharType="begin"/>
      </w:r>
      <w:r>
        <w:rPr>
          <w:rFonts w:ascii="Times New Roman" w:hAnsi="Times New Roman" w:eastAsia="宋体" w:cs="Times New Roman"/>
          <w:color w:val="auto"/>
          <w:highlight w:val="none"/>
        </w:rPr>
        <w:instrText xml:space="preserve"> HYPERLINK </w:instrText>
      </w:r>
      <w:r>
        <w:rPr>
          <w:rFonts w:ascii="Times New Roman" w:hAnsi="Times New Roman" w:eastAsia="宋体" w:cs="Times New Roman"/>
          <w:color w:val="auto"/>
          <w:highlight w:val="none"/>
        </w:rPr>
        <w:fldChar w:fldCharType="end"/>
      </w:r>
      <w:r>
        <w:rPr>
          <w:rFonts w:hint="eastAsia" w:ascii="宋体" w:hAnsi="宋体" w:eastAsia="宋体" w:cs="宋体"/>
          <w:bCs/>
          <w:color w:val="auto"/>
          <w:kern w:val="0"/>
          <w:sz w:val="24"/>
          <w:highlight w:val="none"/>
        </w:rPr>
        <w:t>广西政府采购云平台（https://www.gcy.zfcg.gxzf.gov.cn/）下载招标文件（操作路径：登录广西政府采购云平台-项目采购-获取采购文件-找到本项目-点击“申请获取采购文件”），电子投标文件制作需要基于广西政府采购云平台获取的招标文件编制，通过其他方式获取招标文件的，将有可能导致供应商无法在广西政府采购云平台编制及上传投标文件。</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bCs/>
          <w:color w:val="auto"/>
          <w:kern w:val="0"/>
          <w:sz w:val="24"/>
          <w:highlight w:val="none"/>
        </w:rPr>
        <w:t>售价：0元。</w:t>
      </w:r>
    </w:p>
    <w:p>
      <w:pPr>
        <w:spacing w:line="360" w:lineRule="auto"/>
        <w:ind w:firstLine="480"/>
        <w:rPr>
          <w:rFonts w:ascii="宋体" w:hAnsi="宋体" w:eastAsia="宋体" w:cs="宋体"/>
          <w:b/>
          <w:bCs/>
          <w:color w:val="auto"/>
          <w:sz w:val="24"/>
          <w:highlight w:val="none"/>
        </w:rPr>
      </w:pPr>
      <w:bookmarkStart w:id="23" w:name="_Toc28359082"/>
      <w:bookmarkStart w:id="24" w:name="_Toc28359005"/>
      <w:bookmarkStart w:id="25" w:name="_Toc35393793"/>
      <w:bookmarkStart w:id="26" w:name="_Toc35393624"/>
      <w:r>
        <w:rPr>
          <w:rFonts w:hint="eastAsia" w:ascii="宋体" w:hAnsi="宋体" w:eastAsia="宋体" w:cs="宋体"/>
          <w:b/>
          <w:bCs/>
          <w:color w:val="auto"/>
          <w:sz w:val="24"/>
          <w:highlight w:val="none"/>
        </w:rPr>
        <w:t>四、提交投标文件</w:t>
      </w:r>
      <w:bookmarkEnd w:id="23"/>
      <w:bookmarkEnd w:id="24"/>
      <w:r>
        <w:rPr>
          <w:rFonts w:hint="eastAsia" w:ascii="宋体" w:hAnsi="宋体" w:eastAsia="宋体" w:cs="宋体"/>
          <w:b/>
          <w:bCs/>
          <w:color w:val="auto"/>
          <w:sz w:val="24"/>
          <w:highlight w:val="none"/>
        </w:rPr>
        <w:t>截止时间、开标时间和地点</w:t>
      </w:r>
      <w:bookmarkEnd w:id="25"/>
      <w:bookmarkEnd w:id="26"/>
    </w:p>
    <w:p>
      <w:pPr>
        <w:spacing w:line="360" w:lineRule="auto"/>
        <w:ind w:firstLine="480" w:firstLineChars="200"/>
        <w:rPr>
          <w:rFonts w:ascii="宋体" w:hAnsi="宋体" w:eastAsia="宋体" w:cs="宋体"/>
          <w:color w:val="auto"/>
          <w:sz w:val="24"/>
          <w:highlight w:val="none"/>
        </w:rPr>
      </w:pPr>
      <w:bookmarkStart w:id="27" w:name="_Toc28359084"/>
      <w:bookmarkStart w:id="28" w:name="_Toc35393625"/>
      <w:bookmarkStart w:id="29" w:name="_Toc28359007"/>
      <w:bookmarkStart w:id="30" w:name="_Toc35393794"/>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bidi="ar"/>
        </w:rPr>
        <w:t>截止时间、开标时间</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2024年7月19日9时30分</w:t>
      </w:r>
      <w:r>
        <w:rPr>
          <w:rFonts w:hint="eastAsia" w:ascii="宋体" w:hAnsi="宋体" w:eastAsia="宋体" w:cs="宋体"/>
          <w:color w:val="auto"/>
          <w:sz w:val="24"/>
          <w:highlight w:val="none"/>
        </w:rPr>
        <w:t>（北京时间）</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2.地点：</w:t>
      </w:r>
      <w:r>
        <w:rPr>
          <w:rFonts w:hint="eastAsia" w:ascii="宋体" w:hAnsi="宋体" w:eastAsia="宋体" w:cs="宋体"/>
          <w:color w:val="auto"/>
          <w:sz w:val="24"/>
          <w:highlight w:val="none"/>
          <w:lang w:bidi="ar"/>
        </w:rPr>
        <w:t>本项目将在广西政府采购云平台电子开标大厅解密、开标。</w:t>
      </w:r>
    </w:p>
    <w:p>
      <w:pPr>
        <w:spacing w:line="360" w:lineRule="auto"/>
        <w:ind w:firstLine="480"/>
        <w:rPr>
          <w:rFonts w:ascii="宋体" w:hAnsi="宋体" w:eastAsia="宋体" w:cs="宋体"/>
          <w:b/>
          <w:bCs/>
          <w:color w:val="auto"/>
          <w:sz w:val="24"/>
          <w:highlight w:val="none"/>
        </w:rPr>
      </w:pPr>
      <w:r>
        <w:rPr>
          <w:rFonts w:hint="eastAsia" w:ascii="宋体" w:hAnsi="宋体" w:eastAsia="宋体" w:cs="宋体"/>
          <w:b/>
          <w:bCs/>
          <w:color w:val="auto"/>
          <w:sz w:val="24"/>
          <w:highlight w:val="none"/>
        </w:rPr>
        <w:t>五、公告期限</w:t>
      </w:r>
      <w:bookmarkEnd w:id="27"/>
      <w:bookmarkEnd w:id="28"/>
      <w:bookmarkEnd w:id="29"/>
      <w:bookmarkEnd w:id="30"/>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自本公告发布之日起5个工作日。</w:t>
      </w:r>
    </w:p>
    <w:p>
      <w:pPr>
        <w:spacing w:line="360" w:lineRule="auto"/>
        <w:ind w:firstLine="480"/>
        <w:rPr>
          <w:rFonts w:ascii="宋体" w:hAnsi="宋体" w:eastAsia="宋体" w:cs="宋体"/>
          <w:b/>
          <w:bCs/>
          <w:color w:val="auto"/>
          <w:sz w:val="24"/>
          <w:highlight w:val="none"/>
        </w:rPr>
      </w:pPr>
      <w:bookmarkStart w:id="31" w:name="_Hlk37429674"/>
      <w:r>
        <w:rPr>
          <w:rFonts w:hint="eastAsia" w:ascii="宋体" w:hAnsi="宋体" w:eastAsia="宋体" w:cs="宋体"/>
          <w:b/>
          <w:bCs/>
          <w:color w:val="auto"/>
          <w:sz w:val="24"/>
          <w:highlight w:val="none"/>
        </w:rPr>
        <w:t>六、其他补充事宜：</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2.根据财政部《关于在政府采购活动中查询及使用信用记录有关问题的通知》（财库〔2016〕125号）的规定，对在“信用中国”网站(www.creditchina.gov.cn)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3.网上查询地址：中国政府采购网（www.ccgp.gov.cn）、广西政府采购网（zfcg.gxzf.gov.cn），广西公共资源交易中心网站（http://gxggzy.gxzf.gov.cn）。</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4.本项目需要落实的政府采购政策：</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（1）政府采购促进中小企业发展。</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（2）政府采购支持采用本国产品的政策。</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（3）强制采购节能产品；优先采购节能产品、环境标志产品。</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（4）政府采购促进残疾人就业政策。</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（5）政府采购支持监狱企业发展。</w:t>
      </w:r>
    </w:p>
    <w:p>
      <w:pPr>
        <w:widowControl/>
        <w:spacing w:line="360" w:lineRule="auto"/>
        <w:ind w:firstLine="480" w:firstLineChars="20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5.投标注意事项：</w:t>
      </w:r>
    </w:p>
    <w:p>
      <w:pPr>
        <w:widowControl/>
        <w:spacing w:line="360" w:lineRule="auto"/>
        <w:ind w:firstLine="480" w:firstLineChars="200"/>
        <w:rPr>
          <w:rFonts w:ascii="宋体" w:hAnsi="宋体" w:eastAsia="宋体" w:cs="宋体"/>
          <w:bCs/>
          <w:color w:val="auto"/>
          <w:sz w:val="24"/>
          <w:highlight w:val="none"/>
        </w:rPr>
      </w:pPr>
      <w:r>
        <w:rPr>
          <w:rFonts w:hint="eastAsia" w:ascii="宋体" w:hAnsi="宋体" w:eastAsia="宋体" w:cs="宋体"/>
          <w:color w:val="auto"/>
          <w:sz w:val="24"/>
          <w:highlight w:val="none"/>
          <w:lang w:bidi="ar"/>
        </w:rPr>
        <w:t>（1）投标文件提交方式：本项目为全流程电子化政府采购项目，通过广西政府采购云平台（https://www.gcy.zfcg.gxzf.gov.cn/）实行在线电子投标，供应商应先安装“广西政府采购云平台电子交易客户端”（请自行前往广西政府采购云平台进行下载），并按照本项目招标文件和广西政府采购云平台的要求编制、加密后在投标截止时间前通过网络上传至广西政府采购云平台，</w:t>
      </w:r>
      <w:r>
        <w:rPr>
          <w:rFonts w:hint="eastAsia" w:ascii="宋体" w:hAnsi="宋体" w:eastAsia="宋体" w:cs="宋体"/>
          <w:b/>
          <w:color w:val="auto"/>
          <w:sz w:val="24"/>
          <w:highlight w:val="none"/>
          <w:lang w:bidi="ar"/>
        </w:rPr>
        <w:t>供应商在广西政府采购云平台提交电子版投标文件时，请填写参加远程开标活动经办人联系方式。</w:t>
      </w:r>
    </w:p>
    <w:p>
      <w:pPr>
        <w:widowControl/>
        <w:spacing w:line="360" w:lineRule="auto"/>
        <w:ind w:firstLine="480" w:firstLineChars="200"/>
        <w:rPr>
          <w:rFonts w:ascii="宋体" w:hAnsi="宋体" w:eastAsia="宋体" w:cs="宋体"/>
          <w:color w:val="auto"/>
          <w:sz w:val="24"/>
          <w:highlight w:val="none"/>
          <w:lang w:bidi="ar"/>
        </w:rPr>
      </w:pPr>
      <w:r>
        <w:rPr>
          <w:rFonts w:hint="eastAsia" w:ascii="宋体" w:hAnsi="宋体" w:eastAsia="宋体" w:cs="宋体"/>
          <w:color w:val="auto"/>
          <w:sz w:val="24"/>
          <w:highlight w:val="none"/>
          <w:lang w:bidi="ar"/>
        </w:rPr>
        <w:t>（2）供应商应及时熟悉掌握电子标系统操作指南（见广西政府采购云平台电子卖场首页右上角—服务中心—帮助文档—项目采购）；及时完成CA申领和绑定（见广西壮族自治区政府采购网—办事服务—下载专区-广西政府采购云平台CA证书办理操作指南）。</w:t>
      </w:r>
    </w:p>
    <w:p>
      <w:pPr>
        <w:widowControl/>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lang w:bidi="ar"/>
        </w:rPr>
        <w:t>（3）未进行网上注册并办理数字证书（CA认证）的供应商将无法参与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w:t>
      </w:r>
    </w:p>
    <w:p>
      <w:pPr>
        <w:widowControl/>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lang w:bidi="ar"/>
        </w:rPr>
        <w:t>（4）为确保网上操作合法、有效和安全，请投标人确保在电子投标过程中能够对相关数据电文进行加密和使用电子签章，妥善保管CA数字证书并使用有效的CA数字证书参与整个采购活动。</w:t>
      </w:r>
    </w:p>
    <w:p>
      <w:pPr>
        <w:widowControl/>
        <w:spacing w:line="360" w:lineRule="auto"/>
        <w:ind w:firstLine="482" w:firstLineChars="200"/>
        <w:rPr>
          <w:rFonts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广西政府采购云平台将予以拒收。</w:t>
      </w:r>
    </w:p>
    <w:p>
      <w:pPr>
        <w:widowControl/>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sz w:val="24"/>
          <w:highlight w:val="none"/>
          <w:lang w:bidi="ar"/>
        </w:rPr>
        <w:t>6.CA证书在线解密：供应商投标文件中，需携带制作投标文件时用来加</w:t>
      </w:r>
      <w:r>
        <w:rPr>
          <w:rFonts w:hint="eastAsia" w:ascii="宋体" w:hAnsi="宋体" w:eastAsia="宋体" w:cs="宋体"/>
          <w:color w:val="auto"/>
          <w:kern w:val="0"/>
          <w:sz w:val="24"/>
          <w:highlight w:val="none"/>
          <w:lang w:bidi="ar"/>
        </w:rPr>
        <w:t>密的有效数字证书（CA认证）登录广西政府采购云平台电子开标大厅现场按规定时间对加密的投标文件进行解密，否则后果自负。</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7.若对项目采购电子交易系统操作有疑问，可登录广西政府采购云平台（https://www.gcy.zfcg.gxzf.gov.cn/），点击右侧咨询小采，获取采小蜜智能服务管家帮助，或拨打广西政府采购云平台服务热线</w:t>
      </w:r>
      <w:r>
        <w:rPr>
          <w:rFonts w:ascii="宋体" w:hAnsi="宋体" w:eastAsia="宋体" w:cs="宋体"/>
          <w:color w:val="auto"/>
          <w:kern w:val="0"/>
          <w:sz w:val="24"/>
          <w:highlight w:val="none"/>
        </w:rPr>
        <w:t>95763</w:t>
      </w:r>
      <w:r>
        <w:rPr>
          <w:rFonts w:hint="eastAsia" w:ascii="宋体" w:hAnsi="宋体" w:eastAsia="宋体" w:cs="宋体"/>
          <w:color w:val="auto"/>
          <w:kern w:val="0"/>
          <w:sz w:val="24"/>
          <w:highlight w:val="none"/>
        </w:rPr>
        <w:t>获取热线服务帮助。</w:t>
      </w:r>
      <w:bookmarkEnd w:id="31"/>
    </w:p>
    <w:p>
      <w:pPr>
        <w:spacing w:line="360" w:lineRule="auto"/>
        <w:ind w:firstLine="480"/>
        <w:rPr>
          <w:rFonts w:ascii="宋体" w:hAnsi="宋体" w:eastAsia="宋体" w:cs="宋体"/>
          <w:b/>
          <w:bCs/>
          <w:color w:val="auto"/>
          <w:sz w:val="24"/>
          <w:highlight w:val="none"/>
        </w:rPr>
      </w:pPr>
      <w:bookmarkStart w:id="32" w:name="_Toc35393627"/>
      <w:bookmarkStart w:id="33" w:name="_Toc28359008"/>
      <w:bookmarkStart w:id="34" w:name="_Toc28359085"/>
      <w:bookmarkStart w:id="35" w:name="_Toc35393796"/>
      <w:r>
        <w:rPr>
          <w:rFonts w:hint="eastAsia" w:ascii="宋体" w:hAnsi="宋体" w:eastAsia="宋体" w:cs="宋体"/>
          <w:b/>
          <w:bCs/>
          <w:color w:val="auto"/>
          <w:sz w:val="24"/>
          <w:highlight w:val="none"/>
        </w:rPr>
        <w:t>七、对本次招标提出询问，请按以下方式联系。</w:t>
      </w:r>
      <w:bookmarkEnd w:id="32"/>
      <w:bookmarkEnd w:id="33"/>
      <w:bookmarkEnd w:id="34"/>
      <w:bookmarkEnd w:id="35"/>
    </w:p>
    <w:p>
      <w:pPr>
        <w:spacing w:line="360" w:lineRule="auto"/>
        <w:ind w:firstLine="648" w:firstLineChars="270"/>
        <w:jc w:val="left"/>
        <w:rPr>
          <w:rFonts w:ascii="宋体" w:hAnsi="宋体" w:eastAsia="宋体" w:cs="宋体"/>
          <w:color w:val="auto"/>
          <w:sz w:val="24"/>
          <w:highlight w:val="none"/>
        </w:rPr>
      </w:pPr>
      <w:r>
        <w:rPr>
          <w:rFonts w:hint="eastAsia" w:ascii="宋体" w:hAnsi="宋体" w:eastAsia="宋体" w:cs="宋体"/>
          <w:color w:val="auto"/>
          <w:sz w:val="24"/>
          <w:highlight w:val="none"/>
        </w:rPr>
        <w:t>1.采购人信息</w:t>
      </w:r>
    </w:p>
    <w:p>
      <w:pPr>
        <w:spacing w:line="360" w:lineRule="auto"/>
        <w:ind w:firstLine="648" w:firstLineChars="270"/>
        <w:jc w:val="left"/>
        <w:rPr>
          <w:rFonts w:ascii="宋体" w:hAnsi="宋体" w:eastAsia="宋体" w:cs="宋体"/>
          <w:color w:val="auto"/>
          <w:sz w:val="24"/>
          <w:highlight w:val="none"/>
        </w:rPr>
      </w:pPr>
      <w:r>
        <w:rPr>
          <w:rFonts w:hint="eastAsia" w:ascii="宋体" w:hAnsi="宋体" w:eastAsia="宋体" w:cs="宋体"/>
          <w:color w:val="auto"/>
          <w:sz w:val="24"/>
          <w:highlight w:val="none"/>
        </w:rPr>
        <w:t xml:space="preserve">名称：广西经贸职业技术学院          </w:t>
      </w:r>
    </w:p>
    <w:p>
      <w:pPr>
        <w:spacing w:line="360" w:lineRule="auto"/>
        <w:ind w:firstLine="648" w:firstLineChars="270"/>
        <w:jc w:val="left"/>
        <w:rPr>
          <w:rFonts w:ascii="宋体" w:hAnsi="宋体" w:eastAsia="宋体" w:cs="宋体"/>
          <w:color w:val="auto"/>
          <w:sz w:val="24"/>
          <w:highlight w:val="none"/>
        </w:rPr>
      </w:pPr>
      <w:r>
        <w:rPr>
          <w:rFonts w:hint="eastAsia" w:ascii="宋体" w:hAnsi="宋体" w:eastAsia="宋体" w:cs="宋体"/>
          <w:color w:val="auto"/>
          <w:sz w:val="24"/>
          <w:highlight w:val="none"/>
        </w:rPr>
        <w:t>地址：广西南宁市青秀区公青山路14号</w:t>
      </w:r>
    </w:p>
    <w:p>
      <w:pPr>
        <w:spacing w:line="360" w:lineRule="auto"/>
        <w:ind w:firstLine="648" w:firstLineChars="270"/>
        <w:jc w:val="left"/>
        <w:rPr>
          <w:rFonts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val="en-US" w:eastAsia="zh-CN"/>
        </w:rPr>
        <w:t>刘始添</w:t>
      </w:r>
      <w:r>
        <w:rPr>
          <w:rFonts w:hint="eastAsia" w:ascii="宋体" w:hAnsi="宋体" w:eastAsia="宋体" w:cs="宋体"/>
          <w:color w:val="auto"/>
          <w:sz w:val="24"/>
          <w:highlight w:val="none"/>
        </w:rPr>
        <w:t xml:space="preserve">          联系电话：0771-5714002</w:t>
      </w:r>
    </w:p>
    <w:p>
      <w:pPr>
        <w:spacing w:line="360" w:lineRule="auto"/>
        <w:ind w:firstLine="648" w:firstLineChars="270"/>
        <w:jc w:val="left"/>
        <w:rPr>
          <w:rFonts w:ascii="宋体" w:hAnsi="宋体" w:eastAsia="宋体" w:cs="宋体"/>
          <w:color w:val="auto"/>
          <w:sz w:val="24"/>
          <w:highlight w:val="none"/>
        </w:rPr>
      </w:pPr>
      <w:r>
        <w:rPr>
          <w:rFonts w:hint="eastAsia" w:ascii="宋体" w:hAnsi="宋体" w:eastAsia="宋体" w:cs="宋体"/>
          <w:color w:val="auto"/>
          <w:sz w:val="24"/>
          <w:highlight w:val="none"/>
        </w:rPr>
        <w:t>2.采购代理机构信息</w:t>
      </w:r>
    </w:p>
    <w:p>
      <w:pPr>
        <w:spacing w:line="360" w:lineRule="auto"/>
        <w:ind w:firstLine="648" w:firstLineChars="270"/>
        <w:rPr>
          <w:rFonts w:ascii="宋体" w:hAnsi="宋体" w:eastAsia="宋体" w:cs="宋体"/>
          <w:color w:val="auto"/>
          <w:sz w:val="24"/>
          <w:highlight w:val="none"/>
        </w:rPr>
      </w:pPr>
      <w:bookmarkStart w:id="36" w:name="_Toc28359010"/>
      <w:bookmarkStart w:id="37" w:name="_Toc28359087"/>
      <w:r>
        <w:rPr>
          <w:rFonts w:hint="eastAsia" w:ascii="宋体" w:hAnsi="宋体" w:eastAsia="宋体" w:cs="宋体"/>
          <w:color w:val="auto"/>
          <w:sz w:val="24"/>
          <w:highlight w:val="none"/>
        </w:rPr>
        <w:t>名称：广西科文招标有限公司</w:t>
      </w:r>
    </w:p>
    <w:p>
      <w:pPr>
        <w:spacing w:line="360" w:lineRule="auto"/>
        <w:ind w:firstLine="648" w:firstLineChars="270"/>
        <w:rPr>
          <w:rFonts w:ascii="宋体" w:hAnsi="宋体" w:eastAsia="宋体" w:cs="宋体"/>
          <w:color w:val="auto"/>
          <w:sz w:val="24"/>
          <w:highlight w:val="none"/>
        </w:rPr>
      </w:pPr>
      <w:r>
        <w:rPr>
          <w:rFonts w:hint="eastAsia" w:ascii="宋体" w:hAnsi="宋体" w:eastAsia="宋体" w:cs="宋体"/>
          <w:color w:val="auto"/>
          <w:sz w:val="24"/>
          <w:highlight w:val="none"/>
        </w:rPr>
        <w:t>地址：广西南宁市民族大道141号中鼎万象东方D区五层</w:t>
      </w:r>
    </w:p>
    <w:p>
      <w:pPr>
        <w:spacing w:line="360" w:lineRule="auto"/>
        <w:ind w:firstLine="648" w:firstLineChars="270"/>
        <w:rPr>
          <w:rFonts w:ascii="宋体" w:hAnsi="宋体" w:eastAsia="宋体" w:cs="宋体"/>
          <w:color w:val="auto"/>
          <w:sz w:val="24"/>
          <w:highlight w:val="none"/>
        </w:rPr>
      </w:pPr>
      <w:r>
        <w:rPr>
          <w:rFonts w:hint="eastAsia" w:ascii="宋体" w:hAnsi="宋体" w:eastAsia="宋体" w:cs="宋体"/>
          <w:color w:val="auto"/>
          <w:sz w:val="24"/>
          <w:highlight w:val="none"/>
        </w:rPr>
        <w:t>3、项目联系方式</w:t>
      </w:r>
    </w:p>
    <w:p>
      <w:pPr>
        <w:spacing w:line="360" w:lineRule="auto"/>
        <w:ind w:firstLine="648" w:firstLineChars="270"/>
        <w:rPr>
          <w:rFonts w:ascii="宋体" w:hAnsi="宋体" w:eastAsia="宋体" w:cs="宋体"/>
          <w:color w:val="auto"/>
          <w:sz w:val="24"/>
          <w:highlight w:val="none"/>
        </w:rPr>
      </w:pPr>
      <w:r>
        <w:rPr>
          <w:rFonts w:hint="eastAsia" w:ascii="宋体" w:hAnsi="宋体" w:eastAsia="宋体" w:cs="宋体"/>
          <w:color w:val="auto"/>
          <w:sz w:val="24"/>
          <w:highlight w:val="none"/>
        </w:rPr>
        <w:t>项目联系人：梁伟贞      联系电话：0771-2023650</w:t>
      </w:r>
    </w:p>
    <w:bookmarkEnd w:id="36"/>
    <w:bookmarkEnd w:id="37"/>
    <w:p>
      <w:pPr>
        <w:spacing w:line="360" w:lineRule="auto"/>
        <w:ind w:firstLine="7080" w:firstLineChars="2950"/>
        <w:rPr>
          <w:rFonts w:ascii="宋体" w:hAnsi="宋体" w:eastAsia="宋体" w:cs="宋体"/>
          <w:color w:val="auto"/>
          <w:sz w:val="24"/>
          <w:highlight w:val="none"/>
        </w:rPr>
      </w:pPr>
    </w:p>
    <w:p>
      <w:pPr>
        <w:spacing w:line="360" w:lineRule="auto"/>
        <w:jc w:val="right"/>
        <w:rPr>
          <w:rFonts w:ascii="宋体" w:hAnsi="宋体" w:eastAsia="宋体" w:cs="宋体"/>
          <w:color w:val="auto"/>
          <w:sz w:val="24"/>
          <w:highlight w:val="none"/>
        </w:rPr>
      </w:pPr>
    </w:p>
    <w:p>
      <w:pPr>
        <w:spacing w:line="360" w:lineRule="auto"/>
        <w:jc w:val="right"/>
        <w:rPr>
          <w:rFonts w:ascii="宋体" w:hAnsi="宋体" w:eastAsia="宋体" w:cs="宋体"/>
          <w:color w:val="auto"/>
          <w:sz w:val="24"/>
          <w:highlight w:val="none"/>
        </w:rPr>
      </w:pPr>
      <w:r>
        <w:rPr>
          <w:rFonts w:hint="eastAsia" w:ascii="宋体" w:hAnsi="宋体" w:eastAsia="宋体" w:cs="宋体"/>
          <w:color w:val="auto"/>
          <w:sz w:val="24"/>
          <w:highlight w:val="none"/>
        </w:rPr>
        <w:t>代理机构：广西科文招标有限公司</w:t>
      </w:r>
    </w:p>
    <w:p>
      <w:pPr>
        <w:wordWrap w:val="0"/>
        <w:snapToGrid w:val="0"/>
        <w:spacing w:line="360" w:lineRule="auto"/>
        <w:ind w:left="238"/>
        <w:jc w:val="right"/>
        <w:rPr>
          <w:rFonts w:ascii="宋体" w:hAnsi="宋体" w:eastAsia="宋体" w:cs="宋体"/>
          <w:color w:val="auto"/>
          <w:sz w:val="24"/>
          <w:highlight w:val="none"/>
        </w:rPr>
      </w:pPr>
      <w:r>
        <w:rPr>
          <w:rFonts w:hint="eastAsia" w:ascii="宋体" w:hAnsi="宋体" w:eastAsia="宋体" w:cs="宋体"/>
          <w:color w:val="auto"/>
          <w:sz w:val="24"/>
          <w:highlight w:val="none"/>
        </w:rPr>
        <w:t>2024年</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28</w:t>
      </w:r>
      <w:r>
        <w:rPr>
          <w:rFonts w:hint="eastAsia" w:ascii="宋体" w:hAnsi="宋体" w:eastAsia="宋体" w:cs="宋体"/>
          <w:color w:val="auto"/>
          <w:sz w:val="24"/>
          <w:highlight w:val="none"/>
        </w:rPr>
        <w:t>日</w:t>
      </w:r>
    </w:p>
    <w:p>
      <w:pPr>
        <w:snapToGrid w:val="0"/>
        <w:spacing w:line="360" w:lineRule="auto"/>
        <w:ind w:left="238"/>
        <w:jc w:val="right"/>
        <w:rPr>
          <w:rFonts w:ascii="宋体" w:hAnsi="宋体" w:cs="宋体"/>
        </w:rPr>
      </w:pPr>
      <w:r>
        <w:rPr>
          <w:rFonts w:hint="eastAsia" w:ascii="宋体" w:hAnsi="宋体" w:cs="宋体"/>
          <w:sz w:val="24"/>
        </w:rPr>
        <w:t xml:space="preserve"> </w:t>
      </w:r>
      <w:bookmarkStart w:id="38" w:name="_Toc74320801"/>
      <w:r>
        <w:rPr>
          <w:rFonts w:hint="eastAsia" w:ascii="宋体" w:hAnsi="宋体" w:cs="宋体"/>
        </w:rPr>
        <w:br w:type="page"/>
      </w:r>
    </w:p>
    <w:p>
      <w:pPr>
        <w:pStyle w:val="4"/>
        <w:spacing w:before="165" w:line="240" w:lineRule="auto"/>
        <w:ind w:firstLine="880"/>
        <w:jc w:val="center"/>
        <w:rPr>
          <w:rFonts w:ascii="宋体" w:hAnsi="宋体" w:cs="宋体"/>
        </w:rPr>
      </w:pPr>
      <w:r>
        <w:rPr>
          <w:rFonts w:hint="eastAsia" w:ascii="宋体" w:hAnsi="宋体" w:cs="宋体"/>
        </w:rPr>
        <w:t>第二章  采购需求</w:t>
      </w:r>
      <w:bookmarkEnd w:id="38"/>
    </w:p>
    <w:p>
      <w:pPr>
        <w:spacing w:line="360" w:lineRule="auto"/>
        <w:ind w:left="-10" w:leftChars="-5" w:right="2" w:rightChars="1" w:firstLine="480" w:firstLineChars="200"/>
        <w:rPr>
          <w:rFonts w:ascii="宋体" w:hAnsi="宋体" w:cs="宋体"/>
          <w:bCs/>
          <w:sz w:val="24"/>
        </w:rPr>
      </w:pPr>
      <w:bookmarkStart w:id="39" w:name="_Toc254970631"/>
      <w:bookmarkStart w:id="40" w:name="_Toc254970490"/>
      <w:r>
        <w:rPr>
          <w:rFonts w:hint="eastAsia" w:ascii="宋体" w:hAnsi="宋体" w:cs="宋体"/>
          <w:bCs/>
          <w:sz w:val="24"/>
        </w:rPr>
        <w:t>说明：</w:t>
      </w:r>
    </w:p>
    <w:p>
      <w:pPr>
        <w:spacing w:line="360" w:lineRule="auto"/>
        <w:ind w:left="-10" w:leftChars="-5" w:right="2" w:rightChars="1" w:firstLine="480" w:firstLineChars="200"/>
        <w:rPr>
          <w:rFonts w:ascii="宋体" w:hAnsi="宋体" w:cs="宋体"/>
          <w:bCs/>
          <w:sz w:val="24"/>
        </w:rPr>
      </w:pPr>
      <w:r>
        <w:rPr>
          <w:rFonts w:hint="eastAsia" w:ascii="宋体" w:hAnsi="宋体" w:cs="宋体"/>
          <w:bCs/>
          <w:sz w:val="24"/>
        </w:rPr>
        <w:t>1．采购需求中如出现品牌、型号或者生产厂家等均仅起参考作用，不属于指定品牌、型号或者生产厂家的情形，投标人可参照或者选用其他相当的品牌、型号或者生产供应商替代。但投标人的产品实质上应相当于或优于本《采购需求》中的技术要求。</w:t>
      </w:r>
    </w:p>
    <w:p>
      <w:pPr>
        <w:spacing w:line="360" w:lineRule="auto"/>
        <w:ind w:left="-10" w:leftChars="-5" w:right="2" w:rightChars="1" w:firstLine="480" w:firstLineChars="200"/>
        <w:rPr>
          <w:rFonts w:ascii="宋体" w:hAnsi="宋体" w:cs="宋体"/>
          <w:bCs/>
          <w:sz w:val="24"/>
        </w:rPr>
      </w:pPr>
      <w:r>
        <w:rPr>
          <w:rFonts w:hint="eastAsia" w:ascii="宋体" w:hAnsi="宋体" w:cs="宋体"/>
          <w:bCs/>
          <w:sz w:val="24"/>
        </w:rPr>
        <w:t>2．凡在“技术要求”中表述为“标配”或“标准配置”的设备，投标人应在投标设备性能配置清单中将其标配参数详细列明。</w:t>
      </w:r>
    </w:p>
    <w:p>
      <w:pPr>
        <w:spacing w:line="360" w:lineRule="auto"/>
        <w:ind w:left="-10" w:leftChars="-5" w:right="2" w:rightChars="1" w:firstLine="480" w:firstLineChars="200"/>
        <w:rPr>
          <w:rFonts w:ascii="宋体" w:hAnsi="宋体" w:cs="宋体"/>
          <w:bCs/>
          <w:sz w:val="24"/>
        </w:rPr>
      </w:pPr>
      <w:r>
        <w:rPr>
          <w:rFonts w:hint="eastAsia" w:ascii="宋体" w:hAnsi="宋体" w:cs="宋体"/>
          <w:bCs/>
          <w:sz w:val="24"/>
        </w:rPr>
        <w:t>3．根据《财政部发展改革委生态环境部市场监管总局关于调整优化节能产品、环境标志产品政府采购执行机制的通知》（财库〔2019〕9 号）和《关于印发节能产品政府采购品目清单的通知》（财库〔2019〕19 号）的规定，采购需求中的产品属于节能产品政府采购品目清单内标注“★”的（详见本章后附的节能产品政府采购品目清单），投标人的投标货物必须使用政府强制采购的节能产品，否则投标文件作无效处理。</w:t>
      </w:r>
    </w:p>
    <w:p>
      <w:pPr>
        <w:spacing w:line="360" w:lineRule="auto"/>
        <w:ind w:left="-10" w:leftChars="-5" w:right="2" w:rightChars="1" w:firstLine="480" w:firstLineChars="200"/>
        <w:rPr>
          <w:rFonts w:ascii="宋体" w:hAnsi="宋体"/>
          <w:sz w:val="24"/>
        </w:rPr>
      </w:pPr>
      <w:r>
        <w:rPr>
          <w:rFonts w:hint="eastAsia" w:ascii="宋体" w:hAnsi="宋体" w:cs="宋体"/>
          <w:bCs/>
          <w:sz w:val="24"/>
        </w:rPr>
        <w:t>4．</w:t>
      </w:r>
      <w:r>
        <w:rPr>
          <w:rFonts w:hint="eastAsia" w:ascii="宋体" w:hAnsi="宋体"/>
          <w:sz w:val="24"/>
        </w:rPr>
        <w:t>根据国家互联网信息办公室、工业和信息化部、公安部、财政部、国家认证认可监督管理委员会《关于调整网络安全专用产品安全管理有关事项的公告》（2023 年1 号）、国家互联网信息办公室、工业和信息化部、公安部、国家认证认可监督管理委员会《关于调整《网络关键设备和网络安全专用产品目录》的公告》（2023年第2号）规定，本项目采购需求中的产品如果包括《网络关键设备和网络安全专用产品目录》的网络安全专用产品，投标人在投标文件中应主动列明供货范围中属于网络安全专用产品的投标产品，并提供由中共中央网络安全和信息化委员会办公室网站最新发布的《网络关键设备和网络安全专用产品安全认证和安全检测结果》截图证明材料，不在《网络关键设备和网络安全专用产品安全认证和安全检测结果》中或不在有效期内或未提供有效的《计算机信息系统安全专用产品销售许可证》的，投标无效。注：网络安全专用产品在中共中央网络安全和信息化委员会办公室网站上发布的《网络关键设备和网络安全专用产品目录》中查询。目前共</w:t>
      </w:r>
      <w:r>
        <w:rPr>
          <w:rFonts w:ascii="宋体" w:hAnsi="宋体"/>
          <w:sz w:val="24"/>
        </w:rPr>
        <w:t>15</w:t>
      </w:r>
      <w:r>
        <w:rPr>
          <w:rFonts w:hint="eastAsia" w:ascii="宋体" w:hAnsi="宋体"/>
          <w:sz w:val="24"/>
        </w:rPr>
        <w:t>类：路由器、交换机、服务器（机架式）、可编程逻辑控制器（PLC 设备）、数据备份一体机、防火墙（硬件）、WEB 应用防火墙（WAF）、入侵检测系统（IDS）、入侵防御系统（IPS）、安全隔离与信息交换产品（网闸）、反垃圾邮件产品、网络综合审计系统、网络脆弱性扫描产品、安全数据库系统、网站恢复产品（硬件）。</w:t>
      </w:r>
    </w:p>
    <w:p>
      <w:pPr>
        <w:spacing w:line="360" w:lineRule="auto"/>
        <w:ind w:left="-10" w:leftChars="-5" w:right="2" w:rightChars="1" w:firstLine="480" w:firstLineChars="200"/>
      </w:pPr>
      <w:r>
        <w:rPr>
          <w:rFonts w:hint="eastAsia" w:ascii="宋体" w:hAnsi="宋体" w:cs="宋体"/>
          <w:bCs/>
          <w:sz w:val="24"/>
        </w:rPr>
        <w:t>采购需求中带“</w:t>
      </w:r>
      <w:r>
        <w:rPr>
          <w:rFonts w:hint="eastAsia" w:ascii="宋体" w:hAnsi="宋体" w:cs="宋体"/>
          <w:sz w:val="24"/>
          <w:lang w:bidi="ar"/>
        </w:rPr>
        <w:t>◆</w:t>
      </w:r>
      <w:r>
        <w:rPr>
          <w:rFonts w:hint="eastAsia" w:ascii="宋体" w:hAnsi="宋体" w:cs="宋体"/>
          <w:bCs/>
          <w:sz w:val="24"/>
        </w:rPr>
        <w:t>”必须</w:t>
      </w:r>
      <w:r>
        <w:rPr>
          <w:rFonts w:hint="eastAsia" w:ascii="宋体" w:hAnsi="宋体"/>
          <w:sz w:val="24"/>
        </w:rPr>
        <w:t>提供由中共中央网络安全和信息化委员会办公室网站最新发布的《网络关键设备和网络安全专用产品安全认证和安全检测结果》截图证明材料。</w:t>
      </w:r>
    </w:p>
    <w:p>
      <w:pPr>
        <w:spacing w:line="360" w:lineRule="auto"/>
        <w:ind w:left="-10" w:leftChars="-5" w:right="2" w:rightChars="1" w:firstLine="480" w:firstLineChars="200"/>
        <w:rPr>
          <w:rFonts w:ascii="宋体" w:hAnsi="宋体" w:cs="宋体"/>
          <w:bCs/>
          <w:sz w:val="24"/>
        </w:rPr>
      </w:pPr>
      <w:r>
        <w:rPr>
          <w:rFonts w:hint="eastAsia" w:ascii="宋体" w:hAnsi="宋体" w:cs="宋体"/>
          <w:bCs/>
          <w:sz w:val="24"/>
        </w:rPr>
        <w:t>5.如投标人投标产品存在侵犯他人的知识产权或者专利成果行为的，由投标人自行承担相应法律责任。</w:t>
      </w:r>
    </w:p>
    <w:p>
      <w:pPr>
        <w:spacing w:line="360" w:lineRule="auto"/>
        <w:ind w:left="-10" w:leftChars="-5" w:right="2" w:rightChars="1" w:firstLine="480" w:firstLineChars="200"/>
        <w:rPr>
          <w:rFonts w:ascii="宋体" w:hAnsi="宋体" w:cs="宋体"/>
          <w:bCs/>
          <w:sz w:val="24"/>
        </w:rPr>
      </w:pPr>
      <w:r>
        <w:rPr>
          <w:rFonts w:hint="eastAsia" w:ascii="宋体" w:hAnsi="宋体" w:cs="宋体"/>
          <w:bCs/>
          <w:sz w:val="24"/>
        </w:rPr>
        <w:t>6.“实质性要求”是指招标文件中已经指明不满足则投标无效的条款，或者不能负偏离的条款，或者采购需求中带“▲”的条款，带“※”的参数负偏离不超过5项</w:t>
      </w:r>
      <w:r>
        <w:rPr>
          <w:rFonts w:hint="eastAsia"/>
        </w:rPr>
        <w:t>，不带任何标记的技术参数允许负偏离不超过6项</w:t>
      </w:r>
      <w:r>
        <w:rPr>
          <w:rFonts w:hint="eastAsia" w:ascii="宋体" w:hAnsi="宋体" w:cs="宋体"/>
          <w:bCs/>
          <w:sz w:val="24"/>
        </w:rPr>
        <w:t>。</w:t>
      </w:r>
    </w:p>
    <w:p>
      <w:pPr>
        <w:spacing w:line="360" w:lineRule="auto"/>
        <w:ind w:left="-10" w:leftChars="-5" w:right="2" w:rightChars="1" w:firstLine="480" w:firstLineChars="200"/>
        <w:rPr>
          <w:rFonts w:ascii="宋体" w:hAnsi="宋体" w:cs="宋体"/>
          <w:bCs/>
          <w:sz w:val="24"/>
        </w:rPr>
      </w:pPr>
      <w:r>
        <w:rPr>
          <w:rFonts w:hint="eastAsia" w:ascii="宋体" w:hAnsi="宋体" w:cs="宋体"/>
          <w:bCs/>
          <w:sz w:val="24"/>
        </w:rPr>
        <w:t>7.技术参数及性能配置要求中带“※”的参数为重要技术条款，作为评标依据。无标识则表示一般指标项。</w:t>
      </w:r>
    </w:p>
    <w:p>
      <w:pPr>
        <w:spacing w:line="360" w:lineRule="auto"/>
        <w:ind w:left="-10" w:leftChars="-5" w:right="2" w:rightChars="1" w:firstLine="480" w:firstLineChars="200"/>
        <w:rPr>
          <w:rFonts w:ascii="宋体" w:hAnsi="宋体" w:cs="宋体"/>
          <w:bCs/>
          <w:sz w:val="24"/>
        </w:rPr>
      </w:pPr>
      <w:r>
        <w:rPr>
          <w:rFonts w:hint="eastAsia" w:ascii="宋体" w:hAnsi="宋体" w:cs="宋体"/>
          <w:bCs/>
          <w:sz w:val="24"/>
        </w:rPr>
        <w:t>采购预算：详见采购公告</w:t>
      </w:r>
    </w:p>
    <w:p>
      <w:pPr>
        <w:spacing w:line="360" w:lineRule="auto"/>
        <w:ind w:left="-10" w:leftChars="-5" w:right="2" w:rightChars="1" w:firstLine="480" w:firstLineChars="200"/>
        <w:rPr>
          <w:rFonts w:ascii="宋体" w:hAnsi="宋体" w:cs="宋体"/>
          <w:bCs/>
          <w:sz w:val="24"/>
        </w:rPr>
      </w:pPr>
      <w:r>
        <w:rPr>
          <w:rFonts w:hint="eastAsia" w:ascii="宋体" w:hAnsi="宋体" w:cs="宋体"/>
          <w:bCs/>
          <w:sz w:val="24"/>
        </w:rPr>
        <w:t>项目所属行业：工业。</w:t>
      </w:r>
    </w:p>
    <w:tbl>
      <w:tblPr>
        <w:tblStyle w:val="47"/>
        <w:tblW w:w="9400" w:type="dxa"/>
        <w:tblInd w:w="93" w:type="dxa"/>
        <w:tblLayout w:type="fixed"/>
        <w:tblCellMar>
          <w:top w:w="0" w:type="dxa"/>
          <w:left w:w="108" w:type="dxa"/>
          <w:bottom w:w="0" w:type="dxa"/>
          <w:right w:w="108" w:type="dxa"/>
        </w:tblCellMar>
      </w:tblPr>
      <w:tblGrid>
        <w:gridCol w:w="483"/>
        <w:gridCol w:w="1266"/>
        <w:gridCol w:w="587"/>
        <w:gridCol w:w="416"/>
        <w:gridCol w:w="5655"/>
        <w:gridCol w:w="993"/>
      </w:tblGrid>
      <w:tr>
        <w:tblPrEx>
          <w:tblCellMar>
            <w:top w:w="0" w:type="dxa"/>
            <w:left w:w="108" w:type="dxa"/>
            <w:bottom w:w="0" w:type="dxa"/>
            <w:right w:w="108" w:type="dxa"/>
          </w:tblCellMar>
        </w:tblPrEx>
        <w:trPr>
          <w:trHeight w:val="28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名称</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数量</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单位</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技术参数及性能（配置）要求</w:t>
            </w: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lang w:bidi="ar"/>
              </w:rPr>
            </w:pPr>
            <w:r>
              <w:rPr>
                <w:rFonts w:hint="eastAsia" w:ascii="宋体" w:hAnsi="宋体" w:cs="宋体"/>
                <w:sz w:val="24"/>
                <w:lang w:bidi="ar"/>
              </w:rPr>
              <w:t>单价最高限价</w:t>
            </w:r>
          </w:p>
        </w:tc>
      </w:tr>
      <w:tr>
        <w:tblPrEx>
          <w:tblCellMar>
            <w:top w:w="0" w:type="dxa"/>
            <w:left w:w="108" w:type="dxa"/>
            <w:bottom w:w="0" w:type="dxa"/>
            <w:right w:w="108" w:type="dxa"/>
          </w:tblCellMar>
        </w:tblPrEx>
        <w:trPr>
          <w:trHeight w:val="285" w:hRule="atLeast"/>
        </w:trPr>
        <w:tc>
          <w:tcPr>
            <w:tcW w:w="84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一、校园网</w:t>
            </w:r>
          </w:p>
        </w:tc>
        <w:tc>
          <w:tcPr>
            <w:tcW w:w="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lang w:bidi="ar"/>
              </w:rPr>
            </w:pPr>
          </w:p>
        </w:tc>
      </w:tr>
      <w:tr>
        <w:tblPrEx>
          <w:tblCellMar>
            <w:top w:w="0" w:type="dxa"/>
            <w:left w:w="108" w:type="dxa"/>
            <w:bottom w:w="0" w:type="dxa"/>
            <w:right w:w="108" w:type="dxa"/>
          </w:tblCellMar>
        </w:tblPrEx>
        <w:trPr>
          <w:trHeight w:val="114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无线控制器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套</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▲1.千兆电口数≥8，千兆光口数≥8个，万兆接口≥4个；</w:t>
            </w:r>
          </w:p>
          <w:p>
            <w:pPr>
              <w:spacing w:line="360" w:lineRule="auto"/>
              <w:rPr>
                <w:rFonts w:ascii="宋体" w:hAnsi="宋体" w:cs="宋体"/>
                <w:sz w:val="24"/>
                <w:lang w:bidi="ar"/>
              </w:rPr>
            </w:pPr>
            <w:r>
              <w:rPr>
                <w:rFonts w:hint="eastAsia" w:ascii="宋体" w:hAnsi="宋体" w:cs="宋体"/>
                <w:sz w:val="24"/>
                <w:lang w:bidi="ar"/>
              </w:rPr>
              <w:t>▲2.配置可管理AP数≥1200个，可支持管理≥4352个AP；</w:t>
            </w:r>
          </w:p>
          <w:p>
            <w:pPr>
              <w:spacing w:line="360" w:lineRule="auto"/>
              <w:rPr>
                <w:rFonts w:ascii="宋体" w:hAnsi="宋体" w:cs="宋体"/>
                <w:sz w:val="24"/>
                <w:lang w:bidi="ar"/>
              </w:rPr>
            </w:pPr>
            <w:r>
              <w:rPr>
                <w:rFonts w:hint="eastAsia" w:ascii="宋体" w:hAnsi="宋体" w:cs="宋体"/>
                <w:sz w:val="24"/>
                <w:lang w:bidi="ar"/>
              </w:rPr>
              <w:t>▲3.802.11转发性能≥40G。</w:t>
            </w:r>
          </w:p>
          <w:p>
            <w:pPr>
              <w:spacing w:line="360" w:lineRule="auto"/>
              <w:rPr>
                <w:rFonts w:ascii="宋体" w:hAnsi="宋体" w:cs="宋体"/>
                <w:sz w:val="24"/>
                <w:lang w:bidi="ar"/>
              </w:rPr>
            </w:pPr>
            <w:r>
              <w:rPr>
                <w:rFonts w:hint="eastAsia" w:ascii="宋体" w:hAnsi="宋体" w:cs="宋体"/>
                <w:sz w:val="24"/>
                <w:lang w:bidi="ar"/>
              </w:rPr>
              <w:t>4.单台设备可配置AP数目≥12000；</w:t>
            </w:r>
          </w:p>
          <w:p>
            <w:pPr>
              <w:spacing w:line="360" w:lineRule="auto"/>
              <w:rPr>
                <w:rFonts w:ascii="宋体" w:hAnsi="宋体" w:cs="宋体"/>
                <w:sz w:val="24"/>
                <w:lang w:bidi="ar"/>
              </w:rPr>
            </w:pPr>
            <w:r>
              <w:rPr>
                <w:rFonts w:hint="eastAsia" w:ascii="宋体" w:hAnsi="宋体" w:cs="宋体"/>
                <w:sz w:val="24"/>
                <w:lang w:bidi="ar"/>
              </w:rPr>
              <w:t>5.支持本地认证功能，无需通过外置Portal服务器和Radius服务器认证；</w:t>
            </w:r>
          </w:p>
          <w:p>
            <w:pPr>
              <w:spacing w:line="360" w:lineRule="auto"/>
              <w:rPr>
                <w:rFonts w:ascii="宋体" w:hAnsi="宋体" w:cs="宋体"/>
                <w:sz w:val="24"/>
                <w:lang w:bidi="ar"/>
              </w:rPr>
            </w:pPr>
            <w:r>
              <w:rPr>
                <w:rFonts w:hint="eastAsia" w:ascii="宋体" w:hAnsi="宋体" w:cs="宋体"/>
                <w:sz w:val="24"/>
                <w:lang w:bidi="ar"/>
              </w:rPr>
              <w:t>6.支持访客通过二维码授权的方式接入无线网络；</w:t>
            </w:r>
          </w:p>
          <w:p>
            <w:pPr>
              <w:spacing w:line="360" w:lineRule="auto"/>
              <w:rPr>
                <w:rFonts w:ascii="宋体" w:hAnsi="宋体" w:cs="宋体"/>
                <w:sz w:val="24"/>
                <w:lang w:bidi="ar"/>
              </w:rPr>
            </w:pPr>
            <w:r>
              <w:rPr>
                <w:rFonts w:hint="eastAsia" w:ascii="宋体" w:hAnsi="宋体" w:cs="宋体"/>
                <w:sz w:val="24"/>
                <w:lang w:bidi="ar"/>
              </w:rPr>
              <w:t>7.设备支持配置AP的本地数据转发模式，即可根据网络的SSID和用户VLAN的规划，决定数据是否需要全部经过无线AC转发或直接进入有线网络进行本地交换；</w:t>
            </w:r>
          </w:p>
          <w:p>
            <w:pPr>
              <w:spacing w:line="360" w:lineRule="auto"/>
              <w:rPr>
                <w:rFonts w:ascii="宋体" w:hAnsi="宋体" w:cs="宋体"/>
                <w:sz w:val="24"/>
                <w:lang w:bidi="ar"/>
              </w:rPr>
            </w:pPr>
            <w:r>
              <w:rPr>
                <w:rFonts w:hint="eastAsia" w:ascii="宋体" w:hAnsi="宋体" w:cs="宋体"/>
                <w:sz w:val="24"/>
                <w:lang w:bidi="ar"/>
              </w:rPr>
              <w:t>8.支持多账户分权管理功能，实现一台物理AC设备或多台物理AC设备虚拟成一台AC设备后，均能受多账户管理，各账户分别管理不同的无线信息；</w:t>
            </w:r>
          </w:p>
          <w:p>
            <w:pPr>
              <w:spacing w:line="360" w:lineRule="auto"/>
              <w:rPr>
                <w:rFonts w:ascii="宋体" w:hAnsi="宋体" w:cs="宋体"/>
                <w:sz w:val="24"/>
                <w:lang w:bidi="ar"/>
              </w:rPr>
            </w:pPr>
            <w:r>
              <w:rPr>
                <w:rFonts w:hint="eastAsia" w:ascii="宋体" w:hAnsi="宋体" w:cs="宋体"/>
                <w:sz w:val="24"/>
                <w:lang w:bidi="ar"/>
              </w:rPr>
              <w:t>9.支持AP虚拟化功能，实现一台AP虚拟为多台AP，分别受不同AC设备独立管理，互不影响；不同虚拟 AP之间数据隔离，虚拟AP在AC上不占用AP License；</w:t>
            </w:r>
          </w:p>
          <w:p>
            <w:pPr>
              <w:spacing w:line="360" w:lineRule="auto"/>
              <w:rPr>
                <w:rFonts w:ascii="宋体" w:hAnsi="宋体" w:cs="宋体"/>
                <w:sz w:val="24"/>
                <w:lang w:bidi="ar"/>
              </w:rPr>
            </w:pPr>
            <w:r>
              <w:rPr>
                <w:rFonts w:hint="eastAsia" w:ascii="宋体" w:hAnsi="宋体" w:cs="宋体"/>
                <w:sz w:val="24"/>
                <w:lang w:bidi="ar"/>
              </w:rPr>
              <w:t>10.设备应支持 802.11R快速漫游；</w:t>
            </w:r>
          </w:p>
          <w:p>
            <w:pPr>
              <w:spacing w:line="360" w:lineRule="auto"/>
              <w:rPr>
                <w:rFonts w:ascii="宋体" w:hAnsi="宋体" w:cs="宋体"/>
                <w:sz w:val="24"/>
                <w:lang w:bidi="ar"/>
              </w:rPr>
            </w:pPr>
            <w:r>
              <w:rPr>
                <w:rFonts w:hint="eastAsia" w:ascii="宋体" w:hAnsi="宋体" w:cs="宋体"/>
                <w:sz w:val="24"/>
                <w:lang w:bidi="ar"/>
              </w:rPr>
              <w:t>11.支持对非法无线接入点进行探测，并对非法AP进行屏蔽；</w:t>
            </w:r>
          </w:p>
          <w:p>
            <w:pPr>
              <w:spacing w:line="360" w:lineRule="auto"/>
              <w:rPr>
                <w:rFonts w:ascii="宋体" w:hAnsi="宋体" w:cs="宋体"/>
                <w:sz w:val="24"/>
                <w:lang w:bidi="ar"/>
              </w:rPr>
            </w:pPr>
            <w:r>
              <w:rPr>
                <w:rFonts w:hint="eastAsia" w:ascii="宋体" w:hAnsi="宋体" w:cs="宋体"/>
                <w:sz w:val="24"/>
                <w:lang w:bidi="ar"/>
              </w:rPr>
              <w:t>12.支持实时频谱防护，可视化射频干扰源对无线局域网的性能的影响；</w:t>
            </w:r>
          </w:p>
          <w:p>
            <w:pPr>
              <w:spacing w:line="360" w:lineRule="auto"/>
              <w:rPr>
                <w:rFonts w:ascii="宋体" w:hAnsi="宋体" w:cs="宋体"/>
                <w:sz w:val="24"/>
                <w:lang w:bidi="ar"/>
              </w:rPr>
            </w:pPr>
            <w:r>
              <w:rPr>
                <w:rFonts w:hint="eastAsia" w:ascii="宋体" w:hAnsi="宋体" w:cs="宋体"/>
                <w:sz w:val="24"/>
                <w:lang w:bidi="ar"/>
              </w:rPr>
              <w:t>13.支持实现基于用户的PSK认证，实现用户之间不能共享WiFi密钥；</w:t>
            </w:r>
          </w:p>
          <w:p>
            <w:pPr>
              <w:spacing w:line="360" w:lineRule="auto"/>
              <w:rPr>
                <w:rFonts w:ascii="宋体" w:hAnsi="宋体" w:cs="宋体"/>
                <w:sz w:val="24"/>
                <w:lang w:bidi="ar"/>
              </w:rPr>
            </w:pPr>
            <w:r>
              <w:rPr>
                <w:rFonts w:hint="eastAsia" w:ascii="宋体" w:hAnsi="宋体" w:cs="宋体"/>
                <w:sz w:val="24"/>
                <w:lang w:bidi="ar"/>
              </w:rPr>
              <w:t>14.支持MAC认证、WEB认证、802.1X认证，认证后能实现IP、MAC、WLAN等元素的绑定信息，保证只有合法的用户才能进入网络；</w:t>
            </w:r>
          </w:p>
          <w:p>
            <w:pPr>
              <w:spacing w:line="360" w:lineRule="auto"/>
              <w:rPr>
                <w:rFonts w:ascii="宋体" w:hAnsi="宋体" w:cs="宋体"/>
                <w:sz w:val="24"/>
                <w:lang w:bidi="ar"/>
              </w:rPr>
            </w:pPr>
            <w:r>
              <w:rPr>
                <w:rFonts w:hint="eastAsia" w:ascii="宋体" w:hAnsi="宋体" w:cs="宋体"/>
                <w:sz w:val="24"/>
                <w:lang w:bidi="ar"/>
              </w:rPr>
              <w:t>▲15.为保障五合校区和青山校区的系统兼容性和统一运维，实现新旧校区无线网络统一管理，本设备须支持与采购人现有无线控制器(品牌:锐捷、型号:RG-WS6812)集群管理，无线控制器集群后可以实现无线AP 统一配置管理、集中转发、无线漫游设置、无线用户认证管理等功能，采购人提供现有无线控制器的API接口文档，如涉及到接口对接费用包含在投标报价中，要求投标人投标文件中提供对现有无线控制器(品牌:锐捷、型号:RG-WS6812)兼容性承诺函格式自拟)，并加盖投标人公章。</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110620</w:t>
            </w:r>
          </w:p>
        </w:tc>
      </w:tr>
      <w:tr>
        <w:tblPrEx>
          <w:tblCellMar>
            <w:top w:w="0" w:type="dxa"/>
            <w:left w:w="108" w:type="dxa"/>
            <w:bottom w:w="0" w:type="dxa"/>
            <w:right w:w="108" w:type="dxa"/>
          </w:tblCellMar>
        </w:tblPrEx>
        <w:trPr>
          <w:trHeight w:val="171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◆核心交换机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▲一、单台配置要求：</w:t>
            </w:r>
          </w:p>
          <w:p>
            <w:pPr>
              <w:spacing w:line="360" w:lineRule="auto"/>
              <w:rPr>
                <w:rFonts w:ascii="宋体" w:hAnsi="宋体" w:cs="宋体"/>
                <w:sz w:val="24"/>
                <w:lang w:bidi="ar"/>
              </w:rPr>
            </w:pPr>
            <w:r>
              <w:rPr>
                <w:rFonts w:hint="eastAsia" w:ascii="宋体" w:hAnsi="宋体" w:cs="宋体"/>
                <w:sz w:val="24"/>
                <w:lang w:bidi="ar"/>
              </w:rPr>
              <w:t>1.交换网板与主控引擎硬件槽位分离，独立主控引擎插槽≥2个，独立业务插槽≥8个，独立交换网板插槽≥4个；</w:t>
            </w:r>
          </w:p>
          <w:p>
            <w:pPr>
              <w:spacing w:line="360" w:lineRule="auto"/>
              <w:rPr>
                <w:rFonts w:ascii="宋体" w:hAnsi="宋体" w:cs="宋体"/>
                <w:sz w:val="24"/>
                <w:lang w:bidi="ar"/>
              </w:rPr>
            </w:pPr>
            <w:r>
              <w:rPr>
                <w:rFonts w:hint="eastAsia" w:ascii="宋体" w:hAnsi="宋体" w:cs="宋体"/>
                <w:sz w:val="24"/>
                <w:lang w:bidi="ar"/>
              </w:rPr>
              <w:t>2.配置≥单主控引擎、≥2个交换网板、≥2个电源；</w:t>
            </w:r>
          </w:p>
          <w:p>
            <w:pPr>
              <w:spacing w:line="360" w:lineRule="auto"/>
              <w:rPr>
                <w:rFonts w:ascii="宋体" w:hAnsi="宋体" w:cs="宋体"/>
                <w:sz w:val="24"/>
                <w:lang w:bidi="ar"/>
              </w:rPr>
            </w:pPr>
            <w:r>
              <w:rPr>
                <w:rFonts w:hint="eastAsia" w:ascii="宋体" w:hAnsi="宋体" w:cs="宋体"/>
                <w:sz w:val="24"/>
                <w:lang w:bidi="ar"/>
              </w:rPr>
              <w:t>3.配置≥24个千兆电口，≥8个千兆光口，配置≥60个万兆光口，配置≥12端口100G/40G以太网光口；</w:t>
            </w:r>
          </w:p>
          <w:p>
            <w:pPr>
              <w:spacing w:line="360" w:lineRule="auto"/>
              <w:rPr>
                <w:rFonts w:ascii="宋体" w:hAnsi="宋体" w:cs="宋体"/>
                <w:sz w:val="24"/>
                <w:lang w:bidi="ar"/>
              </w:rPr>
            </w:pPr>
            <w:r>
              <w:rPr>
                <w:rFonts w:hint="eastAsia" w:ascii="宋体" w:hAnsi="宋体" w:cs="宋体"/>
                <w:sz w:val="24"/>
                <w:lang w:bidi="ar"/>
              </w:rPr>
              <w:t>4.配置≥14个100G多模光模块，≥16个万兆单模光模块；</w:t>
            </w:r>
          </w:p>
          <w:p>
            <w:pPr>
              <w:spacing w:line="360" w:lineRule="auto"/>
              <w:rPr>
                <w:rFonts w:ascii="宋体" w:hAnsi="宋体" w:cs="宋体"/>
                <w:sz w:val="24"/>
                <w:lang w:bidi="ar"/>
              </w:rPr>
            </w:pPr>
            <w:r>
              <w:rPr>
                <w:rFonts w:hint="eastAsia" w:ascii="宋体" w:hAnsi="宋体" w:cs="宋体"/>
                <w:sz w:val="24"/>
                <w:lang w:bidi="ar"/>
              </w:rPr>
              <w:t>二、参数要求：</w:t>
            </w:r>
          </w:p>
          <w:p>
            <w:pPr>
              <w:spacing w:line="360" w:lineRule="auto"/>
              <w:rPr>
                <w:rFonts w:ascii="宋体" w:hAnsi="宋体" w:cs="宋体"/>
                <w:sz w:val="24"/>
                <w:lang w:bidi="ar"/>
              </w:rPr>
            </w:pPr>
            <w:r>
              <w:rPr>
                <w:rFonts w:hint="eastAsia" w:ascii="宋体" w:hAnsi="宋体" w:cs="宋体"/>
                <w:sz w:val="24"/>
                <w:lang w:bidi="ar"/>
              </w:rPr>
              <w:t>▲1.交换容量≥645Tbps，包转发速率≥230000Mpps；</w:t>
            </w:r>
          </w:p>
          <w:p>
            <w:pPr>
              <w:spacing w:line="360" w:lineRule="auto"/>
              <w:rPr>
                <w:rFonts w:ascii="宋体" w:hAnsi="宋体" w:cs="宋体"/>
                <w:sz w:val="24"/>
                <w:lang w:bidi="ar"/>
              </w:rPr>
            </w:pPr>
            <w:r>
              <w:rPr>
                <w:rFonts w:hint="eastAsia" w:ascii="宋体" w:hAnsi="宋体" w:cs="宋体"/>
                <w:sz w:val="24"/>
                <w:lang w:bidi="ar"/>
              </w:rPr>
              <w:t>▲2.采用正交CLOS交换架构，交换网板与线卡成垂直90°正交连接且与主控引擎、业务板硬件分离；</w:t>
            </w:r>
          </w:p>
          <w:p>
            <w:pPr>
              <w:spacing w:line="360" w:lineRule="auto"/>
              <w:rPr>
                <w:rFonts w:ascii="宋体" w:hAnsi="宋体" w:cs="宋体"/>
                <w:sz w:val="24"/>
                <w:lang w:bidi="ar"/>
              </w:rPr>
            </w:pPr>
            <w:r>
              <w:rPr>
                <w:rFonts w:hint="eastAsia" w:ascii="宋体" w:hAnsi="宋体" w:cs="宋体"/>
                <w:sz w:val="24"/>
                <w:lang w:bidi="ar"/>
              </w:rPr>
              <w:t>3.设备高度≤11U；</w:t>
            </w:r>
          </w:p>
          <w:p>
            <w:pPr>
              <w:spacing w:line="360" w:lineRule="auto"/>
              <w:rPr>
                <w:rFonts w:ascii="宋体" w:hAnsi="宋体" w:cs="宋体"/>
                <w:sz w:val="24"/>
                <w:lang w:bidi="ar"/>
              </w:rPr>
            </w:pPr>
            <w:r>
              <w:rPr>
                <w:rFonts w:hint="eastAsia" w:ascii="宋体" w:hAnsi="宋体" w:cs="宋体"/>
                <w:sz w:val="24"/>
                <w:lang w:bidi="ar"/>
              </w:rPr>
              <w:t>4.支持模块化风扇框≥2，风扇框同物理尺寸规格，可任意框任意安装，支持风扇框1+1冗余；风扇框内部风扇采用串联设计；</w:t>
            </w:r>
          </w:p>
          <w:p>
            <w:pPr>
              <w:spacing w:line="360" w:lineRule="auto"/>
              <w:rPr>
                <w:rFonts w:ascii="宋体" w:hAnsi="宋体" w:cs="宋体"/>
                <w:sz w:val="24"/>
                <w:lang w:bidi="ar"/>
              </w:rPr>
            </w:pPr>
            <w:r>
              <w:rPr>
                <w:rFonts w:hint="eastAsia" w:ascii="宋体" w:hAnsi="宋体" w:cs="宋体"/>
                <w:sz w:val="24"/>
                <w:lang w:bidi="ar"/>
              </w:rPr>
              <w:t>5.支持N:1虚拟化：可将多台物理设备虚拟化为1台逻辑设备，虚拟组内设备具备统一的二层及三层转发表项，统一的管理界面，可实现跨设备链路聚合；</w:t>
            </w:r>
          </w:p>
          <w:p>
            <w:pPr>
              <w:spacing w:line="360" w:lineRule="auto"/>
              <w:rPr>
                <w:rFonts w:ascii="宋体" w:hAnsi="宋体" w:cs="宋体"/>
                <w:sz w:val="24"/>
                <w:lang w:bidi="ar"/>
              </w:rPr>
            </w:pPr>
            <w:r>
              <w:rPr>
                <w:rFonts w:hint="eastAsia" w:ascii="宋体" w:hAnsi="宋体" w:cs="宋体"/>
                <w:sz w:val="24"/>
                <w:lang w:bidi="ar"/>
              </w:rPr>
              <w:t>6.单张业务卡可用物理端口≥50个，整机转发业务物理端口≥400个；</w:t>
            </w:r>
          </w:p>
          <w:p>
            <w:pPr>
              <w:spacing w:line="360" w:lineRule="auto"/>
              <w:rPr>
                <w:rFonts w:ascii="宋体" w:hAnsi="宋体" w:cs="宋体"/>
                <w:sz w:val="24"/>
                <w:lang w:bidi="ar"/>
              </w:rPr>
            </w:pPr>
            <w:r>
              <w:rPr>
                <w:rFonts w:hint="eastAsia" w:ascii="宋体" w:hAnsi="宋体" w:cs="宋体"/>
                <w:sz w:val="24"/>
                <w:lang w:bidi="ar"/>
              </w:rPr>
              <w:t>7.支持OpenFlow v1.3协议，可实现核心网络向SDN平滑演进</w:t>
            </w:r>
          </w:p>
          <w:p>
            <w:pPr>
              <w:spacing w:line="360" w:lineRule="auto"/>
              <w:rPr>
                <w:rFonts w:ascii="宋体" w:hAnsi="宋体" w:cs="宋体"/>
                <w:sz w:val="24"/>
                <w:lang w:bidi="ar"/>
              </w:rPr>
            </w:pPr>
            <w:r>
              <w:rPr>
                <w:rFonts w:hint="eastAsia" w:ascii="宋体" w:hAnsi="宋体" w:cs="宋体"/>
                <w:sz w:val="24"/>
                <w:lang w:bidi="ar"/>
              </w:rPr>
              <w:t>8.采用模块化操作系统，支持多进程备份及ISSU不中断业务升级特性；</w:t>
            </w:r>
          </w:p>
          <w:p>
            <w:pPr>
              <w:spacing w:line="360" w:lineRule="auto"/>
              <w:rPr>
                <w:rFonts w:ascii="宋体" w:hAnsi="宋体" w:cs="宋体"/>
                <w:sz w:val="24"/>
                <w:lang w:bidi="ar"/>
              </w:rPr>
            </w:pPr>
            <w:r>
              <w:rPr>
                <w:rFonts w:hint="eastAsia" w:ascii="宋体" w:hAnsi="宋体" w:cs="宋体"/>
                <w:sz w:val="24"/>
                <w:lang w:bidi="ar"/>
              </w:rPr>
              <w:t>※9. 核心交换机100G端口在负载100%的情况下每端口功率需要≤20W；</w:t>
            </w:r>
          </w:p>
          <w:p>
            <w:pPr>
              <w:spacing w:line="360" w:lineRule="auto"/>
              <w:rPr>
                <w:rFonts w:ascii="宋体" w:hAnsi="宋体" w:cs="宋体"/>
                <w:sz w:val="24"/>
                <w:lang w:bidi="ar"/>
              </w:rPr>
            </w:pPr>
            <w:r>
              <w:rPr>
                <w:rFonts w:hint="eastAsia" w:ascii="宋体" w:hAnsi="宋体" w:cs="宋体"/>
                <w:sz w:val="24"/>
                <w:lang w:bidi="ar"/>
              </w:rPr>
              <w:t>※10.支持光模块智能检测，可监测光模块运行状态：即系统可即时识别光模块短路状态、并将故障模块隔离，确保其不影响其它端口和整机的正常运行；更换模块后该端口也可马上恢复正常工作状态。</w:t>
            </w:r>
          </w:p>
          <w:p>
            <w:pPr>
              <w:spacing w:line="360" w:lineRule="auto"/>
              <w:rPr>
                <w:rFonts w:ascii="宋体" w:hAnsi="宋体" w:cs="宋体"/>
                <w:sz w:val="24"/>
                <w:lang w:bidi="ar"/>
              </w:rPr>
            </w:pPr>
            <w:r>
              <w:rPr>
                <w:rFonts w:hint="eastAsia" w:ascii="宋体" w:hAnsi="宋体" w:cs="宋体"/>
                <w:sz w:val="24"/>
                <w:lang w:bidi="ar"/>
              </w:rPr>
              <w:t>※11.支持硬件层级boot，采用≥1个FLASH芯片存储boot软件（系统引导程序），支持boot冗余备份，避免因FLASH芯片故障导致交换机无法启动。</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182300</w:t>
            </w:r>
          </w:p>
        </w:tc>
      </w:tr>
      <w:tr>
        <w:tblPrEx>
          <w:tblCellMar>
            <w:top w:w="0" w:type="dxa"/>
            <w:left w:w="108" w:type="dxa"/>
            <w:bottom w:w="0" w:type="dxa"/>
            <w:right w:w="108" w:type="dxa"/>
          </w:tblCellMar>
        </w:tblPrEx>
        <w:trPr>
          <w:trHeight w:val="646"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汇聚交换机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▲1.配置主控管理模块，配置冗余电源、冗余风扇；</w:t>
            </w:r>
          </w:p>
          <w:p>
            <w:pPr>
              <w:spacing w:line="360" w:lineRule="auto"/>
              <w:rPr>
                <w:rFonts w:ascii="宋体" w:hAnsi="宋体" w:cs="宋体"/>
                <w:sz w:val="24"/>
                <w:lang w:bidi="ar"/>
              </w:rPr>
            </w:pPr>
            <w:r>
              <w:rPr>
                <w:rFonts w:hint="eastAsia" w:ascii="宋体" w:hAnsi="宋体" w:cs="宋体"/>
                <w:sz w:val="24"/>
                <w:lang w:bidi="ar"/>
              </w:rPr>
              <w:t>▲2.交换容量≥35Tbps，包转发率≥7000Mpps；</w:t>
            </w:r>
          </w:p>
          <w:p>
            <w:pPr>
              <w:spacing w:line="360" w:lineRule="auto"/>
              <w:rPr>
                <w:rFonts w:ascii="宋体" w:hAnsi="宋体" w:cs="宋体"/>
                <w:sz w:val="24"/>
                <w:lang w:bidi="ar"/>
              </w:rPr>
            </w:pPr>
            <w:r>
              <w:rPr>
                <w:rFonts w:hint="eastAsia" w:ascii="宋体" w:hAnsi="宋体" w:cs="宋体"/>
                <w:sz w:val="24"/>
                <w:lang w:bidi="ar"/>
              </w:rPr>
              <w:t>▲3.单台设备下行接口满足≥160间房间的接入设备通过2.5G光口独享带宽互联，接口不接受外附扩展，配置≥2个100G上行光口，另外通过扩展槽可支持扩容25G、40G、100G上行业务接口；</w:t>
            </w:r>
          </w:p>
          <w:p>
            <w:pPr>
              <w:spacing w:line="360" w:lineRule="auto"/>
              <w:rPr>
                <w:rFonts w:ascii="宋体" w:hAnsi="宋体" w:cs="宋体"/>
                <w:sz w:val="24"/>
                <w:lang w:bidi="ar"/>
              </w:rPr>
            </w:pPr>
            <w:r>
              <w:rPr>
                <w:rFonts w:hint="eastAsia" w:ascii="宋体" w:hAnsi="宋体" w:cs="宋体"/>
                <w:sz w:val="24"/>
                <w:lang w:bidi="ar"/>
              </w:rPr>
              <w:t>4.设备支持硬件健康状态可视化，可以对风扇状态、电源、温度进行监控；</w:t>
            </w:r>
          </w:p>
          <w:p>
            <w:pPr>
              <w:spacing w:line="360" w:lineRule="auto"/>
              <w:rPr>
                <w:rFonts w:ascii="宋体" w:hAnsi="宋体" w:cs="宋体"/>
                <w:sz w:val="24"/>
                <w:lang w:bidi="ar"/>
              </w:rPr>
            </w:pPr>
            <w:r>
              <w:rPr>
                <w:rFonts w:hint="eastAsia" w:ascii="宋体" w:hAnsi="宋体" w:cs="宋体"/>
                <w:sz w:val="24"/>
                <w:lang w:bidi="ar"/>
              </w:rPr>
              <w:t>5.支持RIP，OSPF，BGP，RIPng，OSPFv3，BGP4+；</w:t>
            </w:r>
          </w:p>
          <w:p>
            <w:pPr>
              <w:spacing w:line="360" w:lineRule="auto"/>
              <w:rPr>
                <w:rFonts w:ascii="宋体" w:hAnsi="宋体" w:cs="宋体"/>
                <w:sz w:val="24"/>
                <w:lang w:bidi="ar"/>
              </w:rPr>
            </w:pPr>
            <w:r>
              <w:rPr>
                <w:rFonts w:hint="eastAsia" w:ascii="宋体" w:hAnsi="宋体" w:cs="宋体"/>
                <w:sz w:val="24"/>
                <w:lang w:bidi="ar"/>
              </w:rPr>
              <w:t>6.支持多虚一技术，可将多台物理设备虚拟化为一台逻辑设备统一管理；</w:t>
            </w:r>
          </w:p>
          <w:p>
            <w:pPr>
              <w:spacing w:line="360" w:lineRule="auto"/>
              <w:rPr>
                <w:rFonts w:ascii="宋体" w:hAnsi="宋体" w:cs="宋体"/>
                <w:sz w:val="24"/>
                <w:lang w:bidi="ar"/>
              </w:rPr>
            </w:pPr>
            <w:r>
              <w:rPr>
                <w:rFonts w:hint="eastAsia" w:ascii="宋体" w:hAnsi="宋体" w:cs="宋体"/>
                <w:sz w:val="24"/>
                <w:lang w:bidi="ar"/>
              </w:rPr>
              <w:t>7.支持支持同时开启802.1X或WEB认证，CPP、ACL、防ARP欺骗等功能不会相互冲突、制约；</w:t>
            </w:r>
          </w:p>
          <w:p>
            <w:pPr>
              <w:spacing w:line="360" w:lineRule="auto"/>
              <w:rPr>
                <w:rFonts w:ascii="宋体" w:hAnsi="宋体" w:cs="宋体"/>
                <w:sz w:val="24"/>
                <w:lang w:bidi="ar"/>
              </w:rPr>
            </w:pPr>
            <w:r>
              <w:rPr>
                <w:rFonts w:hint="eastAsia" w:ascii="宋体" w:hAnsi="宋体" w:cs="宋体"/>
                <w:sz w:val="24"/>
                <w:lang w:bidi="ar"/>
              </w:rPr>
              <w:t>8.支持CPU保护功能，能够针对发往CPU处理的各种报文进行流区分和优先级队列分级处理；</w:t>
            </w:r>
          </w:p>
          <w:p>
            <w:pPr>
              <w:spacing w:line="360" w:lineRule="auto"/>
              <w:rPr>
                <w:rFonts w:ascii="宋体" w:hAnsi="宋体" w:cs="宋体"/>
                <w:sz w:val="24"/>
                <w:lang w:bidi="ar"/>
              </w:rPr>
            </w:pPr>
            <w:r>
              <w:rPr>
                <w:rFonts w:hint="eastAsia" w:ascii="宋体" w:hAnsi="宋体" w:cs="宋体"/>
                <w:sz w:val="24"/>
                <w:lang w:bidi="ar"/>
              </w:rPr>
              <w:t>9.支持SAVI功能，可防止地址解析欺骗</w:t>
            </w:r>
          </w:p>
          <w:p>
            <w:pPr>
              <w:spacing w:line="360" w:lineRule="auto"/>
              <w:rPr>
                <w:rFonts w:ascii="宋体" w:hAnsi="宋体" w:cs="宋体"/>
                <w:sz w:val="24"/>
                <w:lang w:bidi="ar"/>
              </w:rPr>
            </w:pPr>
            <w:r>
              <w:rPr>
                <w:rFonts w:hint="eastAsia" w:ascii="宋体" w:hAnsi="宋体" w:cs="宋体"/>
                <w:sz w:val="24"/>
                <w:lang w:bidi="ar"/>
              </w:rPr>
              <w:t>※10.支持对下联交换机的即插即用实现零配置上线、互联光链路故障自动监测，下联交换机故障后零配置替换功能，投标文件中提供官网截图证明。</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29720</w:t>
            </w:r>
          </w:p>
        </w:tc>
      </w:tr>
      <w:tr>
        <w:tblPrEx>
          <w:tblCellMar>
            <w:top w:w="0" w:type="dxa"/>
            <w:left w:w="108" w:type="dxa"/>
            <w:bottom w:w="0" w:type="dxa"/>
            <w:right w:w="108" w:type="dxa"/>
          </w:tblCellMar>
        </w:tblPrEx>
        <w:trPr>
          <w:trHeight w:val="114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汇聚交换机（7号楼汇聚交换机）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▲1.支持并实配10G接口数≥48个，100G QSFP28接口数≥8个，端口均支持线速转发，配置≥4个100G单模光模块；</w:t>
            </w:r>
          </w:p>
          <w:p>
            <w:pPr>
              <w:spacing w:line="360" w:lineRule="auto"/>
              <w:rPr>
                <w:rFonts w:ascii="宋体" w:hAnsi="宋体" w:cs="宋体"/>
                <w:sz w:val="24"/>
                <w:lang w:bidi="ar"/>
              </w:rPr>
            </w:pPr>
            <w:r>
              <w:rPr>
                <w:rFonts w:hint="eastAsia" w:ascii="宋体" w:hAnsi="宋体" w:cs="宋体"/>
                <w:sz w:val="24"/>
                <w:lang w:bidi="ar"/>
              </w:rPr>
              <w:t>▲2.每个100G端口均支持向下兼容40GE速率传输；支持端口拆分一分四，拆分为4*25G/4*10G模式；</w:t>
            </w:r>
          </w:p>
          <w:p>
            <w:pPr>
              <w:spacing w:line="360" w:lineRule="auto"/>
              <w:rPr>
                <w:rFonts w:ascii="宋体" w:hAnsi="宋体" w:cs="宋体"/>
                <w:sz w:val="24"/>
                <w:lang w:bidi="ar"/>
              </w:rPr>
            </w:pPr>
            <w:r>
              <w:rPr>
                <w:rFonts w:hint="eastAsia" w:ascii="宋体" w:hAnsi="宋体" w:cs="宋体"/>
                <w:sz w:val="24"/>
                <w:lang w:bidi="ar"/>
              </w:rPr>
              <w:t>▲3.配置可拔插双模块化电源，可拔插四模块化风扇；</w:t>
            </w:r>
          </w:p>
          <w:p>
            <w:pPr>
              <w:spacing w:line="360" w:lineRule="auto"/>
              <w:rPr>
                <w:rFonts w:ascii="宋体" w:hAnsi="宋体" w:cs="宋体"/>
                <w:sz w:val="24"/>
                <w:lang w:bidi="ar"/>
              </w:rPr>
            </w:pPr>
            <w:r>
              <w:rPr>
                <w:rFonts w:hint="eastAsia" w:ascii="宋体" w:hAnsi="宋体" w:cs="宋体"/>
                <w:sz w:val="24"/>
                <w:lang w:bidi="ar"/>
              </w:rPr>
              <w:t>▲4.交换容量≥4.6Tbps，包转发率≥2000Mpps；</w:t>
            </w:r>
          </w:p>
          <w:p>
            <w:pPr>
              <w:spacing w:line="360" w:lineRule="auto"/>
              <w:rPr>
                <w:rFonts w:ascii="宋体" w:hAnsi="宋体" w:cs="宋体"/>
                <w:sz w:val="24"/>
                <w:lang w:bidi="ar"/>
              </w:rPr>
            </w:pPr>
            <w:r>
              <w:rPr>
                <w:rFonts w:hint="eastAsia" w:ascii="宋体" w:hAnsi="宋体" w:cs="宋体"/>
                <w:sz w:val="24"/>
                <w:lang w:bidi="ar"/>
              </w:rPr>
              <w:t>5.端口缓存≥32MB。</w:t>
            </w:r>
          </w:p>
          <w:p>
            <w:pPr>
              <w:spacing w:line="360" w:lineRule="auto"/>
              <w:rPr>
                <w:rFonts w:ascii="宋体" w:hAnsi="宋体" w:cs="宋体"/>
                <w:sz w:val="24"/>
                <w:lang w:bidi="ar"/>
              </w:rPr>
            </w:pPr>
            <w:r>
              <w:rPr>
                <w:rFonts w:hint="eastAsia" w:ascii="宋体" w:hAnsi="宋体" w:cs="宋体"/>
                <w:sz w:val="24"/>
                <w:lang w:bidi="ar"/>
              </w:rPr>
              <w:t>6.支持设备智能定位；</w:t>
            </w:r>
          </w:p>
          <w:p>
            <w:pPr>
              <w:spacing w:line="360" w:lineRule="auto"/>
              <w:rPr>
                <w:rFonts w:ascii="宋体" w:hAnsi="宋体" w:cs="宋体"/>
                <w:sz w:val="24"/>
                <w:lang w:bidi="ar"/>
              </w:rPr>
            </w:pPr>
            <w:r>
              <w:rPr>
                <w:rFonts w:hint="eastAsia" w:ascii="宋体" w:hAnsi="宋体" w:cs="宋体"/>
                <w:sz w:val="24"/>
                <w:lang w:bidi="ar"/>
              </w:rPr>
              <w:t>7.支持RIP，OSPF，BGP，RIPng，OSPFv3，BGP4+</w:t>
            </w:r>
          </w:p>
          <w:p>
            <w:pPr>
              <w:spacing w:line="360" w:lineRule="auto"/>
              <w:rPr>
                <w:rFonts w:ascii="宋体" w:hAnsi="宋体" w:cs="宋体"/>
                <w:sz w:val="24"/>
                <w:lang w:bidi="ar"/>
              </w:rPr>
            </w:pPr>
            <w:r>
              <w:rPr>
                <w:rFonts w:hint="eastAsia" w:ascii="宋体" w:hAnsi="宋体" w:cs="宋体"/>
                <w:sz w:val="24"/>
                <w:lang w:bidi="ar"/>
              </w:rPr>
              <w:t>8.支持DCBX、ECN、PFC、RDMA等网络融合特性；</w:t>
            </w:r>
          </w:p>
          <w:p>
            <w:pPr>
              <w:spacing w:line="360" w:lineRule="auto"/>
              <w:rPr>
                <w:rFonts w:ascii="宋体" w:hAnsi="宋体" w:cs="宋体"/>
                <w:sz w:val="24"/>
                <w:lang w:bidi="ar"/>
              </w:rPr>
            </w:pPr>
            <w:r>
              <w:rPr>
                <w:rFonts w:hint="eastAsia" w:ascii="宋体" w:hAnsi="宋体" w:cs="宋体"/>
                <w:sz w:val="24"/>
                <w:lang w:bidi="ar"/>
              </w:rPr>
              <w:t>9.支持多虚一技术，可将多台物理设备虚拟化为一台逻辑设备统一管理；</w:t>
            </w:r>
          </w:p>
          <w:p>
            <w:pPr>
              <w:spacing w:line="360" w:lineRule="auto"/>
              <w:rPr>
                <w:rFonts w:ascii="宋体" w:hAnsi="宋体" w:cs="宋体"/>
                <w:sz w:val="24"/>
                <w:lang w:bidi="ar"/>
              </w:rPr>
            </w:pPr>
            <w:r>
              <w:rPr>
                <w:rFonts w:hint="eastAsia" w:ascii="宋体" w:hAnsi="宋体" w:cs="宋体"/>
                <w:sz w:val="24"/>
                <w:lang w:bidi="ar"/>
              </w:rPr>
              <w:t>10.支持VXLAN，包括：L2VNI Mapping，L3VNI Mapping；支持VxLAN网桥、VxLAN网关、EVPN VxLAN；</w:t>
            </w:r>
          </w:p>
          <w:p>
            <w:pPr>
              <w:spacing w:line="360" w:lineRule="auto"/>
              <w:rPr>
                <w:rFonts w:ascii="宋体" w:hAnsi="宋体" w:cs="宋体"/>
                <w:sz w:val="24"/>
                <w:lang w:bidi="ar"/>
              </w:rPr>
            </w:pPr>
            <w:r>
              <w:rPr>
                <w:rFonts w:hint="eastAsia" w:ascii="宋体" w:hAnsi="宋体" w:cs="宋体"/>
                <w:sz w:val="24"/>
                <w:lang w:bidi="ar"/>
              </w:rPr>
              <w:t>支持SDN技术，符合OpenFlow 1.3协议标准。</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29720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光纤汇聚无源设备</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114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1.设备固化端口数≥8</w:t>
            </w:r>
          </w:p>
          <w:p>
            <w:pPr>
              <w:spacing w:line="360" w:lineRule="auto"/>
              <w:rPr>
                <w:rFonts w:ascii="宋体" w:hAnsi="宋体" w:cs="宋体"/>
                <w:sz w:val="24"/>
              </w:rPr>
            </w:pPr>
            <w:r>
              <w:rPr>
                <w:rFonts w:hint="eastAsia" w:ascii="宋体" w:hAnsi="宋体" w:cs="宋体"/>
                <w:sz w:val="24"/>
                <w:lang w:bidi="ar"/>
              </w:rPr>
              <w:t>▲</w:t>
            </w:r>
            <w:r>
              <w:rPr>
                <w:rFonts w:hint="eastAsia" w:ascii="宋体" w:hAnsi="宋体" w:cs="宋体"/>
                <w:sz w:val="24"/>
              </w:rPr>
              <w:t>2.设备的各光链路通道实现物理隔离，无分光，带宽1：1独享；</w:t>
            </w:r>
          </w:p>
          <w:p>
            <w:pPr>
              <w:spacing w:line="360" w:lineRule="auto"/>
              <w:rPr>
                <w:rFonts w:ascii="宋体" w:hAnsi="宋体" w:cs="宋体"/>
                <w:sz w:val="24"/>
              </w:rPr>
            </w:pPr>
            <w:r>
              <w:rPr>
                <w:rFonts w:hint="eastAsia" w:ascii="宋体" w:hAnsi="宋体" w:cs="宋体"/>
                <w:sz w:val="24"/>
              </w:rPr>
              <w:t>3.设备支持集中机柜安装、壁挂等安装方式，配套外框设备，支持标准机柜上架安装；</w:t>
            </w:r>
          </w:p>
          <w:p>
            <w:pPr>
              <w:spacing w:line="360" w:lineRule="auto"/>
              <w:rPr>
                <w:rFonts w:ascii="宋体" w:hAnsi="宋体" w:cs="宋体"/>
                <w:sz w:val="24"/>
              </w:rPr>
            </w:pPr>
            <w:r>
              <w:rPr>
                <w:rFonts w:hint="eastAsia" w:ascii="宋体" w:hAnsi="宋体" w:cs="宋体"/>
                <w:sz w:val="24"/>
              </w:rPr>
              <w:t>4.器件完全无源，无需插电即可正常工作；</w:t>
            </w:r>
          </w:p>
          <w:p>
            <w:pPr>
              <w:spacing w:line="360" w:lineRule="auto"/>
              <w:rPr>
                <w:rFonts w:ascii="宋体" w:hAnsi="宋体" w:cs="宋体"/>
                <w:sz w:val="24"/>
              </w:rPr>
            </w:pPr>
            <w:r>
              <w:rPr>
                <w:rFonts w:hint="eastAsia" w:ascii="宋体" w:hAnsi="宋体" w:cs="宋体"/>
                <w:sz w:val="24"/>
                <w:lang w:bidi="ar"/>
              </w:rPr>
              <w:t>▲</w:t>
            </w:r>
            <w:r>
              <w:rPr>
                <w:rFonts w:hint="eastAsia" w:ascii="宋体" w:hAnsi="宋体" w:cs="宋体"/>
                <w:sz w:val="24"/>
              </w:rPr>
              <w:t>5</w:t>
            </w:r>
            <w:r>
              <w:rPr>
                <w:rFonts w:hint="eastAsia" w:ascii="宋体" w:hAnsi="宋体" w:cs="宋体"/>
                <w:b/>
                <w:bCs/>
                <w:sz w:val="24"/>
              </w:rPr>
              <w:t>.配合本项目第17项SDN控制器可显示整网拓扑，包括设备端口使用情况，链路故障能及时响应。</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1900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汇聚交换机配套光模块</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114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rPr>
              <w:t>组</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配置满足≥8台接入设备的2.5G独立上联连接光模块，光模块同时支持1311nm、1331nm、1431nm、1451nm、1551nm、1571nm等不同的工作波长（实现方式不限，须满足本项目组网要求）。</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4106</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接入设备配套光模块</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114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rPr>
              <w:t>组</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包含8个2.5G单模光模块，满足10KM的传输距离</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1110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吸顶AP</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699</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 w:val="24"/>
              </w:rPr>
            </w:pPr>
            <w:r>
              <w:rPr>
                <w:rFonts w:hint="eastAsia" w:ascii="宋体" w:hAnsi="宋体" w:cs="宋体"/>
                <w:sz w:val="24"/>
                <w:lang w:bidi="ar"/>
              </w:rPr>
              <w:t>套</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▲1.支持802.11ax标准；采用双射频设计，一个2.4GHz射频卡，一个5GHz射频卡；整机空间流≥4条；整机无线速率≥2.9Gbps；</w:t>
            </w:r>
          </w:p>
          <w:p>
            <w:pPr>
              <w:spacing w:line="360" w:lineRule="auto"/>
              <w:rPr>
                <w:rFonts w:ascii="宋体" w:hAnsi="宋体" w:cs="宋体"/>
                <w:sz w:val="24"/>
                <w:lang w:bidi="ar"/>
              </w:rPr>
            </w:pPr>
            <w:r>
              <w:rPr>
                <w:rFonts w:hint="eastAsia" w:ascii="宋体" w:hAnsi="宋体" w:cs="宋体"/>
                <w:sz w:val="24"/>
                <w:lang w:bidi="ar"/>
              </w:rPr>
              <w:t>2.支持防盗锁孔；</w:t>
            </w:r>
          </w:p>
          <w:p>
            <w:pPr>
              <w:spacing w:line="360" w:lineRule="auto"/>
              <w:rPr>
                <w:rFonts w:ascii="宋体" w:hAnsi="宋体" w:cs="宋体"/>
                <w:sz w:val="24"/>
                <w:lang w:bidi="ar"/>
              </w:rPr>
            </w:pPr>
            <w:r>
              <w:rPr>
                <w:rFonts w:hint="eastAsia" w:ascii="宋体" w:hAnsi="宋体" w:cs="宋体"/>
                <w:sz w:val="24"/>
                <w:lang w:bidi="ar"/>
              </w:rPr>
              <w:t>▲3.提供≥1个1000M以太网端口、1个2.5G SFP光口；</w:t>
            </w:r>
          </w:p>
          <w:p>
            <w:pPr>
              <w:spacing w:line="360" w:lineRule="auto"/>
              <w:rPr>
                <w:rFonts w:ascii="宋体" w:hAnsi="宋体" w:cs="宋体"/>
                <w:sz w:val="24"/>
                <w:lang w:bidi="ar"/>
              </w:rPr>
            </w:pPr>
            <w:r>
              <w:rPr>
                <w:rFonts w:hint="eastAsia" w:ascii="宋体" w:hAnsi="宋体" w:cs="宋体"/>
                <w:sz w:val="24"/>
                <w:lang w:bidi="ar"/>
              </w:rPr>
              <w:t>4.支持内置蓝牙5.0或5.1；</w:t>
            </w:r>
          </w:p>
          <w:p>
            <w:pPr>
              <w:spacing w:line="360" w:lineRule="auto"/>
              <w:rPr>
                <w:rFonts w:ascii="宋体" w:hAnsi="宋体" w:cs="宋体"/>
                <w:sz w:val="24"/>
                <w:lang w:bidi="ar"/>
              </w:rPr>
            </w:pPr>
            <w:r>
              <w:rPr>
                <w:rFonts w:hint="eastAsia" w:ascii="宋体" w:hAnsi="宋体" w:cs="宋体"/>
                <w:sz w:val="24"/>
                <w:lang w:bidi="ar"/>
              </w:rPr>
              <w:t>5.整机功耗≤13W；</w:t>
            </w:r>
          </w:p>
          <w:p>
            <w:pPr>
              <w:spacing w:line="360" w:lineRule="auto"/>
              <w:rPr>
                <w:rFonts w:ascii="宋体" w:hAnsi="宋体" w:cs="宋体"/>
                <w:sz w:val="24"/>
                <w:lang w:bidi="ar"/>
              </w:rPr>
            </w:pPr>
            <w:r>
              <w:rPr>
                <w:rFonts w:hint="eastAsia" w:ascii="宋体" w:hAnsi="宋体" w:cs="宋体"/>
                <w:sz w:val="24"/>
                <w:lang w:bidi="ar"/>
              </w:rPr>
              <w:t>※6.确保高空室外环境堆积灰尘或雷雨天气情况下设备仍可以正常运行，要求设备符合国标GB/T 4208即《外壳防护等级（IP代码）》，至少达到防护等级IP51；</w:t>
            </w:r>
          </w:p>
          <w:p>
            <w:pPr>
              <w:spacing w:line="360" w:lineRule="auto"/>
              <w:rPr>
                <w:rFonts w:ascii="宋体" w:hAnsi="宋体" w:cs="宋体"/>
                <w:sz w:val="24"/>
                <w:lang w:bidi="ar"/>
              </w:rPr>
            </w:pPr>
            <w:r>
              <w:rPr>
                <w:rFonts w:hint="eastAsia" w:ascii="宋体" w:hAnsi="宋体" w:cs="宋体"/>
                <w:sz w:val="24"/>
                <w:lang w:bidi="ar"/>
              </w:rPr>
              <w:t>※7.确保高空室外环境雷雨天气或遇机械撞击情况下设备仍可以正常运行，要求设备符合国标GB/T 20138即《电器设备外壳对外界机械碰撞的防护等级（IK代码）》标准，至少达到防护等级IK08；9.支持SSID隐藏，每个SSID可配置单独的认证方式、加密机制，VLAN属性；</w:t>
            </w:r>
          </w:p>
          <w:p>
            <w:pPr>
              <w:spacing w:line="360" w:lineRule="auto"/>
              <w:rPr>
                <w:rFonts w:ascii="宋体" w:hAnsi="宋体" w:cs="宋体"/>
                <w:sz w:val="24"/>
                <w:lang w:bidi="ar"/>
              </w:rPr>
            </w:pPr>
            <w:r>
              <w:rPr>
                <w:rFonts w:hint="eastAsia" w:ascii="宋体" w:hAnsi="宋体" w:cs="宋体"/>
                <w:sz w:val="24"/>
                <w:lang w:bidi="ar"/>
              </w:rPr>
              <w:t>10.支持带宽限制，支持基于STA/SSID/AP的限速；</w:t>
            </w:r>
          </w:p>
          <w:p>
            <w:pPr>
              <w:spacing w:line="360" w:lineRule="auto"/>
              <w:rPr>
                <w:rFonts w:ascii="宋体" w:hAnsi="宋体" w:cs="宋体"/>
                <w:sz w:val="24"/>
                <w:lang w:bidi="ar"/>
              </w:rPr>
            </w:pPr>
            <w:r>
              <w:rPr>
                <w:rFonts w:hint="eastAsia" w:ascii="宋体" w:hAnsi="宋体" w:cs="宋体"/>
                <w:sz w:val="24"/>
                <w:lang w:bidi="ar"/>
              </w:rPr>
              <w:t>11.支持Fat/Fit模式切换；当工作在Fit（瘦）模式时，可通过AC系列无线控制器切换为Fat模式；当工作在Fat（胖）模式时，可通过本地控制口、Telnet方式切换为Fit模式；</w:t>
            </w:r>
          </w:p>
          <w:p>
            <w:pPr>
              <w:spacing w:line="360" w:lineRule="auto"/>
              <w:rPr>
                <w:rFonts w:ascii="宋体" w:hAnsi="宋体" w:cs="宋体"/>
                <w:sz w:val="24"/>
                <w:lang w:bidi="ar"/>
              </w:rPr>
            </w:pPr>
            <w:r>
              <w:rPr>
                <w:rFonts w:hint="eastAsia" w:ascii="宋体" w:hAnsi="宋体" w:cs="宋体"/>
                <w:sz w:val="24"/>
                <w:lang w:bidi="ar"/>
              </w:rPr>
              <w:t>12.为保证无线网络安全，支持PSK认证、Web认证、二维码访客认证、短信认证、无感知认证等认证方式；支持WEP（64/128位）、WPA（TKIP）、WPA-PSK、WPA2（AES）、WPA3等数据加密方式；</w:t>
            </w:r>
          </w:p>
          <w:p>
            <w:pPr>
              <w:spacing w:line="360" w:lineRule="auto"/>
              <w:rPr>
                <w:rFonts w:ascii="宋体" w:hAnsi="宋体" w:cs="宋体"/>
                <w:sz w:val="24"/>
                <w:lang w:bidi="ar"/>
              </w:rPr>
            </w:pPr>
            <w:r>
              <w:rPr>
                <w:rFonts w:hint="eastAsia" w:ascii="宋体" w:hAnsi="宋体" w:cs="宋体"/>
                <w:sz w:val="24"/>
                <w:lang w:bidi="ar"/>
              </w:rPr>
              <w:t>13.支持通过Telnet、TFTP、Web管理；</w:t>
            </w:r>
          </w:p>
          <w:p>
            <w:pPr>
              <w:spacing w:line="360" w:lineRule="auto"/>
              <w:rPr>
                <w:rFonts w:ascii="宋体" w:hAnsi="宋体" w:cs="宋体"/>
                <w:sz w:val="24"/>
                <w:lang w:bidi="ar"/>
              </w:rPr>
            </w:pPr>
            <w:r>
              <w:rPr>
                <w:rFonts w:hint="eastAsia" w:ascii="宋体" w:hAnsi="宋体" w:cs="宋体"/>
                <w:sz w:val="24"/>
                <w:lang w:bidi="ar"/>
              </w:rPr>
              <w:t>支持故障检测及报警；支持信息统计及日志。</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763</w:t>
            </w:r>
          </w:p>
        </w:tc>
      </w:tr>
      <w:tr>
        <w:tblPrEx>
          <w:tblCellMar>
            <w:top w:w="0" w:type="dxa"/>
            <w:left w:w="108" w:type="dxa"/>
            <w:bottom w:w="0" w:type="dxa"/>
            <w:right w:w="108" w:type="dxa"/>
          </w:tblCellMar>
        </w:tblPrEx>
        <w:trPr>
          <w:trHeight w:val="41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高密AP</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70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套</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▲1.支持802.11ax标准，整机支持≥10条流，整机接入速率≥8.5Gbps；</w:t>
            </w:r>
          </w:p>
          <w:p>
            <w:pPr>
              <w:spacing w:line="360" w:lineRule="auto"/>
              <w:rPr>
                <w:rFonts w:ascii="宋体" w:hAnsi="宋体" w:cs="宋体"/>
                <w:sz w:val="24"/>
                <w:lang w:bidi="ar"/>
              </w:rPr>
            </w:pPr>
            <w:r>
              <w:rPr>
                <w:rFonts w:hint="eastAsia" w:ascii="宋体" w:hAnsi="宋体" w:cs="宋体"/>
                <w:sz w:val="24"/>
                <w:lang w:bidi="ar"/>
              </w:rPr>
              <w:t xml:space="preserve"> ▲2.可通过扩展实现四射频组网设计（提供≥1个 2.4GHz 射频卡，≥3个 5GHz 射频卡）；</w:t>
            </w:r>
          </w:p>
          <w:p>
            <w:pPr>
              <w:spacing w:line="360" w:lineRule="auto"/>
              <w:rPr>
                <w:rFonts w:ascii="宋体" w:hAnsi="宋体" w:cs="宋体"/>
                <w:sz w:val="24"/>
                <w:lang w:bidi="ar"/>
              </w:rPr>
            </w:pPr>
            <w:r>
              <w:rPr>
                <w:rFonts w:hint="eastAsia" w:ascii="宋体" w:hAnsi="宋体" w:cs="宋体"/>
                <w:sz w:val="24"/>
                <w:lang w:bidi="ar"/>
              </w:rPr>
              <w:t>▲3.提供≥1个10/100/1000M以太网接口支持对外供电，可扩展物联网模块；</w:t>
            </w:r>
          </w:p>
          <w:p>
            <w:pPr>
              <w:spacing w:line="360" w:lineRule="auto"/>
              <w:rPr>
                <w:rFonts w:ascii="宋体" w:hAnsi="宋体" w:cs="宋体"/>
                <w:sz w:val="24"/>
                <w:lang w:bidi="ar"/>
              </w:rPr>
            </w:pPr>
            <w:r>
              <w:rPr>
                <w:rFonts w:hint="eastAsia" w:ascii="宋体" w:hAnsi="宋体" w:cs="宋体"/>
                <w:sz w:val="24"/>
                <w:lang w:bidi="ar"/>
              </w:rPr>
              <w:t>4.支持蓝牙5.0或 5.1；</w:t>
            </w:r>
          </w:p>
          <w:p>
            <w:pPr>
              <w:spacing w:line="360" w:lineRule="auto"/>
              <w:rPr>
                <w:rFonts w:ascii="宋体" w:hAnsi="宋体" w:cs="宋体"/>
                <w:sz w:val="24"/>
                <w:lang w:bidi="ar"/>
              </w:rPr>
            </w:pPr>
            <w:r>
              <w:rPr>
                <w:rFonts w:hint="eastAsia" w:ascii="宋体" w:hAnsi="宋体" w:cs="宋体"/>
                <w:sz w:val="24"/>
                <w:lang w:bidi="ar"/>
              </w:rPr>
              <w:t>▲5.设备提供≥1个5G电口、1个5G光口；</w:t>
            </w:r>
          </w:p>
          <w:p>
            <w:pPr>
              <w:spacing w:line="360" w:lineRule="auto"/>
              <w:rPr>
                <w:rFonts w:ascii="宋体" w:hAnsi="宋体" w:cs="宋体"/>
                <w:sz w:val="24"/>
                <w:lang w:bidi="ar"/>
              </w:rPr>
            </w:pPr>
            <w:r>
              <w:rPr>
                <w:rFonts w:hint="eastAsia" w:ascii="宋体" w:hAnsi="宋体" w:cs="宋体"/>
                <w:sz w:val="24"/>
                <w:lang w:bidi="ar"/>
              </w:rPr>
              <w:t>6.整机功耗≤40W；</w:t>
            </w:r>
          </w:p>
          <w:p>
            <w:pPr>
              <w:spacing w:line="360" w:lineRule="auto"/>
              <w:rPr>
                <w:rFonts w:ascii="宋体" w:hAnsi="宋体" w:cs="宋体"/>
                <w:sz w:val="24"/>
                <w:lang w:bidi="ar"/>
              </w:rPr>
            </w:pPr>
            <w:r>
              <w:rPr>
                <w:rFonts w:hint="eastAsia" w:ascii="宋体" w:hAnsi="宋体" w:cs="宋体"/>
                <w:sz w:val="24"/>
                <w:lang w:bidi="ar"/>
              </w:rPr>
              <w:t>※7.确保高空室外环境堆积灰尘或雷雨天气情况下设备仍可以正常运行，要求设备符合国标GB/T 4208即《外壳防护等级（IP代码）》，防尘防水等级至少达到IP51；</w:t>
            </w:r>
          </w:p>
          <w:p>
            <w:pPr>
              <w:spacing w:line="360" w:lineRule="auto"/>
              <w:rPr>
                <w:rFonts w:ascii="宋体" w:hAnsi="宋体" w:cs="宋体"/>
                <w:sz w:val="24"/>
                <w:lang w:bidi="ar"/>
              </w:rPr>
            </w:pPr>
            <w:r>
              <w:rPr>
                <w:rFonts w:hint="eastAsia" w:ascii="宋体" w:hAnsi="宋体" w:cs="宋体"/>
                <w:sz w:val="24"/>
                <w:lang w:bidi="ar"/>
              </w:rPr>
              <w:t>※8.AP可使用额外的一个射频进行环境扫描，并将信息上传AC，由AC引导终端漫游到附近信号更好的 AP，减少网络中的粘性终端以及避免终端主动漫游产生的丢包；</w:t>
            </w:r>
          </w:p>
          <w:p>
            <w:pPr>
              <w:spacing w:line="360" w:lineRule="auto"/>
              <w:rPr>
                <w:rFonts w:ascii="宋体" w:hAnsi="宋体" w:cs="宋体"/>
                <w:sz w:val="24"/>
                <w:lang w:bidi="ar"/>
              </w:rPr>
            </w:pPr>
            <w:r>
              <w:rPr>
                <w:rFonts w:hint="eastAsia" w:ascii="宋体" w:hAnsi="宋体" w:cs="宋体"/>
                <w:sz w:val="24"/>
                <w:lang w:bidi="ar"/>
              </w:rPr>
              <w:t>9.所投AP整机接入用户数≥1552个；</w:t>
            </w:r>
          </w:p>
          <w:p>
            <w:pPr>
              <w:spacing w:line="360" w:lineRule="auto"/>
              <w:rPr>
                <w:rFonts w:ascii="宋体" w:hAnsi="宋体" w:cs="宋体"/>
                <w:sz w:val="24"/>
                <w:lang w:bidi="ar"/>
              </w:rPr>
            </w:pPr>
            <w:r>
              <w:rPr>
                <w:rFonts w:hint="eastAsia" w:ascii="宋体" w:hAnsi="宋体" w:cs="宋体"/>
                <w:sz w:val="24"/>
                <w:lang w:bidi="ar"/>
              </w:rPr>
              <w:t>10.支持SSID隐藏，支持为每个SSID配置单独的认证方式、加密机制，VLAN属性；支持基于SSID、射频卡的接入用户数限制；支持基于终端数或流量的智能负载均衡，支持基于STA/SSID/AP的限速；</w:t>
            </w:r>
          </w:p>
          <w:p>
            <w:pPr>
              <w:spacing w:line="360" w:lineRule="auto"/>
              <w:rPr>
                <w:rFonts w:ascii="宋体" w:hAnsi="宋体" w:cs="宋体"/>
                <w:sz w:val="24"/>
                <w:lang w:bidi="ar"/>
              </w:rPr>
            </w:pPr>
            <w:r>
              <w:rPr>
                <w:rFonts w:hint="eastAsia" w:ascii="宋体" w:hAnsi="宋体" w:cs="宋体"/>
                <w:sz w:val="24"/>
                <w:lang w:bidi="ar"/>
              </w:rPr>
              <w:t>11.为避免无线网络中私接非法AP，所投AP支持非法AP检测及反制功能；具有非法AP的精确反制和模糊反制功能，能够主动识别非法设备并令非法设备不能使用；</w:t>
            </w:r>
          </w:p>
          <w:p>
            <w:pPr>
              <w:spacing w:line="360" w:lineRule="auto"/>
              <w:rPr>
                <w:rFonts w:ascii="宋体" w:hAnsi="宋体" w:cs="宋体"/>
                <w:sz w:val="24"/>
                <w:lang w:bidi="ar"/>
              </w:rPr>
            </w:pPr>
            <w:r>
              <w:rPr>
                <w:rFonts w:hint="eastAsia" w:ascii="宋体" w:hAnsi="宋体" w:cs="宋体"/>
                <w:sz w:val="24"/>
                <w:lang w:bidi="ar"/>
              </w:rPr>
              <w:t>12.支持PSK认证、Web认证、微信认证、二维码访客认证、短信认证、无感知认证等认证方式；</w:t>
            </w:r>
          </w:p>
          <w:p>
            <w:pPr>
              <w:spacing w:line="360" w:lineRule="auto"/>
              <w:rPr>
                <w:rFonts w:ascii="宋体" w:hAnsi="宋体" w:cs="宋体"/>
                <w:sz w:val="24"/>
                <w:lang w:bidi="ar"/>
              </w:rPr>
            </w:pPr>
            <w:r>
              <w:rPr>
                <w:rFonts w:hint="eastAsia" w:ascii="宋体" w:hAnsi="宋体" w:cs="宋体"/>
                <w:sz w:val="24"/>
                <w:lang w:bidi="ar"/>
              </w:rPr>
              <w:t>13.数据加密支持WPA（TKIP）、WPA-PSK、WPA2（AES）、WPA3、WEP（64/128位）；</w:t>
            </w:r>
          </w:p>
          <w:p>
            <w:pPr>
              <w:spacing w:line="360" w:lineRule="auto"/>
              <w:rPr>
                <w:rFonts w:ascii="宋体" w:hAnsi="宋体" w:cs="宋体"/>
                <w:sz w:val="24"/>
                <w:lang w:bidi="ar"/>
              </w:rPr>
            </w:pPr>
            <w:r>
              <w:rPr>
                <w:rFonts w:hint="eastAsia" w:ascii="宋体" w:hAnsi="宋体" w:cs="宋体"/>
                <w:sz w:val="24"/>
                <w:lang w:bidi="ar"/>
              </w:rPr>
              <w:t>14.数据帧过滤支持白名单、静态黑名单、动态黑名单；支持用户隔离；支持动态ACL下发；支持通过Telnet、TFTP管理、Web管理；</w:t>
            </w:r>
          </w:p>
          <w:p>
            <w:pPr>
              <w:spacing w:line="360" w:lineRule="auto"/>
              <w:rPr>
                <w:rFonts w:ascii="宋体" w:hAnsi="宋体" w:cs="宋体"/>
                <w:sz w:val="24"/>
                <w:lang w:bidi="ar"/>
              </w:rPr>
            </w:pPr>
            <w:r>
              <w:rPr>
                <w:rFonts w:hint="eastAsia" w:ascii="宋体" w:hAnsi="宋体" w:cs="宋体"/>
                <w:sz w:val="24"/>
                <w:lang w:bidi="ar"/>
              </w:rPr>
              <w:t>15.支持Wi-Fi终端定位，支持实时人流量统计和分析，显示场所人流量热力图；</w:t>
            </w:r>
          </w:p>
          <w:p>
            <w:pPr>
              <w:spacing w:line="360" w:lineRule="auto"/>
              <w:rPr>
                <w:rFonts w:ascii="宋体" w:hAnsi="宋体" w:cs="宋体"/>
                <w:sz w:val="24"/>
                <w:lang w:bidi="ar"/>
              </w:rPr>
            </w:pPr>
            <w:r>
              <w:rPr>
                <w:rFonts w:hint="eastAsia" w:ascii="宋体" w:hAnsi="宋体" w:cs="宋体"/>
                <w:sz w:val="24"/>
                <w:lang w:bidi="ar"/>
              </w:rPr>
              <w:t>16.支持故障检测及报警；支持信息统计及日志。</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2100</w:t>
            </w:r>
          </w:p>
        </w:tc>
      </w:tr>
      <w:tr>
        <w:tblPrEx>
          <w:tblCellMar>
            <w:top w:w="0" w:type="dxa"/>
            <w:left w:w="108" w:type="dxa"/>
            <w:bottom w:w="0" w:type="dxa"/>
            <w:right w:w="108" w:type="dxa"/>
          </w:tblCellMar>
        </w:tblPrEx>
        <w:trPr>
          <w:trHeight w:val="101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室外AP</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35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套</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▲1.支持标准的802.11ax协议，采用双射频设计，整机空间流≥4条；整机无线接入速率≥2.9Gbps；</w:t>
            </w:r>
          </w:p>
          <w:p>
            <w:pPr>
              <w:spacing w:line="360" w:lineRule="auto"/>
              <w:rPr>
                <w:rFonts w:ascii="宋体" w:hAnsi="宋体" w:cs="宋体"/>
                <w:sz w:val="24"/>
                <w:lang w:bidi="ar"/>
              </w:rPr>
            </w:pPr>
            <w:r>
              <w:rPr>
                <w:rFonts w:hint="eastAsia" w:ascii="宋体" w:hAnsi="宋体" w:cs="宋体"/>
                <w:sz w:val="24"/>
                <w:lang w:bidi="ar"/>
              </w:rPr>
              <w:t>▲2.提供≥1个2.5G SFP光口、≥1个10/100/1000Base-T以太网接口；</w:t>
            </w:r>
          </w:p>
          <w:p>
            <w:pPr>
              <w:spacing w:line="360" w:lineRule="auto"/>
              <w:rPr>
                <w:rFonts w:ascii="宋体" w:hAnsi="宋体" w:cs="宋体"/>
                <w:sz w:val="24"/>
                <w:lang w:bidi="ar"/>
              </w:rPr>
            </w:pPr>
            <w:r>
              <w:rPr>
                <w:rFonts w:hint="eastAsia" w:ascii="宋体" w:hAnsi="宋体" w:cs="宋体"/>
                <w:sz w:val="24"/>
                <w:lang w:bidi="ar"/>
              </w:rPr>
              <w:t>▲3.防护等级至少达到IP68；</w:t>
            </w:r>
          </w:p>
          <w:p>
            <w:pPr>
              <w:spacing w:line="360" w:lineRule="auto"/>
              <w:rPr>
                <w:rFonts w:ascii="宋体" w:hAnsi="宋体" w:cs="宋体"/>
                <w:sz w:val="24"/>
                <w:lang w:bidi="ar"/>
              </w:rPr>
            </w:pPr>
            <w:r>
              <w:rPr>
                <w:rFonts w:hint="eastAsia" w:ascii="宋体" w:hAnsi="宋体" w:cs="宋体"/>
                <w:sz w:val="24"/>
                <w:lang w:bidi="ar"/>
              </w:rPr>
              <w:t>4.支持标准的802.3af/802.3at协议进行PoE供电，配置≥1个供电模块；</w:t>
            </w:r>
          </w:p>
          <w:p>
            <w:pPr>
              <w:spacing w:line="360" w:lineRule="auto"/>
              <w:rPr>
                <w:rFonts w:ascii="宋体" w:hAnsi="宋体" w:cs="宋体"/>
                <w:sz w:val="24"/>
                <w:lang w:bidi="ar"/>
              </w:rPr>
            </w:pPr>
            <w:r>
              <w:rPr>
                <w:rFonts w:hint="eastAsia" w:ascii="宋体" w:hAnsi="宋体" w:cs="宋体"/>
                <w:sz w:val="24"/>
                <w:lang w:bidi="ar"/>
              </w:rPr>
              <w:t>▲5.设备支持内置全向天线；</w:t>
            </w:r>
          </w:p>
          <w:p>
            <w:pPr>
              <w:spacing w:line="360" w:lineRule="auto"/>
              <w:rPr>
                <w:rFonts w:ascii="宋体" w:hAnsi="宋体" w:cs="宋体"/>
                <w:sz w:val="24"/>
                <w:lang w:bidi="ar"/>
              </w:rPr>
            </w:pPr>
            <w:r>
              <w:rPr>
                <w:rFonts w:hint="eastAsia" w:ascii="宋体" w:hAnsi="宋体" w:cs="宋体"/>
                <w:sz w:val="24"/>
                <w:lang w:bidi="ar"/>
              </w:rPr>
              <w:t>6.支持蓝牙5.0或5.1</w:t>
            </w:r>
          </w:p>
          <w:p>
            <w:pPr>
              <w:spacing w:line="360" w:lineRule="auto"/>
              <w:rPr>
                <w:rFonts w:ascii="宋体" w:hAnsi="宋体" w:cs="宋体"/>
                <w:sz w:val="24"/>
                <w:lang w:bidi="ar"/>
              </w:rPr>
            </w:pPr>
            <w:r>
              <w:rPr>
                <w:rFonts w:hint="eastAsia" w:ascii="宋体" w:hAnsi="宋体" w:cs="宋体"/>
                <w:sz w:val="24"/>
                <w:lang w:bidi="ar"/>
              </w:rPr>
              <w:t>7.支持胖/瘦AP两种工作模式的切换，在瘦AP工作模式时，AP与控制器之间采用国际标准的CAPWAP协议通信；</w:t>
            </w:r>
          </w:p>
          <w:p>
            <w:pPr>
              <w:spacing w:line="360" w:lineRule="auto"/>
              <w:rPr>
                <w:rFonts w:ascii="宋体" w:hAnsi="宋体" w:cs="宋体"/>
                <w:sz w:val="24"/>
                <w:lang w:bidi="ar"/>
              </w:rPr>
            </w:pPr>
            <w:r>
              <w:rPr>
                <w:rFonts w:hint="eastAsia" w:ascii="宋体" w:hAnsi="宋体" w:cs="宋体"/>
                <w:sz w:val="24"/>
                <w:lang w:bidi="ar"/>
              </w:rPr>
              <w:t>8.为增强无线网络可靠性，支持当AC宕机时，AP切换为智能转发模式继续传输数据，保证无线用户正常使用；</w:t>
            </w:r>
          </w:p>
          <w:p>
            <w:pPr>
              <w:spacing w:line="360" w:lineRule="auto"/>
              <w:rPr>
                <w:rFonts w:ascii="宋体" w:hAnsi="宋体" w:cs="宋体"/>
                <w:sz w:val="24"/>
                <w:lang w:bidi="ar"/>
              </w:rPr>
            </w:pPr>
            <w:r>
              <w:rPr>
                <w:rFonts w:hint="eastAsia" w:ascii="宋体" w:hAnsi="宋体" w:cs="宋体"/>
                <w:sz w:val="24"/>
                <w:lang w:bidi="ar"/>
              </w:rPr>
              <w:t>9.接入用户数≥1024；</w:t>
            </w:r>
          </w:p>
          <w:p>
            <w:pPr>
              <w:spacing w:line="360" w:lineRule="auto"/>
              <w:rPr>
                <w:rFonts w:ascii="宋体" w:hAnsi="宋体" w:cs="宋体"/>
                <w:sz w:val="24"/>
                <w:lang w:bidi="ar"/>
              </w:rPr>
            </w:pPr>
            <w:r>
              <w:rPr>
                <w:rFonts w:hint="eastAsia" w:ascii="宋体" w:hAnsi="宋体" w:cs="宋体"/>
                <w:sz w:val="24"/>
                <w:lang w:bidi="ar"/>
              </w:rPr>
              <w:t>10.支持虚拟AP服务，整机可划分32个虚拟AP；</w:t>
            </w:r>
          </w:p>
          <w:p>
            <w:pPr>
              <w:spacing w:line="360" w:lineRule="auto"/>
              <w:rPr>
                <w:rFonts w:ascii="宋体" w:hAnsi="宋体" w:cs="宋体"/>
                <w:sz w:val="24"/>
                <w:lang w:bidi="ar"/>
              </w:rPr>
            </w:pPr>
            <w:r>
              <w:rPr>
                <w:rFonts w:hint="eastAsia" w:ascii="宋体" w:hAnsi="宋体" w:cs="宋体"/>
                <w:sz w:val="24"/>
                <w:lang w:bidi="ar"/>
              </w:rPr>
              <w:t>11.支持SSID隐藏，每个SSID可配置单独的认证方式、加密机制，VLAN属性；</w:t>
            </w:r>
          </w:p>
          <w:p>
            <w:pPr>
              <w:spacing w:line="360" w:lineRule="auto"/>
              <w:rPr>
                <w:rFonts w:ascii="宋体" w:hAnsi="宋体" w:cs="宋体"/>
                <w:sz w:val="24"/>
                <w:lang w:bidi="ar"/>
              </w:rPr>
            </w:pPr>
            <w:r>
              <w:rPr>
                <w:rFonts w:hint="eastAsia" w:ascii="宋体" w:hAnsi="宋体" w:cs="宋体"/>
                <w:sz w:val="24"/>
                <w:lang w:bidi="ar"/>
              </w:rPr>
              <w:t>12.支持基于终端数或流量的智能负载均衡；</w:t>
            </w:r>
          </w:p>
          <w:p>
            <w:pPr>
              <w:spacing w:line="360" w:lineRule="auto"/>
              <w:rPr>
                <w:rFonts w:ascii="宋体" w:hAnsi="宋体" w:cs="宋体"/>
                <w:sz w:val="24"/>
                <w:lang w:bidi="ar"/>
              </w:rPr>
            </w:pPr>
            <w:r>
              <w:rPr>
                <w:rFonts w:hint="eastAsia" w:ascii="宋体" w:hAnsi="宋体" w:cs="宋体"/>
                <w:sz w:val="24"/>
                <w:lang w:bidi="ar"/>
              </w:rPr>
              <w:t>13.支持Fat/Fit模式切换；当工作在Fit（瘦）模式时，可通过AC系列无线控制器切换为Fat模式；当工作在Fat（胖）模式时，可通过本地控制口、Telnet方式切换为Fit模式；</w:t>
            </w:r>
          </w:p>
          <w:p>
            <w:pPr>
              <w:spacing w:line="360" w:lineRule="auto"/>
              <w:rPr>
                <w:rFonts w:ascii="宋体" w:hAnsi="宋体" w:cs="宋体"/>
                <w:sz w:val="24"/>
                <w:lang w:bidi="ar"/>
              </w:rPr>
            </w:pPr>
            <w:r>
              <w:rPr>
                <w:rFonts w:hint="eastAsia" w:ascii="宋体" w:hAnsi="宋体" w:cs="宋体"/>
                <w:sz w:val="24"/>
                <w:lang w:bidi="ar"/>
              </w:rPr>
              <w:t>14.为保证无线网络安全，支持PSK认证、Web认证、微信认证、二维码访客认证、短信认证、无感知认证等认证方式；支持WPA（TKIP）、WPA-PSK、WPA2（AES）、WPA3、WEP（64/128位）等数据加密方式；</w:t>
            </w:r>
          </w:p>
          <w:p>
            <w:pPr>
              <w:spacing w:line="360" w:lineRule="auto"/>
              <w:rPr>
                <w:rFonts w:ascii="宋体" w:hAnsi="宋体" w:cs="宋体"/>
                <w:sz w:val="24"/>
                <w:lang w:bidi="ar"/>
              </w:rPr>
            </w:pPr>
            <w:r>
              <w:rPr>
                <w:rFonts w:hint="eastAsia" w:ascii="宋体" w:hAnsi="宋体" w:cs="宋体"/>
                <w:sz w:val="24"/>
                <w:lang w:bidi="ar"/>
              </w:rPr>
              <w:t>15.支持用户隔离；支持非法AP检测及反制；支持数据帧过滤功能，支持白名单、静态黑名单、动态黑名单；</w:t>
            </w:r>
          </w:p>
          <w:p>
            <w:pPr>
              <w:spacing w:line="360" w:lineRule="auto"/>
              <w:rPr>
                <w:rFonts w:ascii="宋体" w:hAnsi="宋体" w:cs="宋体"/>
                <w:sz w:val="24"/>
                <w:lang w:bidi="ar"/>
              </w:rPr>
            </w:pPr>
            <w:r>
              <w:rPr>
                <w:rFonts w:hint="eastAsia" w:ascii="宋体" w:hAnsi="宋体" w:cs="宋体"/>
                <w:sz w:val="24"/>
                <w:lang w:bidi="ar"/>
              </w:rPr>
              <w:t>16.支持通过Telnet、TFTP、Web管理；</w:t>
            </w:r>
          </w:p>
          <w:p>
            <w:pPr>
              <w:spacing w:line="360" w:lineRule="auto"/>
              <w:rPr>
                <w:rFonts w:ascii="宋体" w:hAnsi="宋体" w:cs="宋体"/>
                <w:sz w:val="24"/>
                <w:lang w:bidi="ar"/>
              </w:rPr>
            </w:pPr>
            <w:r>
              <w:rPr>
                <w:rFonts w:hint="eastAsia" w:ascii="宋体" w:hAnsi="宋体" w:cs="宋体"/>
                <w:sz w:val="24"/>
                <w:lang w:bidi="ar"/>
              </w:rPr>
              <w:t>支持故障检测及报警；支持信息统计及日志。</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1636</w:t>
            </w:r>
          </w:p>
        </w:tc>
      </w:tr>
      <w:tr>
        <w:tblPrEx>
          <w:tblCellMar>
            <w:top w:w="0" w:type="dxa"/>
            <w:left w:w="108" w:type="dxa"/>
            <w:bottom w:w="0" w:type="dxa"/>
            <w:right w:w="108" w:type="dxa"/>
          </w:tblCellMar>
        </w:tblPrEx>
        <w:trPr>
          <w:trHeight w:val="114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4口光面板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320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个</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▲1.支持标准的802.11ax标准，采用双射频设计，整机≥4条空间流；</w:t>
            </w:r>
          </w:p>
          <w:p>
            <w:pPr>
              <w:spacing w:line="360" w:lineRule="auto"/>
              <w:rPr>
                <w:rFonts w:ascii="宋体" w:hAnsi="宋体" w:cs="宋体"/>
                <w:sz w:val="24"/>
                <w:lang w:bidi="ar"/>
              </w:rPr>
            </w:pPr>
            <w:r>
              <w:rPr>
                <w:rFonts w:hint="eastAsia" w:ascii="宋体" w:hAnsi="宋体" w:cs="宋体"/>
                <w:sz w:val="24"/>
                <w:lang w:bidi="ar"/>
              </w:rPr>
              <w:t>2.支持多种形态安装，可壁挂、吸顶或86盒安装；</w:t>
            </w:r>
          </w:p>
          <w:p>
            <w:pPr>
              <w:spacing w:line="360" w:lineRule="auto"/>
              <w:rPr>
                <w:rFonts w:ascii="宋体" w:hAnsi="宋体" w:cs="宋体"/>
                <w:sz w:val="24"/>
                <w:lang w:bidi="ar"/>
              </w:rPr>
            </w:pPr>
            <w:r>
              <w:rPr>
                <w:rFonts w:hint="eastAsia" w:ascii="宋体" w:hAnsi="宋体" w:cs="宋体"/>
                <w:sz w:val="24"/>
                <w:lang w:bidi="ar"/>
              </w:rPr>
              <w:t>▲3.整机接入速率≥2.9Gbps，5GHz单射频支持2×2 MU-MIMO，且单射频接入速率≥2.4Gbps；2.4GHz单射频支持2×2 MU-MIMO，且单射频接入速率≥0.575Gbps；</w:t>
            </w:r>
          </w:p>
          <w:p>
            <w:pPr>
              <w:spacing w:line="360" w:lineRule="auto"/>
              <w:rPr>
                <w:rFonts w:ascii="宋体" w:hAnsi="宋体" w:cs="宋体"/>
                <w:sz w:val="24"/>
                <w:lang w:bidi="ar"/>
              </w:rPr>
            </w:pPr>
            <w:r>
              <w:rPr>
                <w:rFonts w:hint="eastAsia" w:ascii="宋体" w:hAnsi="宋体" w:cs="宋体"/>
                <w:sz w:val="24"/>
                <w:lang w:bidi="ar"/>
              </w:rPr>
              <w:t>4.支持蓝牙5.0或5.1；</w:t>
            </w:r>
          </w:p>
          <w:p>
            <w:pPr>
              <w:spacing w:line="360" w:lineRule="auto"/>
              <w:rPr>
                <w:rFonts w:ascii="宋体" w:hAnsi="宋体" w:cs="宋体"/>
                <w:sz w:val="24"/>
                <w:lang w:bidi="ar"/>
              </w:rPr>
            </w:pPr>
            <w:r>
              <w:rPr>
                <w:rFonts w:hint="eastAsia" w:ascii="宋体" w:hAnsi="宋体" w:cs="宋体"/>
                <w:sz w:val="24"/>
                <w:lang w:bidi="ar"/>
              </w:rPr>
              <w:t>▲5.配置≥1个2.5G以太网上联光口，≥4个1G以太网口下联电口；</w:t>
            </w:r>
          </w:p>
          <w:p>
            <w:pPr>
              <w:spacing w:line="360" w:lineRule="auto"/>
              <w:rPr>
                <w:rFonts w:ascii="宋体" w:hAnsi="宋体" w:cs="宋体"/>
                <w:sz w:val="24"/>
                <w:lang w:bidi="ar"/>
              </w:rPr>
            </w:pPr>
            <w:r>
              <w:rPr>
                <w:rFonts w:hint="eastAsia" w:ascii="宋体" w:hAnsi="宋体" w:cs="宋体"/>
                <w:sz w:val="24"/>
                <w:lang w:bidi="ar"/>
              </w:rPr>
              <w:t>※6提供≥1个 标准USB或Micro USB的Console接口；</w:t>
            </w:r>
          </w:p>
          <w:p>
            <w:pPr>
              <w:spacing w:line="360" w:lineRule="auto"/>
              <w:rPr>
                <w:rFonts w:ascii="宋体" w:hAnsi="宋体" w:cs="宋体"/>
                <w:sz w:val="24"/>
                <w:lang w:bidi="ar"/>
              </w:rPr>
            </w:pPr>
            <w:r>
              <w:rPr>
                <w:rFonts w:hint="eastAsia" w:ascii="宋体" w:hAnsi="宋体" w:cs="宋体"/>
                <w:sz w:val="24"/>
                <w:lang w:bidi="ar"/>
              </w:rPr>
              <w:t>7.提供≥1个凤凰接线端子受电，支持DC直流供电（DC 输入电压电流：48V/0.5A）或光电混合缆供电（满足802.3af PoE供电标准），提供1个DC电源适配器（48V/0.5A）；</w:t>
            </w:r>
          </w:p>
          <w:p>
            <w:pPr>
              <w:spacing w:line="360" w:lineRule="auto"/>
              <w:rPr>
                <w:rFonts w:ascii="宋体" w:hAnsi="宋体" w:cs="宋体"/>
                <w:sz w:val="24"/>
                <w:lang w:bidi="ar"/>
              </w:rPr>
            </w:pPr>
            <w:r>
              <w:rPr>
                <w:rFonts w:hint="eastAsia" w:ascii="宋体" w:hAnsi="宋体" w:cs="宋体"/>
                <w:sz w:val="24"/>
                <w:lang w:bidi="ar"/>
              </w:rPr>
              <w:t>8.支持即插即用，更换面板AP后，无需做任何配置，即可替换使用；</w:t>
            </w:r>
          </w:p>
          <w:p>
            <w:pPr>
              <w:spacing w:line="360" w:lineRule="auto"/>
              <w:rPr>
                <w:rFonts w:ascii="宋体" w:hAnsi="宋体" w:cs="宋体"/>
                <w:sz w:val="24"/>
                <w:lang w:bidi="ar"/>
              </w:rPr>
            </w:pPr>
            <w:r>
              <w:rPr>
                <w:rFonts w:hint="eastAsia" w:ascii="宋体" w:hAnsi="宋体" w:cs="宋体"/>
                <w:sz w:val="24"/>
                <w:lang w:bidi="ar"/>
              </w:rPr>
              <w:t>9.避免无线网络中私接非法AP，所投AP具有非法AP的精确反制和模糊反制功能，能够主动识别非法设备并令非法设备不能使用；</w:t>
            </w:r>
          </w:p>
          <w:p>
            <w:pPr>
              <w:spacing w:line="360" w:lineRule="auto"/>
              <w:rPr>
                <w:rFonts w:ascii="宋体" w:hAnsi="宋体" w:cs="宋体"/>
                <w:sz w:val="24"/>
                <w:lang w:bidi="ar"/>
              </w:rPr>
            </w:pPr>
            <w:r>
              <w:rPr>
                <w:rFonts w:hint="eastAsia" w:ascii="宋体" w:hAnsi="宋体" w:cs="宋体"/>
                <w:sz w:val="24"/>
                <w:lang w:bidi="ar"/>
              </w:rPr>
              <w:t>▲10</w:t>
            </w:r>
            <w:r>
              <w:rPr>
                <w:rFonts w:hint="eastAsia" w:ascii="宋体" w:hAnsi="宋体" w:cs="宋体"/>
                <w:b/>
                <w:bCs/>
                <w:sz w:val="24"/>
                <w:lang w:bidi="ar"/>
              </w:rPr>
              <w:t>.为保证系统兼容性，要求与本项目第1项无线控制器为同一品牌。</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662</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8口光面板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41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个</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▲1.支持标准的802.11ax标准，采用双射频设计，整机≥4条空间流；</w:t>
            </w:r>
          </w:p>
          <w:p>
            <w:pPr>
              <w:spacing w:line="360" w:lineRule="auto"/>
              <w:rPr>
                <w:rFonts w:ascii="宋体" w:hAnsi="宋体" w:cs="宋体"/>
                <w:sz w:val="24"/>
                <w:lang w:bidi="ar"/>
              </w:rPr>
            </w:pPr>
            <w:r>
              <w:rPr>
                <w:rFonts w:hint="eastAsia" w:ascii="宋体" w:hAnsi="宋体" w:cs="宋体"/>
                <w:sz w:val="24"/>
                <w:lang w:bidi="ar"/>
              </w:rPr>
              <w:t>2.支持多种形态安装，可壁挂、吸顶或86盒安装；</w:t>
            </w:r>
          </w:p>
          <w:p>
            <w:pPr>
              <w:spacing w:line="360" w:lineRule="auto"/>
              <w:rPr>
                <w:rFonts w:ascii="宋体" w:hAnsi="宋体" w:cs="宋体"/>
                <w:sz w:val="24"/>
                <w:lang w:bidi="ar"/>
              </w:rPr>
            </w:pPr>
            <w:r>
              <w:rPr>
                <w:rFonts w:hint="eastAsia" w:ascii="宋体" w:hAnsi="宋体" w:cs="宋体"/>
                <w:sz w:val="24"/>
                <w:lang w:bidi="ar"/>
              </w:rPr>
              <w:t>▲3.整机接入速率≥2.9Gbps，5GHz单射频支持2×2 MU-MIMO，且单射频接入速率≥2.4Gbps；2.4GHz单射频支持2×2 MU-MIMO，且单射频接入速率≥0.575Gbps；</w:t>
            </w:r>
          </w:p>
          <w:p>
            <w:pPr>
              <w:spacing w:line="360" w:lineRule="auto"/>
              <w:rPr>
                <w:rFonts w:ascii="宋体" w:hAnsi="宋体" w:cs="宋体"/>
                <w:sz w:val="24"/>
                <w:lang w:bidi="ar"/>
              </w:rPr>
            </w:pPr>
            <w:r>
              <w:rPr>
                <w:rFonts w:hint="eastAsia" w:ascii="宋体" w:hAnsi="宋体" w:cs="宋体"/>
                <w:sz w:val="24"/>
                <w:lang w:bidi="ar"/>
              </w:rPr>
              <w:t>4.支持蓝牙5.0或5.1；</w:t>
            </w:r>
          </w:p>
          <w:p>
            <w:pPr>
              <w:spacing w:line="360" w:lineRule="auto"/>
              <w:rPr>
                <w:rFonts w:ascii="宋体" w:hAnsi="宋体" w:cs="宋体"/>
                <w:sz w:val="24"/>
                <w:lang w:bidi="ar"/>
              </w:rPr>
            </w:pPr>
            <w:r>
              <w:rPr>
                <w:rFonts w:hint="eastAsia" w:ascii="宋体" w:hAnsi="宋体" w:cs="宋体"/>
                <w:sz w:val="24"/>
                <w:lang w:bidi="ar"/>
              </w:rPr>
              <w:t>▲5.配置≥1个2.5G以太网上联光口，≥8个1G以太网口下联电口；</w:t>
            </w:r>
          </w:p>
          <w:p>
            <w:pPr>
              <w:spacing w:line="360" w:lineRule="auto"/>
              <w:rPr>
                <w:rFonts w:ascii="宋体" w:hAnsi="宋体" w:cs="宋体"/>
                <w:sz w:val="24"/>
                <w:lang w:bidi="ar"/>
              </w:rPr>
            </w:pPr>
            <w:r>
              <w:rPr>
                <w:rFonts w:hint="eastAsia" w:ascii="宋体" w:hAnsi="宋体" w:cs="宋体"/>
                <w:sz w:val="24"/>
                <w:lang w:bidi="ar"/>
              </w:rPr>
              <w:t>※6提供≥1个 标准USB或Micro USB的Console接口；</w:t>
            </w:r>
          </w:p>
          <w:p>
            <w:pPr>
              <w:spacing w:line="360" w:lineRule="auto"/>
              <w:rPr>
                <w:rFonts w:ascii="宋体" w:hAnsi="宋体" w:cs="宋体"/>
                <w:sz w:val="24"/>
                <w:lang w:bidi="ar"/>
              </w:rPr>
            </w:pPr>
            <w:r>
              <w:rPr>
                <w:rFonts w:hint="eastAsia" w:ascii="宋体" w:hAnsi="宋体" w:cs="宋体"/>
                <w:sz w:val="24"/>
                <w:lang w:bidi="ar"/>
              </w:rPr>
              <w:t>7.提供≥1个凤凰接线端子受电，支持DC直流供电（DC 输入电压电流：48V/0.5A）或光电混合缆供电（满足802.3af PoE供电标准），提供1个DC电源适配器（48V/0.5A）；</w:t>
            </w:r>
          </w:p>
          <w:p>
            <w:pPr>
              <w:spacing w:line="360" w:lineRule="auto"/>
              <w:rPr>
                <w:rFonts w:ascii="宋体" w:hAnsi="宋体" w:cs="宋体"/>
                <w:sz w:val="24"/>
                <w:lang w:bidi="ar"/>
              </w:rPr>
            </w:pPr>
            <w:r>
              <w:rPr>
                <w:rFonts w:hint="eastAsia" w:ascii="宋体" w:hAnsi="宋体" w:cs="宋体"/>
                <w:sz w:val="24"/>
                <w:lang w:bidi="ar"/>
              </w:rPr>
              <w:t>8.支持即插即用，更换面板AP后，无需做任何配置，即可替换使用；</w:t>
            </w:r>
          </w:p>
          <w:p>
            <w:pPr>
              <w:spacing w:line="360" w:lineRule="auto"/>
              <w:rPr>
                <w:rFonts w:ascii="宋体" w:hAnsi="宋体" w:cs="宋体"/>
                <w:sz w:val="24"/>
              </w:rPr>
            </w:pPr>
            <w:r>
              <w:rPr>
                <w:rFonts w:hint="eastAsia" w:ascii="宋体" w:hAnsi="宋体" w:cs="宋体"/>
                <w:sz w:val="24"/>
                <w:lang w:bidi="ar"/>
              </w:rPr>
              <w:t>9.避免无线网络中私接非法AP，所投AP具有非法AP的精确反制和模糊反制功能，能够主动识别非法设备并令非法设备不能使用。</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1400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24口交换机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255"/>
                <w:numId w:val="0"/>
              </w:numPr>
              <w:spacing w:line="360" w:lineRule="auto"/>
              <w:rPr>
                <w:rFonts w:ascii="宋体" w:hAnsi="宋体" w:cs="宋体"/>
                <w:sz w:val="24"/>
                <w:lang w:bidi="ar"/>
              </w:rPr>
            </w:pPr>
            <w:r>
              <w:rPr>
                <w:rFonts w:hint="eastAsia" w:ascii="宋体" w:hAnsi="宋体" w:cs="宋体"/>
                <w:sz w:val="24"/>
                <w:lang w:bidi="ar"/>
              </w:rPr>
              <w:t>1.千兆电口≥24个，千兆SFP光接口≥4个</w:t>
            </w:r>
          </w:p>
          <w:p>
            <w:pPr>
              <w:spacing w:line="360" w:lineRule="auto"/>
              <w:rPr>
                <w:rFonts w:ascii="宋体" w:hAnsi="宋体" w:cs="宋体"/>
                <w:sz w:val="24"/>
                <w:lang w:bidi="ar"/>
              </w:rPr>
            </w:pPr>
            <w:r>
              <w:rPr>
                <w:rFonts w:hint="eastAsia" w:ascii="宋体" w:hAnsi="宋体" w:cs="宋体"/>
                <w:sz w:val="24"/>
                <w:lang w:bidi="ar"/>
              </w:rPr>
              <w:t>▲2.</w:t>
            </w:r>
            <w:r>
              <w:rPr>
                <w:rFonts w:hint="eastAsia" w:ascii="宋体" w:hAnsi="宋体" w:cs="宋体"/>
                <w:kern w:val="0"/>
                <w:sz w:val="24"/>
                <w:lang w:bidi="ar"/>
              </w:rPr>
              <w:t>交换容量≥3Tbps，包转发率≥120Mpps</w:t>
            </w:r>
            <w:r>
              <w:rPr>
                <w:rFonts w:hint="eastAsia" w:ascii="宋体" w:hAnsi="宋体" w:cs="宋体"/>
                <w:sz w:val="24"/>
                <w:lang w:bidi="ar"/>
              </w:rPr>
              <w:t>；</w:t>
            </w:r>
          </w:p>
          <w:p>
            <w:pPr>
              <w:spacing w:line="360" w:lineRule="auto"/>
              <w:rPr>
                <w:rFonts w:ascii="宋体" w:hAnsi="宋体" w:cs="宋体"/>
                <w:sz w:val="24"/>
                <w:lang w:bidi="ar"/>
              </w:rPr>
            </w:pPr>
            <w:r>
              <w:rPr>
                <w:rFonts w:hint="eastAsia" w:ascii="宋体" w:hAnsi="宋体" w:cs="宋体"/>
                <w:sz w:val="24"/>
                <w:lang w:bidi="ar"/>
              </w:rPr>
              <w:t>3.设备MAC地址≥16K</w:t>
            </w:r>
          </w:p>
          <w:p>
            <w:pPr>
              <w:spacing w:line="360" w:lineRule="auto"/>
              <w:rPr>
                <w:rFonts w:ascii="宋体" w:hAnsi="宋体" w:cs="宋体"/>
                <w:sz w:val="24"/>
                <w:lang w:bidi="ar"/>
              </w:rPr>
            </w:pPr>
            <w:r>
              <w:rPr>
                <w:rFonts w:hint="eastAsia" w:ascii="宋体" w:hAnsi="宋体" w:cs="宋体"/>
                <w:sz w:val="24"/>
                <w:lang w:bidi="ar"/>
              </w:rPr>
              <w:t>▲4.支持IPV4/IPV6静态路由</w:t>
            </w:r>
          </w:p>
          <w:p>
            <w:pPr>
              <w:spacing w:line="360" w:lineRule="auto"/>
              <w:rPr>
                <w:rFonts w:ascii="宋体" w:hAnsi="宋体" w:cs="宋体"/>
                <w:sz w:val="24"/>
                <w:lang w:bidi="ar"/>
              </w:rPr>
            </w:pPr>
            <w:r>
              <w:rPr>
                <w:rFonts w:hint="eastAsia" w:ascii="宋体" w:hAnsi="宋体" w:cs="宋体"/>
                <w:sz w:val="24"/>
                <w:lang w:bidi="ar"/>
              </w:rPr>
              <w:t>※5.IK防护测试级别至少达到IK04；</w:t>
            </w:r>
          </w:p>
          <w:p>
            <w:pPr>
              <w:spacing w:line="360" w:lineRule="auto"/>
              <w:rPr>
                <w:rFonts w:ascii="宋体" w:hAnsi="宋体" w:cs="宋体"/>
                <w:sz w:val="24"/>
                <w:lang w:bidi="ar"/>
              </w:rPr>
            </w:pPr>
            <w:r>
              <w:rPr>
                <w:rFonts w:hint="eastAsia" w:ascii="宋体" w:hAnsi="宋体" w:cs="宋体"/>
                <w:sz w:val="24"/>
                <w:lang w:bidi="ar"/>
              </w:rPr>
              <w:t>※6.为满足工作场所的耐高温要求，要求设备具备0~50°的宽温设计；</w:t>
            </w:r>
          </w:p>
          <w:p>
            <w:pPr>
              <w:spacing w:line="360" w:lineRule="auto"/>
              <w:rPr>
                <w:rFonts w:ascii="宋体" w:hAnsi="宋体" w:cs="宋体"/>
                <w:sz w:val="24"/>
                <w:lang w:bidi="ar"/>
              </w:rPr>
            </w:pPr>
            <w:r>
              <w:rPr>
                <w:rFonts w:hint="eastAsia" w:ascii="宋体" w:hAnsi="宋体" w:cs="宋体"/>
                <w:sz w:val="24"/>
                <w:lang w:bidi="ar"/>
              </w:rPr>
              <w:t>7.支持生成树协议STP(IEEE 802.1d)，RSTP(IEEE 802.1w)和MSTP(IEEE 802.1s)，保证网络的稳定运行和链路的负载均衡；</w:t>
            </w:r>
          </w:p>
          <w:p>
            <w:pPr>
              <w:spacing w:line="360" w:lineRule="auto"/>
              <w:rPr>
                <w:rFonts w:ascii="宋体" w:hAnsi="宋体" w:cs="宋体"/>
                <w:sz w:val="24"/>
                <w:lang w:bidi="ar"/>
              </w:rPr>
            </w:pPr>
            <w:r>
              <w:rPr>
                <w:rFonts w:hint="eastAsia" w:ascii="宋体" w:hAnsi="宋体" w:cs="宋体"/>
                <w:sz w:val="24"/>
                <w:lang w:bidi="ar"/>
              </w:rPr>
              <w:t>8.支持快速链路检测协议，可快速检测链路的通断和光纤链路的单向性，并支持端口下的环路检测功能，防止端口下因私接Hub等设备形成的环路而导致网络故障的现象；</w:t>
            </w:r>
          </w:p>
          <w:p>
            <w:pPr>
              <w:spacing w:line="360" w:lineRule="auto"/>
              <w:rPr>
                <w:rFonts w:ascii="宋体" w:hAnsi="宋体" w:cs="宋体"/>
                <w:sz w:val="24"/>
                <w:lang w:bidi="ar"/>
              </w:rPr>
            </w:pPr>
            <w:r>
              <w:rPr>
                <w:rFonts w:hint="eastAsia" w:ascii="宋体" w:hAnsi="宋体" w:cs="宋体"/>
                <w:sz w:val="24"/>
                <w:lang w:bidi="ar"/>
              </w:rPr>
              <w:t>9.支持CPU保护策略，对发往CPU的数据流，进行流区分和优先级队列分级处理，并根据需要实施带宽限速，充分保护CPU不被非法流量占用、恶意攻击和资源消耗；</w:t>
            </w:r>
          </w:p>
          <w:p>
            <w:pPr>
              <w:spacing w:line="360" w:lineRule="auto"/>
              <w:rPr>
                <w:rFonts w:ascii="宋体" w:hAnsi="宋体" w:cs="宋体"/>
                <w:sz w:val="24"/>
                <w:lang w:bidi="ar"/>
              </w:rPr>
            </w:pPr>
            <w:r>
              <w:rPr>
                <w:rFonts w:hint="eastAsia" w:ascii="宋体" w:hAnsi="宋体" w:cs="宋体"/>
                <w:sz w:val="24"/>
                <w:lang w:bidi="ar"/>
              </w:rPr>
              <w:t>10.支持基础网络保护策略，能够限制用户向网络中发送ARP报文、ICMP请求报文、DHCP请求报文等数据包的数率，对超过限速阈值的报文进行丢弃处理，甚至能够识别攻击行为，对有攻击行为的用户进行隔离。</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2000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8口光交换机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57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▲1.提供10/100/1000M以太网电口≥8个，2.5G SFP光接口≥1个；</w:t>
            </w:r>
          </w:p>
          <w:p>
            <w:pPr>
              <w:spacing w:line="360" w:lineRule="auto"/>
              <w:rPr>
                <w:rFonts w:ascii="宋体" w:hAnsi="宋体" w:cs="宋体"/>
                <w:sz w:val="24"/>
                <w:lang w:bidi="ar"/>
              </w:rPr>
            </w:pPr>
            <w:r>
              <w:rPr>
                <w:rFonts w:hint="eastAsia" w:ascii="宋体" w:hAnsi="宋体" w:cs="宋体"/>
                <w:sz w:val="24"/>
                <w:lang w:bidi="ar"/>
              </w:rPr>
              <w:t>▲2.交换容量≥430Gbps，包转发率≥80Mpps</w:t>
            </w:r>
          </w:p>
          <w:p>
            <w:pPr>
              <w:spacing w:line="360" w:lineRule="auto"/>
              <w:rPr>
                <w:rFonts w:ascii="宋体" w:hAnsi="宋体" w:cs="宋体"/>
                <w:sz w:val="24"/>
                <w:lang w:bidi="ar"/>
              </w:rPr>
            </w:pPr>
            <w:r>
              <w:rPr>
                <w:rFonts w:hint="eastAsia" w:ascii="宋体" w:hAnsi="宋体" w:cs="宋体"/>
                <w:sz w:val="24"/>
                <w:lang w:bidi="ar"/>
              </w:rPr>
              <w:t>3.噪声值＜20dB；</w:t>
            </w:r>
          </w:p>
          <w:p>
            <w:pPr>
              <w:spacing w:line="360" w:lineRule="auto"/>
              <w:rPr>
                <w:rFonts w:ascii="宋体" w:hAnsi="宋体" w:cs="宋体"/>
                <w:sz w:val="24"/>
                <w:lang w:bidi="ar"/>
              </w:rPr>
            </w:pPr>
            <w:r>
              <w:rPr>
                <w:rFonts w:hint="eastAsia" w:ascii="宋体" w:hAnsi="宋体" w:cs="宋体"/>
                <w:sz w:val="24"/>
                <w:lang w:bidi="ar"/>
              </w:rPr>
              <w:t>4.尺寸＜400*300*100mm，支持放入400*300*100mm的标准弱电箱中部署；</w:t>
            </w:r>
          </w:p>
          <w:p>
            <w:pPr>
              <w:spacing w:line="360" w:lineRule="auto"/>
              <w:rPr>
                <w:rFonts w:ascii="宋体" w:hAnsi="宋体" w:cs="宋体"/>
                <w:sz w:val="24"/>
                <w:lang w:bidi="ar"/>
              </w:rPr>
            </w:pPr>
            <w:r>
              <w:rPr>
                <w:rFonts w:hint="eastAsia" w:ascii="宋体" w:hAnsi="宋体" w:cs="宋体"/>
                <w:sz w:val="24"/>
                <w:lang w:bidi="ar"/>
              </w:rPr>
              <w:t>※5.IK防护测试级别至少达到IK04；</w:t>
            </w:r>
          </w:p>
          <w:p>
            <w:pPr>
              <w:spacing w:line="360" w:lineRule="auto"/>
              <w:rPr>
                <w:rFonts w:ascii="宋体" w:hAnsi="宋体" w:cs="宋体"/>
                <w:sz w:val="24"/>
                <w:lang w:bidi="ar"/>
              </w:rPr>
            </w:pPr>
            <w:r>
              <w:rPr>
                <w:rFonts w:hint="eastAsia" w:ascii="宋体" w:hAnsi="宋体" w:cs="宋体"/>
                <w:sz w:val="24"/>
                <w:lang w:bidi="ar"/>
              </w:rPr>
              <w:t>6.设备采用金属外壳和金属网口设计；</w:t>
            </w:r>
          </w:p>
          <w:p>
            <w:pPr>
              <w:spacing w:line="360" w:lineRule="auto"/>
              <w:rPr>
                <w:rFonts w:ascii="宋体" w:hAnsi="宋体" w:cs="宋体"/>
                <w:sz w:val="24"/>
                <w:lang w:bidi="ar"/>
              </w:rPr>
            </w:pPr>
            <w:r>
              <w:rPr>
                <w:rFonts w:hint="eastAsia" w:ascii="宋体" w:hAnsi="宋体" w:cs="宋体"/>
                <w:sz w:val="24"/>
                <w:lang w:bidi="ar"/>
              </w:rPr>
              <w:t>7.支持专门针对CPU的保护机制，能够针对发往CPU处理的各种报文进行流区分和优先级队列分级处理；</w:t>
            </w:r>
          </w:p>
          <w:p>
            <w:pPr>
              <w:spacing w:line="360" w:lineRule="auto"/>
              <w:rPr>
                <w:rFonts w:ascii="宋体" w:hAnsi="宋体" w:cs="宋体"/>
                <w:sz w:val="24"/>
                <w:lang w:bidi="ar"/>
              </w:rPr>
            </w:pPr>
            <w:r>
              <w:rPr>
                <w:rFonts w:hint="eastAsia" w:ascii="宋体" w:hAnsi="宋体" w:cs="宋体"/>
                <w:sz w:val="24"/>
                <w:lang w:bidi="ar"/>
              </w:rPr>
              <w:t>8.支持端口浪涌抗扰度≥8KV（即具备≥8KV的防雷能力）</w:t>
            </w:r>
          </w:p>
          <w:p>
            <w:pPr>
              <w:spacing w:line="360" w:lineRule="auto"/>
              <w:rPr>
                <w:rFonts w:ascii="宋体" w:hAnsi="宋体" w:cs="宋体"/>
                <w:sz w:val="24"/>
                <w:lang w:bidi="ar"/>
              </w:rPr>
            </w:pPr>
            <w:r>
              <w:rPr>
                <w:rFonts w:hint="eastAsia" w:ascii="宋体" w:hAnsi="宋体" w:cs="宋体"/>
                <w:sz w:val="24"/>
                <w:lang w:bidi="ar"/>
              </w:rPr>
              <w:t>9.支持交换机即插即用，支持按功能区域零配置上线，支持图形化界面划分端口业务；</w:t>
            </w:r>
          </w:p>
          <w:p>
            <w:pPr>
              <w:spacing w:line="360" w:lineRule="auto"/>
              <w:rPr>
                <w:rFonts w:ascii="宋体" w:hAnsi="宋体" w:cs="宋体"/>
                <w:sz w:val="24"/>
                <w:lang w:bidi="ar"/>
              </w:rPr>
            </w:pPr>
            <w:r>
              <w:rPr>
                <w:rFonts w:hint="eastAsia" w:ascii="宋体" w:hAnsi="宋体" w:cs="宋体"/>
                <w:sz w:val="24"/>
                <w:lang w:bidi="ar"/>
              </w:rPr>
              <w:t>※10.当交换机出现故障，支持替换用的新设备的零配置替换，新设备上电后配置自动下发，无需手动配置。</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1391</w:t>
            </w:r>
          </w:p>
        </w:tc>
      </w:tr>
      <w:tr>
        <w:tblPrEx>
          <w:tblCellMar>
            <w:top w:w="0" w:type="dxa"/>
            <w:left w:w="108" w:type="dxa"/>
            <w:bottom w:w="0" w:type="dxa"/>
            <w:right w:w="108" w:type="dxa"/>
          </w:tblCellMar>
        </w:tblPrEx>
        <w:trPr>
          <w:trHeight w:val="114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8口万兆POE光交换机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40</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▲1.10/100/1000M以太网电口≥8个，2.5G以太网电口≥2个，10G SFP+光接口≥2个；产品支持POE和POE+远程供电，POE供电功率</w:t>
            </w:r>
            <w:r>
              <w:rPr>
                <w:rFonts w:hint="eastAsia" w:ascii="宋体" w:hAnsi="宋体" w:cs="宋体"/>
                <w:b/>
                <w:bCs/>
                <w:sz w:val="24"/>
                <w:lang w:bidi="ar"/>
              </w:rPr>
              <w:t>≥</w:t>
            </w:r>
            <w:r>
              <w:rPr>
                <w:rFonts w:hint="eastAsia" w:ascii="宋体" w:hAnsi="宋体" w:cs="宋体"/>
                <w:sz w:val="24"/>
                <w:lang w:bidi="ar"/>
              </w:rPr>
              <w:t>125W，配置2个万兆多模光模块；</w:t>
            </w:r>
          </w:p>
          <w:p>
            <w:pPr>
              <w:spacing w:line="360" w:lineRule="auto"/>
              <w:rPr>
                <w:rFonts w:ascii="宋体" w:hAnsi="宋体" w:cs="宋体"/>
                <w:sz w:val="24"/>
                <w:lang w:bidi="ar"/>
              </w:rPr>
            </w:pPr>
            <w:r>
              <w:rPr>
                <w:rFonts w:hint="eastAsia" w:ascii="宋体" w:hAnsi="宋体" w:cs="宋体"/>
                <w:sz w:val="24"/>
                <w:lang w:bidi="ar"/>
              </w:rPr>
              <w:t>▲2.交换容量≥430Gbps，包转发率≥80Mpps</w:t>
            </w:r>
          </w:p>
          <w:p>
            <w:pPr>
              <w:spacing w:line="360" w:lineRule="auto"/>
              <w:rPr>
                <w:rFonts w:ascii="宋体" w:hAnsi="宋体" w:cs="宋体"/>
                <w:sz w:val="24"/>
                <w:lang w:bidi="ar"/>
              </w:rPr>
            </w:pPr>
            <w:r>
              <w:rPr>
                <w:rFonts w:hint="eastAsia" w:ascii="宋体" w:hAnsi="宋体" w:cs="宋体"/>
                <w:sz w:val="24"/>
                <w:lang w:bidi="ar"/>
              </w:rPr>
              <w:t>3.噪声值＜20dB；</w:t>
            </w:r>
          </w:p>
          <w:p>
            <w:pPr>
              <w:spacing w:line="360" w:lineRule="auto"/>
              <w:rPr>
                <w:rFonts w:ascii="宋体" w:hAnsi="宋体" w:cs="宋体"/>
                <w:sz w:val="24"/>
                <w:lang w:bidi="ar"/>
              </w:rPr>
            </w:pPr>
            <w:r>
              <w:rPr>
                <w:rFonts w:hint="eastAsia" w:ascii="宋体" w:hAnsi="宋体" w:cs="宋体"/>
                <w:sz w:val="24"/>
                <w:lang w:bidi="ar"/>
              </w:rPr>
              <w:t>4.尺寸＜400*300*100mm，支持放入400*300*100mm的标准弱电箱中部署；</w:t>
            </w:r>
          </w:p>
          <w:p>
            <w:pPr>
              <w:spacing w:line="360" w:lineRule="auto"/>
              <w:rPr>
                <w:rFonts w:ascii="宋体" w:hAnsi="宋体" w:cs="宋体"/>
                <w:sz w:val="24"/>
                <w:lang w:bidi="ar"/>
              </w:rPr>
            </w:pPr>
            <w:r>
              <w:rPr>
                <w:rFonts w:hint="eastAsia" w:ascii="宋体" w:hAnsi="宋体" w:cs="宋体"/>
                <w:sz w:val="24"/>
                <w:lang w:bidi="ar"/>
              </w:rPr>
              <w:t>※5. IK防护测试级别至少达到IK04；</w:t>
            </w:r>
          </w:p>
          <w:p>
            <w:pPr>
              <w:spacing w:line="360" w:lineRule="auto"/>
              <w:rPr>
                <w:rFonts w:ascii="宋体" w:hAnsi="宋体" w:cs="宋体"/>
                <w:sz w:val="24"/>
                <w:lang w:bidi="ar"/>
              </w:rPr>
            </w:pPr>
            <w:r>
              <w:rPr>
                <w:rFonts w:hint="eastAsia" w:ascii="宋体" w:hAnsi="宋体" w:cs="宋体"/>
                <w:sz w:val="24"/>
                <w:lang w:bidi="ar"/>
              </w:rPr>
              <w:t>6.设备采用金属外壳和金属网口设计；</w:t>
            </w:r>
          </w:p>
          <w:p>
            <w:pPr>
              <w:spacing w:line="360" w:lineRule="auto"/>
              <w:rPr>
                <w:rFonts w:ascii="宋体" w:hAnsi="宋体" w:cs="宋体"/>
                <w:sz w:val="24"/>
                <w:lang w:bidi="ar"/>
              </w:rPr>
            </w:pPr>
            <w:r>
              <w:rPr>
                <w:rFonts w:hint="eastAsia" w:ascii="宋体" w:hAnsi="宋体" w:cs="宋体"/>
                <w:sz w:val="24"/>
                <w:lang w:bidi="ar"/>
              </w:rPr>
              <w:t>7.支持专门针对CPU的保护机制，能够针对发往CPU处理的各种报文进行流区分和优先级队列分级处理；</w:t>
            </w:r>
          </w:p>
          <w:p>
            <w:pPr>
              <w:spacing w:line="360" w:lineRule="auto"/>
              <w:rPr>
                <w:rFonts w:ascii="宋体" w:hAnsi="宋体" w:cs="宋体"/>
                <w:sz w:val="24"/>
                <w:lang w:bidi="ar"/>
              </w:rPr>
            </w:pPr>
            <w:r>
              <w:rPr>
                <w:rFonts w:hint="eastAsia" w:ascii="宋体" w:hAnsi="宋体" w:cs="宋体"/>
                <w:sz w:val="24"/>
                <w:lang w:bidi="ar"/>
              </w:rPr>
              <w:t>8.支持端口浪涌抗扰度≥8KV（即具备≥8KV的防雷能力）</w:t>
            </w:r>
          </w:p>
          <w:p>
            <w:pPr>
              <w:spacing w:line="360" w:lineRule="auto"/>
              <w:rPr>
                <w:rFonts w:ascii="宋体" w:hAnsi="宋体" w:cs="宋体"/>
                <w:sz w:val="24"/>
                <w:lang w:bidi="ar"/>
              </w:rPr>
            </w:pPr>
            <w:r>
              <w:rPr>
                <w:rFonts w:hint="eastAsia" w:ascii="宋体" w:hAnsi="宋体" w:cs="宋体"/>
                <w:sz w:val="24"/>
                <w:lang w:bidi="ar"/>
              </w:rPr>
              <w:t>9.支持交换机即插即用，支持按功能区域零配置上线，支持图形化界面划分端口业务；</w:t>
            </w:r>
          </w:p>
          <w:p>
            <w:pPr>
              <w:spacing w:line="360" w:lineRule="auto"/>
              <w:rPr>
                <w:rFonts w:ascii="宋体" w:hAnsi="宋体" w:cs="宋体"/>
                <w:sz w:val="24"/>
                <w:lang w:bidi="ar"/>
              </w:rPr>
            </w:pPr>
            <w:r>
              <w:rPr>
                <w:rFonts w:hint="eastAsia" w:ascii="宋体" w:hAnsi="宋体" w:cs="宋体"/>
                <w:sz w:val="24"/>
                <w:lang w:bidi="ar"/>
              </w:rPr>
              <w:t>※10.当交换机出现故障，支持替换用的新设备的零配置替换，新设备上电后配置自动下发，无需手动配置。</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2200</w:t>
            </w:r>
          </w:p>
        </w:tc>
      </w:tr>
      <w:tr>
        <w:tblPrEx>
          <w:tblCellMar>
            <w:top w:w="0" w:type="dxa"/>
            <w:left w:w="108" w:type="dxa"/>
            <w:bottom w:w="0" w:type="dxa"/>
            <w:right w:w="108" w:type="dxa"/>
          </w:tblCellMar>
        </w:tblPrEx>
        <w:trPr>
          <w:trHeight w:val="511"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8口POE交换机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391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▲1.10/100/1000M以太网电口≥8个，2.5G以太网电口≥1个；产品支持POE和POE+远程供电，POE供电功率≥125W；</w:t>
            </w:r>
          </w:p>
          <w:p>
            <w:pPr>
              <w:spacing w:line="360" w:lineRule="auto"/>
              <w:rPr>
                <w:rFonts w:ascii="宋体" w:hAnsi="宋体" w:cs="宋体"/>
                <w:sz w:val="24"/>
                <w:lang w:bidi="ar"/>
              </w:rPr>
            </w:pPr>
            <w:r>
              <w:rPr>
                <w:rFonts w:hint="eastAsia" w:ascii="宋体" w:hAnsi="宋体" w:cs="宋体"/>
                <w:sz w:val="24"/>
                <w:lang w:bidi="ar"/>
              </w:rPr>
              <w:t>▲2.交换容量≥430Gbps，包转发率≥80Mpps</w:t>
            </w:r>
          </w:p>
          <w:p>
            <w:pPr>
              <w:spacing w:line="360" w:lineRule="auto"/>
              <w:rPr>
                <w:rFonts w:ascii="宋体" w:hAnsi="宋体" w:cs="宋体"/>
                <w:sz w:val="24"/>
                <w:lang w:bidi="ar"/>
              </w:rPr>
            </w:pPr>
            <w:r>
              <w:rPr>
                <w:rFonts w:hint="eastAsia" w:ascii="宋体" w:hAnsi="宋体" w:cs="宋体"/>
                <w:sz w:val="24"/>
                <w:lang w:bidi="ar"/>
              </w:rPr>
              <w:t>3.噪声值＜20dB；</w:t>
            </w:r>
          </w:p>
          <w:p>
            <w:pPr>
              <w:spacing w:line="360" w:lineRule="auto"/>
              <w:rPr>
                <w:rFonts w:ascii="宋体" w:hAnsi="宋体" w:cs="宋体"/>
                <w:sz w:val="24"/>
                <w:lang w:bidi="ar"/>
              </w:rPr>
            </w:pPr>
            <w:r>
              <w:rPr>
                <w:rFonts w:hint="eastAsia" w:ascii="宋体" w:hAnsi="宋体" w:cs="宋体"/>
                <w:sz w:val="24"/>
                <w:lang w:bidi="ar"/>
              </w:rPr>
              <w:t>4.尺寸＜400*300*100mm，支持放入400*300*100mm的标准弱电箱中部署；</w:t>
            </w:r>
          </w:p>
          <w:p>
            <w:pPr>
              <w:spacing w:line="360" w:lineRule="auto"/>
              <w:rPr>
                <w:rFonts w:ascii="宋体" w:hAnsi="宋体" w:cs="宋体"/>
                <w:sz w:val="24"/>
                <w:lang w:bidi="ar"/>
              </w:rPr>
            </w:pPr>
            <w:r>
              <w:rPr>
                <w:rFonts w:hint="eastAsia" w:ascii="宋体" w:hAnsi="宋体" w:cs="宋体"/>
                <w:sz w:val="24"/>
                <w:lang w:bidi="ar"/>
              </w:rPr>
              <w:t>※5. IK防护测试级别至少达到IK04；</w:t>
            </w:r>
          </w:p>
          <w:p>
            <w:pPr>
              <w:spacing w:line="360" w:lineRule="auto"/>
              <w:rPr>
                <w:rFonts w:ascii="宋体" w:hAnsi="宋体" w:cs="宋体"/>
                <w:sz w:val="24"/>
                <w:lang w:bidi="ar"/>
              </w:rPr>
            </w:pPr>
            <w:r>
              <w:rPr>
                <w:rFonts w:hint="eastAsia" w:ascii="宋体" w:hAnsi="宋体" w:cs="宋体"/>
                <w:sz w:val="24"/>
                <w:lang w:bidi="ar"/>
              </w:rPr>
              <w:t>6.设备采用金属外壳和金属网口设计；</w:t>
            </w:r>
          </w:p>
          <w:p>
            <w:pPr>
              <w:spacing w:line="360" w:lineRule="auto"/>
              <w:rPr>
                <w:rFonts w:ascii="宋体" w:hAnsi="宋体" w:cs="宋体"/>
                <w:sz w:val="24"/>
                <w:lang w:bidi="ar"/>
              </w:rPr>
            </w:pPr>
            <w:r>
              <w:rPr>
                <w:rFonts w:hint="eastAsia" w:ascii="宋体" w:hAnsi="宋体" w:cs="宋体"/>
                <w:sz w:val="24"/>
                <w:lang w:bidi="ar"/>
              </w:rPr>
              <w:t>7.支持专门针对CPU的保护机制，能够针对发往CPU处理的各种报文进行流区分和优先级队列分级处理；</w:t>
            </w:r>
          </w:p>
          <w:p>
            <w:pPr>
              <w:spacing w:line="360" w:lineRule="auto"/>
              <w:rPr>
                <w:rFonts w:ascii="宋体" w:hAnsi="宋体" w:cs="宋体"/>
                <w:sz w:val="24"/>
                <w:lang w:bidi="ar"/>
              </w:rPr>
            </w:pPr>
            <w:r>
              <w:rPr>
                <w:rFonts w:hint="eastAsia" w:ascii="宋体" w:hAnsi="宋体" w:cs="宋体"/>
                <w:sz w:val="24"/>
                <w:lang w:bidi="ar"/>
              </w:rPr>
              <w:t>8.支持端口浪涌抗扰度≥8KV（即具备≥8KV的防雷能力）</w:t>
            </w:r>
          </w:p>
          <w:p>
            <w:pPr>
              <w:spacing w:line="360" w:lineRule="auto"/>
              <w:rPr>
                <w:rFonts w:ascii="宋体" w:hAnsi="宋体" w:cs="宋体"/>
                <w:sz w:val="24"/>
                <w:lang w:bidi="ar"/>
              </w:rPr>
            </w:pPr>
            <w:r>
              <w:rPr>
                <w:rFonts w:hint="eastAsia" w:ascii="宋体" w:hAnsi="宋体" w:cs="宋体"/>
                <w:sz w:val="24"/>
                <w:lang w:bidi="ar"/>
              </w:rPr>
              <w:t>9.支持交换机即插即用，支持按功能区域零配置上线，支持图形化界面划分端口业务；</w:t>
            </w:r>
          </w:p>
          <w:p>
            <w:pPr>
              <w:spacing w:line="360" w:lineRule="auto"/>
              <w:rPr>
                <w:rFonts w:ascii="宋体" w:hAnsi="宋体" w:cs="宋体"/>
                <w:sz w:val="24"/>
                <w:lang w:bidi="ar"/>
              </w:rPr>
            </w:pPr>
            <w:r>
              <w:rPr>
                <w:rFonts w:hint="eastAsia" w:ascii="宋体" w:hAnsi="宋体" w:cs="宋体"/>
                <w:sz w:val="24"/>
                <w:lang w:bidi="ar"/>
              </w:rPr>
              <w:t>※10.当交换机出现故障，支持替换用的新设备的零配置替换，新设备上电后配置自动下发，无需手动配置；</w:t>
            </w:r>
          </w:p>
          <w:p>
            <w:pPr>
              <w:spacing w:line="360" w:lineRule="auto"/>
              <w:rPr>
                <w:rFonts w:ascii="宋体" w:hAnsi="宋体" w:cs="宋体"/>
                <w:b/>
                <w:bCs/>
                <w:sz w:val="24"/>
                <w:lang w:bidi="ar"/>
              </w:rPr>
            </w:pPr>
            <w:r>
              <w:rPr>
                <w:rFonts w:hint="eastAsia" w:ascii="宋体" w:hAnsi="宋体" w:cs="宋体"/>
                <w:b/>
                <w:bCs/>
                <w:sz w:val="24"/>
                <w:lang w:bidi="ar"/>
              </w:rPr>
              <w:t>▲11.为保证系统兼容性，要求与本项目第3项汇聚交换机为同一品牌。</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1660</w:t>
            </w:r>
          </w:p>
        </w:tc>
      </w:tr>
      <w:tr>
        <w:tblPrEx>
          <w:tblCellMar>
            <w:top w:w="0" w:type="dxa"/>
            <w:left w:w="108" w:type="dxa"/>
            <w:bottom w:w="0" w:type="dxa"/>
            <w:right w:w="108" w:type="dxa"/>
          </w:tblCellMar>
        </w:tblPrEx>
        <w:trPr>
          <w:trHeight w:val="171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SDN控制器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套</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▲1.SDN 控制器要求硬件和软件组合交付(硬件配置≥2颗8 核 CPU、≥64G 内存、≥2T 以上硬盘空间、≥2 个万兆光口)，配置≥500个网络节点授权管理，支持环路检测自愈功能，支持接入交换机零配置上线、故障免配置替换功能；</w:t>
            </w:r>
          </w:p>
          <w:p>
            <w:pPr>
              <w:spacing w:line="360" w:lineRule="auto"/>
              <w:rPr>
                <w:rFonts w:ascii="宋体" w:hAnsi="宋体" w:cs="宋体"/>
                <w:sz w:val="24"/>
                <w:lang w:bidi="ar"/>
              </w:rPr>
            </w:pPr>
            <w:r>
              <w:rPr>
                <w:rFonts w:hint="eastAsia" w:ascii="宋体" w:hAnsi="宋体" w:cs="宋体"/>
                <w:sz w:val="24"/>
                <w:lang w:bidi="ar"/>
              </w:rPr>
              <w:t>2.支持用户可根据账号密码确认对应的用户分组，同一用户分组内安全策略一致，用户在不同位置登录，输入账号标识的用户组不变，实现策略随行。</w:t>
            </w:r>
          </w:p>
          <w:p>
            <w:pPr>
              <w:spacing w:line="360" w:lineRule="auto"/>
              <w:rPr>
                <w:rFonts w:ascii="宋体" w:hAnsi="宋体" w:cs="宋体"/>
                <w:sz w:val="24"/>
                <w:lang w:bidi="ar"/>
              </w:rPr>
            </w:pPr>
            <w:r>
              <w:rPr>
                <w:rFonts w:hint="eastAsia" w:ascii="宋体" w:hAnsi="宋体" w:cs="宋体"/>
                <w:sz w:val="24"/>
                <w:lang w:bidi="ar"/>
              </w:rPr>
              <w:t>3.支持针对用户分组进行网络访问策略下发，界面化的网络策略调整，业务间可视化互访策略调整；</w:t>
            </w:r>
          </w:p>
          <w:p>
            <w:pPr>
              <w:spacing w:line="360" w:lineRule="auto"/>
              <w:rPr>
                <w:rFonts w:ascii="宋体" w:hAnsi="宋体" w:cs="宋体"/>
                <w:sz w:val="24"/>
                <w:lang w:bidi="ar"/>
              </w:rPr>
            </w:pPr>
            <w:r>
              <w:rPr>
                <w:rFonts w:hint="eastAsia" w:ascii="宋体" w:hAnsi="宋体" w:cs="宋体"/>
                <w:sz w:val="24"/>
                <w:lang w:bidi="ar"/>
              </w:rPr>
              <w:t>4.有线网络终端、无线网络终端和哑终端都支持策略随行。</w:t>
            </w:r>
          </w:p>
          <w:p>
            <w:pPr>
              <w:spacing w:line="360" w:lineRule="auto"/>
              <w:rPr>
                <w:rFonts w:ascii="宋体" w:hAnsi="宋体" w:cs="宋体"/>
                <w:sz w:val="24"/>
                <w:lang w:bidi="ar"/>
              </w:rPr>
            </w:pPr>
            <w:r>
              <w:rPr>
                <w:rFonts w:hint="eastAsia" w:ascii="宋体" w:hAnsi="宋体" w:cs="宋体"/>
                <w:sz w:val="24"/>
                <w:lang w:bidi="ar"/>
              </w:rPr>
              <w:t>5.在扁平化的大二层组网环境下，支持端口隔离策略，既能隔离 arp、单播、 dhcp 报文又能放通其他正常的二层报文。</w:t>
            </w:r>
          </w:p>
          <w:p>
            <w:pPr>
              <w:spacing w:line="360" w:lineRule="auto"/>
              <w:rPr>
                <w:rFonts w:ascii="宋体" w:hAnsi="宋体" w:cs="宋体"/>
                <w:sz w:val="24"/>
                <w:lang w:bidi="ar"/>
              </w:rPr>
            </w:pPr>
            <w:r>
              <w:rPr>
                <w:rFonts w:hint="eastAsia" w:ascii="宋体" w:hAnsi="宋体" w:cs="宋体"/>
                <w:sz w:val="24"/>
                <w:lang w:bidi="ar"/>
              </w:rPr>
              <w:t>6.支持资产终端设备自动发现，拓扑的自动生成和展示，可实现物联网终端自动上线，支持提供向导式配置界面。</w:t>
            </w:r>
          </w:p>
          <w:p>
            <w:pPr>
              <w:spacing w:line="360" w:lineRule="auto"/>
              <w:rPr>
                <w:rFonts w:ascii="宋体" w:hAnsi="宋体" w:cs="宋体"/>
                <w:sz w:val="24"/>
                <w:lang w:bidi="ar"/>
              </w:rPr>
            </w:pPr>
            <w:r>
              <w:rPr>
                <w:rFonts w:hint="eastAsia" w:ascii="宋体" w:hAnsi="宋体" w:cs="宋体"/>
                <w:sz w:val="24"/>
                <w:lang w:bidi="ar"/>
              </w:rPr>
              <w:t>7.支持自定义资产终端准入免确认时间，免确认时间内自动进行整网资产哑终端设备的IP+MAC等信息收集。</w:t>
            </w:r>
          </w:p>
          <w:p>
            <w:pPr>
              <w:spacing w:line="360" w:lineRule="auto"/>
              <w:rPr>
                <w:rFonts w:ascii="宋体" w:hAnsi="宋体" w:cs="宋体"/>
                <w:sz w:val="24"/>
                <w:lang w:bidi="ar"/>
              </w:rPr>
            </w:pPr>
            <w:r>
              <w:rPr>
                <w:rFonts w:hint="eastAsia" w:ascii="宋体" w:hAnsi="宋体" w:cs="宋体"/>
                <w:sz w:val="24"/>
                <w:lang w:bidi="ar"/>
              </w:rPr>
              <w:t>8.资产终端上线时无需提前收集终端MAC地址，无需提前在控制器导入MAC相关信息。</w:t>
            </w:r>
          </w:p>
          <w:p>
            <w:pPr>
              <w:spacing w:line="360" w:lineRule="auto"/>
              <w:rPr>
                <w:rFonts w:ascii="宋体" w:hAnsi="宋体" w:cs="宋体"/>
                <w:sz w:val="24"/>
                <w:lang w:bidi="ar"/>
              </w:rPr>
            </w:pPr>
            <w:r>
              <w:rPr>
                <w:rFonts w:hint="eastAsia" w:ascii="宋体" w:hAnsi="宋体" w:cs="宋体"/>
                <w:sz w:val="24"/>
                <w:lang w:bidi="ar"/>
              </w:rPr>
              <w:t>※9.支持终端入网时，管理员需在准入审批界面手动确认，终端才允许入网；</w:t>
            </w:r>
          </w:p>
          <w:p>
            <w:pPr>
              <w:spacing w:line="360" w:lineRule="auto"/>
              <w:rPr>
                <w:rFonts w:ascii="宋体" w:hAnsi="宋体" w:cs="宋体"/>
                <w:sz w:val="24"/>
                <w:lang w:bidi="ar"/>
              </w:rPr>
            </w:pPr>
            <w:r>
              <w:rPr>
                <w:rFonts w:hint="eastAsia" w:ascii="宋体" w:hAnsi="宋体" w:cs="宋体"/>
                <w:sz w:val="24"/>
                <w:lang w:bidi="ar"/>
              </w:rPr>
              <w:t>10.支持接入的资产终端无须安装任何客户端与插件，审批后即可入网。</w:t>
            </w:r>
          </w:p>
          <w:p>
            <w:pPr>
              <w:spacing w:line="360" w:lineRule="auto"/>
              <w:rPr>
                <w:rFonts w:ascii="宋体" w:hAnsi="宋体" w:cs="宋体"/>
                <w:sz w:val="24"/>
                <w:lang w:bidi="ar"/>
              </w:rPr>
            </w:pPr>
            <w:r>
              <w:rPr>
                <w:rFonts w:hint="eastAsia" w:ascii="宋体" w:hAnsi="宋体" w:cs="宋体"/>
                <w:sz w:val="24"/>
                <w:lang w:bidi="ar"/>
              </w:rPr>
              <w:t>11.支持动、静态IP地址混合部署场景；</w:t>
            </w:r>
          </w:p>
          <w:p>
            <w:pPr>
              <w:spacing w:line="360" w:lineRule="auto"/>
              <w:rPr>
                <w:rFonts w:ascii="宋体" w:hAnsi="宋体" w:cs="宋体"/>
                <w:sz w:val="24"/>
                <w:lang w:bidi="ar"/>
              </w:rPr>
            </w:pPr>
            <w:r>
              <w:rPr>
                <w:rFonts w:hint="eastAsia" w:ascii="宋体" w:hAnsi="宋体" w:cs="宋体"/>
                <w:sz w:val="24"/>
                <w:lang w:bidi="ar"/>
              </w:rPr>
              <w:t>12.支持显示IP地址内容包含接入位置+IP+MAC+状态+最近一次活跃时间等。</w:t>
            </w:r>
          </w:p>
          <w:p>
            <w:pPr>
              <w:spacing w:line="360" w:lineRule="auto"/>
              <w:rPr>
                <w:rFonts w:ascii="宋体" w:hAnsi="宋体" w:cs="宋体"/>
                <w:sz w:val="24"/>
                <w:lang w:bidi="ar"/>
              </w:rPr>
            </w:pPr>
            <w:r>
              <w:rPr>
                <w:rFonts w:hint="eastAsia" w:ascii="宋体" w:hAnsi="宋体" w:cs="宋体"/>
                <w:sz w:val="24"/>
                <w:lang w:bidi="ar"/>
              </w:rPr>
              <w:t xml:space="preserve">13.室内交换机支持零配置上线。根据不同区域的业务创建相应业务模板后，绑定设备区域位置信息，设备开箱上电后配置即可自动从软件下发，无需在接入设备端刷入配置； </w:t>
            </w:r>
          </w:p>
          <w:p>
            <w:pPr>
              <w:spacing w:line="360" w:lineRule="auto"/>
              <w:rPr>
                <w:rFonts w:ascii="宋体" w:hAnsi="宋体" w:cs="宋体"/>
                <w:sz w:val="24"/>
                <w:lang w:bidi="ar"/>
              </w:rPr>
            </w:pPr>
            <w:r>
              <w:rPr>
                <w:rFonts w:hint="eastAsia" w:ascii="宋体" w:hAnsi="宋体" w:cs="宋体"/>
                <w:sz w:val="24"/>
                <w:lang w:bidi="ar"/>
              </w:rPr>
              <w:t>14.支持通过excel批量导入、基于楼栋交换机端口两种方式绑定设备区域位置管理资产信息；</w:t>
            </w:r>
          </w:p>
          <w:p>
            <w:pPr>
              <w:spacing w:line="360" w:lineRule="auto"/>
              <w:rPr>
                <w:rFonts w:ascii="宋体" w:hAnsi="宋体" w:cs="宋体"/>
                <w:sz w:val="24"/>
                <w:lang w:bidi="ar"/>
              </w:rPr>
            </w:pPr>
            <w:r>
              <w:rPr>
                <w:rFonts w:hint="eastAsia" w:ascii="宋体" w:hAnsi="宋体" w:cs="宋体"/>
                <w:sz w:val="24"/>
                <w:lang w:bidi="ar"/>
              </w:rPr>
              <w:t>▲15.当室内交换机出现故障，替换用的新设备支持智能零替换。支持自适应不同型号间的设备替换，以及替换后新设备支持终端在任意端口接入，并且终端在原有设备接入端口的配置可自动跟随到新设备端口；</w:t>
            </w:r>
          </w:p>
          <w:p>
            <w:pPr>
              <w:spacing w:line="360" w:lineRule="auto"/>
              <w:rPr>
                <w:rFonts w:ascii="宋体" w:hAnsi="宋体" w:cs="宋体"/>
                <w:sz w:val="24"/>
                <w:lang w:bidi="ar"/>
              </w:rPr>
            </w:pPr>
            <w:r>
              <w:rPr>
                <w:rFonts w:hint="eastAsia" w:ascii="宋体" w:hAnsi="宋体" w:cs="宋体"/>
                <w:sz w:val="24"/>
                <w:lang w:bidi="ar"/>
              </w:rPr>
              <w:t>※16.支持光模块与光链路运维检测与故障告警，并可在拓扑中呈现并查看详细信息，包括提供告警原因分析与处理建议；</w:t>
            </w:r>
          </w:p>
          <w:p>
            <w:pPr>
              <w:spacing w:line="360" w:lineRule="auto"/>
              <w:rPr>
                <w:rFonts w:ascii="宋体" w:hAnsi="宋体" w:cs="宋体"/>
                <w:sz w:val="24"/>
                <w:lang w:bidi="ar"/>
              </w:rPr>
            </w:pPr>
            <w:r>
              <w:rPr>
                <w:rFonts w:hint="eastAsia" w:ascii="宋体" w:hAnsi="宋体" w:cs="宋体"/>
                <w:sz w:val="24"/>
                <w:lang w:bidi="ar"/>
              </w:rPr>
              <w:t>※17.当网络出现环路时能自动产生告警，并在拓扑中显示具体的环路设备告警，能够查询到具体的环路端口；</w:t>
            </w:r>
          </w:p>
          <w:p>
            <w:pPr>
              <w:spacing w:line="360" w:lineRule="auto"/>
              <w:rPr>
                <w:rFonts w:ascii="宋体" w:hAnsi="宋体" w:cs="宋体"/>
                <w:sz w:val="24"/>
                <w:lang w:bidi="ar"/>
              </w:rPr>
            </w:pPr>
            <w:r>
              <w:rPr>
                <w:rFonts w:hint="eastAsia" w:ascii="宋体" w:hAnsi="宋体" w:cs="宋体"/>
                <w:sz w:val="24"/>
                <w:lang w:bidi="ar"/>
              </w:rPr>
              <w:t>18.支持分级分权的账号审批，不同的账号有不同的审批范围和权限。可以根据业务网分组生成对应范围权限的管理账号；</w:t>
            </w:r>
          </w:p>
          <w:p>
            <w:pPr>
              <w:spacing w:line="360" w:lineRule="auto"/>
              <w:rPr>
                <w:rFonts w:ascii="宋体" w:hAnsi="宋体" w:cs="宋体"/>
                <w:sz w:val="24"/>
                <w:lang w:bidi="ar"/>
              </w:rPr>
            </w:pPr>
            <w:r>
              <w:rPr>
                <w:rFonts w:hint="eastAsia" w:ascii="宋体" w:hAnsi="宋体" w:cs="宋体"/>
                <w:sz w:val="24"/>
                <w:lang w:bidi="ar"/>
              </w:rPr>
              <w:t>19.当出现控制器故障时，支持逃生机制，不影响当前业务运行，用户的安全策略不变。</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64800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2芯单模光纤跳线 10米-15米长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57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条</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10米-15米长，2芯单模双芯跳线，电信级万兆单模双芯跳线，外被：低烟无卤，插芯：高性能陶瓷插芯。线径：3.0mm。插入损耗≤0.2dB。回波损耗≥50dB，LC接头</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60</w:t>
            </w:r>
          </w:p>
        </w:tc>
      </w:tr>
      <w:tr>
        <w:tblPrEx>
          <w:tblCellMar>
            <w:top w:w="0" w:type="dxa"/>
            <w:left w:w="108" w:type="dxa"/>
            <w:bottom w:w="0" w:type="dxa"/>
            <w:right w:w="108" w:type="dxa"/>
          </w:tblCellMar>
        </w:tblPrEx>
        <w:trPr>
          <w:trHeight w:val="9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2芯单模光纤跳线 2米长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171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条</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2米长，2芯单模双芯跳线，电信级万兆单模双芯跳线，外被：低烟无卤，插芯：高性能陶瓷插芯。线径：3.0mm。插入损耗≤0.2dB。回波损耗≥50dB，LC接头</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30</w:t>
            </w:r>
          </w:p>
        </w:tc>
      </w:tr>
      <w:tr>
        <w:tblPrEx>
          <w:tblCellMar>
            <w:top w:w="0" w:type="dxa"/>
            <w:left w:w="108" w:type="dxa"/>
            <w:bottom w:w="0" w:type="dxa"/>
            <w:right w:w="108" w:type="dxa"/>
          </w:tblCellMar>
        </w:tblPrEx>
        <w:trPr>
          <w:trHeight w:val="28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一光一电</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33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一光一电千兆单模单纤光收发：1个光口1个电口，千兆网口，SC光口纤接口+千兆RJ45接口，支持IPv6，带宽801-1000M</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200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4口光纤盒 含尾纤、耦合器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33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个</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含4芯熔接配线盘、LC适配器、子框、光缆固定装置、引入单元、保护组件、卡具组件、存储单元等</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80</w:t>
            </w:r>
          </w:p>
        </w:tc>
      </w:tr>
      <w:tr>
        <w:tblPrEx>
          <w:tblCellMar>
            <w:top w:w="0" w:type="dxa"/>
            <w:left w:w="108" w:type="dxa"/>
            <w:bottom w:w="0" w:type="dxa"/>
            <w:right w:w="108" w:type="dxa"/>
          </w:tblCellMar>
        </w:tblPrEx>
        <w:trPr>
          <w:trHeight w:val="114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48口光纤配线架 含尾纤、耦合器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架</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含48芯熔接配线盘、LC适配器、子框、光缆固定装置、引入单元、保护组件、卡具组件、存储单元等</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742.5</w:t>
            </w:r>
          </w:p>
        </w:tc>
      </w:tr>
      <w:tr>
        <w:tblPrEx>
          <w:tblCellMar>
            <w:top w:w="0" w:type="dxa"/>
            <w:left w:w="108" w:type="dxa"/>
            <w:bottom w:w="0" w:type="dxa"/>
            <w:right w:w="108" w:type="dxa"/>
          </w:tblCellMar>
        </w:tblPrEx>
        <w:trPr>
          <w:trHeight w:val="285" w:hRule="atLeast"/>
        </w:trPr>
        <w:tc>
          <w:tcPr>
            <w:tcW w:w="84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二、学生宿舍网</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p>
        </w:tc>
      </w:tr>
      <w:tr>
        <w:tblPrEx>
          <w:tblCellMar>
            <w:top w:w="0" w:type="dxa"/>
            <w:left w:w="108" w:type="dxa"/>
            <w:bottom w:w="0" w:type="dxa"/>
            <w:right w:w="108" w:type="dxa"/>
          </w:tblCellMar>
        </w:tblPrEx>
        <w:trPr>
          <w:trHeight w:val="114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◆出口路由器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255"/>
                <w:numId w:val="0"/>
              </w:numPr>
              <w:spacing w:line="360" w:lineRule="auto"/>
              <w:rPr>
                <w:rFonts w:ascii="宋体" w:hAnsi="宋体" w:cs="宋体"/>
                <w:sz w:val="24"/>
                <w:lang w:bidi="ar"/>
              </w:rPr>
            </w:pPr>
            <w:r>
              <w:rPr>
                <w:rFonts w:hint="eastAsia" w:ascii="宋体" w:hAnsi="宋体" w:cs="宋体"/>
                <w:sz w:val="24"/>
                <w:lang w:bidi="ar"/>
              </w:rPr>
              <w:t>▲一、单台配置要求：</w:t>
            </w:r>
          </w:p>
          <w:p>
            <w:pPr>
              <w:spacing w:line="360" w:lineRule="auto"/>
              <w:rPr>
                <w:rFonts w:ascii="宋体" w:hAnsi="宋体" w:cs="宋体"/>
                <w:sz w:val="24"/>
                <w:lang w:bidi="ar"/>
              </w:rPr>
            </w:pPr>
            <w:r>
              <w:rPr>
                <w:rFonts w:hint="eastAsia" w:ascii="宋体" w:hAnsi="宋体" w:cs="宋体"/>
                <w:sz w:val="24"/>
                <w:lang w:bidi="ar"/>
              </w:rPr>
              <w:t>1.提供路由器主机一台、带风扇、含系统软件；</w:t>
            </w:r>
          </w:p>
          <w:p>
            <w:pPr>
              <w:spacing w:line="360" w:lineRule="auto"/>
              <w:rPr>
                <w:rFonts w:ascii="宋体" w:hAnsi="宋体" w:cs="宋体"/>
                <w:sz w:val="24"/>
                <w:lang w:bidi="ar"/>
              </w:rPr>
            </w:pPr>
            <w:r>
              <w:rPr>
                <w:rFonts w:hint="eastAsia" w:ascii="宋体" w:hAnsi="宋体" w:cs="宋体"/>
                <w:sz w:val="24"/>
                <w:lang w:bidi="ar"/>
              </w:rPr>
              <w:t>2.主控引擎≥2，独立交换网板≥2（交换网板不得与路由引擎集成提供，并且不得与业务线卡槽位复用）；</w:t>
            </w:r>
          </w:p>
          <w:p>
            <w:pPr>
              <w:spacing w:line="360" w:lineRule="auto"/>
              <w:rPr>
                <w:rFonts w:ascii="宋体" w:hAnsi="宋体" w:cs="宋体"/>
                <w:sz w:val="24"/>
                <w:lang w:bidi="ar"/>
              </w:rPr>
            </w:pPr>
            <w:r>
              <w:rPr>
                <w:rFonts w:hint="eastAsia" w:ascii="宋体" w:hAnsi="宋体" w:cs="宋体"/>
                <w:sz w:val="24"/>
                <w:lang w:bidi="ar"/>
              </w:rPr>
              <w:t>3.整机业务插槽数量≥4个（不含路由引擎、交换网板、业务子卡插槽，为全高全宽尺寸），业务槽位支持子母卡配置;</w:t>
            </w:r>
          </w:p>
          <w:p>
            <w:pPr>
              <w:spacing w:line="360" w:lineRule="auto"/>
              <w:rPr>
                <w:rFonts w:ascii="宋体" w:hAnsi="宋体" w:cs="宋体"/>
                <w:sz w:val="24"/>
                <w:lang w:bidi="ar"/>
              </w:rPr>
            </w:pPr>
            <w:r>
              <w:rPr>
                <w:rFonts w:hint="eastAsia" w:ascii="宋体" w:hAnsi="宋体" w:cs="宋体"/>
                <w:sz w:val="24"/>
                <w:lang w:bidi="ar"/>
              </w:rPr>
              <w:t>4.配置双引擎，1块交换网板，冗余电源；</w:t>
            </w:r>
          </w:p>
          <w:p>
            <w:pPr>
              <w:spacing w:line="360" w:lineRule="auto"/>
              <w:rPr>
                <w:rFonts w:ascii="宋体" w:hAnsi="宋体" w:cs="宋体"/>
                <w:sz w:val="24"/>
                <w:lang w:bidi="ar"/>
              </w:rPr>
            </w:pPr>
            <w:r>
              <w:rPr>
                <w:rFonts w:hint="eastAsia" w:ascii="宋体" w:hAnsi="宋体" w:cs="宋体"/>
                <w:sz w:val="24"/>
                <w:lang w:bidi="ar"/>
              </w:rPr>
              <w:t>5.配置万兆光口≥8个，≥8个万兆多模光模块；</w:t>
            </w:r>
          </w:p>
          <w:p>
            <w:pPr>
              <w:spacing w:line="360" w:lineRule="auto"/>
              <w:rPr>
                <w:rFonts w:ascii="宋体" w:hAnsi="宋体" w:cs="宋体"/>
                <w:sz w:val="24"/>
                <w:lang w:bidi="ar"/>
              </w:rPr>
            </w:pPr>
            <w:r>
              <w:rPr>
                <w:rFonts w:hint="eastAsia" w:ascii="宋体" w:hAnsi="宋体" w:cs="宋体"/>
                <w:sz w:val="24"/>
                <w:lang w:bidi="ar"/>
              </w:rPr>
              <w:t>二、参数要求：</w:t>
            </w:r>
          </w:p>
          <w:p>
            <w:pPr>
              <w:spacing w:line="360" w:lineRule="auto"/>
              <w:rPr>
                <w:rFonts w:ascii="宋体" w:hAnsi="宋体" w:cs="宋体"/>
                <w:sz w:val="24"/>
                <w:lang w:bidi="ar"/>
              </w:rPr>
            </w:pPr>
            <w:r>
              <w:rPr>
                <w:rFonts w:hint="eastAsia" w:ascii="宋体" w:hAnsi="宋体" w:cs="宋体"/>
                <w:sz w:val="24"/>
                <w:lang w:bidi="ar"/>
              </w:rPr>
              <w:t>▲1.</w:t>
            </w:r>
            <w:r>
              <w:rPr>
                <w:rFonts w:hint="eastAsia" w:ascii="宋体" w:hAnsi="宋体" w:cs="宋体"/>
                <w:kern w:val="0"/>
                <w:sz w:val="24"/>
                <w:lang w:bidi="ar"/>
              </w:rPr>
              <w:t>交换容量≥160Tbps，</w:t>
            </w:r>
            <w:r>
              <w:rPr>
                <w:rFonts w:hint="eastAsia" w:ascii="宋体" w:hAnsi="宋体" w:cs="宋体"/>
                <w:sz w:val="24"/>
                <w:lang w:bidi="ar"/>
              </w:rPr>
              <w:t>包转发率≥22000Mpps；</w:t>
            </w:r>
          </w:p>
          <w:p>
            <w:pPr>
              <w:spacing w:line="360" w:lineRule="auto"/>
              <w:rPr>
                <w:rFonts w:ascii="宋体" w:hAnsi="宋体" w:cs="宋体"/>
                <w:sz w:val="24"/>
                <w:lang w:bidi="ar"/>
              </w:rPr>
            </w:pPr>
            <w:r>
              <w:rPr>
                <w:rFonts w:hint="eastAsia" w:ascii="宋体" w:hAnsi="宋体" w:cs="宋体"/>
                <w:sz w:val="24"/>
                <w:lang w:bidi="ar"/>
              </w:rPr>
              <w:t>2.为提高整机可靠性，需支持双系统备份功能；</w:t>
            </w:r>
          </w:p>
          <w:p>
            <w:pPr>
              <w:spacing w:line="360" w:lineRule="auto"/>
              <w:rPr>
                <w:rFonts w:ascii="宋体" w:hAnsi="宋体" w:cs="宋体"/>
                <w:sz w:val="24"/>
                <w:lang w:bidi="ar"/>
              </w:rPr>
            </w:pPr>
            <w:r>
              <w:rPr>
                <w:rFonts w:hint="eastAsia" w:ascii="宋体" w:hAnsi="宋体" w:cs="宋体"/>
                <w:sz w:val="24"/>
                <w:lang w:bidi="ar"/>
              </w:rPr>
              <w:t>3.单槽位支持8个100G接口，40个万兆接口；</w:t>
            </w:r>
          </w:p>
          <w:p>
            <w:pPr>
              <w:spacing w:line="360" w:lineRule="auto"/>
              <w:rPr>
                <w:rFonts w:ascii="宋体" w:hAnsi="宋体" w:cs="宋体"/>
                <w:sz w:val="24"/>
                <w:lang w:bidi="ar"/>
              </w:rPr>
            </w:pPr>
            <w:r>
              <w:rPr>
                <w:rFonts w:hint="eastAsia" w:ascii="宋体" w:hAnsi="宋体" w:cs="宋体"/>
                <w:sz w:val="24"/>
                <w:lang w:bidi="ar"/>
              </w:rPr>
              <w:t>4.支持路由引擎、业务载板/模块、电源/风扇等关键部件的高可用性热插拔设计；</w:t>
            </w:r>
          </w:p>
          <w:p>
            <w:pPr>
              <w:spacing w:line="360" w:lineRule="auto"/>
              <w:rPr>
                <w:rFonts w:ascii="宋体" w:hAnsi="宋体" w:cs="宋体"/>
                <w:sz w:val="24"/>
                <w:lang w:bidi="ar"/>
              </w:rPr>
            </w:pPr>
            <w:r>
              <w:rPr>
                <w:rFonts w:hint="eastAsia" w:ascii="宋体" w:hAnsi="宋体" w:cs="宋体"/>
                <w:sz w:val="24"/>
                <w:lang w:bidi="ar"/>
              </w:rPr>
              <w:t>5.全面支持IPv6+新技术，网络平滑演进无忧，标准SRv6相关功能并提供配套控制器；须支持Netconf、YANG、Telemetry等SDN控制协议；</w:t>
            </w:r>
          </w:p>
          <w:p>
            <w:pPr>
              <w:spacing w:line="360" w:lineRule="auto"/>
              <w:rPr>
                <w:rFonts w:ascii="宋体" w:hAnsi="宋体" w:cs="宋体"/>
                <w:sz w:val="24"/>
                <w:lang w:bidi="ar"/>
              </w:rPr>
            </w:pPr>
            <w:r>
              <w:rPr>
                <w:rFonts w:hint="eastAsia" w:ascii="宋体" w:hAnsi="宋体" w:cs="宋体"/>
                <w:sz w:val="24"/>
                <w:lang w:bidi="ar"/>
              </w:rPr>
              <w:t>6.支持L3路由国际标准协议：RIP/RIPv2，OSPF，BGP4、IPv4，IPv6；</w:t>
            </w:r>
          </w:p>
          <w:p>
            <w:pPr>
              <w:spacing w:line="360" w:lineRule="auto"/>
              <w:rPr>
                <w:rFonts w:ascii="宋体" w:hAnsi="宋体" w:cs="宋体"/>
                <w:sz w:val="24"/>
                <w:lang w:bidi="ar"/>
              </w:rPr>
            </w:pPr>
            <w:r>
              <w:rPr>
                <w:rFonts w:hint="eastAsia" w:ascii="宋体" w:hAnsi="宋体" w:cs="宋体"/>
                <w:sz w:val="24"/>
                <w:lang w:bidi="ar"/>
              </w:rPr>
              <w:t>7.支持IPv4表容量不小于100W；IPv6表容量不小于50W；</w:t>
            </w:r>
          </w:p>
          <w:p>
            <w:pPr>
              <w:spacing w:line="360" w:lineRule="auto"/>
              <w:rPr>
                <w:rFonts w:ascii="宋体" w:hAnsi="宋体" w:cs="宋体"/>
                <w:sz w:val="24"/>
                <w:lang w:bidi="ar"/>
              </w:rPr>
            </w:pPr>
            <w:r>
              <w:rPr>
                <w:rFonts w:hint="eastAsia" w:ascii="宋体" w:hAnsi="宋体" w:cs="宋体"/>
                <w:sz w:val="24"/>
                <w:lang w:bidi="ar"/>
              </w:rPr>
              <w:t>※8.</w:t>
            </w:r>
            <w:r>
              <w:rPr>
                <w:rFonts w:hint="eastAsia"/>
              </w:rPr>
              <w:t xml:space="preserve"> </w:t>
            </w:r>
            <w:r>
              <w:rPr>
                <w:rFonts w:hint="eastAsia" w:ascii="宋体" w:hAnsi="宋体" w:cs="宋体"/>
                <w:sz w:val="24"/>
                <w:lang w:bidi="ar"/>
              </w:rPr>
              <w:t>支持加密算法SM3/SM4。</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127900</w:t>
            </w:r>
          </w:p>
        </w:tc>
      </w:tr>
      <w:tr>
        <w:tblPrEx>
          <w:tblCellMar>
            <w:top w:w="0" w:type="dxa"/>
            <w:left w:w="108" w:type="dxa"/>
            <w:bottom w:w="0" w:type="dxa"/>
            <w:right w:w="108" w:type="dxa"/>
          </w:tblCellMar>
        </w:tblPrEx>
        <w:trPr>
          <w:trHeight w:val="566"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◆核心交换机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▲一、单台配置要求：</w:t>
            </w:r>
          </w:p>
          <w:p>
            <w:pPr>
              <w:spacing w:line="360" w:lineRule="auto"/>
              <w:rPr>
                <w:rFonts w:ascii="宋体" w:hAnsi="宋体" w:cs="宋体"/>
                <w:sz w:val="24"/>
                <w:lang w:bidi="ar"/>
              </w:rPr>
            </w:pPr>
            <w:r>
              <w:rPr>
                <w:rFonts w:hint="eastAsia" w:ascii="宋体" w:hAnsi="宋体" w:cs="宋体"/>
                <w:sz w:val="24"/>
                <w:lang w:bidi="ar"/>
              </w:rPr>
              <w:t>1.交换网板与主控引擎硬件槽位分离，独立主控引擎插槽≥2个，独立业务插槽≥8个，独立交换网板插槽≥4个；</w:t>
            </w:r>
          </w:p>
          <w:p>
            <w:pPr>
              <w:spacing w:line="360" w:lineRule="auto"/>
              <w:rPr>
                <w:rFonts w:ascii="宋体" w:hAnsi="宋体" w:cs="宋体"/>
                <w:sz w:val="24"/>
                <w:lang w:bidi="ar"/>
              </w:rPr>
            </w:pPr>
            <w:r>
              <w:rPr>
                <w:rFonts w:hint="eastAsia" w:ascii="宋体" w:hAnsi="宋体" w:cs="宋体"/>
                <w:sz w:val="24"/>
                <w:lang w:bidi="ar"/>
              </w:rPr>
              <w:t>2.配置双主控引擎、2个交换网板、2个电源；</w:t>
            </w:r>
          </w:p>
          <w:p>
            <w:pPr>
              <w:spacing w:line="360" w:lineRule="auto"/>
              <w:rPr>
                <w:rFonts w:ascii="宋体" w:hAnsi="宋体" w:cs="宋体"/>
                <w:sz w:val="24"/>
                <w:lang w:bidi="ar"/>
              </w:rPr>
            </w:pPr>
            <w:r>
              <w:rPr>
                <w:rFonts w:hint="eastAsia" w:ascii="宋体" w:hAnsi="宋体" w:cs="宋体"/>
                <w:sz w:val="24"/>
                <w:lang w:bidi="ar"/>
              </w:rPr>
              <w:t>3.配置≥24个千兆电口，≥8个千兆光口，配置≥8个万兆光口，配置≥12端口100G/40G以太网光口；</w:t>
            </w:r>
          </w:p>
          <w:p>
            <w:pPr>
              <w:spacing w:line="360" w:lineRule="auto"/>
              <w:rPr>
                <w:rFonts w:ascii="宋体" w:hAnsi="宋体" w:cs="宋体"/>
                <w:sz w:val="24"/>
                <w:lang w:bidi="ar"/>
              </w:rPr>
            </w:pPr>
            <w:r>
              <w:rPr>
                <w:rFonts w:hint="eastAsia" w:ascii="宋体" w:hAnsi="宋体" w:cs="宋体"/>
                <w:sz w:val="24"/>
                <w:lang w:bidi="ar"/>
              </w:rPr>
              <w:t>4.配置≥22个100G多模光模块；</w:t>
            </w:r>
          </w:p>
          <w:p>
            <w:pPr>
              <w:spacing w:line="360" w:lineRule="auto"/>
              <w:rPr>
                <w:rFonts w:ascii="宋体" w:hAnsi="宋体" w:cs="宋体"/>
                <w:sz w:val="24"/>
                <w:lang w:bidi="ar"/>
              </w:rPr>
            </w:pPr>
            <w:r>
              <w:rPr>
                <w:rFonts w:hint="eastAsia" w:ascii="宋体" w:hAnsi="宋体" w:cs="宋体"/>
                <w:sz w:val="24"/>
                <w:lang w:bidi="ar"/>
              </w:rPr>
              <w:t>二、参数要求：</w:t>
            </w:r>
          </w:p>
          <w:p>
            <w:pPr>
              <w:spacing w:line="360" w:lineRule="auto"/>
              <w:rPr>
                <w:rFonts w:ascii="宋体" w:hAnsi="宋体" w:cs="宋体"/>
                <w:sz w:val="24"/>
                <w:lang w:bidi="ar"/>
              </w:rPr>
            </w:pPr>
            <w:r>
              <w:rPr>
                <w:rFonts w:hint="eastAsia" w:ascii="宋体" w:hAnsi="宋体" w:cs="宋体"/>
                <w:sz w:val="24"/>
                <w:lang w:bidi="ar"/>
              </w:rPr>
              <w:t>▲1.交换容量≥640Tbps，包转发速率≥230000Mpps；</w:t>
            </w:r>
          </w:p>
          <w:p>
            <w:pPr>
              <w:spacing w:line="360" w:lineRule="auto"/>
              <w:rPr>
                <w:rFonts w:ascii="宋体" w:hAnsi="宋体" w:cs="宋体"/>
                <w:sz w:val="24"/>
                <w:lang w:bidi="ar"/>
              </w:rPr>
            </w:pPr>
            <w:r>
              <w:rPr>
                <w:rFonts w:hint="eastAsia" w:ascii="宋体" w:hAnsi="宋体" w:cs="宋体"/>
                <w:sz w:val="24"/>
                <w:lang w:bidi="ar"/>
              </w:rPr>
              <w:t>▲2.采用正交CLOS交换架构，交换网板与线卡成垂直90°正交连接且与主控引擎、业务板硬件分离；</w:t>
            </w:r>
          </w:p>
          <w:p>
            <w:pPr>
              <w:spacing w:line="360" w:lineRule="auto"/>
              <w:rPr>
                <w:rFonts w:ascii="宋体" w:hAnsi="宋体" w:cs="宋体"/>
                <w:sz w:val="24"/>
                <w:lang w:bidi="ar"/>
              </w:rPr>
            </w:pPr>
            <w:r>
              <w:rPr>
                <w:rFonts w:hint="eastAsia" w:ascii="宋体" w:hAnsi="宋体" w:cs="宋体"/>
                <w:sz w:val="24"/>
                <w:lang w:bidi="ar"/>
              </w:rPr>
              <w:t>3.高度≤11U；</w:t>
            </w:r>
          </w:p>
          <w:p>
            <w:pPr>
              <w:spacing w:line="360" w:lineRule="auto"/>
              <w:rPr>
                <w:rFonts w:ascii="宋体" w:hAnsi="宋体" w:cs="宋体"/>
                <w:sz w:val="24"/>
                <w:lang w:bidi="ar"/>
              </w:rPr>
            </w:pPr>
            <w:r>
              <w:rPr>
                <w:rFonts w:hint="eastAsia" w:ascii="宋体" w:hAnsi="宋体" w:cs="宋体"/>
                <w:sz w:val="24"/>
                <w:lang w:bidi="ar"/>
              </w:rPr>
              <w:t>4.支持模块化风扇框≥2，风扇框同物理尺寸规格，可任意框任意安装，支持风扇框1+1冗余；风扇框内部风扇采用串联设计；</w:t>
            </w:r>
          </w:p>
          <w:p>
            <w:pPr>
              <w:spacing w:line="360" w:lineRule="auto"/>
              <w:rPr>
                <w:rFonts w:ascii="宋体" w:hAnsi="宋体" w:cs="宋体"/>
                <w:sz w:val="24"/>
                <w:lang w:bidi="ar"/>
              </w:rPr>
            </w:pPr>
            <w:r>
              <w:rPr>
                <w:rFonts w:hint="eastAsia" w:ascii="宋体" w:hAnsi="宋体" w:cs="宋体"/>
                <w:sz w:val="24"/>
                <w:lang w:bidi="ar"/>
              </w:rPr>
              <w:t>5.支持N:1虚拟化：可将多台物理设备虚拟化为1台逻辑设备，虚拟组内设备具备统一的二层及三层转发表项，统一的管理界面，并可实现跨设备链路聚合；</w:t>
            </w:r>
          </w:p>
          <w:p>
            <w:pPr>
              <w:spacing w:line="360" w:lineRule="auto"/>
              <w:rPr>
                <w:rFonts w:ascii="宋体" w:hAnsi="宋体" w:cs="宋体"/>
                <w:sz w:val="24"/>
                <w:lang w:bidi="ar"/>
              </w:rPr>
            </w:pPr>
            <w:r>
              <w:rPr>
                <w:rFonts w:hint="eastAsia" w:ascii="宋体" w:hAnsi="宋体" w:cs="宋体"/>
                <w:sz w:val="24"/>
                <w:lang w:bidi="ar"/>
              </w:rPr>
              <w:t>6.单张业务卡可用物理端口≥50个，整机转发业务物理端口≥400个；</w:t>
            </w:r>
          </w:p>
          <w:p>
            <w:pPr>
              <w:spacing w:line="360" w:lineRule="auto"/>
              <w:rPr>
                <w:rFonts w:ascii="宋体" w:hAnsi="宋体" w:cs="宋体"/>
                <w:sz w:val="24"/>
                <w:lang w:bidi="ar"/>
              </w:rPr>
            </w:pPr>
            <w:r>
              <w:rPr>
                <w:rFonts w:hint="eastAsia" w:ascii="宋体" w:hAnsi="宋体" w:cs="宋体"/>
                <w:sz w:val="24"/>
                <w:lang w:bidi="ar"/>
              </w:rPr>
              <w:t>7.支持OpenFlow v1.3协议，可实现核心网络向SDN平滑演进</w:t>
            </w:r>
          </w:p>
          <w:p>
            <w:pPr>
              <w:spacing w:line="360" w:lineRule="auto"/>
              <w:rPr>
                <w:rFonts w:ascii="宋体" w:hAnsi="宋体" w:cs="宋体"/>
                <w:sz w:val="24"/>
                <w:lang w:bidi="ar"/>
              </w:rPr>
            </w:pPr>
            <w:r>
              <w:rPr>
                <w:rFonts w:hint="eastAsia" w:ascii="宋体" w:hAnsi="宋体" w:cs="宋体"/>
                <w:sz w:val="24"/>
                <w:lang w:bidi="ar"/>
              </w:rPr>
              <w:t>8.采用模块化操作系统，支持多进程备份及ISSU不中断业务升级特性；</w:t>
            </w:r>
          </w:p>
          <w:p>
            <w:pPr>
              <w:spacing w:line="360" w:lineRule="auto"/>
              <w:rPr>
                <w:rFonts w:ascii="宋体" w:hAnsi="宋体" w:cs="宋体"/>
                <w:sz w:val="24"/>
                <w:lang w:bidi="ar"/>
              </w:rPr>
            </w:pPr>
            <w:r>
              <w:rPr>
                <w:rFonts w:hint="eastAsia" w:ascii="宋体" w:hAnsi="宋体" w:cs="宋体"/>
                <w:sz w:val="24"/>
                <w:lang w:bidi="ar"/>
              </w:rPr>
              <w:t>※9. 核心交换机100G端口在负载100%的情况下每端口功率需要≤20W；</w:t>
            </w:r>
          </w:p>
          <w:p>
            <w:pPr>
              <w:spacing w:line="360" w:lineRule="auto"/>
              <w:rPr>
                <w:rFonts w:ascii="宋体" w:hAnsi="宋体" w:cs="宋体"/>
                <w:sz w:val="24"/>
                <w:lang w:bidi="ar"/>
              </w:rPr>
            </w:pPr>
            <w:r>
              <w:rPr>
                <w:rFonts w:hint="eastAsia" w:ascii="宋体" w:hAnsi="宋体" w:cs="宋体"/>
                <w:sz w:val="24"/>
                <w:lang w:bidi="ar"/>
              </w:rPr>
              <w:t>※10.支持光模块智能检测，可监测光模块运行状态：即系统可即时识别光模块短路状态、并将故障模块隔离，确保其不影响其它端口和整机的正常运行；更换模块后该端口也可马上恢复正常工作状态。</w:t>
            </w:r>
          </w:p>
          <w:p>
            <w:pPr>
              <w:spacing w:line="360" w:lineRule="auto"/>
              <w:rPr>
                <w:rFonts w:ascii="宋体" w:hAnsi="宋体" w:cs="宋体"/>
                <w:sz w:val="24"/>
                <w:lang w:bidi="ar"/>
              </w:rPr>
            </w:pPr>
            <w:r>
              <w:rPr>
                <w:rFonts w:hint="eastAsia" w:ascii="宋体" w:hAnsi="宋体" w:cs="宋体"/>
                <w:sz w:val="24"/>
                <w:lang w:bidi="ar"/>
              </w:rPr>
              <w:t>※11.支持硬件层级boot，采用≥1个FLASH芯片存储boot软件（系统引导程序），支持boot冗余备份，避免因FLASH芯片故障导致交换机无法启动。</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187500</w:t>
            </w:r>
          </w:p>
        </w:tc>
      </w:tr>
      <w:tr>
        <w:tblPrEx>
          <w:tblCellMar>
            <w:top w:w="0" w:type="dxa"/>
            <w:left w:w="108" w:type="dxa"/>
            <w:bottom w:w="0" w:type="dxa"/>
            <w:right w:w="108" w:type="dxa"/>
          </w:tblCellMar>
        </w:tblPrEx>
        <w:trPr>
          <w:trHeight w:val="199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认证计费系统</w:t>
            </w:r>
            <w:r>
              <w:rPr>
                <w:rFonts w:hint="eastAsia" w:ascii="宋体" w:hAnsi="宋体" w:cs="宋体"/>
                <w:kern w:val="0"/>
                <w:sz w:val="24"/>
              </w:rPr>
              <w:t>开发接入服务</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项</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▲1.支持用户初次登陆的时候获取信息并自动绑定；</w:t>
            </w:r>
          </w:p>
          <w:p>
            <w:pPr>
              <w:spacing w:line="360" w:lineRule="auto"/>
              <w:rPr>
                <w:rFonts w:ascii="宋体" w:hAnsi="宋体" w:cs="宋体"/>
                <w:sz w:val="24"/>
                <w:lang w:bidi="ar"/>
              </w:rPr>
            </w:pPr>
            <w:r>
              <w:rPr>
                <w:rFonts w:hint="eastAsia" w:ascii="宋体" w:hAnsi="宋体" w:cs="宋体"/>
                <w:sz w:val="24"/>
                <w:lang w:bidi="ar"/>
              </w:rPr>
              <w:t>▲2.MAC认证性能≥2500次/秒，IPOE认证性能≥1000次/秒；</w:t>
            </w:r>
          </w:p>
          <w:p>
            <w:pPr>
              <w:spacing w:line="360" w:lineRule="auto"/>
              <w:rPr>
                <w:rFonts w:ascii="宋体" w:hAnsi="宋体" w:cs="宋体"/>
                <w:sz w:val="24"/>
                <w:lang w:bidi="ar"/>
              </w:rPr>
            </w:pPr>
            <w:r>
              <w:rPr>
                <w:rFonts w:hint="eastAsia" w:ascii="宋体" w:hAnsi="宋体" w:cs="宋体"/>
                <w:sz w:val="24"/>
                <w:lang w:bidi="ar"/>
              </w:rPr>
              <w:t>3.支持计天、包月、流量计费、时长计费、自定义周期计费。</w:t>
            </w:r>
          </w:p>
          <w:p>
            <w:pPr>
              <w:spacing w:line="360" w:lineRule="auto"/>
              <w:rPr>
                <w:rFonts w:ascii="宋体" w:hAnsi="宋体" w:cs="宋体"/>
                <w:sz w:val="24"/>
                <w:lang w:bidi="ar"/>
              </w:rPr>
            </w:pPr>
            <w:r>
              <w:rPr>
                <w:rFonts w:hint="eastAsia" w:ascii="宋体" w:hAnsi="宋体" w:cs="宋体"/>
                <w:sz w:val="24"/>
                <w:lang w:bidi="ar"/>
              </w:rPr>
              <w:t>▲4</w:t>
            </w:r>
            <w:r>
              <w:rPr>
                <w:rFonts w:hint="eastAsia" w:ascii="宋体" w:hAnsi="宋体" w:cs="宋体"/>
                <w:b/>
                <w:bCs/>
                <w:sz w:val="24"/>
                <w:lang w:bidi="ar"/>
              </w:rPr>
              <w:t>.与采购人现有的认证计费系统</w:t>
            </w:r>
            <w:r>
              <w:rPr>
                <w:rFonts w:hint="eastAsia" w:ascii="宋体" w:hAnsi="宋体" w:cs="宋体"/>
                <w:b/>
                <w:bCs/>
                <w:sz w:val="24"/>
              </w:rPr>
              <w:t>（品牌：锐捷、型号：RG-SAM+）</w:t>
            </w:r>
            <w:r>
              <w:rPr>
                <w:rFonts w:hint="eastAsia" w:ascii="宋体" w:hAnsi="宋体" w:cs="宋体"/>
                <w:b/>
                <w:bCs/>
                <w:sz w:val="24"/>
                <w:lang w:bidi="ar"/>
              </w:rPr>
              <w:t>对接实现学生在线缴费，提供不低于10000个用户数，</w:t>
            </w:r>
            <w:r>
              <w:rPr>
                <w:rFonts w:hint="eastAsia" w:ascii="宋体" w:hAnsi="宋体" w:cs="宋体"/>
                <w:sz w:val="24"/>
                <w:lang w:bidi="ar"/>
              </w:rPr>
              <w:t>采购人提供现有认证计费系统的API接口文档，</w:t>
            </w:r>
            <w:r>
              <w:rPr>
                <w:rFonts w:hint="eastAsia" w:ascii="宋体" w:hAnsi="宋体" w:cs="宋体"/>
                <w:b/>
                <w:bCs/>
                <w:sz w:val="24"/>
                <w:lang w:bidi="ar"/>
              </w:rPr>
              <w:t>如涉及到接口对接费用包含在投标报价中，要求中标人供货时提供对现有认证计费系统（品牌：锐捷、型号：</w:t>
            </w:r>
            <w:r>
              <w:rPr>
                <w:rFonts w:hint="eastAsia" w:ascii="宋体" w:hAnsi="宋体" w:cs="宋体"/>
                <w:b/>
                <w:bCs/>
                <w:sz w:val="24"/>
              </w:rPr>
              <w:t>RG-SAM+</w:t>
            </w:r>
            <w:r>
              <w:rPr>
                <w:rFonts w:hint="eastAsia" w:ascii="宋体" w:hAnsi="宋体" w:cs="宋体"/>
                <w:b/>
                <w:bCs/>
                <w:sz w:val="24"/>
                <w:lang w:bidi="ar"/>
              </w:rPr>
              <w:t>）对接承诺函（格式自拟）并加盖投标人公章。</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51500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无线控制器</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套</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▲1.千兆电口数≥8，千兆光口数≥8个，万兆接口≥4个；</w:t>
            </w:r>
          </w:p>
          <w:p>
            <w:pPr>
              <w:spacing w:line="360" w:lineRule="auto"/>
              <w:rPr>
                <w:rFonts w:ascii="宋体" w:hAnsi="宋体" w:cs="宋体"/>
                <w:sz w:val="24"/>
                <w:lang w:bidi="ar"/>
              </w:rPr>
            </w:pPr>
            <w:r>
              <w:rPr>
                <w:rFonts w:hint="eastAsia" w:ascii="宋体" w:hAnsi="宋体" w:cs="宋体"/>
                <w:sz w:val="24"/>
                <w:lang w:bidi="ar"/>
              </w:rPr>
              <w:t>▲2.配置可管理AP数≥1800个，可支持管理≥6400个AP；</w:t>
            </w:r>
          </w:p>
          <w:p>
            <w:pPr>
              <w:spacing w:line="360" w:lineRule="auto"/>
              <w:rPr>
                <w:rFonts w:ascii="宋体" w:hAnsi="宋体" w:cs="宋体"/>
                <w:sz w:val="24"/>
                <w:lang w:bidi="ar"/>
              </w:rPr>
            </w:pPr>
            <w:r>
              <w:rPr>
                <w:rFonts w:hint="eastAsia" w:ascii="宋体" w:hAnsi="宋体" w:cs="宋体"/>
                <w:sz w:val="24"/>
                <w:lang w:bidi="ar"/>
              </w:rPr>
              <w:t>▲3.802.11转发性能≥40G。</w:t>
            </w:r>
          </w:p>
          <w:p>
            <w:pPr>
              <w:spacing w:line="360" w:lineRule="auto"/>
              <w:rPr>
                <w:rFonts w:ascii="宋体" w:hAnsi="宋体" w:cs="宋体"/>
                <w:sz w:val="24"/>
                <w:lang w:bidi="ar"/>
              </w:rPr>
            </w:pPr>
            <w:r>
              <w:rPr>
                <w:rFonts w:hint="eastAsia" w:ascii="宋体" w:hAnsi="宋体" w:cs="宋体"/>
                <w:sz w:val="24"/>
                <w:lang w:bidi="ar"/>
              </w:rPr>
              <w:t>4.单台设备可配置AP数目≥12600；</w:t>
            </w:r>
          </w:p>
          <w:p>
            <w:pPr>
              <w:spacing w:line="360" w:lineRule="auto"/>
              <w:rPr>
                <w:rFonts w:ascii="宋体" w:hAnsi="宋体" w:cs="宋体"/>
                <w:sz w:val="24"/>
                <w:lang w:bidi="ar"/>
              </w:rPr>
            </w:pPr>
            <w:r>
              <w:rPr>
                <w:rFonts w:hint="eastAsia" w:ascii="宋体" w:hAnsi="宋体" w:cs="宋体"/>
                <w:sz w:val="24"/>
                <w:lang w:bidi="ar"/>
              </w:rPr>
              <w:t>5.支持本地认证功能，无需通过外置Portal服务器和Radius服务器认证；</w:t>
            </w:r>
          </w:p>
          <w:p>
            <w:pPr>
              <w:spacing w:line="360" w:lineRule="auto"/>
              <w:rPr>
                <w:rFonts w:ascii="宋体" w:hAnsi="宋体" w:cs="宋体"/>
                <w:sz w:val="24"/>
                <w:lang w:bidi="ar"/>
              </w:rPr>
            </w:pPr>
            <w:r>
              <w:rPr>
                <w:rFonts w:hint="eastAsia" w:ascii="宋体" w:hAnsi="宋体" w:cs="宋体"/>
                <w:sz w:val="24"/>
                <w:lang w:bidi="ar"/>
              </w:rPr>
              <w:t>6.支持访客通过二维码授权的方式接入无线网络；</w:t>
            </w:r>
          </w:p>
          <w:p>
            <w:pPr>
              <w:spacing w:line="360" w:lineRule="auto"/>
              <w:rPr>
                <w:rFonts w:ascii="宋体" w:hAnsi="宋体" w:cs="宋体"/>
                <w:sz w:val="24"/>
                <w:lang w:bidi="ar"/>
              </w:rPr>
            </w:pPr>
            <w:r>
              <w:rPr>
                <w:rFonts w:hint="eastAsia" w:ascii="宋体" w:hAnsi="宋体" w:cs="宋体"/>
                <w:sz w:val="24"/>
                <w:lang w:bidi="ar"/>
              </w:rPr>
              <w:t>7.设备支持配置AP的本地数据转发模式，即可根据网络的SSID和用户VLAN的规划，决定数据是否需要全部经过无线AC转发或直接进入有线网络进行本地交换；</w:t>
            </w:r>
          </w:p>
          <w:p>
            <w:pPr>
              <w:spacing w:line="360" w:lineRule="auto"/>
              <w:rPr>
                <w:rFonts w:ascii="宋体" w:hAnsi="宋体" w:cs="宋体"/>
                <w:sz w:val="24"/>
                <w:lang w:bidi="ar"/>
              </w:rPr>
            </w:pPr>
            <w:r>
              <w:rPr>
                <w:rFonts w:hint="eastAsia" w:ascii="宋体" w:hAnsi="宋体" w:cs="宋体"/>
                <w:sz w:val="24"/>
                <w:lang w:bidi="ar"/>
              </w:rPr>
              <w:t>8.支持多账户分权管理功能，实现一台物理AC设备或多台物理AC设备虚拟成一台AC设备后，均能受多账户管理，各账户分别管理不同的无线信息；</w:t>
            </w:r>
          </w:p>
          <w:p>
            <w:pPr>
              <w:spacing w:line="360" w:lineRule="auto"/>
              <w:rPr>
                <w:rFonts w:ascii="宋体" w:hAnsi="宋体" w:cs="宋体"/>
                <w:sz w:val="24"/>
                <w:lang w:bidi="ar"/>
              </w:rPr>
            </w:pPr>
            <w:r>
              <w:rPr>
                <w:rFonts w:hint="eastAsia" w:ascii="宋体" w:hAnsi="宋体" w:cs="宋体"/>
                <w:sz w:val="24"/>
                <w:lang w:bidi="ar"/>
              </w:rPr>
              <w:t>9.支持AP虚拟化功能，实现一台AP虚拟为多台AP，分别受不同AC设备独立管理，互不影响；不同虚拟 AP之间数据隔离，虚拟AP在AC上不占用AP License；</w:t>
            </w:r>
          </w:p>
          <w:p>
            <w:pPr>
              <w:spacing w:line="360" w:lineRule="auto"/>
              <w:rPr>
                <w:rFonts w:ascii="宋体" w:hAnsi="宋体" w:cs="宋体"/>
                <w:sz w:val="24"/>
                <w:lang w:bidi="ar"/>
              </w:rPr>
            </w:pPr>
            <w:r>
              <w:rPr>
                <w:rFonts w:hint="eastAsia" w:ascii="宋体" w:hAnsi="宋体" w:cs="宋体"/>
                <w:sz w:val="24"/>
                <w:lang w:bidi="ar"/>
              </w:rPr>
              <w:t>10.支持 802.11R快速漫游；</w:t>
            </w:r>
          </w:p>
          <w:p>
            <w:pPr>
              <w:spacing w:line="360" w:lineRule="auto"/>
              <w:rPr>
                <w:rFonts w:ascii="宋体" w:hAnsi="宋体" w:cs="宋体"/>
                <w:sz w:val="24"/>
                <w:lang w:bidi="ar"/>
              </w:rPr>
            </w:pPr>
            <w:r>
              <w:rPr>
                <w:rFonts w:hint="eastAsia" w:ascii="宋体" w:hAnsi="宋体" w:cs="宋体"/>
                <w:sz w:val="24"/>
                <w:lang w:bidi="ar"/>
              </w:rPr>
              <w:t>11.支持对非法无线接入点进行探测，并对非法AP进行屏蔽；</w:t>
            </w:r>
          </w:p>
          <w:p>
            <w:pPr>
              <w:spacing w:line="360" w:lineRule="auto"/>
              <w:rPr>
                <w:rFonts w:ascii="宋体" w:hAnsi="宋体" w:cs="宋体"/>
                <w:sz w:val="24"/>
                <w:lang w:bidi="ar"/>
              </w:rPr>
            </w:pPr>
            <w:r>
              <w:rPr>
                <w:rFonts w:hint="eastAsia" w:ascii="宋体" w:hAnsi="宋体" w:cs="宋体"/>
                <w:sz w:val="24"/>
                <w:lang w:bidi="ar"/>
              </w:rPr>
              <w:t>12.支持实时频谱防护，可视化射频干扰源对无线局域网的性能的影响；</w:t>
            </w:r>
          </w:p>
          <w:p>
            <w:pPr>
              <w:spacing w:line="360" w:lineRule="auto"/>
              <w:rPr>
                <w:rFonts w:ascii="宋体" w:hAnsi="宋体" w:cs="宋体"/>
                <w:sz w:val="24"/>
                <w:lang w:bidi="ar"/>
              </w:rPr>
            </w:pPr>
            <w:r>
              <w:rPr>
                <w:rFonts w:hint="eastAsia" w:ascii="宋体" w:hAnsi="宋体" w:cs="宋体"/>
                <w:sz w:val="24"/>
                <w:lang w:bidi="ar"/>
              </w:rPr>
              <w:t>13.支持实现基于用户的PSK认证，实现用户之间不能共享WiFi密钥；</w:t>
            </w:r>
          </w:p>
          <w:p>
            <w:pPr>
              <w:spacing w:line="360" w:lineRule="auto"/>
              <w:rPr>
                <w:rFonts w:ascii="宋体" w:hAnsi="宋体" w:cs="宋体"/>
                <w:sz w:val="24"/>
                <w:lang w:bidi="ar"/>
              </w:rPr>
            </w:pPr>
            <w:r>
              <w:rPr>
                <w:rFonts w:hint="eastAsia" w:ascii="宋体" w:hAnsi="宋体" w:cs="宋体"/>
                <w:sz w:val="24"/>
                <w:lang w:bidi="ar"/>
              </w:rPr>
              <w:t>14.支持MAC认证、WEB认证、802.1X认证，认证后能实现IP、MAC、WLAN等元素的绑定信息，保证只有合法的用户才能进入网络。</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110620</w:t>
            </w:r>
          </w:p>
        </w:tc>
      </w:tr>
      <w:tr>
        <w:tblPrEx>
          <w:tblCellMar>
            <w:top w:w="0" w:type="dxa"/>
            <w:left w:w="108" w:type="dxa"/>
            <w:bottom w:w="0" w:type="dxa"/>
            <w:right w:w="108" w:type="dxa"/>
          </w:tblCellMar>
        </w:tblPrEx>
        <w:trPr>
          <w:trHeight w:val="296"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汇聚交换机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12</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▲1.配置主控管理模块，配置冗余电源、冗余风扇；</w:t>
            </w:r>
          </w:p>
          <w:p>
            <w:pPr>
              <w:spacing w:line="360" w:lineRule="auto"/>
              <w:rPr>
                <w:rFonts w:ascii="宋体" w:hAnsi="宋体" w:cs="宋体"/>
                <w:sz w:val="24"/>
                <w:lang w:bidi="ar"/>
              </w:rPr>
            </w:pPr>
            <w:r>
              <w:rPr>
                <w:rFonts w:hint="eastAsia" w:ascii="宋体" w:hAnsi="宋体" w:cs="宋体"/>
                <w:sz w:val="24"/>
                <w:lang w:bidi="ar"/>
              </w:rPr>
              <w:t>▲2.交换容量≥36Tbps，包转发率≥7100Mpps；</w:t>
            </w:r>
          </w:p>
          <w:p>
            <w:pPr>
              <w:spacing w:line="360" w:lineRule="auto"/>
              <w:rPr>
                <w:rFonts w:ascii="宋体" w:hAnsi="宋体" w:cs="宋体"/>
                <w:sz w:val="24"/>
                <w:lang w:bidi="ar"/>
              </w:rPr>
            </w:pPr>
            <w:r>
              <w:rPr>
                <w:rFonts w:hint="eastAsia" w:ascii="宋体" w:hAnsi="宋体" w:cs="宋体"/>
                <w:sz w:val="24"/>
                <w:lang w:bidi="ar"/>
              </w:rPr>
              <w:t>▲3.单台设备下行接口满足≥160间房间的接入设备通过2.5G光口独享带宽互联，接口不接受外附扩展，配置≥2个100G上行光口，另外通过扩展槽可支持扩容25G、40G、100G上行业务接口。</w:t>
            </w:r>
          </w:p>
          <w:p>
            <w:pPr>
              <w:spacing w:line="360" w:lineRule="auto"/>
              <w:rPr>
                <w:rFonts w:ascii="宋体" w:hAnsi="宋体" w:cs="宋体"/>
                <w:sz w:val="24"/>
                <w:lang w:bidi="ar"/>
              </w:rPr>
            </w:pPr>
            <w:r>
              <w:rPr>
                <w:rFonts w:hint="eastAsia" w:ascii="宋体" w:hAnsi="宋体" w:cs="宋体"/>
                <w:sz w:val="24"/>
                <w:lang w:bidi="ar"/>
              </w:rPr>
              <w:t>3.设备支持硬件健康状态可视化，可以对风扇状态、电源、温度进行监控；</w:t>
            </w:r>
          </w:p>
          <w:p>
            <w:pPr>
              <w:spacing w:line="360" w:lineRule="auto"/>
              <w:rPr>
                <w:rFonts w:ascii="宋体" w:hAnsi="宋体" w:cs="宋体"/>
                <w:sz w:val="24"/>
                <w:lang w:bidi="ar"/>
              </w:rPr>
            </w:pPr>
            <w:r>
              <w:rPr>
                <w:rFonts w:hint="eastAsia" w:ascii="宋体" w:hAnsi="宋体" w:cs="宋体"/>
                <w:sz w:val="24"/>
                <w:lang w:bidi="ar"/>
              </w:rPr>
              <w:t>4.支持RIP，OSPF，BGP，RIPng，OSPFv3，BGP4+；</w:t>
            </w:r>
          </w:p>
          <w:p>
            <w:pPr>
              <w:spacing w:line="360" w:lineRule="auto"/>
              <w:rPr>
                <w:rFonts w:ascii="宋体" w:hAnsi="宋体" w:cs="宋体"/>
                <w:sz w:val="24"/>
                <w:lang w:bidi="ar"/>
              </w:rPr>
            </w:pPr>
            <w:r>
              <w:rPr>
                <w:rFonts w:hint="eastAsia" w:ascii="宋体" w:hAnsi="宋体" w:cs="宋体"/>
                <w:sz w:val="24"/>
                <w:lang w:bidi="ar"/>
              </w:rPr>
              <w:t>5.支持多虚一技术，可将多台物理设备虚拟化为一台逻辑设备统一管理；</w:t>
            </w:r>
          </w:p>
          <w:p>
            <w:pPr>
              <w:spacing w:line="360" w:lineRule="auto"/>
              <w:rPr>
                <w:rFonts w:ascii="宋体" w:hAnsi="宋体" w:cs="宋体"/>
                <w:sz w:val="24"/>
                <w:lang w:bidi="ar"/>
              </w:rPr>
            </w:pPr>
            <w:r>
              <w:rPr>
                <w:rFonts w:hint="eastAsia" w:ascii="宋体" w:hAnsi="宋体" w:cs="宋体"/>
                <w:sz w:val="24"/>
                <w:lang w:bidi="ar"/>
              </w:rPr>
              <w:t>6.支持支持同时开启802.1X或WEB认证，CPP、ACL、防ARP欺骗等功能不会相互冲突、制约；</w:t>
            </w:r>
          </w:p>
          <w:p>
            <w:pPr>
              <w:spacing w:line="360" w:lineRule="auto"/>
              <w:rPr>
                <w:rFonts w:ascii="宋体" w:hAnsi="宋体" w:cs="宋体"/>
                <w:sz w:val="24"/>
                <w:lang w:bidi="ar"/>
              </w:rPr>
            </w:pPr>
            <w:r>
              <w:rPr>
                <w:rFonts w:hint="eastAsia" w:ascii="宋体" w:hAnsi="宋体" w:cs="宋体"/>
                <w:sz w:val="24"/>
                <w:lang w:bidi="ar"/>
              </w:rPr>
              <w:t>7.支持CPU保护功能，能够针对发往CPU处理的各种报文进行流区分和优先级队列分级处理；</w:t>
            </w:r>
          </w:p>
          <w:p>
            <w:pPr>
              <w:spacing w:line="360" w:lineRule="auto"/>
              <w:rPr>
                <w:rFonts w:ascii="宋体" w:hAnsi="宋体" w:cs="宋体"/>
                <w:sz w:val="24"/>
                <w:lang w:bidi="ar"/>
              </w:rPr>
            </w:pPr>
            <w:r>
              <w:rPr>
                <w:rFonts w:hint="eastAsia" w:ascii="宋体" w:hAnsi="宋体" w:cs="宋体"/>
                <w:sz w:val="24"/>
                <w:lang w:bidi="ar"/>
              </w:rPr>
              <w:t>8.支持SAVI功能，可防止地址解析欺骗</w:t>
            </w:r>
          </w:p>
          <w:p>
            <w:pPr>
              <w:spacing w:line="360" w:lineRule="auto"/>
              <w:rPr>
                <w:rFonts w:ascii="宋体" w:hAnsi="宋体" w:cs="宋体"/>
                <w:sz w:val="24"/>
              </w:rPr>
            </w:pPr>
            <w:r>
              <w:rPr>
                <w:rFonts w:hint="eastAsia" w:ascii="宋体" w:hAnsi="宋体" w:cs="宋体"/>
                <w:sz w:val="24"/>
                <w:lang w:bidi="ar"/>
              </w:rPr>
              <w:t>※9.支持对下联接入设备的即插即用实现零配置上线、互联光链路故障自动监测，下联接入设备故障后零配置替换功能。</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27244</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光纤汇聚无源设备</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224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1.设备固化端口数≥8</w:t>
            </w:r>
          </w:p>
          <w:p>
            <w:pPr>
              <w:spacing w:line="360" w:lineRule="auto"/>
              <w:rPr>
                <w:rFonts w:ascii="宋体" w:hAnsi="宋体" w:cs="宋体"/>
                <w:sz w:val="24"/>
              </w:rPr>
            </w:pPr>
            <w:r>
              <w:rPr>
                <w:rFonts w:hint="eastAsia" w:ascii="宋体" w:hAnsi="宋体" w:cs="宋体"/>
                <w:sz w:val="24"/>
                <w:lang w:bidi="ar"/>
              </w:rPr>
              <w:t>▲</w:t>
            </w:r>
            <w:r>
              <w:rPr>
                <w:rFonts w:hint="eastAsia" w:ascii="宋体" w:hAnsi="宋体" w:cs="宋体"/>
                <w:sz w:val="24"/>
              </w:rPr>
              <w:t>2.设备的各光链路通道实现物理隔离，无分光，带宽1：1独享；</w:t>
            </w:r>
          </w:p>
          <w:p>
            <w:pPr>
              <w:spacing w:line="360" w:lineRule="auto"/>
              <w:rPr>
                <w:rFonts w:ascii="宋体" w:hAnsi="宋体" w:cs="宋体"/>
                <w:sz w:val="24"/>
              </w:rPr>
            </w:pPr>
            <w:r>
              <w:rPr>
                <w:rFonts w:hint="eastAsia" w:ascii="宋体" w:hAnsi="宋体" w:cs="宋体"/>
                <w:sz w:val="24"/>
              </w:rPr>
              <w:t>3.设备支持集中机柜安装、壁挂等安装方式，配套外框设备，支持标准机柜上架安装；</w:t>
            </w:r>
          </w:p>
          <w:p>
            <w:pPr>
              <w:spacing w:line="360" w:lineRule="auto"/>
              <w:rPr>
                <w:rFonts w:ascii="宋体" w:hAnsi="宋体" w:cs="宋体"/>
                <w:sz w:val="24"/>
              </w:rPr>
            </w:pPr>
            <w:r>
              <w:rPr>
                <w:rFonts w:hint="eastAsia" w:ascii="宋体" w:hAnsi="宋体" w:cs="宋体"/>
                <w:sz w:val="24"/>
              </w:rPr>
              <w:t>4.器件完全无源，无需插电即可正常工作；</w:t>
            </w:r>
          </w:p>
          <w:p>
            <w:pPr>
              <w:spacing w:line="360" w:lineRule="auto"/>
              <w:rPr>
                <w:rFonts w:ascii="宋体" w:hAnsi="宋体" w:cs="宋体"/>
                <w:sz w:val="24"/>
              </w:rPr>
            </w:pPr>
            <w:r>
              <w:rPr>
                <w:rFonts w:hint="eastAsia" w:ascii="宋体" w:hAnsi="宋体" w:cs="宋体"/>
                <w:sz w:val="24"/>
                <w:lang w:bidi="ar"/>
              </w:rPr>
              <w:t>▲</w:t>
            </w:r>
            <w:r>
              <w:rPr>
                <w:rFonts w:hint="eastAsia" w:ascii="宋体" w:hAnsi="宋体" w:cs="宋体"/>
                <w:sz w:val="24"/>
              </w:rPr>
              <w:t>5</w:t>
            </w:r>
            <w:r>
              <w:rPr>
                <w:rFonts w:hint="eastAsia" w:ascii="宋体" w:hAnsi="宋体" w:cs="宋体"/>
                <w:b/>
                <w:bCs/>
                <w:sz w:val="24"/>
              </w:rPr>
              <w:t>.配合本项目第17项SDN控制器可显示整网拓扑，包括设备端口使用情况，链路故障能及时响应。</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1900</w:t>
            </w:r>
          </w:p>
        </w:tc>
      </w:tr>
      <w:tr>
        <w:tblPrEx>
          <w:tblCellMar>
            <w:top w:w="0" w:type="dxa"/>
            <w:left w:w="108" w:type="dxa"/>
            <w:bottom w:w="0" w:type="dxa"/>
            <w:right w:w="108" w:type="dxa"/>
          </w:tblCellMar>
        </w:tblPrEx>
        <w:trPr>
          <w:trHeight w:val="9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29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汇聚交换机配套光模块</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224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组</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配置满足≥8台接入设备的2.5G独立上联连接光模块，光模块同时支持1311nm、1331nm、1431nm、1451nm、1551nm、1571nm等不同的工作波长（实现方式不限，须满足本项目组网要求）。</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4106</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接入设备配套光模块</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224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组</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包含≥8个2.5G单模光模块，≥10KM的传输距离</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1110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吸顶AP</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55</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套</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▲1.支持802.11ax标准；采用双射频设计，一个2.4GHz射频卡，一个5GHz射频卡；整机空间流≥4条；整机无线速率≥2.9Gbps；</w:t>
            </w:r>
          </w:p>
          <w:p>
            <w:pPr>
              <w:spacing w:line="360" w:lineRule="auto"/>
              <w:rPr>
                <w:rFonts w:ascii="宋体" w:hAnsi="宋体" w:cs="宋体"/>
                <w:sz w:val="24"/>
                <w:lang w:bidi="ar"/>
              </w:rPr>
            </w:pPr>
            <w:r>
              <w:rPr>
                <w:rFonts w:hint="eastAsia" w:ascii="宋体" w:hAnsi="宋体" w:cs="宋体"/>
                <w:sz w:val="24"/>
                <w:lang w:bidi="ar"/>
              </w:rPr>
              <w:t>2.支持防盗锁孔；</w:t>
            </w:r>
          </w:p>
          <w:p>
            <w:pPr>
              <w:spacing w:line="360" w:lineRule="auto"/>
              <w:rPr>
                <w:rFonts w:ascii="宋体" w:hAnsi="宋体" w:cs="宋体"/>
                <w:sz w:val="24"/>
                <w:lang w:bidi="ar"/>
              </w:rPr>
            </w:pPr>
            <w:r>
              <w:rPr>
                <w:rFonts w:hint="eastAsia" w:ascii="宋体" w:hAnsi="宋体" w:cs="宋体"/>
                <w:sz w:val="24"/>
                <w:lang w:bidi="ar"/>
              </w:rPr>
              <w:t>▲3.至少支持1个1000M以太网端口、1个2.5G SFP光口；</w:t>
            </w:r>
          </w:p>
          <w:p>
            <w:pPr>
              <w:spacing w:line="360" w:lineRule="auto"/>
              <w:rPr>
                <w:rFonts w:ascii="宋体" w:hAnsi="宋体" w:cs="宋体"/>
                <w:sz w:val="24"/>
                <w:lang w:bidi="ar"/>
              </w:rPr>
            </w:pPr>
            <w:r>
              <w:rPr>
                <w:rFonts w:hint="eastAsia" w:ascii="宋体" w:hAnsi="宋体" w:cs="宋体"/>
                <w:sz w:val="24"/>
                <w:lang w:bidi="ar"/>
              </w:rPr>
              <w:t>4.支持内置蓝牙5.1；</w:t>
            </w:r>
          </w:p>
          <w:p>
            <w:pPr>
              <w:spacing w:line="360" w:lineRule="auto"/>
              <w:rPr>
                <w:rFonts w:ascii="宋体" w:hAnsi="宋体" w:cs="宋体"/>
                <w:sz w:val="24"/>
                <w:lang w:bidi="ar"/>
              </w:rPr>
            </w:pPr>
            <w:r>
              <w:rPr>
                <w:rFonts w:hint="eastAsia" w:ascii="宋体" w:hAnsi="宋体" w:cs="宋体"/>
                <w:sz w:val="24"/>
                <w:lang w:bidi="ar"/>
              </w:rPr>
              <w:t>5.整机功耗≤13W；</w:t>
            </w:r>
          </w:p>
          <w:p>
            <w:pPr>
              <w:spacing w:line="360" w:lineRule="auto"/>
              <w:rPr>
                <w:rFonts w:ascii="宋体" w:hAnsi="宋体" w:cs="宋体"/>
                <w:sz w:val="24"/>
                <w:lang w:bidi="ar"/>
              </w:rPr>
            </w:pPr>
            <w:r>
              <w:rPr>
                <w:rFonts w:hint="eastAsia" w:ascii="宋体" w:hAnsi="宋体" w:cs="宋体"/>
                <w:sz w:val="24"/>
                <w:lang w:bidi="ar"/>
              </w:rPr>
              <w:t>※6.确保高空室外环境堆积灰尘或雷雨天气情况下设备仍可以正常运行，要求设备符合国标GB/T 4208即《外壳防护等级（IP代码）》，至少达到防护等级IP51；</w:t>
            </w:r>
          </w:p>
          <w:p>
            <w:pPr>
              <w:spacing w:line="360" w:lineRule="auto"/>
              <w:rPr>
                <w:rFonts w:ascii="宋体" w:hAnsi="宋体" w:cs="宋体"/>
                <w:sz w:val="24"/>
                <w:lang w:bidi="ar"/>
              </w:rPr>
            </w:pPr>
            <w:r>
              <w:rPr>
                <w:rFonts w:hint="eastAsia" w:ascii="宋体" w:hAnsi="宋体" w:cs="宋体"/>
                <w:sz w:val="24"/>
                <w:lang w:bidi="ar"/>
              </w:rPr>
              <w:t>※7.确保高空室外环境雷雨天气或遇机械撞击情况下设备仍可以正常运行，要求设备符合国标GB/T 20138即《电器设备外壳对外界机械碰撞的防护等级（IK代码）》标准，至少达到防护等级IK08；</w:t>
            </w:r>
          </w:p>
          <w:p>
            <w:pPr>
              <w:spacing w:line="360" w:lineRule="auto"/>
              <w:rPr>
                <w:rFonts w:ascii="宋体" w:hAnsi="宋体" w:cs="宋体"/>
                <w:sz w:val="24"/>
                <w:lang w:bidi="ar"/>
              </w:rPr>
            </w:pPr>
            <w:r>
              <w:rPr>
                <w:rFonts w:hint="eastAsia" w:ascii="宋体" w:hAnsi="宋体" w:cs="宋体"/>
                <w:sz w:val="24"/>
                <w:lang w:bidi="ar"/>
              </w:rPr>
              <w:t>9.支持SSID隐藏，每个SSID可配置单独的认证方式、加密机制，VLAN属性；</w:t>
            </w:r>
          </w:p>
          <w:p>
            <w:pPr>
              <w:spacing w:line="360" w:lineRule="auto"/>
              <w:rPr>
                <w:rFonts w:ascii="宋体" w:hAnsi="宋体" w:cs="宋体"/>
                <w:sz w:val="24"/>
                <w:lang w:bidi="ar"/>
              </w:rPr>
            </w:pPr>
            <w:r>
              <w:rPr>
                <w:rFonts w:hint="eastAsia" w:ascii="宋体" w:hAnsi="宋体" w:cs="宋体"/>
                <w:sz w:val="24"/>
                <w:lang w:bidi="ar"/>
              </w:rPr>
              <w:t>10.支持带宽限制，支持基于STA/SSID/AP的限速；</w:t>
            </w:r>
          </w:p>
          <w:p>
            <w:pPr>
              <w:spacing w:line="360" w:lineRule="auto"/>
              <w:rPr>
                <w:rFonts w:ascii="宋体" w:hAnsi="宋体" w:cs="宋体"/>
                <w:sz w:val="24"/>
                <w:lang w:bidi="ar"/>
              </w:rPr>
            </w:pPr>
            <w:r>
              <w:rPr>
                <w:rFonts w:hint="eastAsia" w:ascii="宋体" w:hAnsi="宋体" w:cs="宋体"/>
                <w:sz w:val="24"/>
                <w:lang w:bidi="ar"/>
              </w:rPr>
              <w:t>11.支持Fat/Fit模式切换；当工作在Fit（瘦）模式时，可通过AC系列无线控制器切换为Fat模式；当工作在Fat（胖）模式时，可通过本地控制口、Telnet方式切换为Fit模式；</w:t>
            </w:r>
          </w:p>
          <w:p>
            <w:pPr>
              <w:spacing w:line="360" w:lineRule="auto"/>
              <w:rPr>
                <w:rFonts w:ascii="宋体" w:hAnsi="宋体" w:cs="宋体"/>
                <w:sz w:val="24"/>
                <w:lang w:bidi="ar"/>
              </w:rPr>
            </w:pPr>
            <w:r>
              <w:rPr>
                <w:rFonts w:hint="eastAsia" w:ascii="宋体" w:hAnsi="宋体" w:cs="宋体"/>
                <w:sz w:val="24"/>
                <w:lang w:bidi="ar"/>
              </w:rPr>
              <w:t>12.为保证无线网络安全，支持PSK认证、Web认证、二维码访客认证、短信认证、无感知认证等认证方式；支持WEP（64/128位）、WPA（TKIP）、WPA-PSK、WPA2（AES）、WPA3等数据加密方式；</w:t>
            </w:r>
          </w:p>
          <w:p>
            <w:pPr>
              <w:spacing w:line="360" w:lineRule="auto"/>
              <w:rPr>
                <w:rFonts w:ascii="宋体" w:hAnsi="宋体" w:cs="宋体"/>
                <w:sz w:val="24"/>
                <w:lang w:bidi="ar"/>
              </w:rPr>
            </w:pPr>
            <w:r>
              <w:rPr>
                <w:rFonts w:hint="eastAsia" w:ascii="宋体" w:hAnsi="宋体" w:cs="宋体"/>
                <w:sz w:val="24"/>
                <w:lang w:bidi="ar"/>
              </w:rPr>
              <w:t>13.支持通过Telnet、TFTP、Web管理；</w:t>
            </w:r>
          </w:p>
          <w:p>
            <w:pPr>
              <w:spacing w:line="360" w:lineRule="auto"/>
              <w:rPr>
                <w:rFonts w:ascii="宋体" w:hAnsi="宋体" w:cs="宋体"/>
                <w:sz w:val="24"/>
              </w:rPr>
            </w:pPr>
            <w:r>
              <w:rPr>
                <w:rFonts w:hint="eastAsia" w:ascii="宋体" w:hAnsi="宋体" w:cs="宋体"/>
                <w:sz w:val="24"/>
                <w:lang w:bidi="ar"/>
              </w:rPr>
              <w:t>14.支持故障检测及报警；支持信息统计及日志。</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763</w:t>
            </w:r>
          </w:p>
        </w:tc>
      </w:tr>
      <w:tr>
        <w:tblPrEx>
          <w:tblCellMar>
            <w:top w:w="0" w:type="dxa"/>
            <w:left w:w="108" w:type="dxa"/>
            <w:bottom w:w="0" w:type="dxa"/>
            <w:right w:w="108" w:type="dxa"/>
          </w:tblCellMar>
        </w:tblPrEx>
        <w:trPr>
          <w:trHeight w:val="7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b/>
                <w:bCs/>
                <w:sz w:val="24"/>
              </w:rPr>
            </w:pPr>
            <w:r>
              <w:rPr>
                <w:rFonts w:hint="eastAsia" w:ascii="宋体" w:hAnsi="宋体" w:cs="宋体"/>
                <w:sz w:val="24"/>
                <w:lang w:bidi="ar"/>
              </w:rPr>
              <w:t>4口光面板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47</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个</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▲1.支持标准的802.11ax标准，采用双射频设计，整机≥4条空间流；</w:t>
            </w:r>
          </w:p>
          <w:p>
            <w:pPr>
              <w:spacing w:line="360" w:lineRule="auto"/>
              <w:rPr>
                <w:rFonts w:ascii="宋体" w:hAnsi="宋体" w:cs="宋体"/>
                <w:sz w:val="24"/>
                <w:lang w:bidi="ar"/>
              </w:rPr>
            </w:pPr>
            <w:r>
              <w:rPr>
                <w:rFonts w:hint="eastAsia" w:ascii="宋体" w:hAnsi="宋体" w:cs="宋体"/>
                <w:sz w:val="24"/>
                <w:lang w:bidi="ar"/>
              </w:rPr>
              <w:t>2.支持多种形态安装，可壁挂、吸顶或86盒安装；</w:t>
            </w:r>
          </w:p>
          <w:p>
            <w:pPr>
              <w:spacing w:line="360" w:lineRule="auto"/>
              <w:rPr>
                <w:rFonts w:ascii="宋体" w:hAnsi="宋体" w:cs="宋体"/>
                <w:sz w:val="24"/>
                <w:lang w:bidi="ar"/>
              </w:rPr>
            </w:pPr>
            <w:r>
              <w:rPr>
                <w:rFonts w:hint="eastAsia" w:ascii="宋体" w:hAnsi="宋体" w:cs="宋体"/>
                <w:sz w:val="24"/>
                <w:lang w:bidi="ar"/>
              </w:rPr>
              <w:t>▲3.整机接入速率≥2.9Gbps，5GHz单射频支持2×2 MU-MIMO，且单射频接入速率≥2.4Gbps；2.4GHz单射频支持2×2 MU-MIMO，且单射频接入速率≥0.575Gbps；</w:t>
            </w:r>
          </w:p>
          <w:p>
            <w:pPr>
              <w:spacing w:line="360" w:lineRule="auto"/>
              <w:rPr>
                <w:rFonts w:ascii="宋体" w:hAnsi="宋体" w:cs="宋体"/>
                <w:sz w:val="24"/>
                <w:lang w:bidi="ar"/>
              </w:rPr>
            </w:pPr>
            <w:r>
              <w:rPr>
                <w:rFonts w:hint="eastAsia" w:ascii="宋体" w:hAnsi="宋体" w:cs="宋体"/>
                <w:sz w:val="24"/>
                <w:lang w:bidi="ar"/>
              </w:rPr>
              <w:t>4.支持蓝牙5.1；</w:t>
            </w:r>
          </w:p>
          <w:p>
            <w:pPr>
              <w:spacing w:line="360" w:lineRule="auto"/>
              <w:rPr>
                <w:rFonts w:ascii="宋体" w:hAnsi="宋体" w:cs="宋体"/>
                <w:sz w:val="24"/>
                <w:lang w:bidi="ar"/>
              </w:rPr>
            </w:pPr>
            <w:r>
              <w:rPr>
                <w:rFonts w:hint="eastAsia" w:ascii="宋体" w:hAnsi="宋体" w:cs="宋体"/>
                <w:sz w:val="24"/>
                <w:lang w:bidi="ar"/>
              </w:rPr>
              <w:t>▲5.配置≥1个2.5G以太网上联光口，≥4个1G以太网口下联电口；</w:t>
            </w:r>
          </w:p>
          <w:p>
            <w:pPr>
              <w:spacing w:line="360" w:lineRule="auto"/>
              <w:rPr>
                <w:rFonts w:ascii="宋体" w:hAnsi="宋体" w:cs="宋体"/>
                <w:sz w:val="24"/>
                <w:lang w:bidi="ar"/>
              </w:rPr>
            </w:pPr>
            <w:r>
              <w:rPr>
                <w:rFonts w:hint="eastAsia" w:ascii="宋体" w:hAnsi="宋体" w:cs="宋体"/>
                <w:sz w:val="24"/>
                <w:lang w:bidi="ar"/>
              </w:rPr>
              <w:t>※6提供≥1个 标准USB或Micro USB的Console接口；</w:t>
            </w:r>
          </w:p>
          <w:p>
            <w:pPr>
              <w:spacing w:line="360" w:lineRule="auto"/>
              <w:rPr>
                <w:rFonts w:ascii="宋体" w:hAnsi="宋体" w:cs="宋体"/>
                <w:sz w:val="24"/>
                <w:lang w:bidi="ar"/>
              </w:rPr>
            </w:pPr>
            <w:r>
              <w:rPr>
                <w:rFonts w:hint="eastAsia" w:ascii="宋体" w:hAnsi="宋体" w:cs="宋体"/>
                <w:sz w:val="24"/>
                <w:lang w:bidi="ar"/>
              </w:rPr>
              <w:t>7.配置≥1个凤凰接线端子受电，支持DC直流供电（DC 输入电压电流：48V/0.5A）或光电混合缆供电（满足802.3af PoE供电标准），提供1个DC电源适配器（48V/0.5A）；</w:t>
            </w:r>
          </w:p>
          <w:p>
            <w:pPr>
              <w:spacing w:line="360" w:lineRule="auto"/>
              <w:rPr>
                <w:rFonts w:ascii="宋体" w:hAnsi="宋体" w:cs="宋体"/>
                <w:sz w:val="24"/>
                <w:lang w:bidi="ar"/>
              </w:rPr>
            </w:pPr>
            <w:r>
              <w:rPr>
                <w:rFonts w:hint="eastAsia" w:ascii="宋体" w:hAnsi="宋体" w:cs="宋体"/>
                <w:sz w:val="24"/>
                <w:lang w:bidi="ar"/>
              </w:rPr>
              <w:t>8.支持即插即用，更换面板AP后，无需做任何配置，即可替换使用；</w:t>
            </w:r>
          </w:p>
          <w:p>
            <w:pPr>
              <w:spacing w:line="360" w:lineRule="auto"/>
              <w:rPr>
                <w:rFonts w:ascii="宋体" w:hAnsi="宋体" w:cs="宋体"/>
                <w:sz w:val="24"/>
              </w:rPr>
            </w:pPr>
            <w:r>
              <w:rPr>
                <w:rFonts w:hint="eastAsia" w:ascii="宋体" w:hAnsi="宋体" w:cs="宋体"/>
                <w:sz w:val="24"/>
                <w:lang w:bidi="ar"/>
              </w:rPr>
              <w:t>9.避免无线网络中私接非法AP，所投AP具有非法AP的精确反制和模糊反制功能，能够主动识别非法设备并令非法设备不能使用。</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662</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b/>
                <w:bCs/>
                <w:sz w:val="24"/>
              </w:rPr>
            </w:pPr>
            <w:r>
              <w:rPr>
                <w:rFonts w:hint="eastAsia" w:ascii="宋体" w:hAnsi="宋体" w:cs="宋体"/>
                <w:sz w:val="24"/>
                <w:lang w:bidi="ar"/>
              </w:rPr>
              <w:t>8口光面板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1686</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个</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▲1.支持标准的802.11ax标准，采用双射频设计，整机≥4条空间流；</w:t>
            </w:r>
          </w:p>
          <w:p>
            <w:pPr>
              <w:spacing w:line="360" w:lineRule="auto"/>
              <w:rPr>
                <w:rFonts w:ascii="宋体" w:hAnsi="宋体" w:cs="宋体"/>
                <w:sz w:val="24"/>
                <w:lang w:bidi="ar"/>
              </w:rPr>
            </w:pPr>
            <w:r>
              <w:rPr>
                <w:rFonts w:hint="eastAsia" w:ascii="宋体" w:hAnsi="宋体" w:cs="宋体"/>
                <w:sz w:val="24"/>
                <w:lang w:bidi="ar"/>
              </w:rPr>
              <w:t>2.支持多种形态安装，可壁挂、吸顶或86盒安装；</w:t>
            </w:r>
          </w:p>
          <w:p>
            <w:pPr>
              <w:spacing w:line="360" w:lineRule="auto"/>
              <w:rPr>
                <w:rFonts w:ascii="宋体" w:hAnsi="宋体" w:cs="宋体"/>
                <w:sz w:val="24"/>
                <w:lang w:bidi="ar"/>
              </w:rPr>
            </w:pPr>
            <w:r>
              <w:rPr>
                <w:rFonts w:hint="eastAsia" w:ascii="宋体" w:hAnsi="宋体" w:cs="宋体"/>
                <w:sz w:val="24"/>
                <w:lang w:bidi="ar"/>
              </w:rPr>
              <w:t>▲3.整机接入速率≥2.9Gbps，5GHz单射频支持2×2 MU-MIMO，且单射频接入速率≥2.4Gbps；2.4GHz单射频支持2×2 MU-MIMO，且单射频接入速率≥0.575Gbps；</w:t>
            </w:r>
          </w:p>
          <w:p>
            <w:pPr>
              <w:spacing w:line="360" w:lineRule="auto"/>
              <w:rPr>
                <w:rFonts w:ascii="宋体" w:hAnsi="宋体" w:cs="宋体"/>
                <w:sz w:val="24"/>
                <w:lang w:bidi="ar"/>
              </w:rPr>
            </w:pPr>
            <w:r>
              <w:rPr>
                <w:rFonts w:hint="eastAsia" w:ascii="宋体" w:hAnsi="宋体" w:cs="宋体"/>
                <w:sz w:val="24"/>
                <w:lang w:bidi="ar"/>
              </w:rPr>
              <w:t>4.支持蓝牙5.1；</w:t>
            </w:r>
          </w:p>
          <w:p>
            <w:pPr>
              <w:spacing w:line="360" w:lineRule="auto"/>
              <w:rPr>
                <w:rFonts w:ascii="宋体" w:hAnsi="宋体" w:cs="宋体"/>
                <w:sz w:val="24"/>
                <w:lang w:bidi="ar"/>
              </w:rPr>
            </w:pPr>
            <w:r>
              <w:rPr>
                <w:rFonts w:hint="eastAsia" w:ascii="宋体" w:hAnsi="宋体" w:cs="宋体"/>
                <w:sz w:val="24"/>
                <w:lang w:bidi="ar"/>
              </w:rPr>
              <w:t>▲5.配置≥1个2.5G以太网上联光口，≥8个1G以太网口下联电口；</w:t>
            </w:r>
          </w:p>
          <w:p>
            <w:pPr>
              <w:spacing w:line="360" w:lineRule="auto"/>
              <w:rPr>
                <w:rFonts w:ascii="宋体" w:hAnsi="宋体" w:cs="宋体"/>
                <w:sz w:val="24"/>
                <w:lang w:bidi="ar"/>
              </w:rPr>
            </w:pPr>
            <w:r>
              <w:rPr>
                <w:rFonts w:hint="eastAsia" w:ascii="宋体" w:hAnsi="宋体" w:cs="宋体"/>
                <w:sz w:val="24"/>
                <w:lang w:bidi="ar"/>
              </w:rPr>
              <w:t>※6提供≥1个 标准USB或Micro USB的Console接口；</w:t>
            </w:r>
          </w:p>
          <w:p>
            <w:pPr>
              <w:spacing w:line="360" w:lineRule="auto"/>
              <w:rPr>
                <w:rFonts w:ascii="宋体" w:hAnsi="宋体" w:cs="宋体"/>
                <w:sz w:val="24"/>
                <w:lang w:bidi="ar"/>
              </w:rPr>
            </w:pPr>
            <w:r>
              <w:rPr>
                <w:rFonts w:hint="eastAsia" w:ascii="宋体" w:hAnsi="宋体" w:cs="宋体"/>
                <w:sz w:val="24"/>
                <w:lang w:bidi="ar"/>
              </w:rPr>
              <w:t>7.配置≥1个凤凰接线端子受电，支持DC直流供电（DC 输入电压电流：48V/0.5A）或光电混合缆供电（满足802.3af PoE供电标准），提供1个DC电源适配器（48V/0.5A）；</w:t>
            </w:r>
          </w:p>
          <w:p>
            <w:pPr>
              <w:spacing w:line="360" w:lineRule="auto"/>
              <w:rPr>
                <w:rFonts w:ascii="宋体" w:hAnsi="宋体" w:cs="宋体"/>
                <w:sz w:val="24"/>
                <w:lang w:bidi="ar"/>
              </w:rPr>
            </w:pPr>
            <w:r>
              <w:rPr>
                <w:rFonts w:hint="eastAsia" w:ascii="宋体" w:hAnsi="宋体" w:cs="宋体"/>
                <w:sz w:val="24"/>
                <w:lang w:bidi="ar"/>
              </w:rPr>
              <w:t>8.支持即插即用，更换面板AP后，无需做任何配置，即可替换使用；</w:t>
            </w:r>
          </w:p>
          <w:p>
            <w:pPr>
              <w:spacing w:line="360" w:lineRule="auto"/>
              <w:rPr>
                <w:rFonts w:ascii="宋体" w:hAnsi="宋体" w:cs="宋体"/>
                <w:sz w:val="24"/>
                <w:lang w:bidi="ar"/>
              </w:rPr>
            </w:pPr>
            <w:r>
              <w:rPr>
                <w:rFonts w:hint="eastAsia" w:ascii="宋体" w:hAnsi="宋体" w:cs="宋体"/>
                <w:sz w:val="24"/>
                <w:lang w:bidi="ar"/>
              </w:rPr>
              <w:t>9.避免无线网络中私接非法AP，所投AP具有非法AP的精确反制和模糊反制功能，能够主动识别非法设备并令非法设备不能使用。</w:t>
            </w:r>
          </w:p>
          <w:p>
            <w:pPr>
              <w:spacing w:line="360" w:lineRule="auto"/>
              <w:rPr>
                <w:rFonts w:ascii="宋体" w:hAnsi="宋体" w:cs="宋体"/>
                <w:b/>
                <w:bCs/>
                <w:sz w:val="24"/>
              </w:rPr>
            </w:pPr>
            <w:r>
              <w:rPr>
                <w:rFonts w:hint="eastAsia" w:ascii="宋体" w:hAnsi="宋体" w:cs="宋体"/>
                <w:b/>
                <w:bCs/>
                <w:sz w:val="24"/>
                <w:lang w:bidi="ar"/>
              </w:rPr>
              <w:t>▲</w:t>
            </w:r>
            <w:r>
              <w:rPr>
                <w:rFonts w:ascii="宋体" w:hAnsi="宋体" w:cs="宋体"/>
                <w:b/>
                <w:bCs/>
                <w:sz w:val="24"/>
                <w:lang w:bidi="ar"/>
              </w:rPr>
              <w:t>10.含不少于1440块入户信息网络弱电箱盖板，尺寸400*300，材质：塑料，包安装。</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1400</w:t>
            </w:r>
          </w:p>
        </w:tc>
      </w:tr>
      <w:tr>
        <w:tblPrEx>
          <w:tblCellMar>
            <w:top w:w="0" w:type="dxa"/>
            <w:left w:w="108" w:type="dxa"/>
            <w:bottom w:w="0" w:type="dxa"/>
            <w:right w:w="108" w:type="dxa"/>
          </w:tblCellMar>
        </w:tblPrEx>
        <w:trPr>
          <w:trHeight w:val="114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8口POE交换机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▲1.10/100/1000M以太网电口≥8个，2.5G以太网电口≥1个；产品支持POE和POE+远程供电，POE供电功率≥125W；</w:t>
            </w:r>
          </w:p>
          <w:p>
            <w:pPr>
              <w:spacing w:line="360" w:lineRule="auto"/>
              <w:rPr>
                <w:rFonts w:ascii="宋体" w:hAnsi="宋体" w:cs="宋体"/>
                <w:sz w:val="24"/>
                <w:lang w:bidi="ar"/>
              </w:rPr>
            </w:pPr>
            <w:r>
              <w:rPr>
                <w:rFonts w:hint="eastAsia" w:ascii="宋体" w:hAnsi="宋体" w:cs="宋体"/>
                <w:sz w:val="24"/>
                <w:lang w:bidi="ar"/>
              </w:rPr>
              <w:t>▲2.交换容量≥430Gbps，包转发率≥80Mpps；</w:t>
            </w:r>
          </w:p>
          <w:p>
            <w:pPr>
              <w:spacing w:line="360" w:lineRule="auto"/>
              <w:rPr>
                <w:rFonts w:ascii="宋体" w:hAnsi="宋体" w:cs="宋体"/>
                <w:sz w:val="24"/>
                <w:lang w:bidi="ar"/>
              </w:rPr>
            </w:pPr>
            <w:r>
              <w:rPr>
                <w:rFonts w:hint="eastAsia" w:ascii="宋体" w:hAnsi="宋体" w:cs="宋体"/>
                <w:sz w:val="24"/>
                <w:lang w:bidi="ar"/>
              </w:rPr>
              <w:t>3.噪声值＜20dB；</w:t>
            </w:r>
          </w:p>
          <w:p>
            <w:pPr>
              <w:spacing w:line="360" w:lineRule="auto"/>
              <w:rPr>
                <w:rFonts w:ascii="宋体" w:hAnsi="宋体" w:cs="宋体"/>
                <w:sz w:val="24"/>
                <w:lang w:bidi="ar"/>
              </w:rPr>
            </w:pPr>
            <w:r>
              <w:rPr>
                <w:rFonts w:hint="eastAsia" w:ascii="宋体" w:hAnsi="宋体" w:cs="宋体"/>
                <w:sz w:val="24"/>
                <w:lang w:bidi="ar"/>
              </w:rPr>
              <w:t>4.尺寸＜400*300*100mm，支持放入400*300*100mm的标准弱电箱中部署；</w:t>
            </w:r>
          </w:p>
          <w:p>
            <w:pPr>
              <w:spacing w:line="360" w:lineRule="auto"/>
              <w:rPr>
                <w:rFonts w:ascii="宋体" w:hAnsi="宋体" w:cs="宋体"/>
                <w:sz w:val="24"/>
                <w:lang w:bidi="ar"/>
              </w:rPr>
            </w:pPr>
            <w:r>
              <w:rPr>
                <w:rFonts w:hint="eastAsia" w:ascii="宋体" w:hAnsi="宋体" w:cs="宋体"/>
                <w:sz w:val="24"/>
                <w:lang w:bidi="ar"/>
              </w:rPr>
              <w:t>※5.为保证设备在受到外接机械碰撞时能够正常运行，要求所投交换机IK防护测试级别至少达到IK04；</w:t>
            </w:r>
          </w:p>
          <w:p>
            <w:pPr>
              <w:spacing w:line="360" w:lineRule="auto"/>
              <w:rPr>
                <w:rFonts w:ascii="宋体" w:hAnsi="宋体" w:cs="宋体"/>
                <w:sz w:val="24"/>
                <w:lang w:bidi="ar"/>
              </w:rPr>
            </w:pPr>
            <w:r>
              <w:rPr>
                <w:rFonts w:hint="eastAsia" w:ascii="宋体" w:hAnsi="宋体" w:cs="宋体"/>
                <w:sz w:val="24"/>
                <w:lang w:bidi="ar"/>
              </w:rPr>
              <w:t>7.支持专门针对CPU的保护机制，能够针对发往CPU处理的各种报文进行流区分和优先级队列分级处理；</w:t>
            </w:r>
          </w:p>
          <w:p>
            <w:pPr>
              <w:spacing w:line="360" w:lineRule="auto"/>
              <w:rPr>
                <w:rFonts w:ascii="宋体" w:hAnsi="宋体" w:cs="宋体"/>
                <w:sz w:val="24"/>
                <w:lang w:bidi="ar"/>
              </w:rPr>
            </w:pPr>
            <w:r>
              <w:rPr>
                <w:rFonts w:hint="eastAsia" w:ascii="宋体" w:hAnsi="宋体" w:cs="宋体"/>
                <w:sz w:val="24"/>
                <w:lang w:bidi="ar"/>
              </w:rPr>
              <w:t>8.支持端口浪涌抗扰度≥8KV（即具备≥8KV的防雷能力）</w:t>
            </w:r>
          </w:p>
          <w:p>
            <w:pPr>
              <w:spacing w:line="360" w:lineRule="auto"/>
              <w:rPr>
                <w:rFonts w:ascii="宋体" w:hAnsi="宋体" w:cs="宋体"/>
                <w:sz w:val="24"/>
                <w:lang w:bidi="ar"/>
              </w:rPr>
            </w:pPr>
            <w:r>
              <w:rPr>
                <w:rFonts w:hint="eastAsia" w:ascii="宋体" w:hAnsi="宋体" w:cs="宋体"/>
                <w:sz w:val="24"/>
                <w:lang w:bidi="ar"/>
              </w:rPr>
              <w:t>9.支持交换机即插即用，支持按功能区域零配置上线，支持图形化界面划分端口业务；</w:t>
            </w:r>
          </w:p>
          <w:p>
            <w:pPr>
              <w:spacing w:line="360" w:lineRule="auto"/>
              <w:rPr>
                <w:rFonts w:ascii="宋体" w:hAnsi="宋体" w:cs="宋体"/>
                <w:sz w:val="24"/>
              </w:rPr>
            </w:pPr>
            <w:r>
              <w:rPr>
                <w:rFonts w:hint="eastAsia" w:ascii="宋体" w:hAnsi="宋体" w:cs="宋体"/>
                <w:sz w:val="24"/>
                <w:lang w:bidi="ar"/>
              </w:rPr>
              <w:t>※10.当交换机出现故障，支持替换用的新设备的零配置替换，新设备上电后配置自动下发，无需手动配置。</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1660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2芯单模光纤跳线 10米-15米长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14</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条</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10米-15米长，2芯单模双芯跳线，电信级万兆单模双芯跳线，外被：低烟无卤，插芯：高性能陶瓷插芯。线径：3.0mm。插入损耗≤0.2dB。回波损耗≥50dB，LC接头</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60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2芯单模光纤跳线 2米长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213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条</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2米长，2芯单模双芯跳线，电信级万兆单模双芯跳线，外被：低烟无卤，插芯：高性能陶瓷插芯。线径：3.0mm。插入损耗≤0.2dB。回波损耗≥50dB，LC接头</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30</w:t>
            </w:r>
          </w:p>
        </w:tc>
      </w:tr>
      <w:tr>
        <w:tblPrEx>
          <w:tblCellMar>
            <w:top w:w="0" w:type="dxa"/>
            <w:left w:w="108" w:type="dxa"/>
            <w:bottom w:w="0" w:type="dxa"/>
            <w:right w:w="108" w:type="dxa"/>
          </w:tblCellMar>
        </w:tblPrEx>
        <w:trPr>
          <w:trHeight w:val="285" w:hRule="atLeast"/>
        </w:trPr>
        <w:tc>
          <w:tcPr>
            <w:tcW w:w="84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三、设备网</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p>
        </w:tc>
      </w:tr>
      <w:tr>
        <w:tblPrEx>
          <w:tblCellMar>
            <w:top w:w="0" w:type="dxa"/>
            <w:left w:w="108" w:type="dxa"/>
            <w:bottom w:w="0" w:type="dxa"/>
            <w:right w:w="108" w:type="dxa"/>
          </w:tblCellMar>
        </w:tblPrEx>
        <w:trPr>
          <w:trHeight w:val="114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◆核心交换机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▲一、单台配置要求：</w:t>
            </w:r>
          </w:p>
          <w:p>
            <w:pPr>
              <w:spacing w:line="360" w:lineRule="auto"/>
              <w:rPr>
                <w:rFonts w:ascii="宋体" w:hAnsi="宋体" w:cs="宋体"/>
                <w:sz w:val="24"/>
                <w:lang w:bidi="ar"/>
              </w:rPr>
            </w:pPr>
            <w:r>
              <w:rPr>
                <w:rFonts w:hint="eastAsia" w:ascii="宋体" w:hAnsi="宋体" w:cs="宋体"/>
                <w:sz w:val="24"/>
                <w:lang w:bidi="ar"/>
              </w:rPr>
              <w:t>1.主控引擎与业务板卡完全物理分离， 采用全分布式转发处理架构，独立主控引擎插槽≥2个，独立业务插槽数≥6个；</w:t>
            </w:r>
          </w:p>
          <w:p>
            <w:pPr>
              <w:spacing w:line="360" w:lineRule="auto"/>
              <w:rPr>
                <w:rFonts w:ascii="宋体" w:hAnsi="宋体" w:cs="宋体"/>
                <w:sz w:val="24"/>
                <w:lang w:bidi="ar"/>
              </w:rPr>
            </w:pPr>
            <w:r>
              <w:rPr>
                <w:rFonts w:hint="eastAsia" w:ascii="宋体" w:hAnsi="宋体" w:cs="宋体"/>
                <w:sz w:val="24"/>
                <w:lang w:bidi="ar"/>
              </w:rPr>
              <w:t>2.≥2个引擎、2个电源；</w:t>
            </w:r>
          </w:p>
          <w:p>
            <w:pPr>
              <w:spacing w:line="360" w:lineRule="auto"/>
              <w:rPr>
                <w:rFonts w:ascii="宋体" w:hAnsi="宋体" w:cs="宋体"/>
                <w:sz w:val="24"/>
                <w:lang w:bidi="ar"/>
              </w:rPr>
            </w:pPr>
            <w:r>
              <w:rPr>
                <w:rFonts w:hint="eastAsia" w:ascii="宋体" w:hAnsi="宋体" w:cs="宋体"/>
                <w:sz w:val="24"/>
                <w:lang w:bidi="ar"/>
              </w:rPr>
              <w:t>3.≥192个千兆光口、16个万兆光口；</w:t>
            </w:r>
          </w:p>
          <w:p>
            <w:pPr>
              <w:spacing w:line="360" w:lineRule="auto"/>
              <w:rPr>
                <w:rFonts w:ascii="宋体" w:hAnsi="宋体" w:cs="宋体"/>
                <w:sz w:val="24"/>
                <w:lang w:bidi="ar"/>
              </w:rPr>
            </w:pPr>
            <w:r>
              <w:rPr>
                <w:rFonts w:hint="eastAsia" w:ascii="宋体" w:hAnsi="宋体" w:cs="宋体"/>
                <w:sz w:val="24"/>
                <w:lang w:bidi="ar"/>
              </w:rPr>
              <w:t>4.≥8个万兆多模光模块；</w:t>
            </w:r>
          </w:p>
          <w:p>
            <w:pPr>
              <w:spacing w:line="360" w:lineRule="auto"/>
              <w:rPr>
                <w:rFonts w:ascii="宋体" w:hAnsi="宋体" w:cs="宋体"/>
                <w:sz w:val="24"/>
                <w:lang w:bidi="ar"/>
              </w:rPr>
            </w:pPr>
            <w:r>
              <w:rPr>
                <w:rFonts w:hint="eastAsia" w:ascii="宋体" w:hAnsi="宋体" w:cs="宋体"/>
                <w:sz w:val="24"/>
                <w:lang w:bidi="ar"/>
              </w:rPr>
              <w:t>二、参数要求：</w:t>
            </w:r>
          </w:p>
          <w:p>
            <w:pPr>
              <w:spacing w:line="360" w:lineRule="auto"/>
              <w:rPr>
                <w:rFonts w:ascii="宋体" w:hAnsi="宋体" w:cs="宋体"/>
                <w:sz w:val="24"/>
                <w:lang w:bidi="ar"/>
              </w:rPr>
            </w:pPr>
            <w:r>
              <w:rPr>
                <w:rFonts w:hint="eastAsia" w:ascii="宋体" w:hAnsi="宋体" w:cs="宋体"/>
                <w:sz w:val="24"/>
                <w:lang w:bidi="ar"/>
              </w:rPr>
              <w:t>▲1.交换容量≥80Tbps，包转发性能≥57000Mpps；</w:t>
            </w:r>
          </w:p>
          <w:p>
            <w:pPr>
              <w:spacing w:line="360" w:lineRule="auto"/>
              <w:rPr>
                <w:rFonts w:ascii="宋体" w:hAnsi="宋体" w:cs="宋体"/>
                <w:sz w:val="24"/>
                <w:lang w:bidi="ar"/>
              </w:rPr>
            </w:pPr>
            <w:r>
              <w:rPr>
                <w:rFonts w:hint="eastAsia" w:ascii="宋体" w:hAnsi="宋体" w:cs="宋体"/>
                <w:sz w:val="24"/>
                <w:lang w:bidi="ar"/>
              </w:rPr>
              <w:t>▲2.风扇框冗余设计， 支持模块化风扇框，可热插拔，当单个风扇框发生故障时，有其他风扇正常运行，独立风扇框个数≥2个；</w:t>
            </w:r>
          </w:p>
          <w:p>
            <w:pPr>
              <w:spacing w:line="360" w:lineRule="auto"/>
              <w:rPr>
                <w:rFonts w:ascii="宋体" w:hAnsi="宋体" w:cs="宋体"/>
                <w:sz w:val="24"/>
                <w:lang w:bidi="ar"/>
              </w:rPr>
            </w:pPr>
            <w:r>
              <w:rPr>
                <w:rFonts w:hint="eastAsia" w:ascii="宋体" w:hAnsi="宋体" w:cs="宋体"/>
                <w:sz w:val="24"/>
                <w:lang w:bidi="ar"/>
              </w:rPr>
              <w:t>3.为了适应机柜并排部署，机箱业务板卡区采用后出风风道设计；</w:t>
            </w:r>
          </w:p>
          <w:p>
            <w:pPr>
              <w:spacing w:line="360" w:lineRule="auto"/>
              <w:rPr>
                <w:rFonts w:ascii="宋体" w:hAnsi="宋体" w:cs="宋体"/>
                <w:sz w:val="24"/>
                <w:lang w:bidi="ar"/>
              </w:rPr>
            </w:pPr>
            <w:r>
              <w:rPr>
                <w:rFonts w:hint="eastAsia" w:ascii="宋体" w:hAnsi="宋体" w:cs="宋体"/>
                <w:sz w:val="24"/>
                <w:lang w:bidi="ar"/>
              </w:rPr>
              <w:t xml:space="preserve">4.高度≤11U； </w:t>
            </w:r>
          </w:p>
          <w:p>
            <w:pPr>
              <w:spacing w:line="360" w:lineRule="auto"/>
              <w:rPr>
                <w:rFonts w:ascii="宋体" w:hAnsi="宋体" w:cs="宋体"/>
                <w:sz w:val="24"/>
                <w:lang w:bidi="ar"/>
              </w:rPr>
            </w:pPr>
            <w:r>
              <w:rPr>
                <w:rFonts w:hint="eastAsia" w:ascii="宋体" w:hAnsi="宋体" w:cs="宋体"/>
                <w:sz w:val="24"/>
                <w:lang w:bidi="ar"/>
              </w:rPr>
              <w:t>5.主控引擎支持集成硬件监控功能，能集中监控板卡、风扇、电源、环境；</w:t>
            </w:r>
          </w:p>
          <w:p>
            <w:pPr>
              <w:spacing w:line="360" w:lineRule="auto"/>
              <w:rPr>
                <w:rFonts w:ascii="宋体" w:hAnsi="宋体" w:cs="宋体"/>
                <w:sz w:val="24"/>
                <w:lang w:bidi="ar"/>
              </w:rPr>
            </w:pPr>
            <w:r>
              <w:rPr>
                <w:rFonts w:hint="eastAsia" w:ascii="宋体" w:hAnsi="宋体" w:cs="宋体"/>
                <w:sz w:val="24"/>
                <w:lang w:bidi="ar"/>
              </w:rPr>
              <w:t>6.单张业务卡可用物理端口≥52个，整机转发业务物理端口≥312个；</w:t>
            </w:r>
          </w:p>
          <w:p>
            <w:pPr>
              <w:spacing w:line="360" w:lineRule="auto"/>
              <w:rPr>
                <w:rFonts w:ascii="宋体" w:hAnsi="宋体" w:cs="宋体"/>
                <w:sz w:val="24"/>
                <w:lang w:bidi="ar"/>
              </w:rPr>
            </w:pPr>
            <w:r>
              <w:rPr>
                <w:rFonts w:hint="eastAsia" w:ascii="宋体" w:hAnsi="宋体" w:cs="宋体"/>
                <w:sz w:val="24"/>
                <w:lang w:bidi="ar"/>
              </w:rPr>
              <w:t>7.支持N:1虚拟化：可将多台物理设备虚拟化为1台逻辑设备，虚拟组内设备具备统一的二层及三层转发表项，统一的管理界面，可实现跨设备链路聚合；</w:t>
            </w:r>
          </w:p>
          <w:p>
            <w:pPr>
              <w:spacing w:line="360" w:lineRule="auto"/>
              <w:rPr>
                <w:rFonts w:ascii="宋体" w:hAnsi="宋体" w:cs="宋体"/>
                <w:sz w:val="24"/>
                <w:lang w:bidi="ar"/>
              </w:rPr>
            </w:pPr>
            <w:r>
              <w:rPr>
                <w:rFonts w:hint="eastAsia" w:ascii="宋体" w:hAnsi="宋体" w:cs="宋体"/>
                <w:sz w:val="24"/>
                <w:lang w:bidi="ar"/>
              </w:rPr>
              <w:t>8. 支持VXLAN二三层分布式网关，支持EVPN，支持VXLAN双活；</w:t>
            </w:r>
          </w:p>
          <w:p>
            <w:pPr>
              <w:spacing w:line="360" w:lineRule="auto"/>
              <w:rPr>
                <w:rFonts w:ascii="宋体" w:hAnsi="宋体" w:cs="宋体"/>
                <w:sz w:val="24"/>
                <w:lang w:bidi="ar"/>
              </w:rPr>
            </w:pPr>
            <w:r>
              <w:rPr>
                <w:rFonts w:hint="eastAsia" w:ascii="宋体" w:hAnsi="宋体" w:cs="宋体"/>
                <w:sz w:val="24"/>
                <w:lang w:bidi="ar"/>
              </w:rPr>
              <w:t>9.支持静态路由、RIP、RIPng、OSPF、OSPFv3、BGP、BGP4+、ISIS、ISISv6，支持路由协议多实例，支持GR for OSPF/IS-IS/BGP，支持策略路由；</w:t>
            </w:r>
          </w:p>
          <w:p>
            <w:pPr>
              <w:spacing w:line="360" w:lineRule="auto"/>
              <w:rPr>
                <w:rFonts w:ascii="宋体" w:hAnsi="宋体" w:cs="宋体"/>
                <w:sz w:val="24"/>
                <w:lang w:bidi="ar"/>
              </w:rPr>
            </w:pPr>
            <w:r>
              <w:rPr>
                <w:rFonts w:hint="eastAsia" w:ascii="宋体" w:hAnsi="宋体" w:cs="宋体"/>
                <w:sz w:val="24"/>
                <w:lang w:bidi="ar"/>
              </w:rPr>
              <w:t>※10.支持专门针对CPU保护机制的功能，可将送CPU的报文，如ARP报文的速率进行限制，使CPU的使用率降低到10%以内。</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126881</w:t>
            </w:r>
          </w:p>
        </w:tc>
      </w:tr>
      <w:tr>
        <w:tblPrEx>
          <w:tblCellMar>
            <w:top w:w="0" w:type="dxa"/>
            <w:left w:w="108" w:type="dxa"/>
            <w:bottom w:w="0" w:type="dxa"/>
            <w:right w:w="108" w:type="dxa"/>
          </w:tblCellMar>
        </w:tblPrEx>
        <w:trPr>
          <w:trHeight w:val="114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24口POE交换机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129</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▲1.千兆电口≥24个，2.5G SFP千兆光接口≥4个，支持POE和POE+，同时可POE供电端口≥24个，POE输出功率≥370W，配置≥2个千兆单模光模块；</w:t>
            </w:r>
          </w:p>
          <w:p>
            <w:pPr>
              <w:spacing w:line="360" w:lineRule="auto"/>
              <w:rPr>
                <w:rFonts w:ascii="宋体" w:hAnsi="宋体" w:cs="宋体"/>
                <w:sz w:val="24"/>
                <w:lang w:bidi="ar"/>
              </w:rPr>
            </w:pPr>
            <w:r>
              <w:rPr>
                <w:rFonts w:hint="eastAsia" w:ascii="宋体" w:hAnsi="宋体" w:cs="宋体"/>
                <w:sz w:val="24"/>
                <w:lang w:bidi="ar"/>
              </w:rPr>
              <w:t>▲2.交换容量≥330Gbps，包转发率≥50Mpps</w:t>
            </w:r>
          </w:p>
          <w:p>
            <w:pPr>
              <w:spacing w:line="360" w:lineRule="auto"/>
              <w:rPr>
                <w:rFonts w:ascii="宋体" w:hAnsi="宋体" w:cs="宋体"/>
                <w:sz w:val="24"/>
                <w:lang w:bidi="ar"/>
              </w:rPr>
            </w:pPr>
            <w:r>
              <w:rPr>
                <w:rFonts w:hint="eastAsia" w:ascii="宋体" w:hAnsi="宋体" w:cs="宋体"/>
                <w:sz w:val="24"/>
                <w:lang w:bidi="ar"/>
              </w:rPr>
              <w:t>3.端口浪涌抗扰度≥10KV（即具备≥10KV的防雷能力）；</w:t>
            </w:r>
          </w:p>
          <w:p>
            <w:pPr>
              <w:spacing w:line="360" w:lineRule="auto"/>
              <w:rPr>
                <w:rFonts w:ascii="宋体" w:hAnsi="宋体" w:cs="宋体"/>
                <w:sz w:val="24"/>
                <w:lang w:bidi="ar"/>
              </w:rPr>
            </w:pPr>
            <w:r>
              <w:rPr>
                <w:rFonts w:hint="eastAsia" w:ascii="宋体" w:hAnsi="宋体" w:cs="宋体"/>
                <w:sz w:val="24"/>
                <w:lang w:bidi="ar"/>
              </w:rPr>
              <w:t>4.整机噪声≤39dB</w:t>
            </w:r>
          </w:p>
          <w:p>
            <w:pPr>
              <w:spacing w:line="360" w:lineRule="auto"/>
              <w:rPr>
                <w:rFonts w:ascii="宋体" w:hAnsi="宋体" w:cs="宋体"/>
                <w:sz w:val="24"/>
                <w:lang w:bidi="ar"/>
              </w:rPr>
            </w:pPr>
            <w:r>
              <w:rPr>
                <w:rFonts w:hint="eastAsia" w:ascii="宋体" w:hAnsi="宋体" w:cs="宋体"/>
                <w:sz w:val="24"/>
                <w:lang w:bidi="ar"/>
              </w:rPr>
              <w:t>5.支持快速以太网链路检测协议，可快速检测链路的通断和光纤链路的单向性，并支持端口下的环路检测功能，防止端口下因私接Hub等设备形成的环路而导致网络故障的现象；</w:t>
            </w:r>
          </w:p>
          <w:p>
            <w:pPr>
              <w:spacing w:line="360" w:lineRule="auto"/>
              <w:rPr>
                <w:rFonts w:ascii="宋体" w:hAnsi="宋体" w:cs="宋体"/>
                <w:sz w:val="24"/>
                <w:lang w:bidi="ar"/>
              </w:rPr>
            </w:pPr>
            <w:r>
              <w:rPr>
                <w:rFonts w:hint="eastAsia" w:ascii="宋体" w:hAnsi="宋体" w:cs="宋体"/>
                <w:sz w:val="24"/>
                <w:lang w:bidi="ar"/>
              </w:rPr>
              <w:t>6.支持专门针对CPU的保护机制，能够针对发往CPU处理的各种报文进行流区分和优先级队列分级处理；</w:t>
            </w:r>
          </w:p>
          <w:p>
            <w:pPr>
              <w:spacing w:line="360" w:lineRule="auto"/>
              <w:rPr>
                <w:rFonts w:ascii="宋体" w:hAnsi="宋体" w:cs="宋体"/>
                <w:sz w:val="24"/>
                <w:lang w:bidi="ar"/>
              </w:rPr>
            </w:pPr>
            <w:r>
              <w:rPr>
                <w:rFonts w:hint="eastAsia" w:ascii="宋体" w:hAnsi="宋体" w:cs="宋体"/>
                <w:sz w:val="24"/>
                <w:lang w:bidi="ar"/>
              </w:rPr>
              <w:t>7.支持IEEE 802.3az标准的EEE节能技术</w:t>
            </w:r>
          </w:p>
          <w:p>
            <w:pPr>
              <w:spacing w:line="360" w:lineRule="auto"/>
              <w:rPr>
                <w:rFonts w:ascii="宋体" w:hAnsi="宋体" w:cs="宋体"/>
                <w:sz w:val="24"/>
                <w:lang w:bidi="ar"/>
              </w:rPr>
            </w:pPr>
            <w:r>
              <w:rPr>
                <w:rFonts w:hint="eastAsia" w:ascii="宋体" w:hAnsi="宋体" w:cs="宋体"/>
                <w:sz w:val="24"/>
                <w:lang w:bidi="ar"/>
              </w:rPr>
              <w:t>8.支持生成树协议STP(IEEE 802.1d)，RSTP(IEEE 802.1w)和MSTP(IEEE 802.1s)，保证网络的稳定运行和链路的负载均衡；</w:t>
            </w:r>
          </w:p>
          <w:p>
            <w:pPr>
              <w:spacing w:line="360" w:lineRule="auto"/>
              <w:rPr>
                <w:rFonts w:ascii="宋体" w:hAnsi="宋体" w:cs="宋体"/>
                <w:sz w:val="24"/>
                <w:lang w:bidi="ar"/>
              </w:rPr>
            </w:pPr>
            <w:r>
              <w:rPr>
                <w:rFonts w:hint="eastAsia" w:ascii="宋体" w:hAnsi="宋体" w:cs="宋体"/>
                <w:sz w:val="24"/>
                <w:lang w:bidi="ar"/>
              </w:rPr>
              <w:t>9.支持SNMP、CLI(Telnet/Console)、Syslog、NTP、TFTP、Web。</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3200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39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24口交换机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21</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▲1.千兆电口≥24个，千兆光接口≥4个，配置≥2个千兆单模光模块；</w:t>
            </w:r>
          </w:p>
          <w:p>
            <w:pPr>
              <w:spacing w:line="360" w:lineRule="auto"/>
              <w:rPr>
                <w:rFonts w:ascii="宋体" w:hAnsi="宋体" w:cs="宋体"/>
                <w:sz w:val="24"/>
                <w:lang w:bidi="ar"/>
              </w:rPr>
            </w:pPr>
            <w:r>
              <w:rPr>
                <w:rFonts w:hint="eastAsia" w:ascii="宋体" w:hAnsi="宋体" w:cs="宋体"/>
                <w:sz w:val="24"/>
                <w:lang w:bidi="ar"/>
              </w:rPr>
              <w:t>▲2.交换容量≥3Tbps，包转发率≥120Mpps；</w:t>
            </w:r>
          </w:p>
          <w:p>
            <w:pPr>
              <w:spacing w:line="360" w:lineRule="auto"/>
              <w:rPr>
                <w:rFonts w:ascii="宋体" w:hAnsi="宋体" w:cs="宋体"/>
                <w:sz w:val="24"/>
                <w:lang w:bidi="ar"/>
              </w:rPr>
            </w:pPr>
            <w:r>
              <w:rPr>
                <w:rFonts w:hint="eastAsia" w:ascii="宋体" w:hAnsi="宋体" w:cs="宋体"/>
                <w:sz w:val="24"/>
                <w:lang w:bidi="ar"/>
              </w:rPr>
              <w:t>▲3.支持IPV4/IPV6静态路由协议</w:t>
            </w:r>
          </w:p>
          <w:p>
            <w:pPr>
              <w:spacing w:line="360" w:lineRule="auto"/>
              <w:rPr>
                <w:rFonts w:ascii="宋体" w:hAnsi="宋体" w:cs="宋体"/>
                <w:sz w:val="24"/>
                <w:lang w:bidi="ar"/>
              </w:rPr>
            </w:pPr>
            <w:r>
              <w:rPr>
                <w:rFonts w:hint="eastAsia" w:ascii="宋体" w:hAnsi="宋体" w:cs="宋体"/>
                <w:sz w:val="24"/>
                <w:lang w:bidi="ar"/>
              </w:rPr>
              <w:t>4.支持快速以太网链路检测协议，可快速检测链路的通断和光纤链路的单向性，并支持端口下的环路检测功能，防止端口下因私接Hub等设备形成的环路而导致网络故障的现象；</w:t>
            </w:r>
          </w:p>
          <w:p>
            <w:pPr>
              <w:spacing w:line="360" w:lineRule="auto"/>
              <w:rPr>
                <w:rFonts w:ascii="宋体" w:hAnsi="宋体" w:cs="宋体"/>
                <w:sz w:val="24"/>
                <w:lang w:bidi="ar"/>
              </w:rPr>
            </w:pPr>
            <w:r>
              <w:rPr>
                <w:rFonts w:hint="eastAsia" w:ascii="宋体" w:hAnsi="宋体" w:cs="宋体"/>
                <w:sz w:val="24"/>
                <w:lang w:bidi="ar"/>
              </w:rPr>
              <w:t>5.支持专门针对CPU的保护机制，能够针对发往CPU处理的各种报文进行流区分和优先级队列分级处理；</w:t>
            </w:r>
          </w:p>
          <w:p>
            <w:pPr>
              <w:spacing w:line="360" w:lineRule="auto"/>
              <w:rPr>
                <w:rFonts w:ascii="宋体" w:hAnsi="宋体" w:cs="宋体"/>
                <w:sz w:val="24"/>
                <w:lang w:bidi="ar"/>
              </w:rPr>
            </w:pPr>
            <w:r>
              <w:rPr>
                <w:rFonts w:hint="eastAsia" w:ascii="宋体" w:hAnsi="宋体" w:cs="宋体"/>
                <w:sz w:val="24"/>
                <w:lang w:bidi="ar"/>
              </w:rPr>
              <w:t>6.支持IEEE 802.3az标准的EEE节能技术</w:t>
            </w:r>
          </w:p>
          <w:p>
            <w:pPr>
              <w:spacing w:line="360" w:lineRule="auto"/>
              <w:rPr>
                <w:rFonts w:ascii="宋体" w:hAnsi="宋体" w:cs="宋体"/>
                <w:sz w:val="24"/>
                <w:lang w:bidi="ar"/>
              </w:rPr>
            </w:pPr>
            <w:r>
              <w:rPr>
                <w:rFonts w:hint="eastAsia" w:ascii="宋体" w:hAnsi="宋体" w:cs="宋体"/>
                <w:sz w:val="24"/>
                <w:lang w:bidi="ar"/>
              </w:rPr>
              <w:t>7.支持生成树协议STP(IEEE 802.1d)，RSTP(IEEE 802.1w)和MSTP(IEEE 802.1s)，保证网络的稳定运行和链路的负载均衡；</w:t>
            </w:r>
          </w:p>
          <w:p>
            <w:pPr>
              <w:spacing w:line="360" w:lineRule="auto"/>
              <w:rPr>
                <w:rFonts w:ascii="宋体" w:hAnsi="宋体" w:cs="宋体"/>
                <w:sz w:val="24"/>
                <w:lang w:bidi="ar"/>
              </w:rPr>
            </w:pPr>
            <w:r>
              <w:rPr>
                <w:rFonts w:hint="eastAsia" w:ascii="宋体" w:hAnsi="宋体" w:cs="宋体"/>
                <w:sz w:val="24"/>
                <w:lang w:bidi="ar"/>
              </w:rPr>
              <w:t>8.支持SNMP、CLI(Telnet/Console)、Syslog、NTP、TFTP、Web。</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2000</w:t>
            </w:r>
          </w:p>
        </w:tc>
      </w:tr>
      <w:tr>
        <w:tblPrEx>
          <w:tblCellMar>
            <w:top w:w="0" w:type="dxa"/>
            <w:left w:w="108" w:type="dxa"/>
            <w:bottom w:w="0" w:type="dxa"/>
            <w:right w:w="108" w:type="dxa"/>
          </w:tblCellMar>
        </w:tblPrEx>
        <w:trPr>
          <w:trHeight w:val="570"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48口全光口交换机</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lang w:bidi="ar"/>
              </w:rPr>
            </w:pPr>
            <w:r>
              <w:rPr>
                <w:rFonts w:hint="eastAsia" w:ascii="宋体" w:hAnsi="宋体" w:cs="宋体"/>
                <w:sz w:val="24"/>
                <w:lang w:bidi="ar"/>
              </w:rPr>
              <w:t>▲1.100/1000M SFP光接口≥48，10G/1G SFP+光接口≥4个</w:t>
            </w:r>
          </w:p>
          <w:p>
            <w:pPr>
              <w:spacing w:line="360" w:lineRule="auto"/>
              <w:rPr>
                <w:rFonts w:ascii="宋体" w:hAnsi="宋体" w:cs="宋体"/>
                <w:sz w:val="24"/>
                <w:lang w:bidi="ar"/>
              </w:rPr>
            </w:pPr>
            <w:r>
              <w:rPr>
                <w:rFonts w:hint="eastAsia" w:ascii="宋体" w:hAnsi="宋体" w:cs="宋体"/>
                <w:sz w:val="24"/>
                <w:lang w:bidi="ar"/>
              </w:rPr>
              <w:t>▲2.交换容量≥670Gbps，包转发率≥200Mpps；</w:t>
            </w:r>
          </w:p>
          <w:p>
            <w:pPr>
              <w:spacing w:line="360" w:lineRule="auto"/>
              <w:rPr>
                <w:rFonts w:ascii="宋体" w:hAnsi="宋体" w:cs="宋体"/>
                <w:sz w:val="24"/>
                <w:lang w:bidi="ar"/>
              </w:rPr>
            </w:pPr>
            <w:r>
              <w:rPr>
                <w:rFonts w:hint="eastAsia" w:ascii="宋体" w:hAnsi="宋体" w:cs="宋体"/>
                <w:sz w:val="24"/>
                <w:lang w:bidi="ar"/>
              </w:rPr>
              <w:t>▲3.支持静态路由、RIP/RIPng、OSPFv2/OSPFv3等三层路由协议</w:t>
            </w:r>
          </w:p>
          <w:p>
            <w:pPr>
              <w:spacing w:line="360" w:lineRule="auto"/>
              <w:rPr>
                <w:rFonts w:ascii="宋体" w:hAnsi="宋体" w:cs="宋体"/>
                <w:sz w:val="24"/>
                <w:lang w:bidi="ar"/>
              </w:rPr>
            </w:pPr>
            <w:r>
              <w:rPr>
                <w:rFonts w:hint="eastAsia" w:ascii="宋体" w:hAnsi="宋体" w:cs="宋体"/>
                <w:sz w:val="24"/>
                <w:lang w:bidi="ar"/>
              </w:rPr>
              <w:t>4.支持SAVI功能，可防止地址解析欺骗；</w:t>
            </w:r>
          </w:p>
          <w:p>
            <w:pPr>
              <w:spacing w:line="360" w:lineRule="auto"/>
              <w:rPr>
                <w:rFonts w:ascii="宋体" w:hAnsi="宋体" w:cs="宋体"/>
                <w:sz w:val="24"/>
                <w:lang w:bidi="ar"/>
              </w:rPr>
            </w:pPr>
            <w:r>
              <w:rPr>
                <w:rFonts w:hint="eastAsia" w:ascii="宋体" w:hAnsi="宋体" w:cs="宋体"/>
                <w:sz w:val="24"/>
                <w:lang w:bidi="ar"/>
              </w:rPr>
              <w:t>5.支持CPU保护功能，能限制非法报文对CPU的攻击；</w:t>
            </w:r>
          </w:p>
          <w:p>
            <w:pPr>
              <w:spacing w:line="360" w:lineRule="auto"/>
              <w:rPr>
                <w:rFonts w:ascii="宋体" w:hAnsi="宋体" w:cs="宋体"/>
                <w:sz w:val="24"/>
                <w:lang w:bidi="ar"/>
              </w:rPr>
            </w:pPr>
            <w:r>
              <w:rPr>
                <w:rFonts w:hint="eastAsia" w:ascii="宋体" w:hAnsi="宋体" w:cs="宋体"/>
                <w:sz w:val="24"/>
                <w:lang w:bidi="ar"/>
              </w:rPr>
              <w:t xml:space="preserve">6.支持虚拟化功能，可将多台物理设备虚拟化为一台逻辑设备统一管理，并且链路故障的收敛时间≤50ms； </w:t>
            </w:r>
          </w:p>
          <w:p>
            <w:pPr>
              <w:spacing w:line="360" w:lineRule="auto"/>
              <w:rPr>
                <w:rFonts w:ascii="宋体" w:hAnsi="宋体" w:cs="宋体"/>
                <w:sz w:val="24"/>
                <w:lang w:bidi="ar"/>
              </w:rPr>
            </w:pPr>
            <w:r>
              <w:rPr>
                <w:rFonts w:hint="eastAsia" w:ascii="宋体" w:hAnsi="宋体" w:cs="宋体"/>
                <w:sz w:val="24"/>
                <w:lang w:bidi="ar"/>
              </w:rPr>
              <w:t>7.支持IEEE 802.3az标准的EEE节能技术；</w:t>
            </w:r>
          </w:p>
          <w:p>
            <w:pPr>
              <w:spacing w:line="360" w:lineRule="auto"/>
              <w:rPr>
                <w:rFonts w:ascii="宋体" w:hAnsi="宋体" w:cs="宋体"/>
                <w:sz w:val="24"/>
                <w:lang w:bidi="ar"/>
              </w:rPr>
            </w:pPr>
            <w:r>
              <w:rPr>
                <w:rFonts w:hint="eastAsia" w:ascii="宋体" w:hAnsi="宋体" w:cs="宋体"/>
                <w:sz w:val="24"/>
                <w:lang w:bidi="ar"/>
              </w:rPr>
              <w:t>8.支持专门基础网络保护机制，能够限制用户向网络中发送数据包的速率，对有攻击行为的用户进行隔离，保证设备和整网的安全稳定运行；</w:t>
            </w:r>
          </w:p>
          <w:p>
            <w:pPr>
              <w:spacing w:line="360" w:lineRule="auto"/>
              <w:rPr>
                <w:rFonts w:ascii="宋体" w:hAnsi="宋体" w:cs="宋体"/>
                <w:sz w:val="24"/>
                <w:lang w:bidi="ar"/>
              </w:rPr>
            </w:pPr>
            <w:r>
              <w:rPr>
                <w:rFonts w:hint="eastAsia" w:ascii="宋体" w:hAnsi="宋体" w:cs="宋体"/>
                <w:sz w:val="24"/>
                <w:lang w:bidi="ar"/>
              </w:rPr>
              <w:t>※10.设备支持抗电网波动能力。</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17000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2芯单模光纤跳线 10米-15米长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153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条</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10-15米长，12芯单模双芯跳线，电信级万兆单模双芯跳线，外被：低烟无卤，插芯：高性能陶瓷插芯。线径：3.0mm。插入损耗≤0.2dB。回波损耗≥50dB，LC接头</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60</w:t>
            </w:r>
          </w:p>
        </w:tc>
      </w:tr>
      <w:tr>
        <w:tblPrEx>
          <w:tblCellMar>
            <w:top w:w="0" w:type="dxa"/>
            <w:left w:w="108" w:type="dxa"/>
            <w:bottom w:w="0" w:type="dxa"/>
            <w:right w:w="108" w:type="dxa"/>
          </w:tblCellMar>
        </w:tblPrEx>
        <w:trPr>
          <w:trHeight w:val="855" w:hRule="atLeast"/>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2芯单模光纤跳线 2米长</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153</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条</w:t>
            </w:r>
          </w:p>
        </w:tc>
        <w:tc>
          <w:tcPr>
            <w:tcW w:w="5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2米长，2芯单模双芯跳线，电信级万兆单模双芯跳线，外被：低烟无卤，插芯：高性能陶瓷插芯。线径：3.0mm。插入损耗≤0.2dB。回波损耗≥50dB，LC接头</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lang w:bidi="ar"/>
              </w:rPr>
            </w:pPr>
            <w:r>
              <w:rPr>
                <w:rFonts w:hint="eastAsia" w:ascii="宋体" w:hAnsi="宋体" w:cs="宋体"/>
                <w:sz w:val="24"/>
                <w:lang w:bidi="ar"/>
              </w:rPr>
              <w:t>30</w:t>
            </w:r>
          </w:p>
        </w:tc>
      </w:tr>
      <w:tr>
        <w:tblPrEx>
          <w:tblCellMar>
            <w:top w:w="0" w:type="dxa"/>
            <w:left w:w="108" w:type="dxa"/>
            <w:bottom w:w="0" w:type="dxa"/>
            <w:right w:w="108" w:type="dxa"/>
          </w:tblCellMar>
        </w:tblPrEx>
        <w:trPr>
          <w:trHeight w:val="285" w:hRule="atLeast"/>
        </w:trPr>
        <w:tc>
          <w:tcPr>
            <w:tcW w:w="48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43</w:t>
            </w:r>
          </w:p>
        </w:tc>
        <w:tc>
          <w:tcPr>
            <w:tcW w:w="126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6U机柜</w:t>
            </w:r>
          </w:p>
        </w:tc>
        <w:tc>
          <w:tcPr>
            <w:tcW w:w="58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107</w:t>
            </w:r>
          </w:p>
        </w:tc>
        <w:tc>
          <w:tcPr>
            <w:tcW w:w="41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lang w:bidi="ar"/>
              </w:rPr>
              <w:t>台</w:t>
            </w:r>
          </w:p>
        </w:tc>
        <w:tc>
          <w:tcPr>
            <w:tcW w:w="565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rPr>
                <w:rFonts w:ascii="宋体" w:hAnsi="宋体" w:cs="宋体"/>
                <w:sz w:val="24"/>
              </w:rPr>
            </w:pPr>
            <w:r>
              <w:rPr>
                <w:rFonts w:hint="eastAsia" w:ascii="宋体" w:hAnsi="宋体" w:cs="宋体"/>
                <w:sz w:val="24"/>
              </w:rPr>
              <w:t>6U机柜，尺寸≤600mm*440mm*368mm，厚度：方孔条1.5mm，侧门0.8mm，其余1.2mm。内含：机柜风扇、机柜托板。5mm钢化玻璃门。IP20防护等级</w:t>
            </w:r>
          </w:p>
        </w:tc>
        <w:tc>
          <w:tcPr>
            <w:tcW w:w="993" w:type="dxa"/>
            <w:tcBorders>
              <w:top w:val="single" w:color="000000" w:sz="4" w:space="0"/>
              <w:left w:val="single" w:color="000000" w:sz="4" w:space="0"/>
              <w:bottom w:val="single" w:color="auto"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367.5</w:t>
            </w:r>
          </w:p>
        </w:tc>
      </w:tr>
    </w:tbl>
    <w:p>
      <w:pPr>
        <w:ind w:firstLine="482"/>
      </w:pPr>
    </w:p>
    <w:tbl>
      <w:tblPr>
        <w:tblStyle w:val="47"/>
        <w:tblW w:w="9541" w:type="dxa"/>
        <w:tblInd w:w="93" w:type="dxa"/>
        <w:tblLayout w:type="fixed"/>
        <w:tblCellMar>
          <w:top w:w="0" w:type="dxa"/>
          <w:left w:w="108" w:type="dxa"/>
          <w:bottom w:w="0" w:type="dxa"/>
          <w:right w:w="108" w:type="dxa"/>
        </w:tblCellMar>
      </w:tblPr>
      <w:tblGrid>
        <w:gridCol w:w="753"/>
        <w:gridCol w:w="1276"/>
        <w:gridCol w:w="7512"/>
      </w:tblGrid>
      <w:tr>
        <w:tblPrEx>
          <w:tblCellMar>
            <w:top w:w="0" w:type="dxa"/>
            <w:left w:w="108" w:type="dxa"/>
            <w:bottom w:w="0" w:type="dxa"/>
            <w:right w:w="108" w:type="dxa"/>
          </w:tblCellMar>
        </w:tblPrEx>
        <w:trPr>
          <w:trHeight w:val="285" w:hRule="atLeast"/>
        </w:trPr>
        <w:tc>
          <w:tcPr>
            <w:tcW w:w="9541"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auto"/>
              <w:rPr>
                <w:sz w:val="24"/>
                <w:szCs w:val="24"/>
              </w:rPr>
            </w:pPr>
            <w:r>
              <w:rPr>
                <w:rFonts w:hint="eastAsia"/>
                <w:sz w:val="24"/>
                <w:szCs w:val="24"/>
              </w:rPr>
              <w:t>商务条款要求</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合同签订时间</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自中标通知书发出之日起7日内。</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sz w:val="24"/>
                <w:szCs w:val="24"/>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▲交货时间及地点</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交货时间：自签订合同之日起</w:t>
            </w:r>
            <w:r>
              <w:rPr>
                <w:sz w:val="24"/>
                <w:szCs w:val="24"/>
                <w:u w:val="single"/>
              </w:rPr>
              <w:t>4</w:t>
            </w:r>
            <w:r>
              <w:rPr>
                <w:rFonts w:hint="eastAsia"/>
                <w:sz w:val="24"/>
                <w:szCs w:val="24"/>
                <w:u w:val="single"/>
              </w:rPr>
              <w:t>0</w:t>
            </w:r>
            <w:r>
              <w:rPr>
                <w:rFonts w:hint="eastAsia"/>
                <w:sz w:val="24"/>
                <w:szCs w:val="24"/>
              </w:rPr>
              <w:t>日历日内完成到货清点、安装联网、调试验收合格，交付采购人使用。</w:t>
            </w:r>
          </w:p>
          <w:p>
            <w:pPr>
              <w:spacing w:line="360" w:lineRule="auto"/>
              <w:rPr>
                <w:sz w:val="24"/>
                <w:szCs w:val="24"/>
              </w:rPr>
            </w:pPr>
            <w:r>
              <w:rPr>
                <w:rFonts w:hint="eastAsia"/>
                <w:sz w:val="24"/>
                <w:szCs w:val="24"/>
              </w:rPr>
              <w:t>交货地点：南宁市内采购人指定地点（广西经贸职业技术学五合校区）。</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▲货物验收</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1.货物供货时由采购人对照采购文件的《技术参数及性能（配置）要求》进行全面核对检验，对所有要求出具的文件和材料原件进行核查，如不符合采购文件要求或提供虚假承诺的，采购人有权拒绝验收并认定中标人违约，中标人承担所有责任和费用，采购人保留进一步追究责任的权利。</w:t>
            </w:r>
          </w:p>
          <w:p>
            <w:pPr>
              <w:spacing w:line="360" w:lineRule="auto"/>
              <w:rPr>
                <w:sz w:val="24"/>
                <w:szCs w:val="24"/>
              </w:rPr>
            </w:pPr>
            <w:r>
              <w:rPr>
                <w:rFonts w:hint="eastAsia"/>
                <w:sz w:val="24"/>
                <w:szCs w:val="24"/>
              </w:rPr>
              <w:t>2.货物安装部署，联网调试经过采购人验收合格后，签署验收报告。由中标人提供产品保修文件。</w:t>
            </w:r>
          </w:p>
          <w:p>
            <w:pPr>
              <w:spacing w:line="360" w:lineRule="auto"/>
              <w:rPr>
                <w:sz w:val="24"/>
                <w:szCs w:val="24"/>
              </w:rPr>
            </w:pPr>
            <w:r>
              <w:rPr>
                <w:rFonts w:hint="eastAsia"/>
                <w:sz w:val="24"/>
                <w:szCs w:val="24"/>
              </w:rPr>
              <w:t>3.当满足以下条件时，采购人才向供应商签发货物验收报告：</w:t>
            </w:r>
          </w:p>
          <w:p>
            <w:pPr>
              <w:spacing w:line="360" w:lineRule="auto"/>
              <w:rPr>
                <w:sz w:val="24"/>
                <w:szCs w:val="24"/>
              </w:rPr>
            </w:pPr>
            <w:r>
              <w:rPr>
                <w:rFonts w:hint="eastAsia"/>
                <w:sz w:val="24"/>
                <w:szCs w:val="24"/>
              </w:rPr>
              <w:t>（1）中标人已按照合同规定提供了全部产品及完整的技术资料。</w:t>
            </w:r>
          </w:p>
          <w:p>
            <w:pPr>
              <w:spacing w:line="360" w:lineRule="auto"/>
              <w:rPr>
                <w:sz w:val="24"/>
                <w:szCs w:val="24"/>
              </w:rPr>
            </w:pPr>
            <w:r>
              <w:rPr>
                <w:rFonts w:hint="eastAsia"/>
                <w:sz w:val="24"/>
                <w:szCs w:val="24"/>
              </w:rPr>
              <w:t>（2）货物各项参数完全符合《技术参数及性能（配置）要求》的要求，性能满足要求。</w:t>
            </w:r>
          </w:p>
          <w:p>
            <w:pPr>
              <w:spacing w:line="360" w:lineRule="auto"/>
              <w:rPr>
                <w:sz w:val="24"/>
                <w:szCs w:val="24"/>
              </w:rPr>
            </w:pPr>
            <w:r>
              <w:rPr>
                <w:rFonts w:hint="eastAsia"/>
                <w:sz w:val="24"/>
                <w:szCs w:val="24"/>
              </w:rPr>
              <w:t>（3）中标人负责安装、调试（测试），并完成采购人的使用操作培训。</w:t>
            </w:r>
          </w:p>
          <w:p>
            <w:pPr>
              <w:spacing w:line="360" w:lineRule="auto"/>
              <w:rPr>
                <w:sz w:val="24"/>
                <w:szCs w:val="24"/>
              </w:rPr>
            </w:pPr>
            <w:r>
              <w:rPr>
                <w:rFonts w:hint="eastAsia"/>
                <w:sz w:val="24"/>
                <w:szCs w:val="24"/>
              </w:rPr>
              <w:t>（4）中标人已提交完整的技术资料、安装图纸等等验收文件材料给采购人。</w:t>
            </w:r>
          </w:p>
          <w:p>
            <w:pPr>
              <w:spacing w:line="360" w:lineRule="auto"/>
              <w:rPr>
                <w:sz w:val="24"/>
                <w:szCs w:val="24"/>
              </w:rPr>
            </w:pPr>
            <w:r>
              <w:rPr>
                <w:rFonts w:hint="eastAsia"/>
                <w:sz w:val="24"/>
                <w:szCs w:val="24"/>
              </w:rPr>
              <w:t>4.设备安装部署、联网及验收过程中所产生的一切费用均包含在投标报价及合同金额中，由中标人承担一切验收费用。</w:t>
            </w:r>
          </w:p>
          <w:p>
            <w:pPr>
              <w:spacing w:line="360" w:lineRule="auto"/>
              <w:rPr>
                <w:sz w:val="24"/>
                <w:szCs w:val="24"/>
              </w:rPr>
            </w:pPr>
            <w:r>
              <w:rPr>
                <w:rFonts w:hint="eastAsia"/>
                <w:sz w:val="24"/>
                <w:szCs w:val="24"/>
              </w:rPr>
              <w:t>5.本项目须严格执行国家、地方及行业相关验收标准及规范。</w:t>
            </w:r>
          </w:p>
          <w:p>
            <w:pPr>
              <w:spacing w:line="360" w:lineRule="auto"/>
              <w:rPr>
                <w:sz w:val="24"/>
                <w:szCs w:val="24"/>
              </w:rPr>
            </w:pPr>
            <w:r>
              <w:rPr>
                <w:rFonts w:hint="eastAsia"/>
                <w:sz w:val="24"/>
                <w:szCs w:val="24"/>
              </w:rPr>
              <w:t>6.提供的设备均要求出厂日期至合同签订日，不得超过6个月。因产品特性原因，个别产品超过6个月的，须取得采购人书面同意。</w:t>
            </w:r>
          </w:p>
          <w:p>
            <w:pPr>
              <w:spacing w:line="360" w:lineRule="auto"/>
              <w:rPr>
                <w:sz w:val="24"/>
                <w:szCs w:val="24"/>
              </w:rPr>
            </w:pPr>
            <w:r>
              <w:rPr>
                <w:sz w:val="24"/>
                <w:szCs w:val="24"/>
              </w:rPr>
              <w:t>7.</w:t>
            </w:r>
            <w:r>
              <w:rPr>
                <w:rFonts w:hint="eastAsia"/>
                <w:sz w:val="24"/>
                <w:szCs w:val="24"/>
              </w:rPr>
              <w:t>中标产品不能涉及任何法律纠纷。</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▲质量保证和售后要求</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1.负责送货上门、负责提供产品原厂工程师现场安装、安装调试服务、负责技术培训和36个月远程服务。</w:t>
            </w:r>
          </w:p>
          <w:p>
            <w:pPr>
              <w:spacing w:line="360" w:lineRule="auto"/>
              <w:rPr>
                <w:sz w:val="24"/>
                <w:szCs w:val="24"/>
              </w:rPr>
            </w:pPr>
            <w:r>
              <w:rPr>
                <w:rFonts w:hint="eastAsia"/>
                <w:sz w:val="24"/>
                <w:szCs w:val="24"/>
              </w:rPr>
              <w:t>2.按国家有关产品“三包”规定执行“三包”政策，提供原厂质量保证期≥</w:t>
            </w:r>
            <w:r>
              <w:rPr>
                <w:sz w:val="24"/>
                <w:szCs w:val="24"/>
              </w:rPr>
              <w:t>3</w:t>
            </w:r>
            <w:r>
              <w:rPr>
                <w:rFonts w:hint="eastAsia"/>
                <w:sz w:val="24"/>
                <w:szCs w:val="24"/>
              </w:rPr>
              <w:t>年（分项货物或配置有明确要求的按分项要求；生产厂家承诺的质量保证期更长的按生产厂家的承诺），交货经采购人验收合格之日起计。</w:t>
            </w:r>
          </w:p>
          <w:p>
            <w:pPr>
              <w:spacing w:line="360" w:lineRule="auto"/>
              <w:rPr>
                <w:sz w:val="24"/>
                <w:szCs w:val="24"/>
              </w:rPr>
            </w:pPr>
            <w:r>
              <w:rPr>
                <w:rFonts w:hint="eastAsia"/>
                <w:sz w:val="24"/>
                <w:szCs w:val="24"/>
              </w:rPr>
              <w:t>3.</w:t>
            </w:r>
            <w:r>
              <w:rPr>
                <w:rFonts w:hint="eastAsia"/>
                <w:kern w:val="0"/>
                <w:sz w:val="24"/>
                <w:szCs w:val="24"/>
              </w:rPr>
              <w:t>在质量保证期，</w:t>
            </w:r>
            <w:r>
              <w:rPr>
                <w:rFonts w:hint="eastAsia"/>
                <w:sz w:val="24"/>
                <w:szCs w:val="24"/>
              </w:rPr>
              <w:t>由中标人</w:t>
            </w:r>
            <w:r>
              <w:rPr>
                <w:rFonts w:hint="eastAsia"/>
                <w:kern w:val="0"/>
                <w:sz w:val="24"/>
                <w:szCs w:val="24"/>
              </w:rPr>
              <w:t>对出现的</w:t>
            </w:r>
            <w:r>
              <w:rPr>
                <w:rFonts w:hint="eastAsia"/>
                <w:sz w:val="24"/>
                <w:szCs w:val="24"/>
              </w:rPr>
              <w:t>任何故障及损失免费维修、更换配件，并负责对供应货物进行软件更新升级、系统维护和远程服务。</w:t>
            </w:r>
          </w:p>
          <w:p>
            <w:pPr>
              <w:spacing w:line="360" w:lineRule="auto"/>
              <w:rPr>
                <w:sz w:val="24"/>
                <w:szCs w:val="24"/>
              </w:rPr>
            </w:pPr>
            <w:r>
              <w:rPr>
                <w:rFonts w:hint="eastAsia"/>
                <w:sz w:val="24"/>
                <w:szCs w:val="24"/>
              </w:rPr>
              <w:t>4.质量保证期内因设备性能故障检修三次次仍不能正常使用的，由中标人无偿更换新设备。</w:t>
            </w:r>
          </w:p>
          <w:p>
            <w:pPr>
              <w:spacing w:line="360" w:lineRule="auto"/>
              <w:rPr>
                <w:sz w:val="24"/>
                <w:szCs w:val="24"/>
              </w:rPr>
            </w:pPr>
            <w:r>
              <w:rPr>
                <w:rFonts w:hint="eastAsia"/>
                <w:sz w:val="24"/>
                <w:szCs w:val="24"/>
              </w:rPr>
              <w:t>5.维修响应：售后服务要求7天×8小时工作制，中标人在接到用户维修电话后1小时内响应，3小时内到达现场处理，一般情况下24小时内恢复正常使用。若不能修复须有合理应对方案。</w:t>
            </w:r>
          </w:p>
          <w:p>
            <w:pPr>
              <w:spacing w:line="360" w:lineRule="auto"/>
              <w:rPr>
                <w:sz w:val="24"/>
                <w:szCs w:val="24"/>
              </w:rPr>
            </w:pPr>
            <w:r>
              <w:rPr>
                <w:rFonts w:hint="eastAsia"/>
                <w:sz w:val="24"/>
                <w:szCs w:val="24"/>
              </w:rPr>
              <w:t>6.质量保证期满后，终身维护并提供远程技术协助服务，且以市场最优惠价格提供上门维修和备件更换、软件更新升级，且承诺为用户提供终身技术咨询服务。</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▲履约保证金收取及退付</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1.履约保证金金额：中标人为中小微企业的，履约保证金为合同金额的2%，中标人为大型企业的履约保证金为合同金额的3%（以投标文件中提交的中小企业声明函为依据）；签订合同前交至指定账户，否则不予签订合同。</w:t>
            </w:r>
          </w:p>
          <w:p>
            <w:pPr>
              <w:spacing w:line="360" w:lineRule="auto"/>
              <w:rPr>
                <w:sz w:val="24"/>
                <w:szCs w:val="24"/>
              </w:rPr>
            </w:pPr>
            <w:r>
              <w:rPr>
                <w:rFonts w:hint="eastAsia"/>
                <w:sz w:val="24"/>
                <w:szCs w:val="24"/>
              </w:rPr>
              <w:t>2.履约保证金递交方式：中标人应在成交公告发布后5日内，合同签订之前以银行转账、支票、汇票、本票或者金融、担保机构出具的保函等非现金方式提交；如果中标人在规定的合同签订时间内没有按照招标文件的规定交纳履约保证金，且无正当理由的，将视为放弃签订合同，中标人须承担相应的法律责任。凭履约保证金缴纳凭证签订合同。</w:t>
            </w:r>
          </w:p>
          <w:p>
            <w:pPr>
              <w:spacing w:line="360" w:lineRule="auto"/>
              <w:rPr>
                <w:sz w:val="24"/>
                <w:szCs w:val="24"/>
              </w:rPr>
            </w:pPr>
            <w:r>
              <w:rPr>
                <w:rFonts w:hint="eastAsia"/>
                <w:sz w:val="24"/>
                <w:szCs w:val="24"/>
              </w:rPr>
              <w:t>3.履约保证金退付方式、时间及条件：中标人若不能完全履行合同，履约保证金不予退还；中标人能完全履行合同 全部义务后采购人于五个工作日内无息退还。</w:t>
            </w:r>
          </w:p>
          <w:p>
            <w:pPr>
              <w:spacing w:line="360" w:lineRule="auto"/>
              <w:rPr>
                <w:sz w:val="24"/>
                <w:szCs w:val="24"/>
              </w:rPr>
            </w:pPr>
            <w:r>
              <w:rPr>
                <w:rFonts w:hint="eastAsia"/>
                <w:sz w:val="24"/>
                <w:szCs w:val="24"/>
              </w:rPr>
              <w:t>履约保证金不予退还情况，包括但不限于。</w:t>
            </w:r>
          </w:p>
          <w:p>
            <w:pPr>
              <w:spacing w:line="360" w:lineRule="auto"/>
              <w:rPr>
                <w:sz w:val="24"/>
                <w:szCs w:val="24"/>
              </w:rPr>
            </w:pPr>
            <w:r>
              <w:rPr>
                <w:rFonts w:hint="eastAsia"/>
                <w:sz w:val="24"/>
                <w:szCs w:val="24"/>
              </w:rPr>
              <w:t>（1）供应商不按文件要求签订合同的。</w:t>
            </w:r>
          </w:p>
          <w:p>
            <w:pPr>
              <w:spacing w:line="360" w:lineRule="auto"/>
              <w:rPr>
                <w:sz w:val="24"/>
                <w:szCs w:val="24"/>
              </w:rPr>
            </w:pPr>
            <w:r>
              <w:rPr>
                <w:rFonts w:hint="eastAsia"/>
                <w:sz w:val="24"/>
                <w:szCs w:val="24"/>
              </w:rPr>
              <w:t>（2）若验收结果不合格的，履约保证金将不予退还，并按合同约定处理，还可能会报告本项目同级财政部门并按照政府采购法律法规及有关规定给予行政处罚或者以失信行为记入诚信档案。</w:t>
            </w:r>
          </w:p>
          <w:p>
            <w:pPr>
              <w:spacing w:line="360" w:lineRule="auto"/>
              <w:rPr>
                <w:sz w:val="24"/>
                <w:szCs w:val="24"/>
              </w:rPr>
            </w:pPr>
            <w:r>
              <w:rPr>
                <w:rFonts w:hint="eastAsia"/>
                <w:sz w:val="24"/>
                <w:szCs w:val="24"/>
              </w:rPr>
              <w:t>（3）中标人不履行合同约定的义务或其履行不符合合同的约定，采购人有权扣划全部或相应金额的履约保证金。</w:t>
            </w:r>
          </w:p>
          <w:p>
            <w:pPr>
              <w:spacing w:line="360" w:lineRule="auto"/>
              <w:rPr>
                <w:sz w:val="24"/>
                <w:szCs w:val="24"/>
              </w:rPr>
            </w:pPr>
            <w:r>
              <w:rPr>
                <w:rFonts w:hint="eastAsia"/>
                <w:sz w:val="24"/>
                <w:szCs w:val="24"/>
              </w:rPr>
              <w:t>（4）中标人申请退还履约保证金的，应提供《广西壮族自治区政府采购项目合同验收书》及《政府采购项目履约保证金退付意见书》，采购人在收到合格材料后5个工作日内办理退还手续（不计利息）。</w:t>
            </w:r>
          </w:p>
          <w:p>
            <w:pPr>
              <w:spacing w:line="360" w:lineRule="auto"/>
              <w:rPr>
                <w:sz w:val="24"/>
                <w:szCs w:val="24"/>
              </w:rPr>
            </w:pPr>
            <w:r>
              <w:rPr>
                <w:rFonts w:hint="eastAsia"/>
                <w:sz w:val="24"/>
                <w:szCs w:val="24"/>
              </w:rPr>
              <w:t>（5）履约保证金指定账户：</w:t>
            </w:r>
          </w:p>
          <w:p>
            <w:pPr>
              <w:spacing w:line="360" w:lineRule="auto"/>
              <w:rPr>
                <w:sz w:val="24"/>
                <w:szCs w:val="24"/>
              </w:rPr>
            </w:pPr>
            <w:r>
              <w:rPr>
                <w:rFonts w:hint="eastAsia"/>
                <w:sz w:val="24"/>
                <w:szCs w:val="24"/>
              </w:rPr>
              <w:t>开户名称：广西经贸职业技术学院；</w:t>
            </w:r>
          </w:p>
          <w:p>
            <w:pPr>
              <w:spacing w:line="360" w:lineRule="auto"/>
              <w:rPr>
                <w:sz w:val="24"/>
                <w:szCs w:val="24"/>
              </w:rPr>
            </w:pPr>
            <w:r>
              <w:rPr>
                <w:rFonts w:hint="eastAsia"/>
                <w:sz w:val="24"/>
                <w:szCs w:val="24"/>
              </w:rPr>
              <w:t>开户银行：中国建设银行南宁青山路支行；</w:t>
            </w:r>
          </w:p>
          <w:p>
            <w:pPr>
              <w:spacing w:line="360" w:lineRule="auto"/>
              <w:rPr>
                <w:sz w:val="24"/>
                <w:szCs w:val="24"/>
              </w:rPr>
            </w:pPr>
            <w:r>
              <w:rPr>
                <w:rFonts w:hint="eastAsia"/>
                <w:sz w:val="24"/>
                <w:szCs w:val="24"/>
              </w:rPr>
              <w:t>银行账号：45001604556050701379；</w:t>
            </w:r>
          </w:p>
          <w:p>
            <w:pPr>
              <w:spacing w:line="360" w:lineRule="auto"/>
              <w:rPr>
                <w:sz w:val="24"/>
                <w:szCs w:val="24"/>
              </w:rPr>
            </w:pPr>
            <w:r>
              <w:rPr>
                <w:rFonts w:hint="eastAsia"/>
                <w:sz w:val="24"/>
                <w:szCs w:val="24"/>
              </w:rPr>
              <w:t>4.履约保证金不足额缴纳的，或保函额度不足的或者保函有效期低于合同履行期限（即签订采购合同之日起至履行完合同约定的权利及义务之日止，含质保）的，不予签订合同。且采用保函的，必须为无条件的保函，否则不予签订合同。</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▲付款方式</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1.项目分两次付款：</w:t>
            </w:r>
          </w:p>
          <w:p>
            <w:pPr>
              <w:spacing w:line="360" w:lineRule="auto"/>
              <w:rPr>
                <w:sz w:val="24"/>
                <w:szCs w:val="24"/>
              </w:rPr>
            </w:pPr>
            <w:r>
              <w:rPr>
                <w:rFonts w:hint="eastAsia"/>
                <w:sz w:val="24"/>
                <w:szCs w:val="24"/>
              </w:rPr>
              <w:t>第一次付款：合同签订生效，且招标人收到中标人履约保证支付凭证及预付款保函后10个工作日内支付30％合同款。</w:t>
            </w:r>
          </w:p>
          <w:p>
            <w:pPr>
              <w:spacing w:line="360" w:lineRule="auto"/>
              <w:rPr>
                <w:sz w:val="24"/>
                <w:szCs w:val="24"/>
              </w:rPr>
            </w:pPr>
            <w:r>
              <w:rPr>
                <w:rFonts w:hint="eastAsia"/>
                <w:sz w:val="24"/>
                <w:szCs w:val="24"/>
              </w:rPr>
              <w:t>第二期付款：项目整体验收合格后10个工作日内支付剩余合同款。</w:t>
            </w:r>
          </w:p>
          <w:p>
            <w:pPr>
              <w:spacing w:line="360" w:lineRule="auto"/>
              <w:rPr>
                <w:sz w:val="24"/>
                <w:szCs w:val="24"/>
              </w:rPr>
            </w:pPr>
            <w:r>
              <w:rPr>
                <w:rFonts w:hint="eastAsia"/>
                <w:sz w:val="24"/>
                <w:szCs w:val="24"/>
              </w:rPr>
              <w:t>2.票据要求：采购人付款前，中标人必须按照采购合同要求提供真实、有效、合法的等额正式发票，发票内不能打印明细的，需提供《销售货物或者应税劳务》；清单不在中标人经营范围的，需提供中标人委托具备相应资质或经营范围的第三方为本项目履约的协议。供应商未提供发票的，采购人的付款义务顺延，且不承担延迟付款的相关责任。同时，一旦发现中标人提供虚假发票，除须向采购人补开合法发票外，中标人应支付采购人发票票面金额一倍的违约金，且采购人有权终止合同，供应商不得提出异议，因终止合同而产生的一切损失均由供应商承担。</w:t>
            </w:r>
          </w:p>
          <w:p>
            <w:pPr>
              <w:spacing w:line="360" w:lineRule="auto"/>
              <w:rPr>
                <w:sz w:val="24"/>
                <w:szCs w:val="24"/>
              </w:rPr>
            </w:pPr>
            <w:r>
              <w:rPr>
                <w:rFonts w:hint="eastAsia"/>
                <w:sz w:val="24"/>
                <w:szCs w:val="24"/>
              </w:rPr>
              <w:t>3.预付款保函要求。预付款支付前，中标人应向采购人提供由金融机构或保险机构或担保机构出具的与预付款等额且期限在3个月以上的无条件预付款保函，中标人未按要求提供预付款保函的采购人付款义务顺延，且不承担延迟付款的相关责任。</w:t>
            </w:r>
          </w:p>
          <w:p>
            <w:pPr>
              <w:spacing w:line="360" w:lineRule="auto"/>
              <w:rPr>
                <w:sz w:val="24"/>
                <w:szCs w:val="24"/>
              </w:rPr>
            </w:pPr>
            <w:r>
              <w:rPr>
                <w:rFonts w:hint="eastAsia"/>
                <w:sz w:val="24"/>
                <w:szCs w:val="24"/>
              </w:rPr>
              <w:t>（在签订合同时，中标人明确表示无需预付款的则无需提供）</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▲其他要求</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1.要求供货产品是全新的、未经改装的、合格的、满足本项目技术需求的货物。所有零部件、配件必须是未经使用的全新的并符合国家有关质量安全标准的产品。中标人负责提供设备使用培训、操作技能训练等；提供相关设备说明书、管理和配置指南手册、使用手册和故障定位/排除指南手册等。</w:t>
            </w:r>
          </w:p>
          <w:p>
            <w:pPr>
              <w:spacing w:line="360" w:lineRule="auto"/>
              <w:rPr>
                <w:sz w:val="24"/>
                <w:szCs w:val="24"/>
              </w:rPr>
            </w:pPr>
            <w:r>
              <w:rPr>
                <w:rFonts w:hint="eastAsia"/>
                <w:sz w:val="24"/>
                <w:szCs w:val="24"/>
              </w:rPr>
              <w:t>2.本项目实行总价包干制，投标报价包含设备、随配附件、备品备件、辅助材料、工具、运抵指定交货地点、材料运输及人工搬运费、安装调试、配套施工及场地恢复、垃圾清理及排放、完工清场保洁、保险、培训、检测及验收等等的各种费用和售后服务、人工费、税费及其他所有成本费用的总和。合同履行过程中，采购人不再支付合同以外的其他费用。</w:t>
            </w:r>
          </w:p>
          <w:p>
            <w:pPr>
              <w:spacing w:line="360" w:lineRule="auto"/>
              <w:rPr>
                <w:sz w:val="24"/>
                <w:szCs w:val="24"/>
              </w:rPr>
            </w:pPr>
            <w:r>
              <w:rPr>
                <w:rFonts w:hint="eastAsia"/>
                <w:sz w:val="24"/>
                <w:szCs w:val="24"/>
              </w:rPr>
              <w:t>3.本项目在交付安装过程涉及与广西经贸职业技术学院五合新校区建设项目工程总承包方（中铁建设集团有限公司）的交叉施工、配合施工等工作，投标人投标时应充分考虑，并自行与总承包方协商解决；交付安装、施工配合费、水电费、电梯使用费等相关费用包含在投标报价中，由中标人承担。具体金额由中标人与工程总承包方（中铁建设集团有限公司）协商确定。</w:t>
            </w:r>
          </w:p>
          <w:p>
            <w:pPr>
              <w:spacing w:line="360" w:lineRule="auto"/>
              <w:rPr>
                <w:sz w:val="24"/>
                <w:szCs w:val="24"/>
              </w:rPr>
            </w:pPr>
            <w:r>
              <w:rPr>
                <w:rFonts w:hint="eastAsia"/>
                <w:sz w:val="24"/>
                <w:szCs w:val="24"/>
              </w:rPr>
              <w:t>4.安全文明施工保证金按合同金额2%，由中标人向工程总承包方（中铁建设集团有限公司）交纳，项目安装完成后，检查复核完毕没有问题或者损坏工作修复完毕，由总承包方无息退还。</w:t>
            </w:r>
          </w:p>
          <w:p>
            <w:pPr>
              <w:spacing w:line="360" w:lineRule="auto"/>
              <w:rPr>
                <w:sz w:val="24"/>
                <w:szCs w:val="24"/>
              </w:rPr>
            </w:pPr>
            <w:r>
              <w:rPr>
                <w:rFonts w:hint="eastAsia"/>
                <w:sz w:val="24"/>
                <w:szCs w:val="24"/>
              </w:rPr>
              <w:t>5.中标人承担货物交付验收前的作业工人人身、设备安全责任；验收前，如果设备丢失、因投标人自身原因及第三人原因导致损坏，中标人自行负责并承担不能交付货物的责任。</w:t>
            </w:r>
          </w:p>
          <w:p>
            <w:pPr>
              <w:spacing w:line="360" w:lineRule="auto"/>
              <w:rPr>
                <w:sz w:val="24"/>
                <w:szCs w:val="24"/>
              </w:rPr>
            </w:pPr>
            <w:r>
              <w:rPr>
                <w:rFonts w:hint="eastAsia"/>
                <w:sz w:val="24"/>
                <w:szCs w:val="24"/>
              </w:rPr>
              <w:t>6.本项目货物不接受进口产品（即通过中国海关报关验放进入中国境内且产自关境外的产品）参与投标，如有此类产品参与投标的按无效标处理。</w:t>
            </w:r>
          </w:p>
          <w:p>
            <w:pPr>
              <w:spacing w:line="360" w:lineRule="auto"/>
              <w:rPr>
                <w:sz w:val="24"/>
                <w:szCs w:val="24"/>
              </w:rPr>
            </w:pPr>
            <w:r>
              <w:rPr>
                <w:rFonts w:hint="eastAsia"/>
                <w:sz w:val="24"/>
                <w:szCs w:val="24"/>
              </w:rPr>
              <w:t>7.本项目中，如发生不可避免的装修工程等，中标人不具备相应资质的，必须报采购人审核同意后委托具有相应资质的单位实施，委托合同报采购人备案。否则相应部分不予验收。</w:t>
            </w:r>
          </w:p>
          <w:p>
            <w:pPr>
              <w:spacing w:line="360" w:lineRule="auto"/>
              <w:rPr>
                <w:sz w:val="24"/>
                <w:szCs w:val="24"/>
              </w:rPr>
            </w:pPr>
            <w:r>
              <w:rPr>
                <w:rFonts w:hint="eastAsia"/>
                <w:sz w:val="24"/>
                <w:szCs w:val="24"/>
              </w:rPr>
              <w:t>8.投标人的投标报价不能超过项目的预算，且各分项的报价也不能超过该分项的预算，否则投标无效。</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▲核心产品</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本项目一、校园网内容第2项：核心交换机</w:t>
            </w:r>
          </w:p>
          <w:p>
            <w:pPr>
              <w:spacing w:line="360" w:lineRule="auto"/>
              <w:rPr>
                <w:rFonts w:ascii="宋体" w:hAnsi="宋体"/>
                <w:sz w:val="24"/>
                <w:szCs w:val="24"/>
              </w:rPr>
            </w:pPr>
            <w:r>
              <w:rPr>
                <w:rFonts w:hint="eastAsia" w:ascii="宋体" w:hAnsi="宋体"/>
                <w:sz w:val="24"/>
                <w:szCs w:val="24"/>
              </w:rPr>
              <w:t>为保证产品兼容及统一运维管理，要求清单中4台核心交换机、汇聚交换机(第3项)、8口POE 交换机(第16项)以上3项设备必须为同一品牌产品。</w:t>
            </w:r>
          </w:p>
          <w:p>
            <w:pPr>
              <w:pStyle w:val="2"/>
              <w:spacing w:line="360" w:lineRule="auto"/>
              <w:ind w:firstLine="0" w:firstLineChars="0"/>
              <w:rPr>
                <w:sz w:val="24"/>
                <w:szCs w:val="24"/>
              </w:rPr>
            </w:pPr>
            <w:r>
              <w:rPr>
                <w:rFonts w:hint="eastAsia" w:ascii="宋体" w:hAnsi="宋体"/>
                <w:sz w:val="24"/>
                <w:szCs w:val="24"/>
              </w:rPr>
              <w:t>为保证产品效果、原装产品兼容性、正规供货渠道及售后保障服务，要求供货时提供核心产品制造商针对本项目的供货证明和售后服务承诺函原件</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现场考察</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1、投标人可到采购人现场进行现场考察，充分了解项目情况，否则导致投标失误由投标人自行承担。</w:t>
            </w:r>
          </w:p>
          <w:p>
            <w:pPr>
              <w:spacing w:line="360" w:lineRule="auto"/>
              <w:rPr>
                <w:sz w:val="24"/>
                <w:szCs w:val="24"/>
              </w:rPr>
            </w:pPr>
            <w:r>
              <w:rPr>
                <w:rFonts w:hint="eastAsia"/>
                <w:sz w:val="24"/>
                <w:szCs w:val="24"/>
              </w:rPr>
              <w:t>2、考察时间：2024年7月</w:t>
            </w:r>
            <w:r>
              <w:rPr>
                <w:rFonts w:hint="eastAsia"/>
                <w:sz w:val="24"/>
                <w:szCs w:val="24"/>
                <w:lang w:val="en-US" w:eastAsia="zh-CN"/>
              </w:rPr>
              <w:t>8</w:t>
            </w:r>
            <w:r>
              <w:rPr>
                <w:rFonts w:hint="eastAsia"/>
                <w:sz w:val="24"/>
                <w:szCs w:val="24"/>
              </w:rPr>
              <w:t>日上午</w:t>
            </w:r>
            <w:r>
              <w:rPr>
                <w:sz w:val="24"/>
                <w:szCs w:val="24"/>
              </w:rPr>
              <w:t>10</w:t>
            </w:r>
            <w:r>
              <w:rPr>
                <w:rFonts w:hint="eastAsia"/>
                <w:sz w:val="24"/>
                <w:szCs w:val="24"/>
              </w:rPr>
              <w:t>开始，由采购人代表带领潜在投标人对实地进行考察，逾时不候。</w:t>
            </w:r>
          </w:p>
          <w:p>
            <w:pPr>
              <w:spacing w:line="360" w:lineRule="auto"/>
              <w:rPr>
                <w:sz w:val="24"/>
                <w:szCs w:val="24"/>
              </w:rPr>
            </w:pPr>
            <w:r>
              <w:rPr>
                <w:rFonts w:hint="eastAsia"/>
                <w:sz w:val="24"/>
                <w:szCs w:val="24"/>
              </w:rPr>
              <w:t>3、集中地点：南宁市青秀区上洲路</w:t>
            </w:r>
            <w:r>
              <w:rPr>
                <w:sz w:val="24"/>
                <w:szCs w:val="24"/>
              </w:rPr>
              <w:t>8号广西经贸职业技术学院五合校区</w:t>
            </w:r>
            <w:r>
              <w:rPr>
                <w:rFonts w:hint="eastAsia"/>
                <w:sz w:val="24"/>
                <w:szCs w:val="24"/>
              </w:rPr>
              <w:t>；</w:t>
            </w:r>
          </w:p>
          <w:p>
            <w:pPr>
              <w:spacing w:line="360" w:lineRule="auto"/>
              <w:rPr>
                <w:sz w:val="24"/>
                <w:szCs w:val="24"/>
              </w:rPr>
            </w:pPr>
            <w:r>
              <w:rPr>
                <w:rFonts w:hint="eastAsia"/>
                <w:sz w:val="24"/>
                <w:szCs w:val="24"/>
              </w:rPr>
              <w:t xml:space="preserve">4、联系人：黄老师 ，联系电话：15078899130 </w:t>
            </w:r>
          </w:p>
          <w:p>
            <w:pPr>
              <w:spacing w:line="360" w:lineRule="auto"/>
              <w:rPr>
                <w:sz w:val="24"/>
                <w:szCs w:val="24"/>
              </w:rPr>
            </w:pPr>
            <w:r>
              <w:rPr>
                <w:rFonts w:hint="eastAsia"/>
                <w:sz w:val="24"/>
                <w:szCs w:val="24"/>
              </w:rPr>
              <w:t>5、现场考察为自愿且匿名原则，考察人员自带安全帽，安全及产生的一切费用由潜在投标人自行承担。</w:t>
            </w:r>
          </w:p>
        </w:tc>
      </w:tr>
      <w:tr>
        <w:tblPrEx>
          <w:tblCellMar>
            <w:top w:w="0" w:type="dxa"/>
            <w:left w:w="108" w:type="dxa"/>
            <w:bottom w:w="0" w:type="dxa"/>
            <w:right w:w="108" w:type="dxa"/>
          </w:tblCellMar>
        </w:tblPrEx>
        <w:trPr>
          <w:trHeight w:val="285"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sz w:val="24"/>
                <w:szCs w:val="24"/>
              </w:rPr>
            </w:pPr>
            <w:r>
              <w:rPr>
                <w:rFonts w:hint="eastAsia"/>
                <w:sz w:val="24"/>
                <w:szCs w:val="24"/>
              </w:rPr>
              <w:t>其他资料</w:t>
            </w:r>
          </w:p>
        </w:tc>
        <w:tc>
          <w:tcPr>
            <w:tcW w:w="7512"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rFonts w:hint="eastAsia"/>
                <w:sz w:val="24"/>
                <w:szCs w:val="24"/>
              </w:rPr>
              <w:t>投标人在本项目招标公告指定时间内在广西政府采购云平台正式获取本项目采购文件后，由采购代理机构将本项目相关图纸资料及标准API接口文档发送到投标人预留在广西政府采购云平台的电子邮箱。</w:t>
            </w:r>
          </w:p>
        </w:tc>
      </w:tr>
    </w:tbl>
    <w:p>
      <w:pPr>
        <w:rPr>
          <w:rFonts w:ascii="宋体" w:hAnsi="宋体" w:cs="宋体"/>
          <w:kern w:val="0"/>
          <w:sz w:val="24"/>
        </w:rPr>
      </w:pPr>
    </w:p>
    <w:p>
      <w:pPr>
        <w:pStyle w:val="56"/>
        <w:ind w:firstLine="480"/>
      </w:pPr>
    </w:p>
    <w:p>
      <w:pPr>
        <w:widowControl/>
        <w:jc w:val="center"/>
        <w:rPr>
          <w:rFonts w:ascii="宋体" w:hAnsi="宋体" w:cs="宋体"/>
          <w:kern w:val="0"/>
          <w:sz w:val="24"/>
        </w:rPr>
      </w:pPr>
      <w:r>
        <w:rPr>
          <w:rFonts w:hint="eastAsia" w:ascii="宋体" w:hAnsi="宋体" w:cs="宋体"/>
          <w:kern w:val="0"/>
          <w:sz w:val="24"/>
        </w:rPr>
        <w:br w:type="page"/>
      </w:r>
    </w:p>
    <w:bookmarkEnd w:id="39"/>
    <w:bookmarkEnd w:id="40"/>
    <w:p>
      <w:pPr>
        <w:spacing w:line="428" w:lineRule="exact"/>
        <w:ind w:left="119" w:firstLine="482"/>
        <w:rPr>
          <w:rFonts w:ascii="Arial Unicode MS" w:hAnsi="Arial Unicode MS" w:eastAsia="Arial Unicode MS" w:cs="Arial Unicode MS"/>
          <w:sz w:val="32"/>
          <w:szCs w:val="32"/>
        </w:rPr>
      </w:pPr>
      <w:bookmarkStart w:id="41" w:name="_Toc74320802"/>
      <w:r>
        <w:rPr>
          <w:rFonts w:hAnsi="宋体"/>
        </w:rPr>
        <w:t xml:space="preserve"> </w:t>
      </w:r>
      <w:r>
        <w:rPr>
          <w:rFonts w:hint="eastAsia" w:ascii="微软雅黑" w:hAnsi="微软雅黑" w:eastAsia="微软雅黑" w:cs="微软雅黑"/>
          <w:sz w:val="32"/>
          <w:szCs w:val="32"/>
        </w:rPr>
        <w:t>附件</w:t>
      </w:r>
      <w:r>
        <w:rPr>
          <w:rFonts w:ascii="Arial Unicode MS" w:hAnsi="Arial Unicode MS" w:eastAsia="Arial Unicode MS" w:cs="Arial Unicode MS"/>
          <w:sz w:val="32"/>
          <w:szCs w:val="32"/>
        </w:rPr>
        <w:t>1</w:t>
      </w:r>
      <w:r>
        <w:rPr>
          <w:rFonts w:hint="eastAsia" w:ascii="微软雅黑" w:hAnsi="微软雅黑" w:eastAsia="微软雅黑" w:cs="微软雅黑"/>
          <w:sz w:val="32"/>
          <w:szCs w:val="32"/>
        </w:rPr>
        <w:t>：</w:t>
      </w:r>
    </w:p>
    <w:p>
      <w:pPr>
        <w:spacing w:before="165"/>
        <w:ind w:firstLine="340"/>
        <w:rPr>
          <w:rFonts w:ascii="Arial Unicode MS" w:hAnsi="Arial Unicode MS" w:eastAsia="Arial Unicode MS" w:cs="Arial Unicode MS"/>
          <w:sz w:val="17"/>
          <w:szCs w:val="17"/>
        </w:rPr>
      </w:pPr>
    </w:p>
    <w:p>
      <w:pPr>
        <w:spacing w:line="528" w:lineRule="exact"/>
        <w:ind w:left="220" w:firstLine="720"/>
        <w:jc w:val="center"/>
        <w:rPr>
          <w:rFonts w:ascii="宋体" w:hAnsi="宋体" w:cs="宋体"/>
          <w:b/>
          <w:bCs/>
          <w:sz w:val="36"/>
          <w:szCs w:val="36"/>
        </w:rPr>
      </w:pPr>
      <w:r>
        <w:rPr>
          <w:rFonts w:hint="eastAsia" w:ascii="宋体" w:hAnsi="宋体" w:cs="宋体"/>
          <w:b/>
          <w:bCs/>
          <w:sz w:val="36"/>
          <w:szCs w:val="36"/>
        </w:rPr>
        <w:t>节能产品政府采购品目清单</w:t>
      </w:r>
    </w:p>
    <w:tbl>
      <w:tblPr>
        <w:tblStyle w:val="47"/>
        <w:tblW w:w="9623" w:type="dxa"/>
        <w:tblInd w:w="93" w:type="dxa"/>
        <w:tblLayout w:type="fixed"/>
        <w:tblCellMar>
          <w:top w:w="0" w:type="dxa"/>
          <w:left w:w="108" w:type="dxa"/>
          <w:bottom w:w="0" w:type="dxa"/>
          <w:right w:w="108" w:type="dxa"/>
        </w:tblCellMar>
      </w:tblPr>
      <w:tblGrid>
        <w:gridCol w:w="748"/>
        <w:gridCol w:w="1137"/>
        <w:gridCol w:w="1776"/>
        <w:gridCol w:w="1776"/>
        <w:gridCol w:w="4186"/>
      </w:tblGrid>
      <w:tr>
        <w:tblPrEx>
          <w:tblCellMar>
            <w:top w:w="0" w:type="dxa"/>
            <w:left w:w="108" w:type="dxa"/>
            <w:bottom w:w="0" w:type="dxa"/>
            <w:right w:w="108" w:type="dxa"/>
          </w:tblCellMar>
        </w:tblPrEx>
        <w:trPr>
          <w:trHeight w:val="555" w:hRule="atLeast"/>
        </w:trPr>
        <w:tc>
          <w:tcPr>
            <w:tcW w:w="748" w:type="dxa"/>
            <w:tcBorders>
              <w:top w:val="single" w:color="000000" w:sz="8" w:space="0"/>
              <w:left w:val="single" w:color="000000" w:sz="8" w:space="0"/>
              <w:bottom w:val="nil"/>
              <w:right w:val="single" w:color="000000" w:sz="8" w:space="0"/>
            </w:tcBorders>
          </w:tcPr>
          <w:p>
            <w:pPr>
              <w:widowControl/>
              <w:jc w:val="center"/>
              <w:rPr>
                <w:rFonts w:ascii="宋体" w:hAnsi="宋体" w:cs="宋体"/>
                <w:b/>
                <w:bCs/>
                <w:kern w:val="0"/>
                <w:sz w:val="24"/>
              </w:rPr>
            </w:pPr>
            <w:r>
              <w:rPr>
                <w:rFonts w:hint="eastAsia" w:ascii="宋体" w:hAnsi="宋体" w:cs="宋体"/>
                <w:b/>
                <w:bCs/>
                <w:kern w:val="0"/>
                <w:sz w:val="24"/>
              </w:rPr>
              <w:t>品目序号</w:t>
            </w:r>
          </w:p>
        </w:tc>
        <w:tc>
          <w:tcPr>
            <w:tcW w:w="4689" w:type="dxa"/>
            <w:gridSpan w:val="3"/>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kern w:val="0"/>
                <w:sz w:val="24"/>
              </w:rPr>
            </w:pPr>
            <w:r>
              <w:rPr>
                <w:rFonts w:hint="eastAsia" w:ascii="宋体" w:hAnsi="宋体" w:cs="宋体"/>
                <w:b/>
                <w:bCs/>
                <w:kern w:val="0"/>
                <w:sz w:val="24"/>
              </w:rPr>
              <w:t>名称</w:t>
            </w:r>
          </w:p>
        </w:tc>
        <w:tc>
          <w:tcPr>
            <w:tcW w:w="4186"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kern w:val="0"/>
                <w:sz w:val="24"/>
              </w:rPr>
            </w:pPr>
            <w:r>
              <w:rPr>
                <w:rFonts w:hint="eastAsia" w:ascii="宋体" w:hAnsi="宋体" w:cs="宋体"/>
                <w:b/>
                <w:bCs/>
                <w:kern w:val="0"/>
                <w:sz w:val="24"/>
              </w:rPr>
              <w:t>依据的标准</w:t>
            </w:r>
          </w:p>
        </w:tc>
      </w:tr>
      <w:tr>
        <w:tblPrEx>
          <w:tblCellMar>
            <w:top w:w="0" w:type="dxa"/>
            <w:left w:w="108" w:type="dxa"/>
            <w:bottom w:w="0" w:type="dxa"/>
            <w:right w:w="108" w:type="dxa"/>
          </w:tblCellMar>
        </w:tblPrEx>
        <w:trPr>
          <w:trHeight w:val="495" w:hRule="atLeast"/>
        </w:trPr>
        <w:tc>
          <w:tcPr>
            <w:tcW w:w="748"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137"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A020101计算机设备</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★A02010104台式计算机</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《微型计算机能效限定值及能效等级》（GB28380）</w:t>
            </w:r>
          </w:p>
        </w:tc>
      </w:tr>
      <w:tr>
        <w:tblPrEx>
          <w:tblCellMar>
            <w:top w:w="0" w:type="dxa"/>
            <w:left w:w="108" w:type="dxa"/>
            <w:bottom w:w="0" w:type="dxa"/>
            <w:right w:w="108" w:type="dxa"/>
          </w:tblCellMar>
        </w:tblPrEx>
        <w:trPr>
          <w:trHeight w:val="495" w:hRule="atLeast"/>
        </w:trPr>
        <w:tc>
          <w:tcPr>
            <w:tcW w:w="7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13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★A02010105便携式计算机</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《微型计算机能效限定值及能效等级》（GB28380）</w:t>
            </w:r>
          </w:p>
        </w:tc>
      </w:tr>
      <w:tr>
        <w:tblPrEx>
          <w:tblCellMar>
            <w:top w:w="0" w:type="dxa"/>
            <w:left w:w="108" w:type="dxa"/>
            <w:bottom w:w="0" w:type="dxa"/>
            <w:right w:w="108" w:type="dxa"/>
          </w:tblCellMar>
        </w:tblPrEx>
        <w:trPr>
          <w:trHeight w:val="735" w:hRule="atLeast"/>
        </w:trPr>
        <w:tc>
          <w:tcPr>
            <w:tcW w:w="7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13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★A02010107平板式微型计算机</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《微型计算机能效限定值及能效等级》（GB28380）</w:t>
            </w:r>
          </w:p>
        </w:tc>
      </w:tr>
      <w:tr>
        <w:tblPrEx>
          <w:tblCellMar>
            <w:top w:w="0" w:type="dxa"/>
            <w:left w:w="108" w:type="dxa"/>
            <w:bottom w:w="0" w:type="dxa"/>
            <w:right w:w="108" w:type="dxa"/>
          </w:tblCellMar>
        </w:tblPrEx>
        <w:trPr>
          <w:trHeight w:val="495" w:hRule="atLeast"/>
        </w:trPr>
        <w:tc>
          <w:tcPr>
            <w:tcW w:w="748"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137"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A020106输入输出设备</w:t>
            </w:r>
          </w:p>
        </w:tc>
        <w:tc>
          <w:tcPr>
            <w:tcW w:w="1776"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A02010601打印设备</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A0201060101喷墨打印机</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74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13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★A0201060102激光打印机</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74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13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★A0201060104针式打印机</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74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13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A02010604显示设备</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★A0201060401液晶显示器</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《计算机显示器能效限定值及能效等级》（GB21520）</w:t>
            </w:r>
          </w:p>
        </w:tc>
      </w:tr>
      <w:tr>
        <w:tblPrEx>
          <w:tblCellMar>
            <w:top w:w="0" w:type="dxa"/>
            <w:left w:w="108" w:type="dxa"/>
            <w:bottom w:w="0" w:type="dxa"/>
            <w:right w:w="108" w:type="dxa"/>
          </w:tblCellMar>
        </w:tblPrEx>
        <w:trPr>
          <w:trHeight w:val="975" w:hRule="atLeast"/>
        </w:trPr>
        <w:tc>
          <w:tcPr>
            <w:tcW w:w="74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13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A02010609图形图像输入设备</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A0201060901扫描仪</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参照《复印机、打印机和传真机能效限定值及能效等级》（GB21521中打印速度为15页/分的针式打印机相关要求中打印速度为15页/分的针式打印机相关要求</w:t>
            </w:r>
          </w:p>
        </w:tc>
      </w:tr>
      <w:tr>
        <w:tblPrEx>
          <w:tblCellMar>
            <w:top w:w="0" w:type="dxa"/>
            <w:left w:w="108" w:type="dxa"/>
            <w:bottom w:w="0" w:type="dxa"/>
            <w:right w:w="108" w:type="dxa"/>
          </w:tblCellMar>
        </w:tblPrEx>
        <w:trPr>
          <w:trHeight w:val="495" w:hRule="atLeast"/>
        </w:trPr>
        <w:tc>
          <w:tcPr>
            <w:tcW w:w="748"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137"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A020202投影仪</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《投影机能效限定值及能效等级》（GB32028）</w:t>
            </w:r>
          </w:p>
        </w:tc>
      </w:tr>
      <w:tr>
        <w:tblPrEx>
          <w:tblCellMar>
            <w:top w:w="0" w:type="dxa"/>
            <w:left w:w="108" w:type="dxa"/>
            <w:bottom w:w="0" w:type="dxa"/>
            <w:right w:w="108" w:type="dxa"/>
          </w:tblCellMar>
        </w:tblPrEx>
        <w:trPr>
          <w:trHeight w:val="495" w:hRule="atLeast"/>
        </w:trPr>
        <w:tc>
          <w:tcPr>
            <w:tcW w:w="748"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137"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A020204多功能一体机</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《复印机、打印机和传真机能效限定值及能效等级》（GB21521）</w:t>
            </w:r>
          </w:p>
        </w:tc>
      </w:tr>
      <w:tr>
        <w:tblPrEx>
          <w:tblCellMar>
            <w:top w:w="0" w:type="dxa"/>
            <w:left w:w="108" w:type="dxa"/>
            <w:bottom w:w="0" w:type="dxa"/>
            <w:right w:w="108" w:type="dxa"/>
          </w:tblCellMar>
        </w:tblPrEx>
        <w:trPr>
          <w:trHeight w:val="495" w:hRule="atLeast"/>
        </w:trPr>
        <w:tc>
          <w:tcPr>
            <w:tcW w:w="748"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137" w:type="dxa"/>
            <w:tcBorders>
              <w:top w:val="nil"/>
              <w:left w:val="nil"/>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A020519泵</w:t>
            </w:r>
          </w:p>
        </w:tc>
        <w:tc>
          <w:tcPr>
            <w:tcW w:w="1776" w:type="dxa"/>
            <w:tcBorders>
              <w:top w:val="nil"/>
              <w:left w:val="nil"/>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A02051901离心泵</w:t>
            </w:r>
          </w:p>
        </w:tc>
        <w:tc>
          <w:tcPr>
            <w:tcW w:w="1776" w:type="dxa"/>
            <w:tcBorders>
              <w:top w:val="nil"/>
              <w:left w:val="nil"/>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auto" w:sz="4"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《清水离心泵能效限定值及节能评价值》（GB19762）</w:t>
            </w:r>
          </w:p>
        </w:tc>
      </w:tr>
      <w:tr>
        <w:tblPrEx>
          <w:tblCellMar>
            <w:top w:w="0" w:type="dxa"/>
            <w:left w:w="108" w:type="dxa"/>
            <w:bottom w:w="0" w:type="dxa"/>
            <w:right w:w="108" w:type="dxa"/>
          </w:tblCellMar>
        </w:tblPrEx>
        <w:trPr>
          <w:trHeight w:val="735" w:hRule="atLeast"/>
        </w:trPr>
        <w:tc>
          <w:tcPr>
            <w:tcW w:w="7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A020523制冷空调设备</w:t>
            </w:r>
          </w:p>
        </w:tc>
        <w:tc>
          <w:tcPr>
            <w:tcW w:w="17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★A02052301制冷压缩机</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冷水机组</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《冷水机组能效限定值及能效等级》（GB19577），《低环境温度空气源热泵（冷水）机组能效限定值及能效等级》（GB37480）</w:t>
            </w:r>
          </w:p>
        </w:tc>
      </w:tr>
      <w:tr>
        <w:tblPrEx>
          <w:tblCellMar>
            <w:top w:w="0" w:type="dxa"/>
            <w:left w:w="108" w:type="dxa"/>
            <w:bottom w:w="0" w:type="dxa"/>
            <w:right w:w="108" w:type="dxa"/>
          </w:tblCellMar>
        </w:tblPrEx>
        <w:trPr>
          <w:trHeight w:val="49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水源热泵机组</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《水（地）源热泵机组能效限定值及能效等级》（GB30721）</w:t>
            </w:r>
          </w:p>
        </w:tc>
      </w:tr>
      <w:tr>
        <w:tblPrEx>
          <w:tblCellMar>
            <w:top w:w="0" w:type="dxa"/>
            <w:left w:w="108" w:type="dxa"/>
            <w:bottom w:w="0" w:type="dxa"/>
            <w:right w:w="108" w:type="dxa"/>
          </w:tblCellMar>
        </w:tblPrEx>
        <w:trPr>
          <w:trHeight w:val="49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溴化锂吸收式冷水机组</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《溴化锂吸收式冷水机组能效限定值及能效等级》（GB29540）</w:t>
            </w:r>
          </w:p>
        </w:tc>
      </w:tr>
      <w:tr>
        <w:tblPrEx>
          <w:tblCellMar>
            <w:top w:w="0" w:type="dxa"/>
            <w:left w:w="108" w:type="dxa"/>
            <w:bottom w:w="0" w:type="dxa"/>
            <w:right w:w="108" w:type="dxa"/>
          </w:tblCellMar>
        </w:tblPrEx>
        <w:trPr>
          <w:trHeight w:val="73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★A02052305空调机组</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多联式空调（热泵）机组(制冷量&gt;14000W)</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单元式空气调节机(制冷量&gt;14000W</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《单元式空气调节机能效限定值及能效等级》（GB19576）《风管送风式空调机组能效限定值及能效等级》（GB37479）</w:t>
            </w:r>
          </w:p>
        </w:tc>
      </w:tr>
      <w:tr>
        <w:tblPrEx>
          <w:tblCellMar>
            <w:top w:w="0" w:type="dxa"/>
            <w:left w:w="108" w:type="dxa"/>
            <w:bottom w:w="0" w:type="dxa"/>
            <w:right w:w="108" w:type="dxa"/>
          </w:tblCellMar>
        </w:tblPrEx>
        <w:trPr>
          <w:trHeight w:val="735" w:hRule="atLeast"/>
        </w:trPr>
        <w:tc>
          <w:tcPr>
            <w:tcW w:w="748" w:type="dxa"/>
            <w:vMerge w:val="continue"/>
            <w:tcBorders>
              <w:top w:val="single" w:color="auto" w:sz="4" w:space="0"/>
              <w:left w:val="single" w:color="auto" w:sz="4" w:space="0"/>
              <w:bottom w:val="single" w:color="000000" w:sz="8" w:space="0"/>
              <w:right w:val="single" w:color="000000" w:sz="8"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★A02052309专用制冷、空调设备</w:t>
            </w:r>
          </w:p>
        </w:tc>
        <w:tc>
          <w:tcPr>
            <w:tcW w:w="1776"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机房空调</w:t>
            </w:r>
          </w:p>
        </w:tc>
        <w:tc>
          <w:tcPr>
            <w:tcW w:w="4186" w:type="dxa"/>
            <w:tcBorders>
              <w:top w:val="single" w:color="auto" w:sz="4" w:space="0"/>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《单元式空气调节机能效限定值及能效等级》（GB19576）</w:t>
            </w:r>
          </w:p>
        </w:tc>
      </w:tr>
      <w:tr>
        <w:tblPrEx>
          <w:tblCellMar>
            <w:top w:w="0" w:type="dxa"/>
            <w:left w:w="108" w:type="dxa"/>
            <w:bottom w:w="0" w:type="dxa"/>
            <w:right w:w="108" w:type="dxa"/>
          </w:tblCellMar>
        </w:tblPrEx>
        <w:trPr>
          <w:trHeight w:val="735" w:hRule="atLeast"/>
        </w:trPr>
        <w:tc>
          <w:tcPr>
            <w:tcW w:w="748" w:type="dxa"/>
            <w:vMerge w:val="continue"/>
            <w:tcBorders>
              <w:top w:val="nil"/>
              <w:left w:val="single" w:color="auto" w:sz="4" w:space="0"/>
              <w:bottom w:val="single" w:color="000000" w:sz="8" w:space="0"/>
              <w:right w:val="single" w:color="000000" w:sz="8" w:space="0"/>
            </w:tcBorders>
            <w:vAlign w:val="center"/>
          </w:tcPr>
          <w:p>
            <w:pPr>
              <w:widowControl/>
              <w:jc w:val="left"/>
              <w:rPr>
                <w:rFonts w:ascii="宋体" w:hAnsi="宋体" w:cs="宋体"/>
                <w:kern w:val="0"/>
                <w:sz w:val="24"/>
              </w:rPr>
            </w:pPr>
          </w:p>
        </w:tc>
        <w:tc>
          <w:tcPr>
            <w:tcW w:w="113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A02052399其他制冷空调设备</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冷却塔</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《机械通风冷却塔第1部分：中小型开式冷却塔》（GB/T7190.1）；《机械通风冷却塔第2部分：大型开式冷却塔》（GB/T7190.2）</w:t>
            </w:r>
          </w:p>
        </w:tc>
      </w:tr>
      <w:tr>
        <w:tblPrEx>
          <w:tblCellMar>
            <w:top w:w="0" w:type="dxa"/>
            <w:left w:w="108" w:type="dxa"/>
            <w:bottom w:w="0" w:type="dxa"/>
            <w:right w:w="108" w:type="dxa"/>
          </w:tblCellMar>
        </w:tblPrEx>
        <w:trPr>
          <w:trHeight w:val="495" w:hRule="atLeast"/>
        </w:trPr>
        <w:tc>
          <w:tcPr>
            <w:tcW w:w="748"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137"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A020601电机</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《中小型三相异步电动机能效限定值及能效等级》（GB18613）</w:t>
            </w:r>
          </w:p>
        </w:tc>
      </w:tr>
      <w:tr>
        <w:tblPrEx>
          <w:tblCellMar>
            <w:top w:w="0" w:type="dxa"/>
            <w:left w:w="108" w:type="dxa"/>
            <w:bottom w:w="0" w:type="dxa"/>
            <w:right w:w="108" w:type="dxa"/>
          </w:tblCellMar>
        </w:tblPrEx>
        <w:trPr>
          <w:trHeight w:val="495" w:hRule="atLeast"/>
        </w:trPr>
        <w:tc>
          <w:tcPr>
            <w:tcW w:w="748"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137"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A020602变压器</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配电变压器</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《三相配电变压器能效限定值及能效等级》（GB20052）</w:t>
            </w:r>
          </w:p>
        </w:tc>
      </w:tr>
      <w:tr>
        <w:tblPrEx>
          <w:tblCellMar>
            <w:top w:w="0" w:type="dxa"/>
            <w:left w:w="108" w:type="dxa"/>
            <w:bottom w:w="0" w:type="dxa"/>
            <w:right w:w="108" w:type="dxa"/>
          </w:tblCellMar>
        </w:tblPrEx>
        <w:trPr>
          <w:trHeight w:val="495" w:hRule="atLeast"/>
        </w:trPr>
        <w:tc>
          <w:tcPr>
            <w:tcW w:w="748" w:type="dxa"/>
            <w:tcBorders>
              <w:top w:val="nil"/>
              <w:left w:val="single" w:color="000000" w:sz="8" w:space="0"/>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137" w:type="dxa"/>
            <w:tcBorders>
              <w:top w:val="nil"/>
              <w:left w:val="nil"/>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★A020609镇流器</w:t>
            </w:r>
          </w:p>
        </w:tc>
        <w:tc>
          <w:tcPr>
            <w:tcW w:w="1776" w:type="dxa"/>
            <w:tcBorders>
              <w:top w:val="nil"/>
              <w:left w:val="nil"/>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管型荧光灯镇流器</w:t>
            </w:r>
          </w:p>
        </w:tc>
        <w:tc>
          <w:tcPr>
            <w:tcW w:w="1776" w:type="dxa"/>
            <w:tcBorders>
              <w:top w:val="nil"/>
              <w:left w:val="nil"/>
              <w:bottom w:val="single" w:color="auto" w:sz="4"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auto" w:sz="4"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《管形荧光灯镇流器能效限定值及能效等级》（GB17896）</w:t>
            </w:r>
          </w:p>
        </w:tc>
      </w:tr>
      <w:tr>
        <w:tblPrEx>
          <w:tblCellMar>
            <w:top w:w="0" w:type="dxa"/>
            <w:left w:w="108" w:type="dxa"/>
            <w:bottom w:w="0" w:type="dxa"/>
            <w:right w:w="108" w:type="dxa"/>
          </w:tblCellMar>
        </w:tblPrEx>
        <w:trPr>
          <w:trHeight w:val="495" w:hRule="atLeast"/>
        </w:trPr>
        <w:tc>
          <w:tcPr>
            <w:tcW w:w="7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A020618生活用电器</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A0206180101电冰箱</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《家用电冰箱耗电量限定值及能效等级》（GB 12021.2）</w:t>
            </w:r>
          </w:p>
        </w:tc>
      </w:tr>
      <w:tr>
        <w:tblPrEx>
          <w:tblCellMar>
            <w:top w:w="0" w:type="dxa"/>
            <w:left w:w="108" w:type="dxa"/>
            <w:bottom w:w="0" w:type="dxa"/>
            <w:right w:w="108" w:type="dxa"/>
          </w:tblCellMar>
        </w:tblPrEx>
        <w:trPr>
          <w:trHeight w:val="97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★A0206180203空调机</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房间空气调节器</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《转速可控型房间空气调节器能效限定值及能效等级》（GB21455-2013），待2019年修订发布后，按《房间空气调节器能效限定值及能效等级》（GB21455-2019实施。</w:t>
            </w:r>
          </w:p>
        </w:tc>
      </w:tr>
      <w:tr>
        <w:tblPrEx>
          <w:tblCellMar>
            <w:top w:w="0" w:type="dxa"/>
            <w:left w:w="108" w:type="dxa"/>
            <w:bottom w:w="0" w:type="dxa"/>
            <w:right w:w="108" w:type="dxa"/>
          </w:tblCellMar>
        </w:tblPrEx>
        <w:trPr>
          <w:trHeight w:val="73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多联式空调（热泵）机组（制冷量≤ 14000W）</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《多联式空调（热泵）机组能效限定值及能源效率等级》（GB21454）</w:t>
            </w:r>
          </w:p>
        </w:tc>
      </w:tr>
      <w:tr>
        <w:tblPrEx>
          <w:tblCellMar>
            <w:top w:w="0" w:type="dxa"/>
            <w:left w:w="108" w:type="dxa"/>
            <w:bottom w:w="0" w:type="dxa"/>
            <w:right w:w="108" w:type="dxa"/>
          </w:tblCellMar>
        </w:tblPrEx>
        <w:trPr>
          <w:trHeight w:val="73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单元式空气调节机(制冷量≤14000W)</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《单元式空气调节机能效限定值及能源效率等级》（GB19576）《风管送风式空调机组能效限定值及能效等级》（GB37479）</w:t>
            </w:r>
          </w:p>
        </w:tc>
      </w:tr>
      <w:tr>
        <w:tblPrEx>
          <w:tblCellMar>
            <w:top w:w="0" w:type="dxa"/>
            <w:left w:w="108" w:type="dxa"/>
            <w:bottom w:w="0" w:type="dxa"/>
            <w:right w:w="108" w:type="dxa"/>
          </w:tblCellMar>
        </w:tblPrEx>
        <w:trPr>
          <w:trHeight w:val="49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A0206180301洗衣机</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《电动洗衣机能效水效限定值及等级》（GB12021.4）</w:t>
            </w:r>
          </w:p>
        </w:tc>
      </w:tr>
      <w:tr>
        <w:tblPrEx>
          <w:tblCellMar>
            <w:top w:w="0" w:type="dxa"/>
            <w:left w:w="108" w:type="dxa"/>
            <w:bottom w:w="0" w:type="dxa"/>
            <w:right w:w="108" w:type="dxa"/>
          </w:tblCellMar>
        </w:tblPrEx>
        <w:trPr>
          <w:trHeight w:val="49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A02061808热水器</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★电热水器</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《储水式电热水器能效限定值及能效等级》（GB21519）</w:t>
            </w:r>
          </w:p>
        </w:tc>
      </w:tr>
      <w:tr>
        <w:tblPrEx>
          <w:tblCellMar>
            <w:top w:w="0" w:type="dxa"/>
            <w:left w:w="108" w:type="dxa"/>
            <w:bottom w:w="0" w:type="dxa"/>
            <w:right w:w="108" w:type="dxa"/>
          </w:tblCellMar>
        </w:tblPrEx>
        <w:trPr>
          <w:trHeight w:val="49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燃气热水器</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《家用燃气快速热水器和燃气采暖热水炉能效限定值及能效等级》（GB20665）</w:t>
            </w:r>
          </w:p>
        </w:tc>
      </w:tr>
      <w:tr>
        <w:tblPrEx>
          <w:tblCellMar>
            <w:top w:w="0" w:type="dxa"/>
            <w:left w:w="108" w:type="dxa"/>
            <w:bottom w:w="0" w:type="dxa"/>
            <w:right w:w="108" w:type="dxa"/>
          </w:tblCellMar>
        </w:tblPrEx>
        <w:trPr>
          <w:trHeight w:val="49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热泵热水器</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《热泵热水机（器）能效限定值及能效等级》（GB29541）</w:t>
            </w:r>
          </w:p>
        </w:tc>
      </w:tr>
      <w:tr>
        <w:tblPrEx>
          <w:tblCellMar>
            <w:top w:w="0" w:type="dxa"/>
            <w:left w:w="108" w:type="dxa"/>
            <w:bottom w:w="0" w:type="dxa"/>
            <w:right w:w="108" w:type="dxa"/>
          </w:tblCellMar>
        </w:tblPrEx>
        <w:trPr>
          <w:trHeight w:val="49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太阳能热水系统</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《家用太阳能热水系统能效限定值及能效等级》（GB26969）</w:t>
            </w:r>
          </w:p>
        </w:tc>
      </w:tr>
      <w:tr>
        <w:tblPrEx>
          <w:tblCellMar>
            <w:top w:w="0" w:type="dxa"/>
            <w:left w:w="108" w:type="dxa"/>
            <w:bottom w:w="0" w:type="dxa"/>
            <w:right w:w="108" w:type="dxa"/>
          </w:tblCellMar>
        </w:tblPrEx>
        <w:trPr>
          <w:trHeight w:val="495" w:hRule="atLeast"/>
        </w:trPr>
        <w:tc>
          <w:tcPr>
            <w:tcW w:w="7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11</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A020619照明设备</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★普通照明用双端荧光灯</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《普通照明用双端荧光灯能效限定值及能效等级》（GB19043）</w:t>
            </w:r>
          </w:p>
        </w:tc>
      </w:tr>
      <w:tr>
        <w:tblPrEx>
          <w:tblCellMar>
            <w:top w:w="0" w:type="dxa"/>
            <w:left w:w="108" w:type="dxa"/>
            <w:bottom w:w="0" w:type="dxa"/>
            <w:right w:w="108" w:type="dxa"/>
          </w:tblCellMar>
        </w:tblPrEx>
        <w:trPr>
          <w:trHeight w:val="49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LED道路/隧道照明产品</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《道路和隧道照明用LED灯具能效限定值及能效等级》（GB37478）</w:t>
            </w:r>
          </w:p>
        </w:tc>
      </w:tr>
      <w:tr>
        <w:tblPrEx>
          <w:tblCellMar>
            <w:top w:w="0" w:type="dxa"/>
            <w:left w:w="108" w:type="dxa"/>
            <w:bottom w:w="0" w:type="dxa"/>
            <w:right w:w="108" w:type="dxa"/>
          </w:tblCellMar>
        </w:tblPrEx>
        <w:trPr>
          <w:trHeight w:val="49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LED筒灯</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《室内照明用LED产品能效限定值及能效等级》（GB30255）</w:t>
            </w:r>
          </w:p>
        </w:tc>
      </w:tr>
      <w:tr>
        <w:tblPrEx>
          <w:tblCellMar>
            <w:top w:w="0" w:type="dxa"/>
            <w:left w:w="108" w:type="dxa"/>
            <w:bottom w:w="0" w:type="dxa"/>
            <w:right w:w="108" w:type="dxa"/>
          </w:tblCellMar>
        </w:tblPrEx>
        <w:trPr>
          <w:trHeight w:val="735" w:hRule="atLeast"/>
        </w:trPr>
        <w:tc>
          <w:tcPr>
            <w:tcW w:w="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普通照明用非定向自镇流LED灯</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《室内照明用LED产品能效限定值及能效等级》（GB30255）</w:t>
            </w:r>
          </w:p>
        </w:tc>
      </w:tr>
      <w:tr>
        <w:tblPrEx>
          <w:tblCellMar>
            <w:top w:w="0" w:type="dxa"/>
            <w:left w:w="108" w:type="dxa"/>
            <w:bottom w:w="0" w:type="dxa"/>
            <w:right w:w="108" w:type="dxa"/>
          </w:tblCellMar>
        </w:tblPrEx>
        <w:trPr>
          <w:trHeight w:val="735"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12</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★A020910电视设备</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A02091001普通电视设备（电视机）</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《平板电视能效限定值及能效等级》（GB24850）</w:t>
            </w:r>
          </w:p>
        </w:tc>
      </w:tr>
      <w:tr>
        <w:tblPrEx>
          <w:tblCellMar>
            <w:top w:w="0" w:type="dxa"/>
            <w:left w:w="108" w:type="dxa"/>
            <w:bottom w:w="0" w:type="dxa"/>
            <w:right w:w="108" w:type="dxa"/>
          </w:tblCellMar>
        </w:tblPrEx>
        <w:trPr>
          <w:trHeight w:val="975" w:hRule="atLeas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13</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★A020911视频设备</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A02091107视频监控设备</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监视器</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以射频信号为主要信号输入的监视器应符合《平板电视能效限定值及能效等级》（GB24850），以数字信号为主要信号输入的监视器应符合《计算机显示器能效限定值及能效等级》（GB21520）</w:t>
            </w:r>
          </w:p>
        </w:tc>
      </w:tr>
      <w:tr>
        <w:tblPrEx>
          <w:tblCellMar>
            <w:top w:w="0" w:type="dxa"/>
            <w:left w:w="108" w:type="dxa"/>
            <w:bottom w:w="0" w:type="dxa"/>
            <w:right w:w="108" w:type="dxa"/>
          </w:tblCellMar>
        </w:tblPrEx>
        <w:trPr>
          <w:trHeight w:val="495" w:hRule="atLeast"/>
        </w:trPr>
        <w:tc>
          <w:tcPr>
            <w:tcW w:w="74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14</w:t>
            </w:r>
          </w:p>
        </w:tc>
        <w:tc>
          <w:tcPr>
            <w:tcW w:w="1137"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A031210饮食炊事机械</w:t>
            </w:r>
          </w:p>
        </w:tc>
        <w:tc>
          <w:tcPr>
            <w:tcW w:w="1776"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商用燃气灶具</w:t>
            </w:r>
          </w:p>
        </w:tc>
        <w:tc>
          <w:tcPr>
            <w:tcW w:w="1776"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single" w:color="auto" w:sz="4" w:space="0"/>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《商用燃气灶具能效限定值及能效等级》（GB30531）</w:t>
            </w:r>
          </w:p>
        </w:tc>
      </w:tr>
      <w:tr>
        <w:tblPrEx>
          <w:tblCellMar>
            <w:top w:w="0" w:type="dxa"/>
            <w:left w:w="108" w:type="dxa"/>
            <w:bottom w:w="0" w:type="dxa"/>
            <w:right w:w="108" w:type="dxa"/>
          </w:tblCellMar>
        </w:tblPrEx>
        <w:trPr>
          <w:trHeight w:val="285" w:hRule="atLeast"/>
        </w:trPr>
        <w:tc>
          <w:tcPr>
            <w:tcW w:w="748"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15</w:t>
            </w:r>
          </w:p>
        </w:tc>
        <w:tc>
          <w:tcPr>
            <w:tcW w:w="1137"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★A060805便器</w:t>
            </w:r>
          </w:p>
        </w:tc>
        <w:tc>
          <w:tcPr>
            <w:tcW w:w="177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坐便器</w:t>
            </w:r>
          </w:p>
        </w:tc>
        <w:tc>
          <w:tcPr>
            <w:tcW w:w="177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《坐便器水效限定值及水效等级》（GB25502）</w:t>
            </w:r>
          </w:p>
        </w:tc>
      </w:tr>
      <w:tr>
        <w:tblPrEx>
          <w:tblCellMar>
            <w:top w:w="0" w:type="dxa"/>
            <w:left w:w="108" w:type="dxa"/>
            <w:bottom w:w="0" w:type="dxa"/>
            <w:right w:w="108" w:type="dxa"/>
          </w:tblCellMar>
        </w:tblPrEx>
        <w:trPr>
          <w:trHeight w:val="495" w:hRule="atLeast"/>
        </w:trPr>
        <w:tc>
          <w:tcPr>
            <w:tcW w:w="74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113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24"/>
              </w:rPr>
            </w:pPr>
          </w:p>
        </w:tc>
        <w:tc>
          <w:tcPr>
            <w:tcW w:w="177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蹲便器</w:t>
            </w:r>
          </w:p>
        </w:tc>
        <w:tc>
          <w:tcPr>
            <w:tcW w:w="177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《蹲便器用水效率限定值及用水效率等级》（GB30717）</w:t>
            </w:r>
          </w:p>
        </w:tc>
      </w:tr>
      <w:tr>
        <w:tblPrEx>
          <w:tblCellMar>
            <w:top w:w="0" w:type="dxa"/>
            <w:left w:w="108" w:type="dxa"/>
            <w:bottom w:w="0" w:type="dxa"/>
            <w:right w:w="108" w:type="dxa"/>
          </w:tblCellMar>
        </w:tblPrEx>
        <w:trPr>
          <w:trHeight w:val="495" w:hRule="atLeast"/>
        </w:trPr>
        <w:tc>
          <w:tcPr>
            <w:tcW w:w="748"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113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24"/>
              </w:rPr>
            </w:pPr>
          </w:p>
        </w:tc>
        <w:tc>
          <w:tcPr>
            <w:tcW w:w="177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小便器</w:t>
            </w:r>
          </w:p>
        </w:tc>
        <w:tc>
          <w:tcPr>
            <w:tcW w:w="1776" w:type="dxa"/>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《小便器用水效率限定值及用水效率等级》（GB28377）</w:t>
            </w:r>
          </w:p>
        </w:tc>
      </w:tr>
      <w:tr>
        <w:tblPrEx>
          <w:tblCellMar>
            <w:top w:w="0" w:type="dxa"/>
            <w:left w:w="108" w:type="dxa"/>
            <w:bottom w:w="0" w:type="dxa"/>
            <w:right w:w="108" w:type="dxa"/>
          </w:tblCellMar>
        </w:tblPrEx>
        <w:trPr>
          <w:trHeight w:val="495" w:hRule="atLeast"/>
        </w:trPr>
        <w:tc>
          <w:tcPr>
            <w:tcW w:w="748"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16</w:t>
            </w:r>
          </w:p>
        </w:tc>
        <w:tc>
          <w:tcPr>
            <w:tcW w:w="1137"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★A060806水嘴</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《水嘴用水效率限定值及用水效率等级》（GB 25501）</w:t>
            </w:r>
          </w:p>
        </w:tc>
      </w:tr>
      <w:tr>
        <w:tblPrEx>
          <w:tblCellMar>
            <w:top w:w="0" w:type="dxa"/>
            <w:left w:w="108" w:type="dxa"/>
            <w:bottom w:w="0" w:type="dxa"/>
            <w:right w:w="108" w:type="dxa"/>
          </w:tblCellMar>
        </w:tblPrEx>
        <w:trPr>
          <w:trHeight w:val="495" w:hRule="atLeast"/>
        </w:trPr>
        <w:tc>
          <w:tcPr>
            <w:tcW w:w="748"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17</w:t>
            </w:r>
          </w:p>
        </w:tc>
        <w:tc>
          <w:tcPr>
            <w:tcW w:w="1137"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A060807便器冲洗阀</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《便器冲洗阀用水效率限定值及用水效率等级》（GB28379）</w:t>
            </w:r>
          </w:p>
        </w:tc>
      </w:tr>
      <w:tr>
        <w:tblPrEx>
          <w:tblCellMar>
            <w:top w:w="0" w:type="dxa"/>
            <w:left w:w="108" w:type="dxa"/>
            <w:bottom w:w="0" w:type="dxa"/>
            <w:right w:w="108" w:type="dxa"/>
          </w:tblCellMar>
        </w:tblPrEx>
        <w:trPr>
          <w:trHeight w:val="495" w:hRule="atLeast"/>
        </w:trPr>
        <w:tc>
          <w:tcPr>
            <w:tcW w:w="748"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18</w:t>
            </w:r>
          </w:p>
        </w:tc>
        <w:tc>
          <w:tcPr>
            <w:tcW w:w="1137"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A060810淋浴器</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776" w:type="dxa"/>
            <w:tcBorders>
              <w:top w:val="nil"/>
              <w:left w:val="nil"/>
              <w:bottom w:val="single" w:color="000000" w:sz="8" w:space="0"/>
              <w:right w:val="single" w:color="000000"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186" w:type="dxa"/>
            <w:tcBorders>
              <w:top w:val="nil"/>
              <w:left w:val="nil"/>
              <w:bottom w:val="single" w:color="000000" w:sz="8" w:space="0"/>
              <w:right w:val="single" w:color="000000" w:sz="8" w:space="0"/>
            </w:tcBorders>
            <w:vAlign w:val="center"/>
          </w:tcPr>
          <w:p>
            <w:pPr>
              <w:widowControl/>
              <w:jc w:val="left"/>
              <w:rPr>
                <w:rFonts w:ascii="宋体" w:hAnsi="宋体" w:cs="宋体"/>
                <w:kern w:val="0"/>
                <w:sz w:val="24"/>
              </w:rPr>
            </w:pPr>
            <w:r>
              <w:rPr>
                <w:rFonts w:hint="eastAsia" w:ascii="宋体" w:hAnsi="宋体" w:cs="宋体"/>
                <w:kern w:val="0"/>
                <w:sz w:val="24"/>
              </w:rPr>
              <w:t>《淋浴器用水效率限定值及用水效率等级》（GB28378）</w:t>
            </w:r>
          </w:p>
        </w:tc>
      </w:tr>
    </w:tbl>
    <w:p>
      <w:pPr>
        <w:pStyle w:val="3"/>
      </w:pPr>
      <w:r>
        <w:rPr>
          <w:rFonts w:hint="eastAsia"/>
        </w:rPr>
        <w:t>注：1.节能产品认证应依据相关国家标准的最新版本，依据国家标准中二级能效（水效）指标。</w:t>
      </w:r>
    </w:p>
    <w:p>
      <w:pPr>
        <w:pStyle w:val="3"/>
      </w:pPr>
      <w:r>
        <w:rPr>
          <w:rFonts w:hint="eastAsia"/>
        </w:rPr>
        <w:t xml:space="preserve">    2.以“★”标注的为政府强制采购产品。</w:t>
      </w:r>
      <w:r>
        <w:rPr>
          <w:rFonts w:hint="eastAsia"/>
        </w:rPr>
        <w:br w:type="page"/>
      </w:r>
    </w:p>
    <w:p>
      <w:pPr>
        <w:pStyle w:val="25"/>
        <w:jc w:val="left"/>
        <w:rPr>
          <w:rFonts w:hAnsi="宋体" w:cs="宋体"/>
          <w:sz w:val="24"/>
          <w:szCs w:val="24"/>
        </w:rPr>
      </w:pPr>
      <w:r>
        <w:rPr>
          <w:rFonts w:hint="eastAsia" w:hAnsi="宋体" w:cs="宋体"/>
          <w:sz w:val="24"/>
          <w:szCs w:val="24"/>
        </w:rPr>
        <w:t>附件2：</w:t>
      </w:r>
    </w:p>
    <w:p>
      <w:pPr>
        <w:spacing w:line="528" w:lineRule="exact"/>
        <w:ind w:left="220" w:firstLine="720"/>
        <w:jc w:val="center"/>
        <w:rPr>
          <w:rFonts w:ascii="宋体" w:hAnsi="宋体" w:cs="宋体"/>
          <w:b/>
          <w:bCs/>
          <w:sz w:val="36"/>
          <w:szCs w:val="36"/>
        </w:rPr>
      </w:pPr>
      <w:r>
        <w:rPr>
          <w:rFonts w:hint="eastAsia" w:ascii="宋体" w:hAnsi="宋体" w:cs="宋体"/>
          <w:b/>
          <w:bCs/>
          <w:sz w:val="36"/>
          <w:szCs w:val="36"/>
        </w:rPr>
        <w:t>中小微企业划型标准</w:t>
      </w:r>
    </w:p>
    <w:tbl>
      <w:tblPr>
        <w:tblStyle w:val="47"/>
        <w:tblW w:w="9418" w:type="dxa"/>
        <w:tblInd w:w="250" w:type="dxa"/>
        <w:tblLayout w:type="fixed"/>
        <w:tblCellMar>
          <w:top w:w="0" w:type="dxa"/>
          <w:left w:w="108" w:type="dxa"/>
          <w:bottom w:w="0" w:type="dxa"/>
          <w:right w:w="108" w:type="dxa"/>
        </w:tblCellMar>
      </w:tblPr>
      <w:tblGrid>
        <w:gridCol w:w="2007"/>
        <w:gridCol w:w="1633"/>
        <w:gridCol w:w="1077"/>
        <w:gridCol w:w="1911"/>
        <w:gridCol w:w="1699"/>
        <w:gridCol w:w="1091"/>
      </w:tblGrid>
      <w:tr>
        <w:tblPrEx>
          <w:tblCellMar>
            <w:top w:w="0" w:type="dxa"/>
            <w:left w:w="108" w:type="dxa"/>
            <w:bottom w:w="0" w:type="dxa"/>
            <w:right w:w="108" w:type="dxa"/>
          </w:tblCellMar>
        </w:tblPrEx>
        <w:trPr>
          <w:trHeight w:val="364" w:hRule="atLeast"/>
        </w:trPr>
        <w:tc>
          <w:tcPr>
            <w:tcW w:w="2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0"/>
                <w:szCs w:val="20"/>
              </w:rPr>
            </w:pPr>
            <w:r>
              <w:rPr>
                <w:rFonts w:hint="eastAsia" w:ascii="宋体" w:hAnsi="宋体" w:cs="宋体"/>
                <w:b/>
                <w:kern w:val="0"/>
                <w:sz w:val="20"/>
                <w:szCs w:val="20"/>
              </w:rPr>
              <w:t>行业名称</w:t>
            </w:r>
          </w:p>
        </w:tc>
        <w:tc>
          <w:tcPr>
            <w:tcW w:w="163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0"/>
                <w:szCs w:val="20"/>
              </w:rPr>
            </w:pPr>
            <w:r>
              <w:rPr>
                <w:rFonts w:hint="eastAsia" w:ascii="宋体" w:hAnsi="宋体" w:cs="宋体"/>
                <w:b/>
                <w:kern w:val="0"/>
                <w:sz w:val="20"/>
                <w:szCs w:val="20"/>
              </w:rPr>
              <w:t>指标名称</w:t>
            </w:r>
          </w:p>
        </w:tc>
        <w:tc>
          <w:tcPr>
            <w:tcW w:w="107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0"/>
                <w:szCs w:val="20"/>
              </w:rPr>
            </w:pPr>
            <w:r>
              <w:rPr>
                <w:rFonts w:hint="eastAsia" w:ascii="宋体" w:hAnsi="宋体" w:cs="宋体"/>
                <w:b/>
                <w:kern w:val="0"/>
                <w:sz w:val="20"/>
                <w:szCs w:val="20"/>
              </w:rPr>
              <w:t>计量单位</w:t>
            </w:r>
          </w:p>
        </w:tc>
        <w:tc>
          <w:tcPr>
            <w:tcW w:w="191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0"/>
                <w:szCs w:val="20"/>
              </w:rPr>
            </w:pPr>
            <w:r>
              <w:rPr>
                <w:rFonts w:hint="eastAsia" w:ascii="宋体" w:hAnsi="宋体" w:cs="宋体"/>
                <w:b/>
                <w:kern w:val="0"/>
                <w:sz w:val="20"/>
                <w:szCs w:val="20"/>
              </w:rPr>
              <w:t>中型</w:t>
            </w:r>
          </w:p>
        </w:tc>
        <w:tc>
          <w:tcPr>
            <w:tcW w:w="169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0"/>
                <w:szCs w:val="20"/>
              </w:rPr>
            </w:pPr>
            <w:r>
              <w:rPr>
                <w:rFonts w:hint="eastAsia" w:ascii="宋体" w:hAnsi="宋体" w:cs="宋体"/>
                <w:b/>
                <w:kern w:val="0"/>
                <w:sz w:val="20"/>
                <w:szCs w:val="20"/>
              </w:rPr>
              <w:t>小型</w:t>
            </w:r>
          </w:p>
        </w:tc>
        <w:tc>
          <w:tcPr>
            <w:tcW w:w="109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kern w:val="0"/>
                <w:sz w:val="20"/>
                <w:szCs w:val="20"/>
              </w:rPr>
            </w:pPr>
            <w:r>
              <w:rPr>
                <w:rFonts w:hint="eastAsia" w:ascii="宋体" w:hAnsi="宋体" w:cs="宋体"/>
                <w:b/>
                <w:kern w:val="0"/>
                <w:sz w:val="20"/>
                <w:szCs w:val="20"/>
              </w:rPr>
              <w:t>微型</w:t>
            </w:r>
          </w:p>
        </w:tc>
      </w:tr>
      <w:tr>
        <w:tblPrEx>
          <w:tblCellMar>
            <w:top w:w="0" w:type="dxa"/>
            <w:left w:w="108" w:type="dxa"/>
            <w:bottom w:w="0" w:type="dxa"/>
            <w:right w:w="108" w:type="dxa"/>
          </w:tblCellMar>
        </w:tblPrEx>
        <w:trPr>
          <w:trHeight w:val="364" w:hRule="atLeast"/>
        </w:trPr>
        <w:tc>
          <w:tcPr>
            <w:tcW w:w="2007"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农、林、牧、渔</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500≤Y＜20000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50≤Y＜500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Y＜50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工业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300≤X＜1000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20≤X＜300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X＜20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2000≤Y＜40000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300≤Y＜2000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Y＜300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建筑业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6000≤Y＜80000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300≤Y＜6000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Y＜300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资产总额（Z）</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5000≤Z＜80000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300≤Z＜5000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Z＜300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批发业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20≤X＜200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5≤X＜20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X＜5</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5000≤Y＜40000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1000≤Y＜5000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Y＜1000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零售业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50≤X＜300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10≤X＜50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X＜10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500≤Y＜20000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100≤Y＜500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Y＜100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交通运输业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300≤X＜1000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20≤X＜300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X＜20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3000≤Y＜30000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200≤Y＜3000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Y＜200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仓储业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100≤X＜200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20≤X＜100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X＜20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1000≤Y＜30000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100≤Y＜1000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Y＜100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邮政业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300≤X＜1000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20≤X＜300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X＜20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2000≤Y＜30000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100≤Y＜2000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Y＜100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住宿业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100≤X＜300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10≤X＜100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X＜10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2000≤Y＜10000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100≤Y＜2000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Y＜100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餐饮业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100≤X＜300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10≤X＜100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X＜10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2000≤Y＜10000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100≤Y＜2000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Y＜100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信息传输业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100≤X＜2000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10≤X＜100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X＜10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1000≤Y＜100000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100≤Y＜1000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Y＜100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软件和信息技术服务业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100≤X＜300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10≤X＜100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X＜10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1000≤Y＜10000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50≤Y＜1000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Y＜50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房地产开发经营</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1000≤Y＜200000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100≤X＜1000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X＜100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资产总额（Z）</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5000≤Z＜10000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2000≤Y＜5000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Y＜2000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物业管理</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300≤X＜1000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100≤X＜300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X＜100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营业收入（Y）</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1000≤Y＜5000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500≤Y＜1000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Y＜500</w:t>
            </w:r>
          </w:p>
        </w:tc>
      </w:tr>
      <w:tr>
        <w:tblPrEx>
          <w:tblCellMar>
            <w:top w:w="0" w:type="dxa"/>
            <w:left w:w="108" w:type="dxa"/>
            <w:bottom w:w="0" w:type="dxa"/>
            <w:right w:w="108" w:type="dxa"/>
          </w:tblCellMar>
        </w:tblPrEx>
        <w:trPr>
          <w:trHeight w:val="364" w:hRule="atLeast"/>
        </w:trPr>
        <w:tc>
          <w:tcPr>
            <w:tcW w:w="2007" w:type="dxa"/>
            <w:vMerge w:val="restart"/>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租赁和商务服务业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100≤X＜300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10≤X＜100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X＜10</w:t>
            </w:r>
          </w:p>
        </w:tc>
      </w:tr>
      <w:tr>
        <w:tblPrEx>
          <w:tblCellMar>
            <w:top w:w="0" w:type="dxa"/>
            <w:left w:w="108" w:type="dxa"/>
            <w:bottom w:w="0" w:type="dxa"/>
            <w:right w:w="108" w:type="dxa"/>
          </w:tblCellMar>
        </w:tblPrEx>
        <w:trPr>
          <w:trHeight w:val="364" w:hRule="atLeast"/>
        </w:trPr>
        <w:tc>
          <w:tcPr>
            <w:tcW w:w="20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资产总额（Z）</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万元</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8000≤Z＜120000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100≤Z＜8000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Y＜100</w:t>
            </w:r>
          </w:p>
        </w:tc>
      </w:tr>
      <w:tr>
        <w:tblPrEx>
          <w:tblCellMar>
            <w:top w:w="0" w:type="dxa"/>
            <w:left w:w="108" w:type="dxa"/>
            <w:bottom w:w="0" w:type="dxa"/>
            <w:right w:w="108" w:type="dxa"/>
          </w:tblCellMar>
        </w:tblPrEx>
        <w:trPr>
          <w:trHeight w:val="375" w:hRule="atLeast"/>
        </w:trPr>
        <w:tc>
          <w:tcPr>
            <w:tcW w:w="2007"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bCs/>
                <w:kern w:val="0"/>
                <w:sz w:val="20"/>
                <w:szCs w:val="20"/>
              </w:rPr>
            </w:pPr>
            <w:r>
              <w:rPr>
                <w:rFonts w:hint="eastAsia" w:ascii="宋体" w:hAnsi="宋体" w:cs="宋体"/>
                <w:b/>
                <w:bCs/>
                <w:kern w:val="0"/>
                <w:sz w:val="20"/>
                <w:szCs w:val="20"/>
              </w:rPr>
              <w:t>其他未列明行业</w:t>
            </w:r>
          </w:p>
        </w:tc>
        <w:tc>
          <w:tcPr>
            <w:tcW w:w="1633"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从业人员（X）</w:t>
            </w:r>
          </w:p>
        </w:tc>
        <w:tc>
          <w:tcPr>
            <w:tcW w:w="1077"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人</w:t>
            </w:r>
          </w:p>
        </w:tc>
        <w:tc>
          <w:tcPr>
            <w:tcW w:w="191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100≤X＜300</w:t>
            </w:r>
          </w:p>
        </w:tc>
        <w:tc>
          <w:tcPr>
            <w:tcW w:w="1699"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10≤X＜100</w:t>
            </w:r>
          </w:p>
        </w:tc>
        <w:tc>
          <w:tcPr>
            <w:tcW w:w="1091"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X＜10</w:t>
            </w:r>
          </w:p>
        </w:tc>
      </w:tr>
    </w:tbl>
    <w:p>
      <w:pPr>
        <w:spacing w:line="360" w:lineRule="auto"/>
        <w:ind w:firstLine="600" w:firstLineChars="250"/>
        <w:rPr>
          <w:rFonts w:ascii="宋体" w:hAnsi="宋体" w:cs="宋体"/>
          <w:sz w:val="24"/>
        </w:rPr>
      </w:pPr>
      <w:r>
        <w:rPr>
          <w:rFonts w:hint="eastAsia" w:ascii="宋体" w:hAnsi="宋体" w:cs="宋体"/>
          <w:sz w:val="24"/>
        </w:rPr>
        <w:t>说明：上述标准参照《关于印发中小企业划型标准规定的通知》（工信部联企业[2011]300号），大型、中型和小型企业须同时满足所列指标的下限，否则下划一档；微型企业只须满足所列指标中的一项即可。</w:t>
      </w:r>
    </w:p>
    <w:p>
      <w:pPr>
        <w:widowControl/>
        <w:jc w:val="left"/>
        <w:rPr>
          <w:rFonts w:ascii="宋体" w:hAnsi="宋体" w:cs="宋体"/>
          <w:sz w:val="24"/>
        </w:rPr>
        <w:sectPr>
          <w:footerReference r:id="rId5" w:type="default"/>
          <w:pgSz w:w="11906" w:h="16838"/>
          <w:pgMar w:top="1134" w:right="1134" w:bottom="1134" w:left="1134" w:header="720" w:footer="720" w:gutter="0"/>
          <w:pgNumType w:start="1"/>
          <w:cols w:space="720" w:num="1"/>
          <w:docGrid w:type="lines" w:linePitch="331" w:charSpace="0"/>
        </w:sectPr>
      </w:pPr>
    </w:p>
    <w:p>
      <w:pPr>
        <w:pStyle w:val="4"/>
        <w:spacing w:before="120" w:line="360" w:lineRule="auto"/>
        <w:ind w:firstLine="880"/>
        <w:jc w:val="center"/>
        <w:rPr>
          <w:rFonts w:ascii="宋体" w:hAnsi="宋体" w:cs="宋体"/>
        </w:rPr>
      </w:pPr>
      <w:r>
        <w:rPr>
          <w:rFonts w:hint="eastAsia" w:ascii="宋体" w:hAnsi="宋体" w:cs="宋体"/>
        </w:rPr>
        <w:t>第三章  投标人须知</w:t>
      </w:r>
      <w:bookmarkEnd w:id="41"/>
    </w:p>
    <w:p>
      <w:pPr>
        <w:spacing w:before="120" w:line="360" w:lineRule="auto"/>
        <w:ind w:firstLine="723"/>
        <w:jc w:val="center"/>
        <w:rPr>
          <w:rFonts w:ascii="宋体" w:hAnsi="宋体" w:cs="宋体"/>
          <w:sz w:val="36"/>
          <w:szCs w:val="36"/>
        </w:rPr>
      </w:pPr>
      <w:bookmarkStart w:id="42" w:name="_Toc254970526"/>
      <w:bookmarkStart w:id="43" w:name="_Toc254970667"/>
      <w:r>
        <w:rPr>
          <w:rFonts w:hint="eastAsia" w:ascii="宋体" w:hAnsi="宋体" w:cs="宋体"/>
          <w:sz w:val="36"/>
          <w:szCs w:val="36"/>
        </w:rPr>
        <w:t>投标人须知前附表</w:t>
      </w:r>
      <w:bookmarkEnd w:id="42"/>
      <w:bookmarkEnd w:id="43"/>
    </w:p>
    <w:p>
      <w:pPr>
        <w:spacing w:before="120"/>
        <w:ind w:firstLine="723"/>
        <w:jc w:val="center"/>
        <w:rPr>
          <w:rFonts w:ascii="宋体" w:hAnsi="宋体" w:cs="宋体"/>
          <w:sz w:val="36"/>
          <w:szCs w:val="36"/>
        </w:rPr>
      </w:pPr>
    </w:p>
    <w:tbl>
      <w:tblPr>
        <w:tblStyle w:val="47"/>
        <w:tblW w:w="96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7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jc w:val="left"/>
              <w:rPr>
                <w:rFonts w:ascii="宋体" w:hAnsi="宋体" w:cs="宋体"/>
                <w:sz w:val="24"/>
              </w:rPr>
            </w:pPr>
            <w:r>
              <w:rPr>
                <w:rFonts w:hint="eastAsia" w:ascii="宋体" w:hAnsi="宋体" w:cs="宋体"/>
                <w:sz w:val="24"/>
              </w:rPr>
              <w:t>条款号</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jc w:val="center"/>
              <w:rPr>
                <w:rFonts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sz w:val="24"/>
              </w:rPr>
              <w:t>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jc w:val="left"/>
              <w:rPr>
                <w:rFonts w:ascii="宋体" w:hAnsi="宋体" w:cs="宋体"/>
                <w:sz w:val="24"/>
              </w:rPr>
            </w:pPr>
            <w:r>
              <w:rPr>
                <w:rFonts w:hint="eastAsia" w:ascii="宋体" w:hAnsi="宋体" w:cs="宋体"/>
                <w:sz w:val="24"/>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44" w:name="_8.1"/>
            <w:bookmarkEnd w:id="44"/>
            <w:bookmarkStart w:id="45" w:name="_9.2"/>
            <w:bookmarkEnd w:id="45"/>
            <w:bookmarkStart w:id="46" w:name="_5"/>
            <w:bookmarkEnd w:id="46"/>
            <w:r>
              <w:rPr>
                <w:rFonts w:hint="eastAsia" w:ascii="宋体" w:hAnsi="宋体" w:cs="宋体"/>
                <w:sz w:val="24"/>
              </w:rPr>
              <w:t>6.1</w:t>
            </w:r>
          </w:p>
        </w:tc>
        <w:tc>
          <w:tcPr>
            <w:tcW w:w="8708" w:type="dxa"/>
            <w:tcBorders>
              <w:top w:val="single" w:color="auto" w:sz="4" w:space="0"/>
              <w:left w:val="single" w:color="auto" w:sz="4" w:space="0"/>
              <w:bottom w:val="single" w:color="auto" w:sz="4" w:space="0"/>
              <w:right w:val="single" w:color="auto" w:sz="4" w:space="0"/>
            </w:tcBorders>
            <w:vAlign w:val="center"/>
          </w:tcPr>
          <w:p>
            <w:pPr>
              <w:pStyle w:val="18"/>
              <w:spacing w:before="120" w:line="360" w:lineRule="auto"/>
              <w:rPr>
                <w:rFonts w:ascii="宋体" w:hAnsi="宋体" w:cs="宋体"/>
                <w:sz w:val="24"/>
              </w:rPr>
            </w:pPr>
            <w:r>
              <w:rPr>
                <w:rFonts w:hint="eastAsia" w:ascii="宋体" w:hAnsi="宋体" w:cs="宋体"/>
                <w:sz w:val="24"/>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sz w:val="24"/>
              </w:rPr>
              <w:t>6.2</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bookmarkStart w:id="47" w:name="_Hlk54105293"/>
            <w:r>
              <w:rPr>
                <w:rFonts w:hint="eastAsia" w:ascii="宋体" w:hAnsi="宋体" w:cs="宋体"/>
                <w:sz w:val="24"/>
              </w:rPr>
              <w:t>如接受联合体投标，</w:t>
            </w:r>
            <w:bookmarkEnd w:id="47"/>
            <w:r>
              <w:rPr>
                <w:rFonts w:hint="eastAsia" w:ascii="宋体" w:hAnsi="宋体" w:cs="宋体"/>
                <w:sz w:val="24"/>
              </w:rPr>
              <w:t>联合体投标要求如下：</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两个以上供应商可以组成一个投标联合体，以一个投标人的身份共同参加投标，联合体投标人的名称应统一按“XXX 公司与 XXX 公司的联合体”的规则填写。</w:t>
            </w:r>
            <w:r>
              <w:rPr>
                <w:rFonts w:hint="eastAsia" w:ascii="宋体" w:hAnsi="宋体" w:cs="宋体"/>
                <w:sz w:val="24"/>
              </w:rPr>
              <w:tab/>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本项目招标公告“申请人的资格要求”第3点 “3、本项目的特定资格要求”的要求。</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3</w:t>
            </w:r>
            <w:r>
              <w:rPr>
                <w:rFonts w:hint="eastAsia" w:ascii="宋体" w:hAnsi="宋体" w:cs="宋体"/>
                <w:bCs/>
                <w:sz w:val="24"/>
              </w:rPr>
              <w:t>.</w:t>
            </w:r>
            <w:r>
              <w:rPr>
                <w:rFonts w:hint="eastAsia" w:ascii="宋体" w:hAnsi="宋体" w:cs="宋体"/>
                <w:sz w:val="24"/>
              </w:rPr>
              <w:t>联合体投标的，须提供《联合体投标协议书》（格式后附），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r>
              <w:rPr>
                <w:rFonts w:hint="eastAsia" w:ascii="宋体" w:hAnsi="宋体" w:cs="宋体"/>
                <w:sz w:val="24"/>
              </w:rPr>
              <w:tab/>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4</w:t>
            </w:r>
            <w:r>
              <w:rPr>
                <w:rFonts w:hint="eastAsia" w:ascii="宋体" w:hAnsi="宋体" w:cs="宋体"/>
                <w:bCs/>
                <w:sz w:val="24"/>
              </w:rPr>
              <w:t>.</w:t>
            </w:r>
            <w:r>
              <w:rPr>
                <w:rFonts w:hint="eastAsia" w:ascii="宋体" w:hAnsi="宋体" w:cs="宋体"/>
                <w:sz w:val="24"/>
              </w:rPr>
              <w:t>以联合体形式参加政府采购活动的，联合体各方不得再单独参加或者与其他投标人另外组成联合体参加同一合同项下的政府采购活动，否则与之相关的投标文件作废。</w:t>
            </w:r>
            <w:r>
              <w:rPr>
                <w:rFonts w:hint="eastAsia" w:ascii="宋体" w:hAnsi="宋体" w:cs="宋体"/>
                <w:sz w:val="24"/>
              </w:rPr>
              <w:tab/>
            </w:r>
            <w:r>
              <w:rPr>
                <w:rFonts w:hint="eastAsia" w:ascii="宋体" w:hAnsi="宋体" w:cs="宋体"/>
                <w:sz w:val="24"/>
              </w:rPr>
              <w:tab/>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5</w:t>
            </w:r>
            <w:r>
              <w:rPr>
                <w:rFonts w:hint="eastAsia" w:ascii="宋体" w:hAnsi="宋体" w:cs="宋体"/>
                <w:bCs/>
                <w:sz w:val="24"/>
              </w:rPr>
              <w:t>.</w:t>
            </w:r>
            <w:r>
              <w:rPr>
                <w:rFonts w:hint="eastAsia" w:ascii="宋体" w:hAnsi="宋体" w:cs="宋体"/>
                <w:sz w:val="24"/>
              </w:rPr>
              <w:t>联合体中有同类资质的投标人按照联合体分工承担相同工作的，应当按照资质等级较低的投标人确定资质等级。</w:t>
            </w:r>
            <w:r>
              <w:rPr>
                <w:rFonts w:hint="eastAsia" w:ascii="宋体" w:hAnsi="宋体" w:cs="宋体"/>
                <w:sz w:val="24"/>
              </w:rPr>
              <w:tab/>
            </w:r>
            <w:r>
              <w:rPr>
                <w:rFonts w:hint="eastAsia" w:ascii="宋体" w:hAnsi="宋体" w:cs="宋体"/>
                <w:sz w:val="24"/>
              </w:rPr>
              <w:tab/>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6</w:t>
            </w:r>
            <w:r>
              <w:rPr>
                <w:rFonts w:hint="eastAsia" w:ascii="宋体" w:hAnsi="宋体" w:cs="宋体"/>
                <w:bCs/>
                <w:sz w:val="24"/>
              </w:rPr>
              <w:t>.</w:t>
            </w:r>
            <w:r>
              <w:rPr>
                <w:rFonts w:hint="eastAsia" w:ascii="宋体" w:hAnsi="宋体" w:cs="宋体"/>
                <w:sz w:val="24"/>
              </w:rPr>
              <w:t>联合体投标业绩、履约能力按照联合体各方其中较高的一方认定并计算（招标文件另有规定的除外）。</w:t>
            </w:r>
            <w:r>
              <w:rPr>
                <w:rFonts w:hint="eastAsia" w:ascii="宋体" w:hAnsi="宋体" w:cs="宋体"/>
                <w:sz w:val="24"/>
              </w:rPr>
              <w:tab/>
            </w:r>
            <w:r>
              <w:rPr>
                <w:rFonts w:hint="eastAsia" w:ascii="宋体" w:hAnsi="宋体" w:cs="宋体"/>
                <w:sz w:val="24"/>
              </w:rPr>
              <w:tab/>
            </w:r>
            <w:r>
              <w:rPr>
                <w:rFonts w:hint="eastAsia" w:ascii="宋体" w:hAnsi="宋体" w:cs="宋体"/>
                <w:sz w:val="24"/>
              </w:rPr>
              <w:tab/>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7</w:t>
            </w:r>
            <w:r>
              <w:rPr>
                <w:rFonts w:hint="eastAsia" w:ascii="宋体" w:hAnsi="宋体" w:cs="宋体"/>
                <w:bCs/>
                <w:sz w:val="24"/>
              </w:rPr>
              <w:t>.</w:t>
            </w:r>
            <w:r>
              <w:rPr>
                <w:rFonts w:hint="eastAsia" w:ascii="宋体" w:hAnsi="宋体" w:cs="宋体"/>
                <w:sz w:val="24"/>
              </w:rPr>
              <w:t>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sz w:val="24"/>
              </w:rPr>
              <w:t>7.2</w:t>
            </w:r>
          </w:p>
        </w:tc>
        <w:tc>
          <w:tcPr>
            <w:tcW w:w="8708" w:type="dxa"/>
            <w:tcBorders>
              <w:top w:val="single" w:color="auto" w:sz="4" w:space="0"/>
              <w:left w:val="single" w:color="auto" w:sz="4" w:space="0"/>
              <w:bottom w:val="single" w:color="auto" w:sz="4" w:space="0"/>
              <w:right w:val="single" w:color="auto" w:sz="4" w:space="0"/>
            </w:tcBorders>
            <w:vAlign w:val="center"/>
          </w:tcPr>
          <w:p>
            <w:pPr>
              <w:pStyle w:val="18"/>
              <w:spacing w:before="120" w:line="360" w:lineRule="auto"/>
              <w:rPr>
                <w:rFonts w:ascii="宋体" w:hAnsi="宋体" w:cs="宋体"/>
                <w:sz w:val="24"/>
              </w:rPr>
            </w:pPr>
            <w:r>
              <w:rPr>
                <w:rFonts w:hint="eastAsia" w:ascii="宋体" w:hAnsi="宋体" w:cs="宋体"/>
                <w:sz w:val="24"/>
              </w:rPr>
              <w:sym w:font="Wingdings" w:char="00FE"/>
            </w:r>
            <w:r>
              <w:rPr>
                <w:rFonts w:hint="eastAsia" w:ascii="宋体" w:hAnsi="宋体" w:cs="宋体"/>
                <w:sz w:val="24"/>
              </w:rPr>
              <w:t>本项目不允许分包。</w:t>
            </w:r>
          </w:p>
          <w:p>
            <w:pPr>
              <w:pStyle w:val="18"/>
              <w:spacing w:before="120" w:line="360" w:lineRule="auto"/>
              <w:rPr>
                <w:rFonts w:ascii="宋体" w:hAnsi="宋体" w:cs="宋体"/>
                <w:sz w:val="24"/>
              </w:rPr>
            </w:pPr>
            <w:r>
              <w:rPr>
                <w:rFonts w:hint="eastAsia" w:ascii="宋体" w:hAnsi="宋体" w:cs="宋体"/>
                <w:sz w:val="24"/>
              </w:rPr>
              <w:sym w:font="Wingdings" w:char="00A8"/>
            </w:r>
            <w:r>
              <w:rPr>
                <w:rFonts w:hint="eastAsia" w:ascii="宋体" w:hAnsi="宋体" w:cs="宋体"/>
                <w:sz w:val="24"/>
              </w:rPr>
              <w:t>本项目允许分包：</w:t>
            </w:r>
          </w:p>
          <w:p>
            <w:pPr>
              <w:pStyle w:val="18"/>
              <w:spacing w:before="120" w:line="360" w:lineRule="auto"/>
              <w:rPr>
                <w:rFonts w:ascii="宋体" w:hAnsi="宋体" w:cs="宋体"/>
                <w:sz w:val="24"/>
                <w:u w:val="single"/>
              </w:rPr>
            </w:pPr>
            <w:r>
              <w:rPr>
                <w:rFonts w:hint="eastAsia" w:ascii="宋体" w:hAnsi="宋体" w:cs="宋体"/>
                <w:sz w:val="24"/>
              </w:rPr>
              <w:t>分包内容：</w:t>
            </w:r>
            <w:r>
              <w:rPr>
                <w:rFonts w:hint="eastAsia" w:ascii="宋体" w:hAnsi="宋体" w:cs="宋体"/>
                <w:sz w:val="24"/>
                <w:u w:val="single"/>
              </w:rPr>
              <w:t>/</w:t>
            </w:r>
          </w:p>
          <w:p>
            <w:pPr>
              <w:pStyle w:val="18"/>
              <w:spacing w:before="120" w:line="360" w:lineRule="auto"/>
              <w:jc w:val="both"/>
              <w:rPr>
                <w:rFonts w:ascii="宋体" w:hAnsi="宋体" w:cs="宋体"/>
                <w:sz w:val="24"/>
                <w:u w:val="single"/>
              </w:rPr>
            </w:pPr>
            <w:r>
              <w:rPr>
                <w:rFonts w:hint="eastAsia" w:ascii="宋体" w:hAnsi="宋体" w:cs="宋体"/>
                <w:sz w:val="24"/>
              </w:rPr>
              <w:t>分包金额或者比例：</w:t>
            </w:r>
            <w:r>
              <w:rPr>
                <w:rFonts w:hint="eastAsia" w:ascii="宋体" w:hAnsi="宋体" w:cs="宋体"/>
                <w:sz w:val="24"/>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sz w:val="24"/>
              </w:rPr>
              <w:t>8.1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采用最低评标价法的采购项目，提供相同品牌产品（非单一产品采购项目的，指核心产品）的不同投标人评标价相同时，按照下列方式确定一个投标人获得中标人推荐资格：评标委员会按投标报价低的原则确定，投标报价相同的按节能环保优先、技术指标高优先、质量保证期长优先、交货期短优先、故障响应时间短优先的顺序依次确定。</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b/>
                <w:bCs/>
                <w:sz w:val="24"/>
              </w:rPr>
              <w:t>采用综合评分法的采购项目，提供相同品牌产品（非单一产品采购项目的，指核心产品）的不同投标人评审后得分最高的同品牌投标人获得中标人推荐资格；评审得分相同时，依次按照投标报价低的优先、政策分得分高的优先、技术评分高的优先、商务评分高的优先、质量保证期长优先、交货期短优先、故障响应时间短优先的顺序确定一个投标人获得中标人推荐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895" w:type="dxa"/>
            <w:vMerge w:val="restart"/>
            <w:tcBorders>
              <w:top w:val="single" w:color="auto" w:sz="4" w:space="0"/>
              <w:left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sz w:val="24"/>
              </w:rPr>
              <w:t>11.5</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sz w:val="24"/>
              </w:rPr>
            </w:pPr>
            <w:r>
              <w:rPr>
                <w:rFonts w:hint="eastAsia" w:ascii="宋体" w:hAnsi="宋体" w:cs="宋体"/>
                <w:sz w:val="24"/>
              </w:rPr>
              <w:t>本项目是否组织现场考察：是</w:t>
            </w:r>
            <w:r>
              <w:rPr>
                <w:rFonts w:hint="eastAsia" w:ascii="黑体" w:hAnsi="黑体" w:eastAsia="黑体" w:cs="宋体"/>
                <w:b/>
                <w:sz w:val="24"/>
              </w:rPr>
              <w:sym w:font="Wingdings" w:char="00FE"/>
            </w:r>
            <w:r>
              <w:rPr>
                <w:rFonts w:hint="eastAsia" w:ascii="宋体" w:hAnsi="宋体" w:eastAsia="黑体" w:cs="宋体"/>
                <w:sz w:val="24"/>
              </w:rPr>
              <w:t xml:space="preserve">   </w:t>
            </w:r>
            <w:r>
              <w:rPr>
                <w:rFonts w:hint="eastAsia" w:ascii="宋体" w:hAnsi="宋体" w:cs="宋体"/>
                <w:sz w:val="24"/>
              </w:rPr>
              <w:t>否</w:t>
            </w:r>
            <w:r>
              <w:rPr>
                <w:rFonts w:hint="eastAsia" w:ascii="黑体" w:hAnsi="黑体" w:eastAsia="黑体" w:cs="宋体"/>
                <w:b/>
                <w:sz w:val="24"/>
              </w:rPr>
              <w:sym w:font="Wingdings" w:char="00A8"/>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895" w:type="dxa"/>
            <w:vMerge w:val="continue"/>
            <w:tcBorders>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sz w:val="24"/>
              </w:rPr>
            </w:pPr>
            <w:r>
              <w:rPr>
                <w:rFonts w:hint="eastAsia" w:ascii="宋体" w:hAnsi="宋体" w:cs="宋体"/>
                <w:sz w:val="24"/>
              </w:rPr>
              <w:sym w:font="Wingdings" w:char="00FE"/>
            </w:r>
            <w:r>
              <w:rPr>
                <w:rFonts w:hint="eastAsia" w:ascii="宋体" w:hAnsi="宋体" w:cs="宋体"/>
                <w:sz w:val="24"/>
              </w:rPr>
              <w:t>本项目不组织召开开标前答疑会。</w:t>
            </w:r>
          </w:p>
          <w:p>
            <w:pPr>
              <w:snapToGrid w:val="0"/>
              <w:spacing w:before="120" w:line="360" w:lineRule="auto"/>
              <w:rPr>
                <w:rFonts w:ascii="宋体" w:hAnsi="宋体" w:cs="宋体"/>
                <w:sz w:val="24"/>
              </w:rPr>
            </w:pPr>
            <w:r>
              <w:rPr>
                <w:rFonts w:hint="eastAsia" w:ascii="宋体" w:hAnsi="宋体" w:cs="宋体"/>
                <w:sz w:val="24"/>
              </w:rPr>
              <w:sym w:font="Wingdings" w:char="00A8"/>
            </w:r>
            <w:r>
              <w:rPr>
                <w:rFonts w:hint="eastAsia" w:ascii="宋体" w:hAnsi="宋体" w:cs="宋体"/>
                <w:sz w:val="24"/>
              </w:rPr>
              <w:t>本项目组织召开开标前答疑会：详见商务条款。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restart"/>
            <w:tcBorders>
              <w:top w:val="single" w:color="auto" w:sz="4" w:space="0"/>
              <w:left w:val="single" w:color="auto" w:sz="4" w:space="0"/>
              <w:right w:val="single" w:color="auto" w:sz="4" w:space="0"/>
            </w:tcBorders>
            <w:vAlign w:val="center"/>
          </w:tcPr>
          <w:p>
            <w:pPr>
              <w:spacing w:before="120" w:line="360" w:lineRule="auto"/>
              <w:jc w:val="center"/>
              <w:rPr>
                <w:rFonts w:ascii="宋体" w:hAnsi="宋体" w:cs="宋体"/>
                <w:sz w:val="24"/>
              </w:rPr>
            </w:pPr>
            <w:bookmarkStart w:id="48" w:name="_13.1"/>
            <w:bookmarkEnd w:id="48"/>
            <w:r>
              <w:rPr>
                <w:rFonts w:hint="eastAsia" w:ascii="宋体" w:hAnsi="宋体" w:cs="宋体"/>
                <w:sz w:val="24"/>
              </w:rPr>
              <w:t>13.</w:t>
            </w:r>
            <w:bookmarkStart w:id="49" w:name="_Hlt19632543"/>
            <w:r>
              <w:rPr>
                <w:rFonts w:hint="eastAsia" w:ascii="宋体" w:hAnsi="宋体" w:cs="宋体"/>
                <w:sz w:val="24"/>
              </w:rPr>
              <w:t>1</w:t>
            </w:r>
            <w:bookmarkEnd w:id="49"/>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报价文件：</w:t>
            </w:r>
          </w:p>
          <w:p>
            <w:pPr>
              <w:autoSpaceDE w:val="0"/>
              <w:autoSpaceDN w:val="0"/>
              <w:snapToGrid w:val="0"/>
              <w:spacing w:before="120" w:line="360" w:lineRule="auto"/>
              <w:textAlignment w:val="bottom"/>
              <w:rPr>
                <w:rFonts w:ascii="宋体" w:hAnsi="宋体" w:cs="宋体"/>
                <w:b/>
                <w:bCs/>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投标函（格式后附）；</w:t>
            </w:r>
            <w:r>
              <w:rPr>
                <w:rFonts w:hint="eastAsia" w:ascii="宋体" w:hAnsi="宋体" w:cs="宋体"/>
                <w:b/>
                <w:bCs/>
                <w:sz w:val="24"/>
              </w:rPr>
              <w:t>（必须提供，否则按无效投标处理）</w:t>
            </w:r>
          </w:p>
          <w:p>
            <w:pPr>
              <w:autoSpaceDE w:val="0"/>
              <w:autoSpaceDN w:val="0"/>
              <w:snapToGrid w:val="0"/>
              <w:spacing w:before="120" w:line="360" w:lineRule="auto"/>
              <w:textAlignment w:val="bottom"/>
              <w:rPr>
                <w:rFonts w:ascii="宋体" w:hAnsi="宋体" w:cs="宋体"/>
                <w:b/>
                <w:bCs/>
                <w:sz w:val="24"/>
              </w:rPr>
            </w:pPr>
            <w:bookmarkStart w:id="50" w:name="_Hlk71299233"/>
            <w:r>
              <w:rPr>
                <w:rFonts w:hint="eastAsia" w:ascii="宋体" w:hAnsi="宋体" w:cs="宋体"/>
                <w:sz w:val="24"/>
              </w:rPr>
              <w:t>2</w:t>
            </w:r>
            <w:r>
              <w:rPr>
                <w:rFonts w:hint="eastAsia" w:ascii="宋体" w:hAnsi="宋体" w:cs="宋体"/>
                <w:bCs/>
                <w:sz w:val="24"/>
              </w:rPr>
              <w:t>.</w:t>
            </w:r>
            <w:r>
              <w:rPr>
                <w:rFonts w:hint="eastAsia" w:ascii="宋体" w:hAnsi="宋体" w:cs="宋体"/>
                <w:sz w:val="24"/>
              </w:rPr>
              <w:t>开标一览表</w:t>
            </w:r>
            <w:bookmarkEnd w:id="50"/>
            <w:r>
              <w:rPr>
                <w:rFonts w:hint="eastAsia" w:ascii="宋体" w:hAnsi="宋体" w:cs="宋体"/>
                <w:sz w:val="24"/>
              </w:rPr>
              <w:t>（格式后附）；</w:t>
            </w:r>
            <w:r>
              <w:rPr>
                <w:rFonts w:hint="eastAsia" w:ascii="宋体" w:hAnsi="宋体" w:cs="宋体"/>
                <w:b/>
                <w:bCs/>
                <w:sz w:val="24"/>
              </w:rPr>
              <w:t xml:space="preserve"> （必须提供，否则按无效投标处理）</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3</w:t>
            </w:r>
            <w:r>
              <w:rPr>
                <w:rFonts w:hint="eastAsia" w:ascii="宋体" w:hAnsi="宋体" w:cs="宋体"/>
                <w:bCs/>
                <w:sz w:val="24"/>
              </w:rPr>
              <w:t>.</w:t>
            </w:r>
            <w:r>
              <w:rPr>
                <w:rFonts w:hint="eastAsia" w:ascii="宋体" w:hAnsi="宋体" w:cs="宋体"/>
                <w:sz w:val="24"/>
              </w:rPr>
              <w:t>中小企业声明函（或残疾人福利性单位声明函或监狱企业声明函，残疾人福利性单位或监狱企业视同小微企业）（格式后附）；</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4</w:t>
            </w:r>
            <w:r>
              <w:rPr>
                <w:rFonts w:hint="eastAsia" w:ascii="宋体" w:hAnsi="宋体" w:cs="宋体"/>
                <w:bCs/>
                <w:sz w:val="24"/>
              </w:rPr>
              <w:t>.</w:t>
            </w:r>
            <w:r>
              <w:rPr>
                <w:rFonts w:hint="eastAsia" w:ascii="宋体" w:hAnsi="宋体" w:cs="宋体"/>
                <w:sz w:val="24"/>
              </w:rPr>
              <w:t>投标人针对报价需要说明的其他文件和说明（格式自拟）。</w:t>
            </w:r>
          </w:p>
          <w:p>
            <w:pPr>
              <w:autoSpaceDE w:val="0"/>
              <w:autoSpaceDN w:val="0"/>
              <w:snapToGrid w:val="0"/>
              <w:spacing w:before="120" w:line="360" w:lineRule="auto"/>
              <w:textAlignment w:val="bottom"/>
            </w:pPr>
            <w:r>
              <w:rPr>
                <w:rFonts w:hint="eastAsia" w:ascii="宋体" w:hAnsi="宋体" w:cs="宋体"/>
                <w:sz w:val="24"/>
              </w:rPr>
              <w:t>注：投标函、开标一览表必须由法定代表人或者委托代理人在规定签章处逐一签字并加盖投标人公章，否则按无效投标处理。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vAlign w:val="center"/>
          </w:tcPr>
          <w:p>
            <w:pPr>
              <w:spacing w:before="120" w:line="360" w:lineRule="auto"/>
              <w:rPr>
                <w:rFonts w:ascii="宋体" w:hAnsi="宋体" w:cs="宋体"/>
                <w:sz w:val="24"/>
              </w:rPr>
            </w:pPr>
            <w:bookmarkStart w:id="51" w:name="_13.2"/>
            <w:bookmarkEnd w:id="51"/>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ind w:firstLine="480"/>
              <w:jc w:val="left"/>
              <w:rPr>
                <w:rFonts w:ascii="宋体" w:hAnsi="宋体" w:cs="宋体"/>
                <w:b/>
                <w:sz w:val="24"/>
              </w:rPr>
            </w:pPr>
            <w:r>
              <w:rPr>
                <w:rFonts w:hint="eastAsia" w:ascii="宋体" w:hAnsi="宋体" w:cs="宋体"/>
                <w:b/>
                <w:sz w:val="24"/>
              </w:rPr>
              <w:t>资格证明文件：</w:t>
            </w:r>
          </w:p>
          <w:p>
            <w:pPr>
              <w:autoSpaceDE w:val="0"/>
              <w:autoSpaceDN w:val="0"/>
              <w:snapToGrid w:val="0"/>
              <w:spacing w:before="120" w:line="360" w:lineRule="auto"/>
              <w:textAlignment w:val="bottom"/>
              <w:rPr>
                <w:rFonts w:ascii="宋体" w:hAnsi="宋体" w:cs="宋体"/>
                <w:b/>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投标人为法人或者其他组织的，证明文件为其营业执照复印件（如营业执照或者事业单位法人证书或者执业许可证等）；投标人为自然人的，证明文件为其身份证复印件；</w:t>
            </w:r>
            <w:r>
              <w:rPr>
                <w:rFonts w:hint="eastAsia" w:ascii="宋体" w:hAnsi="宋体" w:cs="宋体"/>
                <w:b/>
                <w:sz w:val="24"/>
              </w:rPr>
              <w:t>（必须提供，否则投标文件按无效投标处理）</w:t>
            </w:r>
          </w:p>
          <w:p>
            <w:pPr>
              <w:autoSpaceDE w:val="0"/>
              <w:autoSpaceDN w:val="0"/>
              <w:snapToGrid w:val="0"/>
              <w:spacing w:before="120" w:line="360" w:lineRule="auto"/>
              <w:textAlignment w:val="bottom"/>
              <w:rPr>
                <w:rFonts w:ascii="宋体" w:hAnsi="宋体" w:cs="宋体"/>
                <w:b/>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投标人依法缴纳税收的相关材料（投标截止之日止半年内连续三个月依法缴纳税收的凭据复印件；依法免税的供应商，必须提供相应文件证明其依法免税。从取得营业执照时间起到投标文件提交截止时间止不足要求月数的，只需提供从取得营业执照时间起的依法缴纳税收相应证明文件）；</w:t>
            </w:r>
            <w:r>
              <w:rPr>
                <w:rFonts w:hint="eastAsia" w:ascii="宋体" w:hAnsi="宋体" w:cs="宋体"/>
                <w:b/>
                <w:sz w:val="24"/>
              </w:rPr>
              <w:t>（必须提供，否则按无效投标处理）</w:t>
            </w:r>
          </w:p>
          <w:p>
            <w:pPr>
              <w:autoSpaceDE w:val="0"/>
              <w:autoSpaceDN w:val="0"/>
              <w:snapToGrid w:val="0"/>
              <w:spacing w:before="120" w:line="360" w:lineRule="auto"/>
              <w:textAlignment w:val="bottom"/>
              <w:rPr>
                <w:rFonts w:ascii="宋体" w:hAnsi="宋体" w:cs="宋体"/>
                <w:b/>
                <w:sz w:val="24"/>
              </w:rPr>
            </w:pPr>
            <w:r>
              <w:rPr>
                <w:rFonts w:hint="eastAsia" w:ascii="宋体" w:hAnsi="宋体" w:cs="宋体"/>
                <w:sz w:val="24"/>
              </w:rPr>
              <w:t>3</w:t>
            </w:r>
            <w:r>
              <w:rPr>
                <w:rFonts w:hint="eastAsia" w:ascii="宋体" w:hAnsi="宋体" w:cs="宋体"/>
                <w:bCs/>
                <w:sz w:val="24"/>
              </w:rPr>
              <w:t>.</w:t>
            </w:r>
            <w:r>
              <w:rPr>
                <w:rFonts w:hint="eastAsia" w:ascii="宋体" w:hAnsi="宋体" w:cs="宋体"/>
                <w:sz w:val="24"/>
              </w:rPr>
              <w:t>投标人依法缴纳社会保障资金的相关材料[投标截止之日止半年内连续三个月的依法缴纳社会保障资金的缴费凭证（专用收据或者社会保险缴纳清单）复印件；依法不需要缴纳社会保障资金的供应商，必须提供相应文件证明不需要缴纳社会保障资金。从取得营业执照时间起到投标文件提交截止时间止不足要求月数的只需提供从取得营业执照时间起的依法缴纳社会保障资金的相应证明文件]；</w:t>
            </w:r>
            <w:r>
              <w:rPr>
                <w:rFonts w:hint="eastAsia" w:ascii="宋体" w:hAnsi="宋体" w:cs="宋体"/>
                <w:b/>
                <w:sz w:val="24"/>
              </w:rPr>
              <w:t>（必须提供，否则按无效投标处理）</w:t>
            </w:r>
          </w:p>
          <w:p>
            <w:pPr>
              <w:autoSpaceDE w:val="0"/>
              <w:autoSpaceDN w:val="0"/>
              <w:snapToGrid w:val="0"/>
              <w:spacing w:before="120" w:line="360" w:lineRule="auto"/>
              <w:textAlignment w:val="bottom"/>
              <w:rPr>
                <w:rFonts w:ascii="宋体" w:hAnsi="宋体" w:cs="宋体"/>
                <w:b/>
                <w:sz w:val="24"/>
              </w:rPr>
            </w:pPr>
            <w:r>
              <w:rPr>
                <w:rFonts w:hint="eastAsia" w:ascii="宋体" w:hAnsi="宋体" w:cs="宋体"/>
                <w:sz w:val="24"/>
              </w:rPr>
              <w:t>4</w:t>
            </w:r>
            <w:r>
              <w:rPr>
                <w:rFonts w:hint="eastAsia" w:ascii="宋体" w:hAnsi="宋体" w:cs="宋体"/>
                <w:bCs/>
                <w:sz w:val="24"/>
              </w:rPr>
              <w:t>.</w:t>
            </w:r>
            <w:r>
              <w:rPr>
                <w:rFonts w:hint="eastAsia" w:ascii="宋体" w:hAnsi="宋体" w:cs="宋体"/>
                <w:sz w:val="24"/>
              </w:rPr>
              <w:t>投标人财务状况报告（提供2023年经审计的财务状况报告复印件，或者银行出具的资信证明（资信证明应在有效期内，未注明有效期的，银行出具时间至投标截止时间不超过一年）；</w:t>
            </w:r>
            <w:r>
              <w:rPr>
                <w:rFonts w:hint="eastAsia" w:ascii="宋体" w:hAnsi="宋体"/>
                <w:sz w:val="24"/>
              </w:rPr>
              <w:t>供应商成立不满一年的应按提供首次响应文件提交截止时间上一个月的财务状况报告复印件</w:t>
            </w:r>
            <w:r>
              <w:rPr>
                <w:rFonts w:hint="eastAsia" w:ascii="宋体" w:hAnsi="宋体" w:cs="宋体"/>
                <w:sz w:val="24"/>
              </w:rPr>
              <w:t>）；</w:t>
            </w:r>
            <w:r>
              <w:rPr>
                <w:rFonts w:hint="eastAsia" w:ascii="宋体" w:hAnsi="宋体" w:cs="宋体"/>
                <w:b/>
                <w:sz w:val="24"/>
              </w:rPr>
              <w:t>（必须提供，否则按无效投标处理）</w:t>
            </w:r>
          </w:p>
          <w:p>
            <w:pPr>
              <w:autoSpaceDE w:val="0"/>
              <w:autoSpaceDN w:val="0"/>
              <w:snapToGrid w:val="0"/>
              <w:spacing w:before="120" w:line="360" w:lineRule="auto"/>
              <w:textAlignment w:val="bottom"/>
              <w:rPr>
                <w:rFonts w:ascii="宋体" w:hAnsi="宋体" w:cs="宋体"/>
                <w:b/>
                <w:sz w:val="24"/>
              </w:rPr>
            </w:pPr>
            <w:r>
              <w:rPr>
                <w:rFonts w:hint="eastAsia" w:ascii="宋体" w:hAnsi="宋体" w:cs="宋体"/>
                <w:sz w:val="24"/>
              </w:rPr>
              <w:t>5</w:t>
            </w:r>
            <w:r>
              <w:rPr>
                <w:rFonts w:hint="eastAsia" w:ascii="宋体" w:hAnsi="宋体" w:cs="宋体"/>
                <w:bCs/>
                <w:sz w:val="24"/>
              </w:rPr>
              <w:t>.</w:t>
            </w:r>
            <w:r>
              <w:rPr>
                <w:rFonts w:hint="eastAsia" w:ascii="宋体" w:hAnsi="宋体" w:cs="宋体"/>
                <w:sz w:val="24"/>
              </w:rPr>
              <w:t>投标人直接控股、管理关系信息表（格式后附）；</w:t>
            </w:r>
            <w:r>
              <w:rPr>
                <w:rFonts w:hint="eastAsia" w:ascii="宋体" w:hAnsi="宋体" w:cs="宋体"/>
                <w:b/>
                <w:sz w:val="24"/>
              </w:rPr>
              <w:t>（必须提供，否则按无效投标处理）</w:t>
            </w:r>
          </w:p>
          <w:p>
            <w:pPr>
              <w:autoSpaceDE w:val="0"/>
              <w:autoSpaceDN w:val="0"/>
              <w:snapToGrid w:val="0"/>
              <w:spacing w:before="120" w:line="360" w:lineRule="auto"/>
              <w:textAlignment w:val="bottom"/>
              <w:rPr>
                <w:rFonts w:ascii="宋体" w:hAnsi="宋体" w:cs="宋体"/>
                <w:b/>
                <w:sz w:val="24"/>
              </w:rPr>
            </w:pPr>
            <w:r>
              <w:rPr>
                <w:rFonts w:hint="eastAsia" w:ascii="宋体" w:hAnsi="宋体" w:cs="宋体"/>
                <w:sz w:val="24"/>
              </w:rPr>
              <w:t>6</w:t>
            </w:r>
            <w:r>
              <w:rPr>
                <w:rFonts w:hint="eastAsia" w:ascii="宋体" w:hAnsi="宋体" w:cs="宋体"/>
                <w:bCs/>
                <w:sz w:val="24"/>
              </w:rPr>
              <w:t>.</w:t>
            </w:r>
            <w:r>
              <w:rPr>
                <w:rFonts w:hint="eastAsia" w:ascii="宋体" w:hAnsi="宋体" w:cs="宋体"/>
                <w:sz w:val="24"/>
              </w:rPr>
              <w:t>投标声明（格式后附）；</w:t>
            </w:r>
            <w:r>
              <w:rPr>
                <w:rFonts w:hint="eastAsia" w:ascii="宋体" w:hAnsi="宋体" w:cs="宋体"/>
                <w:b/>
                <w:sz w:val="24"/>
              </w:rPr>
              <w:t>（必须提供，否则按无效投标处理）</w:t>
            </w:r>
          </w:p>
          <w:p>
            <w:pPr>
              <w:autoSpaceDE w:val="0"/>
              <w:autoSpaceDN w:val="0"/>
              <w:snapToGrid w:val="0"/>
              <w:spacing w:before="120" w:line="360" w:lineRule="auto"/>
              <w:textAlignment w:val="bottom"/>
              <w:rPr>
                <w:rFonts w:ascii="宋体" w:hAnsi="宋体" w:cs="宋体"/>
                <w:b/>
                <w:sz w:val="24"/>
              </w:rPr>
            </w:pPr>
            <w:r>
              <w:rPr>
                <w:rFonts w:hint="eastAsia" w:ascii="宋体" w:hAnsi="宋体" w:cs="宋体"/>
                <w:sz w:val="24"/>
              </w:rPr>
              <w:t>7</w:t>
            </w:r>
            <w:r>
              <w:rPr>
                <w:rFonts w:hint="eastAsia" w:ascii="宋体" w:hAnsi="宋体" w:cs="宋体"/>
                <w:bCs/>
                <w:sz w:val="24"/>
              </w:rPr>
              <w:t>.</w:t>
            </w:r>
            <w:r>
              <w:rPr>
                <w:rFonts w:hint="eastAsia" w:ascii="宋体" w:hAnsi="宋体" w:cs="宋体"/>
                <w:sz w:val="24"/>
              </w:rPr>
              <w:t>联合体协议书（格式后附）；</w:t>
            </w:r>
            <w:r>
              <w:rPr>
                <w:rFonts w:hint="eastAsia" w:ascii="宋体" w:hAnsi="宋体" w:cs="宋体"/>
                <w:b/>
                <w:sz w:val="24"/>
              </w:rPr>
              <w:t>（如接受联合体投标且投标人是联合体时必须提供，否则按无效投标处理）</w:t>
            </w:r>
          </w:p>
          <w:p>
            <w:pPr>
              <w:autoSpaceDE w:val="0"/>
              <w:autoSpaceDN w:val="0"/>
              <w:snapToGrid w:val="0"/>
              <w:spacing w:before="120" w:line="360" w:lineRule="auto"/>
              <w:textAlignment w:val="bottom"/>
              <w:rPr>
                <w:rFonts w:ascii="宋体" w:hAnsi="宋体" w:cs="宋体"/>
                <w:b/>
                <w:sz w:val="24"/>
              </w:rPr>
            </w:pPr>
            <w:r>
              <w:rPr>
                <w:rFonts w:hint="eastAsia" w:ascii="宋体" w:hAnsi="宋体" w:cs="宋体"/>
                <w:sz w:val="24"/>
              </w:rPr>
              <w:t>8</w:t>
            </w:r>
            <w:r>
              <w:rPr>
                <w:rFonts w:hint="eastAsia" w:ascii="宋体" w:hAnsi="宋体" w:cs="宋体"/>
                <w:bCs/>
                <w:sz w:val="24"/>
              </w:rPr>
              <w:t>.</w:t>
            </w:r>
            <w:r>
              <w:rPr>
                <w:rFonts w:hint="eastAsia" w:ascii="宋体" w:hAnsi="宋体" w:cs="宋体"/>
                <w:sz w:val="24"/>
              </w:rPr>
              <w:t>公告中的特定资格要求及特定条件的资格证明材料；</w:t>
            </w:r>
            <w:r>
              <w:rPr>
                <w:rFonts w:hint="eastAsia" w:ascii="宋体" w:hAnsi="宋体" w:cs="宋体"/>
                <w:b/>
                <w:sz w:val="24"/>
              </w:rPr>
              <w:t>（公告中如有则必须提供，否则按无效投标处理）</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9</w:t>
            </w:r>
            <w:r>
              <w:rPr>
                <w:rFonts w:hint="eastAsia" w:ascii="宋体" w:hAnsi="宋体" w:cs="宋体"/>
                <w:bCs/>
                <w:sz w:val="24"/>
              </w:rPr>
              <w:t>.</w:t>
            </w:r>
            <w:r>
              <w:rPr>
                <w:rFonts w:hint="eastAsia" w:ascii="宋体" w:hAnsi="宋体" w:cs="宋体"/>
                <w:sz w:val="24"/>
              </w:rPr>
              <w:t>除招标文件规定必须提供以外，投标人认为需要提供的其他证明材料。</w:t>
            </w:r>
          </w:p>
          <w:p>
            <w:pPr>
              <w:snapToGrid w:val="0"/>
              <w:spacing w:before="120" w:line="360" w:lineRule="auto"/>
              <w:jc w:val="left"/>
              <w:rPr>
                <w:rFonts w:ascii="楷体" w:hAnsi="楷体" w:eastAsia="楷体" w:cs="宋体"/>
                <w:sz w:val="24"/>
              </w:rPr>
            </w:pPr>
            <w:r>
              <w:rPr>
                <w:rFonts w:hint="eastAsia" w:ascii="楷体" w:hAnsi="楷体" w:eastAsia="楷体" w:cs="宋体"/>
                <w:sz w:val="24"/>
              </w:rPr>
              <w:t>【注】</w:t>
            </w:r>
          </w:p>
          <w:p>
            <w:pPr>
              <w:snapToGrid w:val="0"/>
              <w:spacing w:before="120" w:line="360" w:lineRule="auto"/>
              <w:jc w:val="left"/>
              <w:rPr>
                <w:rFonts w:ascii="楷体" w:hAnsi="楷体" w:eastAsia="楷体" w:cs="宋体"/>
                <w:sz w:val="24"/>
              </w:rPr>
            </w:pPr>
            <w:r>
              <w:rPr>
                <w:rFonts w:ascii="楷体" w:hAnsi="楷体" w:eastAsia="楷体" w:cs="宋体"/>
                <w:sz w:val="24"/>
              </w:rPr>
              <w:t>1</w:t>
            </w:r>
            <w:r>
              <w:rPr>
                <w:rFonts w:ascii="楷体" w:hAnsi="楷体" w:eastAsia="楷体" w:cs="宋体"/>
                <w:bCs/>
                <w:sz w:val="24"/>
              </w:rPr>
              <w:t>.</w:t>
            </w:r>
            <w:r>
              <w:rPr>
                <w:rFonts w:hint="eastAsia" w:ascii="楷体" w:hAnsi="楷体" w:eastAsia="楷体" w:cs="宋体"/>
                <w:sz w:val="24"/>
              </w:rPr>
              <w:t>以上标明“必须提供”的材料属于复印件的，必须加盖投标人公章，否则按无效投标处理。</w:t>
            </w:r>
          </w:p>
          <w:p>
            <w:pPr>
              <w:snapToGrid w:val="0"/>
              <w:spacing w:before="120" w:line="360" w:lineRule="auto"/>
              <w:jc w:val="left"/>
              <w:rPr>
                <w:rFonts w:ascii="楷体" w:hAnsi="楷体" w:eastAsia="楷体" w:cs="宋体"/>
                <w:sz w:val="24"/>
              </w:rPr>
            </w:pPr>
            <w:r>
              <w:rPr>
                <w:rFonts w:ascii="楷体" w:hAnsi="楷体" w:eastAsia="楷体" w:cs="宋体"/>
                <w:sz w:val="24"/>
              </w:rPr>
              <w:t>2</w:t>
            </w:r>
            <w:r>
              <w:rPr>
                <w:rFonts w:ascii="楷体" w:hAnsi="楷体" w:eastAsia="楷体" w:cs="宋体"/>
                <w:bCs/>
                <w:sz w:val="24"/>
              </w:rPr>
              <w:t>.</w:t>
            </w:r>
            <w:r>
              <w:rPr>
                <w:rFonts w:hint="eastAsia" w:ascii="楷体" w:hAnsi="楷体" w:eastAsia="楷体" w:cs="宋体"/>
                <w:sz w:val="24"/>
              </w:rPr>
              <w:t>投标声明必须由法定代表人在规定签章处签字并加盖投标人公章，否则按无效投标处理。</w:t>
            </w:r>
          </w:p>
          <w:p>
            <w:pPr>
              <w:snapToGrid w:val="0"/>
              <w:spacing w:before="120" w:line="360" w:lineRule="auto"/>
              <w:jc w:val="left"/>
              <w:rPr>
                <w:rFonts w:ascii="楷体" w:hAnsi="楷体" w:eastAsia="楷体" w:cs="宋体"/>
                <w:sz w:val="24"/>
              </w:rPr>
            </w:pPr>
            <w:r>
              <w:rPr>
                <w:rFonts w:ascii="楷体" w:hAnsi="楷体" w:eastAsia="楷体" w:cs="宋体"/>
                <w:sz w:val="24"/>
              </w:rPr>
              <w:t>3</w:t>
            </w:r>
            <w:r>
              <w:rPr>
                <w:rFonts w:ascii="楷体" w:hAnsi="楷体" w:eastAsia="楷体" w:cs="宋体"/>
                <w:bCs/>
                <w:sz w:val="24"/>
              </w:rPr>
              <w:t>.</w:t>
            </w:r>
            <w:r>
              <w:rPr>
                <w:rFonts w:hint="eastAsia" w:ascii="楷体" w:hAnsi="楷体" w:eastAsia="楷体" w:cs="宋体"/>
                <w:sz w:val="24"/>
              </w:rPr>
              <w:t>投标人直接控股、管理关系信息表必须由法定代表人或者委托代理人在规定签章处签字并加盖投标人公章，否则按无效投标处理。</w:t>
            </w:r>
          </w:p>
          <w:p>
            <w:pPr>
              <w:snapToGrid w:val="0"/>
              <w:spacing w:before="120" w:line="360" w:lineRule="auto"/>
              <w:jc w:val="left"/>
              <w:rPr>
                <w:rFonts w:ascii="楷体" w:hAnsi="楷体" w:eastAsia="楷体" w:cs="宋体"/>
                <w:sz w:val="24"/>
              </w:rPr>
            </w:pPr>
            <w:r>
              <w:rPr>
                <w:rFonts w:ascii="楷体" w:hAnsi="楷体" w:eastAsia="楷体" w:cs="宋体"/>
                <w:sz w:val="24"/>
              </w:rPr>
              <w:t>4</w:t>
            </w:r>
            <w:r>
              <w:rPr>
                <w:rFonts w:ascii="楷体" w:hAnsi="楷体" w:eastAsia="楷体" w:cs="宋体"/>
                <w:bCs/>
                <w:sz w:val="24"/>
              </w:rPr>
              <w:t>.</w:t>
            </w:r>
            <w:r>
              <w:rPr>
                <w:rFonts w:hint="eastAsia" w:ascii="楷体" w:hAnsi="楷体" w:eastAsia="楷体" w:cs="宋体"/>
                <w:sz w:val="24"/>
              </w:rPr>
              <w:t>联合体投标时，以上第</w:t>
            </w:r>
            <w:r>
              <w:rPr>
                <w:rFonts w:ascii="楷体" w:hAnsi="楷体" w:eastAsia="楷体" w:cs="宋体"/>
                <w:sz w:val="24"/>
              </w:rPr>
              <w:t>1-5项资格证明文件联合体各方均必须分别提供，联合体各方分别盖章，否则按无效投标处理。</w:t>
            </w:r>
          </w:p>
          <w:p>
            <w:pPr>
              <w:snapToGrid w:val="0"/>
              <w:spacing w:before="120" w:line="360" w:lineRule="auto"/>
              <w:jc w:val="left"/>
              <w:rPr>
                <w:rFonts w:ascii="宋体" w:hAnsi="宋体" w:cs="宋体"/>
                <w:b/>
                <w:bCs/>
                <w:sz w:val="24"/>
              </w:rPr>
            </w:pPr>
            <w:r>
              <w:rPr>
                <w:rFonts w:ascii="楷体" w:hAnsi="楷体" w:eastAsia="楷体" w:cs="宋体"/>
                <w:sz w:val="24"/>
              </w:rPr>
              <w:t>5</w:t>
            </w:r>
            <w:r>
              <w:rPr>
                <w:rFonts w:ascii="楷体" w:hAnsi="楷体" w:eastAsia="楷体" w:cs="宋体"/>
                <w:bCs/>
                <w:sz w:val="24"/>
              </w:rPr>
              <w:t>.</w:t>
            </w:r>
            <w:r>
              <w:rPr>
                <w:rFonts w:hint="eastAsia" w:ascii="楷体" w:hAnsi="楷体" w:eastAsia="楷体" w:cs="宋体"/>
                <w:sz w:val="24"/>
              </w:rPr>
              <w:t>分公司参加投标的，应当取得总公司授权，否则按无效投标处理。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vAlign w:val="center"/>
          </w:tcPr>
          <w:p>
            <w:pPr>
              <w:spacing w:before="120" w:line="360" w:lineRule="auto"/>
              <w:rPr>
                <w:rFonts w:ascii="宋体" w:hAnsi="宋体" w:cs="宋体"/>
                <w:sz w:val="24"/>
              </w:rPr>
            </w:pPr>
            <w:bookmarkStart w:id="52" w:name="_13.3"/>
            <w:bookmarkEnd w:id="52"/>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ind w:firstLine="480"/>
              <w:jc w:val="left"/>
              <w:rPr>
                <w:rFonts w:ascii="宋体" w:hAnsi="宋体" w:cs="宋体"/>
                <w:b/>
                <w:sz w:val="24"/>
              </w:rPr>
            </w:pPr>
            <w:r>
              <w:rPr>
                <w:rFonts w:hint="eastAsia" w:ascii="宋体" w:hAnsi="宋体" w:cs="宋体"/>
                <w:b/>
                <w:sz w:val="24"/>
              </w:rPr>
              <w:t>商务文件：</w:t>
            </w:r>
          </w:p>
          <w:p>
            <w:pPr>
              <w:snapToGrid w:val="0"/>
              <w:spacing w:before="120" w:line="360" w:lineRule="auto"/>
              <w:jc w:val="left"/>
              <w:rPr>
                <w:rFonts w:ascii="宋体" w:hAnsi="宋体" w:cs="宋体"/>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无串通投标行为的承诺函（格式后附）；（</w:t>
            </w:r>
            <w:r>
              <w:rPr>
                <w:rFonts w:hint="eastAsia" w:ascii="宋体" w:hAnsi="宋体" w:cs="宋体"/>
                <w:b/>
                <w:sz w:val="24"/>
              </w:rPr>
              <w:t>必须提供，否则按无效投标处理</w:t>
            </w:r>
            <w:r>
              <w:rPr>
                <w:rFonts w:hint="eastAsia" w:ascii="宋体" w:hAnsi="宋体" w:cs="宋体"/>
                <w:sz w:val="24"/>
              </w:rPr>
              <w:t>）</w:t>
            </w:r>
          </w:p>
          <w:p>
            <w:pPr>
              <w:snapToGrid w:val="0"/>
              <w:spacing w:before="120" w:line="360" w:lineRule="auto"/>
              <w:jc w:val="left"/>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投标保证金提交凭证；（</w:t>
            </w:r>
            <w:r>
              <w:rPr>
                <w:rFonts w:hint="eastAsia" w:ascii="宋体" w:hAnsi="宋体" w:cs="宋体"/>
                <w:b/>
                <w:sz w:val="24"/>
              </w:rPr>
              <w:t>必须提供，否则按无效投标处理</w:t>
            </w:r>
            <w:r>
              <w:rPr>
                <w:rFonts w:hint="eastAsia" w:ascii="宋体" w:hAnsi="宋体" w:cs="宋体"/>
                <w:sz w:val="24"/>
              </w:rPr>
              <w:t>）</w:t>
            </w:r>
          </w:p>
          <w:p>
            <w:pPr>
              <w:snapToGrid w:val="0"/>
              <w:spacing w:before="120" w:line="360" w:lineRule="auto"/>
              <w:jc w:val="left"/>
              <w:rPr>
                <w:rFonts w:ascii="宋体" w:hAnsi="宋体" w:cs="宋体"/>
                <w:sz w:val="24"/>
              </w:rPr>
            </w:pPr>
            <w:r>
              <w:rPr>
                <w:rFonts w:hint="eastAsia" w:ascii="宋体" w:hAnsi="宋体" w:cs="宋体"/>
                <w:sz w:val="24"/>
              </w:rPr>
              <w:t>3</w:t>
            </w:r>
            <w:r>
              <w:rPr>
                <w:rFonts w:hint="eastAsia" w:ascii="宋体" w:hAnsi="宋体" w:cs="宋体"/>
                <w:bCs/>
                <w:sz w:val="24"/>
              </w:rPr>
              <w:t>.</w:t>
            </w:r>
            <w:r>
              <w:rPr>
                <w:rFonts w:hint="eastAsia" w:ascii="宋体" w:hAnsi="宋体" w:cs="宋体"/>
                <w:sz w:val="24"/>
              </w:rPr>
              <w:t>法定代表人身份证明及法定代表人有效身份证正反面复印件（格式后附）；（</w:t>
            </w:r>
            <w:r>
              <w:rPr>
                <w:rFonts w:hint="eastAsia" w:ascii="宋体" w:hAnsi="宋体" w:cs="宋体"/>
                <w:b/>
                <w:bCs/>
                <w:sz w:val="24"/>
              </w:rPr>
              <w:t>除自然人投标外</w:t>
            </w:r>
            <w:r>
              <w:rPr>
                <w:rFonts w:hint="eastAsia" w:ascii="宋体" w:hAnsi="宋体" w:cs="宋体"/>
                <w:b/>
                <w:sz w:val="24"/>
              </w:rPr>
              <w:t>必须提供，否则按无效投标处理</w:t>
            </w:r>
            <w:r>
              <w:rPr>
                <w:rFonts w:hint="eastAsia" w:ascii="宋体" w:hAnsi="宋体" w:cs="宋体"/>
                <w:sz w:val="24"/>
              </w:rPr>
              <w:t>）</w:t>
            </w:r>
          </w:p>
          <w:p>
            <w:pPr>
              <w:snapToGrid w:val="0"/>
              <w:spacing w:before="120" w:line="360" w:lineRule="auto"/>
              <w:jc w:val="left"/>
              <w:rPr>
                <w:rFonts w:ascii="宋体" w:hAnsi="宋体" w:cs="宋体"/>
                <w:sz w:val="24"/>
              </w:rPr>
            </w:pPr>
            <w:r>
              <w:rPr>
                <w:rFonts w:hint="eastAsia" w:ascii="宋体" w:hAnsi="宋体" w:cs="宋体"/>
                <w:sz w:val="24"/>
              </w:rPr>
              <w:t>4</w:t>
            </w:r>
            <w:r>
              <w:rPr>
                <w:rFonts w:hint="eastAsia" w:ascii="宋体" w:hAnsi="宋体" w:cs="宋体"/>
                <w:bCs/>
                <w:sz w:val="24"/>
              </w:rPr>
              <w:t>.</w:t>
            </w:r>
            <w:r>
              <w:rPr>
                <w:rFonts w:hint="eastAsia" w:ascii="宋体" w:hAnsi="宋体" w:cs="宋体"/>
                <w:sz w:val="24"/>
              </w:rPr>
              <w:t>授权委托书及委托代理人有效身份证正反面复印件（格式后附）；（</w:t>
            </w:r>
            <w:r>
              <w:rPr>
                <w:rFonts w:hint="eastAsia" w:ascii="宋体" w:hAnsi="宋体" w:cs="宋体"/>
                <w:b/>
                <w:sz w:val="24"/>
              </w:rPr>
              <w:t>委托时必须提供，否则按无效投标处理</w:t>
            </w:r>
            <w:r>
              <w:rPr>
                <w:rFonts w:hint="eastAsia" w:ascii="宋体" w:hAnsi="宋体" w:cs="宋体"/>
                <w:sz w:val="24"/>
              </w:rPr>
              <w:t>）</w:t>
            </w:r>
          </w:p>
          <w:p>
            <w:pPr>
              <w:snapToGrid w:val="0"/>
              <w:spacing w:before="120" w:line="360" w:lineRule="auto"/>
              <w:jc w:val="left"/>
              <w:rPr>
                <w:rFonts w:ascii="宋体" w:hAnsi="宋体" w:cs="宋体"/>
                <w:sz w:val="24"/>
              </w:rPr>
            </w:pPr>
            <w:r>
              <w:rPr>
                <w:rFonts w:hint="eastAsia" w:ascii="宋体" w:hAnsi="宋体" w:cs="宋体"/>
                <w:sz w:val="24"/>
              </w:rPr>
              <w:t>5</w:t>
            </w:r>
            <w:r>
              <w:rPr>
                <w:rFonts w:hint="eastAsia" w:ascii="宋体" w:hAnsi="宋体" w:cs="宋体"/>
                <w:bCs/>
                <w:sz w:val="24"/>
              </w:rPr>
              <w:t>.</w:t>
            </w:r>
            <w:r>
              <w:rPr>
                <w:rFonts w:hint="eastAsia" w:ascii="宋体" w:hAnsi="宋体" w:cs="宋体"/>
                <w:sz w:val="24"/>
              </w:rPr>
              <w:t>商务要求偏离表（格式后附）；（</w:t>
            </w:r>
            <w:r>
              <w:rPr>
                <w:rFonts w:hint="eastAsia" w:ascii="宋体" w:hAnsi="宋体" w:cs="宋体"/>
                <w:b/>
                <w:sz w:val="24"/>
              </w:rPr>
              <w:t>必须提供，否则按无效投标处理</w:t>
            </w:r>
            <w:r>
              <w:rPr>
                <w:rFonts w:hint="eastAsia" w:ascii="宋体" w:hAnsi="宋体" w:cs="宋体"/>
                <w:sz w:val="24"/>
              </w:rPr>
              <w:t>）</w:t>
            </w:r>
          </w:p>
          <w:p>
            <w:pPr>
              <w:snapToGrid w:val="0"/>
              <w:spacing w:before="120" w:line="360" w:lineRule="auto"/>
              <w:jc w:val="left"/>
              <w:rPr>
                <w:rFonts w:ascii="宋体" w:hAnsi="宋体" w:cs="宋体"/>
                <w:sz w:val="24"/>
              </w:rPr>
            </w:pPr>
            <w:r>
              <w:rPr>
                <w:rFonts w:hint="eastAsia" w:ascii="宋体" w:hAnsi="宋体" w:cs="宋体"/>
                <w:sz w:val="24"/>
              </w:rPr>
              <w:t>6</w:t>
            </w:r>
            <w:r>
              <w:rPr>
                <w:rFonts w:hint="eastAsia" w:ascii="宋体" w:hAnsi="宋体" w:cs="宋体"/>
                <w:bCs/>
                <w:sz w:val="24"/>
              </w:rPr>
              <w:t>.</w:t>
            </w:r>
            <w:r>
              <w:rPr>
                <w:rFonts w:hint="eastAsia" w:ascii="宋体" w:hAnsi="宋体" w:cs="宋体"/>
                <w:sz w:val="24"/>
              </w:rPr>
              <w:t>售后服务承诺（格式自拟）；（</w:t>
            </w:r>
            <w:r>
              <w:rPr>
                <w:rFonts w:hint="eastAsia" w:ascii="宋体" w:hAnsi="宋体" w:cs="宋体"/>
                <w:b/>
                <w:sz w:val="24"/>
              </w:rPr>
              <w:t>必须提供，否则按无效投标处理</w:t>
            </w:r>
            <w:r>
              <w:rPr>
                <w:rFonts w:hint="eastAsia" w:ascii="宋体" w:hAnsi="宋体" w:cs="宋体"/>
                <w:sz w:val="24"/>
              </w:rPr>
              <w:t>）</w:t>
            </w:r>
          </w:p>
          <w:p>
            <w:pPr>
              <w:snapToGrid w:val="0"/>
              <w:spacing w:before="120" w:line="360" w:lineRule="auto"/>
              <w:jc w:val="left"/>
              <w:rPr>
                <w:rFonts w:ascii="宋体" w:hAnsi="宋体" w:cs="宋体"/>
                <w:sz w:val="24"/>
              </w:rPr>
            </w:pPr>
            <w:r>
              <w:rPr>
                <w:rFonts w:hint="eastAsia" w:ascii="宋体" w:hAnsi="宋体" w:cs="宋体"/>
                <w:sz w:val="24"/>
              </w:rPr>
              <w:t>7</w:t>
            </w:r>
            <w:r>
              <w:rPr>
                <w:rFonts w:hint="eastAsia" w:ascii="宋体" w:hAnsi="宋体" w:cs="宋体"/>
                <w:bCs/>
                <w:sz w:val="24"/>
              </w:rPr>
              <w:t>.</w:t>
            </w:r>
            <w:r>
              <w:rPr>
                <w:rFonts w:hint="eastAsia" w:ascii="宋体" w:hAnsi="宋体" w:cs="宋体"/>
                <w:sz w:val="24"/>
              </w:rPr>
              <w:t>投标人情况介绍（格式自拟）；</w:t>
            </w:r>
          </w:p>
          <w:p>
            <w:pPr>
              <w:snapToGrid w:val="0"/>
              <w:spacing w:before="120" w:line="360" w:lineRule="auto"/>
              <w:jc w:val="left"/>
              <w:rPr>
                <w:rFonts w:ascii="宋体" w:hAnsi="宋体" w:cs="宋体"/>
                <w:sz w:val="24"/>
              </w:rPr>
            </w:pPr>
            <w:r>
              <w:rPr>
                <w:rFonts w:hint="eastAsia" w:ascii="宋体" w:hAnsi="宋体" w:cs="宋体"/>
                <w:sz w:val="24"/>
              </w:rPr>
              <w:t>8</w:t>
            </w:r>
            <w:r>
              <w:rPr>
                <w:rFonts w:hint="eastAsia" w:ascii="宋体" w:hAnsi="宋体" w:cs="宋体"/>
                <w:bCs/>
                <w:sz w:val="24"/>
              </w:rPr>
              <w:t>.</w:t>
            </w:r>
            <w:r>
              <w:rPr>
                <w:rFonts w:hint="eastAsia" w:ascii="宋体" w:hAnsi="宋体" w:cs="宋体"/>
                <w:sz w:val="24"/>
              </w:rPr>
              <w:t>联合体协议书（格式后附）；（</w:t>
            </w:r>
            <w:r>
              <w:rPr>
                <w:rFonts w:hint="eastAsia" w:ascii="宋体" w:hAnsi="宋体" w:cs="宋体"/>
                <w:b/>
                <w:sz w:val="24"/>
              </w:rPr>
              <w:t>如接受联合体投标且投标人是联合体时必须提供，否则按无效投标处理</w:t>
            </w:r>
            <w:r>
              <w:rPr>
                <w:rFonts w:hint="eastAsia" w:ascii="宋体" w:hAnsi="宋体" w:cs="宋体"/>
                <w:sz w:val="24"/>
              </w:rPr>
              <w:t>）</w:t>
            </w:r>
          </w:p>
          <w:p>
            <w:pPr>
              <w:snapToGrid w:val="0"/>
              <w:spacing w:before="120" w:line="360" w:lineRule="auto"/>
              <w:jc w:val="left"/>
              <w:rPr>
                <w:rFonts w:ascii="宋体" w:hAnsi="宋体" w:cs="宋体"/>
                <w:b/>
                <w:bCs/>
                <w:sz w:val="24"/>
              </w:rPr>
            </w:pPr>
            <w:r>
              <w:rPr>
                <w:rFonts w:hint="eastAsia" w:ascii="宋体" w:hAnsi="宋体" w:cs="宋体"/>
                <w:sz w:val="24"/>
              </w:rPr>
              <w:t>9</w:t>
            </w:r>
            <w:r>
              <w:rPr>
                <w:rFonts w:hint="eastAsia" w:ascii="宋体" w:hAnsi="宋体" w:cs="宋体"/>
                <w:bCs/>
                <w:sz w:val="24"/>
              </w:rPr>
              <w:t>.</w:t>
            </w:r>
            <w:r>
              <w:rPr>
                <w:rFonts w:hint="eastAsia" w:ascii="宋体" w:hAnsi="宋体" w:cs="宋体"/>
                <w:sz w:val="24"/>
              </w:rPr>
              <w:t>除招标文件规定必须提供以外，投标人认为需要提供的其他证明材料（格式自拟）。（投标人根据“第二章 采购需求”及“第四章 评标方法及评标标准”提供有关证明材料）。</w:t>
            </w:r>
          </w:p>
          <w:p>
            <w:pPr>
              <w:snapToGrid w:val="0"/>
              <w:spacing w:before="120" w:line="360" w:lineRule="auto"/>
              <w:jc w:val="left"/>
              <w:rPr>
                <w:rFonts w:ascii="宋体" w:hAnsi="宋体" w:cs="宋体"/>
                <w:sz w:val="24"/>
              </w:rPr>
            </w:pPr>
            <w:r>
              <w:rPr>
                <w:rFonts w:hint="eastAsia" w:ascii="宋体" w:hAnsi="宋体" w:cs="宋体"/>
                <w:sz w:val="24"/>
              </w:rPr>
              <w:t>注：</w:t>
            </w:r>
          </w:p>
          <w:p>
            <w:pPr>
              <w:snapToGrid w:val="0"/>
              <w:spacing w:before="120" w:line="360" w:lineRule="auto"/>
              <w:jc w:val="left"/>
              <w:rPr>
                <w:rFonts w:ascii="宋体" w:hAnsi="宋体" w:cs="宋体"/>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法定代表人授权委托书必须由法定代表人及委托代理人签字，并加盖投标人公章，否则做无效投标处理。</w:t>
            </w:r>
          </w:p>
          <w:p>
            <w:pPr>
              <w:snapToGrid w:val="0"/>
              <w:spacing w:before="120" w:line="360" w:lineRule="auto"/>
              <w:jc w:val="left"/>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以上标明“必须提供”的材料属于复印件的，必须加盖投标人公章，否则按无效投标处理。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bottom w:val="single" w:color="auto" w:sz="4" w:space="0"/>
              <w:right w:val="single" w:color="auto" w:sz="4" w:space="0"/>
            </w:tcBorders>
            <w:vAlign w:val="center"/>
          </w:tcPr>
          <w:p>
            <w:pPr>
              <w:spacing w:before="120" w:line="360" w:lineRule="auto"/>
              <w:rPr>
                <w:rFonts w:ascii="宋体" w:hAnsi="宋体" w:cs="宋体"/>
                <w:sz w:val="24"/>
              </w:rPr>
            </w:pPr>
            <w:bookmarkStart w:id="53" w:name="_13.4"/>
            <w:bookmarkEnd w:id="53"/>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ind w:firstLine="480"/>
              <w:jc w:val="left"/>
              <w:rPr>
                <w:rFonts w:ascii="宋体" w:hAnsi="宋体" w:cs="宋体"/>
                <w:b/>
                <w:sz w:val="24"/>
              </w:rPr>
            </w:pPr>
            <w:r>
              <w:rPr>
                <w:rFonts w:hint="eastAsia" w:ascii="宋体" w:hAnsi="宋体" w:cs="宋体"/>
                <w:b/>
                <w:sz w:val="24"/>
              </w:rPr>
              <w:t>技术文件：</w:t>
            </w:r>
          </w:p>
          <w:p>
            <w:pPr>
              <w:snapToGrid w:val="0"/>
              <w:spacing w:before="120" w:line="360" w:lineRule="auto"/>
              <w:jc w:val="left"/>
              <w:rPr>
                <w:rFonts w:ascii="宋体" w:hAnsi="宋体" w:cs="宋体"/>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设备性能配置清单（格式后附）；（</w:t>
            </w:r>
            <w:r>
              <w:rPr>
                <w:rFonts w:hint="eastAsia" w:ascii="宋体" w:hAnsi="宋体" w:cs="宋体"/>
                <w:b/>
                <w:sz w:val="24"/>
              </w:rPr>
              <w:t>必须提供，否则按无效投标处理</w:t>
            </w:r>
            <w:r>
              <w:rPr>
                <w:rFonts w:hint="eastAsia" w:ascii="宋体" w:hAnsi="宋体" w:cs="宋体"/>
                <w:sz w:val="24"/>
              </w:rPr>
              <w:t>）</w:t>
            </w:r>
          </w:p>
          <w:p>
            <w:pPr>
              <w:snapToGrid w:val="0"/>
              <w:spacing w:before="120" w:line="360" w:lineRule="auto"/>
              <w:jc w:val="left"/>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技术要求偏离表（格式后附）；（</w:t>
            </w:r>
            <w:r>
              <w:rPr>
                <w:rFonts w:hint="eastAsia" w:ascii="宋体" w:hAnsi="宋体" w:cs="宋体"/>
                <w:b/>
                <w:sz w:val="24"/>
              </w:rPr>
              <w:t>必须提供，否则按无效投标处理</w:t>
            </w:r>
            <w:r>
              <w:rPr>
                <w:rFonts w:hint="eastAsia" w:ascii="宋体" w:hAnsi="宋体" w:cs="宋体"/>
                <w:sz w:val="24"/>
              </w:rPr>
              <w:t>）</w:t>
            </w:r>
          </w:p>
          <w:p>
            <w:pPr>
              <w:snapToGrid w:val="0"/>
              <w:spacing w:before="120" w:line="360" w:lineRule="auto"/>
              <w:jc w:val="left"/>
              <w:rPr>
                <w:rFonts w:ascii="宋体" w:hAnsi="宋体" w:cs="宋体"/>
                <w:sz w:val="24"/>
              </w:rPr>
            </w:pPr>
            <w:r>
              <w:rPr>
                <w:rFonts w:hint="eastAsia" w:ascii="宋体" w:hAnsi="宋体" w:cs="宋体"/>
                <w:sz w:val="24"/>
              </w:rPr>
              <w:t>3</w:t>
            </w:r>
            <w:r>
              <w:rPr>
                <w:rFonts w:hint="eastAsia" w:ascii="宋体" w:hAnsi="宋体" w:cs="宋体"/>
                <w:bCs/>
                <w:sz w:val="24"/>
              </w:rPr>
              <w:t>.</w:t>
            </w:r>
            <w:r>
              <w:rPr>
                <w:rFonts w:hint="eastAsia" w:ascii="宋体" w:hAnsi="宋体" w:cs="宋体"/>
                <w:sz w:val="24"/>
              </w:rPr>
              <w:t>项目实施方案（格式自拟）[项目前期准备、项目实施计划（项目实施人员一览表（格式后附）、技术服务、技术培训的内容和措施）]；</w:t>
            </w:r>
          </w:p>
          <w:p>
            <w:pPr>
              <w:snapToGrid w:val="0"/>
              <w:spacing w:before="120" w:line="360" w:lineRule="auto"/>
              <w:jc w:val="left"/>
              <w:rPr>
                <w:rFonts w:ascii="宋体" w:hAnsi="宋体" w:cs="宋体"/>
                <w:sz w:val="24"/>
              </w:rPr>
            </w:pPr>
            <w:r>
              <w:rPr>
                <w:rFonts w:hint="eastAsia" w:ascii="宋体" w:hAnsi="宋体" w:cs="宋体"/>
                <w:sz w:val="24"/>
              </w:rPr>
              <w:t>4</w:t>
            </w:r>
            <w:r>
              <w:rPr>
                <w:rFonts w:hint="eastAsia" w:ascii="宋体" w:hAnsi="宋体" w:cs="宋体"/>
                <w:bCs/>
                <w:sz w:val="24"/>
              </w:rPr>
              <w:t>.</w:t>
            </w:r>
            <w:r>
              <w:rPr>
                <w:rFonts w:hint="eastAsia" w:ascii="宋体" w:hAnsi="宋体" w:cs="宋体"/>
                <w:sz w:val="24"/>
              </w:rPr>
              <w:t>对本项目系统总体要求的理解。包括：功能说明、性能指标及设备选型说明（质量、性能、价格、外观、体积等方面进行比较和选择的理由及过程，格式自拟）；</w:t>
            </w:r>
          </w:p>
          <w:p>
            <w:pPr>
              <w:snapToGrid w:val="0"/>
              <w:spacing w:before="120" w:line="360" w:lineRule="auto"/>
              <w:jc w:val="left"/>
              <w:rPr>
                <w:rFonts w:ascii="宋体" w:hAnsi="宋体" w:cs="宋体"/>
                <w:sz w:val="24"/>
              </w:rPr>
            </w:pPr>
            <w:r>
              <w:rPr>
                <w:rFonts w:hint="eastAsia" w:ascii="宋体" w:hAnsi="宋体" w:cs="宋体"/>
                <w:sz w:val="24"/>
              </w:rPr>
              <w:t>5</w:t>
            </w:r>
            <w:r>
              <w:rPr>
                <w:rFonts w:hint="eastAsia" w:ascii="宋体" w:hAnsi="宋体" w:cs="宋体"/>
                <w:bCs/>
                <w:sz w:val="24"/>
              </w:rPr>
              <w:t>.</w:t>
            </w:r>
            <w:r>
              <w:rPr>
                <w:rFonts w:hint="eastAsia" w:ascii="宋体" w:hAnsi="宋体" w:cs="宋体"/>
                <w:sz w:val="24"/>
              </w:rPr>
              <w:t>产品出厂标准、质量检测报告[其中有精度要求的仪器设备类政府采购项目，应当要求投标人提供精度数据（国家认可的有资质的第三方检测机构出具的检测报告复印件或者由采购人在投标前组织的实测获得）]；</w:t>
            </w:r>
          </w:p>
          <w:p>
            <w:pPr>
              <w:snapToGrid w:val="0"/>
              <w:spacing w:before="120" w:line="360" w:lineRule="auto"/>
              <w:jc w:val="left"/>
              <w:rPr>
                <w:rFonts w:ascii="宋体" w:hAnsi="宋体" w:cs="宋体"/>
                <w:sz w:val="24"/>
              </w:rPr>
            </w:pPr>
            <w:r>
              <w:rPr>
                <w:rFonts w:hint="eastAsia" w:ascii="宋体" w:hAnsi="宋体" w:cs="宋体"/>
                <w:sz w:val="24"/>
              </w:rPr>
              <w:t>6</w:t>
            </w:r>
            <w:r>
              <w:rPr>
                <w:rFonts w:hint="eastAsia" w:ascii="宋体" w:hAnsi="宋体" w:cs="宋体"/>
                <w:bCs/>
                <w:sz w:val="24"/>
              </w:rPr>
              <w:t>.</w:t>
            </w:r>
            <w:r>
              <w:rPr>
                <w:rFonts w:hint="eastAsia" w:ascii="宋体" w:hAnsi="宋体" w:cs="宋体"/>
                <w:sz w:val="24"/>
              </w:rPr>
              <w:t>优惠条件：投标人承诺给予招标人的各种优惠条件，包括售后服务、备品备件、专用耗材等方面的优惠；投标人不得给予赠品或者与采购无关的其他商品、服务；</w:t>
            </w:r>
          </w:p>
          <w:p>
            <w:pPr>
              <w:snapToGrid w:val="0"/>
              <w:spacing w:before="120" w:line="360" w:lineRule="auto"/>
              <w:jc w:val="left"/>
              <w:rPr>
                <w:rFonts w:ascii="宋体" w:hAnsi="宋体" w:cs="宋体"/>
                <w:sz w:val="24"/>
              </w:rPr>
            </w:pPr>
            <w:r>
              <w:rPr>
                <w:rFonts w:hint="eastAsia" w:ascii="宋体" w:hAnsi="宋体" w:cs="宋体"/>
                <w:sz w:val="24"/>
              </w:rPr>
              <w:t>7</w:t>
            </w:r>
            <w:r>
              <w:rPr>
                <w:rFonts w:hint="eastAsia" w:ascii="宋体" w:hAnsi="宋体" w:cs="宋体"/>
                <w:bCs/>
                <w:sz w:val="24"/>
              </w:rPr>
              <w:t>.</w:t>
            </w:r>
            <w:r>
              <w:rPr>
                <w:rFonts w:hint="eastAsia" w:ascii="宋体" w:hAnsi="宋体" w:cs="宋体"/>
                <w:sz w:val="24"/>
              </w:rPr>
              <w:t>投标人对本项目的合理化建议和改进措施（格式自拟）；</w:t>
            </w:r>
          </w:p>
          <w:p>
            <w:pPr>
              <w:snapToGrid w:val="0"/>
              <w:spacing w:before="120" w:line="360" w:lineRule="auto"/>
              <w:jc w:val="left"/>
              <w:rPr>
                <w:rFonts w:ascii="宋体" w:hAnsi="宋体" w:cs="宋体"/>
                <w:bCs/>
                <w:sz w:val="24"/>
              </w:rPr>
            </w:pPr>
            <w:r>
              <w:rPr>
                <w:rFonts w:hint="eastAsia" w:ascii="宋体" w:hAnsi="宋体" w:cs="宋体"/>
                <w:sz w:val="24"/>
              </w:rPr>
              <w:t>8</w:t>
            </w:r>
            <w:r>
              <w:rPr>
                <w:rFonts w:hint="eastAsia" w:ascii="宋体" w:hAnsi="宋体" w:cs="宋体"/>
                <w:bCs/>
                <w:sz w:val="24"/>
              </w:rPr>
              <w:t>.</w:t>
            </w:r>
            <w:r>
              <w:rPr>
                <w:rFonts w:hint="eastAsia" w:ascii="宋体" w:hAnsi="宋体" w:cs="宋体"/>
                <w:sz w:val="24"/>
              </w:rPr>
              <w:t>除招标文件规定必须提供以外，投标人需要说明的其他文件和说明（格式自拟）。</w:t>
            </w:r>
          </w:p>
          <w:p>
            <w:pPr>
              <w:snapToGrid w:val="0"/>
              <w:spacing w:before="120" w:line="360" w:lineRule="auto"/>
              <w:ind w:firstLine="480"/>
              <w:jc w:val="left"/>
              <w:rPr>
                <w:rFonts w:ascii="楷体" w:hAnsi="楷体" w:eastAsia="楷体" w:cs="宋体"/>
                <w:b/>
                <w:bCs/>
                <w:sz w:val="24"/>
              </w:rPr>
            </w:pPr>
            <w:r>
              <w:rPr>
                <w:rFonts w:hint="eastAsia" w:ascii="楷体" w:hAnsi="楷体" w:eastAsia="楷体" w:cs="宋体"/>
                <w:b/>
                <w:bCs/>
                <w:sz w:val="24"/>
              </w:rPr>
              <w:t>【注】以上标明“必须提供”的材料属于复印件的，必须加盖投标人公章，否则按无效投标</w:t>
            </w:r>
            <w:r>
              <w:rPr>
                <w:rFonts w:hint="eastAsia" w:ascii="楷体" w:hAnsi="楷体" w:eastAsia="楷体" w:cs="宋体"/>
                <w:b/>
                <w:sz w:val="24"/>
              </w:rPr>
              <w:t>处理</w:t>
            </w:r>
            <w:r>
              <w:rPr>
                <w:rFonts w:hint="eastAsia" w:ascii="楷体" w:hAnsi="楷体" w:eastAsia="楷体" w:cs="宋体"/>
                <w:b/>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54" w:name="_16.2"/>
            <w:bookmarkEnd w:id="54"/>
            <w:bookmarkStart w:id="55" w:name="_13.5"/>
            <w:bookmarkEnd w:id="55"/>
            <w:r>
              <w:rPr>
                <w:rFonts w:hint="eastAsia" w:ascii="宋体" w:hAnsi="宋体" w:cs="宋体"/>
                <w:sz w:val="24"/>
              </w:rPr>
              <w:t>16</w:t>
            </w:r>
            <w:bookmarkStart w:id="56" w:name="_Hlt19693759"/>
            <w:bookmarkStart w:id="57" w:name="_Hlt19194067"/>
            <w:bookmarkStart w:id="58" w:name="_Hlt19693758"/>
            <w:bookmarkStart w:id="59" w:name="_Hlt19194066"/>
            <w:r>
              <w:rPr>
                <w:rFonts w:hint="eastAsia" w:ascii="宋体" w:hAnsi="宋体" w:cs="宋体"/>
                <w:sz w:val="24"/>
              </w:rPr>
              <w:t>.</w:t>
            </w:r>
            <w:bookmarkEnd w:id="56"/>
            <w:bookmarkEnd w:id="57"/>
            <w:bookmarkEnd w:id="58"/>
            <w:bookmarkEnd w:id="59"/>
            <w:r>
              <w:rPr>
                <w:rFonts w:hint="eastAsia" w:ascii="宋体" w:hAnsi="宋体" w:cs="宋体"/>
                <w:sz w:val="24"/>
              </w:rPr>
              <w:t>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b/>
                <w:sz w:val="24"/>
              </w:rPr>
            </w:pPr>
            <w:r>
              <w:rPr>
                <w:rFonts w:hint="eastAsia" w:ascii="宋体" w:hAnsi="宋体" w:cs="宋体"/>
                <w:sz w:val="24"/>
              </w:rPr>
              <w:t>投标报价是履行合同的最终价格，包含设备、随配附件、备品备件、辅助材料、工具、运抵指定交货地点、材料运输及人工搬运费、装修施工垃圾清理及排放、完工清场清洁、保险、现场安装、培训、调试及验收的各种费用和售后服务、人工费、税费及其他所有成本费用的总和。合同履行过程中，采购人不再支付合同以外的其他费用。（采购需求另有约定的，按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60" w:name="_17.1"/>
            <w:bookmarkEnd w:id="60"/>
            <w:r>
              <w:rPr>
                <w:rFonts w:hint="eastAsia" w:ascii="宋体" w:hAnsi="宋体" w:cs="宋体"/>
                <w:sz w:val="24"/>
              </w:rPr>
              <w:t>17.2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sz w:val="24"/>
              </w:rPr>
            </w:pPr>
            <w:r>
              <w:rPr>
                <w:rFonts w:hint="eastAsia" w:ascii="宋体" w:hAnsi="宋体" w:cs="宋体"/>
                <w:sz w:val="24"/>
              </w:rPr>
              <w:t>投标有效期：投标截止之日起</w:t>
            </w:r>
            <w:r>
              <w:rPr>
                <w:rFonts w:ascii="宋体" w:hAnsi="宋体" w:cs="宋体"/>
                <w:sz w:val="24"/>
              </w:rPr>
              <w:t>60</w:t>
            </w:r>
            <w:r>
              <w:rPr>
                <w:rFonts w:hint="eastAsia" w:ascii="宋体" w:hAnsi="宋体" w:cs="宋体"/>
                <w:sz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61" w:name="_18"/>
            <w:bookmarkEnd w:id="61"/>
            <w:r>
              <w:rPr>
                <w:rFonts w:hint="eastAsia" w:ascii="宋体" w:hAnsi="宋体" w:cs="宋体"/>
                <w:sz w:val="24"/>
              </w:rPr>
              <w:t>18.1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sym w:font="Wingdings" w:char="00A8"/>
            </w:r>
            <w:r>
              <w:rPr>
                <w:rFonts w:hint="eastAsia" w:ascii="宋体" w:hAnsi="宋体" w:cs="宋体"/>
                <w:sz w:val="24"/>
              </w:rPr>
              <w:t>本项目不收取投标保证金。</w:t>
            </w:r>
          </w:p>
          <w:p>
            <w:pPr>
              <w:spacing w:before="120" w:line="360" w:lineRule="auto"/>
              <w:jc w:val="left"/>
              <w:rPr>
                <w:rFonts w:ascii="宋体" w:hAnsi="宋体" w:cs="宋体"/>
                <w:sz w:val="24"/>
              </w:rPr>
            </w:pPr>
            <w:r>
              <w:rPr>
                <w:rFonts w:hint="eastAsia" w:ascii="宋体" w:hAnsi="宋体" w:cs="宋体"/>
                <w:sz w:val="24"/>
              </w:rPr>
              <w:sym w:font="Wingdings" w:char="00FE"/>
            </w:r>
            <w:r>
              <w:rPr>
                <w:rFonts w:hint="eastAsia" w:ascii="宋体" w:hAnsi="宋体" w:cs="宋体"/>
                <w:sz w:val="24"/>
              </w:rPr>
              <w:t>本项目收取投标保证金。</w:t>
            </w:r>
          </w:p>
          <w:p>
            <w:pPr>
              <w:spacing w:before="120" w:line="360" w:lineRule="auto"/>
              <w:jc w:val="left"/>
              <w:rPr>
                <w:rFonts w:ascii="宋体" w:hAnsi="宋体" w:cs="宋体"/>
                <w:sz w:val="24"/>
              </w:rPr>
            </w:pPr>
            <w:r>
              <w:rPr>
                <w:rFonts w:hint="eastAsia" w:ascii="宋体" w:hAnsi="宋体" w:cs="宋体"/>
                <w:sz w:val="24"/>
              </w:rPr>
              <w:t>投标保证金：80000元。</w:t>
            </w:r>
          </w:p>
          <w:p>
            <w:pPr>
              <w:spacing w:before="120" w:line="360" w:lineRule="auto"/>
              <w:jc w:val="left"/>
              <w:rPr>
                <w:rFonts w:ascii="宋体" w:hAnsi="宋体" w:cs="宋体"/>
                <w:sz w:val="24"/>
              </w:rPr>
            </w:pPr>
            <w:r>
              <w:rPr>
                <w:rFonts w:hint="eastAsia" w:ascii="宋体" w:hAnsi="宋体" w:cs="宋体"/>
                <w:sz w:val="24"/>
              </w:rPr>
              <w:t>保证金专用银行账号：</w:t>
            </w:r>
          </w:p>
          <w:p>
            <w:pPr>
              <w:spacing w:before="120" w:line="360" w:lineRule="auto"/>
              <w:rPr>
                <w:rFonts w:ascii="宋体" w:hAnsi="宋体" w:cs="宋体"/>
                <w:sz w:val="24"/>
              </w:rPr>
            </w:pPr>
            <w:r>
              <w:rPr>
                <w:rFonts w:hint="eastAsia" w:ascii="宋体" w:hAnsi="宋体" w:cs="宋体"/>
                <w:sz w:val="24"/>
              </w:rPr>
              <w:t>开户名称：广西科文招标有限公司</w:t>
            </w:r>
          </w:p>
          <w:p>
            <w:pPr>
              <w:spacing w:before="120" w:line="360" w:lineRule="auto"/>
              <w:rPr>
                <w:rFonts w:ascii="宋体" w:hAnsi="宋体" w:cs="宋体"/>
                <w:sz w:val="24"/>
              </w:rPr>
            </w:pPr>
            <w:r>
              <w:rPr>
                <w:rFonts w:hint="eastAsia" w:ascii="宋体" w:hAnsi="宋体" w:cs="宋体"/>
                <w:sz w:val="24"/>
              </w:rPr>
              <w:t>开户银行：广西北部湾银行南宁分行营业部</w:t>
            </w:r>
          </w:p>
          <w:p>
            <w:pPr>
              <w:spacing w:before="120" w:line="360" w:lineRule="auto"/>
              <w:rPr>
                <w:rFonts w:ascii="宋体" w:hAnsi="宋体" w:cs="宋体"/>
                <w:sz w:val="24"/>
              </w:rPr>
            </w:pPr>
            <w:r>
              <w:rPr>
                <w:rFonts w:hint="eastAsia" w:ascii="宋体" w:hAnsi="宋体" w:cs="宋体"/>
                <w:sz w:val="24"/>
              </w:rPr>
              <w:t>银行账号：0101012090615689</w:t>
            </w:r>
            <w:r>
              <w:rPr>
                <w:rFonts w:ascii="宋体" w:hAnsi="宋体" w:cs="宋体"/>
                <w:sz w:val="24"/>
              </w:rPr>
              <w:t xml:space="preserve"> </w:t>
            </w:r>
          </w:p>
          <w:p>
            <w:pPr>
              <w:spacing w:before="120" w:line="360" w:lineRule="auto"/>
              <w:jc w:val="left"/>
              <w:rPr>
                <w:rFonts w:ascii="宋体" w:hAnsi="宋体" w:cs="宋体"/>
                <w:sz w:val="24"/>
              </w:rPr>
            </w:pPr>
            <w:r>
              <w:rPr>
                <w:rFonts w:hint="eastAsia" w:ascii="宋体" w:hAnsi="宋体" w:cs="宋体"/>
                <w:sz w:val="24"/>
              </w:rPr>
              <w:t>投标保证金的交纳方式：银行转账、支票、汇票、本票或者金融、担保机构出具的保函，禁止采用现钞方</w:t>
            </w:r>
            <w:r>
              <w:rPr>
                <w:rFonts w:hint="eastAsia" w:ascii="宋体" w:hAnsi="宋体" w:cs="宋体"/>
                <w:kern w:val="0"/>
                <w:sz w:val="24"/>
              </w:rPr>
              <w:t>式。采用银行转账方式的，在投标截止时间前交至指定账户并且到账采用支票、汇票、本票或者保函等方式的，在投标截止时间前，投标人必须递交支票、汇票、本票或者保函原件。否则视为无效投标保证金。</w:t>
            </w:r>
          </w:p>
          <w:p>
            <w:pPr>
              <w:snapToGrid w:val="0"/>
              <w:spacing w:before="120" w:line="360" w:lineRule="auto"/>
              <w:rPr>
                <w:rFonts w:ascii="宋体" w:hAnsi="宋体" w:cs="宋体"/>
                <w:sz w:val="24"/>
              </w:rPr>
            </w:pPr>
            <w:r>
              <w:rPr>
                <w:rFonts w:hint="eastAsia" w:ascii="宋体" w:hAnsi="宋体" w:cs="宋体"/>
                <w:sz w:val="24"/>
              </w:rPr>
              <w:t>相关要求：</w:t>
            </w:r>
          </w:p>
          <w:p>
            <w:pPr>
              <w:pStyle w:val="18"/>
              <w:spacing w:before="120" w:line="360" w:lineRule="auto"/>
              <w:rPr>
                <w:rFonts w:ascii="宋体" w:hAnsi="宋体" w:cs="宋体"/>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投标保证金采用银行转账交纳方式的，在投标截止时间前交至指定账户并且到账，投标人应将银行转账底单的复印件作为投标保证金提交凭证，放置于商务文件中，否则投标无效。</w:t>
            </w:r>
          </w:p>
          <w:p>
            <w:pPr>
              <w:pStyle w:val="18"/>
              <w:spacing w:before="120" w:line="360" w:lineRule="auto"/>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投标保证金采用支票、汇票、本票或者金融、担保机构出具的保函交纳方式的，投标人应将支票、汇票、本票或者金融、担保机构出具的保函的复印件作为投标保证金提交凭证，放置于商务文件中，否则投标无效。投标人必须在投标截止时间前将支票、汇票、本票或者金融、担保机构出具的保函原件提交给采购代理机构，由采购代理机构向投标人出具回执，并妥善保管。</w:t>
            </w:r>
          </w:p>
          <w:p>
            <w:pPr>
              <w:snapToGrid w:val="0"/>
              <w:spacing w:before="120" w:line="360" w:lineRule="auto"/>
              <w:rPr>
                <w:rFonts w:ascii="宋体" w:hAnsi="宋体" w:cs="宋体"/>
                <w:sz w:val="24"/>
              </w:rPr>
            </w:pPr>
            <w:r>
              <w:rPr>
                <w:rFonts w:hint="eastAsia" w:ascii="宋体" w:hAnsi="宋体" w:cs="宋体"/>
                <w:sz w:val="24"/>
              </w:rPr>
              <w:t>3</w:t>
            </w:r>
            <w:r>
              <w:rPr>
                <w:rFonts w:hint="eastAsia" w:ascii="宋体" w:hAnsi="宋体" w:cs="宋体"/>
                <w:bCs/>
                <w:sz w:val="24"/>
              </w:rPr>
              <w:t>.</w:t>
            </w:r>
            <w:r>
              <w:rPr>
                <w:rFonts w:hint="eastAsia" w:ascii="宋体" w:hAnsi="宋体" w:cs="宋体"/>
                <w:sz w:val="24"/>
              </w:rPr>
              <w:t>投标人为联合体的，可以由联合体中的一方或者多方共同交纳投标保证金，其交纳的保证金对联合体各方均具有约束力。</w:t>
            </w:r>
          </w:p>
          <w:p>
            <w:pPr>
              <w:snapToGrid w:val="0"/>
              <w:spacing w:before="120" w:line="360" w:lineRule="auto"/>
              <w:rPr>
                <w:rFonts w:ascii="楷体" w:hAnsi="楷体" w:eastAsia="楷体" w:cs="宋体"/>
                <w:bCs/>
                <w:sz w:val="24"/>
              </w:rPr>
            </w:pPr>
            <w:r>
              <w:rPr>
                <w:rFonts w:hint="eastAsia" w:ascii="楷体" w:hAnsi="楷体" w:eastAsia="楷体" w:cs="宋体"/>
                <w:bCs/>
                <w:sz w:val="24"/>
              </w:rPr>
              <w:t>【</w:t>
            </w:r>
            <w:r>
              <w:rPr>
                <w:rFonts w:hint="eastAsia" w:ascii="楷体" w:hAnsi="楷体" w:eastAsia="楷体" w:cs="宋体"/>
                <w:b/>
                <w:bCs/>
                <w:sz w:val="24"/>
              </w:rPr>
              <w:t>备注</w:t>
            </w:r>
            <w:r>
              <w:rPr>
                <w:rFonts w:hint="eastAsia" w:ascii="楷体" w:hAnsi="楷体" w:eastAsia="楷体" w:cs="宋体"/>
                <w:bCs/>
                <w:sz w:val="24"/>
              </w:rPr>
              <w:t>】</w:t>
            </w:r>
            <w:r>
              <w:rPr>
                <w:rFonts w:ascii="楷体" w:hAnsi="楷体" w:eastAsia="楷体" w:cs="宋体"/>
                <w:bCs/>
                <w:sz w:val="24"/>
              </w:rPr>
              <w:t xml:space="preserve"> </w:t>
            </w:r>
          </w:p>
          <w:p>
            <w:pPr>
              <w:snapToGrid w:val="0"/>
              <w:spacing w:before="120" w:line="360" w:lineRule="auto"/>
              <w:rPr>
                <w:rFonts w:ascii="楷体" w:hAnsi="楷体" w:eastAsia="楷体" w:cs="宋体"/>
                <w:bCs/>
                <w:sz w:val="24"/>
              </w:rPr>
            </w:pPr>
            <w:r>
              <w:rPr>
                <w:rFonts w:ascii="楷体" w:hAnsi="楷体" w:eastAsia="楷体" w:cs="宋体"/>
                <w:bCs/>
                <w:sz w:val="24"/>
              </w:rPr>
              <w:t>1.投标保证金在投标截止时间后提交的，或者不按规定交纳方式交纳的，或者未足额交纳的（包含保函额度不足的），视为无效投标保证金。</w:t>
            </w:r>
          </w:p>
          <w:p>
            <w:pPr>
              <w:snapToGrid w:val="0"/>
              <w:spacing w:before="120" w:line="360" w:lineRule="auto"/>
              <w:rPr>
                <w:rFonts w:ascii="楷体" w:hAnsi="楷体" w:eastAsia="楷体" w:cs="宋体"/>
                <w:bCs/>
                <w:sz w:val="24"/>
              </w:rPr>
            </w:pPr>
            <w:r>
              <w:rPr>
                <w:rFonts w:ascii="楷体" w:hAnsi="楷体" w:eastAsia="楷体" w:cs="宋体"/>
                <w:bCs/>
                <w:sz w:val="24"/>
              </w:rPr>
              <w:t>2.投标人采用现钞方式或者从个人账户（自然人投标除外）转出的投标保证金，视为无效投标保证金。</w:t>
            </w:r>
          </w:p>
          <w:p>
            <w:pPr>
              <w:snapToGrid w:val="0"/>
              <w:spacing w:before="120" w:line="360" w:lineRule="auto"/>
              <w:rPr>
                <w:rFonts w:ascii="楷体" w:hAnsi="楷体" w:eastAsia="楷体" w:cs="宋体"/>
                <w:bCs/>
                <w:sz w:val="24"/>
              </w:rPr>
            </w:pPr>
            <w:r>
              <w:rPr>
                <w:rFonts w:ascii="楷体" w:hAnsi="楷体" w:eastAsia="楷体" w:cs="宋体"/>
                <w:bCs/>
                <w:sz w:val="24"/>
              </w:rPr>
              <w:t>3.支票、汇票或者本票出现无效或者背书情形的，视为无效投标保证金。</w:t>
            </w:r>
          </w:p>
          <w:p>
            <w:pPr>
              <w:snapToGrid w:val="0"/>
              <w:spacing w:before="120" w:line="360" w:lineRule="auto"/>
              <w:rPr>
                <w:rFonts w:ascii="楷体" w:hAnsi="楷体" w:eastAsia="楷体" w:cs="宋体"/>
                <w:bCs/>
                <w:sz w:val="24"/>
              </w:rPr>
            </w:pPr>
            <w:r>
              <w:rPr>
                <w:rFonts w:ascii="楷体" w:hAnsi="楷体" w:eastAsia="楷体" w:cs="宋体"/>
                <w:bCs/>
                <w:sz w:val="24"/>
              </w:rPr>
              <w:t>4.保函有效期低于投标有效期的，视为无效投标保证金。</w:t>
            </w:r>
          </w:p>
          <w:p>
            <w:pPr>
              <w:snapToGrid w:val="0"/>
              <w:spacing w:before="120" w:line="360" w:lineRule="auto"/>
            </w:pPr>
            <w:r>
              <w:rPr>
                <w:rFonts w:ascii="楷体" w:hAnsi="楷体" w:eastAsia="楷体" w:cs="宋体"/>
                <w:bCs/>
                <w:sz w:val="24"/>
              </w:rPr>
              <w:t>5.采用银行、保险机构出具保函的，必须为无条件保函，否则视为无效投标保证金。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62" w:name="_19.2"/>
            <w:bookmarkEnd w:id="62"/>
            <w:r>
              <w:rPr>
                <w:rFonts w:hint="eastAsia" w:ascii="宋体" w:hAnsi="宋体" w:cs="宋体"/>
                <w:sz w:val="24"/>
              </w:rPr>
              <w:t>19.2</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投标文件应按报价文件、资格证明文件、商务文件、技术文件分别编制，</w:t>
            </w:r>
            <w:r>
              <w:rPr>
                <w:rFonts w:hint="eastAsia" w:ascii="宋体" w:hAnsi="宋体" w:cs="宋体"/>
                <w:sz w:val="24"/>
                <w:lang w:bidi="ar"/>
              </w:rPr>
              <w:t>并按广西政府采购云平台的要求编制、加密、上传。（注：按照本招标文件“第六章 投标文件格式”编写，第六章未附格式的，由投标人自行拟定。）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sz w:val="24"/>
              </w:rPr>
              <w:t>20.1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电子投标文件应在制作完成后，投标人应按广西政府采购云平台的要求进行加密，并在规定时间内解密，否则，由此产生的后果由投标人自行负责。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sz w:val="24"/>
              </w:rPr>
              <w:t>2</w:t>
            </w:r>
            <w:r>
              <w:rPr>
                <w:rFonts w:ascii="宋体" w:hAnsi="宋体" w:cs="宋体"/>
                <w:sz w:val="24"/>
              </w:rPr>
              <w:t>0.2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sz w:val="24"/>
              </w:rPr>
            </w:pPr>
            <w:r>
              <w:rPr>
                <w:rFonts w:hint="eastAsia" w:ascii="宋体" w:hAnsi="宋体" w:cs="宋体"/>
                <w:sz w:val="24"/>
              </w:rPr>
              <w:t>本项目不接受电子备份投标文件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63" w:name="_21.1"/>
            <w:bookmarkEnd w:id="63"/>
            <w:r>
              <w:rPr>
                <w:rFonts w:hint="eastAsia" w:ascii="宋体" w:hAnsi="宋体" w:cs="宋体"/>
                <w:sz w:val="24"/>
              </w:rPr>
              <w:t>21.1</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sz w:val="24"/>
                <w:u w:val="single"/>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投标截止时间：详见招标公告</w:t>
            </w:r>
          </w:p>
          <w:p>
            <w:pPr>
              <w:snapToGrid w:val="0"/>
              <w:spacing w:before="120" w:line="360" w:lineRule="auto"/>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64" w:name="_23"/>
            <w:bookmarkEnd w:id="64"/>
            <w:r>
              <w:rPr>
                <w:rFonts w:hint="eastAsia" w:ascii="宋体" w:hAnsi="宋体" w:cs="宋体"/>
                <w:sz w:val="24"/>
              </w:rPr>
              <w:t>23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开标时间：详见招标公告</w:t>
            </w:r>
          </w:p>
          <w:p>
            <w:pPr>
              <w:snapToGrid w:val="0"/>
              <w:spacing w:before="120" w:line="360" w:lineRule="auto"/>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bCs/>
                <w:sz w:val="24"/>
              </w:rPr>
              <w:t>24.2</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360" w:lineRule="auto"/>
              <w:rPr>
                <w:rFonts w:ascii="宋体" w:hAnsi="宋体" w:cs="宋体"/>
                <w:sz w:val="24"/>
              </w:rPr>
            </w:pPr>
            <w:r>
              <w:rPr>
                <w:rFonts w:hint="eastAsia" w:ascii="宋体" w:hAnsi="宋体" w:cs="宋体"/>
                <w:bCs/>
                <w:sz w:val="24"/>
              </w:rPr>
              <w:t>广西政府采购云平台按开标时间自动提取所有投标文件。采购代理机构依托广西政府采购云平台向各投标人发出电子加密投标文件【开始解密】通知，由投标人进行投标文件解密。</w:t>
            </w:r>
            <w:r>
              <w:rPr>
                <w:rFonts w:hint="eastAsia" w:ascii="宋体" w:hAnsi="宋体" w:cs="宋体"/>
                <w:b/>
                <w:bCs/>
                <w:sz w:val="24"/>
              </w:rPr>
              <w:t>投标人的法定代表人或其委托代理人须携带加密时所用的CA锁准时登录到广西政府采购云平台电子开标大厅签到</w:t>
            </w:r>
            <w:r>
              <w:rPr>
                <w:rFonts w:hint="eastAsia" w:ascii="宋体" w:hAnsi="宋体" w:cs="宋体"/>
                <w:b/>
                <w:sz w:val="24"/>
              </w:rPr>
              <w:t>并在发起解密</w:t>
            </w:r>
            <w:r>
              <w:rPr>
                <w:rFonts w:hint="eastAsia" w:ascii="宋体" w:hAnsi="宋体" w:cs="宋体"/>
                <w:b/>
                <w:bCs/>
                <w:sz w:val="24"/>
              </w:rPr>
              <w:t>通知</w:t>
            </w:r>
            <w:r>
              <w:rPr>
                <w:rFonts w:hint="eastAsia" w:ascii="宋体" w:hAnsi="宋体" w:cs="宋体"/>
                <w:b/>
                <w:sz w:val="24"/>
              </w:rPr>
              <w:t>之时起30分钟内完成</w:t>
            </w:r>
            <w:r>
              <w:rPr>
                <w:rFonts w:hint="eastAsia" w:ascii="宋体" w:hAnsi="宋体" w:cs="宋体"/>
                <w:b/>
                <w:bCs/>
                <w:sz w:val="24"/>
              </w:rPr>
              <w:t>对电子投标文件解密。投标文件未按时解密的，视为无效投标。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65" w:name="_25.3"/>
            <w:bookmarkEnd w:id="65"/>
            <w:r>
              <w:rPr>
                <w:rFonts w:hint="eastAsia" w:ascii="宋体" w:hAnsi="宋体" w:cs="宋体"/>
                <w:sz w:val="24"/>
              </w:rPr>
              <w:t>25.3（3）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sz w:val="24"/>
              </w:rPr>
            </w:pPr>
            <w:r>
              <w:rPr>
                <w:rFonts w:hint="eastAsia" w:ascii="宋体" w:hAnsi="宋体" w:cs="宋体"/>
                <w:sz w:val="24"/>
              </w:rPr>
              <w:t>采购人或者采购代理机构在资格审查结束前，对投标人进行信用查询。</w:t>
            </w:r>
          </w:p>
          <w:p>
            <w:pPr>
              <w:snapToGrid w:val="0"/>
              <w:spacing w:before="120" w:line="360" w:lineRule="auto"/>
              <w:rPr>
                <w:rFonts w:ascii="宋体" w:hAnsi="宋体" w:cs="宋体"/>
                <w:sz w:val="24"/>
              </w:rPr>
            </w:pPr>
            <w:r>
              <w:rPr>
                <w:rFonts w:hint="eastAsia" w:ascii="宋体" w:hAnsi="宋体" w:cs="宋体"/>
                <w:sz w:val="24"/>
              </w:rPr>
              <w:t>查询渠道：“信用中国”网站（www.creditchina.gov.cn）、中国政府采购网（</w:t>
            </w:r>
            <w:r>
              <w:fldChar w:fldCharType="begin"/>
            </w:r>
            <w:r>
              <w:instrText xml:space="preserve"> HYPERLINK "http://www.ccgp.gov.cn" </w:instrText>
            </w:r>
            <w:r>
              <w:fldChar w:fldCharType="separate"/>
            </w:r>
            <w:r>
              <w:rPr>
                <w:rStyle w:val="53"/>
                <w:rFonts w:hint="eastAsia" w:ascii="宋体" w:hAnsi="宋体" w:cs="宋体"/>
                <w:color w:val="auto"/>
                <w:sz w:val="24"/>
              </w:rPr>
              <w:t>www.ccgp.gov.cn</w:t>
            </w:r>
            <w:r>
              <w:rPr>
                <w:rStyle w:val="53"/>
                <w:rFonts w:hint="eastAsia" w:ascii="宋体" w:hAnsi="宋体" w:cs="宋体"/>
                <w:color w:val="auto"/>
                <w:sz w:val="24"/>
              </w:rPr>
              <w:fldChar w:fldCharType="end"/>
            </w:r>
            <w:r>
              <w:rPr>
                <w:rFonts w:hint="eastAsia" w:ascii="宋体" w:hAnsi="宋体" w:cs="宋体"/>
                <w:sz w:val="24"/>
              </w:rPr>
              <w:t>）。</w:t>
            </w:r>
          </w:p>
          <w:p>
            <w:pPr>
              <w:snapToGrid w:val="0"/>
              <w:spacing w:before="120" w:line="360" w:lineRule="auto"/>
              <w:rPr>
                <w:rFonts w:ascii="宋体" w:hAnsi="宋体" w:cs="宋体"/>
                <w:sz w:val="24"/>
              </w:rPr>
            </w:pPr>
            <w:r>
              <w:rPr>
                <w:rFonts w:hint="eastAsia" w:ascii="宋体" w:hAnsi="宋体" w:cs="宋体"/>
                <w:sz w:val="24"/>
              </w:rPr>
              <w:t>信用查询截止时点：资格审查结束前。</w:t>
            </w:r>
          </w:p>
          <w:p>
            <w:pPr>
              <w:snapToGrid w:val="0"/>
              <w:spacing w:before="120" w:line="360" w:lineRule="auto"/>
              <w:rPr>
                <w:rFonts w:ascii="宋体" w:hAnsi="宋体" w:cs="宋体"/>
                <w:sz w:val="24"/>
              </w:rPr>
            </w:pPr>
            <w:r>
              <w:rPr>
                <w:rFonts w:hint="eastAsia" w:ascii="宋体" w:hAnsi="宋体" w:cs="宋体"/>
                <w:sz w:val="24"/>
              </w:rPr>
              <w:t>查询记录和证据留存方式：将查询网站中的查询记录截图并作为评审资料保存。</w:t>
            </w:r>
          </w:p>
          <w:p>
            <w:pPr>
              <w:snapToGrid w:val="0"/>
              <w:spacing w:before="120" w:line="360" w:lineRule="auto"/>
              <w:rPr>
                <w:rFonts w:ascii="宋体" w:hAnsi="宋体" w:cs="宋体"/>
                <w:b/>
                <w:sz w:val="24"/>
              </w:rPr>
            </w:pPr>
            <w:r>
              <w:rPr>
                <w:rFonts w:hint="eastAsia" w:ascii="宋体" w:hAnsi="宋体" w:cs="宋体"/>
                <w:sz w:val="24"/>
              </w:rPr>
              <w:t>信用信息使用规则：根据财政部《关于在政府采购活动中查询及使用信用记录有关问题的通知》（财库〔2016〕125号）的规定，</w:t>
            </w:r>
            <w:r>
              <w:rPr>
                <w:rFonts w:hint="eastAsia" w:ascii="宋体" w:hAnsi="宋体" w:cs="宋体"/>
                <w:sz w:val="24"/>
                <w:lang w:bidi="ar"/>
              </w:rPr>
              <w:t>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66" w:name="_26"/>
            <w:bookmarkEnd w:id="66"/>
            <w:r>
              <w:rPr>
                <w:rFonts w:hint="eastAsia" w:ascii="宋体" w:hAnsi="宋体" w:cs="宋体"/>
                <w:sz w:val="24"/>
              </w:rPr>
              <w:t>26</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评标委员会的人数：5人或以上单数。（采购项目符合下列情形之一的，评标委员会成员人数应当为7人以上单数：1.采购预算金额在1000万元以上；2.技术复杂；3.社会影响较大。）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67" w:name="_28.3"/>
            <w:bookmarkEnd w:id="67"/>
            <w:r>
              <w:rPr>
                <w:rFonts w:hint="eastAsia" w:ascii="宋体" w:hAnsi="宋体" w:cs="宋体"/>
                <w:sz w:val="24"/>
              </w:rPr>
              <w:t>29.1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restart"/>
            <w:tcBorders>
              <w:top w:val="single" w:color="auto" w:sz="4" w:space="0"/>
              <w:left w:val="single" w:color="auto" w:sz="4" w:space="0"/>
              <w:right w:val="single" w:color="auto" w:sz="4" w:space="0"/>
            </w:tcBorders>
            <w:vAlign w:val="center"/>
          </w:tcPr>
          <w:p>
            <w:pPr>
              <w:spacing w:before="120" w:line="360" w:lineRule="auto"/>
              <w:jc w:val="center"/>
              <w:rPr>
                <w:rFonts w:ascii="宋体" w:hAnsi="宋体" w:cs="宋体"/>
                <w:sz w:val="24"/>
              </w:rPr>
            </w:pPr>
            <w:bookmarkStart w:id="68" w:name="_29.2.2（2）"/>
            <w:bookmarkEnd w:id="68"/>
            <w:r>
              <w:rPr>
                <w:rFonts w:hint="eastAsia" w:ascii="宋体" w:hAnsi="宋体" w:cs="宋体"/>
                <w:sz w:val="24"/>
              </w:rPr>
              <w:t>29</w:t>
            </w:r>
          </w:p>
        </w:tc>
        <w:tc>
          <w:tcPr>
            <w:tcW w:w="8708" w:type="dxa"/>
            <w:tcBorders>
              <w:top w:val="single" w:color="auto" w:sz="4" w:space="0"/>
              <w:left w:val="single" w:color="auto" w:sz="4" w:space="0"/>
              <w:right w:val="single" w:color="auto" w:sz="4" w:space="0"/>
            </w:tcBorders>
            <w:vAlign w:val="center"/>
          </w:tcPr>
          <w:p>
            <w:pPr>
              <w:snapToGrid w:val="0"/>
              <w:spacing w:before="120" w:line="360" w:lineRule="auto"/>
              <w:rPr>
                <w:rFonts w:ascii="宋体" w:hAnsi="宋体" w:cs="宋体"/>
                <w:sz w:val="24"/>
              </w:rPr>
            </w:pPr>
            <w:r>
              <w:rPr>
                <w:rFonts w:hint="eastAsia" w:ascii="宋体" w:hAnsi="宋体" w:cs="宋体"/>
                <w:sz w:val="24"/>
              </w:rPr>
              <w:t>单个分标商务要求评审中允许负偏离的条款数为</w:t>
            </w:r>
            <w:r>
              <w:rPr>
                <w:rFonts w:hint="eastAsia"/>
              </w:rPr>
              <w:t>1</w:t>
            </w:r>
            <w:r>
              <w:rPr>
                <w:rFonts w:hint="eastAsia" w:ascii="宋体" w:hAnsi="宋体" w:cs="宋体"/>
                <w:sz w:val="24"/>
              </w:rPr>
              <w:t>项。</w:t>
            </w:r>
          </w:p>
          <w:p>
            <w:pPr>
              <w:snapToGrid w:val="0"/>
              <w:spacing w:before="120" w:line="360" w:lineRule="auto"/>
              <w:rPr>
                <w:rFonts w:ascii="宋体" w:hAnsi="宋体" w:cs="宋体"/>
                <w:sz w:val="24"/>
              </w:rPr>
            </w:pPr>
            <w:r>
              <w:rPr>
                <w:rFonts w:hint="eastAsia" w:ascii="宋体" w:hAnsi="宋体" w:cs="宋体"/>
                <w:sz w:val="24"/>
              </w:rPr>
              <w:t>单个分标技术要求评审中允许负偏离的条款数为11项。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continue"/>
            <w:tcBorders>
              <w:left w:val="single" w:color="auto" w:sz="4" w:space="0"/>
              <w:right w:val="single" w:color="auto" w:sz="4" w:space="0"/>
            </w:tcBorders>
            <w:vAlign w:val="center"/>
          </w:tcPr>
          <w:p>
            <w:pPr>
              <w:spacing w:before="120" w:line="360" w:lineRule="auto"/>
              <w:jc w:val="center"/>
              <w:rPr>
                <w:rFonts w:ascii="宋体" w:hAnsi="宋体" w:cs="宋体"/>
                <w:sz w:val="24"/>
              </w:rPr>
            </w:pPr>
          </w:p>
        </w:tc>
        <w:tc>
          <w:tcPr>
            <w:tcW w:w="8708" w:type="dxa"/>
            <w:tcBorders>
              <w:top w:val="single" w:color="auto" w:sz="4" w:space="0"/>
              <w:left w:val="single" w:color="auto" w:sz="4" w:space="0"/>
              <w:right w:val="single" w:color="auto" w:sz="4" w:space="0"/>
            </w:tcBorders>
            <w:vAlign w:val="center"/>
          </w:tcPr>
          <w:p>
            <w:pPr>
              <w:snapToGrid w:val="0"/>
              <w:spacing w:before="120" w:line="360" w:lineRule="auto"/>
              <w:rPr>
                <w:rFonts w:ascii="宋体" w:hAnsi="宋体" w:cs="宋体"/>
                <w:sz w:val="24"/>
                <w:u w:val="single"/>
              </w:rPr>
            </w:pPr>
            <w:r>
              <w:rPr>
                <w:rFonts w:hint="eastAsia" w:ascii="宋体" w:hAnsi="宋体" w:cs="宋体"/>
                <w:sz w:val="24"/>
              </w:rPr>
              <w:t>中标候选人推荐数量：3家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sz w:val="24"/>
              </w:rPr>
              <w:t>30.1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采用综合评分法的采购项目，采购人确定中标人时，出现中标候选人并列的情形，采购人按以下的方式确定中标人：</w:t>
            </w:r>
          </w:p>
          <w:p>
            <w:pPr>
              <w:spacing w:before="120" w:line="360" w:lineRule="auto"/>
              <w:jc w:val="left"/>
              <w:rPr>
                <w:rFonts w:ascii="宋体" w:hAnsi="宋体" w:cs="宋体"/>
                <w:sz w:val="24"/>
              </w:rPr>
            </w:pPr>
            <w:r>
              <w:rPr>
                <w:rFonts w:hint="eastAsia" w:ascii="宋体" w:hAnsi="宋体" w:cs="宋体"/>
                <w:sz w:val="24"/>
              </w:rPr>
              <w:t>依次按投标报价低的优先、技术评分高的优先、商务评分高的优先、质量保证期长优先、交货期短优先、故障响应时间短优先、政策分得分高的优先的顺序确定。如果上述条件都相同，则以抽签形式确定中标人。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69" w:name="_39.1"/>
            <w:bookmarkEnd w:id="69"/>
            <w:r>
              <w:rPr>
                <w:rFonts w:hint="eastAsia" w:ascii="宋体" w:hAnsi="宋体" w:cs="宋体"/>
                <w:sz w:val="24"/>
              </w:rPr>
              <w:t>35.1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sym w:font="Wingdings" w:char="00A8"/>
            </w:r>
            <w:r>
              <w:rPr>
                <w:rFonts w:hint="eastAsia" w:ascii="宋体" w:hAnsi="宋体" w:cs="宋体"/>
                <w:sz w:val="24"/>
              </w:rPr>
              <w:t>本项目不收取履约保证金。</w:t>
            </w:r>
          </w:p>
          <w:p>
            <w:pPr>
              <w:pStyle w:val="18"/>
              <w:spacing w:before="120" w:line="360" w:lineRule="auto"/>
              <w:rPr>
                <w:rFonts w:ascii="宋体" w:hAnsi="宋体" w:cs="宋体"/>
                <w:sz w:val="24"/>
              </w:rPr>
            </w:pPr>
            <w:r>
              <w:rPr>
                <w:rFonts w:hint="eastAsia" w:ascii="宋体" w:hAnsi="宋体" w:cs="宋体"/>
                <w:sz w:val="24"/>
              </w:rPr>
              <w:sym w:font="Wingdings" w:char="00FE"/>
            </w:r>
            <w:r>
              <w:rPr>
                <w:rFonts w:hint="eastAsia" w:ascii="宋体" w:hAnsi="宋体" w:cs="宋体"/>
                <w:sz w:val="24"/>
              </w:rPr>
              <w:t>本项目收取履约保证金：详见商务条款。</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履约保证金递交方式：详见商务条款。</w:t>
            </w:r>
          </w:p>
          <w:p>
            <w:pPr>
              <w:autoSpaceDE w:val="0"/>
              <w:autoSpaceDN w:val="0"/>
              <w:snapToGrid w:val="0"/>
              <w:spacing w:before="120" w:line="360" w:lineRule="auto"/>
              <w:textAlignment w:val="bottom"/>
              <w:rPr>
                <w:rFonts w:ascii="宋体" w:hAnsi="宋体" w:cs="宋体"/>
                <w:sz w:val="24"/>
                <w:u w:val="single"/>
              </w:rPr>
            </w:pPr>
            <w:r>
              <w:rPr>
                <w:rFonts w:hint="eastAsia" w:ascii="宋体" w:hAnsi="宋体" w:cs="宋体"/>
                <w:sz w:val="24"/>
              </w:rPr>
              <w:t>履约保证金退付方式、时间及条件详见商务条款。</w:t>
            </w:r>
          </w:p>
          <w:p>
            <w:pPr>
              <w:spacing w:before="120" w:line="360" w:lineRule="auto"/>
              <w:jc w:val="left"/>
              <w:rPr>
                <w:rFonts w:ascii="宋体" w:hAnsi="宋体" w:cs="宋体"/>
                <w:sz w:val="24"/>
              </w:rPr>
            </w:pPr>
            <w:r>
              <w:rPr>
                <w:rFonts w:hint="eastAsia" w:ascii="宋体" w:hAnsi="宋体" w:cs="宋体"/>
                <w:sz w:val="24"/>
              </w:rPr>
              <w:t>备注：</w:t>
            </w:r>
          </w:p>
          <w:p>
            <w:pPr>
              <w:spacing w:before="120" w:line="360" w:lineRule="auto"/>
              <w:jc w:val="left"/>
              <w:rPr>
                <w:rFonts w:ascii="宋体" w:hAnsi="宋体" w:cs="宋体"/>
                <w:b/>
                <w:sz w:val="24"/>
              </w:rPr>
            </w:pPr>
            <w:r>
              <w:rPr>
                <w:rFonts w:hint="eastAsia" w:ascii="宋体" w:hAnsi="宋体" w:cs="宋体"/>
                <w:sz w:val="24"/>
              </w:rPr>
              <w:t>1</w:t>
            </w:r>
            <w:bookmarkStart w:id="70" w:name="_Hlk54170335"/>
            <w:r>
              <w:rPr>
                <w:rFonts w:hint="eastAsia" w:ascii="宋体" w:hAnsi="宋体" w:cs="宋体"/>
                <w:bCs/>
                <w:sz w:val="24"/>
              </w:rPr>
              <w:t>.</w:t>
            </w:r>
            <w:r>
              <w:rPr>
                <w:rFonts w:hint="eastAsia" w:ascii="宋体" w:hAnsi="宋体" w:cs="宋体"/>
                <w:b/>
                <w:sz w:val="24"/>
              </w:rPr>
              <w:t>根据《广西壮族自治区财政厅关于持续优化政府采购营商环境推动高质量发展的通知》（桂财采〔2024〕55号），采购人在采购文件中要求提交履约保证金的，履约保证金数额不得超过政府采购合同金额的5%；政府采购要加大对中小企业发展的扶持力度，对中小企业收取的履约保证金数额不得超过政府采购合同金额的2%。</w:t>
            </w:r>
          </w:p>
          <w:bookmarkEnd w:id="70"/>
          <w:p>
            <w:pPr>
              <w:spacing w:before="120" w:line="360" w:lineRule="auto"/>
              <w:jc w:val="left"/>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履约保证金不足额缴纳的（包含保函额度不足的），或者不按规定提交方式提交的，或者保函有效期低于合同履行期限（即签订采购合同之日起至履行完合同约定的义务之日止）的，不予签订合同。</w:t>
            </w:r>
          </w:p>
          <w:p>
            <w:pPr>
              <w:spacing w:before="120" w:line="360" w:lineRule="auto"/>
              <w:jc w:val="left"/>
              <w:rPr>
                <w:rFonts w:ascii="宋体" w:hAnsi="宋体" w:cs="宋体"/>
                <w:sz w:val="24"/>
              </w:rPr>
            </w:pPr>
            <w:r>
              <w:rPr>
                <w:rFonts w:hint="eastAsia" w:ascii="宋体" w:hAnsi="宋体" w:cs="宋体"/>
                <w:sz w:val="24"/>
              </w:rPr>
              <w:t>3</w:t>
            </w:r>
            <w:r>
              <w:rPr>
                <w:rFonts w:hint="eastAsia" w:ascii="宋体" w:hAnsi="宋体" w:cs="宋体"/>
                <w:bCs/>
                <w:sz w:val="24"/>
              </w:rPr>
              <w:t>.</w:t>
            </w:r>
            <w:r>
              <w:rPr>
                <w:rFonts w:hint="eastAsia" w:ascii="宋体" w:hAnsi="宋体" w:cs="宋体"/>
                <w:sz w:val="24"/>
              </w:rPr>
              <w:t>采用保函的，必须为无条件的保函，否则不予签订合同。</w:t>
            </w:r>
          </w:p>
          <w:p>
            <w:pPr>
              <w:spacing w:before="120" w:line="360" w:lineRule="auto"/>
              <w:jc w:val="left"/>
              <w:rPr>
                <w:rFonts w:ascii="宋体" w:hAnsi="宋体" w:cs="宋体"/>
                <w:kern w:val="0"/>
                <w:sz w:val="24"/>
              </w:rPr>
            </w:pPr>
            <w:r>
              <w:rPr>
                <w:rFonts w:hint="eastAsia" w:ascii="宋体" w:hAnsi="宋体" w:cs="宋体"/>
                <w:sz w:val="24"/>
              </w:rPr>
              <w:t>4</w:t>
            </w:r>
            <w:r>
              <w:rPr>
                <w:rFonts w:hint="eastAsia" w:ascii="宋体" w:hAnsi="宋体" w:cs="宋体"/>
                <w:bCs/>
                <w:sz w:val="24"/>
              </w:rPr>
              <w:t>.</w:t>
            </w:r>
            <w:r>
              <w:rPr>
                <w:rFonts w:hint="eastAsia" w:ascii="宋体" w:hAnsi="宋体" w:cs="宋体"/>
                <w:sz w:val="24"/>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71" w:name="_40.1"/>
            <w:bookmarkEnd w:id="71"/>
            <w:r>
              <w:rPr>
                <w:rFonts w:hint="eastAsia" w:ascii="宋体" w:hAnsi="宋体" w:cs="宋体"/>
                <w:sz w:val="24"/>
              </w:rPr>
              <w:t>36.1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 xml:space="preserve">签订合同携带的证明材料： </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1</w:t>
            </w:r>
            <w:r>
              <w:rPr>
                <w:rFonts w:hint="eastAsia" w:ascii="宋体" w:hAnsi="宋体" w:cs="宋体"/>
                <w:bCs/>
                <w:sz w:val="24"/>
              </w:rPr>
              <w:t>.</w:t>
            </w:r>
            <w:r>
              <w:rPr>
                <w:rFonts w:hint="eastAsia" w:ascii="宋体" w:hAnsi="宋体" w:cs="宋体"/>
                <w:sz w:val="24"/>
              </w:rPr>
              <w:t>委托代理人负责签订合同的，须携带授权委托书及委托代理人身份证原件等其他资格证件。</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2</w:t>
            </w:r>
            <w:r>
              <w:rPr>
                <w:rFonts w:hint="eastAsia" w:ascii="宋体" w:hAnsi="宋体" w:cs="宋体"/>
                <w:bCs/>
                <w:sz w:val="24"/>
              </w:rPr>
              <w:t>.</w:t>
            </w:r>
            <w:r>
              <w:rPr>
                <w:rFonts w:hint="eastAsia" w:ascii="宋体" w:hAnsi="宋体" w:cs="宋体"/>
                <w:sz w:val="24"/>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r>
              <w:rPr>
                <w:rFonts w:hint="eastAsia" w:ascii="宋体" w:hAnsi="宋体" w:cs="宋体"/>
                <w:sz w:val="24"/>
              </w:rPr>
              <w:t>38.2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sz w:val="24"/>
              </w:rPr>
            </w:pPr>
            <w:r>
              <w:rPr>
                <w:rFonts w:hint="eastAsia" w:ascii="宋体" w:hAnsi="宋体" w:cs="宋体"/>
                <w:sz w:val="24"/>
              </w:rPr>
              <w:t>接收质疑函方式：以纸质书面形式</w:t>
            </w:r>
          </w:p>
          <w:p>
            <w:pPr>
              <w:snapToGrid w:val="0"/>
              <w:spacing w:before="120" w:line="360" w:lineRule="auto"/>
              <w:rPr>
                <w:rFonts w:ascii="宋体" w:hAnsi="宋体" w:cs="宋体"/>
                <w:sz w:val="24"/>
              </w:rPr>
            </w:pPr>
            <w:r>
              <w:rPr>
                <w:rFonts w:hint="eastAsia" w:ascii="宋体" w:hAnsi="宋体" w:cs="宋体"/>
                <w:sz w:val="24"/>
              </w:rPr>
              <w:t>质疑联系人：梁伟贞   联系电话：0771-2023650</w:t>
            </w:r>
          </w:p>
          <w:p>
            <w:pPr>
              <w:snapToGrid w:val="0"/>
              <w:spacing w:before="120" w:line="360" w:lineRule="auto"/>
              <w:rPr>
                <w:rFonts w:ascii="宋体" w:hAnsi="宋体" w:cs="宋体"/>
                <w:sz w:val="24"/>
              </w:rPr>
            </w:pPr>
            <w:r>
              <w:rPr>
                <w:rFonts w:hint="eastAsia" w:ascii="宋体" w:hAnsi="宋体" w:cs="宋体"/>
                <w:sz w:val="24"/>
              </w:rPr>
              <w:t>通讯地址：广西南宁市民族大道141号中鼎万象东方D区五层</w:t>
            </w:r>
            <w:r>
              <w:rPr>
                <w:rFonts w:ascii="宋体" w:hAnsi="宋体" w:cs="宋体"/>
                <w:sz w:val="24"/>
              </w:rPr>
              <w:t xml:space="preserve">    </w:t>
            </w:r>
          </w:p>
          <w:p>
            <w:pPr>
              <w:autoSpaceDE w:val="0"/>
              <w:autoSpaceDN w:val="0"/>
              <w:snapToGrid w:val="0"/>
              <w:spacing w:before="120" w:line="360" w:lineRule="auto"/>
              <w:textAlignment w:val="bottom"/>
              <w:rPr>
                <w:rFonts w:ascii="宋体" w:hAnsi="宋体" w:cs="宋体"/>
                <w:sz w:val="24"/>
              </w:rPr>
            </w:pPr>
            <w:r>
              <w:rPr>
                <w:rFonts w:hint="eastAsia" w:ascii="宋体" w:hAnsi="宋体" w:cs="宋体"/>
                <w:sz w:val="24"/>
              </w:rPr>
              <w:t>现场提交质疑办理业务时间：工作日，上午8:00-12:00；下午15:00-18：00（北京时间）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宋体" w:hAnsi="宋体" w:cs="宋体"/>
                <w:sz w:val="24"/>
              </w:rPr>
            </w:pPr>
            <w:bookmarkStart w:id="72" w:name="_42"/>
            <w:bookmarkEnd w:id="72"/>
            <w:bookmarkStart w:id="73" w:name="_41"/>
            <w:bookmarkEnd w:id="73"/>
            <w:bookmarkStart w:id="74" w:name="_Hlt17709148"/>
            <w:r>
              <w:rPr>
                <w:rFonts w:hint="eastAsia" w:ascii="宋体" w:hAnsi="宋体" w:cs="宋体"/>
                <w:sz w:val="24"/>
              </w:rPr>
              <w:t>3</w:t>
            </w:r>
            <w:bookmarkEnd w:id="74"/>
            <w:r>
              <w:rPr>
                <w:rFonts w:hint="eastAsia" w:ascii="宋体" w:hAnsi="宋体" w:cs="宋体"/>
                <w:sz w:val="24"/>
              </w:rPr>
              <w:t>9</w:t>
            </w:r>
          </w:p>
        </w:tc>
        <w:tc>
          <w:tcPr>
            <w:tcW w:w="8708"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120" w:line="360" w:lineRule="auto"/>
              <w:rPr>
                <w:rFonts w:hAnsi="宋体" w:cs="宋体"/>
                <w:sz w:val="24"/>
                <w:szCs w:val="24"/>
              </w:rPr>
            </w:pPr>
            <w:r>
              <w:rPr>
                <w:rFonts w:hint="eastAsia" w:hAnsi="宋体" w:cs="宋体"/>
                <w:sz w:val="24"/>
                <w:szCs w:val="24"/>
              </w:rPr>
              <w:t>1</w:t>
            </w:r>
            <w:r>
              <w:rPr>
                <w:rFonts w:hint="eastAsia" w:hAnsi="宋体" w:cs="宋体"/>
                <w:bCs/>
                <w:sz w:val="24"/>
                <w:szCs w:val="24"/>
              </w:rPr>
              <w:t>.</w:t>
            </w:r>
            <w:r>
              <w:rPr>
                <w:rFonts w:hint="eastAsia" w:hAnsi="宋体" w:cs="宋体"/>
                <w:sz w:val="24"/>
                <w:szCs w:val="24"/>
              </w:rPr>
              <w:t>采购代理服务费支付方式：本项目的招标代理服务费向中标人收取，领取中标通知书前，中标人应向采购代理机构一次付清招标代理服务费，否则采购代理机构有权不予以办理。</w:t>
            </w:r>
          </w:p>
          <w:p>
            <w:pPr>
              <w:pStyle w:val="25"/>
              <w:snapToGrid w:val="0"/>
              <w:spacing w:before="120" w:line="360" w:lineRule="auto"/>
              <w:rPr>
                <w:rFonts w:hAnsi="宋体" w:cs="宋体"/>
                <w:sz w:val="24"/>
                <w:szCs w:val="24"/>
              </w:rPr>
            </w:pPr>
            <w:r>
              <w:rPr>
                <w:rFonts w:hint="eastAsia" w:hAnsi="宋体" w:cs="宋体"/>
                <w:sz w:val="24"/>
                <w:szCs w:val="24"/>
              </w:rPr>
              <w:t>2</w:t>
            </w:r>
            <w:r>
              <w:rPr>
                <w:rFonts w:hint="eastAsia" w:hAnsi="宋体" w:cs="宋体"/>
                <w:bCs/>
                <w:sz w:val="24"/>
                <w:szCs w:val="24"/>
              </w:rPr>
              <w:t>.</w:t>
            </w:r>
            <w:r>
              <w:rPr>
                <w:rFonts w:hint="eastAsia" w:hAnsi="宋体" w:cs="宋体"/>
                <w:sz w:val="24"/>
                <w:szCs w:val="24"/>
              </w:rPr>
              <w:t>采购代理服务费收取标准：</w:t>
            </w:r>
          </w:p>
          <w:p>
            <w:pPr>
              <w:pStyle w:val="25"/>
              <w:snapToGrid w:val="0"/>
              <w:spacing w:before="120" w:line="360" w:lineRule="auto"/>
              <w:rPr>
                <w:rFonts w:hAnsi="宋体" w:cs="宋体"/>
                <w:sz w:val="24"/>
                <w:szCs w:val="24"/>
              </w:rPr>
            </w:pPr>
            <w:r>
              <w:rPr>
                <w:rFonts w:hint="eastAsia" w:hAnsi="宋体" w:cs="宋体"/>
                <w:sz w:val="24"/>
                <w:szCs w:val="24"/>
              </w:rPr>
              <w:t>以中标金额为计费额，按本招标文件之中标人须知正文第39.2条规定的收费计算标准货物招标，采用差额定率累进法计算出收费基准价格后下浮20%收取。</w:t>
            </w:r>
          </w:p>
          <w:p>
            <w:pPr>
              <w:pStyle w:val="25"/>
              <w:snapToGrid w:val="0"/>
              <w:spacing w:before="120" w:line="360" w:lineRule="auto"/>
              <w:rPr>
                <w:rFonts w:hAnsi="宋体" w:cs="宋体"/>
                <w:sz w:val="24"/>
                <w:szCs w:val="24"/>
              </w:rPr>
            </w:pPr>
            <w:r>
              <w:rPr>
                <w:rFonts w:hint="eastAsia" w:hAnsi="宋体" w:cs="宋体"/>
                <w:sz w:val="24"/>
                <w:szCs w:val="24"/>
              </w:rPr>
              <w:t xml:space="preserve">3.代理服务费收费专用银行账户名称： </w:t>
            </w:r>
          </w:p>
          <w:p>
            <w:pPr>
              <w:pStyle w:val="25"/>
              <w:snapToGrid w:val="0"/>
              <w:spacing w:before="120" w:line="360" w:lineRule="auto"/>
              <w:rPr>
                <w:rFonts w:hAnsi="宋体" w:cs="宋体"/>
                <w:sz w:val="24"/>
                <w:szCs w:val="24"/>
              </w:rPr>
            </w:pPr>
            <w:r>
              <w:rPr>
                <w:rFonts w:hint="eastAsia" w:hAnsi="宋体" w:cs="宋体"/>
                <w:sz w:val="24"/>
                <w:szCs w:val="24"/>
              </w:rPr>
              <w:t>开户名称：广西科文招标有限公司南宁咨询一分公司</w:t>
            </w:r>
          </w:p>
          <w:p>
            <w:pPr>
              <w:pStyle w:val="25"/>
              <w:snapToGrid w:val="0"/>
              <w:spacing w:before="120" w:line="360" w:lineRule="auto"/>
              <w:rPr>
                <w:rFonts w:hAnsi="宋体" w:cs="宋体"/>
                <w:sz w:val="24"/>
                <w:szCs w:val="24"/>
              </w:rPr>
            </w:pPr>
            <w:r>
              <w:rPr>
                <w:rFonts w:hint="eastAsia" w:hAnsi="宋体" w:cs="宋体"/>
                <w:sz w:val="24"/>
                <w:szCs w:val="24"/>
              </w:rPr>
              <w:t>开户银行：广西北部湾银行股份有限公司南宁市云景支行</w:t>
            </w:r>
          </w:p>
          <w:p>
            <w:pPr>
              <w:spacing w:before="120" w:line="360" w:lineRule="auto"/>
              <w:rPr>
                <w:rFonts w:hAnsi="宋体" w:cs="宋体"/>
                <w:sz w:val="24"/>
              </w:rPr>
            </w:pPr>
            <w:r>
              <w:rPr>
                <w:rFonts w:hint="eastAsia" w:hAnsi="宋体" w:cs="宋体"/>
                <w:sz w:val="24"/>
              </w:rPr>
              <w:t>银行账号：805030137000001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jc w:val="center"/>
              <w:rPr>
                <w:rFonts w:ascii="宋体" w:hAnsi="宋体" w:cs="宋体"/>
                <w:sz w:val="24"/>
              </w:rPr>
            </w:pPr>
            <w:r>
              <w:rPr>
                <w:rFonts w:hint="eastAsia" w:ascii="宋体" w:hAnsi="宋体" w:cs="宋体"/>
                <w:sz w:val="24"/>
              </w:rPr>
              <w:t>40.1</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rPr>
                <w:rFonts w:ascii="宋体" w:hAnsi="宋体" w:cs="宋体"/>
                <w:sz w:val="24"/>
              </w:rPr>
            </w:pPr>
            <w:r>
              <w:rPr>
                <w:rFonts w:hint="eastAsia" w:ascii="宋体" w:hAnsi="宋体" w:cs="宋体"/>
                <w:sz w:val="24"/>
              </w:rPr>
              <w:t>解释：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before="120" w:line="360" w:lineRule="auto"/>
              <w:jc w:val="center"/>
              <w:rPr>
                <w:rFonts w:ascii="宋体" w:hAnsi="宋体" w:cs="宋体"/>
                <w:sz w:val="24"/>
              </w:rPr>
            </w:pPr>
            <w:r>
              <w:rPr>
                <w:rFonts w:hint="eastAsia" w:ascii="宋体" w:hAnsi="宋体" w:cs="宋体"/>
                <w:sz w:val="24"/>
              </w:rPr>
              <w:t>40.2</w:t>
            </w:r>
          </w:p>
        </w:tc>
        <w:tc>
          <w:tcPr>
            <w:tcW w:w="8708" w:type="dxa"/>
            <w:tcBorders>
              <w:top w:val="single" w:color="auto" w:sz="4" w:space="0"/>
              <w:left w:val="single" w:color="auto" w:sz="4" w:space="0"/>
              <w:bottom w:val="single" w:color="auto" w:sz="4" w:space="0"/>
              <w:right w:val="single" w:color="auto" w:sz="4" w:space="0"/>
            </w:tcBorders>
            <w:vAlign w:val="center"/>
          </w:tcPr>
          <w:p>
            <w:pPr>
              <w:pStyle w:val="25"/>
              <w:snapToGrid w:val="0"/>
              <w:spacing w:before="120" w:line="360" w:lineRule="auto"/>
              <w:rPr>
                <w:rFonts w:hAnsi="宋体" w:cs="宋体"/>
                <w:bCs/>
                <w:sz w:val="24"/>
                <w:szCs w:val="24"/>
              </w:rPr>
            </w:pPr>
            <w:r>
              <w:rPr>
                <w:rFonts w:hint="eastAsia" w:hAnsi="宋体" w:cs="宋体"/>
                <w:bCs/>
                <w:sz w:val="24"/>
                <w:szCs w:val="24"/>
              </w:rPr>
              <w:t>1.本招标文件中描述投标人的“公章”是指根据我国对公章的管理规定，用投标人法定主体名称制作的印章</w:t>
            </w:r>
            <w:r>
              <w:rPr>
                <w:rFonts w:hint="eastAsia" w:hAnsi="宋体" w:cs="宋体"/>
                <w:sz w:val="24"/>
                <w:szCs w:val="24"/>
              </w:rPr>
              <w:t>或投标人通过指定电子化政府采购平台办理数字证书（CA认证）获得的以法定主体名称制作的电子印章。</w:t>
            </w:r>
            <w:r>
              <w:rPr>
                <w:rFonts w:hint="eastAsia" w:hAnsi="宋体" w:cs="宋体"/>
                <w:bCs/>
                <w:sz w:val="24"/>
                <w:szCs w:val="24"/>
              </w:rPr>
              <w:t>除本招标文件有特殊规定外，投标人的财务章、部门章、分公司章、工会章、合同章、投标专用章、业务专用章及银行的转账章、现金收讫章、现金付讫章等其他形式印章均不能代替公章。</w:t>
            </w:r>
          </w:p>
          <w:p>
            <w:pPr>
              <w:pStyle w:val="25"/>
              <w:snapToGrid w:val="0"/>
              <w:spacing w:before="120" w:line="360" w:lineRule="auto"/>
              <w:rPr>
                <w:rFonts w:hAnsi="宋体" w:cs="宋体"/>
                <w:bCs/>
                <w:sz w:val="24"/>
                <w:szCs w:val="24"/>
              </w:rPr>
            </w:pPr>
            <w:r>
              <w:rPr>
                <w:rFonts w:hint="eastAsia" w:hAnsi="宋体" w:cs="宋体"/>
                <w:bCs/>
                <w:sz w:val="24"/>
                <w:szCs w:val="24"/>
              </w:rPr>
              <w:t>2.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5"/>
              <w:snapToGrid w:val="0"/>
              <w:spacing w:before="120" w:line="360" w:lineRule="auto"/>
              <w:rPr>
                <w:rFonts w:hAnsi="宋体" w:cs="宋体"/>
                <w:bCs/>
                <w:sz w:val="24"/>
                <w:szCs w:val="24"/>
              </w:rPr>
            </w:pPr>
            <w:r>
              <w:rPr>
                <w:rFonts w:hint="eastAsia" w:hAnsi="宋体" w:cs="宋体"/>
                <w:bCs/>
                <w:sz w:val="24"/>
                <w:szCs w:val="24"/>
              </w:rPr>
              <w:t>3.本招标文件中描述投标人的“签字”是指投标人的法定代表人或者委托代理人</w:t>
            </w:r>
            <w:r>
              <w:rPr>
                <w:rFonts w:hint="eastAsia" w:hAnsi="宋体" w:cs="宋体"/>
                <w:sz w:val="24"/>
                <w:szCs w:val="24"/>
              </w:rPr>
              <w:t>在文件规定签署处签名或者指投标人通过指定电子化政府采购平台办理数字证书（CA认证）获得的以投标人法定代表人或者委托代理人姓名制作的电子印章签名的行为，私章、印鉴等其他形式均不能代替签字</w:t>
            </w:r>
            <w:r>
              <w:rPr>
                <w:rFonts w:hint="eastAsia" w:hAnsi="宋体" w:cs="宋体"/>
                <w:bCs/>
                <w:sz w:val="24"/>
                <w:szCs w:val="24"/>
              </w:rPr>
              <w:t>。</w:t>
            </w:r>
          </w:p>
          <w:p>
            <w:pPr>
              <w:pStyle w:val="25"/>
              <w:snapToGrid w:val="0"/>
              <w:spacing w:before="120" w:line="360" w:lineRule="auto"/>
              <w:rPr>
                <w:rFonts w:hAnsi="宋体" w:cs="宋体"/>
                <w:bCs/>
                <w:sz w:val="24"/>
                <w:szCs w:val="24"/>
              </w:rPr>
            </w:pPr>
            <w:r>
              <w:rPr>
                <w:rFonts w:hint="eastAsia" w:hAnsi="宋体" w:cs="宋体"/>
                <w:bCs/>
                <w:sz w:val="24"/>
                <w:szCs w:val="24"/>
              </w:rPr>
              <w:t>4.本招标文件所称的“电子签章”“电子签名”，是指经广西政府采购云平台认可的CA认证的电子签名数据为表现形式的印章，可用于签署电子响应文件，电子印章与实物印章具有同等法律效力，不因其采用电子化表现形式而否定其法律效力。</w:t>
            </w:r>
          </w:p>
          <w:p>
            <w:pPr>
              <w:pStyle w:val="25"/>
              <w:snapToGrid w:val="0"/>
              <w:spacing w:before="120" w:line="360" w:lineRule="auto"/>
              <w:rPr>
                <w:rFonts w:hAnsi="宋体" w:cs="宋体"/>
                <w:bCs/>
                <w:sz w:val="24"/>
                <w:szCs w:val="24"/>
              </w:rPr>
            </w:pPr>
            <w:r>
              <w:rPr>
                <w:rFonts w:hAnsi="宋体" w:cs="宋体"/>
                <w:bCs/>
                <w:sz w:val="24"/>
                <w:szCs w:val="24"/>
              </w:rPr>
              <w:t>5</w:t>
            </w:r>
            <w:r>
              <w:rPr>
                <w:rFonts w:hint="eastAsia" w:hAnsi="宋体" w:cs="宋体"/>
                <w:bCs/>
                <w:sz w:val="24"/>
                <w:szCs w:val="24"/>
              </w:rPr>
              <w:t>.自然人投标的，招标文件规定盖公章处由自然人摁手指指印。</w:t>
            </w:r>
          </w:p>
          <w:p>
            <w:pPr>
              <w:spacing w:before="120" w:line="360" w:lineRule="auto"/>
              <w:jc w:val="left"/>
              <w:rPr>
                <w:rFonts w:ascii="宋体" w:hAnsi="宋体" w:cs="宋体"/>
                <w:sz w:val="24"/>
              </w:rPr>
            </w:pPr>
            <w:r>
              <w:rPr>
                <w:rFonts w:ascii="宋体" w:hAnsi="宋体" w:cs="宋体"/>
                <w:bCs/>
                <w:sz w:val="24"/>
              </w:rPr>
              <w:t>6</w:t>
            </w:r>
            <w:r>
              <w:rPr>
                <w:rFonts w:hint="eastAsia" w:ascii="宋体" w:hAnsi="宋体" w:cs="宋体"/>
                <w:bCs/>
                <w:sz w:val="24"/>
              </w:rPr>
              <w:t>.本招标文件所称的“以上”“以下”“以内”“届满”，包括本数；所称的“不满”“超过”“以外”，不包括本数。</w:t>
            </w:r>
          </w:p>
        </w:tc>
      </w:tr>
    </w:tbl>
    <w:p>
      <w:pPr>
        <w:snapToGrid w:val="0"/>
        <w:spacing w:before="120"/>
        <w:rPr>
          <w:rFonts w:ascii="宋体" w:hAnsi="宋体" w:cs="宋体"/>
          <w:sz w:val="24"/>
          <w:szCs w:val="20"/>
        </w:rPr>
      </w:pPr>
    </w:p>
    <w:p>
      <w:pPr>
        <w:spacing w:before="120"/>
        <w:ind w:firstLine="482"/>
        <w:rPr>
          <w:rFonts w:ascii="宋体" w:hAnsi="宋体" w:cs="宋体"/>
        </w:rPr>
      </w:pPr>
      <w:r>
        <w:rPr>
          <w:rFonts w:hint="eastAsia" w:ascii="宋体" w:hAnsi="宋体" w:cs="宋体"/>
        </w:rPr>
        <w:br w:type="page"/>
      </w:r>
    </w:p>
    <w:p>
      <w:pPr>
        <w:pStyle w:val="6"/>
        <w:keepNext w:val="0"/>
        <w:keepLines w:val="0"/>
        <w:spacing w:before="120"/>
        <w:ind w:firstLine="640"/>
        <w:jc w:val="center"/>
        <w:rPr>
          <w:rFonts w:ascii="宋体" w:hAnsi="宋体" w:cs="宋体"/>
        </w:rPr>
      </w:pPr>
      <w:r>
        <w:rPr>
          <w:rFonts w:hint="eastAsia" w:ascii="宋体" w:hAnsi="宋体" w:cs="宋体"/>
        </w:rPr>
        <w:t>投标人须知正文</w:t>
      </w:r>
    </w:p>
    <w:p>
      <w:pPr>
        <w:pStyle w:val="6"/>
        <w:keepNext w:val="0"/>
        <w:keepLines w:val="0"/>
        <w:spacing w:before="120"/>
        <w:ind w:firstLine="640"/>
        <w:jc w:val="center"/>
        <w:rPr>
          <w:rFonts w:ascii="宋体" w:hAnsi="宋体" w:cs="宋体"/>
        </w:rPr>
      </w:pPr>
      <w:r>
        <w:rPr>
          <w:rFonts w:hint="eastAsia" w:ascii="宋体" w:hAnsi="宋体" w:cs="宋体"/>
        </w:rPr>
        <w:t>一、总  则</w:t>
      </w:r>
    </w:p>
    <w:p>
      <w:pPr>
        <w:pStyle w:val="8"/>
        <w:keepNext w:val="0"/>
        <w:keepLines w:val="0"/>
        <w:spacing w:before="120" w:after="0" w:line="360" w:lineRule="auto"/>
        <w:ind w:left="420" w:leftChars="200" w:firstLine="480"/>
        <w:rPr>
          <w:rFonts w:ascii="宋体" w:hAnsi="宋体" w:cs="宋体"/>
          <w:sz w:val="24"/>
        </w:rPr>
      </w:pPr>
      <w:bookmarkStart w:id="75" w:name="_Toc254970527"/>
      <w:bookmarkStart w:id="76" w:name="_Toc254970668"/>
      <w:r>
        <w:rPr>
          <w:rFonts w:hint="eastAsia" w:ascii="宋体" w:hAnsi="宋体" w:cs="宋体"/>
          <w:sz w:val="24"/>
        </w:rPr>
        <w:t>1.适用范围</w:t>
      </w:r>
      <w:bookmarkEnd w:id="75"/>
      <w:bookmarkEnd w:id="76"/>
    </w:p>
    <w:p>
      <w:pPr>
        <w:snapToGrid w:val="0"/>
        <w:spacing w:before="120" w:line="360" w:lineRule="auto"/>
        <w:ind w:firstLine="480" w:firstLineChars="200"/>
        <w:jc w:val="left"/>
        <w:rPr>
          <w:rFonts w:ascii="宋体" w:hAnsi="宋体" w:cs="宋体"/>
          <w:sz w:val="24"/>
        </w:rPr>
      </w:pPr>
      <w:r>
        <w:rPr>
          <w:rFonts w:hint="eastAsia" w:ascii="宋体" w:hAnsi="宋体" w:cs="宋体"/>
          <w:sz w:val="24"/>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before="120" w:line="360" w:lineRule="auto"/>
        <w:ind w:firstLine="480" w:firstLineChars="200"/>
        <w:jc w:val="left"/>
        <w:rPr>
          <w:rFonts w:ascii="宋体" w:hAnsi="宋体" w:cs="宋体"/>
          <w:sz w:val="24"/>
        </w:rPr>
      </w:pPr>
      <w:r>
        <w:rPr>
          <w:rFonts w:hint="eastAsia" w:ascii="宋体" w:hAnsi="宋体" w:cs="宋体"/>
          <w:sz w:val="24"/>
        </w:rPr>
        <w:t>1.2本招标文件</w:t>
      </w:r>
      <w:r>
        <w:rPr>
          <w:rFonts w:hint="eastAsia" w:ascii="宋体" w:hAnsi="宋体" w:cs="宋体"/>
          <w:spacing w:val="-6"/>
          <w:sz w:val="24"/>
        </w:rPr>
        <w:t>适用于本项目的所有采购程序和环节（法律、法规另有规定的，从其规定）。</w:t>
      </w:r>
    </w:p>
    <w:p>
      <w:pPr>
        <w:pStyle w:val="8"/>
        <w:keepNext w:val="0"/>
        <w:keepLines w:val="0"/>
        <w:spacing w:before="120" w:after="0" w:line="360" w:lineRule="auto"/>
        <w:ind w:left="420" w:leftChars="200" w:firstLine="480"/>
        <w:rPr>
          <w:rFonts w:ascii="宋体" w:hAnsi="宋体" w:cs="宋体"/>
          <w:sz w:val="24"/>
        </w:rPr>
      </w:pPr>
      <w:bookmarkStart w:id="77" w:name="_Toc254970528"/>
      <w:bookmarkStart w:id="78" w:name="_Toc254970669"/>
      <w:r>
        <w:rPr>
          <w:rFonts w:hint="eastAsia" w:ascii="宋体" w:hAnsi="宋体" w:cs="宋体"/>
          <w:sz w:val="24"/>
        </w:rPr>
        <w:t>2.定义</w:t>
      </w:r>
      <w:bookmarkEnd w:id="77"/>
      <w:bookmarkEnd w:id="78"/>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2.1“采购人”是指依法进行政府采购的国家机关、事业单位、团体组织。</w:t>
      </w:r>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2.2“采购代理机构”是指政府采购集中采购机构和集中采购机构以外的采购代理机构。</w:t>
      </w:r>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2.3“供应商”是指向采购人提供货物、工程或者服务的法人、其他组织或者自然人。</w:t>
      </w:r>
    </w:p>
    <w:p>
      <w:pPr>
        <w:pStyle w:val="9"/>
        <w:spacing w:before="120" w:line="360" w:lineRule="auto"/>
        <w:ind w:left="420" w:leftChars="200" w:firstLine="482"/>
        <w:rPr>
          <w:rFonts w:ascii="宋体" w:hAnsi="宋体" w:cs="宋体"/>
          <w:sz w:val="24"/>
          <w:szCs w:val="24"/>
        </w:rPr>
      </w:pPr>
      <w:r>
        <w:rPr>
          <w:rFonts w:hint="eastAsia" w:ascii="宋体" w:hAnsi="宋体" w:cs="宋体"/>
          <w:sz w:val="24"/>
          <w:szCs w:val="24"/>
        </w:rPr>
        <w:t>2.4“投标人”是指响应招标、参加投标竞争的法人、其他组织或者自然人。</w:t>
      </w:r>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2.5“货物”是指各种形态和种类的物品，包括原材料、燃料、设备、产品等。</w:t>
      </w:r>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2.6“售后服务” 是指商品出售以后所提供的各种服务，包含但不限于投标人须承担的备品备件、包装、运输、装卸、保险、货到就位以及安装、调试、培训、保修以及其他各种服务。</w:t>
      </w:r>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2.7“书面形式”是指合同书、信件和数据电文（包括电报、电传、传真、电子数据交换和电子邮件）等可以有形地表现所载内容的形式。</w:t>
      </w:r>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2.8“实质性要求”是指招标文件中已经指明不满足则投标无效的条款，或者不能负偏离的条款，或者采购需求中带“▲”的条款。</w:t>
      </w:r>
    </w:p>
    <w:p>
      <w:pPr>
        <w:snapToGrid w:val="0"/>
        <w:spacing w:before="120" w:line="360" w:lineRule="auto"/>
        <w:ind w:left="420" w:leftChars="200"/>
        <w:jc w:val="left"/>
        <w:rPr>
          <w:rFonts w:ascii="宋体" w:hAnsi="宋体" w:cs="宋体"/>
          <w:sz w:val="24"/>
        </w:rPr>
      </w:pPr>
      <w:r>
        <w:rPr>
          <w:rFonts w:hint="eastAsia" w:ascii="宋体" w:hAnsi="宋体" w:cs="宋体"/>
          <w:sz w:val="24"/>
        </w:rPr>
        <w:t>2.9 “正偏离”，是指投标文件对招标文件“采购需求”中有关条款作出的响应优于条款要求并有利于采购人的情形。</w:t>
      </w:r>
    </w:p>
    <w:p>
      <w:pPr>
        <w:snapToGrid w:val="0"/>
        <w:spacing w:before="120" w:line="360" w:lineRule="auto"/>
        <w:ind w:left="420" w:leftChars="200"/>
        <w:jc w:val="left"/>
        <w:rPr>
          <w:rFonts w:ascii="宋体" w:hAnsi="宋体" w:cs="宋体"/>
          <w:sz w:val="24"/>
        </w:rPr>
      </w:pPr>
      <w:r>
        <w:rPr>
          <w:rFonts w:hint="eastAsia" w:ascii="宋体" w:hAnsi="宋体" w:cs="宋体"/>
          <w:sz w:val="24"/>
        </w:rPr>
        <w:t>2.10“负偏离”，是指投标文件对招标文件“采购需求”中有关条款作出的响应不满足条款要求，导致采购人要求不能得到满足的情形。</w:t>
      </w:r>
    </w:p>
    <w:p>
      <w:pPr>
        <w:snapToGrid w:val="0"/>
        <w:spacing w:before="120" w:line="360" w:lineRule="auto"/>
        <w:ind w:left="420" w:leftChars="200"/>
        <w:jc w:val="left"/>
        <w:rPr>
          <w:rFonts w:ascii="宋体" w:hAnsi="宋体" w:cs="宋体"/>
          <w:sz w:val="24"/>
        </w:rPr>
      </w:pPr>
      <w:r>
        <w:rPr>
          <w:rFonts w:hint="eastAsia" w:ascii="宋体" w:hAnsi="宋体" w:cs="宋体"/>
          <w:sz w:val="24"/>
        </w:rPr>
        <w:t>2.11“允许负偏离的条款”是指采购需求中的不属于“实质性要求”的条款。</w:t>
      </w:r>
      <w:bookmarkStart w:id="79" w:name="_Toc254970670"/>
      <w:bookmarkStart w:id="80" w:name="_Toc254970529"/>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3.</w:t>
      </w:r>
      <w:bookmarkEnd w:id="79"/>
      <w:bookmarkEnd w:id="80"/>
      <w:r>
        <w:rPr>
          <w:rFonts w:hint="eastAsia" w:ascii="宋体" w:hAnsi="宋体" w:cs="宋体"/>
          <w:sz w:val="24"/>
        </w:rPr>
        <w:t>投标人的资格要求</w:t>
      </w:r>
    </w:p>
    <w:p>
      <w:pPr>
        <w:snapToGrid w:val="0"/>
        <w:spacing w:before="120" w:line="360" w:lineRule="auto"/>
        <w:ind w:firstLine="420" w:firstLineChars="175"/>
        <w:jc w:val="left"/>
        <w:rPr>
          <w:rFonts w:ascii="宋体" w:hAnsi="宋体" w:cs="宋体"/>
          <w:sz w:val="24"/>
        </w:rPr>
      </w:pPr>
      <w:r>
        <w:rPr>
          <w:rFonts w:hint="eastAsia" w:ascii="宋体" w:hAnsi="宋体" w:cs="宋体"/>
          <w:sz w:val="24"/>
        </w:rPr>
        <w:t>投标人的资格要求详见“投标人须知前附表”。</w:t>
      </w:r>
    </w:p>
    <w:p>
      <w:pPr>
        <w:pStyle w:val="8"/>
        <w:keepNext w:val="0"/>
        <w:keepLines w:val="0"/>
        <w:spacing w:before="120" w:after="0" w:line="360" w:lineRule="auto"/>
        <w:ind w:left="420" w:leftChars="200" w:firstLine="480"/>
        <w:rPr>
          <w:rFonts w:ascii="宋体" w:hAnsi="宋体" w:cs="宋体"/>
          <w:sz w:val="24"/>
        </w:rPr>
      </w:pPr>
      <w:bookmarkStart w:id="81" w:name="_Toc254970530"/>
      <w:bookmarkStart w:id="82" w:name="_Toc254970671"/>
      <w:r>
        <w:rPr>
          <w:rFonts w:hint="eastAsia" w:ascii="宋体" w:hAnsi="宋体" w:cs="宋体"/>
          <w:sz w:val="24"/>
        </w:rPr>
        <w:t>4.投标委托</w:t>
      </w:r>
      <w:bookmarkEnd w:id="81"/>
      <w:bookmarkEnd w:id="82"/>
    </w:p>
    <w:p>
      <w:pPr>
        <w:snapToGrid w:val="0"/>
        <w:spacing w:before="120" w:line="360" w:lineRule="auto"/>
        <w:ind w:firstLine="420" w:firstLineChars="175"/>
        <w:jc w:val="left"/>
        <w:rPr>
          <w:rFonts w:ascii="宋体" w:hAnsi="宋体" w:cs="宋体"/>
          <w:sz w:val="24"/>
        </w:rPr>
      </w:pPr>
      <w:r>
        <w:rPr>
          <w:rFonts w:hint="eastAsia" w:ascii="宋体" w:hAnsi="宋体" w:cs="宋体"/>
          <w:sz w:val="24"/>
        </w:rPr>
        <w:t>投标人代表参加投标活动过程中必须提供个人有效身份证件。如投标人代表不是法定代表人，须持有授权委托书（按第六章要求格式填写）。</w:t>
      </w:r>
    </w:p>
    <w:p>
      <w:pPr>
        <w:pStyle w:val="8"/>
        <w:keepNext w:val="0"/>
        <w:keepLines w:val="0"/>
        <w:spacing w:before="120" w:after="0" w:line="360" w:lineRule="auto"/>
        <w:ind w:left="420" w:leftChars="200" w:firstLine="480"/>
        <w:rPr>
          <w:rFonts w:ascii="宋体" w:hAnsi="宋体" w:cs="宋体"/>
          <w:sz w:val="24"/>
        </w:rPr>
      </w:pPr>
      <w:bookmarkStart w:id="83" w:name="_5.投标费用"/>
      <w:bookmarkEnd w:id="83"/>
      <w:bookmarkStart w:id="84" w:name="_Toc254970672"/>
      <w:bookmarkStart w:id="85" w:name="_Toc254970531"/>
      <w:r>
        <w:rPr>
          <w:rFonts w:hint="eastAsia" w:ascii="宋体" w:hAnsi="宋体" w:cs="宋体"/>
          <w:sz w:val="24"/>
        </w:rPr>
        <w:t>5.投标费用</w:t>
      </w:r>
      <w:bookmarkEnd w:id="84"/>
      <w:bookmarkEnd w:id="85"/>
    </w:p>
    <w:p>
      <w:pPr>
        <w:snapToGrid w:val="0"/>
        <w:spacing w:before="120" w:line="360" w:lineRule="auto"/>
        <w:ind w:firstLine="480" w:firstLineChars="200"/>
        <w:jc w:val="left"/>
        <w:rPr>
          <w:rFonts w:ascii="宋体" w:hAnsi="宋体" w:cs="宋体"/>
          <w:sz w:val="24"/>
        </w:rPr>
      </w:pPr>
      <w:r>
        <w:rPr>
          <w:rFonts w:hint="eastAsia" w:ascii="宋体" w:hAnsi="宋体" w:cs="宋体"/>
          <w:sz w:val="24"/>
        </w:rPr>
        <w:t>投标费用：投标人应承担参与本次采购活动有关的所有费用，包括但不限于获取招标文件、勘查现场、编制和提交投标文件、参加澄清说明、签订合同等，不论投标结果如何，均应自行承担。</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6.联合体投标</w:t>
      </w:r>
    </w:p>
    <w:p>
      <w:pPr>
        <w:snapToGrid w:val="0"/>
        <w:spacing w:before="120" w:line="360" w:lineRule="auto"/>
        <w:ind w:firstLine="480" w:firstLineChars="200"/>
        <w:jc w:val="left"/>
        <w:rPr>
          <w:rFonts w:ascii="宋体" w:hAnsi="宋体" w:cs="宋体"/>
          <w:sz w:val="24"/>
        </w:rPr>
      </w:pPr>
      <w:r>
        <w:rPr>
          <w:rFonts w:hint="eastAsia" w:ascii="宋体" w:hAnsi="宋体" w:cs="宋体"/>
          <w:sz w:val="24"/>
        </w:rPr>
        <w:t>6.1本项目是否接受联合体投标，详见“投标人须知前附表”。</w:t>
      </w:r>
    </w:p>
    <w:p>
      <w:pPr>
        <w:snapToGrid w:val="0"/>
        <w:spacing w:before="120" w:line="360" w:lineRule="auto"/>
        <w:ind w:firstLine="480" w:firstLineChars="200"/>
        <w:jc w:val="left"/>
        <w:rPr>
          <w:rFonts w:ascii="宋体" w:hAnsi="宋体" w:cs="宋体"/>
          <w:bCs/>
          <w:sz w:val="24"/>
        </w:rPr>
      </w:pPr>
      <w:r>
        <w:rPr>
          <w:rFonts w:hint="eastAsia" w:ascii="宋体" w:hAnsi="宋体" w:cs="宋体"/>
          <w:bCs/>
          <w:sz w:val="24"/>
        </w:rPr>
        <w:t>6.2如接受联合体投标，联合体投标要求详见“投标人须知前附表”。</w:t>
      </w:r>
    </w:p>
    <w:p>
      <w:pPr>
        <w:pStyle w:val="8"/>
        <w:keepNext w:val="0"/>
        <w:keepLines w:val="0"/>
        <w:spacing w:before="120" w:after="0" w:line="360" w:lineRule="auto"/>
        <w:ind w:firstLine="484" w:firstLineChars="202"/>
        <w:rPr>
          <w:rFonts w:ascii="宋体" w:hAnsi="宋体" w:cs="宋体"/>
          <w:sz w:val="24"/>
        </w:rPr>
      </w:pPr>
      <w:r>
        <w:rPr>
          <w:rFonts w:hint="eastAsia" w:ascii="宋体" w:hAnsi="宋体" w:cs="宋体"/>
          <w:b w:val="0"/>
          <w:bCs/>
          <w:sz w:val="24"/>
        </w:rPr>
        <w:t xml:space="preserve">6.3 </w:t>
      </w:r>
      <w:bookmarkStart w:id="86" w:name="_Hlk65857072"/>
      <w:r>
        <w:rPr>
          <w:rFonts w:hint="eastAsia" w:ascii="宋体" w:hAnsi="宋体" w:cs="宋体"/>
          <w:b w:val="0"/>
          <w:bCs/>
          <w:sz w:val="24"/>
        </w:rPr>
        <w:t>根据《政府采购促进中小企业发展管理办法》（财库〔2020〕46号）及《关于进一步加大政府采购支持中小企业力度的通知》（财库〔2022〕19号 ）的规定，大中型企业与小微企业组成联合体或者大中型企业向小微企业分包的，评审优惠4%-6%。政府采购工程的价格评审优惠按照财库〔2020〕46号文件的规定执行，用扣除后的价格参加评审。</w:t>
      </w:r>
      <w:bookmarkEnd w:id="86"/>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 xml:space="preserve">7.转包与分包             </w:t>
      </w:r>
    </w:p>
    <w:p>
      <w:pPr>
        <w:pStyle w:val="8"/>
        <w:keepNext w:val="0"/>
        <w:keepLines w:val="0"/>
        <w:numPr>
          <w:ilvl w:val="0"/>
          <w:numId w:val="0"/>
        </w:numPr>
        <w:spacing w:before="120" w:after="0" w:line="360" w:lineRule="auto"/>
        <w:ind w:firstLine="420" w:firstLineChars="175"/>
        <w:rPr>
          <w:rFonts w:ascii="宋体" w:hAnsi="宋体" w:cs="宋体"/>
          <w:b w:val="0"/>
          <w:sz w:val="24"/>
        </w:rPr>
      </w:pPr>
      <w:r>
        <w:rPr>
          <w:rFonts w:hint="eastAsia" w:ascii="宋体" w:hAnsi="宋体" w:cs="宋体"/>
          <w:b w:val="0"/>
          <w:sz w:val="24"/>
        </w:rPr>
        <w:t>7.1本项目不允许转包。</w:t>
      </w:r>
    </w:p>
    <w:p>
      <w:pPr>
        <w:pStyle w:val="8"/>
        <w:keepNext w:val="0"/>
        <w:keepLines w:val="0"/>
        <w:spacing w:before="120" w:after="0" w:line="360" w:lineRule="auto"/>
        <w:ind w:firstLine="420" w:firstLineChars="175"/>
        <w:rPr>
          <w:rFonts w:ascii="宋体" w:hAnsi="宋体" w:cs="宋体"/>
          <w:b w:val="0"/>
          <w:sz w:val="24"/>
        </w:rPr>
      </w:pPr>
      <w:r>
        <w:rPr>
          <w:rFonts w:hint="eastAsia" w:ascii="宋体" w:hAnsi="宋体" w:cs="宋体"/>
          <w:b w:val="0"/>
          <w:sz w:val="24"/>
        </w:rPr>
        <w:t>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8"/>
        <w:keepNext w:val="0"/>
        <w:keepLines w:val="0"/>
        <w:spacing w:before="120" w:after="0" w:line="360" w:lineRule="auto"/>
        <w:ind w:firstLine="420" w:firstLineChars="175"/>
        <w:rPr>
          <w:rFonts w:ascii="宋体" w:hAnsi="宋体" w:cs="宋体"/>
          <w:b w:val="0"/>
          <w:sz w:val="24"/>
        </w:rPr>
      </w:pPr>
      <w:r>
        <w:rPr>
          <w:rFonts w:hint="eastAsia" w:ascii="宋体" w:hAnsi="宋体" w:cs="宋体"/>
          <w:b w:val="0"/>
          <w:sz w:val="24"/>
        </w:rPr>
        <w:t>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8"/>
        <w:keepNext w:val="0"/>
        <w:keepLines w:val="0"/>
        <w:spacing w:before="120" w:after="0" w:line="360" w:lineRule="auto"/>
        <w:ind w:left="420" w:leftChars="200" w:firstLine="480"/>
        <w:rPr>
          <w:rFonts w:ascii="宋体" w:hAnsi="宋体" w:cs="宋体"/>
          <w:sz w:val="24"/>
        </w:rPr>
      </w:pPr>
      <w:bookmarkStart w:id="87" w:name="_Toc254970532"/>
      <w:bookmarkStart w:id="88" w:name="_Toc254970673"/>
      <w:r>
        <w:rPr>
          <w:rFonts w:hint="eastAsia" w:ascii="宋体" w:hAnsi="宋体" w:cs="宋体"/>
          <w:sz w:val="24"/>
        </w:rPr>
        <w:t>8.特别说明</w:t>
      </w:r>
      <w:bookmarkEnd w:id="87"/>
      <w:bookmarkEnd w:id="88"/>
    </w:p>
    <w:p>
      <w:pPr>
        <w:pStyle w:val="8"/>
        <w:keepNext w:val="0"/>
        <w:keepLines w:val="0"/>
        <w:spacing w:before="120" w:after="0" w:line="360" w:lineRule="auto"/>
        <w:ind w:firstLine="480" w:firstLineChars="200"/>
        <w:rPr>
          <w:rFonts w:ascii="宋体" w:hAnsi="宋体" w:cs="宋体"/>
          <w:b w:val="0"/>
          <w:sz w:val="24"/>
        </w:rPr>
      </w:pPr>
      <w:bookmarkStart w:id="89" w:name="_8.1提供相同品牌产品且通过资格审查、符合性审查的不同投标人参加同一合"/>
      <w:bookmarkEnd w:id="89"/>
      <w:r>
        <w:rPr>
          <w:rFonts w:hint="eastAsia" w:ascii="宋体" w:hAnsi="宋体" w:cs="宋体"/>
          <w:b w:val="0"/>
          <w:sz w:val="24"/>
        </w:rPr>
        <w:fldChar w:fldCharType="begin"/>
      </w:r>
      <w:r>
        <w:rPr>
          <w:rFonts w:hint="eastAsia" w:ascii="宋体" w:hAnsi="宋体" w:cs="宋体"/>
          <w:b w:val="0"/>
          <w:sz w:val="24"/>
        </w:rPr>
        <w:instrText xml:space="preserve"> HYPERLINK  \l "_8.1" </w:instrText>
      </w:r>
      <w:r>
        <w:rPr>
          <w:rFonts w:hint="eastAsia" w:ascii="宋体" w:hAnsi="宋体" w:cs="宋体"/>
          <w:b w:val="0"/>
          <w:sz w:val="24"/>
        </w:rPr>
        <w:fldChar w:fldCharType="separate"/>
      </w:r>
      <w:r>
        <w:rPr>
          <w:rFonts w:hint="eastAsia" w:ascii="宋体" w:hAnsi="宋体" w:cs="宋体"/>
          <w:b w:val="0"/>
          <w:sz w:val="24"/>
        </w:rPr>
        <w:t>8.1</w:t>
      </w:r>
      <w:r>
        <w:rPr>
          <w:rFonts w:hint="eastAsia" w:ascii="宋体" w:hAnsi="宋体" w:cs="宋体"/>
          <w:b w:val="0"/>
          <w:sz w:val="24"/>
        </w:rPr>
        <w:fldChar w:fldCharType="end"/>
      </w:r>
      <w:r>
        <w:rPr>
          <w:rFonts w:hint="eastAsia" w:ascii="宋体" w:hAnsi="宋体" w:cs="宋体"/>
          <w:b w:val="0"/>
          <w:sz w:val="24"/>
        </w:rPr>
        <w:t>采用最低评标价法的采购项目，提供相同品牌产品的不同投标人参加同一合同项下投标的，以其中通过资格审查、符合性审查且报价最低的参加评标；报价相同的，由采购人或者采购人委托评标委员会按照“投标人须知前附表”规定的方式确定一个参加评标的投标人，</w:t>
      </w:r>
      <w:r>
        <w:rPr>
          <w:rFonts w:hint="eastAsia" w:ascii="宋体" w:hAnsi="宋体" w:cs="宋体"/>
          <w:sz w:val="24"/>
        </w:rPr>
        <w:t>其他投标无效。</w:t>
      </w:r>
    </w:p>
    <w:p>
      <w:pPr>
        <w:pStyle w:val="8"/>
        <w:keepNext w:val="0"/>
        <w:keepLines w:val="0"/>
        <w:spacing w:before="120" w:after="0" w:line="360" w:lineRule="auto"/>
        <w:ind w:firstLine="480" w:firstLineChars="200"/>
        <w:rPr>
          <w:rFonts w:ascii="宋体" w:hAnsi="宋体" w:cs="宋体"/>
          <w:b w:val="0"/>
          <w:sz w:val="24"/>
        </w:rPr>
      </w:pPr>
      <w:r>
        <w:rPr>
          <w:rFonts w:hint="eastAsia" w:ascii="宋体" w:hAnsi="宋体" w:cs="宋体"/>
          <w:b w:val="0"/>
          <w:sz w:val="24"/>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非单一产品采购项目，多家投标人提供的核心产品品牌相同的，</w:t>
      </w:r>
      <w:r>
        <w:rPr>
          <w:rFonts w:hint="eastAsia" w:hAnsi="宋体" w:cs="宋体"/>
          <w:sz w:val="24"/>
          <w:szCs w:val="24"/>
        </w:rPr>
        <w:t>按前两款规定处理</w:t>
      </w:r>
      <w:r>
        <w:rPr>
          <w:rFonts w:hint="eastAsia" w:hAnsi="宋体" w:cs="宋体"/>
          <w:kern w:val="2"/>
          <w:sz w:val="24"/>
          <w:szCs w:val="24"/>
        </w:rPr>
        <w:t>。</w:t>
      </w:r>
    </w:p>
    <w:p>
      <w:pPr>
        <w:pStyle w:val="8"/>
        <w:keepNext w:val="0"/>
        <w:keepLines w:val="0"/>
        <w:spacing w:before="120" w:after="0" w:line="360" w:lineRule="auto"/>
        <w:ind w:firstLine="420" w:firstLineChars="175"/>
        <w:rPr>
          <w:rFonts w:ascii="宋体" w:hAnsi="宋体" w:cs="宋体"/>
          <w:b w:val="0"/>
          <w:sz w:val="24"/>
        </w:rPr>
      </w:pPr>
      <w:r>
        <w:rPr>
          <w:rFonts w:hint="eastAsia" w:ascii="宋体" w:hAnsi="宋体" w:cs="宋体"/>
          <w:b w:val="0"/>
          <w:sz w:val="24"/>
        </w:rPr>
        <w:t xml:space="preserve"> 8.2如果本招标文件要求提供投标人或制造商的资格、信誉、荣誉、业绩与企业认证等材料的，资格、信誉、荣誉、业绩与企业认证等必须为投标人或者制造商所拥有或自身获得 。</w:t>
      </w:r>
    </w:p>
    <w:p>
      <w:pPr>
        <w:pStyle w:val="8"/>
        <w:keepNext w:val="0"/>
        <w:keepLines w:val="0"/>
        <w:spacing w:before="120" w:after="0" w:line="360" w:lineRule="auto"/>
        <w:ind w:firstLine="420" w:firstLineChars="175"/>
        <w:rPr>
          <w:rFonts w:ascii="宋体" w:hAnsi="宋体" w:cs="宋体"/>
          <w:b w:val="0"/>
          <w:sz w:val="24"/>
        </w:rPr>
      </w:pPr>
      <w:r>
        <w:rPr>
          <w:rFonts w:hint="eastAsia" w:ascii="宋体" w:hAnsi="宋体" w:cs="宋体"/>
          <w:b w:val="0"/>
          <w:sz w:val="24"/>
        </w:rPr>
        <w:t xml:space="preserve"> 8.3投标人应仔细阅读招标文件的所有内容，按照招标文件的要求提交投标文件，并对所提供的全部资料的真实性承担法律责任。</w:t>
      </w:r>
    </w:p>
    <w:p>
      <w:pPr>
        <w:pStyle w:val="8"/>
        <w:keepNext w:val="0"/>
        <w:keepLines w:val="0"/>
        <w:spacing w:before="120" w:after="0" w:line="360" w:lineRule="auto"/>
        <w:ind w:firstLine="420" w:firstLineChars="175"/>
        <w:rPr>
          <w:rFonts w:ascii="宋体" w:hAnsi="宋体" w:cs="宋体"/>
          <w:b w:val="0"/>
          <w:sz w:val="24"/>
        </w:rPr>
      </w:pPr>
      <w:r>
        <w:rPr>
          <w:rFonts w:hint="eastAsia" w:ascii="宋体" w:hAnsi="宋体" w:cs="宋体"/>
          <w:b w:val="0"/>
          <w:sz w:val="24"/>
        </w:rPr>
        <w:t xml:space="preserve"> 8.4投标人在投标活动中提供任何虚假材料，将报监管部门查处；中标后发现的，中标人须依法赔偿采购人，且民事赔偿并不免除违法投标人的行政与刑事责任。</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9.回避与串通投标</w:t>
      </w:r>
    </w:p>
    <w:p>
      <w:pPr>
        <w:pStyle w:val="8"/>
        <w:keepNext w:val="0"/>
        <w:keepLines w:val="0"/>
        <w:spacing w:before="120" w:after="0" w:line="360" w:lineRule="auto"/>
        <w:ind w:firstLine="420" w:firstLineChars="175"/>
        <w:rPr>
          <w:rFonts w:ascii="宋体" w:hAnsi="宋体" w:cs="宋体"/>
          <w:b w:val="0"/>
          <w:sz w:val="24"/>
        </w:rPr>
      </w:pPr>
      <w:r>
        <w:rPr>
          <w:rFonts w:hint="eastAsia" w:ascii="宋体" w:hAnsi="宋体" w:cs="宋体"/>
          <w:b w:val="0"/>
          <w:sz w:val="24"/>
        </w:rPr>
        <w:t xml:space="preserve"> 9.1在政府采购活动中，采购人员及相关人员与供应商有下列利害关系之一的，应当回避：</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（1）参加采购活动前3年内与供应商存在劳动关系；</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（2）参加采购活动前3年内担任供应商的董事、监事；</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（3）参加采购活动前3年内是供应商的控股股东或者实际控制人；</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（4）与供应商的法定代表人或者负责人有夫妻、直系血亲、三代以内旁系血亲或者近姻亲关系；</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（5）与供应商有其他可能影响政府采购活动公平、公正进行的关系。</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25"/>
        <w:snapToGrid w:val="0"/>
        <w:spacing w:before="120" w:line="360" w:lineRule="auto"/>
        <w:ind w:left="2" w:leftChars="1" w:firstLine="480" w:firstLineChars="200"/>
        <w:rPr>
          <w:rFonts w:hAnsi="宋体" w:cs="宋体"/>
          <w:b/>
          <w:kern w:val="2"/>
          <w:sz w:val="24"/>
          <w:szCs w:val="24"/>
        </w:rPr>
      </w:pPr>
      <w:r>
        <w:rPr>
          <w:rFonts w:hint="eastAsia" w:hAnsi="宋体" w:cs="宋体"/>
          <w:sz w:val="24"/>
        </w:rPr>
        <w:t>9.2</w:t>
      </w:r>
      <w:r>
        <w:rPr>
          <w:rFonts w:hAnsi="宋体" w:cs="宋体"/>
          <w:sz w:val="24"/>
        </w:rPr>
        <w:t xml:space="preserve"> </w:t>
      </w:r>
      <w:r>
        <w:rPr>
          <w:rFonts w:hint="eastAsia" w:hAnsi="宋体" w:cs="宋体"/>
          <w:b/>
          <w:kern w:val="2"/>
          <w:sz w:val="24"/>
          <w:szCs w:val="24"/>
        </w:rPr>
        <w:t>有下列情形之一的，属于投标人相互串通投标，投标文件将被视为无效：</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（1）投标人之间协商投标报价等投标文件的实质性内容；</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（2）投标人之间约定中标人；</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（3）投标人之间约定部分投标人放弃投标或者中标；</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（4）属于同一集团、协会、商会等组织成员的投标人按照该组织要求协同投标；</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（5）投标人之间为谋取中标或者排斥特定投标人而采取的其他联合行动。</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9.3 有下列情形之一的视为投标人相互串通投标，投标文件将被视为无效：</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 xml:space="preserve">（1）不同投标人的投标文件由同一单位或者个人编制； </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（2）不同投标人委托同一单位或者个人办理投标事宜；</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（3）不同的投标人的投标文件载明的项目管理员为同一个人；</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（4）不同投标人的投标文件异常一致或者投标报价呈规律性差异；</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（5）不同投标人的投标文件相互混装；</w:t>
      </w:r>
    </w:p>
    <w:p>
      <w:pPr>
        <w:pStyle w:val="25"/>
        <w:snapToGrid w:val="0"/>
        <w:spacing w:before="120" w:line="360" w:lineRule="auto"/>
        <w:ind w:left="2" w:leftChars="1" w:firstLine="482" w:firstLineChars="200"/>
        <w:rPr>
          <w:rFonts w:hAnsi="宋体" w:cs="宋体"/>
          <w:b/>
          <w:kern w:val="2"/>
          <w:sz w:val="24"/>
          <w:szCs w:val="24"/>
        </w:rPr>
      </w:pPr>
      <w:r>
        <w:rPr>
          <w:rFonts w:hint="eastAsia" w:hAnsi="宋体" w:cs="宋体"/>
          <w:b/>
          <w:kern w:val="2"/>
          <w:sz w:val="24"/>
          <w:szCs w:val="24"/>
        </w:rPr>
        <w:t>（6）不同投标人的投标保证金从同一单位或者个人账户转出。</w:t>
      </w:r>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9.</w:t>
      </w:r>
      <w:r>
        <w:rPr>
          <w:rFonts w:ascii="宋体" w:hAnsi="宋体" w:cs="宋体"/>
          <w:b w:val="0"/>
          <w:sz w:val="24"/>
        </w:rPr>
        <w:t>4</w:t>
      </w:r>
      <w:r>
        <w:rPr>
          <w:rFonts w:hint="eastAsia" w:ascii="宋体" w:hAnsi="宋体" w:cs="宋体"/>
          <w:b w:val="0"/>
          <w:sz w:val="24"/>
        </w:rPr>
        <w:t>供应商有下列情形之一的，属于恶意串通行为，将报同级监督管理部门：</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（1）供应商直接或者间接从采购人或者采购代理机构处获得其他供应商的相关信息并修改其投标文件或者响应文件；</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（2）供应商按照采购人或者采购代理机构的授意撤换、修改投标文件或者响应文件；</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（3）供应商之间协商报价、技术方案等投标文件或者响应文件的实质性内容；</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（4）属于同一集团、协会、商会等组织成员的供应商按照该组织要求协同参加政府采购活动；</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（5）供应商之间事先约定一致抬高或者压低投标报价，或者在招标项目中事先约定轮流以高价位或者低价位中标，或者事先约定由某一特定供应商中标，然后再参加投标；</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（6）供应商之间商定部分供应商放弃参加政府采购活动或者放弃中标；</w:t>
      </w:r>
    </w:p>
    <w:p>
      <w:pPr>
        <w:pStyle w:val="25"/>
        <w:snapToGrid w:val="0"/>
        <w:spacing w:before="120" w:line="360" w:lineRule="auto"/>
        <w:ind w:left="2" w:leftChars="1" w:firstLine="480" w:firstLineChars="200"/>
        <w:rPr>
          <w:rFonts w:hAnsi="宋体" w:cs="宋体"/>
          <w:kern w:val="2"/>
          <w:sz w:val="24"/>
          <w:szCs w:val="24"/>
        </w:rPr>
      </w:pPr>
      <w:r>
        <w:rPr>
          <w:rFonts w:hint="eastAsia" w:hAnsi="宋体" w:cs="宋体"/>
          <w:kern w:val="2"/>
          <w:sz w:val="24"/>
          <w:szCs w:val="24"/>
        </w:rPr>
        <w:t>（7）供应商与采购人或者采购代理机构之间、供应商相互之间，为谋求特定供应商中标或者排斥其他供应商的其他串通行为。</w:t>
      </w:r>
    </w:p>
    <w:p>
      <w:pPr>
        <w:pStyle w:val="25"/>
        <w:snapToGrid w:val="0"/>
        <w:spacing w:before="120" w:line="360" w:lineRule="auto"/>
        <w:ind w:left="2" w:leftChars="1" w:firstLine="422" w:firstLineChars="200"/>
        <w:rPr>
          <w:rFonts w:hAnsi="宋体" w:cs="宋体"/>
          <w:b/>
          <w:kern w:val="2"/>
          <w:sz w:val="21"/>
        </w:rPr>
      </w:pPr>
    </w:p>
    <w:p>
      <w:pPr>
        <w:pStyle w:val="6"/>
        <w:keepNext w:val="0"/>
        <w:keepLines w:val="0"/>
        <w:spacing w:before="120"/>
        <w:ind w:firstLine="640"/>
        <w:jc w:val="center"/>
        <w:rPr>
          <w:rFonts w:ascii="宋体" w:hAnsi="宋体" w:cs="宋体"/>
        </w:rPr>
      </w:pPr>
      <w:bookmarkStart w:id="90" w:name="_Toc254970675"/>
      <w:bookmarkStart w:id="91" w:name="_Toc254970534"/>
      <w:r>
        <w:rPr>
          <w:rFonts w:hint="eastAsia" w:ascii="宋体" w:hAnsi="宋体" w:cs="宋体"/>
        </w:rPr>
        <w:t>二、招标文件</w:t>
      </w:r>
      <w:bookmarkEnd w:id="90"/>
      <w:bookmarkEnd w:id="91"/>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10.招标文件的组成</w:t>
      </w:r>
    </w:p>
    <w:p>
      <w:pPr>
        <w:snapToGrid w:val="0"/>
        <w:spacing w:before="120" w:line="360" w:lineRule="auto"/>
        <w:ind w:firstLine="482"/>
        <w:jc w:val="left"/>
        <w:rPr>
          <w:rFonts w:ascii="宋体" w:hAnsi="宋体" w:cs="宋体"/>
          <w:sz w:val="24"/>
        </w:rPr>
      </w:pPr>
      <w:r>
        <w:rPr>
          <w:rFonts w:hint="eastAsia" w:ascii="宋体" w:hAnsi="宋体" w:cs="宋体"/>
          <w:sz w:val="24"/>
        </w:rPr>
        <w:t>（1）招标公告；</w:t>
      </w:r>
    </w:p>
    <w:p>
      <w:pPr>
        <w:snapToGrid w:val="0"/>
        <w:spacing w:before="120" w:line="360" w:lineRule="auto"/>
        <w:ind w:firstLine="482"/>
        <w:jc w:val="left"/>
        <w:rPr>
          <w:rFonts w:ascii="宋体" w:hAnsi="宋体" w:cs="宋体"/>
          <w:sz w:val="24"/>
        </w:rPr>
      </w:pPr>
      <w:r>
        <w:rPr>
          <w:rFonts w:hint="eastAsia" w:ascii="宋体" w:hAnsi="宋体" w:cs="宋体"/>
          <w:sz w:val="24"/>
        </w:rPr>
        <w:t xml:space="preserve">（2）采购需求； </w:t>
      </w:r>
    </w:p>
    <w:p>
      <w:pPr>
        <w:snapToGrid w:val="0"/>
        <w:spacing w:before="120" w:line="360" w:lineRule="auto"/>
        <w:ind w:firstLine="482"/>
        <w:jc w:val="left"/>
        <w:rPr>
          <w:rFonts w:ascii="宋体" w:hAnsi="宋体" w:cs="宋体"/>
          <w:sz w:val="24"/>
        </w:rPr>
      </w:pPr>
      <w:r>
        <w:rPr>
          <w:rFonts w:hint="eastAsia" w:ascii="宋体" w:hAnsi="宋体" w:cs="宋体"/>
          <w:sz w:val="24"/>
        </w:rPr>
        <w:t>（3）投标人须知；</w:t>
      </w:r>
    </w:p>
    <w:p>
      <w:pPr>
        <w:snapToGrid w:val="0"/>
        <w:spacing w:before="120" w:line="360" w:lineRule="auto"/>
        <w:ind w:firstLine="482"/>
        <w:jc w:val="left"/>
        <w:rPr>
          <w:rFonts w:ascii="宋体" w:hAnsi="宋体" w:cs="宋体"/>
          <w:sz w:val="24"/>
        </w:rPr>
      </w:pPr>
      <w:r>
        <w:rPr>
          <w:rFonts w:hint="eastAsia" w:ascii="宋体" w:hAnsi="宋体" w:cs="宋体"/>
          <w:sz w:val="24"/>
        </w:rPr>
        <w:t>（4）评标方法及评标标准；</w:t>
      </w:r>
    </w:p>
    <w:p>
      <w:pPr>
        <w:snapToGrid w:val="0"/>
        <w:spacing w:before="120" w:line="360" w:lineRule="auto"/>
        <w:ind w:firstLine="482"/>
        <w:jc w:val="left"/>
        <w:rPr>
          <w:rFonts w:ascii="宋体" w:hAnsi="宋体" w:cs="宋体"/>
          <w:sz w:val="24"/>
        </w:rPr>
      </w:pPr>
      <w:r>
        <w:rPr>
          <w:rFonts w:hint="eastAsia" w:ascii="宋体" w:hAnsi="宋体" w:cs="宋体"/>
          <w:sz w:val="24"/>
        </w:rPr>
        <w:t>（5）拟签订的合同文本；</w:t>
      </w:r>
    </w:p>
    <w:p>
      <w:pPr>
        <w:snapToGrid w:val="0"/>
        <w:spacing w:before="120" w:line="360" w:lineRule="auto"/>
        <w:ind w:firstLine="482"/>
        <w:jc w:val="left"/>
        <w:rPr>
          <w:rFonts w:ascii="宋体" w:hAnsi="宋体" w:cs="宋体"/>
          <w:sz w:val="24"/>
        </w:rPr>
      </w:pPr>
      <w:r>
        <w:rPr>
          <w:rFonts w:hint="eastAsia" w:ascii="宋体" w:hAnsi="宋体" w:cs="宋体"/>
          <w:sz w:val="24"/>
        </w:rPr>
        <w:t>（6）投标文件格式。</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11.招标文件的澄清、修改 、现场考察和答疑会</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sz w:val="24"/>
        </w:rPr>
        <w:t xml:space="preserve"> 11.1投标人应认真审阅本招标文件，如有疑问，或发现其中有误或有要求不合理的，应在招标公告期限届满之日起7个工作日内以纸质书面形式要求采购人或采购代理机构对招标文件予以澄清；否则，由此产生的后果由投标人自行负责。</w:t>
      </w:r>
    </w:p>
    <w:p>
      <w:pPr>
        <w:pStyle w:val="8"/>
        <w:keepNext w:val="0"/>
        <w:keepLines w:val="0"/>
        <w:numPr>
          <w:ilvl w:val="0"/>
          <w:numId w:val="0"/>
        </w:numPr>
        <w:spacing w:before="120" w:after="0" w:line="360" w:lineRule="auto"/>
        <w:ind w:firstLine="480" w:firstLineChars="200"/>
        <w:rPr>
          <w:rFonts w:ascii="宋体" w:hAnsi="宋体" w:cs="宋体"/>
          <w:sz w:val="24"/>
        </w:rPr>
      </w:pPr>
      <w:r>
        <w:rPr>
          <w:rFonts w:hint="eastAsia" w:ascii="宋体" w:hAnsi="宋体" w:cs="宋体"/>
          <w:b w:val="0"/>
          <w:sz w:val="24"/>
        </w:rPr>
        <w:t>11.2采购人或者采购代理机构可以对已发出的招标文件进行必要的澄清或者修改，但不得改变采购标的和资格条件。澄清或者修改将在原公告发布媒体上发布更正公告。澄清或者修改的内容为招标文件的组成部分。澄清或者修改的内容可能影响投标文件编制的，采购人或者采购代理机构应当在投标截止时间至少15日前，在原公告发布媒体上发布更正公告；不足15日的，采购人或者采购代理机构应当顺延提交投标文件的截止时间。发出的澄清或者修改不影响投标文件编制的也应在截标前3日发出。澄清或者更正公告在招标公告发布媒体上发布，一经发布，视作已以书面形式通知所有获取招标文件的潜在投标人，不再另行通知，所有潜在投标人应密切关注招标公告发布媒体，因未能及时获知，由此产生的后果均应自行承担。</w:t>
      </w:r>
    </w:p>
    <w:p>
      <w:pPr>
        <w:spacing w:before="120" w:line="360" w:lineRule="auto"/>
        <w:ind w:firstLine="480" w:firstLineChars="200"/>
        <w:rPr>
          <w:rFonts w:ascii="宋体" w:hAnsi="宋体" w:cs="宋体"/>
          <w:sz w:val="24"/>
        </w:rPr>
      </w:pPr>
      <w:r>
        <w:rPr>
          <w:rFonts w:hint="eastAsia" w:ascii="宋体" w:hAnsi="宋体" w:cs="宋体"/>
          <w:sz w:val="24"/>
        </w:rPr>
        <w:t>11.3采购人和采购代理机构可以视采购具体情况，变更投标截止时间和开标时间，并在原公告发布媒体上发布更正公告。</w:t>
      </w:r>
    </w:p>
    <w:p>
      <w:pPr>
        <w:spacing w:before="120" w:line="360" w:lineRule="auto"/>
        <w:ind w:firstLine="480" w:firstLineChars="200"/>
        <w:rPr>
          <w:rFonts w:ascii="宋体" w:hAnsi="宋体" w:cs="宋体"/>
          <w:sz w:val="24"/>
        </w:rPr>
      </w:pPr>
      <w:r>
        <w:rPr>
          <w:rFonts w:hint="eastAsia" w:ascii="宋体" w:hAnsi="宋体" w:cs="宋体"/>
          <w:sz w:val="24"/>
        </w:rPr>
        <w:t>11.4招标文件澄清、答复、修改、补充的内容为招标文件的组成部分。</w:t>
      </w:r>
      <w:r>
        <w:rPr>
          <w:rFonts w:hint="eastAsia" w:ascii="宋体" w:hAnsi="宋体" w:cs="宋体"/>
          <w:b/>
          <w:sz w:val="24"/>
        </w:rPr>
        <w:t>当招标文件与招标文件的澄清、答复、修改、补充通知就同一内容的表述不一致时，以最后发出的文件为准。</w:t>
      </w:r>
    </w:p>
    <w:p>
      <w:pPr>
        <w:pStyle w:val="25"/>
        <w:snapToGrid w:val="0"/>
        <w:spacing w:before="120" w:line="360" w:lineRule="auto"/>
        <w:ind w:firstLine="480" w:firstLineChars="200"/>
        <w:rPr>
          <w:rFonts w:hAnsi="宋体" w:cs="宋体"/>
          <w:sz w:val="21"/>
        </w:rPr>
      </w:pPr>
      <w:r>
        <w:rPr>
          <w:rFonts w:hint="eastAsia" w:hAnsi="宋体" w:cs="宋体"/>
          <w:sz w:val="24"/>
          <w:szCs w:val="24"/>
        </w:rPr>
        <w:t>11.</w:t>
      </w:r>
      <w:bookmarkStart w:id="92" w:name="_Hlk53134511"/>
      <w:r>
        <w:rPr>
          <w:rFonts w:hint="eastAsia" w:hAnsi="宋体" w:cs="宋体"/>
          <w:sz w:val="24"/>
          <w:szCs w:val="24"/>
        </w:rPr>
        <w:t>5采购人或者采购代理机构可以在招标文件提供期限截止后，组织已获取招标文件的潜在投标人现场考察或者召开开标前答疑会，具体详见“投标人须知前附表”。</w:t>
      </w:r>
    </w:p>
    <w:bookmarkEnd w:id="92"/>
    <w:p>
      <w:pPr>
        <w:pStyle w:val="25"/>
        <w:snapToGrid w:val="0"/>
        <w:spacing w:before="120" w:line="360" w:lineRule="auto"/>
        <w:ind w:firstLine="420" w:firstLineChars="200"/>
        <w:rPr>
          <w:rFonts w:hAnsi="宋体" w:cs="宋体"/>
          <w:sz w:val="21"/>
        </w:rPr>
      </w:pPr>
    </w:p>
    <w:p>
      <w:pPr>
        <w:pStyle w:val="6"/>
        <w:keepNext w:val="0"/>
        <w:keepLines w:val="0"/>
        <w:spacing w:before="120"/>
        <w:ind w:firstLine="640"/>
        <w:jc w:val="center"/>
        <w:rPr>
          <w:rFonts w:ascii="宋体" w:hAnsi="宋体" w:cs="宋体"/>
        </w:rPr>
      </w:pPr>
      <w:bookmarkStart w:id="93" w:name="_Toc254970676"/>
      <w:bookmarkStart w:id="94" w:name="_Toc254970535"/>
      <w:r>
        <w:rPr>
          <w:rFonts w:hint="eastAsia" w:ascii="宋体" w:hAnsi="宋体" w:cs="宋体"/>
        </w:rPr>
        <w:t>三、投标文件的编制</w:t>
      </w:r>
      <w:bookmarkEnd w:id="93"/>
      <w:bookmarkEnd w:id="94"/>
    </w:p>
    <w:p>
      <w:pPr>
        <w:pStyle w:val="8"/>
        <w:keepNext w:val="0"/>
        <w:keepLines w:val="0"/>
        <w:spacing w:before="120" w:after="0" w:line="360" w:lineRule="auto"/>
        <w:ind w:left="420" w:leftChars="200" w:firstLine="480"/>
        <w:rPr>
          <w:rFonts w:ascii="宋体" w:hAnsi="宋体" w:cs="宋体"/>
          <w:sz w:val="24"/>
        </w:rPr>
      </w:pPr>
      <w:bookmarkStart w:id="95" w:name="_Toc254970536"/>
      <w:bookmarkStart w:id="96" w:name="_Toc254970677"/>
      <w:r>
        <w:rPr>
          <w:rFonts w:hint="eastAsia" w:ascii="宋体" w:hAnsi="宋体" w:cs="宋体"/>
          <w:sz w:val="24"/>
        </w:rPr>
        <w:t>12.投标文件的编制原则</w:t>
      </w:r>
    </w:p>
    <w:p>
      <w:pPr>
        <w:snapToGrid w:val="0"/>
        <w:spacing w:before="120" w:line="360" w:lineRule="auto"/>
        <w:ind w:firstLine="482"/>
        <w:jc w:val="left"/>
        <w:rPr>
          <w:rFonts w:ascii="宋体" w:hAnsi="宋体" w:cs="宋体"/>
          <w:sz w:val="24"/>
        </w:rPr>
      </w:pPr>
      <w:r>
        <w:rPr>
          <w:rFonts w:hint="eastAsia" w:ascii="宋体" w:hAnsi="宋体" w:cs="宋体"/>
          <w:sz w:val="24"/>
        </w:rPr>
        <w:t>投标人必须按照招标文件的要求编制投标文件。投标文件必须对招标文件提出的要求和条件作出明确响应。</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13.投标文件的组成</w:t>
      </w:r>
      <w:bookmarkEnd w:id="95"/>
      <w:bookmarkEnd w:id="96"/>
    </w:p>
    <w:p>
      <w:pPr>
        <w:snapToGrid w:val="0"/>
        <w:spacing w:before="120" w:line="360" w:lineRule="auto"/>
        <w:ind w:firstLine="480" w:firstLineChars="200"/>
        <w:jc w:val="left"/>
        <w:rPr>
          <w:rFonts w:ascii="宋体" w:hAnsi="宋体" w:cs="宋体"/>
          <w:sz w:val="24"/>
        </w:rPr>
      </w:pPr>
      <w:r>
        <w:rPr>
          <w:rFonts w:hint="eastAsia" w:ascii="宋体" w:hAnsi="宋体" w:cs="宋体"/>
          <w:sz w:val="24"/>
        </w:rPr>
        <w:t>13.1投标文件由报价文件、资格证明文件、商务文件、技术文件四部分组成。</w:t>
      </w:r>
    </w:p>
    <w:p>
      <w:pPr>
        <w:pStyle w:val="8"/>
        <w:keepNext w:val="0"/>
        <w:keepLines w:val="0"/>
        <w:spacing w:before="120" w:after="0" w:line="360" w:lineRule="auto"/>
        <w:ind w:left="420" w:leftChars="200" w:firstLine="482"/>
        <w:rPr>
          <w:rFonts w:ascii="宋体" w:hAnsi="宋体" w:cs="宋体"/>
          <w:b w:val="0"/>
          <w:sz w:val="24"/>
        </w:rPr>
      </w:pPr>
      <w:bookmarkStart w:id="97" w:name="_13.1报价文件:_具体材料见“投标人须知前附表”。"/>
      <w:bookmarkEnd w:id="97"/>
      <w:r>
        <w:rPr>
          <w:rFonts w:hint="eastAsia" w:ascii="宋体" w:hAnsi="宋体" w:cs="宋体"/>
          <w:b w:val="0"/>
          <w:sz w:val="24"/>
        </w:rPr>
        <w:t>（1）报价文件： 具体材料见“投标人须知前附表”。</w:t>
      </w:r>
    </w:p>
    <w:p>
      <w:pPr>
        <w:pStyle w:val="8"/>
        <w:keepNext w:val="0"/>
        <w:keepLines w:val="0"/>
        <w:spacing w:before="120" w:after="0" w:line="360" w:lineRule="auto"/>
        <w:ind w:left="420" w:leftChars="200" w:firstLine="482"/>
        <w:rPr>
          <w:rFonts w:ascii="宋体" w:hAnsi="宋体" w:cs="宋体"/>
          <w:b w:val="0"/>
          <w:sz w:val="24"/>
        </w:rPr>
      </w:pPr>
      <w:bookmarkStart w:id="98" w:name="_13.2资格证明文件：具体材料见“投标人须知前附表”。"/>
      <w:bookmarkEnd w:id="98"/>
      <w:r>
        <w:rPr>
          <w:rFonts w:hint="eastAsia" w:ascii="宋体" w:hAnsi="宋体" w:cs="宋体"/>
          <w:b w:val="0"/>
          <w:sz w:val="24"/>
        </w:rPr>
        <w:t>（2）资格证明文件：具体材料见“投标人须知前附表”。</w:t>
      </w:r>
    </w:p>
    <w:p>
      <w:pPr>
        <w:pStyle w:val="8"/>
        <w:keepNext w:val="0"/>
        <w:keepLines w:val="0"/>
        <w:spacing w:before="120" w:after="0" w:line="360" w:lineRule="auto"/>
        <w:ind w:left="420" w:leftChars="200" w:firstLine="482"/>
        <w:rPr>
          <w:rFonts w:ascii="宋体" w:hAnsi="宋体" w:cs="宋体"/>
          <w:b w:val="0"/>
          <w:sz w:val="24"/>
        </w:rPr>
      </w:pPr>
      <w:bookmarkStart w:id="99" w:name="_13.3商务文件:_具体材料见“投标人须知前附表”。"/>
      <w:bookmarkEnd w:id="99"/>
      <w:r>
        <w:rPr>
          <w:rFonts w:hint="eastAsia" w:ascii="宋体" w:hAnsi="宋体" w:cs="宋体"/>
          <w:b w:val="0"/>
          <w:sz w:val="24"/>
        </w:rPr>
        <w:t>（3）商务文件：具体材料见“投标人须知前附表”。</w:t>
      </w:r>
    </w:p>
    <w:p>
      <w:pPr>
        <w:pStyle w:val="8"/>
        <w:keepNext w:val="0"/>
        <w:keepLines w:val="0"/>
        <w:spacing w:before="120" w:after="0" w:line="360" w:lineRule="auto"/>
        <w:ind w:left="420" w:leftChars="200" w:firstLine="482"/>
        <w:rPr>
          <w:rFonts w:ascii="宋体" w:hAnsi="宋体" w:cs="宋体"/>
          <w:b w:val="0"/>
          <w:sz w:val="24"/>
        </w:rPr>
      </w:pPr>
      <w:bookmarkStart w:id="100" w:name="_13.4技术文件：具体材料见“投标人须知前附表”。"/>
      <w:bookmarkEnd w:id="100"/>
      <w:r>
        <w:rPr>
          <w:rFonts w:hint="eastAsia" w:ascii="宋体" w:hAnsi="宋体" w:cs="宋体"/>
          <w:b w:val="0"/>
          <w:sz w:val="24"/>
        </w:rPr>
        <w:t>（4）技术文件：具体材料见“投标人须知前附表”。</w:t>
      </w:r>
      <w:bookmarkStart w:id="101" w:name="_13.5投标文件电子版：具体材料见“投标人须知前附表”。"/>
      <w:bookmarkEnd w:id="101"/>
    </w:p>
    <w:p>
      <w:pPr>
        <w:pStyle w:val="8"/>
        <w:keepNext w:val="0"/>
        <w:keepLines w:val="0"/>
        <w:spacing w:before="120" w:after="0" w:line="360" w:lineRule="auto"/>
        <w:ind w:left="420" w:leftChars="200" w:firstLine="480"/>
        <w:rPr>
          <w:rFonts w:ascii="宋体" w:hAnsi="宋体" w:cs="宋体"/>
          <w:sz w:val="24"/>
        </w:rPr>
      </w:pPr>
      <w:bookmarkStart w:id="102" w:name="_Toc254970537"/>
      <w:bookmarkStart w:id="103" w:name="_Toc254970678"/>
      <w:r>
        <w:rPr>
          <w:rFonts w:hint="eastAsia" w:ascii="宋体" w:hAnsi="宋体" w:cs="宋体"/>
          <w:sz w:val="24"/>
        </w:rPr>
        <w:t>14.投标文件的语言及计量</w:t>
      </w:r>
      <w:bookmarkEnd w:id="102"/>
      <w:bookmarkEnd w:id="103"/>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14.1语言文字</w:t>
      </w:r>
    </w:p>
    <w:p>
      <w:pPr>
        <w:pStyle w:val="8"/>
        <w:keepNext w:val="0"/>
        <w:keepLines w:val="0"/>
        <w:spacing w:before="120" w:after="0" w:line="360" w:lineRule="auto"/>
        <w:ind w:firstLine="480" w:firstLineChars="200"/>
        <w:rPr>
          <w:rFonts w:ascii="宋体" w:hAnsi="宋体" w:cs="宋体"/>
          <w:b w:val="0"/>
          <w:sz w:val="24"/>
        </w:rPr>
      </w:pPr>
      <w:r>
        <w:rPr>
          <w:rFonts w:hint="eastAsia" w:ascii="宋体" w:hAnsi="宋体" w:cs="宋体"/>
          <w:b w:val="0"/>
          <w:sz w:val="24"/>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8"/>
        <w:keepNext w:val="0"/>
        <w:keepLines w:val="0"/>
        <w:spacing w:before="120" w:after="0" w:line="360" w:lineRule="auto"/>
        <w:ind w:firstLine="480" w:firstLineChars="200"/>
        <w:rPr>
          <w:rFonts w:ascii="宋体" w:hAnsi="宋体" w:cs="宋体"/>
          <w:b w:val="0"/>
          <w:sz w:val="24"/>
        </w:rPr>
      </w:pPr>
      <w:r>
        <w:rPr>
          <w:rFonts w:hint="eastAsia" w:ascii="宋体" w:hAnsi="宋体" w:cs="宋体"/>
          <w:b w:val="0"/>
          <w:sz w:val="24"/>
        </w:rPr>
        <w:t>14.2投标计量单位</w:t>
      </w:r>
    </w:p>
    <w:p>
      <w:pPr>
        <w:pStyle w:val="8"/>
        <w:keepNext w:val="0"/>
        <w:keepLines w:val="0"/>
        <w:spacing w:before="120" w:after="0" w:line="360" w:lineRule="auto"/>
        <w:ind w:firstLine="480" w:firstLineChars="200"/>
        <w:rPr>
          <w:rFonts w:ascii="宋体" w:hAnsi="宋体" w:cs="宋体"/>
          <w:b w:val="0"/>
          <w:sz w:val="24"/>
        </w:rPr>
      </w:pPr>
      <w:r>
        <w:rPr>
          <w:rFonts w:hint="eastAsia" w:ascii="宋体" w:hAnsi="宋体" w:cs="宋体"/>
          <w:b w:val="0"/>
          <w:sz w:val="24"/>
        </w:rPr>
        <w:t>招标文件已有明确规定的，使用招标文件规定的计量单位；招标文件没有规定的，应采用中华人民共和国法定计量单位，货币种类为人民币，否则视同未响应。</w:t>
      </w:r>
    </w:p>
    <w:p>
      <w:pPr>
        <w:pStyle w:val="8"/>
        <w:keepNext w:val="0"/>
        <w:keepLines w:val="0"/>
        <w:numPr>
          <w:ilvl w:val="255"/>
          <w:numId w:val="0"/>
        </w:numPr>
        <w:spacing w:before="120" w:after="0" w:line="360" w:lineRule="auto"/>
        <w:ind w:left="420" w:leftChars="200"/>
        <w:rPr>
          <w:rFonts w:ascii="宋体" w:hAnsi="宋体" w:cs="宋体"/>
          <w:sz w:val="24"/>
        </w:rPr>
      </w:pPr>
      <w:r>
        <w:rPr>
          <w:rFonts w:hint="eastAsia" w:ascii="宋体" w:hAnsi="宋体" w:cs="宋体"/>
          <w:sz w:val="24"/>
        </w:rPr>
        <w:t>15.投标的风险</w:t>
      </w:r>
    </w:p>
    <w:p>
      <w:pPr>
        <w:pStyle w:val="25"/>
        <w:snapToGrid w:val="0"/>
        <w:spacing w:before="120" w:line="360" w:lineRule="auto"/>
        <w:ind w:firstLine="480" w:firstLineChars="200"/>
        <w:jc w:val="left"/>
        <w:rPr>
          <w:rFonts w:hAnsi="宋体" w:cs="宋体"/>
          <w:sz w:val="24"/>
          <w:szCs w:val="24"/>
        </w:rPr>
      </w:pPr>
      <w:r>
        <w:rPr>
          <w:rFonts w:hint="eastAsia" w:hAnsi="宋体" w:cs="宋体"/>
          <w:sz w:val="24"/>
          <w:szCs w:val="24"/>
        </w:rPr>
        <w:t>投标人没有按照招标文件要求提供全部资料，或者投标人没有对招标文件作出实质性响应是投标人的风险，并可能导致其投标被拒绝。</w:t>
      </w:r>
    </w:p>
    <w:p>
      <w:pPr>
        <w:pStyle w:val="8"/>
        <w:keepNext w:val="0"/>
        <w:keepLines w:val="0"/>
        <w:numPr>
          <w:ilvl w:val="255"/>
          <w:numId w:val="0"/>
        </w:numPr>
        <w:spacing w:before="120" w:after="0" w:line="360" w:lineRule="auto"/>
        <w:ind w:left="420" w:leftChars="200"/>
        <w:rPr>
          <w:rFonts w:ascii="宋体" w:hAnsi="宋体" w:cs="宋体"/>
          <w:sz w:val="24"/>
        </w:rPr>
      </w:pPr>
      <w:bookmarkStart w:id="104" w:name="_Toc254970538"/>
      <w:bookmarkStart w:id="105" w:name="_Toc254970679"/>
      <w:r>
        <w:rPr>
          <w:rFonts w:hint="eastAsia" w:ascii="宋体" w:hAnsi="宋体" w:cs="宋体"/>
          <w:sz w:val="24"/>
        </w:rPr>
        <w:t>16.投标报价</w:t>
      </w:r>
      <w:bookmarkEnd w:id="104"/>
      <w:bookmarkEnd w:id="105"/>
    </w:p>
    <w:p>
      <w:pPr>
        <w:pStyle w:val="8"/>
        <w:keepNext w:val="0"/>
        <w:keepLines w:val="0"/>
        <w:numPr>
          <w:ilvl w:val="255"/>
          <w:numId w:val="0"/>
        </w:numPr>
        <w:spacing w:before="120" w:after="0" w:line="360" w:lineRule="auto"/>
        <w:ind w:left="420" w:leftChars="200"/>
        <w:rPr>
          <w:rFonts w:ascii="宋体" w:hAnsi="宋体" w:cs="宋体"/>
          <w:b w:val="0"/>
          <w:sz w:val="24"/>
        </w:rPr>
      </w:pPr>
      <w:r>
        <w:rPr>
          <w:rFonts w:hint="eastAsia" w:ascii="宋体" w:hAnsi="宋体" w:cs="宋体"/>
          <w:b w:val="0"/>
          <w:sz w:val="24"/>
        </w:rPr>
        <w:t>16.1投标报价应按“第六章　投标文件格式”中“开标一览表”格式填写。</w:t>
      </w:r>
    </w:p>
    <w:p>
      <w:pPr>
        <w:pStyle w:val="8"/>
        <w:keepNext w:val="0"/>
        <w:keepLines w:val="0"/>
        <w:numPr>
          <w:ilvl w:val="255"/>
          <w:numId w:val="0"/>
        </w:numPr>
        <w:spacing w:before="120" w:after="0" w:line="360" w:lineRule="auto"/>
        <w:ind w:left="420" w:leftChars="200"/>
        <w:rPr>
          <w:rFonts w:ascii="宋体" w:hAnsi="宋体" w:cs="宋体"/>
          <w:b w:val="0"/>
          <w:sz w:val="24"/>
        </w:rPr>
      </w:pPr>
      <w:bookmarkStart w:id="106" w:name="_16.2投标报价具体定义见投标人须知前附表。"/>
      <w:bookmarkEnd w:id="106"/>
      <w:r>
        <w:rPr>
          <w:rFonts w:hint="eastAsia" w:ascii="宋体" w:hAnsi="宋体" w:cs="宋体"/>
          <w:b w:val="0"/>
          <w:sz w:val="24"/>
        </w:rPr>
        <w:t>16.2投标报价具体包括内容详见“投标人须知前附表”。</w:t>
      </w:r>
    </w:p>
    <w:p>
      <w:pPr>
        <w:pStyle w:val="8"/>
        <w:keepNext w:val="0"/>
        <w:keepLines w:val="0"/>
        <w:numPr>
          <w:ilvl w:val="255"/>
          <w:numId w:val="0"/>
        </w:numPr>
        <w:spacing w:before="120" w:after="0" w:line="360" w:lineRule="auto"/>
        <w:ind w:left="420" w:leftChars="200"/>
        <w:rPr>
          <w:rFonts w:ascii="宋体" w:hAnsi="宋体" w:cs="宋体"/>
          <w:b w:val="0"/>
          <w:sz w:val="24"/>
        </w:rPr>
      </w:pPr>
      <w:r>
        <w:rPr>
          <w:rFonts w:hint="eastAsia" w:ascii="宋体" w:hAnsi="宋体" w:cs="宋体"/>
          <w:b w:val="0"/>
          <w:sz w:val="24"/>
        </w:rPr>
        <w:t>16.3投标人必须就所投每个分标的全部内容分别作完整唯一总价报价，不得存在漏项报价；投标人必须就所投分标的单项内容作唯一报价。</w:t>
      </w:r>
    </w:p>
    <w:p>
      <w:pPr>
        <w:pStyle w:val="8"/>
        <w:keepNext w:val="0"/>
        <w:keepLines w:val="0"/>
        <w:numPr>
          <w:ilvl w:val="255"/>
          <w:numId w:val="0"/>
        </w:numPr>
        <w:spacing w:before="120" w:after="0" w:line="360" w:lineRule="auto"/>
        <w:ind w:left="420" w:leftChars="200"/>
        <w:rPr>
          <w:rFonts w:ascii="宋体" w:hAnsi="宋体" w:cs="宋体"/>
          <w:sz w:val="24"/>
        </w:rPr>
      </w:pPr>
      <w:r>
        <w:rPr>
          <w:rFonts w:hint="eastAsia" w:ascii="宋体" w:hAnsi="宋体" w:cs="宋体"/>
          <w:sz w:val="24"/>
        </w:rPr>
        <w:t>17.投标有效期</w:t>
      </w:r>
    </w:p>
    <w:p>
      <w:pPr>
        <w:pStyle w:val="8"/>
        <w:keepNext w:val="0"/>
        <w:keepLines w:val="0"/>
        <w:spacing w:before="120" w:after="0" w:line="360" w:lineRule="auto"/>
        <w:ind w:firstLine="480" w:firstLineChars="200"/>
        <w:rPr>
          <w:rFonts w:ascii="宋体" w:hAnsi="宋体" w:cs="宋体"/>
          <w:b w:val="0"/>
          <w:sz w:val="24"/>
        </w:rPr>
      </w:pPr>
      <w:bookmarkStart w:id="107" w:name="_17.1投标有效期应按“投标人须知中的前附表”规定的期限。"/>
      <w:bookmarkEnd w:id="107"/>
      <w:r>
        <w:rPr>
          <w:rFonts w:hint="eastAsia" w:ascii="宋体" w:hAnsi="宋体" w:cs="宋体"/>
          <w:b w:val="0"/>
          <w:sz w:val="24"/>
        </w:rPr>
        <w:t>17.1投标有效期是指为保证采购人有足够的时间在开标后完成评标、定标、合同签订等工作而要求投标人提交的投标文件在一定时间内保持有效的期限。</w:t>
      </w:r>
    </w:p>
    <w:p>
      <w:pPr>
        <w:pStyle w:val="8"/>
        <w:keepNext w:val="0"/>
        <w:keepLines w:val="0"/>
        <w:numPr>
          <w:ilvl w:val="255"/>
          <w:numId w:val="0"/>
        </w:numPr>
        <w:spacing w:before="120" w:after="0" w:line="360" w:lineRule="auto"/>
        <w:ind w:left="420" w:leftChars="200"/>
        <w:rPr>
          <w:rFonts w:ascii="宋体" w:hAnsi="宋体" w:cs="宋体"/>
          <w:b w:val="0"/>
          <w:sz w:val="24"/>
        </w:rPr>
      </w:pPr>
      <w:r>
        <w:rPr>
          <w:rFonts w:hint="eastAsia" w:ascii="宋体" w:hAnsi="宋体" w:cs="宋体"/>
          <w:b w:val="0"/>
          <w:sz w:val="24"/>
        </w:rPr>
        <w:t>17.2</w:t>
      </w:r>
      <w:bookmarkStart w:id="108" w:name="_Toc254970681"/>
      <w:bookmarkStart w:id="109" w:name="_Toc254970540"/>
      <w:r>
        <w:rPr>
          <w:rFonts w:hint="eastAsia" w:ascii="宋体" w:hAnsi="宋体" w:cs="宋体"/>
          <w:b w:val="0"/>
          <w:sz w:val="24"/>
        </w:rPr>
        <w:t xml:space="preserve"> 投标有效期应按规定的期限作出承诺，具体详见“投标人须知前附表”。</w:t>
      </w:r>
    </w:p>
    <w:p>
      <w:pPr>
        <w:pStyle w:val="8"/>
        <w:keepNext w:val="0"/>
        <w:keepLines w:val="0"/>
        <w:numPr>
          <w:ilvl w:val="255"/>
          <w:numId w:val="0"/>
        </w:numPr>
        <w:spacing w:before="120" w:after="0" w:line="360" w:lineRule="auto"/>
        <w:ind w:left="420" w:leftChars="200"/>
        <w:rPr>
          <w:rFonts w:ascii="宋体" w:hAnsi="宋体" w:cs="宋体"/>
          <w:b w:val="0"/>
          <w:sz w:val="24"/>
        </w:rPr>
      </w:pPr>
      <w:r>
        <w:rPr>
          <w:rFonts w:hint="eastAsia" w:ascii="宋体" w:hAnsi="宋体" w:cs="宋体"/>
          <w:b w:val="0"/>
          <w:sz w:val="24"/>
        </w:rPr>
        <w:t>17.3投标人的投标文件在投标有效期内均保持有效。</w:t>
      </w:r>
      <w:bookmarkEnd w:id="108"/>
      <w:bookmarkEnd w:id="109"/>
    </w:p>
    <w:p>
      <w:pPr>
        <w:pStyle w:val="8"/>
        <w:keepNext w:val="0"/>
        <w:keepLines w:val="0"/>
        <w:numPr>
          <w:ilvl w:val="255"/>
          <w:numId w:val="0"/>
        </w:numPr>
        <w:spacing w:before="120" w:after="0" w:line="360" w:lineRule="auto"/>
        <w:ind w:left="420" w:leftChars="200"/>
        <w:rPr>
          <w:rFonts w:ascii="宋体" w:hAnsi="宋体" w:cs="宋体"/>
          <w:sz w:val="24"/>
        </w:rPr>
      </w:pPr>
      <w:bookmarkStart w:id="110" w:name="_18.投标保证金"/>
      <w:bookmarkEnd w:id="110"/>
      <w:bookmarkStart w:id="111" w:name="_Toc254970682"/>
      <w:bookmarkStart w:id="112" w:name="_Toc254970541"/>
      <w:r>
        <w:rPr>
          <w:rFonts w:hint="eastAsia" w:ascii="宋体" w:hAnsi="宋体" w:cs="宋体"/>
          <w:sz w:val="24"/>
        </w:rPr>
        <w:t>18.投标保证金</w:t>
      </w:r>
      <w:bookmarkEnd w:id="111"/>
      <w:bookmarkEnd w:id="112"/>
    </w:p>
    <w:p>
      <w:pPr>
        <w:pStyle w:val="8"/>
        <w:keepNext w:val="0"/>
        <w:keepLines w:val="0"/>
        <w:numPr>
          <w:ilvl w:val="255"/>
          <w:numId w:val="0"/>
        </w:numPr>
        <w:spacing w:before="120" w:after="0" w:line="360" w:lineRule="auto"/>
        <w:ind w:left="420" w:leftChars="200"/>
        <w:rPr>
          <w:rFonts w:ascii="宋体" w:hAnsi="宋体" w:cs="宋体"/>
          <w:b w:val="0"/>
          <w:sz w:val="24"/>
        </w:rPr>
      </w:pPr>
      <w:r>
        <w:rPr>
          <w:rFonts w:hint="eastAsia" w:ascii="宋体" w:hAnsi="宋体" w:cs="宋体"/>
          <w:b w:val="0"/>
          <w:sz w:val="24"/>
        </w:rPr>
        <w:t>18.1投标人须按“投标人须知前附表” 的规定提交投标保证金。</w:t>
      </w:r>
    </w:p>
    <w:p>
      <w:pPr>
        <w:pStyle w:val="8"/>
        <w:keepNext w:val="0"/>
        <w:keepLines w:val="0"/>
        <w:numPr>
          <w:ilvl w:val="255"/>
          <w:numId w:val="0"/>
        </w:numPr>
        <w:spacing w:before="120" w:after="0" w:line="360" w:lineRule="auto"/>
        <w:ind w:left="420" w:leftChars="200"/>
        <w:rPr>
          <w:rFonts w:ascii="宋体" w:hAnsi="宋体" w:cs="宋体"/>
          <w:b w:val="0"/>
          <w:sz w:val="24"/>
        </w:rPr>
      </w:pPr>
      <w:r>
        <w:rPr>
          <w:rFonts w:hint="eastAsia" w:ascii="宋体" w:hAnsi="宋体" w:cs="宋体"/>
          <w:b w:val="0"/>
          <w:sz w:val="24"/>
        </w:rPr>
        <w:t>18.2投标保证金的退还</w:t>
      </w:r>
    </w:p>
    <w:p>
      <w:pPr>
        <w:pStyle w:val="8"/>
        <w:keepNext w:val="0"/>
        <w:keepLines w:val="0"/>
        <w:spacing w:before="120" w:after="0" w:line="360" w:lineRule="auto"/>
        <w:ind w:firstLine="480" w:firstLineChars="200"/>
        <w:rPr>
          <w:rFonts w:ascii="宋体" w:hAnsi="宋体" w:cs="宋体"/>
          <w:b w:val="0"/>
          <w:sz w:val="24"/>
        </w:rPr>
      </w:pPr>
      <w:r>
        <w:rPr>
          <w:rFonts w:hint="eastAsia" w:ascii="宋体" w:hAnsi="宋体" w:cs="宋体"/>
          <w:b w:val="0"/>
          <w:sz w:val="24"/>
        </w:rPr>
        <w:t xml:space="preserve">未中标人的投标保证金自中标通知书发出之日起5个工作日内退还；中标人的投标保证金自政府采购合同签订之日起5个工作日内退还。 </w:t>
      </w:r>
    </w:p>
    <w:p>
      <w:pPr>
        <w:pStyle w:val="8"/>
        <w:keepNext w:val="0"/>
        <w:keepLines w:val="0"/>
        <w:numPr>
          <w:ilvl w:val="255"/>
          <w:numId w:val="0"/>
        </w:numPr>
        <w:spacing w:before="120" w:after="0" w:line="360" w:lineRule="auto"/>
        <w:ind w:left="420" w:leftChars="200"/>
        <w:rPr>
          <w:rFonts w:ascii="宋体" w:hAnsi="宋体" w:cs="宋体"/>
          <w:b w:val="0"/>
          <w:sz w:val="24"/>
        </w:rPr>
      </w:pPr>
      <w:r>
        <w:rPr>
          <w:rFonts w:hint="eastAsia" w:ascii="宋体" w:hAnsi="宋体" w:cs="宋体"/>
          <w:b w:val="0"/>
          <w:sz w:val="24"/>
        </w:rPr>
        <w:t>18.3除逾期退还投标保证金和终止招标的情形以外，投标保证金不计息。</w:t>
      </w:r>
    </w:p>
    <w:p>
      <w:pPr>
        <w:pStyle w:val="8"/>
        <w:keepNext w:val="0"/>
        <w:keepLines w:val="0"/>
        <w:numPr>
          <w:ilvl w:val="255"/>
          <w:numId w:val="0"/>
        </w:numPr>
        <w:spacing w:before="120" w:after="0" w:line="360" w:lineRule="auto"/>
        <w:ind w:left="420" w:leftChars="200"/>
        <w:rPr>
          <w:rFonts w:ascii="宋体" w:hAnsi="宋体" w:cs="宋体"/>
          <w:b w:val="0"/>
          <w:sz w:val="24"/>
        </w:rPr>
      </w:pPr>
      <w:r>
        <w:rPr>
          <w:rFonts w:hint="eastAsia" w:ascii="宋体" w:hAnsi="宋体" w:cs="宋体"/>
          <w:b w:val="0"/>
          <w:sz w:val="24"/>
        </w:rPr>
        <w:t xml:space="preserve">18.4投标人有下列情形之一的，投标保证金将不予退还： </w:t>
      </w:r>
    </w:p>
    <w:p>
      <w:pPr>
        <w:snapToGrid w:val="0"/>
        <w:spacing w:before="120" w:line="360" w:lineRule="auto"/>
        <w:ind w:firstLine="470" w:firstLineChars="196"/>
        <w:jc w:val="left"/>
        <w:rPr>
          <w:rFonts w:ascii="宋体" w:hAnsi="宋体" w:cs="宋体"/>
          <w:sz w:val="24"/>
        </w:rPr>
      </w:pPr>
      <w:r>
        <w:rPr>
          <w:rFonts w:hint="eastAsia" w:ascii="宋体" w:hAnsi="宋体" w:cs="宋体"/>
          <w:sz w:val="24"/>
        </w:rPr>
        <w:t>（1）投标人在投标截止时间后至有效期内撤回投标文件的；</w:t>
      </w:r>
    </w:p>
    <w:p>
      <w:pPr>
        <w:snapToGrid w:val="0"/>
        <w:spacing w:before="120" w:line="360" w:lineRule="auto"/>
        <w:ind w:firstLine="470" w:firstLineChars="196"/>
        <w:jc w:val="left"/>
        <w:rPr>
          <w:rFonts w:ascii="宋体" w:hAnsi="宋体" w:cs="宋体"/>
          <w:sz w:val="24"/>
        </w:rPr>
      </w:pPr>
      <w:r>
        <w:rPr>
          <w:rFonts w:hint="eastAsia" w:ascii="宋体" w:hAnsi="宋体" w:cs="宋体"/>
          <w:sz w:val="24"/>
        </w:rPr>
        <w:t>（2）中标人未按规定提交履约保证金的；</w:t>
      </w:r>
    </w:p>
    <w:p>
      <w:pPr>
        <w:snapToGrid w:val="0"/>
        <w:spacing w:before="120" w:line="360" w:lineRule="auto"/>
        <w:ind w:firstLine="470" w:firstLineChars="196"/>
        <w:jc w:val="left"/>
        <w:rPr>
          <w:rFonts w:ascii="宋体" w:hAnsi="宋体" w:cs="宋体"/>
          <w:sz w:val="24"/>
        </w:rPr>
      </w:pPr>
      <w:r>
        <w:rPr>
          <w:rFonts w:hint="eastAsia" w:ascii="宋体" w:hAnsi="宋体" w:cs="宋体"/>
          <w:sz w:val="24"/>
        </w:rPr>
        <w:t>（3）投标人在投标过程中弄虚作假，提供虚假材料的；</w:t>
      </w:r>
    </w:p>
    <w:p>
      <w:pPr>
        <w:snapToGrid w:val="0"/>
        <w:spacing w:before="120" w:line="360" w:lineRule="auto"/>
        <w:ind w:firstLine="470" w:firstLineChars="196"/>
        <w:rPr>
          <w:rFonts w:ascii="宋体" w:hAnsi="宋体" w:cs="宋体"/>
          <w:sz w:val="24"/>
        </w:rPr>
      </w:pPr>
      <w:r>
        <w:rPr>
          <w:rFonts w:hint="eastAsia" w:ascii="宋体" w:hAnsi="宋体" w:cs="宋体"/>
          <w:sz w:val="24"/>
        </w:rPr>
        <w:t>（4）中标人无正当理由不与采购人签订合同的；</w:t>
      </w:r>
    </w:p>
    <w:p>
      <w:pPr>
        <w:snapToGrid w:val="0"/>
        <w:spacing w:before="120" w:line="360" w:lineRule="auto"/>
        <w:ind w:firstLine="480" w:firstLineChars="200"/>
        <w:rPr>
          <w:rFonts w:ascii="宋体" w:hAnsi="宋体" w:cs="宋体"/>
          <w:sz w:val="24"/>
        </w:rPr>
      </w:pPr>
      <w:r>
        <w:rPr>
          <w:rFonts w:hint="eastAsia" w:ascii="宋体" w:hAnsi="宋体" w:cs="宋体"/>
          <w:sz w:val="24"/>
        </w:rPr>
        <w:t>（5）投标人出现本章第9.2、9.3、9</w:t>
      </w:r>
      <w:r>
        <w:rPr>
          <w:rFonts w:ascii="宋体" w:hAnsi="宋体" w:cs="宋体"/>
          <w:sz w:val="24"/>
        </w:rPr>
        <w:t>.4</w:t>
      </w:r>
      <w:r>
        <w:rPr>
          <w:rFonts w:hint="eastAsia" w:ascii="宋体" w:hAnsi="宋体" w:cs="宋体"/>
          <w:sz w:val="24"/>
        </w:rPr>
        <w:t>情形的；</w:t>
      </w:r>
    </w:p>
    <w:p>
      <w:pPr>
        <w:snapToGrid w:val="0"/>
        <w:spacing w:before="120" w:line="360" w:lineRule="auto"/>
        <w:ind w:firstLine="480" w:firstLineChars="200"/>
        <w:rPr>
          <w:rFonts w:ascii="宋体" w:hAnsi="宋体" w:cs="宋体"/>
          <w:sz w:val="24"/>
        </w:rPr>
      </w:pPr>
      <w:r>
        <w:rPr>
          <w:rFonts w:hint="eastAsia" w:ascii="宋体" w:hAnsi="宋体" w:cs="宋体"/>
          <w:sz w:val="24"/>
        </w:rPr>
        <w:t>（6）法律法规规定的其他情形。</w:t>
      </w:r>
    </w:p>
    <w:p>
      <w:pPr>
        <w:pStyle w:val="8"/>
        <w:keepNext w:val="0"/>
        <w:keepLines w:val="0"/>
        <w:spacing w:before="120" w:after="0" w:line="360" w:lineRule="auto"/>
        <w:ind w:left="420" w:leftChars="200" w:firstLine="480"/>
        <w:rPr>
          <w:rFonts w:ascii="宋体" w:hAnsi="宋体" w:cs="宋体"/>
          <w:sz w:val="24"/>
        </w:rPr>
      </w:pPr>
      <w:bookmarkStart w:id="113" w:name="_Toc254970542"/>
      <w:bookmarkStart w:id="114" w:name="_Toc254970683"/>
      <w:r>
        <w:rPr>
          <w:rFonts w:hint="eastAsia" w:ascii="宋体" w:hAnsi="宋体" w:cs="宋体"/>
          <w:sz w:val="24"/>
        </w:rPr>
        <w:t>19.投标文件的</w:t>
      </w:r>
      <w:bookmarkEnd w:id="113"/>
      <w:bookmarkEnd w:id="114"/>
      <w:r>
        <w:rPr>
          <w:rFonts w:hint="eastAsia" w:ascii="宋体" w:hAnsi="宋体" w:cs="宋体"/>
          <w:sz w:val="24"/>
        </w:rPr>
        <w:t>编制</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sz w:val="24"/>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8"/>
        <w:keepNext w:val="0"/>
        <w:keepLines w:val="0"/>
        <w:numPr>
          <w:ilvl w:val="0"/>
          <w:numId w:val="0"/>
        </w:numPr>
        <w:spacing w:before="120" w:after="0" w:line="360" w:lineRule="auto"/>
        <w:ind w:firstLine="480" w:firstLineChars="200"/>
        <w:rPr>
          <w:rFonts w:ascii="宋体" w:hAnsi="宋体" w:cs="宋体"/>
          <w:b w:val="0"/>
          <w:sz w:val="24"/>
        </w:rPr>
      </w:pPr>
      <w:bookmarkStart w:id="115" w:name="_19.2投标文件应按报价文件、资格证明文件、商务文件、技术文件分别编制"/>
      <w:bookmarkEnd w:id="115"/>
      <w:r>
        <w:rPr>
          <w:rFonts w:hint="eastAsia" w:ascii="宋体" w:hAnsi="宋体" w:cs="宋体"/>
          <w:b w:val="0"/>
          <w:sz w:val="24"/>
        </w:rPr>
        <w:t>19.2投标文件应按报价文件、资格证明文件、商务文件、技术文件分别编制电子文件，并按广西政府采购云平台的要求编制、加密、上传。</w:t>
      </w:r>
    </w:p>
    <w:p>
      <w:pPr>
        <w:pStyle w:val="8"/>
        <w:keepNext w:val="0"/>
        <w:keepLines w:val="0"/>
        <w:numPr>
          <w:ilvl w:val="0"/>
          <w:numId w:val="0"/>
        </w:numPr>
        <w:spacing w:before="120" w:after="0" w:line="360" w:lineRule="auto"/>
        <w:ind w:firstLine="480" w:firstLineChars="200"/>
        <w:rPr>
          <w:rFonts w:ascii="宋体" w:hAnsi="宋体" w:cs="宋体"/>
          <w:b w:val="0"/>
          <w:sz w:val="24"/>
        </w:rPr>
      </w:pPr>
      <w:r>
        <w:rPr>
          <w:rFonts w:hint="eastAsia" w:ascii="宋体" w:hAnsi="宋体" w:cs="宋体"/>
          <w:b w:val="0"/>
          <w:sz w:val="24"/>
        </w:rPr>
        <w:t>19.</w:t>
      </w:r>
      <w:bookmarkStart w:id="116" w:name="_Hlk65832616"/>
      <w:r>
        <w:rPr>
          <w:rFonts w:hint="eastAsia" w:ascii="宋体" w:hAnsi="宋体" w:cs="宋体"/>
          <w:b w:val="0"/>
          <w:sz w:val="24"/>
        </w:rPr>
        <w:t>3投标文件须由投标人在规定位置盖公章并签字</w:t>
      </w:r>
      <w:bookmarkStart w:id="117" w:name="_Hlk65832569"/>
      <w:r>
        <w:rPr>
          <w:rFonts w:hint="eastAsia" w:ascii="宋体" w:hAnsi="宋体" w:cs="宋体"/>
          <w:b w:val="0"/>
          <w:sz w:val="24"/>
        </w:rPr>
        <w:t>（具体以投标人须知前附表或投标文件格式规定为准）</w:t>
      </w:r>
      <w:bookmarkEnd w:id="116"/>
      <w:bookmarkEnd w:id="117"/>
      <w:r>
        <w:rPr>
          <w:rFonts w:hint="eastAsia" w:ascii="宋体" w:hAnsi="宋体" w:cs="宋体"/>
          <w:b w:val="0"/>
          <w:sz w:val="24"/>
        </w:rPr>
        <w:t>，</w:t>
      </w:r>
      <w:r>
        <w:rPr>
          <w:rFonts w:hint="eastAsia" w:ascii="宋体" w:hAnsi="宋体" w:cs="宋体"/>
          <w:bCs/>
          <w:sz w:val="24"/>
        </w:rPr>
        <w:t>否则按无效投标处理</w:t>
      </w:r>
      <w:r>
        <w:rPr>
          <w:rFonts w:hint="eastAsia" w:ascii="宋体" w:hAnsi="宋体" w:cs="宋体"/>
          <w:b w:val="0"/>
          <w:sz w:val="24"/>
        </w:rPr>
        <w:t>。</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sz w:val="24"/>
        </w:rPr>
        <w:t xml:space="preserve"> 19.4投标文件中标注的投标人名称应与主体资格证明（如营业执照、事业单位法人证书、执业许可证、自然人身份证等）及公章一致，</w:t>
      </w:r>
      <w:r>
        <w:rPr>
          <w:rFonts w:hint="eastAsia" w:ascii="宋体" w:hAnsi="宋体" w:cs="宋体"/>
          <w:sz w:val="24"/>
        </w:rPr>
        <w:t>否则按无效投标处理</w:t>
      </w:r>
      <w:r>
        <w:rPr>
          <w:rFonts w:hint="eastAsia" w:ascii="宋体" w:hAnsi="宋体" w:cs="宋体"/>
          <w:b w:val="0"/>
          <w:sz w:val="24"/>
        </w:rPr>
        <w:t>。</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sz w:val="24"/>
        </w:rPr>
        <w:t xml:space="preserve"> 19.5投标文件应尽量避免涂改、行间插字或者删除。如果出现上述情况，改动之处应由投标人的法定代表人或者其委托代理人签字或者加盖公章。投标文件因字迹潦草或者表达不清所引起的后果由投标人承担。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20.投标文件的加密、解密</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sz w:val="24"/>
        </w:rPr>
        <w:t xml:space="preserve"> 20.1电子投标文件编制完成后，投标人应按广西政府采购云平台的要求进行加密，并在规定时间内解密，否则，由此产生的后果由投标人自行负责。</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21.投标文件的提交</w:t>
      </w:r>
    </w:p>
    <w:p>
      <w:pPr>
        <w:pStyle w:val="8"/>
        <w:keepNext w:val="0"/>
        <w:keepLines w:val="0"/>
        <w:numPr>
          <w:ilvl w:val="0"/>
          <w:numId w:val="0"/>
        </w:numPr>
        <w:spacing w:before="120" w:after="0" w:line="360" w:lineRule="auto"/>
        <w:ind w:firstLine="480" w:firstLineChars="200"/>
        <w:rPr>
          <w:rFonts w:ascii="宋体" w:hAnsi="宋体" w:cs="宋体"/>
          <w:b w:val="0"/>
          <w:sz w:val="24"/>
        </w:rPr>
      </w:pPr>
      <w:bookmarkStart w:id="118" w:name="_21.1投标人必须在“投标人须知中的前附表”规定的投标文件接收时间和投"/>
      <w:bookmarkEnd w:id="118"/>
      <w:r>
        <w:rPr>
          <w:rFonts w:hint="eastAsia" w:ascii="宋体" w:hAnsi="宋体" w:cs="宋体"/>
          <w:b w:val="0"/>
          <w:sz w:val="24"/>
        </w:rPr>
        <w:t>21.1投标人必须在“投标人须知前附表”规定的投标文件接收时间和投标地点提交投标文件。</w:t>
      </w:r>
    </w:p>
    <w:p>
      <w:pPr>
        <w:pStyle w:val="8"/>
        <w:keepNext w:val="0"/>
        <w:keepLines w:val="0"/>
        <w:numPr>
          <w:ilvl w:val="0"/>
          <w:numId w:val="0"/>
        </w:numPr>
        <w:spacing w:before="120" w:after="0" w:line="360" w:lineRule="auto"/>
        <w:ind w:firstLine="480" w:firstLineChars="200"/>
        <w:rPr>
          <w:rFonts w:ascii="宋体" w:hAnsi="宋体" w:cs="宋体"/>
          <w:b w:val="0"/>
          <w:sz w:val="24"/>
        </w:rPr>
      </w:pPr>
      <w:r>
        <w:rPr>
          <w:rFonts w:hint="eastAsia" w:ascii="宋体" w:hAnsi="宋体" w:cs="宋体"/>
          <w:b w:val="0"/>
          <w:sz w:val="24"/>
        </w:rPr>
        <w:t>21.2本项目为全流程电子化政府采购项目，通过广西政府采购云平台（https://www.gcy.zfcg.gxzf.gov.cn/）实行在线电子投标。投标人必须在“投标人须知前附表”规定的投标文件接收时间内通过网络将电子投标文件上传至广西政府采购云平台，供应商在广西政府采购云平台提交电子版投标文件时，请填写参加远程开标活动经办人联系方式。</w:t>
      </w:r>
    </w:p>
    <w:p>
      <w:pPr>
        <w:pStyle w:val="8"/>
        <w:keepNext w:val="0"/>
        <w:keepLines w:val="0"/>
        <w:numPr>
          <w:ilvl w:val="0"/>
          <w:numId w:val="0"/>
        </w:numPr>
        <w:spacing w:before="120" w:after="0" w:line="360" w:lineRule="auto"/>
        <w:ind w:firstLine="480" w:firstLineChars="200"/>
        <w:jc w:val="left"/>
        <w:rPr>
          <w:rFonts w:ascii="宋体" w:hAnsi="宋体" w:cs="宋体"/>
          <w:b w:val="0"/>
          <w:sz w:val="24"/>
        </w:rPr>
      </w:pPr>
      <w:r>
        <w:rPr>
          <w:rFonts w:hint="eastAsia" w:ascii="宋体" w:hAnsi="宋体" w:cs="宋体"/>
          <w:b w:val="0"/>
          <w:sz w:val="24"/>
        </w:rPr>
        <w:t>21.3未在规定时间内上传或者未按广西政府采购云平台的要求编制、加密的电子投标文件，广西政府采购云平台将拒收。</w:t>
      </w:r>
    </w:p>
    <w:p>
      <w:pPr>
        <w:pStyle w:val="9"/>
        <w:spacing w:before="120" w:line="360" w:lineRule="auto"/>
        <w:ind w:firstLine="482"/>
        <w:rPr>
          <w:rFonts w:ascii="宋体" w:hAnsi="宋体" w:cs="宋体"/>
          <w:sz w:val="24"/>
          <w:szCs w:val="24"/>
        </w:rPr>
      </w:pPr>
      <w:r>
        <w:rPr>
          <w:rFonts w:hint="eastAsia" w:ascii="宋体" w:hAnsi="宋体" w:cs="宋体"/>
          <w:sz w:val="24"/>
          <w:szCs w:val="24"/>
        </w:rPr>
        <w:t>21.4电子投标文件提交方式见“招标公告”中“四、提交投标文件截止时间、开标时间和地点”</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22. 投标文件的补充、修改、撤回与退回</w:t>
      </w:r>
    </w:p>
    <w:p>
      <w:pPr>
        <w:snapToGrid w:val="0"/>
        <w:spacing w:before="120" w:line="360" w:lineRule="auto"/>
        <w:ind w:firstLine="482"/>
        <w:jc w:val="left"/>
        <w:rPr>
          <w:rFonts w:ascii="宋体" w:hAnsi="宋体" w:cs="宋体"/>
          <w:sz w:val="24"/>
        </w:rPr>
      </w:pPr>
      <w:bookmarkStart w:id="119" w:name="_Toc254970543"/>
      <w:bookmarkStart w:id="120" w:name="_Toc254970684"/>
      <w:r>
        <w:rPr>
          <w:rFonts w:hint="eastAsia" w:ascii="宋体" w:hAnsi="宋体" w:cs="宋体"/>
          <w:sz w:val="24"/>
        </w:rPr>
        <w:t>22.1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广西政府采购云平台将予以拒收。</w:t>
      </w:r>
      <w:bookmarkEnd w:id="119"/>
      <w:bookmarkEnd w:id="120"/>
      <w:r>
        <w:rPr>
          <w:rFonts w:hint="eastAsia" w:ascii="宋体" w:hAnsi="宋体" w:cs="宋体"/>
          <w:sz w:val="24"/>
        </w:rPr>
        <w:t>（补充、修改或者撤回方式可登陆广西政府采购云平台，依次进入“服务中心”中查看 “电子投标文件制作与投送教程”）。</w:t>
      </w:r>
    </w:p>
    <w:p>
      <w:pPr>
        <w:snapToGrid w:val="0"/>
        <w:spacing w:before="120" w:line="360" w:lineRule="auto"/>
        <w:ind w:firstLine="482"/>
        <w:jc w:val="left"/>
        <w:rPr>
          <w:rFonts w:ascii="宋体" w:hAnsi="宋体" w:cs="宋体"/>
          <w:sz w:val="24"/>
        </w:rPr>
      </w:pPr>
      <w:r>
        <w:rPr>
          <w:rFonts w:hint="eastAsia" w:ascii="宋体" w:hAnsi="宋体" w:cs="宋体"/>
          <w:sz w:val="24"/>
        </w:rPr>
        <w:t>22.2在投标截止时间止提交投标文件的投标人不足3家时，不得开标，采购代理机构将根据广西政府采购云平台的操作将电子版投标文件退回，除此之外采购人和采购代理机构对已提交的投标文件概不退回。</w:t>
      </w:r>
    </w:p>
    <w:p>
      <w:pPr>
        <w:spacing w:before="120" w:line="360" w:lineRule="auto"/>
        <w:ind w:firstLine="480" w:firstLineChars="200"/>
        <w:rPr>
          <w:rFonts w:ascii="宋体" w:hAnsi="宋体" w:cs="宋体"/>
          <w:sz w:val="24"/>
        </w:rPr>
      </w:pPr>
      <w:r>
        <w:rPr>
          <w:rFonts w:hint="eastAsia" w:ascii="宋体" w:hAnsi="宋体" w:cs="宋体"/>
          <w:sz w:val="24"/>
        </w:rPr>
        <w:t>22.3 投标人在投标截止时间后书面通知采购人、采购代理机构撤回投标文件的，将根据本须知正文18.4的规定不予退还其投标保证金。</w:t>
      </w:r>
    </w:p>
    <w:p>
      <w:pPr>
        <w:pStyle w:val="20"/>
        <w:snapToGrid w:val="0"/>
        <w:spacing w:before="120" w:line="360" w:lineRule="auto"/>
        <w:ind w:firstLine="845"/>
        <w:rPr>
          <w:rFonts w:ascii="宋体" w:hAnsi="宋体" w:eastAsia="宋体" w:cs="宋体"/>
          <w:snapToGrid w:val="0"/>
          <w:sz w:val="24"/>
          <w:szCs w:val="24"/>
        </w:rPr>
      </w:pPr>
    </w:p>
    <w:p>
      <w:pPr>
        <w:pStyle w:val="6"/>
        <w:keepNext w:val="0"/>
        <w:keepLines w:val="0"/>
        <w:spacing w:before="120"/>
        <w:ind w:firstLine="640"/>
        <w:jc w:val="center"/>
        <w:rPr>
          <w:rFonts w:ascii="宋体" w:hAnsi="宋体" w:cs="宋体"/>
        </w:rPr>
      </w:pPr>
      <w:bookmarkStart w:id="121" w:name="_Toc254970685"/>
      <w:bookmarkStart w:id="122" w:name="_Toc254970544"/>
      <w:r>
        <w:rPr>
          <w:rFonts w:hint="eastAsia" w:ascii="宋体" w:hAnsi="宋体" w:cs="宋体"/>
        </w:rPr>
        <w:t>四、开    标</w:t>
      </w:r>
      <w:bookmarkEnd w:id="121"/>
      <w:bookmarkEnd w:id="122"/>
    </w:p>
    <w:p>
      <w:pPr>
        <w:pStyle w:val="8"/>
        <w:keepNext w:val="0"/>
        <w:keepLines w:val="0"/>
        <w:spacing w:before="120" w:after="0" w:line="360" w:lineRule="auto"/>
        <w:ind w:left="420" w:leftChars="200" w:firstLine="480"/>
        <w:rPr>
          <w:rFonts w:ascii="宋体" w:hAnsi="宋体" w:cs="宋体"/>
          <w:sz w:val="24"/>
        </w:rPr>
      </w:pPr>
      <w:bookmarkStart w:id="123" w:name="_23.开标时间和地点"/>
      <w:bookmarkEnd w:id="123"/>
      <w:r>
        <w:rPr>
          <w:rFonts w:hint="eastAsia" w:ascii="宋体" w:hAnsi="宋体" w:cs="宋体"/>
          <w:sz w:val="24"/>
        </w:rPr>
        <w:t>23.开标时间和地点</w:t>
      </w:r>
    </w:p>
    <w:p>
      <w:pPr>
        <w:snapToGrid w:val="0"/>
        <w:spacing w:before="120" w:line="360" w:lineRule="auto"/>
        <w:ind w:firstLine="482"/>
        <w:jc w:val="left"/>
        <w:rPr>
          <w:rFonts w:ascii="宋体" w:hAnsi="宋体" w:cs="宋体"/>
          <w:sz w:val="24"/>
        </w:rPr>
      </w:pPr>
      <w:r>
        <w:rPr>
          <w:rFonts w:hint="eastAsia" w:ascii="宋体" w:hAnsi="宋体" w:cs="宋体"/>
          <w:sz w:val="24"/>
        </w:rPr>
        <w:t>23.1开标时间及地点详见“投标人须知前附表”</w:t>
      </w:r>
    </w:p>
    <w:p>
      <w:pPr>
        <w:snapToGrid w:val="0"/>
        <w:spacing w:before="120" w:line="360" w:lineRule="auto"/>
        <w:ind w:firstLine="482"/>
        <w:jc w:val="left"/>
        <w:rPr>
          <w:rFonts w:ascii="宋体" w:hAnsi="宋体" w:cs="宋体"/>
          <w:sz w:val="24"/>
        </w:rPr>
      </w:pPr>
      <w:r>
        <w:rPr>
          <w:rFonts w:hint="eastAsia" w:ascii="宋体" w:hAnsi="宋体" w:cs="宋体"/>
          <w:sz w:val="24"/>
        </w:rPr>
        <w:t>23.2如投标人成功解密投标文件，但未在“广西政府采购云平台”电子开标大厅参加开标的，视同认可开标过程和结果，由此产生的后果由投标人自行负责。成功解密投标文件的投标人不足3家的，不得开标。</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24.开标程序</w:t>
      </w:r>
    </w:p>
    <w:p>
      <w:pPr>
        <w:autoSpaceDE w:val="0"/>
        <w:autoSpaceDN w:val="0"/>
        <w:adjustRightInd w:val="0"/>
        <w:spacing w:before="120" w:line="360" w:lineRule="auto"/>
        <w:ind w:firstLine="480" w:firstLineChars="200"/>
        <w:rPr>
          <w:rFonts w:ascii="宋体" w:hAnsi="宋体" w:cs="宋体"/>
          <w:kern w:val="0"/>
          <w:sz w:val="24"/>
        </w:rPr>
      </w:pPr>
      <w:r>
        <w:rPr>
          <w:rFonts w:hint="eastAsia" w:ascii="宋体" w:hAnsi="宋体" w:cs="宋体"/>
          <w:bCs/>
          <w:sz w:val="24"/>
        </w:rPr>
        <w:t>24.1</w:t>
      </w:r>
      <w:r>
        <w:rPr>
          <w:rFonts w:ascii="宋体" w:hAnsi="宋体" w:cs="宋体"/>
          <w:bCs/>
          <w:sz w:val="24"/>
        </w:rPr>
        <w:t xml:space="preserve"> </w:t>
      </w:r>
      <w:r>
        <w:rPr>
          <w:rFonts w:hint="eastAsia" w:ascii="宋体" w:hAnsi="宋体" w:cs="宋体"/>
          <w:kern w:val="0"/>
          <w:sz w:val="24"/>
        </w:rPr>
        <w:t>开标形式：</w:t>
      </w:r>
    </w:p>
    <w:p>
      <w:pPr>
        <w:autoSpaceDE w:val="0"/>
        <w:autoSpaceDN w:val="0"/>
        <w:adjustRightInd w:val="0"/>
        <w:spacing w:before="120" w:line="360" w:lineRule="auto"/>
        <w:ind w:firstLine="480" w:firstLineChars="200"/>
        <w:rPr>
          <w:rFonts w:ascii="宋体" w:hAnsi="宋体" w:cs="宋体"/>
          <w:bCs/>
          <w:sz w:val="24"/>
        </w:rPr>
      </w:pPr>
      <w:r>
        <w:rPr>
          <w:rFonts w:hint="eastAsia" w:ascii="宋体" w:hAnsi="宋体" w:cs="宋体"/>
          <w:bCs/>
          <w:sz w:val="24"/>
        </w:rPr>
        <w:t>采购代理机构将按照招标文件规定的时间通过广西政府采购云平台组织线上开标活动、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autoSpaceDE w:val="0"/>
        <w:autoSpaceDN w:val="0"/>
        <w:adjustRightInd w:val="0"/>
        <w:spacing w:before="120" w:line="360" w:lineRule="auto"/>
        <w:ind w:firstLine="480" w:firstLineChars="200"/>
        <w:rPr>
          <w:rFonts w:ascii="宋体" w:hAnsi="宋体" w:cs="宋体"/>
          <w:bCs/>
          <w:sz w:val="24"/>
        </w:rPr>
      </w:pPr>
      <w:r>
        <w:rPr>
          <w:rFonts w:hint="eastAsia" w:ascii="宋体" w:hAnsi="宋体" w:cs="宋体"/>
          <w:bCs/>
          <w:sz w:val="24"/>
        </w:rPr>
        <w:t>24.2</w:t>
      </w:r>
      <w:r>
        <w:rPr>
          <w:rFonts w:ascii="宋体" w:hAnsi="宋体" w:cs="宋体"/>
          <w:bCs/>
          <w:sz w:val="24"/>
        </w:rPr>
        <w:t xml:space="preserve"> </w:t>
      </w:r>
      <w:r>
        <w:rPr>
          <w:rFonts w:hint="eastAsia" w:ascii="宋体" w:hAnsi="宋体" w:cs="宋体"/>
          <w:bCs/>
          <w:sz w:val="24"/>
        </w:rPr>
        <w:t>开标程序：</w:t>
      </w:r>
    </w:p>
    <w:p>
      <w:pPr>
        <w:autoSpaceDE w:val="0"/>
        <w:autoSpaceDN w:val="0"/>
        <w:adjustRightInd w:val="0"/>
        <w:spacing w:before="120" w:line="360" w:lineRule="auto"/>
        <w:ind w:firstLine="480" w:firstLineChars="200"/>
        <w:rPr>
          <w:rFonts w:ascii="宋体" w:hAnsi="宋体" w:cs="宋体"/>
          <w:bCs/>
          <w:sz w:val="24"/>
        </w:rPr>
      </w:pPr>
      <w:r>
        <w:rPr>
          <w:rFonts w:hint="eastAsia" w:ascii="宋体" w:hAnsi="宋体" w:cs="宋体"/>
          <w:bCs/>
          <w:sz w:val="24"/>
        </w:rPr>
        <w:t>（1）解密电子投标文件。广西政府采购云平台按开标时间自动提取所有投标文件。采购代理机构依托广西政府采购云平台向各投标人发出电子加密投标文件【开始解密】通知，由投标人进行投标文件解密。</w:t>
      </w:r>
      <w:r>
        <w:rPr>
          <w:rFonts w:hint="eastAsia" w:ascii="宋体" w:hAnsi="宋体" w:cs="宋体"/>
          <w:b/>
          <w:bCs/>
          <w:sz w:val="24"/>
        </w:rPr>
        <w:t>投标人的法定代表人或其委托代理人须携带加密时所用的CA锁准时登录到广西政府采购云平台电子开标大厅签到</w:t>
      </w:r>
      <w:r>
        <w:rPr>
          <w:rFonts w:hint="eastAsia" w:ascii="宋体" w:hAnsi="宋体" w:cs="宋体"/>
          <w:b/>
          <w:sz w:val="24"/>
        </w:rPr>
        <w:t>并在发起解密</w:t>
      </w:r>
      <w:r>
        <w:rPr>
          <w:rFonts w:hint="eastAsia" w:ascii="宋体" w:hAnsi="宋体" w:cs="宋体"/>
          <w:b/>
          <w:bCs/>
          <w:sz w:val="24"/>
        </w:rPr>
        <w:t>通知</w:t>
      </w:r>
      <w:r>
        <w:rPr>
          <w:rFonts w:hint="eastAsia" w:ascii="宋体" w:hAnsi="宋体" w:cs="宋体"/>
          <w:b/>
          <w:sz w:val="24"/>
        </w:rPr>
        <w:t>之时起30分钟内完成</w:t>
      </w:r>
      <w:r>
        <w:rPr>
          <w:rFonts w:hint="eastAsia" w:ascii="宋体" w:hAnsi="宋体" w:cs="宋体"/>
          <w:b/>
          <w:bCs/>
          <w:sz w:val="24"/>
        </w:rPr>
        <w:t>对电子投标文件解密。投标文件未按时解密的，视为无效投标。</w:t>
      </w:r>
      <w:r>
        <w:rPr>
          <w:rFonts w:hint="eastAsia" w:ascii="宋体" w:hAnsi="宋体" w:cs="宋体"/>
          <w:bCs/>
          <w:sz w:val="24"/>
        </w:rPr>
        <w:t>（解密异常情况处理：详见本章29.4 电子交易活动的中止。</w:t>
      </w:r>
    </w:p>
    <w:p>
      <w:pPr>
        <w:autoSpaceDE w:val="0"/>
        <w:autoSpaceDN w:val="0"/>
        <w:adjustRightInd w:val="0"/>
        <w:spacing w:before="120" w:line="360" w:lineRule="auto"/>
        <w:ind w:firstLine="480" w:firstLineChars="200"/>
        <w:rPr>
          <w:rFonts w:ascii="宋体" w:hAnsi="宋体" w:cs="宋体"/>
          <w:bCs/>
          <w:sz w:val="24"/>
        </w:rPr>
      </w:pPr>
      <w:r>
        <w:rPr>
          <w:rFonts w:hint="eastAsia" w:ascii="宋体" w:hAnsi="宋体" w:cs="宋体"/>
          <w:bCs/>
          <w:sz w:val="24"/>
        </w:rPr>
        <w:t>（2）电子唱标。投标文件解密结束，各投标供应商报价均在广西政府采购云平台远程不见面开标大厅展示；</w:t>
      </w:r>
    </w:p>
    <w:p>
      <w:pPr>
        <w:autoSpaceDE w:val="0"/>
        <w:autoSpaceDN w:val="0"/>
        <w:adjustRightInd w:val="0"/>
        <w:spacing w:before="120" w:line="360" w:lineRule="auto"/>
        <w:ind w:firstLine="480" w:firstLineChars="200"/>
        <w:rPr>
          <w:rFonts w:ascii="宋体" w:hAnsi="宋体" w:cs="宋体"/>
          <w:bCs/>
          <w:sz w:val="24"/>
        </w:rPr>
      </w:pPr>
      <w:r>
        <w:rPr>
          <w:rFonts w:hint="eastAsia" w:ascii="宋体" w:hAnsi="宋体" w:cs="宋体"/>
          <w:bCs/>
          <w:sz w:val="24"/>
        </w:rPr>
        <w:t>（3）签署电子《政府采购活动现场确认声明书》。通过邮件形式在远程不见面开标大厅发送各投标人签署电子《政府采购活动现场确认声明书》。</w:t>
      </w:r>
    </w:p>
    <w:p>
      <w:pPr>
        <w:autoSpaceDE w:val="0"/>
        <w:autoSpaceDN w:val="0"/>
        <w:adjustRightInd w:val="0"/>
        <w:spacing w:before="120" w:line="360" w:lineRule="auto"/>
        <w:ind w:firstLine="480" w:firstLineChars="200"/>
        <w:rPr>
          <w:rFonts w:ascii="宋体" w:hAnsi="宋体" w:cs="宋体"/>
          <w:bCs/>
          <w:sz w:val="24"/>
        </w:rPr>
      </w:pPr>
      <w:r>
        <w:rPr>
          <w:rFonts w:hint="eastAsia" w:ascii="宋体" w:hAnsi="宋体" w:cs="宋体"/>
          <w:bCs/>
          <w:sz w:val="24"/>
        </w:rPr>
        <w:t>（4）开标过程由采购代理机构如实记录，并电子留痕，由参加电子开标的各投标人代表对电子开标记录在开标记录公布后15分钟内进行当场校核及勘误，并线上确认，未确认的视同认可开标结果。</w:t>
      </w:r>
    </w:p>
    <w:p>
      <w:pPr>
        <w:autoSpaceDE w:val="0"/>
        <w:autoSpaceDN w:val="0"/>
        <w:adjustRightInd w:val="0"/>
        <w:spacing w:before="120" w:line="360" w:lineRule="auto"/>
        <w:ind w:firstLine="480" w:firstLineChars="200"/>
        <w:rPr>
          <w:rFonts w:ascii="宋体" w:hAnsi="宋体" w:cs="宋体"/>
          <w:bCs/>
          <w:sz w:val="24"/>
        </w:rPr>
      </w:pPr>
      <w:r>
        <w:rPr>
          <w:rFonts w:hint="eastAsia" w:ascii="宋体" w:hAnsi="宋体" w:cs="宋体"/>
          <w:bCs/>
          <w:sz w:val="24"/>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before="120" w:line="360" w:lineRule="auto"/>
        <w:ind w:firstLine="480" w:firstLineChars="200"/>
        <w:rPr>
          <w:rFonts w:ascii="宋体" w:hAnsi="宋体" w:cs="宋体"/>
          <w:bCs/>
          <w:sz w:val="24"/>
        </w:rPr>
      </w:pPr>
      <w:r>
        <w:rPr>
          <w:rFonts w:hint="eastAsia" w:ascii="宋体" w:hAnsi="宋体" w:cs="宋体"/>
          <w:bCs/>
          <w:sz w:val="24"/>
        </w:rPr>
        <w:t>（6）开标结束。</w:t>
      </w:r>
    </w:p>
    <w:p>
      <w:pPr>
        <w:autoSpaceDE w:val="0"/>
        <w:autoSpaceDN w:val="0"/>
        <w:adjustRightInd w:val="0"/>
        <w:spacing w:before="120" w:line="360" w:lineRule="auto"/>
        <w:ind w:firstLine="482" w:firstLineChars="200"/>
        <w:rPr>
          <w:rFonts w:ascii="宋体" w:hAnsi="宋体" w:cs="宋体"/>
          <w:b/>
          <w:bCs/>
          <w:sz w:val="24"/>
        </w:rPr>
      </w:pPr>
      <w:r>
        <w:rPr>
          <w:rFonts w:hint="eastAsia" w:ascii="宋体" w:hAnsi="宋体" w:cs="宋体"/>
          <w:b/>
          <w:bCs/>
          <w:sz w:val="24"/>
        </w:rPr>
        <w:t>特别说明：如遇广西政府采购云平台电子化开标或评审程序调整的，按调整后执行。</w:t>
      </w:r>
    </w:p>
    <w:p>
      <w:pPr>
        <w:pStyle w:val="25"/>
        <w:snapToGrid w:val="0"/>
        <w:spacing w:before="120" w:line="360" w:lineRule="auto"/>
        <w:ind w:left="689" w:leftChars="228" w:hanging="210" w:hangingChars="100"/>
        <w:rPr>
          <w:rFonts w:hAnsi="宋体" w:cs="宋体"/>
          <w:sz w:val="21"/>
        </w:rPr>
      </w:pPr>
    </w:p>
    <w:p>
      <w:pPr>
        <w:pStyle w:val="6"/>
        <w:keepNext w:val="0"/>
        <w:keepLines w:val="0"/>
        <w:spacing w:before="120"/>
        <w:ind w:firstLine="640"/>
        <w:jc w:val="center"/>
        <w:rPr>
          <w:rFonts w:ascii="宋体" w:hAnsi="宋体" w:cs="宋体"/>
        </w:rPr>
      </w:pPr>
      <w:r>
        <w:rPr>
          <w:rFonts w:hint="eastAsia" w:ascii="宋体" w:hAnsi="宋体" w:cs="宋体"/>
        </w:rPr>
        <w:t>五、资格审查</w:t>
      </w:r>
    </w:p>
    <w:p>
      <w:pPr>
        <w:pStyle w:val="8"/>
        <w:keepNext w:val="0"/>
        <w:keepLines w:val="0"/>
        <w:numPr>
          <w:ilvl w:val="255"/>
          <w:numId w:val="0"/>
        </w:numPr>
        <w:spacing w:before="120" w:after="0" w:line="360" w:lineRule="auto"/>
        <w:ind w:left="420" w:leftChars="200"/>
        <w:rPr>
          <w:rFonts w:ascii="宋体" w:hAnsi="宋体" w:cs="宋体"/>
          <w:sz w:val="24"/>
        </w:rPr>
      </w:pPr>
      <w:r>
        <w:rPr>
          <w:rFonts w:hint="eastAsia" w:ascii="宋体" w:hAnsi="宋体" w:cs="宋体"/>
          <w:sz w:val="24"/>
        </w:rPr>
        <w:t>25.资格审查</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sz w:val="24"/>
        </w:rPr>
        <w:t xml:space="preserve"> 25.1开标结束后，采购人或者采购代理机构依法对投标人的资格进行审查。</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sz w:val="24"/>
        </w:rPr>
        <w:t xml:space="preserve"> 25.2资格审查标准为本招标文件中载明对投标人资格要求的条件。本项目资格审查采用合格制，凡符合招标文件规定的投标人资格要求的投标人均通过资格审查。</w:t>
      </w:r>
    </w:p>
    <w:p>
      <w:pPr>
        <w:pStyle w:val="8"/>
        <w:keepNext w:val="0"/>
        <w:keepLines w:val="0"/>
        <w:numPr>
          <w:ilvl w:val="0"/>
          <w:numId w:val="0"/>
        </w:numPr>
        <w:spacing w:before="120" w:after="0" w:line="360" w:lineRule="auto"/>
        <w:ind w:firstLine="482" w:firstLineChars="200"/>
        <w:rPr>
          <w:rFonts w:ascii="宋体" w:hAnsi="宋体" w:cs="宋体"/>
          <w:sz w:val="24"/>
        </w:rPr>
      </w:pPr>
      <w:bookmarkStart w:id="124" w:name="_25.3_投标人有下列情形之一的，资格审查不通过而导致其投标无效："/>
      <w:bookmarkEnd w:id="124"/>
      <w:r>
        <w:rPr>
          <w:rFonts w:hint="eastAsia" w:ascii="宋体" w:hAnsi="宋体" w:cs="宋体"/>
          <w:sz w:val="24"/>
        </w:rPr>
        <w:t>25.3 投标人有下列情形之一的，资格审查不通过，作无效投标处理：</w:t>
      </w:r>
    </w:p>
    <w:p>
      <w:pPr>
        <w:pStyle w:val="25"/>
        <w:snapToGrid w:val="0"/>
        <w:spacing w:before="120" w:line="360" w:lineRule="auto"/>
        <w:ind w:firstLine="482" w:firstLineChars="200"/>
        <w:rPr>
          <w:rFonts w:hAnsi="宋体" w:cs="宋体"/>
          <w:b/>
          <w:sz w:val="24"/>
          <w:szCs w:val="24"/>
        </w:rPr>
      </w:pPr>
      <w:r>
        <w:rPr>
          <w:rFonts w:hint="eastAsia" w:hAnsi="宋体" w:cs="宋体"/>
          <w:b/>
          <w:sz w:val="24"/>
          <w:szCs w:val="24"/>
        </w:rPr>
        <w:t>（1）未按招标文件规定的方式获取本招标文件的投标人；</w:t>
      </w:r>
    </w:p>
    <w:p>
      <w:pPr>
        <w:pStyle w:val="25"/>
        <w:snapToGrid w:val="0"/>
        <w:spacing w:before="120" w:line="360" w:lineRule="auto"/>
        <w:ind w:firstLine="482" w:firstLineChars="200"/>
        <w:rPr>
          <w:rFonts w:hAnsi="宋体" w:cs="宋体"/>
          <w:b/>
          <w:sz w:val="24"/>
          <w:szCs w:val="24"/>
        </w:rPr>
      </w:pPr>
      <w:r>
        <w:rPr>
          <w:rFonts w:hint="eastAsia" w:hAnsi="宋体" w:cs="宋体"/>
          <w:b/>
          <w:sz w:val="24"/>
          <w:szCs w:val="24"/>
        </w:rPr>
        <w:t>（2）不具备招标文件中规定的资格要求的；</w:t>
      </w:r>
    </w:p>
    <w:p>
      <w:pPr>
        <w:pStyle w:val="25"/>
        <w:snapToGrid w:val="0"/>
        <w:spacing w:before="120" w:line="360" w:lineRule="auto"/>
        <w:ind w:firstLine="482" w:firstLineChars="200"/>
        <w:rPr>
          <w:rFonts w:hAnsi="宋体" w:cs="宋体"/>
          <w:b/>
          <w:sz w:val="24"/>
          <w:szCs w:val="24"/>
        </w:rPr>
      </w:pPr>
      <w:r>
        <w:rPr>
          <w:rFonts w:hint="eastAsia" w:hAnsi="宋体" w:cs="宋体"/>
          <w:b/>
          <w:sz w:val="24"/>
          <w:szCs w:val="24"/>
        </w:rPr>
        <w:t>（3）在“信用中国”网站（www.creditchina.gov.cn） 、中国政府采购网（www.ccgp.gov.cn）被列入失信被执行人、重大税收违法失信主体、政府采购严重违法失信行为记录名单及其他不符合《中华人民共和国政府采购法》第二十二条规定条件的（注：其中信用查询规则见“投标人须知前附表”）；</w:t>
      </w:r>
      <w:r>
        <w:rPr>
          <w:rFonts w:hAnsi="宋体" w:cs="宋体"/>
          <w:b/>
          <w:sz w:val="24"/>
          <w:szCs w:val="24"/>
        </w:rPr>
        <w:t xml:space="preserve"> </w:t>
      </w:r>
    </w:p>
    <w:p>
      <w:pPr>
        <w:pStyle w:val="25"/>
        <w:snapToGrid w:val="0"/>
        <w:spacing w:before="120" w:line="360" w:lineRule="auto"/>
        <w:ind w:firstLine="482" w:firstLineChars="200"/>
        <w:rPr>
          <w:rFonts w:hAnsi="宋体" w:cs="宋体"/>
          <w:b/>
          <w:sz w:val="24"/>
          <w:szCs w:val="24"/>
        </w:rPr>
      </w:pPr>
      <w:r>
        <w:rPr>
          <w:rFonts w:hint="eastAsia" w:hAnsi="宋体" w:cs="宋体"/>
          <w:b/>
          <w:sz w:val="24"/>
          <w:szCs w:val="24"/>
        </w:rPr>
        <w:t>（4）同一合同项下的不同投标人，单位负责人为同一人或者存在直接控股、管理关系的；为本项目提供过整体设计、规范编制或者项目管理、监理、检测等服务的供应商，再参加该采购项目的其他采购活动的；</w:t>
      </w:r>
    </w:p>
    <w:p>
      <w:pPr>
        <w:pStyle w:val="25"/>
        <w:snapToGrid w:val="0"/>
        <w:spacing w:before="120" w:line="360" w:lineRule="auto"/>
        <w:ind w:firstLine="482" w:firstLineChars="200"/>
        <w:rPr>
          <w:rFonts w:hAnsi="宋体" w:cs="宋体"/>
          <w:b/>
          <w:sz w:val="24"/>
          <w:szCs w:val="24"/>
        </w:rPr>
      </w:pPr>
      <w:r>
        <w:rPr>
          <w:rFonts w:hint="eastAsia" w:hAnsi="宋体" w:cs="宋体"/>
          <w:b/>
          <w:sz w:val="24"/>
          <w:szCs w:val="24"/>
        </w:rPr>
        <w:t>（5）投标文件中的资格证明文件缺少任一项“投标人须知前附表”资格证明文件规定“必须提供”的文件资料的；</w:t>
      </w:r>
    </w:p>
    <w:p>
      <w:pPr>
        <w:pStyle w:val="25"/>
        <w:snapToGrid w:val="0"/>
        <w:spacing w:before="120" w:line="360" w:lineRule="auto"/>
        <w:ind w:firstLine="482" w:firstLineChars="200"/>
        <w:rPr>
          <w:rFonts w:hAnsi="宋体" w:cs="宋体"/>
          <w:b/>
          <w:sz w:val="24"/>
          <w:szCs w:val="24"/>
        </w:rPr>
      </w:pPr>
      <w:r>
        <w:rPr>
          <w:rFonts w:hint="eastAsia" w:hAnsi="宋体" w:cs="宋体"/>
          <w:b/>
          <w:sz w:val="24"/>
          <w:szCs w:val="24"/>
        </w:rPr>
        <w:t>（6）投标文件中的资格证明文件出现任一项不符合“投标人须知前附表”资格证明文件规定“必须提供”的文件资料要求或者无效的。</w:t>
      </w:r>
    </w:p>
    <w:p>
      <w:pPr>
        <w:pStyle w:val="8"/>
        <w:keepNext w:val="0"/>
        <w:keepLines w:val="0"/>
        <w:spacing w:before="120" w:after="0" w:line="360" w:lineRule="auto"/>
        <w:ind w:left="420" w:leftChars="200" w:firstLine="480"/>
        <w:rPr>
          <w:rFonts w:ascii="宋体" w:hAnsi="宋体" w:cs="宋体"/>
          <w:b w:val="0"/>
          <w:sz w:val="24"/>
        </w:rPr>
      </w:pPr>
      <w:r>
        <w:rPr>
          <w:rFonts w:hint="eastAsia" w:ascii="宋体" w:hAnsi="宋体" w:cs="宋体"/>
          <w:sz w:val="24"/>
        </w:rPr>
        <w:t>25.4合格投标人不足3家的，不得评标。</w:t>
      </w:r>
    </w:p>
    <w:p>
      <w:pPr>
        <w:pStyle w:val="25"/>
        <w:snapToGrid w:val="0"/>
        <w:spacing w:before="120" w:line="360" w:lineRule="auto"/>
        <w:ind w:left="719" w:leftChars="228" w:hanging="240" w:hangingChars="100"/>
        <w:rPr>
          <w:rFonts w:hAnsi="宋体" w:cs="宋体"/>
          <w:sz w:val="24"/>
          <w:szCs w:val="24"/>
        </w:rPr>
      </w:pPr>
    </w:p>
    <w:p>
      <w:pPr>
        <w:pStyle w:val="6"/>
        <w:keepNext w:val="0"/>
        <w:keepLines w:val="0"/>
        <w:spacing w:before="120"/>
        <w:ind w:firstLine="640"/>
        <w:jc w:val="center"/>
        <w:rPr>
          <w:rFonts w:ascii="宋体" w:hAnsi="宋体" w:cs="宋体"/>
        </w:rPr>
      </w:pPr>
      <w:r>
        <w:rPr>
          <w:rFonts w:hint="eastAsia" w:ascii="宋体" w:hAnsi="宋体" w:cs="宋体"/>
        </w:rPr>
        <w:t>六、评   标</w:t>
      </w:r>
    </w:p>
    <w:p>
      <w:pPr>
        <w:pStyle w:val="8"/>
        <w:keepNext w:val="0"/>
        <w:keepLines w:val="0"/>
        <w:spacing w:before="120" w:after="0" w:line="360" w:lineRule="auto"/>
        <w:ind w:left="420" w:leftChars="200" w:firstLine="480"/>
        <w:rPr>
          <w:rFonts w:ascii="宋体" w:hAnsi="宋体" w:cs="宋体"/>
          <w:sz w:val="24"/>
        </w:rPr>
      </w:pPr>
      <w:bookmarkStart w:id="125" w:name="_26.组建评标委员会"/>
      <w:bookmarkEnd w:id="125"/>
      <w:r>
        <w:rPr>
          <w:rFonts w:hint="eastAsia" w:ascii="宋体" w:hAnsi="宋体" w:cs="宋体"/>
          <w:sz w:val="24"/>
        </w:rPr>
        <w:t>26.组建评标委员会</w:t>
      </w:r>
    </w:p>
    <w:p>
      <w:pPr>
        <w:pStyle w:val="25"/>
        <w:snapToGrid w:val="0"/>
        <w:spacing w:before="120" w:line="360" w:lineRule="auto"/>
        <w:ind w:firstLine="480" w:firstLineChars="200"/>
        <w:rPr>
          <w:rFonts w:hAnsi="宋体" w:cs="宋体"/>
          <w:sz w:val="24"/>
          <w:szCs w:val="24"/>
        </w:rPr>
      </w:pPr>
      <w:r>
        <w:rPr>
          <w:rFonts w:hint="eastAsia" w:hAnsi="宋体"/>
          <w:sz w:val="24"/>
          <w:szCs w:val="24"/>
        </w:rPr>
        <w:t>26.1</w:t>
      </w:r>
      <w:r>
        <w:rPr>
          <w:rFonts w:hint="eastAsia" w:hAnsi="宋体" w:cs="宋体"/>
          <w:sz w:val="24"/>
          <w:szCs w:val="24"/>
        </w:rPr>
        <w:t>评标委员会由采购人代表和评审专家组成，具体人数详见“投标人须知前附表”，其中评审专家不得少于成员总数的三分之二。</w:t>
      </w:r>
    </w:p>
    <w:p>
      <w:pPr>
        <w:pStyle w:val="25"/>
        <w:snapToGrid w:val="0"/>
        <w:spacing w:before="120" w:line="360" w:lineRule="auto"/>
        <w:ind w:left="2" w:leftChars="1" w:firstLine="480" w:firstLineChars="200"/>
      </w:pPr>
      <w:r>
        <w:rPr>
          <w:rFonts w:hint="eastAsia" w:hAnsi="宋体"/>
          <w:sz w:val="24"/>
          <w:szCs w:val="24"/>
        </w:rPr>
        <w:t>26.</w:t>
      </w:r>
      <w:r>
        <w:rPr>
          <w:rFonts w:hAnsi="宋体"/>
          <w:sz w:val="24"/>
          <w:szCs w:val="24"/>
        </w:rPr>
        <w:t>2</w:t>
      </w:r>
      <w:r>
        <w:rPr>
          <w:rFonts w:hint="eastAsia" w:hAnsi="宋体" w:cs="宋体"/>
          <w:sz w:val="24"/>
          <w:szCs w:val="24"/>
        </w:rPr>
        <w:t>参加过采购项目前期咨询论证的专家，不得参加该采购项目的评审活动。</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27.评标的依据</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评标委员会以“第四章 评标方法和评标标准”为依据对投标文件进行评审，没有规定的方法、评审因素和标准，不作为评标依据。</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28.评标原则</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28.2</w:t>
      </w:r>
      <w:bookmarkStart w:id="126" w:name="_28.3评标方法。本项目将按须知前附表规定的评标办法进行评标，具体评标"/>
      <w:bookmarkEnd w:id="126"/>
      <w:r>
        <w:rPr>
          <w:rFonts w:hint="eastAsia" w:hAnsi="宋体" w:cs="宋体"/>
          <w:sz w:val="24"/>
          <w:szCs w:val="24"/>
        </w:rPr>
        <w:t>评委表决。评标委员会成员对需要共同认定的事项存在争议的，应当按照少数服从多数的原则作出结论。</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28.3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28.4评标过程的监控。本项目评标过程实行网上留痕、全程录音、录像监控，</w:t>
      </w:r>
      <w:r>
        <w:rPr>
          <w:rFonts w:hint="eastAsia" w:hAnsi="宋体" w:cs="宋体"/>
          <w:b/>
          <w:bCs/>
          <w:sz w:val="24"/>
          <w:szCs w:val="24"/>
        </w:rPr>
        <w:t>投标人在评标过程中所进行的试图影响评标结果的不公正活动，可能导致其投标无效</w:t>
      </w:r>
      <w:r>
        <w:rPr>
          <w:rFonts w:hint="eastAsia" w:hAnsi="宋体" w:cs="宋体"/>
          <w:sz w:val="24"/>
          <w:szCs w:val="24"/>
        </w:rPr>
        <w:t>。</w:t>
      </w:r>
    </w:p>
    <w:p>
      <w:pPr>
        <w:pStyle w:val="8"/>
        <w:keepNext w:val="0"/>
        <w:keepLines w:val="0"/>
        <w:numPr>
          <w:ilvl w:val="255"/>
          <w:numId w:val="0"/>
        </w:numPr>
        <w:spacing w:before="120" w:after="0" w:line="360" w:lineRule="auto"/>
        <w:ind w:left="420" w:leftChars="200"/>
        <w:rPr>
          <w:rFonts w:ascii="宋体" w:hAnsi="宋体" w:cs="宋体"/>
          <w:sz w:val="24"/>
        </w:rPr>
      </w:pPr>
      <w:r>
        <w:rPr>
          <w:rFonts w:hint="eastAsia" w:ascii="宋体" w:hAnsi="宋体" w:cs="宋体"/>
          <w:sz w:val="24"/>
        </w:rPr>
        <w:t>29.评标方法及中标候选人推荐</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29.1本项目的评标方法详见“投标人须知前附表”。</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29.2 中标候选人推荐数量详见“投标人须知前附表”。</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29.3评标委员会将按照“第四章 评标方法和评标标准”规定的方法、评审因素、标准和程序对投标文件进行评审。</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29.4电子交易活动的中止。采购过程中出现以下情形，导致电子交易平台无法正常运行，或者无法保证电子交易的公平、公正和安全时，采购代理机构可中止电子交易活动：</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 xml:space="preserve">（1）电子交易平台发生故障而无法登录访问的； </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（2）电子交易平台应用或数据库出现错误，不能进行正常操作的；</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（3）电子交易平台发现严重安全漏洞，有潜在泄密危险的；</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 xml:space="preserve">（4）病毒发作导致不能进行正常操作的； </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（4）其他无法保证电子交易的公平、公正和安全的情况。</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29.5出现以上情形，不影响采购公平、公正性的，采购代理机构可以待上述情形消除后继续组织电子交易活动；影响或可能影响采购公平、公正性的，经采购代理机构确认、报采购人同意后，终止电子采购活动，重新采购。采购代理机构必须对原有的资料及信息作出妥善保密处理，并报财政部门备案。</w:t>
      </w:r>
    </w:p>
    <w:p>
      <w:pPr>
        <w:pStyle w:val="25"/>
        <w:snapToGrid w:val="0"/>
        <w:spacing w:before="120" w:line="360" w:lineRule="auto"/>
        <w:rPr>
          <w:rFonts w:hAnsi="宋体" w:cs="宋体"/>
          <w:sz w:val="24"/>
          <w:szCs w:val="24"/>
        </w:rPr>
      </w:pPr>
    </w:p>
    <w:p>
      <w:pPr>
        <w:pStyle w:val="6"/>
        <w:keepNext w:val="0"/>
        <w:keepLines w:val="0"/>
        <w:spacing w:before="120"/>
        <w:ind w:firstLine="640"/>
        <w:jc w:val="center"/>
        <w:rPr>
          <w:rFonts w:ascii="宋体" w:hAnsi="宋体" w:cs="宋体"/>
        </w:rPr>
      </w:pPr>
      <w:bookmarkStart w:id="127" w:name="_Toc254970546"/>
      <w:bookmarkStart w:id="128" w:name="_Toc254970687"/>
      <w:r>
        <w:rPr>
          <w:rFonts w:hint="eastAsia" w:ascii="宋体" w:hAnsi="宋体" w:cs="宋体"/>
        </w:rPr>
        <w:t>七、</w:t>
      </w:r>
      <w:bookmarkEnd w:id="127"/>
      <w:bookmarkEnd w:id="128"/>
      <w:r>
        <w:rPr>
          <w:rFonts w:hint="eastAsia" w:ascii="宋体" w:hAnsi="宋体" w:cs="宋体"/>
        </w:rPr>
        <w:t>中标和合同</w:t>
      </w:r>
    </w:p>
    <w:p>
      <w:pPr>
        <w:pStyle w:val="8"/>
        <w:keepNext w:val="0"/>
        <w:keepLines w:val="0"/>
        <w:numPr>
          <w:ilvl w:val="255"/>
          <w:numId w:val="0"/>
        </w:numPr>
        <w:spacing w:before="120" w:after="0" w:line="360" w:lineRule="auto"/>
        <w:ind w:left="420" w:leftChars="200"/>
        <w:rPr>
          <w:rFonts w:ascii="宋体" w:hAnsi="宋体" w:cs="宋体"/>
          <w:sz w:val="24"/>
        </w:rPr>
      </w:pPr>
      <w:r>
        <w:rPr>
          <w:rFonts w:hint="eastAsia" w:ascii="宋体" w:hAnsi="宋体" w:cs="宋体"/>
          <w:sz w:val="24"/>
        </w:rPr>
        <w:t>30 确定中标人</w:t>
      </w:r>
    </w:p>
    <w:p>
      <w:pPr>
        <w:pStyle w:val="8"/>
        <w:keepNext w:val="0"/>
        <w:keepLines w:val="0"/>
        <w:spacing w:before="120" w:after="0" w:line="360" w:lineRule="auto"/>
        <w:ind w:firstLine="480" w:firstLineChars="200"/>
        <w:rPr>
          <w:rFonts w:ascii="宋体" w:hAnsi="宋体" w:cs="宋体"/>
          <w:b w:val="0"/>
          <w:sz w:val="24"/>
        </w:rPr>
      </w:pPr>
      <w:r>
        <w:rPr>
          <w:rFonts w:hint="eastAsia" w:ascii="宋体" w:hAnsi="宋体" w:cs="宋体"/>
          <w:b w:val="0"/>
          <w:sz w:val="24"/>
        </w:rPr>
        <w:t>30.1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before="120" w:line="360" w:lineRule="auto"/>
        <w:ind w:firstLine="480" w:firstLineChars="200"/>
        <w:rPr>
          <w:rFonts w:ascii="宋体" w:hAnsi="宋体" w:cs="宋体"/>
          <w:sz w:val="24"/>
        </w:rPr>
      </w:pPr>
      <w:r>
        <w:rPr>
          <w:rFonts w:hint="eastAsia" w:ascii="宋体" w:hAnsi="宋体" w:cs="宋体"/>
          <w:sz w:val="24"/>
        </w:rPr>
        <w:t>30.2采购人在收到评标报告5个工作日内未按评标报告推荐的中标候选人顺序确定中标人，又不能说明合法理由的，视同按评标报告推荐的顺序确定排名第一的中标候选人为中标人。</w:t>
      </w:r>
    </w:p>
    <w:p>
      <w:pPr>
        <w:snapToGrid w:val="0"/>
        <w:spacing w:before="120" w:line="360" w:lineRule="auto"/>
        <w:ind w:firstLine="480" w:firstLineChars="200"/>
        <w:rPr>
          <w:rFonts w:ascii="宋体" w:hAnsi="宋体" w:cs="宋体"/>
          <w:sz w:val="24"/>
        </w:rPr>
      </w:pPr>
      <w:r>
        <w:rPr>
          <w:rFonts w:hint="eastAsia" w:ascii="宋体" w:hAnsi="宋体" w:cs="宋体"/>
          <w:sz w:val="24"/>
        </w:rPr>
        <w:t>30.3出现下列情形之一的，应予废标：</w:t>
      </w:r>
    </w:p>
    <w:p>
      <w:pPr>
        <w:snapToGrid w:val="0"/>
        <w:spacing w:before="120" w:line="360" w:lineRule="auto"/>
        <w:ind w:firstLine="480" w:firstLineChars="200"/>
        <w:rPr>
          <w:rFonts w:ascii="宋体" w:hAnsi="宋体" w:cs="宋体"/>
          <w:sz w:val="24"/>
        </w:rPr>
      </w:pPr>
      <w:r>
        <w:rPr>
          <w:rFonts w:hint="eastAsia" w:ascii="宋体" w:hAnsi="宋体" w:cs="宋体"/>
          <w:sz w:val="24"/>
        </w:rPr>
        <w:t>（1）符合专业条件的供应商或者对招标文件作实质响应的供应商不足三家的；</w:t>
      </w:r>
    </w:p>
    <w:p>
      <w:pPr>
        <w:snapToGrid w:val="0"/>
        <w:spacing w:before="120" w:line="360" w:lineRule="auto"/>
        <w:ind w:firstLine="480" w:firstLineChars="200"/>
        <w:rPr>
          <w:rFonts w:ascii="宋体" w:hAnsi="宋体" w:cs="宋体"/>
          <w:sz w:val="24"/>
        </w:rPr>
      </w:pPr>
      <w:r>
        <w:rPr>
          <w:rFonts w:hint="eastAsia" w:ascii="宋体" w:hAnsi="宋体" w:cs="宋体"/>
          <w:sz w:val="24"/>
        </w:rPr>
        <w:t>（2）出现影响采购公正的违法、违规行为的；</w:t>
      </w:r>
    </w:p>
    <w:p>
      <w:pPr>
        <w:snapToGrid w:val="0"/>
        <w:spacing w:before="120" w:line="360" w:lineRule="auto"/>
        <w:ind w:firstLine="480" w:firstLineChars="200"/>
        <w:rPr>
          <w:rFonts w:ascii="宋体" w:hAnsi="宋体" w:cs="宋体"/>
          <w:sz w:val="24"/>
        </w:rPr>
      </w:pPr>
      <w:r>
        <w:rPr>
          <w:rFonts w:hint="eastAsia" w:ascii="宋体" w:hAnsi="宋体" w:cs="宋体"/>
          <w:sz w:val="24"/>
        </w:rPr>
        <w:t>（3）投标人的报价均超过了采购预算，采购人不能支付的；</w:t>
      </w:r>
    </w:p>
    <w:p>
      <w:pPr>
        <w:snapToGrid w:val="0"/>
        <w:spacing w:before="120" w:line="360" w:lineRule="auto"/>
        <w:ind w:firstLine="480" w:firstLineChars="200"/>
        <w:rPr>
          <w:rFonts w:ascii="宋体" w:hAnsi="宋体" w:cs="宋体"/>
          <w:sz w:val="24"/>
        </w:rPr>
      </w:pPr>
      <w:r>
        <w:rPr>
          <w:rFonts w:hint="eastAsia" w:ascii="宋体" w:hAnsi="宋体" w:cs="宋体"/>
          <w:sz w:val="24"/>
        </w:rPr>
        <w:t>（4）因重大变故，采购任务取消的。</w:t>
      </w:r>
    </w:p>
    <w:p>
      <w:pPr>
        <w:snapToGrid w:val="0"/>
        <w:spacing w:before="120" w:line="360" w:lineRule="auto"/>
        <w:ind w:firstLine="480" w:firstLineChars="200"/>
        <w:rPr>
          <w:rFonts w:ascii="宋体" w:hAnsi="宋体" w:cs="宋体"/>
          <w:sz w:val="24"/>
        </w:rPr>
      </w:pPr>
      <w:r>
        <w:rPr>
          <w:rFonts w:hint="eastAsia" w:ascii="宋体" w:hAnsi="宋体" w:cs="宋体"/>
          <w:sz w:val="24"/>
        </w:rPr>
        <w:t>废标后，采购人应当将废标理由通知所有投标人。</w:t>
      </w:r>
    </w:p>
    <w:p>
      <w:pPr>
        <w:snapToGrid w:val="0"/>
        <w:spacing w:before="120" w:line="360" w:lineRule="auto"/>
        <w:ind w:firstLine="480" w:firstLineChars="200"/>
        <w:rPr>
          <w:rFonts w:ascii="宋体" w:hAnsi="宋体" w:cs="宋体"/>
          <w:sz w:val="24"/>
        </w:rPr>
      </w:pPr>
      <w:r>
        <w:rPr>
          <w:rFonts w:hint="eastAsia" w:ascii="宋体" w:hAnsi="宋体" w:cs="宋体"/>
          <w:sz w:val="24"/>
        </w:rPr>
        <w:t>30.4 中标人拒绝签订政府采购合同（包括但不限于放弃中标、因不可抗力不能履行合同而放弃签订合同），采购人可以按照评审报告推荐的中标候选人名单排序，确定下一候选人为中标供应商，也可以重新开展政府采购活动。拒绝签订政府采购合同的中标人不得参加对该项目重新开展的采购活动。</w:t>
      </w:r>
    </w:p>
    <w:p>
      <w:pPr>
        <w:pStyle w:val="18"/>
        <w:spacing w:before="120" w:after="120" w:line="360" w:lineRule="auto"/>
        <w:ind w:firstLine="480" w:firstLineChars="200"/>
      </w:pPr>
      <w:r>
        <w:rPr>
          <w:rFonts w:hint="eastAsia" w:ascii="宋体" w:hAnsi="宋体" w:cs="宋体"/>
          <w:sz w:val="24"/>
        </w:rPr>
        <w:t>中标人放弃中标项目，拒绝与采购人签订合同的，其投标保证金不予退还，并上缴国库。给采购人造成损失，或（并）因此延误采购人教学计划的，须依据《中华人民共和国民法典》第五百条、《招标投标法》第四十五条等规定承担赔偿损失等法律责任，采购人有权将中标人的失信行为报财政部门记入诚信档案，以示惩戒。</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31. 结果公告</w:t>
      </w:r>
    </w:p>
    <w:p>
      <w:pPr>
        <w:pStyle w:val="8"/>
        <w:keepNext w:val="0"/>
        <w:keepLines w:val="0"/>
        <w:spacing w:before="120" w:after="0" w:line="360" w:lineRule="auto"/>
        <w:ind w:firstLine="482" w:firstLineChars="200"/>
        <w:rPr>
          <w:rFonts w:ascii="宋体" w:hAnsi="宋体" w:cs="宋体"/>
          <w:sz w:val="24"/>
        </w:rPr>
      </w:pPr>
      <w:r>
        <w:rPr>
          <w:rFonts w:hint="eastAsia" w:ascii="宋体" w:hAnsi="宋体" w:cs="宋体"/>
          <w:sz w:val="24"/>
        </w:rPr>
        <w:t>31.1采购人或者采购代理机构应当自中标人确定之日起2个工作日内，在省级以上财政部门指定的媒体上公告中标结果，招标文件应当随中标结果同时公告。采购人或者采购代理发出中标通知书前，应当对中标人信用进行查询，对列入失信被执行人、重大税收违法失信主体、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以上信息查询记录及相关证据与采购文件一并保存。</w:t>
      </w:r>
    </w:p>
    <w:p>
      <w:pPr>
        <w:pStyle w:val="8"/>
        <w:keepNext w:val="0"/>
        <w:keepLines w:val="0"/>
        <w:spacing w:before="120" w:after="0" w:line="360" w:lineRule="auto"/>
        <w:ind w:firstLine="480" w:firstLineChars="200"/>
        <w:rPr>
          <w:rFonts w:ascii="宋体" w:hAnsi="宋体" w:cs="宋体"/>
          <w:b w:val="0"/>
          <w:sz w:val="24"/>
        </w:rPr>
      </w:pPr>
      <w:r>
        <w:rPr>
          <w:rFonts w:hint="eastAsia" w:ascii="宋体" w:hAnsi="宋体" w:cs="宋体"/>
          <w:b w:val="0"/>
          <w:sz w:val="24"/>
        </w:rPr>
        <w:t>31.2中标供应商享受《政府采购促进中小企业发展管理办法》（财库〔2020〕46号）规定的中小企业扶持政策的，采购人、采购代理机构应当随中标结果公开中标供应商的《中小企业声明函》。</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32.发出中标通知书</w:t>
      </w:r>
    </w:p>
    <w:p>
      <w:pPr>
        <w:pStyle w:val="8"/>
        <w:keepNext w:val="0"/>
        <w:keepLines w:val="0"/>
        <w:spacing w:before="120" w:after="0" w:line="360" w:lineRule="auto"/>
        <w:ind w:firstLine="480" w:firstLineChars="200"/>
        <w:rPr>
          <w:rFonts w:ascii="宋体" w:hAnsi="宋体" w:cs="宋体"/>
          <w:b w:val="0"/>
          <w:sz w:val="24"/>
        </w:rPr>
      </w:pPr>
      <w:r>
        <w:rPr>
          <w:rFonts w:hint="eastAsia" w:ascii="宋体" w:hAnsi="宋体" w:cs="宋体"/>
          <w:b w:val="0"/>
          <w:sz w:val="24"/>
        </w:rPr>
        <w:t>在公告中标结果的同时，采购代理机构向中标人发出中标通知书。对未通过资格审查的投标人，应当告知其未通过的原因；采用综合评分办法评审的，还应当告知未中标人本人的评审得分与排序。</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33. 无义务解释未中标原因</w:t>
      </w:r>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采购代理机构无义务向未中标的投标人解释未中标原因和退还投标文件。</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34.合同授予标准</w:t>
      </w:r>
    </w:p>
    <w:p>
      <w:pPr>
        <w:snapToGrid w:val="0"/>
        <w:spacing w:before="120" w:line="360" w:lineRule="auto"/>
        <w:ind w:firstLine="480" w:firstLineChars="200"/>
        <w:rPr>
          <w:rFonts w:ascii="宋体" w:hAnsi="宋体" w:cs="宋体"/>
          <w:sz w:val="24"/>
        </w:rPr>
      </w:pPr>
      <w:r>
        <w:rPr>
          <w:rFonts w:hint="eastAsia" w:ascii="宋体" w:hAnsi="宋体" w:cs="宋体"/>
          <w:sz w:val="24"/>
        </w:rPr>
        <w:t>合同将授予被确定实质上响应招标文件要求，具备履行合同能力的中标人。</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35.履约保证金</w:t>
      </w:r>
    </w:p>
    <w:p>
      <w:pPr>
        <w:pStyle w:val="8"/>
        <w:keepNext w:val="0"/>
        <w:keepLines w:val="0"/>
        <w:spacing w:before="120" w:after="0" w:line="360" w:lineRule="auto"/>
        <w:ind w:firstLine="360" w:firstLineChars="150"/>
        <w:rPr>
          <w:rFonts w:ascii="宋体" w:hAnsi="宋体" w:cs="宋体"/>
          <w:b w:val="0"/>
          <w:sz w:val="24"/>
        </w:rPr>
      </w:pPr>
      <w:bookmarkStart w:id="129" w:name="_39.1中标人须于签订合同前按本须知前附表规定的金额转账或电汇到指定账"/>
      <w:bookmarkEnd w:id="129"/>
      <w:r>
        <w:rPr>
          <w:rFonts w:hint="eastAsia" w:ascii="宋体" w:hAnsi="宋体" w:cs="宋体"/>
          <w:b w:val="0"/>
          <w:sz w:val="24"/>
        </w:rPr>
        <w:t xml:space="preserve"> 35.1 履约保证金的金额、提交方式、退付的时间和条件详见 “投标人须知前附表”。中标人未按规定提交履约保证金的，视为拒绝与采购人签订合同。采购人可以按照评标报告推荐的中标候选人名单排序，依法确定下一候选人为中标人，也可以重新开展政府采购活动。</w:t>
      </w:r>
    </w:p>
    <w:p>
      <w:pPr>
        <w:pStyle w:val="8"/>
        <w:keepNext w:val="0"/>
        <w:keepLines w:val="0"/>
        <w:spacing w:before="120" w:after="0" w:line="360" w:lineRule="auto"/>
        <w:ind w:firstLine="361" w:firstLineChars="150"/>
        <w:rPr>
          <w:rFonts w:ascii="宋体" w:hAnsi="宋体" w:cs="宋体"/>
          <w:b w:val="0"/>
          <w:bCs/>
          <w:sz w:val="24"/>
        </w:rPr>
      </w:pPr>
      <w:r>
        <w:rPr>
          <w:rFonts w:hint="eastAsia" w:ascii="宋体" w:hAnsi="宋体" w:cs="宋体"/>
          <w:sz w:val="24"/>
        </w:rPr>
        <w:t xml:space="preserve"> </w:t>
      </w:r>
      <w:r>
        <w:rPr>
          <w:rFonts w:hint="eastAsia" w:ascii="宋体" w:hAnsi="宋体" w:cs="宋体"/>
          <w:b w:val="0"/>
          <w:bCs/>
          <w:sz w:val="24"/>
        </w:rPr>
        <w:t>35.2在履约保证金退还日期前，若中标人的开户名称、开户银行、帐号有变动的，请以书面形式通知履约保证金收取单位，否则由此产生的后果由中标人自行承担。</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36.签订合同</w:t>
      </w:r>
    </w:p>
    <w:p>
      <w:pPr>
        <w:pStyle w:val="8"/>
        <w:keepNext w:val="0"/>
        <w:keepLines w:val="0"/>
        <w:spacing w:before="120" w:after="0" w:line="360" w:lineRule="auto"/>
        <w:ind w:firstLine="360" w:firstLineChars="150"/>
        <w:rPr>
          <w:rFonts w:ascii="宋体" w:hAnsi="宋体" w:cs="宋体"/>
          <w:b w:val="0"/>
          <w:bCs/>
          <w:sz w:val="24"/>
        </w:rPr>
      </w:pPr>
      <w:bookmarkStart w:id="130" w:name="_40.1投标人接到中标通知书后，按须知前附表规定向采购人出示相关资格证"/>
      <w:bookmarkEnd w:id="130"/>
      <w:r>
        <w:rPr>
          <w:rFonts w:hint="eastAsia" w:ascii="宋体" w:hAnsi="宋体" w:cs="宋体"/>
          <w:b w:val="0"/>
          <w:sz w:val="24"/>
        </w:rPr>
        <w:t xml:space="preserve"> 36.1中标人在</w:t>
      </w:r>
      <w:r>
        <w:rPr>
          <w:rFonts w:ascii="宋体" w:hAnsi="宋体" w:cs="宋体"/>
          <w:b w:val="0"/>
          <w:sz w:val="24"/>
        </w:rPr>
        <w:t>中标通知书发出之日起</w:t>
      </w:r>
      <w:r>
        <w:rPr>
          <w:rFonts w:hint="eastAsia" w:ascii="宋体" w:hAnsi="宋体" w:cs="宋体"/>
          <w:b w:val="0"/>
          <w:sz w:val="24"/>
        </w:rPr>
        <w:t>，按“投标人须知前附表”规定向采购人出示相关证明材料，经采购人核验合格后方可签订采购合同（书面或电子）。</w:t>
      </w:r>
      <w:r>
        <w:rPr>
          <w:rFonts w:hint="eastAsia" w:ascii="宋体" w:hAnsi="宋体" w:cs="宋体"/>
          <w:b w:val="0"/>
          <w:bCs/>
          <w:sz w:val="24"/>
        </w:rPr>
        <w:t>如中标人为联合体的，联合体各方应当共同与采购人签订采购合同，就采购合同约定的事项对采购人承担连带责任。</w:t>
      </w:r>
    </w:p>
    <w:p>
      <w:pPr>
        <w:pStyle w:val="8"/>
        <w:keepNext w:val="0"/>
        <w:keepLines w:val="0"/>
        <w:numPr>
          <w:ilvl w:val="0"/>
          <w:numId w:val="0"/>
        </w:numPr>
        <w:spacing w:before="120" w:after="0" w:line="360" w:lineRule="auto"/>
        <w:ind w:firstLine="480" w:firstLineChars="200"/>
        <w:rPr>
          <w:rFonts w:ascii="宋体" w:hAnsi="宋体" w:cs="宋体"/>
          <w:b w:val="0"/>
          <w:sz w:val="24"/>
        </w:rPr>
      </w:pPr>
      <w:r>
        <w:rPr>
          <w:rFonts w:hint="eastAsia" w:ascii="宋体" w:hAnsi="宋体" w:cs="宋体"/>
          <w:b w:val="0"/>
          <w:sz w:val="24"/>
        </w:rPr>
        <w:t>36.2签订合同时间：按中标通知书规定的时间与采购人签订合同（最长不能超过25日）。</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sz w:val="24"/>
        </w:rPr>
        <w:t xml:space="preserve"> 36.3中标人拒绝与采购人签订合同的，按照本文件之《投标人须知正文》第30.4条的规定执行。</w:t>
      </w:r>
    </w:p>
    <w:p>
      <w:pPr>
        <w:pStyle w:val="8"/>
        <w:keepNext w:val="0"/>
        <w:keepLines w:val="0"/>
        <w:numPr>
          <w:ilvl w:val="0"/>
          <w:numId w:val="0"/>
        </w:numPr>
        <w:spacing w:before="120" w:after="0" w:line="360" w:lineRule="auto"/>
        <w:ind w:firstLine="480" w:firstLineChars="200"/>
        <w:rPr>
          <w:rFonts w:ascii="宋体" w:hAnsi="宋体" w:cs="宋体"/>
          <w:b w:val="0"/>
          <w:sz w:val="24"/>
        </w:rPr>
      </w:pPr>
      <w:r>
        <w:rPr>
          <w:rFonts w:hint="eastAsia" w:ascii="宋体" w:hAnsi="宋体" w:cs="宋体"/>
          <w:b w:val="0"/>
          <w:sz w:val="24"/>
        </w:rPr>
        <w:t>3</w:t>
      </w:r>
      <w:r>
        <w:rPr>
          <w:rFonts w:ascii="宋体" w:hAnsi="宋体" w:cs="宋体"/>
          <w:b w:val="0"/>
          <w:sz w:val="24"/>
        </w:rPr>
        <w:t>6.4</w:t>
      </w:r>
      <w:r>
        <w:rPr>
          <w:rFonts w:hint="eastAsia" w:ascii="宋体" w:hAnsi="宋体" w:cs="宋体"/>
          <w:b w:val="0"/>
          <w:sz w:val="24"/>
        </w:rPr>
        <w:t>政府采购合同是政府采购项目验收的依据，中标人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8"/>
        <w:keepNext w:val="0"/>
        <w:keepLines w:val="0"/>
        <w:numPr>
          <w:ilvl w:val="0"/>
          <w:numId w:val="0"/>
        </w:numPr>
        <w:spacing w:before="120" w:after="0" w:line="360" w:lineRule="auto"/>
        <w:ind w:firstLine="480" w:firstLineChars="200"/>
        <w:rPr>
          <w:rFonts w:ascii="宋体" w:hAnsi="宋体" w:cs="宋体"/>
          <w:b w:val="0"/>
          <w:sz w:val="24"/>
        </w:rPr>
      </w:pPr>
      <w:r>
        <w:rPr>
          <w:rFonts w:hint="eastAsia" w:ascii="宋体" w:hAnsi="宋体" w:cs="宋体"/>
          <w:b w:val="0"/>
          <w:sz w:val="24"/>
        </w:rPr>
        <w:t>3</w:t>
      </w:r>
      <w:r>
        <w:rPr>
          <w:rFonts w:ascii="宋体" w:hAnsi="宋体" w:cs="宋体"/>
          <w:b w:val="0"/>
          <w:sz w:val="24"/>
        </w:rPr>
        <w:t xml:space="preserve">6.5 </w:t>
      </w:r>
      <w:r>
        <w:rPr>
          <w:rFonts w:hint="eastAsia" w:ascii="宋体" w:hAnsi="宋体" w:cs="宋体"/>
          <w:b w:val="0"/>
          <w:sz w:val="24"/>
        </w:rPr>
        <w:t>采购人或中标人不得单方面向合同另一方提出任何招标文件没有约定的条件或不合理的要求，作为签订合同的条件；也不得协商另行订立背离招标文件和合同实质性内容的协议。</w:t>
      </w:r>
    </w:p>
    <w:p>
      <w:pPr>
        <w:pStyle w:val="8"/>
        <w:keepNext w:val="0"/>
        <w:keepLines w:val="0"/>
        <w:numPr>
          <w:ilvl w:val="0"/>
          <w:numId w:val="0"/>
        </w:numPr>
        <w:spacing w:before="120" w:after="0" w:line="360" w:lineRule="auto"/>
        <w:ind w:firstLine="480" w:firstLineChars="200"/>
        <w:rPr>
          <w:rFonts w:ascii="宋体" w:hAnsi="宋体" w:cs="宋体"/>
          <w:b w:val="0"/>
          <w:sz w:val="24"/>
        </w:rPr>
      </w:pPr>
      <w:r>
        <w:rPr>
          <w:rFonts w:hint="eastAsia" w:ascii="宋体" w:hAnsi="宋体" w:cs="宋体"/>
          <w:b w:val="0"/>
          <w:sz w:val="24"/>
        </w:rPr>
        <w:t>3</w:t>
      </w:r>
      <w:r>
        <w:rPr>
          <w:rFonts w:ascii="宋体" w:hAnsi="宋体" w:cs="宋体"/>
          <w:b w:val="0"/>
          <w:sz w:val="24"/>
        </w:rPr>
        <w:t xml:space="preserve">6.6 </w:t>
      </w:r>
      <w:r>
        <w:rPr>
          <w:rFonts w:hint="eastAsia" w:ascii="宋体" w:hAnsi="宋体" w:cs="宋体"/>
          <w:b w:val="0"/>
          <w:sz w:val="24"/>
        </w:rPr>
        <w:t>如签订合同并生效后，供应商无故拒绝或延期，除按照合同条款处理外，将承担相应的法律责任。</w:t>
      </w:r>
    </w:p>
    <w:p>
      <w:pPr>
        <w:pStyle w:val="8"/>
        <w:keepNext w:val="0"/>
        <w:keepLines w:val="0"/>
        <w:numPr>
          <w:ilvl w:val="0"/>
          <w:numId w:val="0"/>
        </w:numPr>
        <w:spacing w:before="120" w:after="0" w:line="360" w:lineRule="auto"/>
        <w:ind w:firstLine="480" w:firstLineChars="200"/>
        <w:rPr>
          <w:rFonts w:ascii="宋体" w:hAnsi="宋体" w:cs="宋体"/>
          <w:b w:val="0"/>
          <w:sz w:val="24"/>
        </w:rPr>
      </w:pPr>
      <w:r>
        <w:rPr>
          <w:rFonts w:hint="eastAsia" w:ascii="宋体" w:hAnsi="宋体" w:cs="宋体"/>
          <w:b w:val="0"/>
          <w:sz w:val="24"/>
        </w:rPr>
        <w:t>3</w:t>
      </w:r>
      <w:r>
        <w:rPr>
          <w:rFonts w:ascii="宋体" w:hAnsi="宋体" w:cs="宋体"/>
          <w:b w:val="0"/>
          <w:sz w:val="24"/>
        </w:rPr>
        <w:t xml:space="preserve">6.7 </w:t>
      </w:r>
      <w:r>
        <w:rPr>
          <w:rFonts w:hint="eastAsia" w:ascii="宋体" w:hAnsi="宋体" w:cs="宋体"/>
          <w:b w:val="0"/>
          <w:sz w:val="24"/>
        </w:rPr>
        <w:t>政府采购合同履行中，采购人需追加与合同标的相同的货物、工程或者服务的，在不改变合同其他条款的前提下，可以与供应商签订补充合同，但所有补充合同的采购金额不得超过原合同采购金额的1</w:t>
      </w:r>
      <w:r>
        <w:rPr>
          <w:rFonts w:ascii="宋体" w:hAnsi="宋体" w:cs="宋体"/>
          <w:b w:val="0"/>
          <w:sz w:val="24"/>
        </w:rPr>
        <w:t>0</w:t>
      </w:r>
      <w:r>
        <w:rPr>
          <w:rFonts w:hint="eastAsia" w:ascii="宋体" w:hAnsi="宋体" w:cs="宋体"/>
          <w:b w:val="0"/>
          <w:sz w:val="24"/>
        </w:rPr>
        <w:t>%。</w:t>
      </w:r>
    </w:p>
    <w:p>
      <w:pPr>
        <w:pStyle w:val="8"/>
        <w:keepNext w:val="0"/>
        <w:keepLines w:val="0"/>
        <w:spacing w:before="120" w:after="0" w:line="360" w:lineRule="auto"/>
        <w:ind w:left="420" w:leftChars="200" w:firstLine="480"/>
        <w:rPr>
          <w:rFonts w:ascii="宋体" w:hAnsi="宋体" w:cs="宋体"/>
          <w:sz w:val="24"/>
        </w:rPr>
      </w:pPr>
      <w:bookmarkStart w:id="131" w:name="_41.政府采购合同公告"/>
      <w:bookmarkEnd w:id="131"/>
      <w:r>
        <w:rPr>
          <w:rFonts w:hint="eastAsia" w:ascii="宋体" w:hAnsi="宋体" w:cs="宋体"/>
          <w:sz w:val="24"/>
        </w:rPr>
        <w:t>37.政府采购合同公告</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采购人或者受托采购代理机构应当自政府采购合同签订之日起2个工作日内，将政府采购合同在省级以上人民政府财政部门指定的媒体上公告，但政府采购合同中涉及国家秘密、商业秘密的内容除外。</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38. 询问、质疑和投诉</w:t>
      </w:r>
    </w:p>
    <w:p>
      <w:pPr>
        <w:pStyle w:val="9"/>
        <w:spacing w:before="120" w:line="360" w:lineRule="auto"/>
        <w:ind w:firstLine="482"/>
        <w:rPr>
          <w:rFonts w:ascii="宋体" w:hAnsi="宋体" w:cs="宋体"/>
          <w:sz w:val="24"/>
          <w:szCs w:val="24"/>
        </w:rPr>
      </w:pPr>
      <w:r>
        <w:rPr>
          <w:rFonts w:hint="eastAsia" w:ascii="宋体" w:hAnsi="宋体" w:cs="宋体"/>
          <w:sz w:val="24"/>
          <w:szCs w:val="24"/>
        </w:rPr>
        <w:t>38.1供应商对政府采购活动事项有疑问的，可以向采购人提出询问，采购人或者采购代理机构应当在3个工作日内对供应商依法提出的询问作出答复，但答复的内容不得涉及商业秘密。</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sz w:val="24"/>
        </w:rPr>
        <w:t xml:space="preserve"> 38.2供应商认为招标文件、采购过程或者中标结果使自己的合法权益受到损害的，必须在知道或者应知其权益受到损害之日起7个工作日内，以纸质书面形式向采购人、采购代理机构提出质疑。采购人、采购代理机构接收质疑函的方式、联系部门、联系电话和通讯地址等信息详见“投标人须知前附表”。具体质疑起算时间如下： </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（1）对可以质疑的招标文件提出质疑的，为收到招标文件之日或者招标文件公告期限届满之日；</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（2）对采购过程提出质疑的，为各采购程序环节结束之日；</w:t>
      </w:r>
    </w:p>
    <w:p>
      <w:pPr>
        <w:pStyle w:val="25"/>
        <w:snapToGrid w:val="0"/>
        <w:spacing w:before="120" w:line="360" w:lineRule="auto"/>
        <w:ind w:firstLine="480" w:firstLineChars="200"/>
        <w:rPr>
          <w:rFonts w:hAnsi="宋体" w:cs="宋体"/>
          <w:bCs/>
          <w:sz w:val="24"/>
          <w:szCs w:val="24"/>
        </w:rPr>
      </w:pPr>
      <w:r>
        <w:rPr>
          <w:rFonts w:hint="eastAsia" w:hAnsi="宋体" w:cs="宋体"/>
          <w:sz w:val="24"/>
          <w:szCs w:val="24"/>
        </w:rPr>
        <w:t>（3）对中标结果提出质疑的，为中标结果公告期限届满之日。</w:t>
      </w:r>
    </w:p>
    <w:p>
      <w:pPr>
        <w:pStyle w:val="8"/>
        <w:keepNext w:val="0"/>
        <w:keepLines w:val="0"/>
        <w:spacing w:before="120" w:after="0" w:line="360" w:lineRule="auto"/>
        <w:ind w:firstLine="360" w:firstLineChars="150"/>
        <w:rPr>
          <w:rFonts w:ascii="宋体" w:hAnsi="宋体" w:cs="宋体"/>
          <w:bCs/>
          <w:sz w:val="24"/>
        </w:rPr>
      </w:pPr>
      <w:r>
        <w:rPr>
          <w:rFonts w:hint="eastAsia" w:ascii="宋体" w:hAnsi="宋体" w:cs="宋体"/>
          <w:b w:val="0"/>
          <w:sz w:val="24"/>
        </w:rPr>
        <w:t xml:space="preserve">38.3 </w:t>
      </w:r>
      <w:r>
        <w:rPr>
          <w:rFonts w:hint="eastAsia" w:ascii="宋体" w:hAnsi="宋体" w:cs="宋体"/>
          <w:bCs/>
          <w:sz w:val="24"/>
        </w:rPr>
        <w:t>供应商提出质疑应当提交质疑函和必要的证明材料，针对同一采购程序环节的质疑必须在法定质疑期内一次性提出。</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38.3.1 质疑供应商提起质疑应当符合下列条件：</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（1）质疑供应商是参与所质疑项目采购活动的供应商（潜在供应商已依法获取可质疑的采购文件的，可以对该采购文件质疑）；</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（2）质疑函内容符合本章第38.3.2项的规定；</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（3）在质疑有效期限内提起质疑；</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 xml:space="preserve">（4）属于所质疑的采购人或采购人委托的采购代理机构组织的采购活动； </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（5）供应商对同一采购程序环节的质疑应当在质疑有效期内一次性提出；</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（6）供应商提交质疑应当提交必要的证明材料，证明材料应以合法手段取得；</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（7）财政部门规定的其他条件。</w:t>
      </w:r>
    </w:p>
    <w:p>
      <w:pPr>
        <w:pStyle w:val="8"/>
        <w:keepNext w:val="0"/>
        <w:keepLines w:val="0"/>
        <w:spacing w:before="120" w:after="0" w:line="360" w:lineRule="auto"/>
        <w:ind w:firstLine="360" w:firstLineChars="150"/>
        <w:rPr>
          <w:rFonts w:ascii="宋体" w:hAnsi="宋体" w:cs="宋体"/>
          <w:b w:val="0"/>
          <w:sz w:val="24"/>
        </w:rPr>
      </w:pPr>
      <w:r>
        <w:rPr>
          <w:rFonts w:hint="eastAsia" w:ascii="宋体" w:hAnsi="宋体" w:cs="宋体"/>
          <w:b w:val="0"/>
          <w:kern w:val="0"/>
          <w:sz w:val="24"/>
        </w:rPr>
        <w:t>38.3.2</w:t>
      </w:r>
      <w:r>
        <w:rPr>
          <w:rFonts w:hint="eastAsia" w:ascii="宋体" w:hAnsi="宋体" w:cs="宋体"/>
          <w:kern w:val="0"/>
          <w:sz w:val="24"/>
        </w:rPr>
        <w:t>质</w:t>
      </w:r>
      <w:r>
        <w:rPr>
          <w:rFonts w:hint="eastAsia" w:ascii="宋体" w:hAnsi="宋体" w:cs="宋体"/>
          <w:bCs/>
          <w:sz w:val="24"/>
        </w:rPr>
        <w:t>疑函应当包括下列内容（质疑函格式后附）：</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（1）供应商的姓名或者名称、地址、邮编、联系人及联系电话；</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（2）质疑项目的名称、编号；</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（3）具体、明确的质疑事项和与质疑事项相关的请求；</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（4）事实依据；</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（5）必要的法律依据；</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（6）提出质疑的日期。</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供应商为自然人的，应当由本人签字；供应商为法人或者其他组织的，应当由法定代表人、主要负责人，或者其委托代理人签字或者盖章，并加盖公章。</w:t>
      </w:r>
    </w:p>
    <w:p>
      <w:pPr>
        <w:pStyle w:val="8"/>
        <w:keepNext w:val="0"/>
        <w:keepLines w:val="0"/>
        <w:snapToGrid w:val="0"/>
        <w:spacing w:before="120" w:after="0" w:line="360" w:lineRule="auto"/>
        <w:ind w:firstLine="480" w:firstLineChars="200"/>
        <w:rPr>
          <w:rFonts w:ascii="宋体" w:hAnsi="宋体" w:cs="宋体"/>
          <w:b w:val="0"/>
          <w:bCs/>
          <w:sz w:val="24"/>
        </w:rPr>
      </w:pPr>
      <w:r>
        <w:rPr>
          <w:rFonts w:hint="eastAsia" w:ascii="宋体" w:hAnsi="宋体" w:cs="宋体"/>
          <w:b w:val="0"/>
          <w:sz w:val="24"/>
        </w:rPr>
        <w:t>3</w:t>
      </w:r>
      <w:r>
        <w:rPr>
          <w:rFonts w:hint="eastAsia" w:ascii="宋体" w:hAnsi="宋体" w:cs="宋体"/>
          <w:b w:val="0"/>
          <w:bCs/>
          <w:sz w:val="24"/>
        </w:rPr>
        <w:t>8.4采购人、采购代理机构认为供应商质疑不成立，或者成立但未对中标结果构成影响的，继续开展采购活动；认为供应商质疑成立且影响或者可能影响中标结果的，按照下列情况处理：</w:t>
      </w:r>
    </w:p>
    <w:p>
      <w:pPr>
        <w:pStyle w:val="25"/>
        <w:snapToGrid w:val="0"/>
        <w:spacing w:before="120" w:line="360" w:lineRule="auto"/>
        <w:rPr>
          <w:rFonts w:hAnsi="宋体" w:cs="宋体"/>
          <w:bCs/>
          <w:sz w:val="24"/>
          <w:szCs w:val="24"/>
        </w:rPr>
      </w:pPr>
      <w:r>
        <w:rPr>
          <w:rFonts w:hint="eastAsia" w:hAnsi="宋体" w:cs="宋体"/>
          <w:bCs/>
          <w:sz w:val="24"/>
          <w:szCs w:val="24"/>
        </w:rPr>
        <w:t>　　（1）对招标文件提出的质疑，依法通过澄清或者修改可以继续开展采购活动的，澄清或者修改招标文件后继续开展采购活动；否则应当修改招标文件后重新开展采购活动。</w:t>
      </w:r>
    </w:p>
    <w:p>
      <w:pPr>
        <w:pStyle w:val="25"/>
        <w:snapToGrid w:val="0"/>
        <w:spacing w:before="120" w:line="360" w:lineRule="auto"/>
        <w:rPr>
          <w:rFonts w:hAnsi="宋体" w:cs="宋体"/>
          <w:bCs/>
          <w:sz w:val="24"/>
          <w:szCs w:val="24"/>
        </w:rPr>
      </w:pPr>
      <w:r>
        <w:rPr>
          <w:rFonts w:hint="eastAsia" w:hAnsi="宋体" w:cs="宋体"/>
          <w:bCs/>
          <w:sz w:val="24"/>
          <w:szCs w:val="24"/>
        </w:rPr>
        <w:t>　　（2）对采购过程、中标结果提出的质疑，合格供应商符合法定数量时，可以从合格的中标候选人中另行确定中标供应商的，应当依法另行确定中标供应商；否则应当重新开展采购活动。</w:t>
      </w:r>
    </w:p>
    <w:p>
      <w:pPr>
        <w:pStyle w:val="25"/>
        <w:snapToGrid w:val="0"/>
        <w:spacing w:before="120" w:line="360" w:lineRule="auto"/>
        <w:ind w:firstLine="482"/>
        <w:rPr>
          <w:rFonts w:hAnsi="宋体" w:cs="宋体"/>
          <w:bCs/>
          <w:sz w:val="24"/>
          <w:szCs w:val="24"/>
        </w:rPr>
      </w:pPr>
      <w:r>
        <w:rPr>
          <w:rFonts w:hint="eastAsia" w:hAnsi="宋体" w:cs="宋体"/>
          <w:bCs/>
          <w:sz w:val="24"/>
          <w:szCs w:val="24"/>
        </w:rPr>
        <w:t>质疑答复导致中标结果改变的，采购人或者采购代理机构应当将有关情况书面报告本级财政部门。</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38.5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bookmarkStart w:id="132" w:name="_八、其他事项"/>
      <w:bookmarkEnd w:id="132"/>
    </w:p>
    <w:p>
      <w:pPr>
        <w:pStyle w:val="25"/>
        <w:snapToGrid w:val="0"/>
        <w:spacing w:before="120" w:line="360" w:lineRule="auto"/>
        <w:ind w:firstLine="480" w:firstLineChars="200"/>
        <w:rPr>
          <w:rFonts w:hAnsi="宋体" w:cs="宋体"/>
          <w:sz w:val="24"/>
          <w:szCs w:val="24"/>
        </w:rPr>
      </w:pPr>
    </w:p>
    <w:p>
      <w:pPr>
        <w:pStyle w:val="6"/>
        <w:keepNext w:val="0"/>
        <w:keepLines w:val="0"/>
        <w:spacing w:before="120"/>
        <w:ind w:firstLine="640"/>
        <w:jc w:val="center"/>
        <w:rPr>
          <w:rFonts w:ascii="宋体" w:hAnsi="宋体" w:cs="宋体"/>
        </w:rPr>
      </w:pPr>
      <w:r>
        <w:rPr>
          <w:rFonts w:hint="eastAsia" w:ascii="宋体" w:hAnsi="宋体" w:cs="宋体"/>
        </w:rPr>
        <w:t>八、其他事项</w:t>
      </w:r>
    </w:p>
    <w:p>
      <w:pPr>
        <w:pStyle w:val="8"/>
        <w:keepNext w:val="0"/>
        <w:keepLines w:val="0"/>
        <w:spacing w:before="120" w:after="0" w:line="360" w:lineRule="auto"/>
        <w:ind w:left="420" w:leftChars="200" w:firstLine="480"/>
        <w:rPr>
          <w:rFonts w:ascii="宋体" w:hAnsi="宋体" w:cs="宋体"/>
          <w:sz w:val="24"/>
        </w:rPr>
      </w:pPr>
      <w:bookmarkStart w:id="133" w:name="_42.代理服务费"/>
      <w:bookmarkEnd w:id="133"/>
      <w:r>
        <w:rPr>
          <w:rFonts w:hint="eastAsia" w:ascii="宋体" w:hAnsi="宋体" w:cs="宋体"/>
          <w:sz w:val="24"/>
        </w:rPr>
        <w:t>39.代理服务费</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39.1代理服务收取标准及缴费账户详见“投标人须知前附表”，投标人为联合体的，可以由联合体中的一方或者多方共同交纳代理服务费。</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39.2代理服务收费标准：</w:t>
      </w:r>
    </w:p>
    <w:tbl>
      <w:tblPr>
        <w:tblStyle w:val="47"/>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before="120" w:line="360" w:lineRule="auto"/>
              <w:rPr>
                <w:rFonts w:ascii="宋体" w:hAnsi="宋体" w:cs="宋体"/>
                <w:sz w:val="24"/>
              </w:rPr>
            </w:pPr>
            <w:r>
              <w:rPr>
                <w:rFonts w:hint="eastAsia" w:ascii="宋体" w:hAnsi="宋体" w:cs="宋体"/>
                <w:sz w:val="24"/>
              </w:rPr>
              <w:t xml:space="preserve">               费率</w:t>
            </w:r>
          </w:p>
          <w:p>
            <w:pPr>
              <w:spacing w:before="120" w:line="360" w:lineRule="auto"/>
              <w:rPr>
                <w:rFonts w:ascii="宋体" w:hAnsi="宋体" w:cs="宋体"/>
                <w:sz w:val="24"/>
              </w:rPr>
            </w:pPr>
            <w:r>
              <w:rPr>
                <w:rFonts w:hint="eastAsia" w:ascii="宋体" w:hAnsi="宋体" w:cs="宋体"/>
                <w:sz w:val="24"/>
              </w:rPr>
              <w:t>中标金额</w:t>
            </w:r>
          </w:p>
        </w:tc>
        <w:tc>
          <w:tcPr>
            <w:tcW w:w="1659" w:type="dxa"/>
            <w:vAlign w:val="center"/>
          </w:tcPr>
          <w:p>
            <w:pPr>
              <w:spacing w:before="120" w:line="360" w:lineRule="auto"/>
              <w:ind w:firstLine="120" w:firstLineChars="50"/>
              <w:jc w:val="center"/>
              <w:rPr>
                <w:rFonts w:ascii="宋体" w:hAnsi="宋体" w:cs="宋体"/>
                <w:sz w:val="24"/>
              </w:rPr>
            </w:pPr>
            <w:r>
              <w:rPr>
                <w:rFonts w:hint="eastAsia" w:ascii="宋体" w:hAnsi="宋体" w:cs="宋体"/>
                <w:sz w:val="24"/>
              </w:rPr>
              <w:t>货物招标</w:t>
            </w:r>
          </w:p>
        </w:tc>
        <w:tc>
          <w:tcPr>
            <w:tcW w:w="1687" w:type="dxa"/>
            <w:vAlign w:val="center"/>
          </w:tcPr>
          <w:p>
            <w:pPr>
              <w:spacing w:before="120" w:line="360" w:lineRule="auto"/>
              <w:jc w:val="center"/>
              <w:rPr>
                <w:rFonts w:ascii="宋体" w:hAnsi="宋体" w:cs="宋体"/>
                <w:sz w:val="24"/>
              </w:rPr>
            </w:pPr>
            <w:r>
              <w:rPr>
                <w:rFonts w:hint="eastAsia" w:ascii="宋体" w:hAnsi="宋体" w:cs="宋体"/>
                <w:sz w:val="24"/>
              </w:rPr>
              <w:t>服务招标</w:t>
            </w:r>
          </w:p>
        </w:tc>
        <w:tc>
          <w:tcPr>
            <w:tcW w:w="1659" w:type="dxa"/>
            <w:vAlign w:val="center"/>
          </w:tcPr>
          <w:p>
            <w:pPr>
              <w:spacing w:before="120" w:line="360" w:lineRule="auto"/>
              <w:jc w:val="center"/>
              <w:rPr>
                <w:rFonts w:ascii="宋体" w:hAnsi="宋体" w:cs="宋体"/>
                <w:sz w:val="24"/>
              </w:rPr>
            </w:pPr>
            <w:r>
              <w:rPr>
                <w:rFonts w:hint="eastAsia" w:ascii="宋体" w:hAnsi="宋体" w:cs="宋体"/>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100万元以下</w:t>
            </w:r>
          </w:p>
        </w:tc>
        <w:tc>
          <w:tcPr>
            <w:tcW w:w="1659" w:type="dxa"/>
            <w:vAlign w:val="center"/>
          </w:tcPr>
          <w:p>
            <w:pPr>
              <w:spacing w:before="120" w:line="360" w:lineRule="auto"/>
              <w:jc w:val="center"/>
              <w:rPr>
                <w:rFonts w:ascii="宋体" w:hAnsi="宋体" w:cs="宋体"/>
                <w:sz w:val="24"/>
              </w:rPr>
            </w:pPr>
            <w:r>
              <w:rPr>
                <w:rFonts w:hint="eastAsia" w:ascii="宋体" w:hAnsi="宋体" w:cs="宋体"/>
                <w:kern w:val="0"/>
                <w:sz w:val="24"/>
              </w:rPr>
              <w:t>1.5%</w:t>
            </w:r>
          </w:p>
        </w:tc>
        <w:tc>
          <w:tcPr>
            <w:tcW w:w="1687"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1.5%</w:t>
            </w:r>
          </w:p>
        </w:tc>
        <w:tc>
          <w:tcPr>
            <w:tcW w:w="1659"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100～500万元</w:t>
            </w:r>
          </w:p>
        </w:tc>
        <w:tc>
          <w:tcPr>
            <w:tcW w:w="1659"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1.1%</w:t>
            </w:r>
          </w:p>
        </w:tc>
        <w:tc>
          <w:tcPr>
            <w:tcW w:w="1687"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0.8%</w:t>
            </w:r>
          </w:p>
        </w:tc>
        <w:tc>
          <w:tcPr>
            <w:tcW w:w="1659"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500～1000万元</w:t>
            </w:r>
          </w:p>
        </w:tc>
        <w:tc>
          <w:tcPr>
            <w:tcW w:w="1659" w:type="dxa"/>
            <w:vAlign w:val="center"/>
          </w:tcPr>
          <w:p>
            <w:pPr>
              <w:spacing w:before="120" w:line="360" w:lineRule="auto"/>
              <w:jc w:val="center"/>
              <w:rPr>
                <w:rFonts w:ascii="宋体" w:hAnsi="宋体" w:cs="宋体"/>
                <w:sz w:val="24"/>
              </w:rPr>
            </w:pPr>
            <w:r>
              <w:rPr>
                <w:rFonts w:hint="eastAsia" w:ascii="宋体" w:hAnsi="宋体" w:cs="宋体"/>
                <w:kern w:val="0"/>
                <w:sz w:val="24"/>
              </w:rPr>
              <w:t>0.8%</w:t>
            </w:r>
          </w:p>
        </w:tc>
        <w:tc>
          <w:tcPr>
            <w:tcW w:w="1687"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0.45%</w:t>
            </w:r>
          </w:p>
        </w:tc>
        <w:tc>
          <w:tcPr>
            <w:tcW w:w="1659"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1000～5000万元</w:t>
            </w:r>
          </w:p>
        </w:tc>
        <w:tc>
          <w:tcPr>
            <w:tcW w:w="1659"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0.5%</w:t>
            </w:r>
          </w:p>
        </w:tc>
        <w:tc>
          <w:tcPr>
            <w:tcW w:w="1687"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0.25%</w:t>
            </w:r>
          </w:p>
        </w:tc>
        <w:tc>
          <w:tcPr>
            <w:tcW w:w="1659"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5000万元～1亿元</w:t>
            </w:r>
          </w:p>
        </w:tc>
        <w:tc>
          <w:tcPr>
            <w:tcW w:w="1659"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0.25%</w:t>
            </w:r>
          </w:p>
        </w:tc>
        <w:tc>
          <w:tcPr>
            <w:tcW w:w="1687"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0.1%</w:t>
            </w:r>
          </w:p>
        </w:tc>
        <w:tc>
          <w:tcPr>
            <w:tcW w:w="1659" w:type="dxa"/>
            <w:vAlign w:val="center"/>
          </w:tcPr>
          <w:p>
            <w:pPr>
              <w:spacing w:before="120" w:line="360" w:lineRule="auto"/>
              <w:ind w:firstLine="240" w:firstLineChars="100"/>
              <w:jc w:val="center"/>
              <w:rPr>
                <w:rFonts w:ascii="宋体" w:hAnsi="宋体" w:cs="宋体"/>
                <w:sz w:val="24"/>
              </w:rPr>
            </w:pPr>
            <w:r>
              <w:rPr>
                <w:rFonts w:hint="eastAsia" w:ascii="宋体" w:hAnsi="宋体" w:cs="宋体"/>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1～5亿元</w:t>
            </w:r>
          </w:p>
        </w:tc>
        <w:tc>
          <w:tcPr>
            <w:tcW w:w="1659" w:type="dxa"/>
            <w:vAlign w:val="center"/>
          </w:tcPr>
          <w:p>
            <w:pPr>
              <w:spacing w:before="120" w:line="360" w:lineRule="auto"/>
              <w:ind w:firstLine="240" w:firstLineChars="100"/>
              <w:jc w:val="center"/>
              <w:rPr>
                <w:rFonts w:ascii="宋体" w:hAnsi="宋体" w:cs="宋体"/>
                <w:sz w:val="24"/>
              </w:rPr>
            </w:pPr>
            <w:r>
              <w:rPr>
                <w:rFonts w:hint="eastAsia" w:ascii="宋体" w:hAnsi="宋体" w:cs="宋体"/>
                <w:sz w:val="24"/>
              </w:rPr>
              <w:t>0.05%</w:t>
            </w:r>
          </w:p>
        </w:tc>
        <w:tc>
          <w:tcPr>
            <w:tcW w:w="1687" w:type="dxa"/>
            <w:vAlign w:val="center"/>
          </w:tcPr>
          <w:p>
            <w:pPr>
              <w:spacing w:before="120" w:line="360" w:lineRule="auto"/>
              <w:jc w:val="center"/>
              <w:rPr>
                <w:rFonts w:ascii="宋体" w:hAnsi="宋体" w:cs="宋体"/>
                <w:sz w:val="24"/>
              </w:rPr>
            </w:pPr>
            <w:r>
              <w:rPr>
                <w:rFonts w:hint="eastAsia" w:ascii="宋体" w:hAnsi="宋体" w:cs="宋体"/>
                <w:sz w:val="24"/>
              </w:rPr>
              <w:t>0.05%</w:t>
            </w:r>
          </w:p>
        </w:tc>
        <w:tc>
          <w:tcPr>
            <w:tcW w:w="1659" w:type="dxa"/>
            <w:vAlign w:val="center"/>
          </w:tcPr>
          <w:p>
            <w:pPr>
              <w:spacing w:before="120" w:line="360" w:lineRule="auto"/>
              <w:jc w:val="center"/>
              <w:rPr>
                <w:rFonts w:ascii="宋体" w:hAnsi="宋体" w:cs="宋体"/>
                <w:sz w:val="24"/>
              </w:rPr>
            </w:pPr>
            <w:r>
              <w:rPr>
                <w:rFonts w:hint="eastAsia" w:ascii="宋体" w:hAnsi="宋体" w:cs="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5～10亿元</w:t>
            </w:r>
          </w:p>
        </w:tc>
        <w:tc>
          <w:tcPr>
            <w:tcW w:w="1659" w:type="dxa"/>
            <w:vAlign w:val="center"/>
          </w:tcPr>
          <w:p>
            <w:pPr>
              <w:spacing w:before="120" w:line="360" w:lineRule="auto"/>
              <w:ind w:firstLine="120" w:firstLineChars="50"/>
              <w:jc w:val="center"/>
              <w:rPr>
                <w:rFonts w:ascii="宋体" w:hAnsi="宋体" w:cs="宋体"/>
                <w:sz w:val="24"/>
              </w:rPr>
            </w:pPr>
            <w:r>
              <w:rPr>
                <w:rFonts w:hint="eastAsia" w:ascii="宋体" w:hAnsi="宋体" w:cs="宋体"/>
                <w:sz w:val="24"/>
              </w:rPr>
              <w:t>0.035%</w:t>
            </w:r>
          </w:p>
        </w:tc>
        <w:tc>
          <w:tcPr>
            <w:tcW w:w="1687" w:type="dxa"/>
            <w:vAlign w:val="center"/>
          </w:tcPr>
          <w:p>
            <w:pPr>
              <w:spacing w:before="120" w:line="360" w:lineRule="auto"/>
              <w:jc w:val="center"/>
              <w:rPr>
                <w:rFonts w:ascii="宋体" w:hAnsi="宋体" w:cs="宋体"/>
                <w:sz w:val="24"/>
              </w:rPr>
            </w:pPr>
            <w:r>
              <w:rPr>
                <w:rFonts w:hint="eastAsia" w:ascii="宋体" w:hAnsi="宋体" w:cs="宋体"/>
                <w:sz w:val="24"/>
              </w:rPr>
              <w:t>0.035%</w:t>
            </w:r>
          </w:p>
        </w:tc>
        <w:tc>
          <w:tcPr>
            <w:tcW w:w="1659" w:type="dxa"/>
            <w:vAlign w:val="center"/>
          </w:tcPr>
          <w:p>
            <w:pPr>
              <w:spacing w:before="120" w:line="360" w:lineRule="auto"/>
              <w:ind w:firstLine="120" w:firstLineChars="50"/>
              <w:jc w:val="center"/>
              <w:rPr>
                <w:rFonts w:ascii="宋体" w:hAnsi="宋体" w:cs="宋体"/>
                <w:sz w:val="24"/>
              </w:rPr>
            </w:pPr>
            <w:r>
              <w:rPr>
                <w:rFonts w:hint="eastAsia" w:ascii="宋体" w:hAnsi="宋体" w:cs="宋体"/>
                <w:sz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10～50亿元</w:t>
            </w:r>
          </w:p>
        </w:tc>
        <w:tc>
          <w:tcPr>
            <w:tcW w:w="1659" w:type="dxa"/>
            <w:vAlign w:val="center"/>
          </w:tcPr>
          <w:p>
            <w:pPr>
              <w:spacing w:before="120" w:line="360" w:lineRule="auto"/>
              <w:ind w:firstLine="120" w:firstLineChars="50"/>
              <w:jc w:val="center"/>
              <w:rPr>
                <w:rFonts w:ascii="宋体" w:hAnsi="宋体" w:cs="宋体"/>
                <w:sz w:val="24"/>
              </w:rPr>
            </w:pPr>
            <w:r>
              <w:rPr>
                <w:rFonts w:hint="eastAsia" w:ascii="宋体" w:hAnsi="宋体" w:cs="宋体"/>
                <w:sz w:val="24"/>
              </w:rPr>
              <w:t>0.008%</w:t>
            </w:r>
          </w:p>
        </w:tc>
        <w:tc>
          <w:tcPr>
            <w:tcW w:w="1687" w:type="dxa"/>
            <w:vAlign w:val="center"/>
          </w:tcPr>
          <w:p>
            <w:pPr>
              <w:spacing w:before="120" w:line="360" w:lineRule="auto"/>
              <w:ind w:firstLine="240" w:firstLineChars="100"/>
              <w:jc w:val="center"/>
              <w:rPr>
                <w:rFonts w:ascii="宋体" w:hAnsi="宋体" w:cs="宋体"/>
                <w:sz w:val="24"/>
              </w:rPr>
            </w:pPr>
            <w:r>
              <w:rPr>
                <w:rFonts w:hint="eastAsia" w:ascii="宋体" w:hAnsi="宋体" w:cs="宋体"/>
                <w:sz w:val="24"/>
              </w:rPr>
              <w:t>0.008%</w:t>
            </w:r>
          </w:p>
        </w:tc>
        <w:tc>
          <w:tcPr>
            <w:tcW w:w="1659" w:type="dxa"/>
            <w:vAlign w:val="center"/>
          </w:tcPr>
          <w:p>
            <w:pPr>
              <w:spacing w:before="120" w:line="360" w:lineRule="auto"/>
              <w:ind w:firstLine="120" w:firstLineChars="50"/>
              <w:jc w:val="center"/>
              <w:rPr>
                <w:rFonts w:ascii="宋体" w:hAnsi="宋体" w:cs="宋体"/>
                <w:sz w:val="24"/>
              </w:rPr>
            </w:pPr>
            <w:r>
              <w:rPr>
                <w:rFonts w:hint="eastAsia" w:ascii="宋体" w:hAnsi="宋体" w:cs="宋体"/>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50～100亿元</w:t>
            </w:r>
          </w:p>
        </w:tc>
        <w:tc>
          <w:tcPr>
            <w:tcW w:w="1659" w:type="dxa"/>
            <w:vAlign w:val="center"/>
          </w:tcPr>
          <w:p>
            <w:pPr>
              <w:spacing w:before="120" w:line="360" w:lineRule="auto"/>
              <w:jc w:val="center"/>
              <w:rPr>
                <w:rFonts w:ascii="宋体" w:hAnsi="宋体" w:cs="宋体"/>
                <w:sz w:val="24"/>
              </w:rPr>
            </w:pPr>
            <w:r>
              <w:rPr>
                <w:rFonts w:hint="eastAsia" w:ascii="宋体" w:hAnsi="宋体" w:cs="宋体"/>
                <w:sz w:val="24"/>
              </w:rPr>
              <w:t>0.006%</w:t>
            </w:r>
          </w:p>
        </w:tc>
        <w:tc>
          <w:tcPr>
            <w:tcW w:w="1687" w:type="dxa"/>
            <w:vAlign w:val="center"/>
          </w:tcPr>
          <w:p>
            <w:pPr>
              <w:spacing w:before="120" w:line="360" w:lineRule="auto"/>
              <w:ind w:firstLine="240" w:firstLineChars="100"/>
              <w:jc w:val="center"/>
              <w:rPr>
                <w:rFonts w:ascii="宋体" w:hAnsi="宋体" w:cs="宋体"/>
                <w:sz w:val="24"/>
              </w:rPr>
            </w:pPr>
            <w:r>
              <w:rPr>
                <w:rFonts w:hint="eastAsia" w:ascii="宋体" w:hAnsi="宋体" w:cs="宋体"/>
                <w:sz w:val="24"/>
              </w:rPr>
              <w:t>0.006%</w:t>
            </w:r>
          </w:p>
        </w:tc>
        <w:tc>
          <w:tcPr>
            <w:tcW w:w="1659" w:type="dxa"/>
            <w:vAlign w:val="center"/>
          </w:tcPr>
          <w:p>
            <w:pPr>
              <w:spacing w:before="120" w:line="360" w:lineRule="auto"/>
              <w:ind w:firstLine="120" w:firstLineChars="50"/>
              <w:jc w:val="center"/>
              <w:rPr>
                <w:rFonts w:ascii="宋体" w:hAnsi="宋体" w:cs="宋体"/>
                <w:sz w:val="24"/>
              </w:rPr>
            </w:pPr>
            <w:r>
              <w:rPr>
                <w:rFonts w:hint="eastAsia" w:ascii="宋体" w:hAnsi="宋体" w:cs="宋体"/>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vAlign w:val="center"/>
          </w:tcPr>
          <w:p>
            <w:pPr>
              <w:spacing w:before="120" w:line="360" w:lineRule="auto"/>
              <w:jc w:val="center"/>
              <w:rPr>
                <w:rFonts w:ascii="宋体" w:hAnsi="宋体" w:cs="宋体"/>
                <w:sz w:val="24"/>
              </w:rPr>
            </w:pPr>
            <w:r>
              <w:rPr>
                <w:rFonts w:hint="eastAsia" w:ascii="宋体" w:hAnsi="宋体" w:cs="宋体"/>
                <w:sz w:val="24"/>
              </w:rPr>
              <w:t>100亿以上</w:t>
            </w:r>
          </w:p>
        </w:tc>
        <w:tc>
          <w:tcPr>
            <w:tcW w:w="1659" w:type="dxa"/>
            <w:vAlign w:val="center"/>
          </w:tcPr>
          <w:p>
            <w:pPr>
              <w:spacing w:before="120" w:line="360" w:lineRule="auto"/>
              <w:jc w:val="center"/>
              <w:rPr>
                <w:rFonts w:ascii="宋体" w:hAnsi="宋体" w:cs="宋体"/>
                <w:sz w:val="24"/>
              </w:rPr>
            </w:pPr>
            <w:r>
              <w:rPr>
                <w:rFonts w:hint="eastAsia" w:ascii="宋体" w:hAnsi="宋体" w:cs="宋体"/>
                <w:sz w:val="24"/>
              </w:rPr>
              <w:t>0.004%</w:t>
            </w:r>
          </w:p>
        </w:tc>
        <w:tc>
          <w:tcPr>
            <w:tcW w:w="1687" w:type="dxa"/>
            <w:vAlign w:val="center"/>
          </w:tcPr>
          <w:p>
            <w:pPr>
              <w:spacing w:before="120" w:line="360" w:lineRule="auto"/>
              <w:ind w:firstLine="240" w:firstLineChars="100"/>
              <w:jc w:val="center"/>
              <w:rPr>
                <w:rFonts w:ascii="宋体" w:hAnsi="宋体" w:cs="宋体"/>
                <w:sz w:val="24"/>
              </w:rPr>
            </w:pPr>
            <w:r>
              <w:rPr>
                <w:rFonts w:hint="eastAsia" w:ascii="宋体" w:hAnsi="宋体" w:cs="宋体"/>
                <w:sz w:val="24"/>
              </w:rPr>
              <w:t>0.004%</w:t>
            </w:r>
          </w:p>
        </w:tc>
        <w:tc>
          <w:tcPr>
            <w:tcW w:w="1659" w:type="dxa"/>
            <w:vAlign w:val="center"/>
          </w:tcPr>
          <w:p>
            <w:pPr>
              <w:spacing w:before="120" w:line="360" w:lineRule="auto"/>
              <w:ind w:firstLine="120" w:firstLineChars="50"/>
              <w:jc w:val="center"/>
              <w:rPr>
                <w:rFonts w:ascii="宋体" w:hAnsi="宋体" w:cs="宋体"/>
                <w:sz w:val="24"/>
              </w:rPr>
            </w:pPr>
            <w:r>
              <w:rPr>
                <w:rFonts w:hint="eastAsia" w:ascii="宋体" w:hAnsi="宋体" w:cs="宋体"/>
                <w:sz w:val="24"/>
              </w:rPr>
              <w:t>0.004%</w:t>
            </w:r>
          </w:p>
        </w:tc>
      </w:tr>
    </w:tbl>
    <w:p>
      <w:pPr>
        <w:spacing w:before="120" w:line="360" w:lineRule="auto"/>
        <w:ind w:firstLine="480" w:firstLineChars="200"/>
        <w:rPr>
          <w:rFonts w:ascii="宋体" w:hAnsi="宋体" w:cs="宋体"/>
          <w:sz w:val="24"/>
        </w:rPr>
      </w:pPr>
      <w:r>
        <w:rPr>
          <w:rFonts w:hint="eastAsia" w:ascii="宋体" w:hAnsi="宋体" w:cs="宋体"/>
          <w:sz w:val="24"/>
        </w:rPr>
        <w:t xml:space="preserve">注： </w:t>
      </w:r>
    </w:p>
    <w:p>
      <w:pPr>
        <w:spacing w:before="120" w:line="360" w:lineRule="auto"/>
        <w:ind w:firstLine="482" w:firstLineChars="200"/>
        <w:rPr>
          <w:rFonts w:ascii="宋体" w:hAnsi="宋体" w:cs="宋体"/>
          <w:b/>
          <w:bCs/>
          <w:sz w:val="24"/>
        </w:rPr>
      </w:pPr>
      <w:r>
        <w:rPr>
          <w:rFonts w:hint="eastAsia" w:ascii="宋体" w:hAnsi="宋体" w:cs="宋体"/>
          <w:b/>
          <w:bCs/>
          <w:sz w:val="24"/>
        </w:rPr>
        <w:t>（1）按本表费率计算的收费下浮20%为采购代理的收费基准价格；</w:t>
      </w:r>
    </w:p>
    <w:p>
      <w:pPr>
        <w:spacing w:before="120" w:line="360" w:lineRule="auto"/>
        <w:ind w:firstLine="480" w:firstLineChars="200"/>
        <w:rPr>
          <w:rFonts w:ascii="宋体" w:hAnsi="宋体" w:cs="宋体"/>
          <w:sz w:val="24"/>
        </w:rPr>
      </w:pPr>
      <w:r>
        <w:rPr>
          <w:rFonts w:hint="eastAsia" w:ascii="宋体" w:hAnsi="宋体" w:cs="宋体"/>
          <w:sz w:val="24"/>
        </w:rPr>
        <w:t>（2）采购代理收费按差额定率累进法计算。</w:t>
      </w:r>
    </w:p>
    <w:p>
      <w:pPr>
        <w:spacing w:before="120" w:line="360" w:lineRule="auto"/>
        <w:ind w:firstLine="480" w:firstLineChars="200"/>
        <w:rPr>
          <w:rFonts w:ascii="宋体" w:hAnsi="宋体" w:cs="宋体"/>
          <w:sz w:val="24"/>
        </w:rPr>
      </w:pPr>
      <w:r>
        <w:rPr>
          <w:rFonts w:hint="eastAsia" w:ascii="宋体" w:hAnsi="宋体" w:cs="宋体"/>
          <w:sz w:val="24"/>
        </w:rPr>
        <w:t>例如：某货物采购代理业务中标金额或者暂定价为200万元，计算采购代理收费额如下：</w:t>
      </w:r>
    </w:p>
    <w:p>
      <w:pPr>
        <w:spacing w:before="120" w:line="360" w:lineRule="auto"/>
        <w:ind w:firstLine="480" w:firstLineChars="200"/>
        <w:rPr>
          <w:rFonts w:ascii="宋体" w:hAnsi="宋体" w:cs="宋体"/>
          <w:sz w:val="24"/>
        </w:rPr>
      </w:pPr>
      <w:r>
        <w:rPr>
          <w:rFonts w:hint="eastAsia" w:ascii="宋体" w:hAnsi="宋体" w:cs="宋体"/>
          <w:sz w:val="24"/>
        </w:rPr>
        <w:t>100 万元×l.5 ％＝ 1.5 万元</w:t>
      </w:r>
    </w:p>
    <w:p>
      <w:pPr>
        <w:spacing w:before="120" w:line="360" w:lineRule="auto"/>
        <w:ind w:firstLine="480" w:firstLineChars="200"/>
        <w:rPr>
          <w:rFonts w:ascii="宋体" w:hAnsi="宋体" w:cs="宋体"/>
          <w:sz w:val="24"/>
        </w:rPr>
      </w:pPr>
      <w:r>
        <w:rPr>
          <w:rFonts w:hint="eastAsia" w:ascii="宋体" w:hAnsi="宋体" w:cs="宋体"/>
          <w:sz w:val="24"/>
        </w:rPr>
        <w:t>（ 200 － 100 ）万元 ×1.1％＝1.1万元</w:t>
      </w:r>
    </w:p>
    <w:p>
      <w:pPr>
        <w:spacing w:before="120" w:line="360" w:lineRule="auto"/>
        <w:ind w:firstLine="480" w:firstLineChars="200"/>
        <w:rPr>
          <w:rFonts w:ascii="宋体" w:hAnsi="宋体" w:cs="宋体"/>
          <w:sz w:val="24"/>
        </w:rPr>
      </w:pPr>
      <w:r>
        <w:rPr>
          <w:rFonts w:hint="eastAsia" w:ascii="宋体" w:hAnsi="宋体" w:cs="宋体"/>
          <w:sz w:val="24"/>
        </w:rPr>
        <w:t>合计收费＝ （1.5+1.1）×（1-20％）＝ 2.08 （万元）</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40. 需要补充的其他内容</w:t>
      </w:r>
    </w:p>
    <w:p>
      <w:pPr>
        <w:pStyle w:val="25"/>
        <w:spacing w:before="120" w:after="120" w:line="360" w:lineRule="auto"/>
        <w:ind w:firstLine="480" w:firstLineChars="200"/>
        <w:contextualSpacing/>
        <w:rPr>
          <w:rFonts w:hAnsi="宋体" w:cs="宋体"/>
          <w:sz w:val="24"/>
          <w:szCs w:val="24"/>
        </w:rPr>
      </w:pPr>
      <w:r>
        <w:rPr>
          <w:rFonts w:hint="eastAsia" w:hAnsi="宋体" w:cs="宋体"/>
          <w:sz w:val="24"/>
          <w:szCs w:val="24"/>
        </w:rPr>
        <w:t>40.1本招标文件解释规则详见“投标人须知前附表”。</w:t>
      </w:r>
    </w:p>
    <w:p>
      <w:pPr>
        <w:pStyle w:val="25"/>
        <w:spacing w:before="120" w:after="120" w:line="360" w:lineRule="auto"/>
        <w:ind w:firstLine="480" w:firstLineChars="200"/>
        <w:contextualSpacing/>
        <w:rPr>
          <w:rFonts w:hAnsi="宋体" w:cs="宋体"/>
          <w:sz w:val="24"/>
          <w:szCs w:val="24"/>
        </w:rPr>
      </w:pPr>
      <w:r>
        <w:rPr>
          <w:rFonts w:hint="eastAsia" w:hAnsi="宋体" w:cs="宋体"/>
          <w:sz w:val="24"/>
          <w:szCs w:val="24"/>
        </w:rPr>
        <w:t>40.2 其他事项详见“投标人须知前附表”。</w:t>
      </w:r>
    </w:p>
    <w:p>
      <w:pPr>
        <w:pStyle w:val="25"/>
        <w:spacing w:before="120" w:after="120" w:line="360" w:lineRule="auto"/>
        <w:ind w:firstLine="480" w:firstLineChars="200"/>
        <w:contextualSpacing/>
        <w:rPr>
          <w:rFonts w:hAnsi="宋体" w:cs="宋体"/>
          <w:sz w:val="24"/>
          <w:szCs w:val="24"/>
        </w:rPr>
      </w:pPr>
      <w:r>
        <w:rPr>
          <w:rFonts w:hint="eastAsia" w:hAnsi="宋体" w:cs="宋体"/>
          <w:sz w:val="24"/>
          <w:szCs w:val="24"/>
        </w:rPr>
        <w:t>40.3</w:t>
      </w:r>
      <w:bookmarkStart w:id="134" w:name="_Hlk65857140"/>
      <w:r>
        <w:rPr>
          <w:rFonts w:hint="eastAsia" w:hAnsi="宋体" w:cs="宋体"/>
          <w:sz w:val="24"/>
          <w:szCs w:val="24"/>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5"/>
        <w:spacing w:before="120" w:after="120" w:line="360" w:lineRule="auto"/>
        <w:ind w:firstLine="480" w:firstLineChars="200"/>
        <w:contextualSpacing/>
        <w:rPr>
          <w:rFonts w:hAnsi="宋体" w:cs="宋体"/>
          <w:sz w:val="24"/>
          <w:szCs w:val="24"/>
        </w:rPr>
      </w:pPr>
      <w:r>
        <w:rPr>
          <w:rFonts w:hint="eastAsia" w:hAnsi="宋体" w:cs="宋体"/>
          <w:sz w:val="24"/>
          <w:szCs w:val="24"/>
        </w:rPr>
        <w:t>（1）在货物采购项目中，货物由中小企业制造，即货物由中小企业生产且使用该中小企业商号或者注册商标，不对其中涉及的工程承建商和服务的承接商作出要求；</w:t>
      </w:r>
    </w:p>
    <w:p>
      <w:pPr>
        <w:pStyle w:val="25"/>
        <w:spacing w:before="120" w:after="120" w:line="360" w:lineRule="auto"/>
        <w:ind w:firstLine="480" w:firstLineChars="200"/>
        <w:contextualSpacing/>
        <w:rPr>
          <w:rFonts w:hAnsi="宋体" w:cs="宋体"/>
          <w:sz w:val="24"/>
          <w:szCs w:val="24"/>
        </w:rPr>
      </w:pPr>
      <w:r>
        <w:rPr>
          <w:rFonts w:hint="eastAsia" w:hAnsi="宋体" w:cs="宋体"/>
          <w:sz w:val="24"/>
          <w:szCs w:val="24"/>
        </w:rPr>
        <w:t>（2）在工程采购项目中，工程由中小企业承建，即工程施工单位为中小企业，不对其中涉及的货物的制造商和服务的承接商作出要求；</w:t>
      </w:r>
    </w:p>
    <w:p>
      <w:pPr>
        <w:pStyle w:val="25"/>
        <w:spacing w:before="120" w:after="120" w:line="360" w:lineRule="auto"/>
        <w:ind w:firstLine="480" w:firstLineChars="200"/>
        <w:contextualSpacing/>
        <w:rPr>
          <w:rFonts w:hAnsi="宋体" w:cs="宋体"/>
          <w:sz w:val="24"/>
          <w:szCs w:val="24"/>
        </w:rPr>
      </w:pPr>
      <w:r>
        <w:rPr>
          <w:rFonts w:hint="eastAsia" w:hAnsi="宋体" w:cs="宋体"/>
          <w:sz w:val="24"/>
          <w:szCs w:val="24"/>
        </w:rPr>
        <w:t>（3）在服务采购项目中，服务由中小企业承接，即提供服务的人员为中小企业依照《中华人民共和国劳动合同法》订立劳动合同的从业人员，不对其中涉及的货物的制造商和工程承建商作出要求。</w:t>
      </w:r>
    </w:p>
    <w:p>
      <w:pPr>
        <w:pStyle w:val="25"/>
        <w:spacing w:before="120" w:after="120" w:line="360" w:lineRule="auto"/>
        <w:ind w:firstLine="480" w:firstLineChars="200"/>
        <w:contextualSpacing/>
        <w:rPr>
          <w:rFonts w:hAnsi="宋体" w:cs="宋体"/>
          <w:sz w:val="24"/>
          <w:szCs w:val="24"/>
        </w:rPr>
      </w:pPr>
      <w:r>
        <w:rPr>
          <w:rFonts w:hint="eastAsia" w:hAnsi="宋体" w:cs="宋体"/>
          <w:sz w:val="24"/>
          <w:szCs w:val="24"/>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5"/>
        <w:spacing w:before="120" w:after="120" w:line="360" w:lineRule="auto"/>
        <w:ind w:firstLine="480" w:firstLineChars="200"/>
        <w:contextualSpacing/>
        <w:rPr>
          <w:rFonts w:hAnsi="宋体" w:cs="宋体"/>
          <w:sz w:val="24"/>
          <w:szCs w:val="24"/>
        </w:rPr>
      </w:pPr>
      <w:r>
        <w:rPr>
          <w:rFonts w:hint="eastAsia" w:hAnsi="宋体" w:cs="宋体"/>
          <w:sz w:val="24"/>
          <w:szCs w:val="24"/>
        </w:rPr>
        <w:t>依据本招标文件规定享受扶持政策获得政府采购合同的，小微企业不得将合同分包给大中型企业，中型企业不得将合同分包给大型企业。</w:t>
      </w:r>
      <w:bookmarkEnd w:id="134"/>
    </w:p>
    <w:p>
      <w:pPr>
        <w:pStyle w:val="3"/>
      </w:pPr>
      <w:r>
        <w:rPr>
          <w:rFonts w:hint="eastAsia"/>
        </w:rPr>
        <w:br w:type="page"/>
      </w:r>
    </w:p>
    <w:p>
      <w:pPr>
        <w:pStyle w:val="4"/>
        <w:spacing w:before="120"/>
        <w:ind w:firstLine="880"/>
        <w:jc w:val="center"/>
        <w:rPr>
          <w:rFonts w:ascii="宋体" w:hAnsi="宋体" w:cs="宋体"/>
        </w:rPr>
      </w:pPr>
      <w:bookmarkStart w:id="135" w:name="_Toc330456896"/>
      <w:bookmarkStart w:id="136" w:name="_Toc254970689"/>
      <w:bookmarkStart w:id="137" w:name="_Toc74320803"/>
      <w:bookmarkStart w:id="138" w:name="_Toc254970548"/>
      <w:r>
        <w:rPr>
          <w:rFonts w:hint="eastAsia" w:ascii="宋体" w:hAnsi="宋体" w:cs="宋体"/>
        </w:rPr>
        <w:t>第四章  评标方法及评标标准</w:t>
      </w:r>
      <w:bookmarkEnd w:id="135"/>
      <w:bookmarkEnd w:id="136"/>
      <w:bookmarkEnd w:id="137"/>
      <w:bookmarkEnd w:id="138"/>
    </w:p>
    <w:p>
      <w:pPr>
        <w:pStyle w:val="6"/>
        <w:keepNext w:val="0"/>
        <w:keepLines w:val="0"/>
        <w:spacing w:before="120"/>
        <w:ind w:firstLine="600"/>
        <w:jc w:val="center"/>
        <w:rPr>
          <w:rFonts w:ascii="宋体" w:hAnsi="宋体" w:cs="宋体"/>
          <w:sz w:val="30"/>
          <w:szCs w:val="30"/>
        </w:rPr>
      </w:pPr>
      <w:bookmarkStart w:id="139" w:name="_Toc254970549"/>
      <w:bookmarkEnd w:id="139"/>
      <w:bookmarkStart w:id="140" w:name="_Toc254970690"/>
      <w:bookmarkEnd w:id="140"/>
      <w:r>
        <w:rPr>
          <w:rFonts w:hint="eastAsia" w:ascii="宋体" w:hAnsi="宋体" w:cs="宋体"/>
          <w:sz w:val="30"/>
          <w:szCs w:val="30"/>
        </w:rPr>
        <w:t>一、评标方法</w:t>
      </w:r>
    </w:p>
    <w:p>
      <w:pPr>
        <w:pStyle w:val="25"/>
        <w:spacing w:before="120" w:line="360" w:lineRule="auto"/>
        <w:ind w:firstLine="482"/>
        <w:rPr>
          <w:rFonts w:hAnsi="宋体" w:cs="宋体"/>
          <w:sz w:val="24"/>
          <w:szCs w:val="24"/>
        </w:rPr>
      </w:pPr>
      <w:r>
        <w:rPr>
          <w:rFonts w:hint="eastAsia" w:hAnsi="宋体" w:cs="宋体"/>
          <w:sz w:val="24"/>
          <w:szCs w:val="24"/>
        </w:rPr>
        <w:t>综合评分法，是指投标文件满足招标文件全部实质性要求，且按照评审因素的量化指标评审得分最高的投标人为中标候选人的评标方法。</w:t>
      </w:r>
    </w:p>
    <w:p>
      <w:pPr>
        <w:pStyle w:val="6"/>
        <w:keepNext w:val="0"/>
        <w:keepLines w:val="0"/>
        <w:spacing w:before="120"/>
        <w:ind w:firstLine="600"/>
        <w:jc w:val="center"/>
        <w:rPr>
          <w:rFonts w:ascii="宋体" w:hAnsi="宋体" w:cs="宋体"/>
          <w:sz w:val="30"/>
          <w:szCs w:val="30"/>
        </w:rPr>
      </w:pPr>
      <w:r>
        <w:rPr>
          <w:rFonts w:hint="eastAsia" w:ascii="宋体" w:hAnsi="宋体" w:cs="宋体"/>
          <w:sz w:val="30"/>
          <w:szCs w:val="30"/>
        </w:rPr>
        <w:t>二、评标程序</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1.符合性审查</w:t>
      </w:r>
    </w:p>
    <w:p>
      <w:pPr>
        <w:pStyle w:val="25"/>
        <w:snapToGrid w:val="0"/>
        <w:spacing w:before="120" w:line="360" w:lineRule="auto"/>
        <w:ind w:left="1" w:firstLine="480"/>
        <w:rPr>
          <w:rFonts w:hAnsi="宋体" w:cs="宋体"/>
          <w:b/>
          <w:kern w:val="2"/>
          <w:sz w:val="24"/>
          <w:szCs w:val="24"/>
        </w:rPr>
      </w:pPr>
      <w:r>
        <w:rPr>
          <w:rFonts w:hint="eastAsia" w:hAnsi="宋体" w:cs="宋体"/>
          <w:b/>
          <w:kern w:val="2"/>
          <w:sz w:val="24"/>
          <w:szCs w:val="24"/>
        </w:rPr>
        <w:t>评标委员会应当对符合资格的投标人的投标文件进行投标报价、商务、技术等实质性内容符合性审查，以确定其是否满足招标文件的实质性要求。</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2.符合性审查不通过而导致投标无效的情形</w:t>
      </w:r>
    </w:p>
    <w:p>
      <w:pPr>
        <w:snapToGrid w:val="0"/>
        <w:spacing w:before="120" w:line="360" w:lineRule="auto"/>
        <w:ind w:firstLine="482" w:firstLineChars="200"/>
        <w:rPr>
          <w:rFonts w:ascii="宋体" w:hAnsi="宋体" w:cs="宋体"/>
          <w:b/>
          <w:sz w:val="24"/>
        </w:rPr>
      </w:pPr>
      <w:r>
        <w:rPr>
          <w:rFonts w:hint="eastAsia" w:ascii="宋体" w:hAnsi="宋体" w:cs="宋体"/>
          <w:b/>
          <w:sz w:val="24"/>
        </w:rPr>
        <w:t>投标人的投标文件中存在对招标文件的任何实质性要求和条件的负偏离，将被视为投标无效。</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2.1在报价评审时，如发现下列情形之一的，将被视为投标无效：</w:t>
      </w:r>
    </w:p>
    <w:p>
      <w:pPr>
        <w:pStyle w:val="9"/>
        <w:numPr>
          <w:ilvl w:val="0"/>
          <w:numId w:val="3"/>
        </w:numPr>
        <w:spacing w:before="120" w:line="360" w:lineRule="auto"/>
        <w:ind w:firstLine="458"/>
        <w:rPr>
          <w:rFonts w:ascii="宋体" w:hAnsi="宋体" w:cs="宋体"/>
          <w:bCs/>
          <w:sz w:val="24"/>
          <w:szCs w:val="24"/>
        </w:rPr>
      </w:pPr>
      <w:r>
        <w:rPr>
          <w:rFonts w:hint="eastAsia" w:ascii="宋体" w:hAnsi="宋体" w:cs="宋体"/>
          <w:bCs/>
          <w:spacing w:val="-6"/>
          <w:sz w:val="24"/>
          <w:szCs w:val="24"/>
        </w:rPr>
        <w:t>报价文件</w:t>
      </w:r>
      <w:r>
        <w:rPr>
          <w:rFonts w:hint="eastAsia" w:ascii="宋体" w:hAnsi="宋体" w:cs="宋体"/>
          <w:bCs/>
          <w:sz w:val="24"/>
          <w:szCs w:val="24"/>
        </w:rPr>
        <w:t>未提供“投标人须知前附表”第13.1条规定中“必须提供”的文件资料的；</w:t>
      </w:r>
    </w:p>
    <w:p>
      <w:pPr>
        <w:pStyle w:val="9"/>
        <w:numPr>
          <w:ilvl w:val="0"/>
          <w:numId w:val="3"/>
        </w:numPr>
        <w:spacing w:before="120" w:line="360" w:lineRule="auto"/>
        <w:ind w:firstLine="482"/>
        <w:rPr>
          <w:rFonts w:ascii="宋体" w:hAnsi="宋体" w:cs="宋体"/>
          <w:bCs/>
          <w:sz w:val="24"/>
          <w:szCs w:val="24"/>
        </w:rPr>
      </w:pPr>
      <w:r>
        <w:rPr>
          <w:rFonts w:hint="eastAsia" w:ascii="宋体" w:hAnsi="宋体" w:cs="宋体"/>
          <w:bCs/>
          <w:sz w:val="24"/>
          <w:szCs w:val="24"/>
        </w:rPr>
        <w:t>未采用人民币报价的或者未按照招标文件标明的币种报价的；</w:t>
      </w:r>
    </w:p>
    <w:p>
      <w:pPr>
        <w:pStyle w:val="9"/>
        <w:numPr>
          <w:ilvl w:val="0"/>
          <w:numId w:val="3"/>
        </w:numPr>
        <w:spacing w:before="120" w:line="360" w:lineRule="auto"/>
        <w:ind w:firstLine="482"/>
        <w:rPr>
          <w:rFonts w:ascii="宋体" w:hAnsi="宋体" w:cs="宋体"/>
          <w:bCs/>
          <w:sz w:val="24"/>
          <w:szCs w:val="24"/>
        </w:rPr>
      </w:pPr>
      <w:r>
        <w:rPr>
          <w:rFonts w:hint="eastAsia" w:ascii="宋体" w:hAnsi="宋体" w:cs="宋体"/>
          <w:bCs/>
          <w:sz w:val="24"/>
          <w:szCs w:val="24"/>
        </w:rPr>
        <w:t>各分标报价超出招标文件相应分标规定最高限价，或者超出相应分标采购预算金额的；</w:t>
      </w:r>
    </w:p>
    <w:p>
      <w:pPr>
        <w:pStyle w:val="9"/>
        <w:numPr>
          <w:ilvl w:val="0"/>
          <w:numId w:val="3"/>
        </w:numPr>
        <w:spacing w:before="120" w:line="360" w:lineRule="auto"/>
        <w:ind w:firstLine="482"/>
        <w:rPr>
          <w:rFonts w:ascii="宋体" w:hAnsi="宋体" w:cs="宋体"/>
          <w:bCs/>
          <w:sz w:val="24"/>
          <w:szCs w:val="24"/>
        </w:rPr>
      </w:pPr>
      <w:r>
        <w:rPr>
          <w:rFonts w:hint="eastAsia" w:ascii="宋体" w:hAnsi="宋体" w:cs="宋体"/>
          <w:bCs/>
          <w:sz w:val="24"/>
          <w:szCs w:val="24"/>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9"/>
        <w:numPr>
          <w:ilvl w:val="0"/>
          <w:numId w:val="3"/>
        </w:numPr>
        <w:spacing w:before="120" w:line="360" w:lineRule="auto"/>
        <w:ind w:firstLine="482"/>
        <w:rPr>
          <w:rFonts w:ascii="宋体" w:hAnsi="宋体" w:cs="宋体"/>
          <w:bCs/>
          <w:sz w:val="24"/>
          <w:szCs w:val="24"/>
        </w:rPr>
      </w:pPr>
      <w:r>
        <w:rPr>
          <w:rFonts w:hint="eastAsia" w:ascii="宋体" w:hAnsi="宋体" w:cs="宋体"/>
          <w:bCs/>
          <w:sz w:val="24"/>
          <w:szCs w:val="24"/>
        </w:rPr>
        <w:t>修正后的报价，投标人不确认的；</w:t>
      </w:r>
    </w:p>
    <w:p>
      <w:pPr>
        <w:pStyle w:val="9"/>
        <w:numPr>
          <w:ilvl w:val="0"/>
          <w:numId w:val="3"/>
        </w:numPr>
        <w:spacing w:before="120" w:line="360" w:lineRule="auto"/>
        <w:ind w:firstLine="482"/>
        <w:rPr>
          <w:rFonts w:ascii="宋体" w:hAnsi="宋体" w:cs="宋体"/>
          <w:bCs/>
          <w:sz w:val="24"/>
          <w:szCs w:val="24"/>
        </w:rPr>
      </w:pPr>
      <w:r>
        <w:rPr>
          <w:rFonts w:hint="eastAsia" w:ascii="宋体" w:hAnsi="宋体" w:cs="宋体"/>
          <w:bCs/>
          <w:sz w:val="24"/>
          <w:szCs w:val="24"/>
        </w:rPr>
        <w:t>投标人属于本章第5.1条（2）或者第5.2条（2）项情形的；</w:t>
      </w:r>
    </w:p>
    <w:p>
      <w:pPr>
        <w:pStyle w:val="9"/>
        <w:numPr>
          <w:ilvl w:val="0"/>
          <w:numId w:val="3"/>
        </w:numPr>
        <w:spacing w:before="120" w:line="360" w:lineRule="auto"/>
        <w:ind w:firstLine="458"/>
        <w:rPr>
          <w:rFonts w:ascii="宋体" w:hAnsi="宋体" w:cs="宋体"/>
          <w:bCs/>
          <w:sz w:val="24"/>
          <w:szCs w:val="24"/>
        </w:rPr>
      </w:pPr>
      <w:r>
        <w:rPr>
          <w:rFonts w:hint="eastAsia" w:ascii="宋体" w:hAnsi="宋体" w:cs="宋体"/>
          <w:bCs/>
          <w:spacing w:val="-6"/>
          <w:sz w:val="24"/>
          <w:szCs w:val="24"/>
        </w:rPr>
        <w:t>报价文件</w:t>
      </w:r>
      <w:r>
        <w:rPr>
          <w:rFonts w:hint="eastAsia" w:ascii="宋体" w:hAnsi="宋体" w:cs="宋体"/>
          <w:bCs/>
          <w:sz w:val="24"/>
          <w:szCs w:val="24"/>
        </w:rPr>
        <w:t>响应的标的数量及单位与招标文件要求实质性不一致的。</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2.2在商务评审时，如发现下列情形之一的，将被视为投标无效：</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投标文件未按招标文件要求签署、盖章的；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委托代理人未能出具有效身份证或者出具的身份证与授权委托书中的信息不符的；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为无效投标保证金的或者未按照招标文件的规定提交投标保证金的；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投标文件未提供“投标人须知前附表”第13.1条规定中“必须提供”或者“委托时必须提供”的文件资料的；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商务要求评审允许负偏离的条款数超过“投标人须知前附表”规定项数的；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投标文件的实质性内容未使用中文表述、使用计量单位不符合招标文件要求的；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投标文件中的文件资料因填写不齐全或者内容虚假或者出现其他情形而导致被评标委员会认定无效的；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投标文件含有采购人不能接受的附加条件的；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属于投标人须知正文第9.2条情形的；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投标文件标注的项目名称或者项目编号与招标文件标注的项目名称或者项目编号不一致的；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招标文件明确不允许分包，投标文件拟分包的；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未响应招标文件实质性要求的；</w:t>
      </w:r>
    </w:p>
    <w:p>
      <w:pPr>
        <w:numPr>
          <w:ilvl w:val="0"/>
          <w:numId w:val="4"/>
        </w:numPr>
        <w:snapToGrid w:val="0"/>
        <w:spacing w:before="120" w:line="360" w:lineRule="auto"/>
        <w:ind w:firstLine="480" w:firstLineChars="200"/>
        <w:rPr>
          <w:rFonts w:ascii="宋体" w:hAnsi="宋体" w:cs="宋体"/>
          <w:bCs/>
          <w:sz w:val="24"/>
        </w:rPr>
      </w:pPr>
      <w:r>
        <w:rPr>
          <w:rFonts w:hint="eastAsia" w:ascii="宋体" w:hAnsi="宋体" w:cs="宋体"/>
          <w:bCs/>
          <w:sz w:val="24"/>
        </w:rPr>
        <w:t>法律、法规和招标文件规定的其他无效情形。</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2.3在技术评审时，如发现下列情形之一的，将被视为投标无效：</w:t>
      </w:r>
    </w:p>
    <w:p>
      <w:pPr>
        <w:pStyle w:val="20"/>
        <w:snapToGrid w:val="0"/>
        <w:spacing w:before="120" w:line="360" w:lineRule="auto"/>
        <w:ind w:firstLine="470" w:firstLineChars="196"/>
        <w:rPr>
          <w:rFonts w:ascii="宋体" w:hAnsi="宋体" w:eastAsia="宋体" w:cs="宋体"/>
          <w:bCs/>
          <w:kern w:val="2"/>
          <w:sz w:val="24"/>
          <w:szCs w:val="24"/>
        </w:rPr>
      </w:pPr>
      <w:r>
        <w:rPr>
          <w:rFonts w:hint="eastAsia" w:ascii="宋体" w:hAnsi="宋体" w:eastAsia="宋体" w:cs="宋体"/>
          <w:bCs/>
          <w:kern w:val="2"/>
          <w:sz w:val="24"/>
          <w:szCs w:val="24"/>
        </w:rPr>
        <w:t>（1）技术要求评审允许负偏离的条款数超过“投标人须知前附表”规定项数的；</w:t>
      </w:r>
    </w:p>
    <w:p>
      <w:pPr>
        <w:pStyle w:val="20"/>
        <w:snapToGrid w:val="0"/>
        <w:spacing w:before="120" w:line="360" w:lineRule="auto"/>
        <w:ind w:firstLine="470" w:firstLineChars="196"/>
        <w:rPr>
          <w:rFonts w:ascii="宋体" w:hAnsi="宋体" w:eastAsia="宋体" w:cs="宋体"/>
          <w:bCs/>
          <w:kern w:val="2"/>
          <w:sz w:val="24"/>
          <w:szCs w:val="24"/>
        </w:rPr>
      </w:pPr>
      <w:r>
        <w:rPr>
          <w:rFonts w:hint="eastAsia" w:ascii="宋体" w:hAnsi="宋体" w:eastAsia="宋体" w:cs="宋体"/>
          <w:bCs/>
          <w:kern w:val="2"/>
          <w:sz w:val="24"/>
          <w:szCs w:val="24"/>
        </w:rPr>
        <w:t>（2）投标文件未提供“投标人须知前附表”第13.1条规定中“必须提供”的文件资料的；</w:t>
      </w:r>
    </w:p>
    <w:p>
      <w:pPr>
        <w:pStyle w:val="20"/>
        <w:snapToGrid w:val="0"/>
        <w:spacing w:before="120" w:line="360" w:lineRule="auto"/>
        <w:ind w:firstLine="470" w:firstLineChars="196"/>
        <w:rPr>
          <w:rFonts w:ascii="宋体" w:hAnsi="宋体" w:eastAsia="宋体" w:cs="宋体"/>
          <w:bCs/>
          <w:kern w:val="2"/>
          <w:sz w:val="24"/>
          <w:szCs w:val="24"/>
        </w:rPr>
      </w:pPr>
      <w:r>
        <w:rPr>
          <w:rFonts w:hint="eastAsia" w:ascii="宋体" w:hAnsi="宋体" w:eastAsia="宋体" w:cs="宋体"/>
          <w:bCs/>
          <w:kern w:val="2"/>
          <w:sz w:val="24"/>
          <w:szCs w:val="24"/>
        </w:rPr>
        <w:t>（3）虚假投标，或者出现其他情形而导致被评标委员会认定无效的；</w:t>
      </w:r>
    </w:p>
    <w:p>
      <w:pPr>
        <w:pStyle w:val="20"/>
        <w:snapToGrid w:val="0"/>
        <w:spacing w:before="120" w:line="360" w:lineRule="auto"/>
        <w:ind w:firstLine="470" w:firstLineChars="196"/>
        <w:rPr>
          <w:rFonts w:ascii="宋体" w:hAnsi="宋体" w:eastAsia="宋体" w:cs="宋体"/>
          <w:bCs/>
          <w:kern w:val="2"/>
          <w:sz w:val="24"/>
          <w:szCs w:val="24"/>
        </w:rPr>
      </w:pPr>
      <w:r>
        <w:rPr>
          <w:rFonts w:hint="eastAsia" w:ascii="宋体" w:hAnsi="宋体" w:eastAsia="宋体" w:cs="宋体"/>
          <w:bCs/>
          <w:kern w:val="2"/>
          <w:sz w:val="24"/>
          <w:szCs w:val="24"/>
        </w:rPr>
        <w:t>（4）</w:t>
      </w:r>
      <w:bookmarkStart w:id="141" w:name="_Hlk71706244"/>
      <w:r>
        <w:rPr>
          <w:rFonts w:hint="eastAsia" w:ascii="宋体" w:hAnsi="宋体" w:eastAsia="宋体" w:cs="宋体"/>
          <w:bCs/>
          <w:kern w:val="2"/>
          <w:sz w:val="24"/>
          <w:szCs w:val="24"/>
        </w:rPr>
        <w:t>招标文件未载明允许提供备选（替代）投标方案或明确不允许提供备选（替代）投标方案时，投标人提供了备选（替代）投标方案的；</w:t>
      </w:r>
      <w:bookmarkEnd w:id="141"/>
    </w:p>
    <w:p>
      <w:pPr>
        <w:pStyle w:val="20"/>
        <w:snapToGrid w:val="0"/>
        <w:spacing w:before="120" w:line="360" w:lineRule="auto"/>
        <w:ind w:firstLine="470" w:firstLineChars="196"/>
        <w:rPr>
          <w:rFonts w:ascii="宋体" w:hAnsi="宋体" w:eastAsia="宋体" w:cs="宋体"/>
          <w:bCs/>
          <w:kern w:val="2"/>
          <w:sz w:val="24"/>
          <w:szCs w:val="24"/>
        </w:rPr>
      </w:pPr>
      <w:r>
        <w:rPr>
          <w:rFonts w:hint="eastAsia" w:ascii="宋体" w:hAnsi="宋体" w:eastAsia="宋体" w:cs="宋体"/>
          <w:bCs/>
          <w:kern w:val="2"/>
          <w:sz w:val="24"/>
          <w:szCs w:val="24"/>
        </w:rPr>
        <w:t>（5）未响应招标文件实质性要求的。</w:t>
      </w:r>
    </w:p>
    <w:p>
      <w:pPr>
        <w:pStyle w:val="20"/>
        <w:snapToGrid w:val="0"/>
        <w:spacing w:before="120" w:line="360" w:lineRule="auto"/>
        <w:ind w:firstLine="472" w:firstLineChars="196"/>
        <w:rPr>
          <w:rFonts w:ascii="宋体" w:hAnsi="宋体" w:eastAsia="宋体" w:cs="宋体"/>
          <w:b/>
          <w:kern w:val="2"/>
          <w:sz w:val="24"/>
          <w:szCs w:val="24"/>
        </w:rPr>
      </w:pPr>
      <w:r>
        <w:rPr>
          <w:rFonts w:hint="eastAsia" w:ascii="宋体" w:hAnsi="宋体" w:eastAsia="宋体" w:cs="宋体"/>
          <w:b/>
          <w:kern w:val="2"/>
          <w:sz w:val="24"/>
          <w:szCs w:val="24"/>
        </w:rPr>
        <w:t>2.4通过符合性审查的投标人不足3家，评标委员会不得继续评标，并出具评标报告。</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3.澄清补正</w:t>
      </w:r>
    </w:p>
    <w:p>
      <w:pPr>
        <w:snapToGrid w:val="0"/>
        <w:spacing w:before="120" w:line="360" w:lineRule="auto"/>
        <w:ind w:firstLine="480" w:firstLineChars="200"/>
        <w:rPr>
          <w:rFonts w:ascii="宋体" w:hAnsi="宋体" w:cs="宋体"/>
          <w:sz w:val="24"/>
        </w:rPr>
      </w:pPr>
      <w:r>
        <w:rPr>
          <w:rFonts w:hint="eastAsia" w:ascii="宋体" w:hAnsi="宋体" w:cs="宋体"/>
          <w:sz w:val="24"/>
        </w:rPr>
        <w:t>对投标文件中含义不明确、同类问题表述不一致或者有明显文字和计算错误的内容，评标委员会以电子澄清函形式要求投标人在规定时间内作出必要的澄清、说明或者纠正。投标人的澄清、说明或者补正必须采用电子回函形式，并加盖投标人公章，或者由法定代表人或者其授权的代表签字。投标人的澄清、说明或者补正不得超出投标文件的范围或者改变投标文件的实质性内容。</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4.投标文件修正</w:t>
      </w:r>
    </w:p>
    <w:p>
      <w:pPr>
        <w:pStyle w:val="8"/>
        <w:keepNext w:val="0"/>
        <w:keepLines w:val="0"/>
        <w:spacing w:before="120" w:after="0" w:line="360" w:lineRule="auto"/>
        <w:ind w:left="420" w:leftChars="200" w:firstLine="482"/>
        <w:rPr>
          <w:rFonts w:ascii="宋体" w:hAnsi="宋体" w:cs="宋体"/>
          <w:b w:val="0"/>
          <w:sz w:val="24"/>
        </w:rPr>
      </w:pPr>
      <w:r>
        <w:rPr>
          <w:rFonts w:hint="eastAsia" w:ascii="宋体" w:hAnsi="宋体" w:cs="宋体"/>
          <w:b w:val="0"/>
          <w:sz w:val="24"/>
        </w:rPr>
        <w:t xml:space="preserve">4.1投标文件报价出现前后不一致的，按照下列规定修正： </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（1）投标文件中开标一览表（报价表）内容与投标文件中相应内容不一致的，以开标一览表（报价表）为准；</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（2）大写金额和小写金额不一致的，以大写金额为准；</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（3）单价金额小数点或者百分比有明显错位的，以开标一览表的总价为准，并修改单价；</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（4）总价金额与按单价汇总金额不一致的，以单价金额计算结果为准。</w:t>
      </w:r>
    </w:p>
    <w:p>
      <w:pPr>
        <w:pStyle w:val="25"/>
        <w:snapToGrid w:val="0"/>
        <w:spacing w:before="120" w:line="360" w:lineRule="auto"/>
        <w:ind w:firstLine="480" w:firstLineChars="200"/>
        <w:rPr>
          <w:rFonts w:hAnsi="宋体" w:cs="宋体"/>
          <w:sz w:val="24"/>
          <w:szCs w:val="24"/>
        </w:rPr>
      </w:pPr>
      <w:r>
        <w:rPr>
          <w:rFonts w:hint="eastAsia" w:hAnsi="宋体" w:cs="宋体"/>
          <w:sz w:val="24"/>
          <w:szCs w:val="24"/>
        </w:rPr>
        <w:t>同时出现两种以上不一致的，按照以上（1）-（4）规定的顺序修正。修正后的报价经投标人确认后产生约束力，投标人不确认的，</w:t>
      </w:r>
      <w:r>
        <w:rPr>
          <w:rFonts w:hint="eastAsia" w:hAnsi="宋体" w:cs="宋体"/>
          <w:b/>
          <w:kern w:val="2"/>
          <w:sz w:val="24"/>
          <w:szCs w:val="24"/>
        </w:rPr>
        <w:t>其投标无效</w:t>
      </w:r>
      <w:r>
        <w:rPr>
          <w:rFonts w:hint="eastAsia" w:hAnsi="宋体" w:cs="宋体"/>
          <w:sz w:val="24"/>
          <w:szCs w:val="24"/>
        </w:rPr>
        <w:t>。</w:t>
      </w:r>
    </w:p>
    <w:p>
      <w:pPr>
        <w:pStyle w:val="8"/>
        <w:keepNext w:val="0"/>
        <w:keepLines w:val="0"/>
        <w:spacing w:before="120" w:after="0" w:line="360" w:lineRule="auto"/>
        <w:ind w:firstLine="482"/>
        <w:rPr>
          <w:rFonts w:ascii="宋体" w:hAnsi="宋体" w:cs="宋体"/>
          <w:b w:val="0"/>
          <w:sz w:val="24"/>
        </w:rPr>
      </w:pPr>
      <w:r>
        <w:rPr>
          <w:rFonts w:hint="eastAsia" w:ascii="宋体" w:hAnsi="宋体" w:cs="宋体"/>
          <w:b w:val="0"/>
          <w:sz w:val="24"/>
        </w:rPr>
        <w:t xml:space="preserve">    4.2经投标人确认修正后的报价若超过采购预算金额或者最高限价，</w:t>
      </w:r>
      <w:r>
        <w:rPr>
          <w:rFonts w:hint="eastAsia" w:ascii="宋体" w:hAnsi="宋体" w:cs="宋体"/>
          <w:sz w:val="24"/>
        </w:rPr>
        <w:t>投标人的投标文件作无效投标处理</w:t>
      </w:r>
      <w:r>
        <w:rPr>
          <w:rFonts w:hint="eastAsia" w:ascii="宋体" w:hAnsi="宋体" w:cs="宋体"/>
          <w:b w:val="0"/>
          <w:sz w:val="24"/>
        </w:rPr>
        <w:t>。</w:t>
      </w:r>
    </w:p>
    <w:p>
      <w:pPr>
        <w:snapToGrid w:val="0"/>
        <w:spacing w:before="120" w:line="360" w:lineRule="auto"/>
        <w:ind w:firstLine="480" w:firstLineChars="200"/>
        <w:rPr>
          <w:rFonts w:ascii="宋体" w:hAnsi="宋体" w:cs="宋体"/>
          <w:sz w:val="24"/>
        </w:rPr>
      </w:pPr>
      <w:r>
        <w:rPr>
          <w:rFonts w:hint="eastAsia" w:ascii="宋体" w:hAnsi="宋体" w:cs="宋体"/>
          <w:sz w:val="24"/>
        </w:rPr>
        <w:t>4.3经投标人确认修正后的报价作为签订合同的依据，并以此报价计算价格分。</w:t>
      </w:r>
    </w:p>
    <w:p>
      <w:pPr>
        <w:pStyle w:val="8"/>
        <w:keepNext w:val="0"/>
        <w:keepLines w:val="0"/>
        <w:spacing w:before="120" w:after="0" w:line="360" w:lineRule="auto"/>
        <w:ind w:left="420" w:leftChars="200" w:firstLine="480"/>
        <w:rPr>
          <w:rFonts w:ascii="宋体" w:hAnsi="宋体" w:cs="宋体"/>
          <w:sz w:val="24"/>
        </w:rPr>
      </w:pPr>
      <w:r>
        <w:rPr>
          <w:rFonts w:hint="eastAsia" w:ascii="宋体" w:hAnsi="宋体" w:cs="宋体"/>
          <w:sz w:val="24"/>
        </w:rPr>
        <w:t>5.比较与评价</w:t>
      </w:r>
    </w:p>
    <w:p>
      <w:pPr>
        <w:snapToGrid w:val="0"/>
        <w:spacing w:before="120" w:line="360" w:lineRule="auto"/>
        <w:ind w:firstLine="480" w:firstLineChars="200"/>
        <w:rPr>
          <w:rFonts w:ascii="宋体" w:hAnsi="宋体" w:cs="宋体"/>
          <w:sz w:val="24"/>
        </w:rPr>
      </w:pPr>
      <w:r>
        <w:rPr>
          <w:rFonts w:hint="eastAsia" w:ascii="宋体" w:hAnsi="宋体" w:cs="宋体"/>
          <w:sz w:val="24"/>
        </w:rPr>
        <w:t>5.1采用综合评分法的</w:t>
      </w:r>
    </w:p>
    <w:p>
      <w:pPr>
        <w:snapToGrid w:val="0"/>
        <w:spacing w:before="120" w:line="360" w:lineRule="auto"/>
        <w:ind w:firstLine="480" w:firstLineChars="200"/>
        <w:rPr>
          <w:rFonts w:ascii="宋体" w:hAnsi="宋体" w:cs="宋体"/>
          <w:sz w:val="24"/>
        </w:rPr>
      </w:pPr>
      <w:r>
        <w:rPr>
          <w:rFonts w:hint="eastAsia" w:ascii="宋体" w:hAnsi="宋体" w:cs="宋体"/>
          <w:sz w:val="24"/>
        </w:rPr>
        <w:t>（1）评标委员会按照招标文件中规定的评标方法及评标标准，对符合性审查合格的投标文件进行商务和技术评估，综合比较与评价。</w:t>
      </w:r>
    </w:p>
    <w:p>
      <w:pPr>
        <w:snapToGrid w:val="0"/>
        <w:spacing w:before="120" w:line="360" w:lineRule="auto"/>
        <w:ind w:firstLine="480" w:firstLineChars="200"/>
        <w:rPr>
          <w:rFonts w:ascii="宋体" w:hAnsi="宋体" w:cs="宋体"/>
          <w:sz w:val="24"/>
        </w:rPr>
      </w:pPr>
      <w:r>
        <w:rPr>
          <w:rFonts w:hint="eastAsia" w:ascii="宋体" w:hAnsi="宋体" w:cs="宋体"/>
          <w:sz w:val="24"/>
        </w:rPr>
        <w:t>（2）评标委员会独立对每个投标人的投标文件进行评价，并汇总每个投标人的得分。</w:t>
      </w:r>
    </w:p>
    <w:p>
      <w:pPr>
        <w:snapToGrid w:val="0"/>
        <w:spacing w:before="120" w:line="360" w:lineRule="auto"/>
        <w:ind w:firstLine="480" w:firstLineChars="200"/>
        <w:rPr>
          <w:rFonts w:ascii="宋体" w:hAnsi="宋体" w:cs="宋体"/>
          <w:sz w:val="24"/>
        </w:rPr>
      </w:pPr>
      <w:r>
        <w:rPr>
          <w:rFonts w:hint="eastAsia" w:ascii="宋体" w:hAnsi="宋体" w:cs="宋体"/>
          <w:sz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cs="宋体"/>
          <w:b/>
          <w:sz w:val="24"/>
        </w:rPr>
        <w:t>投标人不能证明其报价合理性的，评标委员会将其作为无效投标处理</w:t>
      </w:r>
      <w:r>
        <w:rPr>
          <w:rFonts w:hint="eastAsia" w:ascii="宋体" w:hAnsi="宋体" w:cs="宋体"/>
          <w:sz w:val="24"/>
        </w:rPr>
        <w:t>。</w:t>
      </w:r>
    </w:p>
    <w:p>
      <w:pPr>
        <w:snapToGrid w:val="0"/>
        <w:spacing w:before="120" w:line="360" w:lineRule="auto"/>
        <w:ind w:firstLine="480" w:firstLineChars="200"/>
        <w:rPr>
          <w:rFonts w:ascii="宋体" w:hAnsi="宋体" w:cs="宋体"/>
          <w:sz w:val="24"/>
        </w:rPr>
      </w:pPr>
      <w:r>
        <w:rPr>
          <w:rFonts w:hint="eastAsia" w:ascii="宋体" w:hAnsi="宋体" w:cs="宋体"/>
          <w:sz w:val="24"/>
        </w:rPr>
        <w:t>（3）评标委员会按照招标文件中规定的评标方法和标准计算各投标人的报价得分。在计算过程中，不得去掉最高报价或者最低报价。</w:t>
      </w:r>
    </w:p>
    <w:p>
      <w:pPr>
        <w:snapToGrid w:val="0"/>
        <w:spacing w:before="120" w:line="360" w:lineRule="auto"/>
        <w:ind w:firstLine="480" w:firstLineChars="200"/>
        <w:rPr>
          <w:rFonts w:ascii="宋体" w:hAnsi="宋体" w:cs="宋体"/>
          <w:sz w:val="24"/>
        </w:rPr>
      </w:pPr>
      <w:r>
        <w:rPr>
          <w:rFonts w:hint="eastAsia" w:ascii="宋体" w:hAnsi="宋体" w:cs="宋体"/>
          <w:sz w:val="24"/>
        </w:rPr>
        <w:t>（4）各投标人的得分为所有评委的有效评分的算术平均数。</w:t>
      </w:r>
    </w:p>
    <w:p>
      <w:pPr>
        <w:snapToGrid w:val="0"/>
        <w:spacing w:before="120" w:line="360" w:lineRule="auto"/>
        <w:ind w:firstLine="480" w:firstLineChars="200"/>
        <w:rPr>
          <w:rFonts w:ascii="宋体" w:hAnsi="宋体" w:cs="宋体"/>
          <w:sz w:val="24"/>
        </w:rPr>
      </w:pPr>
      <w:r>
        <w:rPr>
          <w:rFonts w:hint="eastAsia" w:ascii="宋体" w:hAnsi="宋体" w:cs="宋体"/>
          <w:sz w:val="24"/>
        </w:rPr>
        <w:t>（5）评标委员会按照招标文件中的规定推荐中标候选人。</w:t>
      </w:r>
    </w:p>
    <w:p>
      <w:pPr>
        <w:snapToGrid w:val="0"/>
        <w:spacing w:before="120" w:line="360" w:lineRule="auto"/>
        <w:ind w:firstLine="480" w:firstLineChars="200"/>
        <w:rPr>
          <w:rFonts w:ascii="宋体" w:hAnsi="宋体" w:cs="宋体"/>
          <w:sz w:val="24"/>
        </w:rPr>
      </w:pPr>
      <w:r>
        <w:rPr>
          <w:rFonts w:hint="eastAsia" w:ascii="宋体" w:hAnsi="宋体" w:cs="宋体"/>
          <w:sz w:val="24"/>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before="120" w:line="360" w:lineRule="auto"/>
        <w:ind w:firstLine="480" w:firstLineChars="200"/>
        <w:rPr>
          <w:rFonts w:ascii="宋体" w:hAnsi="宋体" w:cs="宋体"/>
          <w:sz w:val="24"/>
        </w:rPr>
      </w:pPr>
      <w:r>
        <w:rPr>
          <w:rFonts w:hint="eastAsia" w:ascii="宋体" w:hAnsi="宋体" w:cs="宋体"/>
          <w:sz w:val="24"/>
        </w:rPr>
        <w:t>5.2采用</w:t>
      </w:r>
      <w:r>
        <w:rPr>
          <w:rFonts w:hint="eastAsia" w:ascii="宋体" w:hAnsi="宋体" w:cs="宋体"/>
          <w:sz w:val="24"/>
          <w:szCs w:val="32"/>
        </w:rPr>
        <w:t>最低评标价法</w:t>
      </w:r>
      <w:r>
        <w:rPr>
          <w:rFonts w:hint="eastAsia" w:ascii="宋体" w:hAnsi="宋体" w:cs="宋体"/>
          <w:sz w:val="24"/>
        </w:rPr>
        <w:t>的</w:t>
      </w:r>
    </w:p>
    <w:p>
      <w:pPr>
        <w:snapToGrid w:val="0"/>
        <w:spacing w:before="120" w:line="360" w:lineRule="auto"/>
        <w:ind w:firstLine="484" w:firstLineChars="202"/>
        <w:jc w:val="left"/>
        <w:rPr>
          <w:rFonts w:ascii="宋体" w:hAnsi="宋体" w:cs="宋体"/>
          <w:sz w:val="24"/>
        </w:rPr>
      </w:pPr>
      <w:r>
        <w:rPr>
          <w:rFonts w:hint="eastAsia" w:ascii="宋体" w:hAnsi="宋体" w:cs="宋体"/>
          <w:sz w:val="24"/>
        </w:rPr>
        <w:t>（1）评标委员会按照招标文件中规定的评标方法及评标标准，对符合性审查合格的投标文件报价进行比较。</w:t>
      </w:r>
    </w:p>
    <w:p>
      <w:pPr>
        <w:snapToGrid w:val="0"/>
        <w:spacing w:before="120" w:line="360" w:lineRule="auto"/>
        <w:ind w:firstLine="460" w:firstLineChars="202"/>
        <w:jc w:val="left"/>
        <w:rPr>
          <w:rFonts w:ascii="宋体" w:hAnsi="宋体" w:cs="宋体"/>
          <w:spacing w:val="-6"/>
          <w:sz w:val="24"/>
        </w:rPr>
      </w:pPr>
      <w:r>
        <w:rPr>
          <w:rFonts w:hint="eastAsia" w:ascii="宋体" w:hAnsi="宋体" w:cs="宋体"/>
          <w:spacing w:val="-6"/>
          <w:sz w:val="24"/>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cs="宋体"/>
          <w:b/>
          <w:spacing w:val="-6"/>
          <w:sz w:val="24"/>
        </w:rPr>
        <w:t>投标人不能证明其报价合理性的，评标委员会将其作为无效投标处理</w:t>
      </w:r>
      <w:r>
        <w:rPr>
          <w:rFonts w:hint="eastAsia" w:ascii="宋体" w:hAnsi="宋体" w:cs="宋体"/>
          <w:spacing w:val="-6"/>
          <w:sz w:val="24"/>
        </w:rPr>
        <w:t>。</w:t>
      </w:r>
    </w:p>
    <w:p>
      <w:pPr>
        <w:snapToGrid w:val="0"/>
        <w:spacing w:before="120" w:line="360" w:lineRule="auto"/>
        <w:ind w:firstLine="484" w:firstLineChars="202"/>
        <w:jc w:val="left"/>
        <w:rPr>
          <w:rFonts w:ascii="宋体" w:hAnsi="宋体" w:cs="宋体"/>
          <w:sz w:val="24"/>
        </w:rPr>
      </w:pPr>
      <w:r>
        <w:rPr>
          <w:rFonts w:hint="eastAsia" w:ascii="宋体" w:hAnsi="宋体" w:cs="宋体"/>
          <w:sz w:val="24"/>
        </w:rPr>
        <w:t>（3）评标委员会按照招标文件中的规定推荐中标候选人。</w:t>
      </w:r>
    </w:p>
    <w:p>
      <w:pPr>
        <w:snapToGrid w:val="0"/>
        <w:spacing w:before="120" w:line="360" w:lineRule="auto"/>
        <w:ind w:firstLine="484" w:firstLineChars="202"/>
        <w:jc w:val="left"/>
        <w:rPr>
          <w:rFonts w:ascii="宋体" w:hAnsi="宋体" w:cs="宋体"/>
          <w:sz w:val="24"/>
        </w:rPr>
      </w:pPr>
      <w:r>
        <w:rPr>
          <w:rFonts w:hint="eastAsia" w:ascii="宋体" w:hAnsi="宋体" w:cs="宋体"/>
          <w:sz w:val="24"/>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before="120" w:line="360" w:lineRule="auto"/>
        <w:ind w:firstLine="482"/>
        <w:jc w:val="center"/>
        <w:rPr>
          <w:rFonts w:ascii="宋体" w:hAnsi="宋体" w:cs="宋体"/>
        </w:rPr>
      </w:pPr>
      <w:r>
        <w:rPr>
          <w:rFonts w:hint="eastAsia" w:ascii="宋体" w:hAnsi="宋体" w:cs="宋体"/>
        </w:rPr>
        <w:br w:type="page"/>
      </w:r>
      <w:r>
        <w:rPr>
          <w:rFonts w:hint="eastAsia" w:ascii="宋体" w:hAnsi="宋体" w:cs="宋体"/>
          <w:b/>
          <w:bCs/>
          <w:sz w:val="32"/>
          <w:szCs w:val="32"/>
        </w:rPr>
        <w:t>三、评标标准</w:t>
      </w:r>
    </w:p>
    <w:p>
      <w:pPr>
        <w:pStyle w:val="6"/>
        <w:keepNext w:val="0"/>
        <w:keepLines w:val="0"/>
        <w:spacing w:before="120"/>
        <w:ind w:firstLine="640"/>
        <w:jc w:val="center"/>
        <w:rPr>
          <w:rFonts w:ascii="宋体" w:hAnsi="宋体" w:cs="宋体"/>
        </w:rPr>
      </w:pPr>
      <w:r>
        <w:rPr>
          <w:rFonts w:hint="eastAsia" w:ascii="宋体" w:hAnsi="宋体" w:cs="宋体"/>
        </w:rPr>
        <w:t>综合评分法</w:t>
      </w:r>
    </w:p>
    <w:p>
      <w:pPr>
        <w:pStyle w:val="25"/>
        <w:spacing w:before="120" w:line="360" w:lineRule="auto"/>
        <w:ind w:firstLine="482"/>
        <w:rPr>
          <w:rFonts w:hAnsi="宋体" w:cs="宋体"/>
          <w:bCs/>
          <w:sz w:val="24"/>
          <w:szCs w:val="24"/>
        </w:rPr>
      </w:pPr>
      <w:r>
        <w:rPr>
          <w:rFonts w:hint="eastAsia" w:hAnsi="宋体" w:cs="宋体"/>
          <w:bCs/>
          <w:sz w:val="24"/>
          <w:szCs w:val="24"/>
        </w:rPr>
        <w:t>注：1.计分方法按四舍五入取至百分位；</w:t>
      </w:r>
    </w:p>
    <w:p>
      <w:pPr>
        <w:spacing w:before="120"/>
      </w:pPr>
      <w:r>
        <w:rPr>
          <w:rFonts w:hint="eastAsia" w:hAnsi="宋体" w:cs="宋体"/>
          <w:bCs/>
          <w:sz w:val="24"/>
        </w:rPr>
        <w:t xml:space="preserve">    2.因落实政府采购政策进行价格调整的，以调整后的价格计算评标基准价和投标报价。</w:t>
      </w:r>
    </w:p>
    <w:tbl>
      <w:tblPr>
        <w:tblStyle w:val="47"/>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1"/>
        <w:gridCol w:w="850"/>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9" w:type="dxa"/>
            <w:tcBorders>
              <w:top w:val="single" w:color="auto" w:sz="4" w:space="0"/>
              <w:left w:val="single" w:color="auto" w:sz="4" w:space="0"/>
              <w:right w:val="single" w:color="auto" w:sz="4" w:space="0"/>
            </w:tcBorders>
            <w:vAlign w:val="center"/>
          </w:tcPr>
          <w:p>
            <w:pPr>
              <w:widowControl/>
              <w:spacing w:before="120" w:line="360" w:lineRule="auto"/>
              <w:jc w:val="center"/>
              <w:rPr>
                <w:rFonts w:ascii="宋体" w:hAnsi="宋体" w:cs="宋体"/>
                <w:bCs/>
                <w:sz w:val="24"/>
              </w:rPr>
            </w:pPr>
            <w:r>
              <w:rPr>
                <w:rFonts w:hint="eastAsia" w:ascii="宋体" w:hAnsi="宋体" w:cs="宋体"/>
                <w:bCs/>
                <w:sz w:val="24"/>
              </w:rPr>
              <w:t>序号</w:t>
            </w:r>
          </w:p>
        </w:tc>
        <w:tc>
          <w:tcPr>
            <w:tcW w:w="1271" w:type="dxa"/>
            <w:tcBorders>
              <w:top w:val="single" w:color="auto" w:sz="4" w:space="0"/>
              <w:left w:val="single" w:color="auto" w:sz="4" w:space="0"/>
              <w:right w:val="single" w:color="auto" w:sz="4" w:space="0"/>
            </w:tcBorders>
            <w:vAlign w:val="center"/>
          </w:tcPr>
          <w:p>
            <w:pPr>
              <w:widowControl/>
              <w:spacing w:before="120" w:line="360" w:lineRule="auto"/>
              <w:jc w:val="center"/>
              <w:rPr>
                <w:rFonts w:ascii="宋体" w:hAnsi="宋体" w:cs="宋体"/>
                <w:bCs/>
                <w:sz w:val="24"/>
              </w:rPr>
            </w:pPr>
            <w:r>
              <w:rPr>
                <w:rFonts w:hint="eastAsia" w:ascii="宋体" w:hAnsi="宋体" w:cs="宋体"/>
                <w:bCs/>
                <w:sz w:val="24"/>
              </w:rPr>
              <w:t>评审因素</w:t>
            </w:r>
          </w:p>
        </w:tc>
        <w:tc>
          <w:tcPr>
            <w:tcW w:w="850" w:type="dxa"/>
            <w:tcBorders>
              <w:top w:val="single" w:color="auto" w:sz="4" w:space="0"/>
              <w:left w:val="single" w:color="auto" w:sz="4" w:space="0"/>
              <w:right w:val="single" w:color="auto" w:sz="4" w:space="0"/>
            </w:tcBorders>
            <w:vAlign w:val="center"/>
          </w:tcPr>
          <w:p>
            <w:pPr>
              <w:widowControl/>
              <w:spacing w:before="120" w:line="360" w:lineRule="auto"/>
              <w:jc w:val="center"/>
              <w:rPr>
                <w:rFonts w:ascii="宋体" w:hAnsi="宋体" w:cs="宋体"/>
                <w:bCs/>
                <w:sz w:val="24"/>
              </w:rPr>
            </w:pPr>
            <w:r>
              <w:rPr>
                <w:rFonts w:hint="eastAsia" w:ascii="宋体" w:hAnsi="宋体" w:cs="宋体"/>
                <w:bCs/>
                <w:sz w:val="24"/>
              </w:rPr>
              <w:t>分值</w:t>
            </w:r>
          </w:p>
        </w:tc>
        <w:tc>
          <w:tcPr>
            <w:tcW w:w="6876" w:type="dxa"/>
            <w:tcBorders>
              <w:top w:val="single" w:color="auto" w:sz="4" w:space="0"/>
              <w:left w:val="single" w:color="auto" w:sz="4" w:space="0"/>
              <w:bottom w:val="single" w:color="auto" w:sz="4" w:space="0"/>
              <w:right w:val="single" w:color="auto" w:sz="4" w:space="0"/>
            </w:tcBorders>
            <w:vAlign w:val="center"/>
          </w:tcPr>
          <w:p>
            <w:pPr>
              <w:pStyle w:val="25"/>
              <w:spacing w:before="120" w:line="360" w:lineRule="auto"/>
              <w:jc w:val="center"/>
              <w:rPr>
                <w:rFonts w:hAnsi="宋体" w:cs="宋体"/>
                <w:b/>
                <w:bCs/>
                <w:kern w:val="2"/>
                <w:sz w:val="24"/>
                <w:szCs w:val="24"/>
              </w:rPr>
            </w:pPr>
            <w:r>
              <w:rPr>
                <w:rFonts w:hint="eastAsia" w:hAnsi="宋体" w:cs="宋体"/>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9" w:type="dxa"/>
            <w:tcBorders>
              <w:top w:val="single" w:color="auto" w:sz="4" w:space="0"/>
              <w:left w:val="single" w:color="auto" w:sz="4" w:space="0"/>
              <w:right w:val="single" w:color="auto" w:sz="4" w:space="0"/>
            </w:tcBorders>
            <w:vAlign w:val="center"/>
          </w:tcPr>
          <w:p>
            <w:pPr>
              <w:widowControl/>
              <w:spacing w:before="120" w:line="360" w:lineRule="auto"/>
              <w:jc w:val="center"/>
              <w:rPr>
                <w:rFonts w:ascii="宋体" w:hAnsi="宋体" w:cs="宋体"/>
                <w:bCs/>
                <w:sz w:val="24"/>
              </w:rPr>
            </w:pPr>
            <w:r>
              <w:rPr>
                <w:rFonts w:hint="eastAsia" w:ascii="宋体" w:hAnsi="宋体" w:cs="宋体"/>
                <w:bCs/>
                <w:sz w:val="24"/>
              </w:rPr>
              <w:t>1</w:t>
            </w:r>
          </w:p>
        </w:tc>
        <w:tc>
          <w:tcPr>
            <w:tcW w:w="1271" w:type="dxa"/>
            <w:tcBorders>
              <w:top w:val="single" w:color="auto" w:sz="4" w:space="0"/>
              <w:left w:val="single" w:color="auto" w:sz="4" w:space="0"/>
              <w:right w:val="single" w:color="auto" w:sz="4" w:space="0"/>
            </w:tcBorders>
            <w:vAlign w:val="center"/>
          </w:tcPr>
          <w:p>
            <w:pPr>
              <w:widowControl/>
              <w:spacing w:before="120" w:line="360" w:lineRule="auto"/>
              <w:jc w:val="center"/>
              <w:rPr>
                <w:rFonts w:ascii="宋体" w:hAnsi="宋体" w:cs="宋体"/>
                <w:bCs/>
                <w:sz w:val="24"/>
              </w:rPr>
            </w:pPr>
            <w:r>
              <w:rPr>
                <w:rFonts w:hint="eastAsia" w:ascii="宋体" w:hAnsi="宋体" w:cs="宋体"/>
                <w:bCs/>
                <w:sz w:val="24"/>
              </w:rPr>
              <w:t>价格分（满分30分）</w:t>
            </w:r>
          </w:p>
          <w:p>
            <w:pPr>
              <w:pStyle w:val="56"/>
              <w:spacing w:before="120" w:line="360" w:lineRule="auto"/>
              <w:rPr>
                <w:rFonts w:ascii="宋体" w:hAnsi="宋体" w:eastAsia="宋体" w:cs="宋体"/>
                <w:sz w:val="24"/>
              </w:rPr>
            </w:pPr>
            <w:r>
              <w:rPr>
                <w:rFonts w:hint="eastAsia" w:ascii="宋体" w:hAnsi="宋体" w:eastAsia="宋体" w:cs="宋体"/>
                <w:b w:val="0"/>
                <w:bCs/>
                <w:kern w:val="0"/>
                <w:sz w:val="24"/>
              </w:rPr>
              <w:t>注：价格分不低于30分</w:t>
            </w:r>
          </w:p>
        </w:tc>
        <w:tc>
          <w:tcPr>
            <w:tcW w:w="850" w:type="dxa"/>
            <w:tcBorders>
              <w:top w:val="single" w:color="auto" w:sz="4" w:space="0"/>
              <w:left w:val="single" w:color="auto" w:sz="4" w:space="0"/>
              <w:right w:val="single" w:color="auto" w:sz="4" w:space="0"/>
            </w:tcBorders>
            <w:vAlign w:val="center"/>
          </w:tcPr>
          <w:p>
            <w:pPr>
              <w:widowControl/>
              <w:spacing w:before="120" w:line="360" w:lineRule="auto"/>
              <w:jc w:val="center"/>
              <w:rPr>
                <w:rFonts w:ascii="宋体" w:hAnsi="宋体" w:cs="宋体"/>
                <w:bCs/>
                <w:sz w:val="24"/>
              </w:rPr>
            </w:pPr>
            <w:r>
              <w:rPr>
                <w:rFonts w:hint="eastAsia" w:ascii="宋体" w:hAnsi="宋体" w:cs="宋体"/>
                <w:bCs/>
                <w:sz w:val="24"/>
              </w:rPr>
              <w:t>投标报价（满分30分）</w:t>
            </w:r>
          </w:p>
        </w:tc>
        <w:tc>
          <w:tcPr>
            <w:tcW w:w="6876" w:type="dxa"/>
            <w:tcBorders>
              <w:top w:val="single" w:color="auto" w:sz="4" w:space="0"/>
              <w:left w:val="single" w:color="auto" w:sz="4" w:space="0"/>
              <w:bottom w:val="single" w:color="auto" w:sz="4" w:space="0"/>
              <w:right w:val="single" w:color="auto" w:sz="4" w:space="0"/>
            </w:tcBorders>
          </w:tcPr>
          <w:p>
            <w:pPr>
              <w:pStyle w:val="25"/>
              <w:spacing w:line="360" w:lineRule="auto"/>
              <w:ind w:firstLine="480" w:firstLineChars="200"/>
              <w:outlineLvl w:val="0"/>
              <w:rPr>
                <w:rFonts w:hAnsi="宋体" w:cs="宋体"/>
                <w:sz w:val="24"/>
                <w:szCs w:val="24"/>
              </w:rPr>
            </w:pPr>
            <w:r>
              <w:rPr>
                <w:rFonts w:hint="eastAsia" w:hAnsi="宋体" w:cs="宋体"/>
                <w:sz w:val="24"/>
                <w:szCs w:val="24"/>
              </w:rPr>
              <w:t>一、政府采购政策扣除</w:t>
            </w:r>
          </w:p>
          <w:p>
            <w:pPr>
              <w:pStyle w:val="25"/>
              <w:spacing w:line="360" w:lineRule="auto"/>
              <w:ind w:firstLine="480" w:firstLineChars="200"/>
              <w:outlineLvl w:val="0"/>
              <w:rPr>
                <w:rFonts w:hAnsi="宋体" w:cs="宋体"/>
                <w:sz w:val="24"/>
                <w:szCs w:val="24"/>
              </w:rPr>
            </w:pPr>
            <w:r>
              <w:rPr>
                <w:rFonts w:hint="eastAsia" w:hAnsi="宋体" w:cs="宋体"/>
                <w:sz w:val="24"/>
                <w:szCs w:val="24"/>
              </w:rPr>
              <w:t>1.评标报价为投标人的投标报价进行政策性扣除后的价格，评标报价只是作为评标时使用。最终中标人的中标金额等于投标报价。</w:t>
            </w:r>
          </w:p>
          <w:p>
            <w:pPr>
              <w:pStyle w:val="25"/>
              <w:spacing w:line="360" w:lineRule="auto"/>
              <w:ind w:firstLine="480" w:firstLineChars="200"/>
              <w:outlineLvl w:val="0"/>
              <w:rPr>
                <w:rFonts w:hAnsi="宋体" w:cs="宋体"/>
                <w:sz w:val="24"/>
                <w:szCs w:val="24"/>
              </w:rPr>
            </w:pPr>
            <w:r>
              <w:rPr>
                <w:rFonts w:hint="eastAsia" w:hAnsi="宋体" w:cs="宋体"/>
                <w:sz w:val="24"/>
                <w:szCs w:val="24"/>
              </w:rPr>
              <w:t>2.根据《政府采购促进中小企业发展管理办法》的规定，投标人属于《政府采购促进中小企业发展管理办法》规定的小微企业且在投标文件中提供了《中小企业声明函》的，对投标报价给予10%的扣除，用扣除后的价格参加评审；即评标价=投标报价×（1</w:t>
            </w:r>
            <w:r>
              <w:rPr>
                <w:rFonts w:hAnsi="宋体" w:cs="宋体"/>
                <w:sz w:val="24"/>
                <w:szCs w:val="24"/>
              </w:rPr>
              <w:t>–10%</w:t>
            </w:r>
            <w:r>
              <w:rPr>
                <w:rFonts w:hint="eastAsia" w:hAnsi="宋体" w:cs="宋体"/>
                <w:sz w:val="24"/>
                <w:szCs w:val="24"/>
              </w:rPr>
              <w:t>扣除比例）；不符合上述给予扣除情形的，评标价=投标报价。</w:t>
            </w:r>
          </w:p>
          <w:p>
            <w:pPr>
              <w:pStyle w:val="25"/>
              <w:spacing w:line="360" w:lineRule="auto"/>
              <w:ind w:firstLine="480" w:firstLineChars="200"/>
              <w:outlineLvl w:val="0"/>
              <w:rPr>
                <w:rFonts w:hAnsi="宋体" w:cs="宋体"/>
                <w:sz w:val="24"/>
                <w:szCs w:val="24"/>
              </w:rPr>
            </w:pPr>
            <w:r>
              <w:rPr>
                <w:rFonts w:hint="eastAsia" w:hAnsi="宋体" w:cs="宋体"/>
                <w:sz w:val="24"/>
                <w:szCs w:val="24"/>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监狱企业属于小型、微型企业的，不重复享受政策。</w:t>
            </w:r>
          </w:p>
          <w:p>
            <w:pPr>
              <w:pStyle w:val="25"/>
              <w:spacing w:line="360" w:lineRule="auto"/>
              <w:ind w:firstLine="480" w:firstLineChars="200"/>
              <w:outlineLvl w:val="0"/>
              <w:rPr>
                <w:rFonts w:hAnsi="宋体" w:cs="宋体"/>
                <w:sz w:val="24"/>
                <w:szCs w:val="24"/>
              </w:rPr>
            </w:pPr>
            <w:r>
              <w:rPr>
                <w:rFonts w:hint="eastAsia" w:hAnsi="宋体" w:cs="宋体"/>
                <w:sz w:val="24"/>
                <w:szCs w:val="24"/>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5"/>
              <w:spacing w:line="360" w:lineRule="auto"/>
              <w:ind w:firstLine="480" w:firstLineChars="200"/>
              <w:outlineLvl w:val="0"/>
              <w:rPr>
                <w:rFonts w:hAnsi="宋体" w:cs="宋体"/>
                <w:sz w:val="24"/>
                <w:szCs w:val="24"/>
              </w:rPr>
            </w:pPr>
            <w:r>
              <w:rPr>
                <w:rFonts w:hint="eastAsia" w:hAnsi="宋体" w:cs="宋体"/>
                <w:sz w:val="24"/>
                <w:szCs w:val="24"/>
              </w:rPr>
              <w:t>二、投标报价分（满分30分）</w:t>
            </w:r>
          </w:p>
          <w:p>
            <w:pPr>
              <w:pStyle w:val="25"/>
              <w:spacing w:line="360" w:lineRule="auto"/>
              <w:ind w:firstLine="480" w:firstLineChars="200"/>
              <w:outlineLvl w:val="0"/>
              <w:rPr>
                <w:rFonts w:hAnsi="宋体" w:cs="宋体"/>
                <w:sz w:val="24"/>
                <w:szCs w:val="24"/>
              </w:rPr>
            </w:pPr>
            <w:r>
              <w:rPr>
                <w:rFonts w:hint="eastAsia" w:hAnsi="宋体" w:cs="宋体"/>
                <w:sz w:val="24"/>
                <w:szCs w:val="24"/>
              </w:rPr>
              <w:t>1.投标报价分采用低价优先法计算，满足招标文件要求且评标价最低的有效投标人的评标价为评标基准价，其投标报价分为满分。</w:t>
            </w:r>
          </w:p>
          <w:p>
            <w:pPr>
              <w:pStyle w:val="25"/>
              <w:spacing w:line="360" w:lineRule="auto"/>
              <w:ind w:firstLine="480" w:firstLineChars="200"/>
              <w:outlineLvl w:val="0"/>
              <w:rPr>
                <w:rFonts w:hAnsi="宋体" w:cs="宋体"/>
                <w:sz w:val="24"/>
                <w:szCs w:val="24"/>
              </w:rPr>
            </w:pPr>
            <w:r>
              <w:rPr>
                <w:rFonts w:hint="eastAsia" w:hAnsi="宋体" w:cs="宋体"/>
                <w:sz w:val="24"/>
                <w:szCs w:val="24"/>
              </w:rPr>
              <w:t>2.其他投标人的价格分统一按照下列公式计算：</w:t>
            </w:r>
          </w:p>
          <w:p>
            <w:pPr>
              <w:pStyle w:val="25"/>
              <w:spacing w:line="360" w:lineRule="auto"/>
              <w:ind w:firstLine="480" w:firstLineChars="200"/>
              <w:outlineLvl w:val="0"/>
              <w:rPr>
                <w:rFonts w:hAnsi="宋体" w:cs="宋体"/>
                <w:sz w:val="24"/>
                <w:szCs w:val="24"/>
              </w:rPr>
            </w:pPr>
            <w:r>
              <w:rPr>
                <w:rFonts w:hint="eastAsia" w:hAnsi="宋体" w:cs="宋体"/>
                <w:sz w:val="24"/>
                <w:szCs w:val="24"/>
              </w:rPr>
              <w:t>某有效投标人的投标报价分=（评标基准价／某有效投标人评标报价）×30分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9" w:type="dxa"/>
            <w:vMerge w:val="restart"/>
            <w:tcBorders>
              <w:top w:val="single" w:color="auto" w:sz="4" w:space="0"/>
              <w:left w:val="single" w:color="auto" w:sz="4" w:space="0"/>
              <w:right w:val="single" w:color="auto" w:sz="4" w:space="0"/>
            </w:tcBorders>
            <w:vAlign w:val="center"/>
          </w:tcPr>
          <w:p>
            <w:pPr>
              <w:adjustRightInd w:val="0"/>
              <w:spacing w:line="360" w:lineRule="auto"/>
              <w:jc w:val="center"/>
              <w:textAlignment w:val="baseline"/>
              <w:rPr>
                <w:rFonts w:ascii="宋体" w:hAnsi="宋体" w:cs="宋体"/>
                <w:b/>
                <w:bCs/>
                <w:sz w:val="24"/>
              </w:rPr>
            </w:pPr>
            <w:r>
              <w:rPr>
                <w:rFonts w:hint="eastAsia" w:ascii="宋体" w:hAnsi="宋体" w:cs="宋体"/>
                <w:b/>
                <w:bCs/>
                <w:sz w:val="24"/>
              </w:rPr>
              <w:t>2</w:t>
            </w:r>
          </w:p>
        </w:tc>
        <w:tc>
          <w:tcPr>
            <w:tcW w:w="1271" w:type="dxa"/>
            <w:vMerge w:val="restart"/>
            <w:tcBorders>
              <w:top w:val="single" w:color="auto" w:sz="4" w:space="0"/>
              <w:left w:val="single" w:color="auto" w:sz="4" w:space="0"/>
              <w:right w:val="single" w:color="auto" w:sz="4" w:space="0"/>
            </w:tcBorders>
            <w:vAlign w:val="center"/>
          </w:tcPr>
          <w:p>
            <w:pPr>
              <w:adjustRightInd w:val="0"/>
              <w:spacing w:line="360" w:lineRule="auto"/>
              <w:jc w:val="center"/>
              <w:textAlignment w:val="baseline"/>
              <w:rPr>
                <w:rFonts w:ascii="宋体" w:hAnsi="宋体" w:cs="宋体"/>
                <w:b/>
                <w:bCs/>
                <w:sz w:val="24"/>
              </w:rPr>
            </w:pPr>
            <w:r>
              <w:rPr>
                <w:rFonts w:hint="eastAsia" w:ascii="宋体" w:hAnsi="宋体" w:cs="宋体"/>
                <w:b/>
                <w:bCs/>
                <w:sz w:val="24"/>
              </w:rPr>
              <w:t>技术分</w:t>
            </w:r>
          </w:p>
          <w:p>
            <w:pPr>
              <w:adjustRightInd w:val="0"/>
              <w:spacing w:line="360" w:lineRule="auto"/>
              <w:jc w:val="center"/>
              <w:textAlignment w:val="baseline"/>
              <w:rPr>
                <w:rFonts w:ascii="宋体" w:hAnsi="宋体" w:cs="宋体"/>
                <w:b/>
                <w:sz w:val="24"/>
              </w:rPr>
            </w:pPr>
            <w:r>
              <w:rPr>
                <w:rFonts w:hint="eastAsia" w:ascii="宋体" w:hAnsi="宋体" w:cs="宋体"/>
                <w:b/>
                <w:bCs/>
                <w:sz w:val="24"/>
              </w:rPr>
              <w:t>（满分</w:t>
            </w:r>
            <w:r>
              <w:rPr>
                <w:rFonts w:ascii="宋体" w:hAnsi="宋体" w:cs="宋体"/>
                <w:b/>
                <w:sz w:val="24"/>
              </w:rPr>
              <w:t>5</w:t>
            </w:r>
            <w:r>
              <w:rPr>
                <w:rFonts w:hint="eastAsia" w:ascii="宋体" w:hAnsi="宋体" w:cs="宋体"/>
                <w:b/>
                <w:sz w:val="24"/>
              </w:rPr>
              <w:t>4</w:t>
            </w:r>
            <w:r>
              <w:rPr>
                <w:rFonts w:hint="eastAsia" w:ascii="宋体" w:hAnsi="宋体" w:cs="宋体"/>
                <w:b/>
                <w:bCs/>
                <w:sz w:val="24"/>
              </w:rPr>
              <w:t>分</w:t>
            </w:r>
            <w:r>
              <w:rPr>
                <w:rFonts w:hint="eastAsia" w:ascii="宋体" w:hAnsi="宋体" w:cs="宋体"/>
                <w:bCs/>
                <w:sz w:val="24"/>
              </w:rPr>
              <w:t>）</w:t>
            </w:r>
          </w:p>
        </w:tc>
        <w:tc>
          <w:tcPr>
            <w:tcW w:w="850" w:type="dxa"/>
            <w:tcBorders>
              <w:top w:val="single" w:color="auto" w:sz="4" w:space="0"/>
              <w:left w:val="single" w:color="auto" w:sz="4" w:space="0"/>
              <w:right w:val="single" w:color="auto" w:sz="4" w:space="0"/>
            </w:tcBorders>
            <w:vAlign w:val="center"/>
          </w:tcPr>
          <w:p>
            <w:pPr>
              <w:adjustRightInd w:val="0"/>
              <w:spacing w:before="120" w:line="360" w:lineRule="auto"/>
              <w:jc w:val="center"/>
              <w:textAlignment w:val="baseline"/>
              <w:rPr>
                <w:rFonts w:ascii="宋体" w:hAnsi="宋体" w:cs="宋体"/>
                <w:bCs/>
                <w:sz w:val="24"/>
              </w:rPr>
            </w:pPr>
            <w:r>
              <w:rPr>
                <w:rFonts w:hint="eastAsia" w:ascii="宋体" w:hAnsi="宋体" w:cs="宋体"/>
                <w:bCs/>
                <w:sz w:val="24"/>
              </w:rPr>
              <w:t>产品性能（满分36分）</w:t>
            </w:r>
          </w:p>
        </w:tc>
        <w:tc>
          <w:tcPr>
            <w:tcW w:w="6876" w:type="dxa"/>
            <w:tcBorders>
              <w:top w:val="single" w:color="auto" w:sz="4" w:space="0"/>
              <w:left w:val="single" w:color="auto" w:sz="4" w:space="0"/>
              <w:bottom w:val="single" w:color="auto" w:sz="4" w:space="0"/>
              <w:right w:val="single" w:color="auto" w:sz="4" w:space="0"/>
            </w:tcBorders>
            <w:vAlign w:val="center"/>
          </w:tcPr>
          <w:p>
            <w:pPr>
              <w:pStyle w:val="2"/>
              <w:spacing w:after="0" w:line="360" w:lineRule="auto"/>
              <w:ind w:firstLine="480" w:firstLineChars="200"/>
              <w:rPr>
                <w:rFonts w:ascii="宋体" w:hAnsi="宋体"/>
                <w:sz w:val="24"/>
                <w:szCs w:val="32"/>
              </w:rPr>
            </w:pPr>
            <w:r>
              <w:rPr>
                <w:rFonts w:hint="eastAsia" w:ascii="宋体" w:hAnsi="宋体"/>
                <w:sz w:val="24"/>
                <w:szCs w:val="32"/>
              </w:rPr>
              <w:t>1．一般技术指标分（满分3分）：完全满足招标文件一般技术指标要求（指不带※和▲的技术参数）的得基本分3分，有负偏离的，在基本分(3分)的基础上，每有一项负偏离少0.5分，最低0分。</w:t>
            </w:r>
          </w:p>
          <w:p>
            <w:pPr>
              <w:pStyle w:val="2"/>
              <w:spacing w:after="0" w:line="360" w:lineRule="auto"/>
              <w:ind w:firstLine="480" w:firstLineChars="200"/>
              <w:rPr>
                <w:rFonts w:ascii="宋体" w:hAnsi="宋体"/>
                <w:sz w:val="24"/>
                <w:szCs w:val="32"/>
              </w:rPr>
            </w:pPr>
            <w:r>
              <w:rPr>
                <w:rFonts w:hint="eastAsia" w:ascii="宋体" w:hAnsi="宋体"/>
                <w:sz w:val="24"/>
                <w:szCs w:val="32"/>
              </w:rPr>
              <w:t xml:space="preserve"> 2．重要技术指标分（满分5分）：完全满足招标文件重要技术指标要求（指带※的技术参数）的得基本分5分，有负偏离的，在基本分(5分)的基础上，每有一项负偏离少1分，最低0分。</w:t>
            </w:r>
          </w:p>
          <w:p>
            <w:pPr>
              <w:pStyle w:val="2"/>
              <w:spacing w:after="0" w:line="360" w:lineRule="auto"/>
              <w:ind w:firstLine="480" w:firstLineChars="200"/>
              <w:rPr>
                <w:rFonts w:ascii="宋体" w:hAnsi="宋体"/>
                <w:sz w:val="24"/>
                <w:szCs w:val="32"/>
              </w:rPr>
            </w:pPr>
            <w:r>
              <w:rPr>
                <w:rFonts w:hint="eastAsia" w:ascii="宋体" w:hAnsi="宋体"/>
                <w:sz w:val="24"/>
                <w:szCs w:val="32"/>
              </w:rPr>
              <w:t>3.重要技术指标佐证材料分（满分28分）：完全满足带※的技术参数要求的前提下，提供全部佐证材料的得28分，每少一份佐证材料或佐证材料不符合要求的少1分，最低0分。</w:t>
            </w:r>
          </w:p>
          <w:p>
            <w:pPr>
              <w:pStyle w:val="2"/>
              <w:spacing w:after="0" w:line="360" w:lineRule="auto"/>
              <w:ind w:firstLine="480" w:firstLineChars="200"/>
              <w:rPr>
                <w:rFonts w:ascii="宋体" w:hAnsi="宋体"/>
                <w:sz w:val="24"/>
                <w:szCs w:val="32"/>
              </w:rPr>
            </w:pPr>
            <w:r>
              <w:rPr>
                <w:rFonts w:hint="eastAsia" w:ascii="宋体" w:hAnsi="宋体"/>
                <w:sz w:val="24"/>
                <w:szCs w:val="32"/>
              </w:rPr>
              <w:t xml:space="preserve">    【注：技术参数中“▲”项为实质性条款，不允许负偏离，否则视为无效投标；技术参数中※项参数要求提供相关佐证材料（具有CMA或CNAS资质的第三方机构的检验（测）报告复印件或生产厂商官网截图及官网链接等），证明材料需要与招标文件描述功能或指标吻合，同时必须提供投标人针对其所提供的证明材料真实性及如提供虚假材料自愿承担相关法律责任的承诺书（格式自拟并加盖投标人公章），否则证明材料不予承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9" w:type="dxa"/>
            <w:vMerge w:val="continue"/>
            <w:tcBorders>
              <w:left w:val="single" w:color="auto" w:sz="4" w:space="0"/>
              <w:right w:val="single" w:color="auto" w:sz="4" w:space="0"/>
            </w:tcBorders>
            <w:vAlign w:val="center"/>
          </w:tcPr>
          <w:p>
            <w:pPr>
              <w:spacing w:before="120" w:line="360" w:lineRule="auto"/>
              <w:ind w:firstLine="480"/>
              <w:jc w:val="center"/>
              <w:rPr>
                <w:rFonts w:ascii="宋体" w:hAnsi="宋体" w:cs="宋体"/>
                <w:b/>
                <w:sz w:val="24"/>
              </w:rPr>
            </w:pPr>
          </w:p>
        </w:tc>
        <w:tc>
          <w:tcPr>
            <w:tcW w:w="1271" w:type="dxa"/>
            <w:vMerge w:val="continue"/>
            <w:tcBorders>
              <w:left w:val="single" w:color="auto" w:sz="4" w:space="0"/>
              <w:right w:val="single" w:color="auto" w:sz="4" w:space="0"/>
            </w:tcBorders>
            <w:vAlign w:val="center"/>
          </w:tcPr>
          <w:p>
            <w:pPr>
              <w:adjustRightInd w:val="0"/>
              <w:spacing w:before="120" w:line="360" w:lineRule="auto"/>
              <w:ind w:left="-105" w:leftChars="-50" w:right="-105" w:rightChars="-50" w:firstLine="480"/>
              <w:jc w:val="center"/>
              <w:textAlignment w:val="baseline"/>
              <w:rPr>
                <w:rFonts w:ascii="宋体" w:hAnsi="宋体" w:cs="宋体"/>
                <w:b/>
                <w:bCs/>
                <w:sz w:val="24"/>
              </w:rPr>
            </w:pPr>
          </w:p>
        </w:tc>
        <w:tc>
          <w:tcPr>
            <w:tcW w:w="850" w:type="dxa"/>
            <w:tcBorders>
              <w:top w:val="single" w:color="auto" w:sz="4" w:space="0"/>
              <w:left w:val="single" w:color="auto" w:sz="4" w:space="0"/>
              <w:right w:val="single" w:color="auto" w:sz="4" w:space="0"/>
            </w:tcBorders>
            <w:vAlign w:val="center"/>
          </w:tcPr>
          <w:p>
            <w:pPr>
              <w:adjustRightInd w:val="0"/>
              <w:spacing w:before="120" w:line="360" w:lineRule="auto"/>
              <w:jc w:val="center"/>
              <w:textAlignment w:val="baseline"/>
              <w:rPr>
                <w:rFonts w:ascii="宋体" w:hAnsi="宋体" w:cs="宋体"/>
                <w:bCs/>
                <w:sz w:val="24"/>
              </w:rPr>
            </w:pPr>
            <w:r>
              <w:rPr>
                <w:rFonts w:hint="eastAsia" w:ascii="宋体" w:hAnsi="宋体" w:cs="宋体"/>
                <w:kern w:val="0"/>
                <w:sz w:val="24"/>
              </w:rPr>
              <w:t>技术实施方案分（满分6分）</w:t>
            </w:r>
          </w:p>
        </w:tc>
        <w:tc>
          <w:tcPr>
            <w:tcW w:w="6876" w:type="dxa"/>
            <w:tcBorders>
              <w:top w:val="single" w:color="auto" w:sz="4" w:space="0"/>
              <w:left w:val="single" w:color="auto" w:sz="4" w:space="0"/>
              <w:bottom w:val="single" w:color="auto" w:sz="4" w:space="0"/>
              <w:right w:val="single" w:color="auto" w:sz="4" w:space="0"/>
            </w:tcBorders>
            <w:vAlign w:val="center"/>
          </w:tcPr>
          <w:p>
            <w:pPr>
              <w:suppressAutoHyphens/>
              <w:spacing w:before="120" w:line="360" w:lineRule="auto"/>
              <w:jc w:val="left"/>
              <w:rPr>
                <w:rFonts w:ascii="宋体" w:hAnsi="宋体" w:cs="宋体"/>
                <w:sz w:val="24"/>
              </w:rPr>
            </w:pPr>
            <w:r>
              <w:rPr>
                <w:rFonts w:hint="eastAsia" w:ascii="宋体" w:hAnsi="宋体" w:cs="宋体"/>
                <w:sz w:val="24"/>
              </w:rPr>
              <w:t>不满足以下要求或不提供方案或方案不符合采购人实际或项目需求的不得分。</w:t>
            </w:r>
          </w:p>
          <w:p>
            <w:pPr>
              <w:suppressAutoHyphens/>
              <w:spacing w:before="120" w:line="360" w:lineRule="auto"/>
              <w:jc w:val="left"/>
              <w:rPr>
                <w:rFonts w:hint="eastAsia" w:ascii="宋体" w:hAnsi="宋体" w:cs="宋体"/>
                <w:sz w:val="24"/>
              </w:rPr>
            </w:pPr>
            <w:r>
              <w:rPr>
                <w:rFonts w:hint="eastAsia" w:ascii="宋体" w:hAnsi="宋体" w:cs="宋体"/>
                <w:sz w:val="24"/>
              </w:rPr>
              <w:t>不满足以下要求或不提供方案或方案不符合采购人实际或项目需求的不得分。</w:t>
            </w:r>
          </w:p>
          <w:p>
            <w:pPr>
              <w:suppressAutoHyphens/>
              <w:spacing w:before="120" w:line="360" w:lineRule="auto"/>
              <w:jc w:val="left"/>
              <w:rPr>
                <w:rFonts w:ascii="宋体" w:hAnsi="宋体" w:cs="宋体"/>
                <w:sz w:val="24"/>
              </w:rPr>
            </w:pPr>
            <w:r>
              <w:rPr>
                <w:rFonts w:hint="eastAsia" w:ascii="宋体" w:hAnsi="宋体" w:cs="宋体"/>
                <w:sz w:val="24"/>
              </w:rPr>
              <w:t>一档（2分）：方案对采购项目建设目标有正确理解，结合项目建设目标，从设备选型、设备备货、供货、到货、安装、调试等等都有详细且正确的计划、流程和进度安排，对各系统功能配置的说明细致。</w:t>
            </w:r>
          </w:p>
          <w:p>
            <w:pPr>
              <w:suppressAutoHyphens/>
              <w:spacing w:before="120" w:line="360" w:lineRule="auto"/>
              <w:jc w:val="left"/>
              <w:rPr>
                <w:rFonts w:ascii="宋体" w:hAnsi="宋体" w:cs="宋体"/>
                <w:sz w:val="24"/>
              </w:rPr>
            </w:pPr>
            <w:r>
              <w:rPr>
                <w:rFonts w:hint="eastAsia" w:ascii="宋体" w:hAnsi="宋体" w:cs="宋体"/>
                <w:sz w:val="24"/>
              </w:rPr>
              <w:t>二档（4分）：在满足上一档的基础上，提供详细的室内设备安装示意图，设计方案及布点布线规划图纸，各项图纸附有详细的设计及功能说明；</w:t>
            </w:r>
          </w:p>
          <w:p>
            <w:pPr>
              <w:suppressAutoHyphens/>
              <w:spacing w:before="120" w:line="360" w:lineRule="auto"/>
              <w:jc w:val="left"/>
              <w:rPr>
                <w:rFonts w:hint="default" w:eastAsia="宋体"/>
                <w:lang w:val="en-US" w:eastAsia="zh-CN"/>
              </w:rPr>
            </w:pPr>
            <w:r>
              <w:rPr>
                <w:rFonts w:hint="eastAsia" w:ascii="宋体" w:hAnsi="宋体" w:cs="宋体"/>
                <w:sz w:val="24"/>
              </w:rPr>
              <w:t>三档（6分）：在满足上一档的基础上，汇总项目实施过程中可能出现的紧急情况清单并针对不同情况编制有专项预案，包含但不限于备货供货、产品质量、团队人员原因等等造成的问题。并结合采购人目前实际和未来发展，编制有项目未来网络建设的升级提升计划和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Merge w:val="continue"/>
            <w:tcBorders>
              <w:left w:val="single" w:color="auto" w:sz="4" w:space="0"/>
              <w:bottom w:val="single" w:color="auto" w:sz="4" w:space="0"/>
              <w:right w:val="single" w:color="auto" w:sz="4" w:space="0"/>
            </w:tcBorders>
            <w:vAlign w:val="center"/>
          </w:tcPr>
          <w:p>
            <w:pPr>
              <w:spacing w:before="120" w:line="360" w:lineRule="auto"/>
              <w:ind w:firstLine="480"/>
              <w:jc w:val="center"/>
              <w:rPr>
                <w:rFonts w:ascii="宋体" w:hAnsi="宋体" w:cs="宋体"/>
                <w:b/>
                <w:sz w:val="24"/>
              </w:rPr>
            </w:pPr>
          </w:p>
        </w:tc>
        <w:tc>
          <w:tcPr>
            <w:tcW w:w="1271" w:type="dxa"/>
            <w:vMerge w:val="continue"/>
            <w:tcBorders>
              <w:left w:val="single" w:color="auto" w:sz="4" w:space="0"/>
              <w:bottom w:val="single" w:color="auto" w:sz="4" w:space="0"/>
              <w:right w:val="single" w:color="auto" w:sz="4" w:space="0"/>
            </w:tcBorders>
            <w:vAlign w:val="center"/>
          </w:tcPr>
          <w:p>
            <w:pPr>
              <w:spacing w:before="120" w:line="360" w:lineRule="auto"/>
              <w:ind w:firstLine="480"/>
              <w:jc w:val="center"/>
              <w:rPr>
                <w:rFonts w:ascii="宋体" w:hAnsi="宋体" w:cs="宋体"/>
                <w:b/>
                <w:sz w:val="24"/>
              </w:rPr>
            </w:pPr>
          </w:p>
        </w:tc>
        <w:tc>
          <w:tcPr>
            <w:tcW w:w="850"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before="120" w:line="360" w:lineRule="auto"/>
              <w:jc w:val="left"/>
              <w:rPr>
                <w:rFonts w:ascii="宋体" w:hAnsi="宋体" w:cs="宋体"/>
                <w:kern w:val="0"/>
                <w:sz w:val="24"/>
              </w:rPr>
            </w:pPr>
            <w:r>
              <w:rPr>
                <w:rFonts w:hint="eastAsia" w:ascii="宋体" w:hAnsi="宋体" w:cs="宋体"/>
                <w:kern w:val="0"/>
                <w:sz w:val="24"/>
              </w:rPr>
              <w:t>调试及联网方案，满分6分</w:t>
            </w:r>
          </w:p>
        </w:tc>
        <w:tc>
          <w:tcPr>
            <w:tcW w:w="6876" w:type="dxa"/>
            <w:tcBorders>
              <w:top w:val="single" w:color="auto" w:sz="4" w:space="0"/>
              <w:left w:val="single" w:color="auto" w:sz="4" w:space="0"/>
              <w:bottom w:val="single" w:color="auto" w:sz="4" w:space="0"/>
              <w:right w:val="single" w:color="auto" w:sz="4" w:space="0"/>
            </w:tcBorders>
            <w:vAlign w:val="center"/>
          </w:tcPr>
          <w:p>
            <w:pPr>
              <w:suppressAutoHyphens/>
              <w:spacing w:before="120" w:line="360" w:lineRule="auto"/>
              <w:jc w:val="left"/>
              <w:rPr>
                <w:rFonts w:ascii="宋体" w:hAnsi="宋体" w:cs="宋体"/>
                <w:sz w:val="24"/>
              </w:rPr>
            </w:pPr>
            <w:r>
              <w:rPr>
                <w:rFonts w:hint="eastAsia" w:ascii="宋体" w:hAnsi="宋体" w:cs="宋体"/>
                <w:sz w:val="24"/>
              </w:rPr>
              <w:t>不满足以下要求或不提供方案或方案不符合采购人实际或项目需求的不得分。</w:t>
            </w:r>
          </w:p>
          <w:p>
            <w:pPr>
              <w:suppressAutoHyphens/>
              <w:spacing w:before="120" w:line="360" w:lineRule="auto"/>
              <w:jc w:val="left"/>
              <w:rPr>
                <w:rFonts w:ascii="宋体" w:hAnsi="宋体" w:cs="宋体"/>
                <w:sz w:val="24"/>
              </w:rPr>
            </w:pPr>
            <w:r>
              <w:rPr>
                <w:rFonts w:hint="eastAsia" w:ascii="宋体" w:hAnsi="宋体" w:cs="宋体"/>
                <w:sz w:val="24"/>
              </w:rPr>
              <w:t>一档（2分）：方案能够正确且详细列出分项设备及项目整体调试及联网的主要工作内容、流程、时效等各项方案内容的；至少投入1名具有网络建设相关专业中级或以上技术职称的人员负责调试联网工作；</w:t>
            </w:r>
          </w:p>
          <w:p>
            <w:pPr>
              <w:suppressAutoHyphens/>
              <w:spacing w:before="120" w:line="360" w:lineRule="auto"/>
              <w:jc w:val="left"/>
              <w:rPr>
                <w:rFonts w:ascii="宋体" w:hAnsi="宋体" w:cs="宋体"/>
                <w:sz w:val="24"/>
              </w:rPr>
            </w:pPr>
            <w:r>
              <w:rPr>
                <w:rFonts w:hint="eastAsia" w:ascii="宋体" w:hAnsi="宋体" w:cs="宋体"/>
                <w:sz w:val="24"/>
              </w:rPr>
              <w:t>二档（4分）：在满足上一档的基础上，方案能提供联网调试的技术重点难点及处理难重点相应的技术手段，且至少投入2名具有网络建设相关专业中级或以上技术职称的人员负责调试联网工作；</w:t>
            </w:r>
          </w:p>
          <w:p>
            <w:pPr>
              <w:suppressAutoHyphens/>
              <w:spacing w:before="120" w:line="360" w:lineRule="auto"/>
              <w:jc w:val="left"/>
              <w:rPr>
                <w:rFonts w:ascii="宋体" w:hAnsi="宋体" w:cs="宋体"/>
                <w:sz w:val="24"/>
              </w:rPr>
            </w:pPr>
            <w:r>
              <w:rPr>
                <w:rFonts w:hint="eastAsia" w:ascii="宋体" w:hAnsi="宋体" w:cs="宋体"/>
                <w:sz w:val="24"/>
              </w:rPr>
              <w:t>三档（6分）：在满足上一档的基础上，列出调试联网工作过程中可能出现的问题清单，分析问题出现的原因并给出解决问题的措施。同时至少投入3名以上具有中级或以上技术职称的工作人员负责调试联网工作。</w:t>
            </w:r>
          </w:p>
          <w:p>
            <w:pPr>
              <w:suppressAutoHyphens/>
              <w:spacing w:before="120" w:line="360" w:lineRule="auto"/>
              <w:jc w:val="left"/>
              <w:rPr>
                <w:rFonts w:ascii="宋体" w:hAnsi="宋体" w:cs="宋体"/>
                <w:sz w:val="24"/>
              </w:rPr>
            </w:pPr>
            <w:r>
              <w:rPr>
                <w:rFonts w:hint="eastAsia" w:ascii="宋体" w:hAnsi="宋体" w:cs="宋体"/>
                <w:sz w:val="24"/>
              </w:rPr>
              <w:t>投标文件中提供拟投入人员的身份证、职称证以及投标截止日期前半年内其中1个月投标人为其缴纳的社保证明或其他协议、凭证等等。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709" w:type="dxa"/>
            <w:vMerge w:val="continue"/>
            <w:tcBorders>
              <w:left w:val="single" w:color="auto" w:sz="4" w:space="0"/>
              <w:bottom w:val="single" w:color="auto" w:sz="4" w:space="0"/>
              <w:right w:val="single" w:color="auto" w:sz="4" w:space="0"/>
            </w:tcBorders>
            <w:vAlign w:val="center"/>
          </w:tcPr>
          <w:p>
            <w:pPr>
              <w:spacing w:before="120" w:line="360" w:lineRule="auto"/>
              <w:ind w:firstLine="480"/>
              <w:jc w:val="center"/>
              <w:rPr>
                <w:rFonts w:ascii="宋体" w:hAnsi="宋体" w:cs="宋体"/>
                <w:b/>
                <w:sz w:val="24"/>
              </w:rPr>
            </w:pPr>
          </w:p>
        </w:tc>
        <w:tc>
          <w:tcPr>
            <w:tcW w:w="1271" w:type="dxa"/>
            <w:vMerge w:val="continue"/>
            <w:tcBorders>
              <w:left w:val="single" w:color="auto" w:sz="4" w:space="0"/>
              <w:bottom w:val="single" w:color="auto" w:sz="4" w:space="0"/>
              <w:right w:val="single" w:color="auto" w:sz="4" w:space="0"/>
            </w:tcBorders>
            <w:vAlign w:val="center"/>
          </w:tcPr>
          <w:p>
            <w:pPr>
              <w:spacing w:before="120" w:line="360" w:lineRule="auto"/>
              <w:ind w:firstLine="480"/>
              <w:jc w:val="center"/>
              <w:rPr>
                <w:rFonts w:ascii="宋体" w:hAnsi="宋体" w:cs="宋体"/>
                <w:b/>
                <w:sz w:val="24"/>
              </w:rPr>
            </w:pPr>
          </w:p>
        </w:tc>
        <w:tc>
          <w:tcPr>
            <w:tcW w:w="850"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before="120" w:line="360" w:lineRule="auto"/>
              <w:jc w:val="left"/>
              <w:rPr>
                <w:rFonts w:ascii="宋体" w:hAnsi="宋体" w:cs="宋体"/>
                <w:kern w:val="0"/>
                <w:sz w:val="24"/>
              </w:rPr>
            </w:pPr>
            <w:r>
              <w:rPr>
                <w:rFonts w:hint="eastAsia" w:ascii="宋体" w:hAnsi="宋体" w:cs="宋体"/>
                <w:sz w:val="24"/>
              </w:rPr>
              <w:t>拟投入的人员团队方案，满分6分</w:t>
            </w:r>
          </w:p>
        </w:tc>
        <w:tc>
          <w:tcPr>
            <w:tcW w:w="6876" w:type="dxa"/>
            <w:tcBorders>
              <w:top w:val="single" w:color="auto" w:sz="4" w:space="0"/>
              <w:left w:val="single" w:color="auto" w:sz="4" w:space="0"/>
              <w:right w:val="single" w:color="auto" w:sz="4" w:space="0"/>
            </w:tcBorders>
            <w:vAlign w:val="center"/>
          </w:tcPr>
          <w:p>
            <w:pPr>
              <w:suppressAutoHyphens/>
              <w:spacing w:before="120" w:line="360" w:lineRule="auto"/>
              <w:jc w:val="left"/>
              <w:rPr>
                <w:rFonts w:ascii="宋体" w:hAnsi="宋体" w:cs="宋体"/>
                <w:sz w:val="24"/>
              </w:rPr>
            </w:pPr>
            <w:r>
              <w:rPr>
                <w:rFonts w:hint="eastAsia" w:ascii="宋体" w:hAnsi="宋体" w:cs="宋体"/>
                <w:sz w:val="24"/>
              </w:rPr>
              <w:t>不满足以下要求或不提供方案或方案不符合采购人实际或项目需求的不得分。</w:t>
            </w:r>
          </w:p>
          <w:p>
            <w:pPr>
              <w:suppressAutoHyphens/>
              <w:spacing w:before="120" w:line="360" w:lineRule="auto"/>
              <w:jc w:val="left"/>
              <w:rPr>
                <w:rFonts w:ascii="宋体" w:hAnsi="宋体" w:cs="宋体"/>
                <w:sz w:val="24"/>
              </w:rPr>
            </w:pPr>
            <w:r>
              <w:rPr>
                <w:rFonts w:hint="eastAsia" w:ascii="宋体" w:hAnsi="宋体" w:cs="宋体"/>
                <w:sz w:val="24"/>
              </w:rPr>
              <w:t>一档（2分）：拟投入本项目实施人员至少9人，岗位覆盖采购、供货、现在安装和调试、联网等项目实施过程的全部岗位，且列明职责，实施人员至少6人为网络建设相关专业大学本科以上学历。</w:t>
            </w:r>
          </w:p>
          <w:p>
            <w:pPr>
              <w:suppressAutoHyphens/>
              <w:spacing w:before="120" w:line="360" w:lineRule="auto"/>
              <w:jc w:val="left"/>
              <w:rPr>
                <w:rFonts w:ascii="宋体" w:hAnsi="宋体" w:cs="宋体"/>
                <w:sz w:val="24"/>
              </w:rPr>
            </w:pPr>
            <w:r>
              <w:rPr>
                <w:rFonts w:hint="eastAsia" w:ascii="宋体" w:hAnsi="宋体" w:cs="宋体"/>
                <w:sz w:val="24"/>
              </w:rPr>
              <w:t>二档（4分）：在满足上一档的基础上，拟投入人员至少12人，且生产厂家技术人员至少1人以上，项目负责人具有网络建设相关专业高级职称。</w:t>
            </w:r>
          </w:p>
          <w:p>
            <w:pPr>
              <w:suppressAutoHyphens/>
              <w:spacing w:before="120" w:line="360" w:lineRule="auto"/>
              <w:jc w:val="left"/>
              <w:rPr>
                <w:rFonts w:ascii="宋体" w:hAnsi="宋体" w:cs="宋体"/>
                <w:sz w:val="24"/>
              </w:rPr>
            </w:pPr>
            <w:r>
              <w:rPr>
                <w:rFonts w:hint="eastAsia" w:ascii="宋体" w:hAnsi="宋体" w:cs="宋体"/>
                <w:sz w:val="24"/>
              </w:rPr>
              <w:t>三档（6分）：在满足上一档的基础上，拟投入人员至少15人，其中生产厂家技术人员至少2人，且承诺厂家技术人员服务期从设备进场直到项目整体验收合格止。</w:t>
            </w:r>
          </w:p>
          <w:p>
            <w:pPr>
              <w:pStyle w:val="2"/>
              <w:spacing w:line="360" w:lineRule="auto"/>
              <w:ind w:firstLine="0" w:firstLineChars="0"/>
            </w:pPr>
            <w:r>
              <w:rPr>
                <w:rFonts w:hint="eastAsia" w:ascii="宋体" w:hAnsi="宋体" w:cs="宋体"/>
                <w:sz w:val="24"/>
              </w:rPr>
              <w:t>投标文件中提供拟投入人员的身份证、毕业证、职称证（如有）以及投标截止日期前半年内其中1个月投标人或生产厂家为其缴纳的社保证明或其他协议、凭证等等。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3</w:t>
            </w:r>
          </w:p>
        </w:tc>
        <w:tc>
          <w:tcPr>
            <w:tcW w:w="1271" w:type="dxa"/>
            <w:tcBorders>
              <w:left w:val="single" w:color="auto" w:sz="4" w:space="0"/>
              <w:bottom w:val="single" w:color="auto" w:sz="4" w:space="0"/>
              <w:right w:val="single" w:color="auto" w:sz="4" w:space="0"/>
            </w:tcBorders>
            <w:vAlign w:val="center"/>
          </w:tcPr>
          <w:p>
            <w:pPr>
              <w:spacing w:before="120" w:line="360" w:lineRule="auto"/>
              <w:jc w:val="center"/>
              <w:rPr>
                <w:rFonts w:ascii="宋体" w:hAnsi="宋体" w:cs="宋体"/>
                <w:b/>
                <w:sz w:val="24"/>
              </w:rPr>
            </w:pPr>
            <w:r>
              <w:rPr>
                <w:rFonts w:hint="eastAsia" w:ascii="宋体" w:hAnsi="宋体" w:cs="宋体"/>
                <w:sz w:val="24"/>
              </w:rPr>
              <w:t>售后服务6分</w:t>
            </w:r>
          </w:p>
        </w:tc>
        <w:tc>
          <w:tcPr>
            <w:tcW w:w="85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before="120" w:line="360" w:lineRule="auto"/>
              <w:jc w:val="center"/>
              <w:rPr>
                <w:rFonts w:ascii="宋体" w:hAnsi="宋体" w:cs="宋体"/>
                <w:sz w:val="24"/>
              </w:rPr>
            </w:pPr>
            <w:r>
              <w:rPr>
                <w:rFonts w:hint="eastAsia" w:ascii="宋体" w:hAnsi="宋体" w:cs="宋体"/>
                <w:sz w:val="24"/>
              </w:rPr>
              <w:t>售后服务（满分6分）</w:t>
            </w:r>
          </w:p>
        </w:tc>
        <w:tc>
          <w:tcPr>
            <w:tcW w:w="687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 w:val="24"/>
              </w:rPr>
            </w:pPr>
            <w:r>
              <w:rPr>
                <w:rFonts w:hint="eastAsia" w:ascii="宋体" w:hAnsi="宋体" w:cs="宋体"/>
                <w:sz w:val="24"/>
              </w:rPr>
              <w:t>不满足以下要求或不提供方案或方案不符合采购人实际或项目需求的不得分。</w:t>
            </w:r>
          </w:p>
          <w:p>
            <w:pPr>
              <w:spacing w:line="440" w:lineRule="exact"/>
              <w:rPr>
                <w:rFonts w:ascii="宋体" w:hAnsi="宋体" w:cs="宋体"/>
                <w:sz w:val="24"/>
              </w:rPr>
            </w:pPr>
            <w:r>
              <w:rPr>
                <w:rFonts w:hint="eastAsia" w:ascii="宋体" w:hAnsi="宋体" w:cs="宋体"/>
                <w:sz w:val="24"/>
              </w:rPr>
              <w:t>一档（2分）：售后保障措施完整，对系统的维护提供整体维护解决方案，有免费的培训计划和定期回访计划；提供7×24小时售后服务电话。常驻项目所在地的售后服务技术人员至少1人，提供不少于3个月的驻点服务。</w:t>
            </w:r>
          </w:p>
          <w:p>
            <w:pPr>
              <w:spacing w:line="440" w:lineRule="exact"/>
              <w:rPr>
                <w:rFonts w:ascii="宋体" w:hAnsi="宋体" w:cs="宋体"/>
                <w:sz w:val="24"/>
              </w:rPr>
            </w:pPr>
            <w:r>
              <w:rPr>
                <w:rFonts w:hint="eastAsia" w:ascii="宋体" w:hAnsi="宋体" w:cs="宋体"/>
                <w:sz w:val="24"/>
              </w:rPr>
              <w:t>二档（4分）：在满足上一档的基础上，方案承诺有应急替换设备等，对系统的维护提供整体维护解决方案和运行维护应急预案；常驻项目所在地的售后服务技术人员提供不少于6个月的驻点服务</w:t>
            </w:r>
          </w:p>
          <w:p>
            <w:pPr>
              <w:suppressAutoHyphens/>
              <w:spacing w:before="120" w:line="360" w:lineRule="auto"/>
              <w:jc w:val="left"/>
              <w:rPr>
                <w:rFonts w:ascii="宋体" w:hAnsi="宋体" w:cs="宋体"/>
                <w:sz w:val="24"/>
              </w:rPr>
            </w:pPr>
            <w:r>
              <w:rPr>
                <w:rFonts w:hint="eastAsia" w:ascii="宋体" w:hAnsi="宋体" w:cs="宋体"/>
                <w:sz w:val="24"/>
              </w:rPr>
              <w:t>三档（6分）：在满足上一档的基础上，接到服务需求后0.5个小时内响应、2个小时内到达现场，提供系统维护信息档案管理，常驻项目所在地的售后服务技术人员提供不少于12个月的驻点服务。</w:t>
            </w:r>
          </w:p>
          <w:p>
            <w:pPr>
              <w:suppressAutoHyphens/>
              <w:spacing w:before="120" w:line="360" w:lineRule="auto"/>
              <w:jc w:val="left"/>
              <w:rPr>
                <w:rFonts w:ascii="宋体" w:hAnsi="宋体" w:cs="宋体"/>
                <w:sz w:val="24"/>
              </w:rPr>
            </w:pPr>
            <w:r>
              <w:rPr>
                <w:rFonts w:hint="eastAsia" w:ascii="宋体" w:hAnsi="宋体" w:cs="宋体"/>
                <w:sz w:val="24"/>
              </w:rPr>
              <w:t>投标文件中提供经投标人法定代表人签字确认的售后服务承诺函，以及拟投入人员的身份证、职称证（如有）以及投标截止日期前半年内其中1个月投标人为其缴纳的社保证明或其他协议、凭证等等。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70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4</w:t>
            </w:r>
          </w:p>
        </w:tc>
        <w:tc>
          <w:tcPr>
            <w:tcW w:w="1271" w:type="dxa"/>
            <w:vMerge w:val="restart"/>
            <w:tcBorders>
              <w:top w:val="single" w:color="auto" w:sz="4" w:space="0"/>
              <w:left w:val="single" w:color="auto" w:sz="4" w:space="0"/>
              <w:right w:val="single" w:color="auto" w:sz="4" w:space="0"/>
            </w:tcBorders>
            <w:vAlign w:val="center"/>
          </w:tcPr>
          <w:p>
            <w:pPr>
              <w:adjustRightInd w:val="0"/>
              <w:spacing w:before="120" w:line="360" w:lineRule="auto"/>
              <w:jc w:val="center"/>
              <w:textAlignment w:val="baseline"/>
              <w:rPr>
                <w:rFonts w:ascii="宋体" w:hAnsi="宋体" w:cs="宋体"/>
                <w:sz w:val="24"/>
              </w:rPr>
            </w:pPr>
            <w:r>
              <w:rPr>
                <w:rFonts w:hint="eastAsia" w:ascii="宋体" w:hAnsi="宋体" w:cs="宋体"/>
                <w:sz w:val="24"/>
              </w:rPr>
              <w:t>商务分</w:t>
            </w:r>
          </w:p>
          <w:p>
            <w:pPr>
              <w:adjustRightInd w:val="0"/>
              <w:spacing w:before="120" w:line="360" w:lineRule="auto"/>
              <w:jc w:val="center"/>
              <w:textAlignment w:val="baseline"/>
              <w:rPr>
                <w:rFonts w:ascii="宋体" w:hAnsi="宋体" w:cs="宋体"/>
                <w:sz w:val="24"/>
              </w:rPr>
            </w:pPr>
            <w:r>
              <w:rPr>
                <w:rFonts w:hint="eastAsia" w:ascii="宋体" w:hAnsi="宋体" w:cs="宋体"/>
                <w:sz w:val="24"/>
              </w:rPr>
              <w:t>（满分</w:t>
            </w:r>
            <w:r>
              <w:rPr>
                <w:rFonts w:ascii="宋体" w:hAnsi="宋体" w:cs="宋体"/>
                <w:sz w:val="24"/>
              </w:rPr>
              <w:t>10</w:t>
            </w:r>
            <w:r>
              <w:rPr>
                <w:rFonts w:hint="eastAsia" w:ascii="宋体" w:hAnsi="宋体" w:cs="宋体"/>
                <w:sz w:val="24"/>
              </w:rPr>
              <w:t>分）</w:t>
            </w:r>
          </w:p>
        </w:tc>
        <w:tc>
          <w:tcPr>
            <w:tcW w:w="850"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before="120" w:line="360" w:lineRule="auto"/>
              <w:jc w:val="center"/>
              <w:rPr>
                <w:rFonts w:ascii="宋体" w:hAnsi="宋体" w:cs="宋体"/>
                <w:sz w:val="24"/>
              </w:rPr>
            </w:pPr>
            <w:r>
              <w:rPr>
                <w:rFonts w:hint="eastAsia" w:ascii="宋体" w:hAnsi="宋体" w:cs="宋体"/>
                <w:sz w:val="24"/>
              </w:rPr>
              <w:t>质量保证期（满分2分）</w:t>
            </w:r>
          </w:p>
        </w:tc>
        <w:tc>
          <w:tcPr>
            <w:tcW w:w="6876" w:type="dxa"/>
            <w:tcBorders>
              <w:top w:val="single" w:color="auto" w:sz="4" w:space="0"/>
              <w:left w:val="single" w:color="auto" w:sz="4" w:space="0"/>
              <w:bottom w:val="single" w:color="auto" w:sz="4" w:space="0"/>
              <w:right w:val="single" w:color="auto" w:sz="4" w:space="0"/>
            </w:tcBorders>
          </w:tcPr>
          <w:p>
            <w:pPr>
              <w:spacing w:before="120" w:line="360" w:lineRule="auto"/>
              <w:rPr>
                <w:szCs w:val="21"/>
              </w:rPr>
            </w:pPr>
            <w:r>
              <w:rPr>
                <w:rFonts w:hint="eastAsia" w:ascii="宋体" w:hAnsi="宋体" w:cs="宋体"/>
                <w:sz w:val="24"/>
              </w:rPr>
              <w:t>在满足基本质量保证期后，项目整体质保期延长6个月得</w:t>
            </w:r>
            <w:r>
              <w:rPr>
                <w:rFonts w:ascii="宋体" w:hAnsi="宋体" w:cs="宋体"/>
                <w:sz w:val="24"/>
              </w:rPr>
              <w:t>0.5</w:t>
            </w:r>
            <w:r>
              <w:rPr>
                <w:rFonts w:hint="eastAsia" w:ascii="宋体" w:hAnsi="宋体" w:cs="宋体"/>
                <w:sz w:val="24"/>
              </w:rPr>
              <w:t>分，满分2分（延长的质保期内，采购人一切免费质保权利同原质保期保持一致。投标文件中提供承诺并加盖投标人公章（设备类产品，在承诺中需体现供货时提生产厂家出具的延保承诺函原件。）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09" w:type="dxa"/>
            <w:vMerge w:val="continue"/>
            <w:tcBorders>
              <w:left w:val="single" w:color="auto" w:sz="4" w:space="0"/>
              <w:right w:val="single" w:color="auto" w:sz="4" w:space="0"/>
            </w:tcBorders>
            <w:vAlign w:val="center"/>
          </w:tcPr>
          <w:p>
            <w:pPr>
              <w:spacing w:before="120" w:line="360" w:lineRule="auto"/>
              <w:ind w:firstLine="480"/>
              <w:jc w:val="center"/>
              <w:rPr>
                <w:rFonts w:ascii="宋体" w:hAnsi="宋体" w:cs="宋体"/>
                <w:b/>
                <w:sz w:val="24"/>
              </w:rPr>
            </w:pPr>
          </w:p>
        </w:tc>
        <w:tc>
          <w:tcPr>
            <w:tcW w:w="1271" w:type="dxa"/>
            <w:vMerge w:val="continue"/>
            <w:tcBorders>
              <w:left w:val="single" w:color="auto" w:sz="4" w:space="0"/>
              <w:right w:val="single" w:color="auto" w:sz="4" w:space="0"/>
            </w:tcBorders>
            <w:vAlign w:val="center"/>
          </w:tcPr>
          <w:p>
            <w:pPr>
              <w:adjustRightInd w:val="0"/>
              <w:spacing w:before="120" w:line="360" w:lineRule="auto"/>
              <w:jc w:val="center"/>
              <w:textAlignment w:val="baseline"/>
              <w:rPr>
                <w:rFonts w:ascii="宋体" w:hAnsi="宋体" w:cs="宋体"/>
                <w:sz w:val="24"/>
              </w:rPr>
            </w:pPr>
          </w:p>
        </w:tc>
        <w:tc>
          <w:tcPr>
            <w:tcW w:w="850"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before="120" w:line="360" w:lineRule="auto"/>
              <w:jc w:val="center"/>
              <w:rPr>
                <w:rFonts w:ascii="宋体" w:hAnsi="宋体" w:cs="宋体"/>
                <w:sz w:val="24"/>
              </w:rPr>
            </w:pPr>
            <w:r>
              <w:rPr>
                <w:rFonts w:hint="eastAsia" w:ascii="宋体" w:hAnsi="宋体" w:cs="宋体"/>
                <w:sz w:val="24"/>
              </w:rPr>
              <w:t>业绩（满分</w:t>
            </w:r>
            <w:r>
              <w:rPr>
                <w:rFonts w:ascii="宋体" w:hAnsi="宋体" w:cs="宋体"/>
                <w:sz w:val="24"/>
              </w:rPr>
              <w:t>4</w:t>
            </w:r>
            <w:r>
              <w:rPr>
                <w:rFonts w:hint="eastAsia" w:ascii="宋体" w:hAnsi="宋体" w:cs="宋体"/>
                <w:sz w:val="24"/>
              </w:rPr>
              <w:t>分）</w:t>
            </w:r>
          </w:p>
        </w:tc>
        <w:tc>
          <w:tcPr>
            <w:tcW w:w="6876" w:type="dxa"/>
            <w:tcBorders>
              <w:top w:val="single" w:color="auto" w:sz="4" w:space="0"/>
              <w:left w:val="single" w:color="auto" w:sz="4" w:space="0"/>
              <w:bottom w:val="single" w:color="auto" w:sz="4" w:space="0"/>
              <w:right w:val="single" w:color="auto" w:sz="4" w:space="0"/>
            </w:tcBorders>
          </w:tcPr>
          <w:p>
            <w:pPr>
              <w:spacing w:before="120" w:line="360" w:lineRule="auto"/>
              <w:rPr>
                <w:rFonts w:ascii="宋体" w:hAnsi="宋体" w:cs="宋体"/>
                <w:sz w:val="24"/>
              </w:rPr>
            </w:pPr>
            <w:r>
              <w:rPr>
                <w:rFonts w:hint="eastAsia" w:ascii="宋体" w:hAnsi="宋体" w:cs="宋体"/>
                <w:sz w:val="24"/>
              </w:rPr>
              <w:t>投标人自2021年1月1日（以合同签订时间为准）以来承接同类型项目，每项业绩得</w:t>
            </w:r>
            <w:r>
              <w:rPr>
                <w:rFonts w:ascii="宋体" w:hAnsi="宋体" w:cs="宋体"/>
                <w:sz w:val="24"/>
              </w:rPr>
              <w:t>1</w:t>
            </w:r>
            <w:r>
              <w:rPr>
                <w:rFonts w:hint="eastAsia" w:ascii="宋体" w:hAnsi="宋体" w:cs="宋体"/>
                <w:sz w:val="24"/>
              </w:rPr>
              <w:t>分，本项最多得</w:t>
            </w:r>
            <w:r>
              <w:rPr>
                <w:rFonts w:ascii="宋体" w:hAnsi="宋体" w:cs="宋体"/>
                <w:sz w:val="24"/>
              </w:rPr>
              <w:t>4</w:t>
            </w:r>
            <w:r>
              <w:rPr>
                <w:rFonts w:hint="eastAsia" w:ascii="宋体" w:hAnsi="宋体" w:cs="宋体"/>
                <w:sz w:val="24"/>
              </w:rPr>
              <w:t>分。</w:t>
            </w:r>
          </w:p>
          <w:p>
            <w:pPr>
              <w:spacing w:before="120" w:line="360" w:lineRule="auto"/>
              <w:rPr>
                <w:rFonts w:ascii="宋体" w:hAnsi="宋体" w:cs="宋体"/>
                <w:sz w:val="24"/>
              </w:rPr>
            </w:pPr>
            <w:r>
              <w:rPr>
                <w:rFonts w:hint="eastAsia" w:ascii="宋体" w:hAnsi="宋体" w:cs="宋体"/>
                <w:sz w:val="24"/>
              </w:rPr>
              <w:t>注：</w:t>
            </w:r>
          </w:p>
          <w:p>
            <w:pPr>
              <w:spacing w:before="120" w:line="360" w:lineRule="auto"/>
              <w:rPr>
                <w:rFonts w:ascii="宋体" w:hAnsi="宋体" w:cs="宋体"/>
                <w:sz w:val="24"/>
              </w:rPr>
            </w:pPr>
            <w:r>
              <w:rPr>
                <w:rFonts w:hint="eastAsia" w:ascii="宋体" w:hAnsi="宋体" w:cs="宋体"/>
                <w:sz w:val="24"/>
              </w:rPr>
              <w:t>1.同类型项目是指含有核心交换机在内的网络设备供货及网络建设项目；</w:t>
            </w:r>
          </w:p>
          <w:p>
            <w:pPr>
              <w:tabs>
                <w:tab w:val="left" w:pos="312"/>
              </w:tabs>
              <w:spacing w:before="120" w:line="360" w:lineRule="auto"/>
              <w:rPr>
                <w:rFonts w:ascii="宋体" w:hAnsi="宋体" w:cs="宋体"/>
                <w:sz w:val="24"/>
              </w:rPr>
            </w:pPr>
            <w:r>
              <w:rPr>
                <w:rFonts w:hint="eastAsia" w:ascii="宋体" w:hAnsi="宋体" w:cs="宋体"/>
                <w:sz w:val="24"/>
              </w:rPr>
              <w:t>2.业绩证明材料为：中标（成交）公告网页截图及网址、中标（成交）通知书复印件、采购合同文本复印件，以及能够证明该业绩项目已经通采购单位验收合格的相关证明文件复印件。缺项不得分。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09" w:type="dxa"/>
            <w:vMerge w:val="continue"/>
            <w:tcBorders>
              <w:left w:val="single" w:color="auto" w:sz="4" w:space="0"/>
              <w:right w:val="single" w:color="auto" w:sz="4" w:space="0"/>
            </w:tcBorders>
            <w:vAlign w:val="center"/>
          </w:tcPr>
          <w:p>
            <w:pPr>
              <w:spacing w:before="120" w:line="360" w:lineRule="auto"/>
              <w:ind w:firstLine="480"/>
              <w:jc w:val="center"/>
              <w:rPr>
                <w:rFonts w:ascii="宋体" w:hAnsi="宋体" w:cs="宋体"/>
                <w:b/>
                <w:sz w:val="24"/>
              </w:rPr>
            </w:pPr>
          </w:p>
        </w:tc>
        <w:tc>
          <w:tcPr>
            <w:tcW w:w="1271" w:type="dxa"/>
            <w:vMerge w:val="continue"/>
            <w:tcBorders>
              <w:left w:val="single" w:color="auto" w:sz="4" w:space="0"/>
              <w:right w:val="single" w:color="auto" w:sz="4" w:space="0"/>
            </w:tcBorders>
            <w:vAlign w:val="center"/>
          </w:tcPr>
          <w:p>
            <w:pPr>
              <w:adjustRightInd w:val="0"/>
              <w:spacing w:before="120" w:line="360" w:lineRule="auto"/>
              <w:jc w:val="center"/>
              <w:textAlignment w:val="baseline"/>
              <w:rPr>
                <w:rFonts w:ascii="宋体" w:hAnsi="宋体" w:cs="宋体"/>
                <w:sz w:val="24"/>
              </w:rPr>
            </w:pPr>
          </w:p>
        </w:tc>
        <w:tc>
          <w:tcPr>
            <w:tcW w:w="850"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spacing w:before="120" w:line="360" w:lineRule="auto"/>
              <w:jc w:val="center"/>
              <w:rPr>
                <w:rFonts w:ascii="宋体" w:hAnsi="宋体" w:cs="宋体"/>
                <w:sz w:val="24"/>
              </w:rPr>
            </w:pPr>
            <w:r>
              <w:rPr>
                <w:rFonts w:hint="eastAsia" w:ascii="宋体" w:hAnsi="宋体" w:cs="宋体"/>
                <w:sz w:val="24"/>
              </w:rPr>
              <w:t>资信分（满分</w:t>
            </w:r>
            <w:r>
              <w:rPr>
                <w:rFonts w:ascii="宋体" w:hAnsi="宋体" w:cs="宋体"/>
                <w:sz w:val="24"/>
              </w:rPr>
              <w:t>2</w:t>
            </w:r>
            <w:r>
              <w:rPr>
                <w:rFonts w:hint="eastAsia" w:ascii="宋体" w:hAnsi="宋体" w:cs="宋体"/>
                <w:sz w:val="24"/>
              </w:rPr>
              <w:t>分）</w:t>
            </w:r>
          </w:p>
        </w:tc>
        <w:tc>
          <w:tcPr>
            <w:tcW w:w="6876" w:type="dxa"/>
            <w:tcBorders>
              <w:top w:val="single" w:color="auto" w:sz="4" w:space="0"/>
              <w:left w:val="single" w:color="auto" w:sz="4" w:space="0"/>
              <w:bottom w:val="single" w:color="auto" w:sz="4" w:space="0"/>
              <w:right w:val="single" w:color="auto" w:sz="4" w:space="0"/>
            </w:tcBorders>
          </w:tcPr>
          <w:p>
            <w:pPr>
              <w:spacing w:before="120" w:line="360" w:lineRule="auto"/>
              <w:rPr>
                <w:rFonts w:ascii="宋体" w:hAnsi="宋体" w:cs="宋体"/>
                <w:sz w:val="24"/>
              </w:rPr>
            </w:pPr>
            <w:r>
              <w:rPr>
                <w:rFonts w:hint="eastAsia" w:ascii="宋体" w:hAnsi="宋体" w:cs="宋体"/>
                <w:sz w:val="24"/>
              </w:rPr>
              <w:t>1）投标人具备有效的ISO9001质量管理体系认证证书得</w:t>
            </w:r>
            <w:r>
              <w:rPr>
                <w:rFonts w:ascii="宋体" w:hAnsi="宋体" w:cs="宋体"/>
                <w:sz w:val="24"/>
              </w:rPr>
              <w:t>0.5</w:t>
            </w:r>
            <w:r>
              <w:rPr>
                <w:rFonts w:hint="eastAsia" w:ascii="宋体" w:hAnsi="宋体" w:cs="宋体"/>
                <w:sz w:val="24"/>
              </w:rPr>
              <w:t>分；</w:t>
            </w:r>
          </w:p>
          <w:p>
            <w:pPr>
              <w:spacing w:before="120" w:line="360" w:lineRule="auto"/>
              <w:rPr>
                <w:rFonts w:ascii="宋体" w:hAnsi="宋体" w:cs="宋体"/>
                <w:sz w:val="24"/>
              </w:rPr>
            </w:pPr>
            <w:r>
              <w:rPr>
                <w:rFonts w:hint="eastAsia" w:ascii="宋体" w:hAnsi="宋体" w:cs="宋体"/>
                <w:sz w:val="24"/>
              </w:rPr>
              <w:t>2）投标人具备有效的ISO14001环境管理体系认证证书得</w:t>
            </w:r>
            <w:r>
              <w:rPr>
                <w:rFonts w:ascii="宋体" w:hAnsi="宋体" w:cs="宋体"/>
                <w:sz w:val="24"/>
              </w:rPr>
              <w:t>0.5</w:t>
            </w:r>
            <w:r>
              <w:rPr>
                <w:rFonts w:hint="eastAsia" w:ascii="宋体" w:hAnsi="宋体" w:cs="宋体"/>
                <w:sz w:val="24"/>
              </w:rPr>
              <w:t>分。</w:t>
            </w:r>
          </w:p>
          <w:p>
            <w:pPr>
              <w:spacing w:before="120" w:line="360" w:lineRule="auto"/>
              <w:rPr>
                <w:rFonts w:ascii="宋体" w:hAnsi="宋体" w:cs="宋体"/>
                <w:sz w:val="24"/>
              </w:rPr>
            </w:pPr>
            <w:r>
              <w:rPr>
                <w:rFonts w:hint="eastAsia" w:ascii="宋体" w:hAnsi="宋体" w:cs="宋体"/>
                <w:sz w:val="24"/>
              </w:rPr>
              <w:t>3）投标人具备有效的ISO45001职业健康安全管理体系认证证书，得</w:t>
            </w:r>
            <w:r>
              <w:rPr>
                <w:rFonts w:ascii="宋体" w:hAnsi="宋体" w:cs="宋体"/>
                <w:sz w:val="24"/>
              </w:rPr>
              <w:t>0.5</w:t>
            </w:r>
            <w:r>
              <w:rPr>
                <w:rFonts w:hint="eastAsia" w:ascii="宋体" w:hAnsi="宋体" w:cs="宋体"/>
                <w:sz w:val="24"/>
              </w:rPr>
              <w:t>分。</w:t>
            </w:r>
          </w:p>
          <w:p>
            <w:pPr>
              <w:spacing w:before="120" w:line="360" w:lineRule="auto"/>
              <w:rPr>
                <w:rFonts w:ascii="宋体" w:hAnsi="宋体" w:cs="宋体"/>
                <w:sz w:val="24"/>
              </w:rPr>
            </w:pPr>
            <w:r>
              <w:rPr>
                <w:rFonts w:hint="eastAsia" w:ascii="宋体" w:hAnsi="宋体" w:cs="宋体"/>
                <w:sz w:val="24"/>
              </w:rPr>
              <w:t>4）投标人具备有效的ISO20000信息技术服务管理体系认证证书得</w:t>
            </w:r>
            <w:r>
              <w:rPr>
                <w:rFonts w:ascii="宋体" w:hAnsi="宋体" w:cs="宋体"/>
                <w:sz w:val="24"/>
              </w:rPr>
              <w:t>0.5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9" w:type="dxa"/>
            <w:vMerge w:val="continue"/>
            <w:tcBorders>
              <w:left w:val="single" w:color="auto" w:sz="4" w:space="0"/>
              <w:right w:val="single" w:color="auto" w:sz="4" w:space="0"/>
            </w:tcBorders>
            <w:vAlign w:val="center"/>
          </w:tcPr>
          <w:p>
            <w:pPr>
              <w:spacing w:before="120" w:line="360" w:lineRule="auto"/>
              <w:ind w:firstLine="480"/>
              <w:jc w:val="center"/>
              <w:rPr>
                <w:rFonts w:ascii="宋体" w:hAnsi="宋体" w:cs="宋体"/>
                <w:b/>
                <w:sz w:val="24"/>
              </w:rPr>
            </w:pPr>
          </w:p>
        </w:tc>
        <w:tc>
          <w:tcPr>
            <w:tcW w:w="1271" w:type="dxa"/>
            <w:vMerge w:val="continue"/>
            <w:tcBorders>
              <w:left w:val="single" w:color="auto" w:sz="4" w:space="0"/>
              <w:right w:val="single" w:color="auto" w:sz="4" w:space="0"/>
            </w:tcBorders>
            <w:vAlign w:val="center"/>
          </w:tcPr>
          <w:p>
            <w:pPr>
              <w:spacing w:before="120" w:line="360" w:lineRule="auto"/>
              <w:jc w:val="center"/>
              <w:rPr>
                <w:rFonts w:ascii="宋体" w:hAnsi="宋体" w:cs="宋体"/>
                <w:sz w:val="24"/>
              </w:rPr>
            </w:pPr>
          </w:p>
        </w:tc>
        <w:tc>
          <w:tcPr>
            <w:tcW w:w="850" w:type="dxa"/>
            <w:tcBorders>
              <w:top w:val="single" w:color="auto" w:sz="4" w:space="0"/>
              <w:left w:val="single" w:color="auto" w:sz="4" w:space="0"/>
              <w:right w:val="single" w:color="auto" w:sz="4" w:space="0"/>
            </w:tcBorders>
            <w:tcMar>
              <w:top w:w="0" w:type="dxa"/>
              <w:left w:w="57" w:type="dxa"/>
              <w:bottom w:w="0" w:type="dxa"/>
              <w:right w:w="57" w:type="dxa"/>
            </w:tcMar>
            <w:vAlign w:val="center"/>
          </w:tcPr>
          <w:p>
            <w:pPr>
              <w:pStyle w:val="18"/>
              <w:spacing w:before="120" w:line="360" w:lineRule="auto"/>
              <w:rPr>
                <w:rFonts w:ascii="宋体" w:hAnsi="宋体" w:cs="宋体"/>
                <w:sz w:val="24"/>
              </w:rPr>
            </w:pPr>
            <w:r>
              <w:rPr>
                <w:rFonts w:hint="eastAsia" w:ascii="宋体" w:hAnsi="宋体" w:cs="宋体"/>
                <w:sz w:val="24"/>
              </w:rPr>
              <w:t>政策功能分（满分2分）节能、环保产品</w:t>
            </w:r>
          </w:p>
        </w:tc>
        <w:tc>
          <w:tcPr>
            <w:tcW w:w="6876" w:type="dxa"/>
            <w:tcBorders>
              <w:top w:val="single" w:color="auto" w:sz="4" w:space="0"/>
              <w:left w:val="single" w:color="auto" w:sz="4" w:space="0"/>
              <w:right w:val="single" w:color="auto" w:sz="4" w:space="0"/>
            </w:tcBorders>
          </w:tcPr>
          <w:p>
            <w:pPr>
              <w:spacing w:before="120" w:line="360" w:lineRule="auto"/>
              <w:rPr>
                <w:rFonts w:ascii="宋体" w:hAnsi="宋体" w:cs="宋体"/>
                <w:sz w:val="24"/>
              </w:rPr>
            </w:pPr>
            <w:r>
              <w:rPr>
                <w:rFonts w:hint="eastAsia" w:ascii="宋体" w:hAnsi="宋体" w:cs="宋体"/>
                <w:sz w:val="24"/>
              </w:rPr>
              <w:t>1.投标产品中含有政府采购节能产品的，每项得0.2分，满分1分。（适用于非强制采购节能产品，以有效的政府采购节能产品认证证书复印件为准，投标产品需清晰反映在证书上）。</w:t>
            </w:r>
          </w:p>
          <w:p>
            <w:pPr>
              <w:widowControl/>
              <w:spacing w:before="120" w:line="360" w:lineRule="auto"/>
              <w:jc w:val="left"/>
              <w:rPr>
                <w:rFonts w:ascii="宋体" w:hAnsi="宋体" w:cs="宋体"/>
                <w:sz w:val="24"/>
              </w:rPr>
            </w:pPr>
            <w:r>
              <w:rPr>
                <w:rFonts w:hint="eastAsia" w:ascii="宋体" w:hAnsi="宋体" w:cs="宋体"/>
                <w:sz w:val="24"/>
              </w:rPr>
              <w:t>2.投标产品中含有政府采购环境标志产品的，每项得0.2分，满分1分。（以有效的政府采购环境标志产品认证证书复印件为准，投标产品需清晰反映在证书上）。</w:t>
            </w:r>
          </w:p>
          <w:p>
            <w:pPr>
              <w:spacing w:before="120" w:line="360" w:lineRule="auto"/>
              <w:rPr>
                <w:rFonts w:ascii="宋体" w:hAnsi="宋体" w:cs="宋体"/>
                <w:sz w:val="24"/>
              </w:rPr>
            </w:pPr>
            <w:r>
              <w:rPr>
                <w:rFonts w:hint="eastAsia" w:ascii="宋体" w:hAnsi="宋体" w:cs="宋体"/>
                <w:sz w:val="24"/>
              </w:rPr>
              <w:t>注：相关产品须在开标一览表中明确备注，并在投标文件中附有效期内的认证证书。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6" w:type="dxa"/>
            <w:gridSpan w:val="4"/>
            <w:tcBorders>
              <w:left w:val="single" w:color="auto" w:sz="4" w:space="0"/>
              <w:right w:val="single" w:color="auto" w:sz="4" w:space="0"/>
            </w:tcBorders>
            <w:vAlign w:val="center"/>
          </w:tcPr>
          <w:p>
            <w:pPr>
              <w:spacing w:before="120" w:line="360" w:lineRule="auto"/>
              <w:rPr>
                <w:rFonts w:ascii="宋体" w:hAnsi="宋体" w:cs="宋体"/>
                <w:sz w:val="24"/>
              </w:rPr>
            </w:pPr>
            <w:r>
              <w:rPr>
                <w:rFonts w:hint="eastAsia" w:ascii="宋体" w:hAnsi="宋体" w:cs="宋体"/>
                <w:sz w:val="24"/>
              </w:rPr>
              <w:t>总分=1+2+3</w:t>
            </w:r>
            <w:r>
              <w:rPr>
                <w:rFonts w:ascii="宋体" w:hAnsi="宋体" w:cs="宋体"/>
                <w:sz w:val="24"/>
              </w:rPr>
              <w:t>+4</w:t>
            </w:r>
          </w:p>
        </w:tc>
      </w:tr>
    </w:tbl>
    <w:p>
      <w:pPr>
        <w:pStyle w:val="25"/>
        <w:spacing w:before="120" w:line="360" w:lineRule="auto"/>
        <w:ind w:firstLine="482"/>
        <w:rPr>
          <w:rFonts w:hAnsi="宋体" w:cs="宋体"/>
          <w:bCs/>
          <w:sz w:val="24"/>
          <w:szCs w:val="24"/>
        </w:rPr>
      </w:pPr>
    </w:p>
    <w:p>
      <w:pPr>
        <w:widowControl/>
        <w:spacing w:before="120"/>
        <w:ind w:firstLine="602"/>
        <w:jc w:val="left"/>
        <w:rPr>
          <w:rFonts w:ascii="宋体" w:hAnsi="宋体" w:cs="宋体"/>
          <w:sz w:val="30"/>
          <w:szCs w:val="30"/>
        </w:rPr>
      </w:pPr>
      <w:r>
        <w:rPr>
          <w:rFonts w:ascii="宋体" w:hAnsi="宋体" w:cs="宋体"/>
          <w:sz w:val="30"/>
          <w:szCs w:val="30"/>
        </w:rPr>
        <w:br w:type="page"/>
      </w:r>
    </w:p>
    <w:p>
      <w:pPr>
        <w:spacing w:before="120"/>
        <w:ind w:firstLine="482"/>
      </w:pPr>
    </w:p>
    <w:p>
      <w:pPr>
        <w:spacing w:before="120"/>
        <w:ind w:firstLine="482"/>
      </w:pPr>
    </w:p>
    <w:p>
      <w:pPr>
        <w:spacing w:before="120"/>
        <w:ind w:firstLine="602"/>
        <w:jc w:val="center"/>
        <w:rPr>
          <w:rFonts w:ascii="宋体" w:hAnsi="宋体" w:cs="宋体"/>
          <w:sz w:val="30"/>
          <w:szCs w:val="30"/>
        </w:rPr>
      </w:pPr>
      <w:r>
        <w:rPr>
          <w:rFonts w:hint="eastAsia" w:ascii="宋体" w:hAnsi="宋体" w:cs="宋体"/>
          <w:sz w:val="30"/>
          <w:szCs w:val="30"/>
        </w:rPr>
        <w:t>四、中标候选人推荐原则</w:t>
      </w:r>
    </w:p>
    <w:p>
      <w:pPr>
        <w:pStyle w:val="25"/>
        <w:spacing w:before="120" w:line="360" w:lineRule="auto"/>
        <w:contextualSpacing/>
        <w:rPr>
          <w:rFonts w:hAnsi="宋体" w:cs="宋体"/>
          <w:kern w:val="2"/>
          <w:sz w:val="24"/>
          <w:szCs w:val="24"/>
        </w:rPr>
      </w:pPr>
      <w:r>
        <w:rPr>
          <w:rFonts w:hint="eastAsia" w:hAnsi="宋体" w:cs="宋体"/>
          <w:kern w:val="2"/>
          <w:sz w:val="24"/>
          <w:szCs w:val="24"/>
        </w:rPr>
        <w:t>（一）综合评分法</w:t>
      </w:r>
    </w:p>
    <w:p>
      <w:pPr>
        <w:pStyle w:val="25"/>
        <w:spacing w:before="120" w:line="360" w:lineRule="auto"/>
        <w:ind w:firstLine="480" w:firstLineChars="200"/>
        <w:contextualSpacing/>
        <w:rPr>
          <w:rFonts w:hAnsi="宋体" w:cs="宋体"/>
          <w:kern w:val="2"/>
          <w:sz w:val="24"/>
          <w:szCs w:val="24"/>
        </w:rPr>
      </w:pPr>
      <w:r>
        <w:rPr>
          <w:rFonts w:hint="eastAsia" w:hAnsi="宋体" w:cs="宋体"/>
          <w:kern w:val="2"/>
          <w:sz w:val="24"/>
          <w:szCs w:val="24"/>
        </w:rPr>
        <w:t>1</w:t>
      </w:r>
      <w:r>
        <w:rPr>
          <w:rFonts w:hAnsi="宋体" w:cs="宋体"/>
          <w:kern w:val="2"/>
          <w:sz w:val="24"/>
          <w:szCs w:val="24"/>
        </w:rPr>
        <w:t>.</w:t>
      </w:r>
      <w:r>
        <w:rPr>
          <w:rFonts w:hint="eastAsia" w:hAnsi="宋体" w:cs="宋体"/>
          <w:kern w:val="2"/>
          <w:sz w:val="24"/>
          <w:szCs w:val="24"/>
        </w:rPr>
        <w:t>评标委员会将根据总得分由高到低排列次序并推荐中标候选人。得分相同的，按投标报价由低到高顺序排列。得分且投标报价相同的并列，依次按技术评分高的优先、商务评分高的优先、</w:t>
      </w:r>
      <w:r>
        <w:rPr>
          <w:rFonts w:hint="eastAsia" w:hAnsi="宋体" w:cs="宋体"/>
          <w:sz w:val="24"/>
        </w:rPr>
        <w:t>质量保证期</w:t>
      </w:r>
      <w:r>
        <w:rPr>
          <w:rFonts w:hint="eastAsia" w:hAnsi="宋体" w:cs="宋体"/>
          <w:kern w:val="2"/>
          <w:sz w:val="24"/>
          <w:szCs w:val="24"/>
        </w:rPr>
        <w:t>长优先、交货期短优先、故障响应时间短优先、政策分得分高的优先的顺序确定中标候选人。</w:t>
      </w:r>
    </w:p>
    <w:p>
      <w:pPr>
        <w:pStyle w:val="25"/>
        <w:spacing w:before="120" w:line="360" w:lineRule="auto"/>
        <w:ind w:firstLine="480" w:firstLineChars="200"/>
        <w:contextualSpacing/>
        <w:rPr>
          <w:rFonts w:hAnsi="宋体" w:cs="宋体"/>
          <w:kern w:val="2"/>
          <w:sz w:val="24"/>
          <w:szCs w:val="24"/>
        </w:rPr>
      </w:pPr>
      <w:r>
        <w:rPr>
          <w:rFonts w:hint="eastAsia" w:hAnsi="宋体" w:cs="宋体"/>
          <w:kern w:val="2"/>
          <w:sz w:val="24"/>
          <w:szCs w:val="24"/>
        </w:rPr>
        <w:t>2.根据《政府采购货物和服务招标投标管理办法》（财政部令第87号）第三十一条第二款规定，采用综合评分法的采购项目，提供相同品牌产品且通过资格审查、符合性审查的不同投标人参加同一合同项下投标的，按一家投标人计算，评审后得分最高的同品牌投标人获得中标人推荐资格；评审得分相同的，按照“投标人须知前附表”8</w:t>
      </w:r>
      <w:r>
        <w:rPr>
          <w:rFonts w:hAnsi="宋体" w:cs="宋体"/>
          <w:kern w:val="2"/>
          <w:sz w:val="24"/>
          <w:szCs w:val="24"/>
        </w:rPr>
        <w:t>.1</w:t>
      </w:r>
      <w:r>
        <w:rPr>
          <w:rFonts w:hint="eastAsia" w:hAnsi="宋体" w:cs="宋体"/>
          <w:kern w:val="2"/>
          <w:sz w:val="24"/>
          <w:szCs w:val="24"/>
        </w:rPr>
        <w:t xml:space="preserve"> 规定推荐，确定后其他同品牌投标人不作为中标候选人。</w:t>
      </w:r>
    </w:p>
    <w:p>
      <w:pPr>
        <w:pStyle w:val="25"/>
        <w:spacing w:before="120" w:line="360" w:lineRule="auto"/>
        <w:ind w:firstLine="480" w:firstLineChars="200"/>
        <w:contextualSpacing/>
        <w:rPr>
          <w:rFonts w:hAnsi="宋体" w:cs="宋体"/>
          <w:sz w:val="24"/>
          <w:szCs w:val="24"/>
        </w:rPr>
      </w:pPr>
    </w:p>
    <w:p>
      <w:pPr>
        <w:spacing w:before="120"/>
        <w:ind w:firstLine="482"/>
      </w:pPr>
    </w:p>
    <w:p>
      <w:pPr>
        <w:spacing w:before="120"/>
        <w:ind w:firstLine="482"/>
      </w:pPr>
    </w:p>
    <w:p>
      <w:pPr>
        <w:spacing w:before="120"/>
        <w:ind w:firstLine="482"/>
      </w:pPr>
      <w:bookmarkStart w:id="142" w:name="_Toc74320804"/>
    </w:p>
    <w:p>
      <w:pPr>
        <w:pStyle w:val="56"/>
        <w:spacing w:before="120"/>
        <w:ind w:firstLine="480"/>
      </w:pPr>
    </w:p>
    <w:p>
      <w:pPr>
        <w:spacing w:before="120"/>
        <w:ind w:firstLine="482"/>
      </w:pPr>
    </w:p>
    <w:p>
      <w:pPr>
        <w:pStyle w:val="56"/>
        <w:spacing w:before="120"/>
        <w:ind w:firstLine="480"/>
      </w:pPr>
    </w:p>
    <w:p>
      <w:pPr>
        <w:spacing w:before="120"/>
        <w:ind w:firstLine="482"/>
      </w:pPr>
    </w:p>
    <w:p>
      <w:pPr>
        <w:pStyle w:val="56"/>
        <w:spacing w:before="120"/>
        <w:ind w:firstLine="480"/>
      </w:pPr>
    </w:p>
    <w:p>
      <w:pPr>
        <w:spacing w:before="120"/>
        <w:ind w:firstLine="482"/>
      </w:pPr>
    </w:p>
    <w:p>
      <w:pPr>
        <w:pStyle w:val="56"/>
        <w:spacing w:before="120"/>
        <w:ind w:firstLine="480"/>
      </w:pPr>
    </w:p>
    <w:p>
      <w:pPr>
        <w:spacing w:before="120"/>
        <w:ind w:firstLine="482"/>
      </w:pPr>
    </w:p>
    <w:p>
      <w:pPr>
        <w:spacing w:before="120"/>
        <w:ind w:firstLine="482"/>
      </w:pPr>
    </w:p>
    <w:p>
      <w:pPr>
        <w:pStyle w:val="56"/>
        <w:spacing w:before="120"/>
        <w:ind w:firstLine="480"/>
      </w:pPr>
      <w:r>
        <w:br w:type="page"/>
      </w:r>
    </w:p>
    <w:p>
      <w:pPr>
        <w:pStyle w:val="56"/>
        <w:spacing w:before="120"/>
        <w:ind w:firstLine="480"/>
      </w:pPr>
    </w:p>
    <w:p>
      <w:pPr>
        <w:pStyle w:val="4"/>
        <w:spacing w:before="120"/>
        <w:ind w:firstLine="880"/>
        <w:jc w:val="center"/>
        <w:rPr>
          <w:rFonts w:ascii="宋体" w:hAnsi="宋体" w:cs="宋体"/>
        </w:rPr>
      </w:pPr>
      <w:r>
        <w:rPr>
          <w:rFonts w:hint="eastAsia" w:ascii="宋体" w:hAnsi="宋体" w:cs="宋体"/>
        </w:rPr>
        <w:t>第五章  拟签订的合同文本</w:t>
      </w:r>
      <w:bookmarkEnd w:id="142"/>
    </w:p>
    <w:p>
      <w:pPr>
        <w:snapToGrid w:val="0"/>
        <w:spacing w:before="120" w:line="360" w:lineRule="auto"/>
        <w:ind w:firstLine="480"/>
        <w:rPr>
          <w:rFonts w:ascii="宋体" w:hAnsi="宋体" w:cs="宋体"/>
          <w:sz w:val="24"/>
        </w:rPr>
      </w:pPr>
      <w:r>
        <w:rPr>
          <w:rFonts w:hint="eastAsia" w:ascii="宋体" w:hAnsi="宋体" w:cs="宋体"/>
          <w:b/>
          <w:sz w:val="24"/>
        </w:rPr>
        <w:t xml:space="preserve">一般货物类： </w:t>
      </w:r>
    </w:p>
    <w:p>
      <w:pPr>
        <w:snapToGrid w:val="0"/>
        <w:spacing w:before="120" w:line="360" w:lineRule="auto"/>
        <w:ind w:firstLine="640"/>
        <w:jc w:val="center"/>
        <w:rPr>
          <w:rFonts w:ascii="宋体" w:hAnsi="宋体" w:cs="宋体"/>
          <w:b/>
          <w:bCs/>
          <w:sz w:val="32"/>
          <w:szCs w:val="32"/>
        </w:rPr>
      </w:pPr>
    </w:p>
    <w:p>
      <w:pPr>
        <w:snapToGrid w:val="0"/>
        <w:spacing w:before="120" w:line="360" w:lineRule="auto"/>
        <w:ind w:firstLine="640"/>
        <w:jc w:val="center"/>
        <w:rPr>
          <w:rFonts w:ascii="宋体" w:hAnsi="宋体" w:cs="宋体"/>
          <w:b/>
          <w:bCs/>
          <w:sz w:val="32"/>
          <w:szCs w:val="32"/>
        </w:rPr>
      </w:pPr>
      <w:r>
        <w:rPr>
          <w:rFonts w:hint="eastAsia" w:ascii="宋体" w:hAnsi="宋体" w:cs="宋体"/>
          <w:b/>
          <w:bCs/>
          <w:sz w:val="32"/>
          <w:szCs w:val="32"/>
        </w:rPr>
        <w:t>《广西壮族自治区政府采购合同》</w:t>
      </w:r>
    </w:p>
    <w:p>
      <w:pPr>
        <w:spacing w:before="120" w:line="460" w:lineRule="exact"/>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广西经贸职业技术学院五合新校区信息化建设项目-全光网络建设采购项目(有线+无线网络建设) </w:t>
      </w:r>
    </w:p>
    <w:p>
      <w:pPr>
        <w:spacing w:before="120" w:line="440" w:lineRule="exact"/>
        <w:rPr>
          <w:rFonts w:ascii="宋体" w:hAnsi="宋体" w:cs="宋体"/>
          <w:sz w:val="24"/>
        </w:rPr>
      </w:pPr>
      <w:r>
        <w:rPr>
          <w:rFonts w:hint="eastAsia" w:ascii="宋体" w:hAnsi="宋体" w:cs="宋体"/>
          <w:sz w:val="24"/>
        </w:rPr>
        <w:t>合同编号：</w:t>
      </w:r>
      <w:r>
        <w:rPr>
          <w:rFonts w:hint="eastAsia" w:ascii="宋体" w:hAnsi="宋体" w:cs="宋体"/>
          <w:sz w:val="24"/>
          <w:u w:val="single"/>
        </w:rPr>
        <w:t>GXZC2024-G1-004138-KWZB</w:t>
      </w:r>
    </w:p>
    <w:p>
      <w:pPr>
        <w:spacing w:before="120" w:line="440" w:lineRule="exact"/>
        <w:rPr>
          <w:rFonts w:ascii="宋体" w:hAnsi="宋体" w:cs="宋体"/>
          <w:sz w:val="24"/>
        </w:rPr>
      </w:pPr>
      <w:r>
        <w:rPr>
          <w:rFonts w:hint="eastAsia" w:ascii="宋体" w:hAnsi="宋体" w:cs="宋体"/>
          <w:sz w:val="24"/>
        </w:rPr>
        <w:t>采购人（甲方）：</w:t>
      </w:r>
      <w:r>
        <w:rPr>
          <w:rFonts w:hint="eastAsia" w:ascii="宋体" w:hAnsi="宋体" w:cs="宋体"/>
          <w:sz w:val="24"/>
          <w:u w:val="single"/>
        </w:rPr>
        <w:t>广西经贸职业技术学院</w:t>
      </w:r>
      <w:r>
        <w:rPr>
          <w:rFonts w:hint="eastAsia" w:ascii="宋体" w:hAnsi="宋体" w:cs="宋体"/>
          <w:sz w:val="24"/>
        </w:rPr>
        <w:t xml:space="preserve">                      </w:t>
      </w:r>
    </w:p>
    <w:p>
      <w:pPr>
        <w:spacing w:before="120" w:line="440" w:lineRule="exact"/>
        <w:rPr>
          <w:rFonts w:ascii="宋体" w:hAnsi="宋体" w:cs="宋体"/>
          <w:sz w:val="24"/>
        </w:rPr>
      </w:pPr>
      <w:r>
        <w:rPr>
          <w:rFonts w:hint="eastAsia" w:ascii="宋体" w:hAnsi="宋体" w:cs="宋体"/>
          <w:sz w:val="24"/>
        </w:rPr>
        <w:t>供应商（乙方）：</w:t>
      </w:r>
      <w:r>
        <w:rPr>
          <w:rFonts w:hint="eastAsia" w:ascii="宋体" w:hAnsi="宋体" w:cs="宋体"/>
          <w:sz w:val="24"/>
          <w:u w:val="single"/>
        </w:rPr>
        <w:t xml:space="preserve">        </w:t>
      </w:r>
      <w:r>
        <w:rPr>
          <w:rFonts w:hint="eastAsia" w:ascii="宋体" w:hAnsi="宋体" w:cs="宋体"/>
          <w:sz w:val="24"/>
        </w:rPr>
        <w:t xml:space="preserve">  </w:t>
      </w:r>
    </w:p>
    <w:p>
      <w:pPr>
        <w:spacing w:before="120" w:line="440" w:lineRule="exact"/>
        <w:rPr>
          <w:rFonts w:ascii="宋体" w:hAnsi="宋体" w:cs="宋体"/>
          <w:sz w:val="24"/>
        </w:rPr>
      </w:pPr>
      <w:r>
        <w:rPr>
          <w:rFonts w:hint="eastAsia" w:ascii="宋体" w:hAnsi="宋体" w:cs="宋体"/>
          <w:sz w:val="24"/>
        </w:rPr>
        <w:t>招标编号：</w:t>
      </w:r>
      <w:r>
        <w:rPr>
          <w:rFonts w:hint="eastAsia" w:ascii="宋体" w:hAnsi="宋体" w:cs="宋体"/>
          <w:sz w:val="24"/>
          <w:u w:val="single"/>
        </w:rPr>
        <w:t>GXZC2024-G1-004138-KWZB</w:t>
      </w:r>
    </w:p>
    <w:p>
      <w:pPr>
        <w:spacing w:before="120" w:line="440" w:lineRule="exact"/>
        <w:rPr>
          <w:rFonts w:ascii="宋体" w:hAnsi="宋体" w:cs="宋体"/>
          <w:sz w:val="24"/>
          <w:u w:val="single"/>
        </w:rPr>
      </w:pPr>
      <w:r>
        <w:rPr>
          <w:rFonts w:hint="eastAsia" w:ascii="宋体" w:hAnsi="宋体" w:cs="宋体"/>
          <w:sz w:val="24"/>
        </w:rPr>
        <w:t>签订地点：</w:t>
      </w:r>
      <w:r>
        <w:rPr>
          <w:rFonts w:hint="eastAsia" w:ascii="宋体" w:hAnsi="宋体" w:cs="宋体"/>
          <w:sz w:val="24"/>
          <w:u w:val="single"/>
        </w:rPr>
        <w:t>广西南宁市青秀区</w:t>
      </w:r>
    </w:p>
    <w:p>
      <w:pPr>
        <w:snapToGrid w:val="0"/>
        <w:spacing w:before="120" w:line="360" w:lineRule="auto"/>
        <w:ind w:firstLine="480" w:firstLineChars="200"/>
        <w:rPr>
          <w:rFonts w:ascii="宋体" w:hAnsi="宋体" w:cs="宋体"/>
          <w:sz w:val="24"/>
        </w:rPr>
      </w:pPr>
    </w:p>
    <w:p>
      <w:pPr>
        <w:snapToGrid w:val="0"/>
        <w:spacing w:before="120" w:line="360" w:lineRule="auto"/>
        <w:ind w:firstLine="480" w:firstLineChars="200"/>
        <w:rPr>
          <w:rFonts w:ascii="宋体" w:hAnsi="宋体" w:cs="宋体"/>
          <w:sz w:val="24"/>
        </w:rPr>
      </w:pPr>
      <w:r>
        <w:rPr>
          <w:rFonts w:hint="eastAsia" w:ascii="宋体" w:hAnsi="宋体" w:cs="宋体"/>
          <w:sz w:val="24"/>
        </w:rPr>
        <w:t>根据《中华人民共和国政府采购法》《中华人民共和国民法典》等法律、法规规定，按照招标文件规定条款和中标（成交）供应商承诺，甲乙双方签订本合同。</w:t>
      </w:r>
    </w:p>
    <w:p>
      <w:pPr>
        <w:adjustRightInd w:val="0"/>
        <w:snapToGrid w:val="0"/>
        <w:spacing w:before="120" w:line="360" w:lineRule="auto"/>
        <w:ind w:firstLine="726"/>
        <w:rPr>
          <w:rFonts w:ascii="宋体" w:hAnsi="宋体"/>
          <w:b/>
          <w:sz w:val="24"/>
        </w:rPr>
      </w:pPr>
      <w:r>
        <w:rPr>
          <w:rFonts w:hint="eastAsia" w:ascii="宋体" w:hAnsi="宋体"/>
          <w:b/>
          <w:sz w:val="24"/>
        </w:rPr>
        <w:t>一、项目信息</w:t>
      </w:r>
    </w:p>
    <w:p>
      <w:pPr>
        <w:pStyle w:val="133"/>
        <w:numPr>
          <w:ilvl w:val="255"/>
          <w:numId w:val="0"/>
        </w:numPr>
        <w:snapToGrid w:val="0"/>
        <w:spacing w:line="360" w:lineRule="auto"/>
        <w:ind w:firstLine="480" w:firstLineChars="200"/>
        <w:rPr>
          <w:rFonts w:ascii="宋体" w:hAnsi="宋体" w:eastAsia="宋体"/>
          <w:sz w:val="24"/>
          <w:szCs w:val="24"/>
          <w:u w:val="single"/>
        </w:rPr>
      </w:pPr>
      <w:r>
        <w:rPr>
          <w:rFonts w:hint="eastAsia" w:ascii="宋体" w:hAnsi="宋体" w:eastAsia="宋体"/>
          <w:sz w:val="24"/>
          <w:szCs w:val="24"/>
        </w:rPr>
        <w:t>（1）</w:t>
      </w:r>
      <w:r>
        <w:rPr>
          <w:rFonts w:hint="eastAsia" w:ascii="宋体" w:hAnsi="宋体" w:eastAsia="宋体" w:cs="Times New Roman"/>
          <w:spacing w:val="-4"/>
          <w:kern w:val="2"/>
          <w:sz w:val="24"/>
          <w:szCs w:val="24"/>
        </w:rPr>
        <w:t>采购</w:t>
      </w:r>
      <w:r>
        <w:rPr>
          <w:rFonts w:hint="eastAsia" w:ascii="宋体" w:hAnsi="宋体" w:eastAsia="宋体"/>
          <w:sz w:val="24"/>
          <w:szCs w:val="24"/>
        </w:rPr>
        <w:t>项目名称：</w:t>
      </w:r>
      <w:r>
        <w:rPr>
          <w:rFonts w:hint="eastAsia" w:ascii="宋体" w:hAnsi="宋体" w:eastAsia="宋体"/>
          <w:sz w:val="24"/>
          <w:szCs w:val="24"/>
          <w:u w:val="single"/>
        </w:rPr>
        <w:t>广西经贸职业技术学院五合新校区信息化建设项目-全光网络建设采购项目(有线+无线网络建设)</w:t>
      </w:r>
      <w:r>
        <w:rPr>
          <w:rFonts w:ascii="宋体" w:hAnsi="宋体" w:eastAsia="宋体"/>
          <w:sz w:val="24"/>
          <w:szCs w:val="24"/>
          <w:u w:val="single"/>
        </w:rPr>
        <w:t xml:space="preserve"> </w:t>
      </w:r>
    </w:p>
    <w:p>
      <w:pPr>
        <w:pStyle w:val="133"/>
        <w:numPr>
          <w:ilvl w:val="255"/>
          <w:numId w:val="0"/>
        </w:num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（2）采购</w:t>
      </w:r>
      <w:r>
        <w:rPr>
          <w:rFonts w:hint="eastAsia" w:ascii="宋体" w:hAnsi="宋体" w:eastAsia="宋体" w:cs="Times New Roman"/>
          <w:spacing w:val="-4"/>
          <w:kern w:val="2"/>
          <w:sz w:val="24"/>
          <w:szCs w:val="24"/>
        </w:rPr>
        <w:t>项目</w:t>
      </w:r>
      <w:r>
        <w:rPr>
          <w:rFonts w:hint="eastAsia" w:ascii="宋体" w:hAnsi="宋体" w:eastAsia="宋体"/>
          <w:sz w:val="24"/>
          <w:szCs w:val="24"/>
        </w:rPr>
        <w:t>编号：</w:t>
      </w:r>
      <w:r>
        <w:rPr>
          <w:rFonts w:hint="eastAsia" w:ascii="宋体" w:hAnsi="宋体" w:eastAsia="宋体"/>
          <w:sz w:val="24"/>
          <w:szCs w:val="24"/>
          <w:u w:val="single"/>
        </w:rPr>
        <w:t>GXZC2024-G1-004138-KWZB</w:t>
      </w:r>
    </w:p>
    <w:p>
      <w:pPr>
        <w:pStyle w:val="133"/>
        <w:numPr>
          <w:ilvl w:val="255"/>
          <w:numId w:val="0"/>
        </w:num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（3）采购计划编号：</w:t>
      </w:r>
      <w:r>
        <w:rPr>
          <w:rFonts w:hint="eastAsia" w:ascii="宋体" w:hAnsi="宋体" w:eastAsia="宋体"/>
          <w:sz w:val="24"/>
          <w:szCs w:val="24"/>
          <w:u w:val="single"/>
        </w:rPr>
        <w:t>广西政采[2024]10742号-001、广西政采[2024]10742号-002</w:t>
      </w:r>
    </w:p>
    <w:p>
      <w:pPr>
        <w:pStyle w:val="133"/>
        <w:numPr>
          <w:ilvl w:val="255"/>
          <w:numId w:val="0"/>
        </w:numPr>
        <w:snapToGrid w:val="0"/>
        <w:spacing w:line="360" w:lineRule="auto"/>
        <w:ind w:firstLine="464" w:firstLineChars="200"/>
        <w:rPr>
          <w:rFonts w:ascii="宋体" w:hAnsi="宋体" w:eastAsia="宋体" w:cs="Times New Roman"/>
          <w:spacing w:val="-4"/>
          <w:kern w:val="2"/>
          <w:sz w:val="24"/>
          <w:szCs w:val="24"/>
        </w:rPr>
      </w:pPr>
      <w:r>
        <w:rPr>
          <w:rFonts w:hint="eastAsia" w:ascii="宋体" w:hAnsi="宋体" w:eastAsia="宋体" w:cs="Times New Roman"/>
          <w:spacing w:val="-4"/>
          <w:kern w:val="2"/>
          <w:sz w:val="24"/>
          <w:szCs w:val="24"/>
        </w:rPr>
        <w:t>（</w:t>
      </w:r>
      <w:r>
        <w:rPr>
          <w:rFonts w:ascii="宋体" w:hAnsi="宋体" w:eastAsia="宋体" w:cs="Times New Roman"/>
          <w:spacing w:val="-4"/>
          <w:kern w:val="2"/>
          <w:sz w:val="24"/>
          <w:szCs w:val="24"/>
        </w:rPr>
        <w:t>4</w:t>
      </w:r>
      <w:r>
        <w:rPr>
          <w:rFonts w:hint="eastAsia" w:ascii="宋体" w:hAnsi="宋体" w:eastAsia="宋体" w:cs="Times New Roman"/>
          <w:spacing w:val="-4"/>
          <w:kern w:val="2"/>
          <w:sz w:val="24"/>
          <w:szCs w:val="24"/>
        </w:rPr>
        <w:t>）政府采购组织形式：</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 xml:space="preserve">政府集中采购  </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 xml:space="preserve">部门集中采购  </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分散采购</w:t>
      </w:r>
    </w:p>
    <w:p>
      <w:pPr>
        <w:pStyle w:val="133"/>
        <w:numPr>
          <w:ilvl w:val="255"/>
          <w:numId w:val="0"/>
        </w:numPr>
        <w:snapToGrid w:val="0"/>
        <w:spacing w:line="360" w:lineRule="auto"/>
        <w:ind w:firstLine="420"/>
        <w:rPr>
          <w:rFonts w:ascii="宋体" w:hAnsi="宋体" w:eastAsia="宋体" w:cs="Times New Roman"/>
          <w:spacing w:val="-4"/>
          <w:kern w:val="2"/>
          <w:sz w:val="24"/>
          <w:szCs w:val="24"/>
        </w:rPr>
      </w:pPr>
      <w:r>
        <w:rPr>
          <w:rFonts w:hint="eastAsia" w:ascii="宋体" w:hAnsi="宋体" w:eastAsia="宋体" w:cs="Times New Roman"/>
          <w:spacing w:val="-4"/>
          <w:kern w:val="2"/>
          <w:sz w:val="24"/>
          <w:szCs w:val="24"/>
        </w:rPr>
        <w:t>（</w:t>
      </w:r>
      <w:r>
        <w:rPr>
          <w:rFonts w:ascii="宋体" w:hAnsi="宋体" w:eastAsia="宋体" w:cs="Times New Roman"/>
          <w:spacing w:val="-4"/>
          <w:kern w:val="2"/>
          <w:sz w:val="24"/>
          <w:szCs w:val="24"/>
        </w:rPr>
        <w:t>5</w:t>
      </w:r>
      <w:r>
        <w:rPr>
          <w:rFonts w:hint="eastAsia" w:ascii="宋体" w:hAnsi="宋体" w:eastAsia="宋体" w:cs="Times New Roman"/>
          <w:spacing w:val="-4"/>
          <w:kern w:val="2"/>
          <w:sz w:val="24"/>
          <w:szCs w:val="24"/>
        </w:rPr>
        <w:t>）政府采购方式：</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 xml:space="preserve">公开招标 </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 xml:space="preserve">邀请招标 </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 xml:space="preserve">竞争性谈判 </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竞争性磋商</w:t>
      </w:r>
    </w:p>
    <w:p>
      <w:pPr>
        <w:pStyle w:val="133"/>
        <w:numPr>
          <w:ilvl w:val="255"/>
          <w:numId w:val="0"/>
        </w:numPr>
        <w:snapToGrid w:val="0"/>
        <w:spacing w:line="360" w:lineRule="auto"/>
        <w:ind w:firstLine="420"/>
        <w:rPr>
          <w:rFonts w:ascii="宋体" w:hAnsi="宋体" w:eastAsia="宋体" w:cs="宋体"/>
          <w:sz w:val="24"/>
          <w:szCs w:val="24"/>
          <w:u w:val="single"/>
        </w:rPr>
      </w:pPr>
      <w:r>
        <w:rPr>
          <w:rFonts w:hint="eastAsia" w:ascii="宋体" w:hAnsi="宋体" w:eastAsia="宋体" w:cs="Times New Roman"/>
          <w:spacing w:val="-4"/>
          <w:kern w:val="2"/>
          <w:sz w:val="24"/>
          <w:szCs w:val="24"/>
        </w:rPr>
        <w:t xml:space="preserve">                 </w:t>
      </w:r>
      <w:r>
        <w:rPr>
          <w:rFonts w:ascii="宋体" w:hAnsi="宋体" w:eastAsia="宋体" w:cs="Times New Roman"/>
          <w:spacing w:val="-4"/>
          <w:kern w:val="2"/>
          <w:sz w:val="24"/>
          <w:szCs w:val="24"/>
        </w:rPr>
        <w:t xml:space="preserve">  </w:t>
      </w:r>
      <w:r>
        <w:rPr>
          <w:rFonts w:hint="eastAsia" w:ascii="宋体" w:hAnsi="宋体" w:eastAsia="宋体" w:cs="Times New Roman"/>
          <w:spacing w:val="-4"/>
          <w:kern w:val="2"/>
          <w:sz w:val="24"/>
          <w:szCs w:val="24"/>
        </w:rPr>
        <w:t xml:space="preserve"> </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 xml:space="preserve">询价 </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 xml:space="preserve">单一来源 </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 xml:space="preserve">框架协议 </w:t>
      </w:r>
      <w:r>
        <w:rPr>
          <w:rFonts w:hint="eastAsia" w:ascii="宋体" w:hAnsi="宋体" w:eastAsia="宋体" w:cs="Times New Roman"/>
          <w:spacing w:val="-4"/>
          <w:kern w:val="2"/>
          <w:sz w:val="24"/>
          <w:szCs w:val="24"/>
        </w:rPr>
        <w:sym w:font="Wingdings" w:char="00A8"/>
      </w:r>
      <w:r>
        <w:rPr>
          <w:rFonts w:hint="eastAsia" w:ascii="宋体" w:hAnsi="宋体" w:eastAsia="宋体" w:cs="Times New Roman"/>
          <w:spacing w:val="-4"/>
          <w:kern w:val="2"/>
          <w:sz w:val="24"/>
          <w:szCs w:val="24"/>
        </w:rPr>
        <w:t xml:space="preserve">其他： </w:t>
      </w:r>
      <w:r>
        <w:rPr>
          <w:rFonts w:hint="eastAsia" w:ascii="宋体" w:hAnsi="宋体" w:eastAsia="宋体" w:cs="宋体"/>
          <w:sz w:val="24"/>
          <w:szCs w:val="24"/>
          <w:u w:val="single"/>
        </w:rPr>
        <w:t xml:space="preserve">         </w:t>
      </w:r>
    </w:p>
    <w:p>
      <w:pPr>
        <w:pStyle w:val="133"/>
        <w:numPr>
          <w:ilvl w:val="255"/>
          <w:numId w:val="0"/>
        </w:numPr>
        <w:snapToGrid w:val="0"/>
        <w:spacing w:line="360" w:lineRule="auto"/>
        <w:ind w:firstLine="420"/>
        <w:rPr>
          <w:rFonts w:ascii="宋体" w:hAnsi="宋体" w:eastAsia="宋体" w:cs="Times New Roman"/>
          <w:kern w:val="2"/>
          <w:sz w:val="24"/>
          <w:szCs w:val="24"/>
        </w:rPr>
      </w:pPr>
      <w:r>
        <w:rPr>
          <w:rFonts w:hint="eastAsia" w:ascii="宋体" w:hAnsi="宋体" w:eastAsia="宋体"/>
          <w:sz w:val="24"/>
          <w:szCs w:val="24"/>
        </w:rPr>
        <w:t>（</w:t>
      </w:r>
      <w:r>
        <w:rPr>
          <w:rFonts w:ascii="宋体" w:hAnsi="宋体" w:eastAsia="宋体"/>
          <w:sz w:val="24"/>
          <w:szCs w:val="24"/>
          <w:lang w:val="en"/>
        </w:rPr>
        <w:t>6</w:t>
      </w:r>
      <w:r>
        <w:rPr>
          <w:rFonts w:hint="eastAsia" w:ascii="宋体" w:hAnsi="宋体" w:eastAsia="宋体"/>
          <w:sz w:val="24"/>
          <w:szCs w:val="24"/>
        </w:rPr>
        <w:t>）</w:t>
      </w:r>
      <w:r>
        <w:rPr>
          <w:rFonts w:hint="eastAsia" w:ascii="宋体" w:hAnsi="宋体" w:eastAsia="宋体" w:cs="Times New Roman"/>
          <w:spacing w:val="-4"/>
          <w:kern w:val="2"/>
          <w:sz w:val="24"/>
          <w:szCs w:val="24"/>
        </w:rPr>
        <w:t>中标</w:t>
      </w:r>
      <w:r>
        <w:rPr>
          <w:rFonts w:hint="eastAsia" w:ascii="宋体" w:hAnsi="宋体" w:eastAsia="宋体" w:cs="Times New Roman"/>
          <w:kern w:val="2"/>
          <w:sz w:val="24"/>
          <w:szCs w:val="24"/>
        </w:rPr>
        <w:t>（成交）采购标的制造商是否为中小企业：</w:t>
      </w:r>
      <w:r>
        <w:rPr>
          <w:rFonts w:hint="eastAsia" w:ascii="宋体" w:hAnsi="宋体" w:eastAsia="宋体" w:cs="Times New Roman"/>
          <w:kern w:val="2"/>
          <w:sz w:val="24"/>
          <w:szCs w:val="24"/>
        </w:rPr>
        <w:sym w:font="Wingdings" w:char="00A8"/>
      </w:r>
      <w:r>
        <w:rPr>
          <w:rFonts w:hint="eastAsia" w:ascii="宋体" w:hAnsi="宋体" w:eastAsia="宋体" w:cs="Times New Roman"/>
          <w:kern w:val="2"/>
          <w:sz w:val="24"/>
          <w:szCs w:val="24"/>
        </w:rPr>
        <w:t xml:space="preserve">是      </w:t>
      </w:r>
      <w:r>
        <w:rPr>
          <w:rFonts w:hint="eastAsia" w:ascii="宋体" w:hAnsi="宋体" w:eastAsia="宋体" w:cs="Times New Roman"/>
          <w:kern w:val="2"/>
          <w:sz w:val="24"/>
          <w:szCs w:val="24"/>
        </w:rPr>
        <w:sym w:font="Wingdings" w:char="00A8"/>
      </w:r>
      <w:r>
        <w:rPr>
          <w:rFonts w:hint="eastAsia" w:ascii="宋体" w:hAnsi="宋体" w:eastAsia="宋体" w:cs="Times New Roman"/>
          <w:kern w:val="2"/>
          <w:sz w:val="24"/>
          <w:szCs w:val="24"/>
        </w:rPr>
        <w:t>否</w:t>
      </w:r>
    </w:p>
    <w:p>
      <w:pPr>
        <w:numPr>
          <w:ilvl w:val="255"/>
          <w:numId w:val="0"/>
        </w:numPr>
        <w:adjustRightInd w:val="0"/>
        <w:snapToGrid w:val="0"/>
        <w:spacing w:line="360" w:lineRule="auto"/>
        <w:ind w:firstLine="480" w:firstLineChars="200"/>
        <w:rPr>
          <w:rFonts w:ascii="宋体" w:hAnsi="宋体"/>
          <w:iCs/>
          <w:sz w:val="24"/>
        </w:rPr>
      </w:pPr>
      <w:r>
        <w:rPr>
          <w:rFonts w:hint="eastAsia" w:ascii="宋体" w:hAnsi="宋体"/>
          <w:sz w:val="24"/>
        </w:rPr>
        <w:t>本合同是否为专门面向中小企业的采购合同（中小企业预留合同）：</w:t>
      </w:r>
      <w:r>
        <w:rPr>
          <w:rFonts w:hint="eastAsia" w:ascii="宋体" w:hAnsi="宋体"/>
          <w:iCs/>
          <w:sz w:val="24"/>
        </w:rPr>
        <w:sym w:font="Wingdings" w:char="00A8"/>
      </w:r>
      <w:r>
        <w:rPr>
          <w:rFonts w:hint="eastAsia" w:ascii="宋体" w:hAnsi="宋体"/>
          <w:iCs/>
          <w:sz w:val="24"/>
        </w:rPr>
        <w:t xml:space="preserve">是    </w:t>
      </w:r>
      <w:r>
        <w:rPr>
          <w:rFonts w:hint="eastAsia" w:ascii="宋体" w:hAnsi="宋体"/>
          <w:iCs/>
          <w:sz w:val="24"/>
        </w:rPr>
        <w:sym w:font="Wingdings" w:char="00FE"/>
      </w:r>
      <w:r>
        <w:rPr>
          <w:rFonts w:hint="eastAsia" w:ascii="宋体" w:hAnsi="宋体"/>
          <w:iCs/>
          <w:sz w:val="24"/>
        </w:rPr>
        <w:t>否</w:t>
      </w:r>
    </w:p>
    <w:p>
      <w:pPr>
        <w:numPr>
          <w:ilvl w:val="255"/>
          <w:numId w:val="0"/>
        </w:numPr>
        <w:adjustRightInd w:val="0"/>
        <w:snapToGrid w:val="0"/>
        <w:spacing w:line="360" w:lineRule="auto"/>
        <w:ind w:firstLine="480" w:firstLineChars="200"/>
        <w:rPr>
          <w:rFonts w:ascii="宋体" w:hAnsi="宋体"/>
          <w:iCs/>
          <w:sz w:val="24"/>
        </w:rPr>
      </w:pPr>
      <w:r>
        <w:rPr>
          <w:rFonts w:hint="eastAsia" w:ascii="宋体" w:hAnsi="宋体"/>
          <w:sz w:val="24"/>
        </w:rPr>
        <w:t>若本项目不专门面向中小企业采购，是否给予小微企业评审优惠：</w:t>
      </w:r>
      <w:r>
        <w:rPr>
          <w:rFonts w:hint="eastAsia" w:ascii="宋体" w:hAnsi="宋体"/>
          <w:iCs/>
          <w:sz w:val="24"/>
        </w:rPr>
        <w:sym w:font="Wingdings" w:char="00FE"/>
      </w:r>
      <w:r>
        <w:rPr>
          <w:rFonts w:hint="eastAsia" w:ascii="宋体" w:hAnsi="宋体"/>
          <w:iCs/>
          <w:sz w:val="24"/>
        </w:rPr>
        <w:t xml:space="preserve">是   </w:t>
      </w:r>
      <w:r>
        <w:rPr>
          <w:rFonts w:hint="eastAsia" w:ascii="宋体" w:hAnsi="宋体"/>
          <w:iCs/>
          <w:sz w:val="24"/>
        </w:rPr>
        <w:sym w:font="Wingdings" w:char="00A8"/>
      </w:r>
      <w:r>
        <w:rPr>
          <w:rFonts w:hint="eastAsia" w:ascii="宋体" w:hAnsi="宋体"/>
          <w:iCs/>
          <w:sz w:val="24"/>
        </w:rPr>
        <w:t>否</w:t>
      </w:r>
    </w:p>
    <w:p>
      <w:pPr>
        <w:numPr>
          <w:ilvl w:val="255"/>
          <w:numId w:val="0"/>
        </w:numPr>
        <w:adjustRightInd w:val="0"/>
        <w:snapToGrid w:val="0"/>
        <w:spacing w:line="360" w:lineRule="auto"/>
        <w:ind w:firstLine="1200" w:firstLineChars="500"/>
        <w:rPr>
          <w:rFonts w:ascii="宋体" w:hAnsi="宋体"/>
          <w:iCs/>
          <w:sz w:val="24"/>
        </w:rPr>
      </w:pPr>
      <w:r>
        <w:rPr>
          <w:rFonts w:hint="eastAsia" w:ascii="宋体" w:hAnsi="宋体"/>
          <w:sz w:val="24"/>
        </w:rPr>
        <w:t>中标（成交）采购标的制造商是否为残疾人福利性单位：</w:t>
      </w:r>
      <w:r>
        <w:rPr>
          <w:rFonts w:hint="eastAsia" w:ascii="宋体" w:hAnsi="宋体"/>
          <w:iCs/>
          <w:sz w:val="24"/>
        </w:rPr>
        <w:sym w:font="Wingdings" w:char="00A8"/>
      </w:r>
      <w:r>
        <w:rPr>
          <w:rFonts w:hint="eastAsia" w:ascii="宋体" w:hAnsi="宋体"/>
          <w:iCs/>
          <w:sz w:val="24"/>
        </w:rPr>
        <w:t xml:space="preserve">是   </w:t>
      </w:r>
      <w:r>
        <w:rPr>
          <w:rFonts w:hint="eastAsia" w:ascii="宋体" w:hAnsi="宋体"/>
          <w:iCs/>
          <w:sz w:val="24"/>
        </w:rPr>
        <w:sym w:font="Wingdings" w:char="00A8"/>
      </w:r>
      <w:r>
        <w:rPr>
          <w:rFonts w:hint="eastAsia" w:ascii="宋体" w:hAnsi="宋体"/>
          <w:iCs/>
          <w:sz w:val="24"/>
        </w:rPr>
        <w:t>否</w:t>
      </w:r>
    </w:p>
    <w:p>
      <w:pPr>
        <w:snapToGrid w:val="0"/>
        <w:spacing w:line="360" w:lineRule="auto"/>
        <w:ind w:firstLine="1200" w:firstLineChars="500"/>
        <w:rPr>
          <w:rFonts w:ascii="宋体" w:hAnsi="宋体"/>
          <w:sz w:val="24"/>
        </w:rPr>
      </w:pPr>
      <w:r>
        <w:rPr>
          <w:rFonts w:hint="eastAsia" w:ascii="宋体" w:hAnsi="宋体"/>
          <w:sz w:val="24"/>
        </w:rPr>
        <w:t>中标（成交）采购标的制造商是否为监狱企业：</w:t>
      </w:r>
      <w:r>
        <w:rPr>
          <w:rFonts w:hint="eastAsia" w:ascii="宋体" w:hAnsi="宋体"/>
          <w:iCs/>
          <w:sz w:val="24"/>
        </w:rPr>
        <w:sym w:font="Wingdings" w:char="00A8"/>
      </w:r>
      <w:r>
        <w:rPr>
          <w:rFonts w:hint="eastAsia" w:ascii="宋体" w:hAnsi="宋体"/>
          <w:iCs/>
          <w:sz w:val="24"/>
        </w:rPr>
        <w:t xml:space="preserve">是       </w:t>
      </w:r>
      <w:r>
        <w:rPr>
          <w:rFonts w:hint="eastAsia" w:ascii="宋体" w:hAnsi="宋体"/>
          <w:iCs/>
          <w:sz w:val="24"/>
        </w:rPr>
        <w:sym w:font="Wingdings" w:char="00A8"/>
      </w:r>
      <w:r>
        <w:rPr>
          <w:rFonts w:hint="eastAsia" w:ascii="宋体" w:hAnsi="宋体"/>
          <w:iCs/>
          <w:sz w:val="24"/>
        </w:rPr>
        <w:t>否</w:t>
      </w:r>
    </w:p>
    <w:p>
      <w:pPr>
        <w:pStyle w:val="133"/>
        <w:numPr>
          <w:ilvl w:val="255"/>
          <w:numId w:val="0"/>
        </w:numPr>
        <w:snapToGrid w:val="0"/>
        <w:spacing w:line="360" w:lineRule="auto"/>
        <w:ind w:firstLine="42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lang w:val="en"/>
        </w:rPr>
        <w:t>7</w:t>
      </w:r>
      <w:r>
        <w:rPr>
          <w:rFonts w:hint="eastAsia" w:ascii="宋体" w:hAnsi="宋体" w:eastAsia="宋体"/>
          <w:sz w:val="24"/>
          <w:szCs w:val="24"/>
        </w:rPr>
        <w:t>）</w:t>
      </w:r>
      <w:r>
        <w:rPr>
          <w:rFonts w:hint="eastAsia" w:ascii="宋体" w:hAnsi="宋体" w:eastAsia="宋体" w:cs="Times New Roman"/>
          <w:spacing w:val="-4"/>
          <w:kern w:val="2"/>
          <w:sz w:val="24"/>
          <w:szCs w:val="24"/>
        </w:rPr>
        <w:t>合同</w:t>
      </w:r>
      <w:r>
        <w:rPr>
          <w:rFonts w:hint="eastAsia" w:ascii="宋体" w:hAnsi="宋体" w:eastAsia="宋体"/>
          <w:sz w:val="24"/>
          <w:szCs w:val="24"/>
        </w:rPr>
        <w:t>是否分包：</w:t>
      </w:r>
      <w:r>
        <w:rPr>
          <w:rFonts w:hint="eastAsia" w:ascii="宋体" w:hAnsi="宋体" w:eastAsia="宋体"/>
          <w:iCs/>
          <w:sz w:val="24"/>
          <w:szCs w:val="24"/>
        </w:rPr>
        <w:sym w:font="Wingdings" w:char="00A8"/>
      </w:r>
      <w:r>
        <w:rPr>
          <w:rFonts w:hint="eastAsia" w:ascii="宋体" w:hAnsi="宋体" w:eastAsia="宋体"/>
          <w:iCs/>
          <w:sz w:val="24"/>
          <w:szCs w:val="24"/>
        </w:rPr>
        <w:t xml:space="preserve">是       </w:t>
      </w:r>
      <w:r>
        <w:rPr>
          <w:rFonts w:hint="eastAsia" w:ascii="宋体" w:hAnsi="宋体" w:eastAsia="宋体"/>
          <w:iCs/>
          <w:sz w:val="24"/>
          <w:szCs w:val="24"/>
        </w:rPr>
        <w:sym w:font="Wingdings" w:char="00A8"/>
      </w:r>
      <w:r>
        <w:rPr>
          <w:rFonts w:hint="eastAsia" w:ascii="宋体" w:hAnsi="宋体" w:eastAsia="宋体"/>
          <w:iCs/>
          <w:sz w:val="24"/>
          <w:szCs w:val="24"/>
        </w:rPr>
        <w:t>否</w:t>
      </w:r>
    </w:p>
    <w:p>
      <w:pPr>
        <w:adjustRightInd w:val="0"/>
        <w:snapToGrid w:val="0"/>
        <w:spacing w:line="360" w:lineRule="auto"/>
        <w:ind w:firstLine="960" w:firstLineChars="400"/>
        <w:rPr>
          <w:rFonts w:ascii="宋体" w:hAnsi="宋体"/>
          <w:sz w:val="24"/>
          <w:u w:val="single"/>
        </w:rPr>
      </w:pPr>
      <w:r>
        <w:rPr>
          <w:rFonts w:hint="eastAsia" w:ascii="宋体" w:hAnsi="宋体"/>
          <w:sz w:val="24"/>
        </w:rPr>
        <w:t xml:space="preserve"> 分包主要内容：</w:t>
      </w:r>
      <w:r>
        <w:rPr>
          <w:rFonts w:hint="eastAsia" w:ascii="宋体" w:hAnsi="宋体"/>
          <w:sz w:val="24"/>
          <w:u w:val="single"/>
        </w:rPr>
        <w:t xml:space="preserve">                                            </w:t>
      </w:r>
    </w:p>
    <w:p>
      <w:pPr>
        <w:adjustRightInd w:val="0"/>
        <w:snapToGrid w:val="0"/>
        <w:spacing w:line="360" w:lineRule="auto"/>
        <w:ind w:firstLine="960" w:firstLineChars="400"/>
        <w:rPr>
          <w:rFonts w:ascii="宋体" w:hAnsi="宋体"/>
          <w:sz w:val="24"/>
        </w:rPr>
      </w:pPr>
      <w:r>
        <w:rPr>
          <w:rFonts w:hint="eastAsia" w:ascii="宋体" w:hAnsi="宋体"/>
          <w:sz w:val="24"/>
        </w:rPr>
        <w:t xml:space="preserve"> 分包供应商/制造商名称（如供应商和制造商不同，请分别填写）：</w:t>
      </w:r>
    </w:p>
    <w:p>
      <w:pPr>
        <w:adjustRightInd w:val="0"/>
        <w:snapToGrid w:val="0"/>
        <w:spacing w:line="360" w:lineRule="auto"/>
        <w:ind w:firstLine="960" w:firstLineChars="400"/>
        <w:rPr>
          <w:rFonts w:ascii="宋体" w:hAnsi="宋体"/>
          <w:sz w:val="24"/>
          <w:u w:val="single"/>
        </w:rPr>
      </w:pPr>
      <w:r>
        <w:rPr>
          <w:rFonts w:hint="eastAsia" w:ascii="宋体" w:hAnsi="宋体"/>
          <w:sz w:val="24"/>
        </w:rPr>
        <w:t xml:space="preserve"> </w:t>
      </w:r>
      <w:r>
        <w:rPr>
          <w:rFonts w:hint="eastAsia" w:ascii="宋体" w:hAnsi="宋体"/>
          <w:sz w:val="24"/>
          <w:u w:val="single"/>
        </w:rPr>
        <w:t xml:space="preserve">                                                          </w:t>
      </w:r>
    </w:p>
    <w:p>
      <w:pPr>
        <w:adjustRightInd w:val="0"/>
        <w:snapToGrid w:val="0"/>
        <w:spacing w:line="360" w:lineRule="auto"/>
        <w:ind w:firstLine="960" w:firstLineChars="400"/>
        <w:rPr>
          <w:rFonts w:ascii="宋体" w:hAnsi="宋体"/>
          <w:sz w:val="24"/>
        </w:rPr>
      </w:pPr>
      <w:r>
        <w:rPr>
          <w:rFonts w:hint="eastAsia" w:ascii="宋体" w:hAnsi="宋体"/>
          <w:sz w:val="24"/>
        </w:rPr>
        <w:t xml:space="preserve"> 分包供应商/制造商类型（如果供应商和制造商不同，只填写制造商类型）：</w:t>
      </w:r>
    </w:p>
    <w:p>
      <w:pPr>
        <w:adjustRightInd w:val="0"/>
        <w:snapToGrid w:val="0"/>
        <w:spacing w:line="360" w:lineRule="auto"/>
        <w:ind w:firstLine="960" w:firstLineChars="400"/>
        <w:rPr>
          <w:rFonts w:ascii="宋体" w:hAnsi="宋体"/>
          <w:iCs/>
          <w:sz w:val="24"/>
        </w:rPr>
      </w:pPr>
      <w:r>
        <w:rPr>
          <w:rFonts w:hint="eastAsia" w:ascii="宋体" w:hAnsi="宋体"/>
          <w:iCs/>
          <w:sz w:val="24"/>
        </w:rPr>
        <w:t xml:space="preserve"> </w:t>
      </w:r>
      <w:r>
        <w:rPr>
          <w:rFonts w:hint="eastAsia" w:ascii="宋体" w:hAnsi="宋体"/>
          <w:iCs/>
          <w:sz w:val="24"/>
        </w:rPr>
        <w:sym w:font="Wingdings" w:char="00A8"/>
      </w:r>
      <w:r>
        <w:rPr>
          <w:rFonts w:hint="eastAsia" w:ascii="宋体" w:hAnsi="宋体"/>
          <w:iCs/>
          <w:sz w:val="24"/>
        </w:rPr>
        <w:t xml:space="preserve">大型企业  </w:t>
      </w:r>
      <w:r>
        <w:rPr>
          <w:rFonts w:hint="eastAsia" w:ascii="宋体" w:hAnsi="宋体"/>
          <w:iCs/>
          <w:sz w:val="24"/>
        </w:rPr>
        <w:sym w:font="Wingdings" w:char="00A8"/>
      </w:r>
      <w:r>
        <w:rPr>
          <w:rFonts w:hint="eastAsia" w:ascii="宋体" w:hAnsi="宋体"/>
          <w:iCs/>
          <w:sz w:val="24"/>
        </w:rPr>
        <w:t xml:space="preserve">中型企业  </w:t>
      </w:r>
      <w:r>
        <w:rPr>
          <w:rFonts w:hint="eastAsia" w:ascii="宋体" w:hAnsi="宋体"/>
          <w:iCs/>
          <w:sz w:val="24"/>
        </w:rPr>
        <w:sym w:font="Wingdings" w:char="00A8"/>
      </w:r>
      <w:r>
        <w:rPr>
          <w:rFonts w:hint="eastAsia" w:ascii="宋体" w:hAnsi="宋体"/>
          <w:iCs/>
          <w:sz w:val="24"/>
        </w:rPr>
        <w:t xml:space="preserve">小微型企业  </w:t>
      </w:r>
    </w:p>
    <w:p>
      <w:pPr>
        <w:adjustRightInd w:val="0"/>
        <w:snapToGrid w:val="0"/>
        <w:spacing w:line="360" w:lineRule="auto"/>
        <w:ind w:firstLine="960" w:firstLineChars="400"/>
        <w:rPr>
          <w:rFonts w:ascii="宋体" w:hAnsi="宋体"/>
          <w:sz w:val="24"/>
        </w:rPr>
      </w:pPr>
      <w:r>
        <w:rPr>
          <w:rFonts w:hint="eastAsia" w:ascii="宋体" w:hAnsi="宋体"/>
          <w:iCs/>
          <w:sz w:val="24"/>
        </w:rPr>
        <w:t xml:space="preserve"> </w:t>
      </w:r>
      <w:r>
        <w:rPr>
          <w:rFonts w:hint="eastAsia" w:ascii="宋体" w:hAnsi="宋体"/>
          <w:iCs/>
          <w:sz w:val="24"/>
        </w:rPr>
        <w:sym w:font="Wingdings" w:char="00A8"/>
      </w:r>
      <w:r>
        <w:rPr>
          <w:rFonts w:hint="eastAsia" w:ascii="宋体" w:hAnsi="宋体"/>
          <w:iCs/>
          <w:sz w:val="24"/>
        </w:rPr>
        <w:t xml:space="preserve">残疾人福利性单位 </w:t>
      </w:r>
      <w:r>
        <w:rPr>
          <w:rFonts w:hint="eastAsia" w:ascii="宋体" w:hAnsi="宋体"/>
          <w:iCs/>
          <w:sz w:val="24"/>
        </w:rPr>
        <w:sym w:font="Wingdings" w:char="00A8"/>
      </w:r>
      <w:r>
        <w:rPr>
          <w:rFonts w:hint="eastAsia" w:ascii="宋体" w:hAnsi="宋体"/>
          <w:iCs/>
          <w:sz w:val="24"/>
        </w:rPr>
        <w:t xml:space="preserve">监狱企业 </w:t>
      </w:r>
      <w:r>
        <w:rPr>
          <w:rFonts w:hint="eastAsia" w:ascii="宋体" w:hAnsi="宋体"/>
          <w:iCs/>
          <w:sz w:val="24"/>
        </w:rPr>
        <w:sym w:font="Wingdings" w:char="00A8"/>
      </w:r>
      <w:r>
        <w:rPr>
          <w:rFonts w:hint="eastAsia" w:ascii="宋体" w:hAnsi="宋体"/>
          <w:iCs/>
          <w:sz w:val="24"/>
        </w:rPr>
        <w:t>其他</w:t>
      </w:r>
    </w:p>
    <w:p>
      <w:pPr>
        <w:numPr>
          <w:ilvl w:val="255"/>
          <w:numId w:val="0"/>
        </w:numPr>
        <w:adjustRightInd w:val="0"/>
        <w:snapToGrid w:val="0"/>
        <w:spacing w:line="360" w:lineRule="auto"/>
        <w:rPr>
          <w:rFonts w:ascii="宋体" w:hAnsi="宋体" w:cs="宋体"/>
          <w:iCs/>
          <w:sz w:val="24"/>
        </w:rPr>
      </w:pPr>
      <w:r>
        <w:rPr>
          <w:rFonts w:hint="eastAsia" w:ascii="宋体" w:hAnsi="宋体"/>
          <w:sz w:val="24"/>
        </w:rPr>
        <w:t xml:space="preserve">    </w:t>
      </w:r>
      <w:r>
        <w:rPr>
          <w:rFonts w:hint="eastAsia" w:ascii="宋体" w:hAnsi="宋体" w:cs="宋体"/>
          <w:sz w:val="24"/>
        </w:rPr>
        <w:t>（</w:t>
      </w:r>
      <w:r>
        <w:rPr>
          <w:rFonts w:ascii="宋体" w:hAnsi="宋体" w:cs="宋体"/>
          <w:sz w:val="24"/>
          <w:lang w:val="en"/>
        </w:rPr>
        <w:t>8</w:t>
      </w:r>
      <w:r>
        <w:rPr>
          <w:rFonts w:hint="eastAsia" w:ascii="宋体" w:hAnsi="宋体" w:cs="宋体"/>
          <w:sz w:val="24"/>
        </w:rPr>
        <w:t>）中标（成交）供应商是否为外商投资企业：</w:t>
      </w:r>
      <w:r>
        <w:rPr>
          <w:rFonts w:hint="eastAsia" w:ascii="宋体" w:hAnsi="宋体" w:cs="宋体"/>
          <w:iCs/>
          <w:sz w:val="24"/>
        </w:rPr>
        <w:sym w:font="Wingdings" w:char="00A8"/>
      </w:r>
      <w:r>
        <w:rPr>
          <w:rFonts w:hint="eastAsia" w:ascii="宋体" w:hAnsi="宋体" w:cs="宋体"/>
          <w:iCs/>
          <w:sz w:val="24"/>
        </w:rPr>
        <w:t xml:space="preserve">是       </w:t>
      </w:r>
      <w:r>
        <w:rPr>
          <w:rFonts w:hint="eastAsia" w:ascii="宋体" w:hAnsi="宋体" w:cs="宋体"/>
          <w:iCs/>
          <w:sz w:val="24"/>
        </w:rPr>
        <w:sym w:font="Wingdings" w:char="00A8"/>
      </w:r>
      <w:r>
        <w:rPr>
          <w:rFonts w:hint="eastAsia" w:ascii="宋体" w:hAnsi="宋体" w:cs="宋体"/>
          <w:iCs/>
          <w:sz w:val="24"/>
        </w:rPr>
        <w:t>否</w:t>
      </w:r>
    </w:p>
    <w:p>
      <w:pPr>
        <w:pStyle w:val="133"/>
        <w:tabs>
          <w:tab w:val="left" w:pos="1340"/>
        </w:tabs>
        <w:spacing w:line="360" w:lineRule="auto"/>
        <w:ind w:firstLine="480"/>
        <w:rPr>
          <w:rFonts w:ascii="宋体" w:hAnsi="宋体" w:eastAsia="宋体" w:cs="宋体"/>
          <w:sz w:val="24"/>
          <w:szCs w:val="24"/>
          <w:u w:val="single"/>
        </w:rPr>
      </w:pPr>
      <w:r>
        <w:rPr>
          <w:rFonts w:hint="eastAsia" w:ascii="宋体" w:hAnsi="宋体" w:eastAsia="宋体" w:cs="宋体"/>
          <w:sz w:val="24"/>
          <w:szCs w:val="24"/>
        </w:rPr>
        <w:t xml:space="preserve">     外商投资企业类型：</w:t>
      </w:r>
      <w:r>
        <w:rPr>
          <w:rFonts w:hint="eastAsia" w:ascii="宋体" w:hAnsi="宋体" w:eastAsia="宋体" w:cs="宋体"/>
          <w:iCs/>
          <w:sz w:val="24"/>
          <w:szCs w:val="24"/>
        </w:rPr>
        <w:sym w:font="Wingdings" w:char="00A8"/>
      </w:r>
      <w:r>
        <w:rPr>
          <w:rFonts w:hint="eastAsia" w:ascii="宋体" w:hAnsi="宋体" w:eastAsia="宋体" w:cs="宋体"/>
          <w:sz w:val="24"/>
          <w:szCs w:val="24"/>
        </w:rPr>
        <w:t xml:space="preserve">全部由外国投资者投资  </w:t>
      </w:r>
      <w:r>
        <w:rPr>
          <w:rFonts w:hint="eastAsia" w:ascii="宋体" w:hAnsi="宋体" w:eastAsia="宋体" w:cs="宋体"/>
          <w:iCs/>
          <w:sz w:val="24"/>
          <w:szCs w:val="24"/>
        </w:rPr>
        <w:sym w:font="Wingdings" w:char="00A8"/>
      </w:r>
      <w:r>
        <w:rPr>
          <w:rFonts w:hint="eastAsia" w:ascii="宋体" w:hAnsi="宋体" w:eastAsia="宋体" w:cs="宋体"/>
          <w:iCs/>
          <w:sz w:val="24"/>
          <w:szCs w:val="24"/>
        </w:rPr>
        <w:t>部分由外国投资者投资</w:t>
      </w:r>
    </w:p>
    <w:p>
      <w:pPr>
        <w:pStyle w:val="133"/>
        <w:tabs>
          <w:tab w:val="left" w:pos="1340"/>
        </w:tabs>
        <w:spacing w:line="360" w:lineRule="auto"/>
        <w:ind w:firstLine="48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w:t>
      </w:r>
      <w:r>
        <w:rPr>
          <w:rFonts w:hint="eastAsia" w:ascii="宋体" w:hAnsi="宋体" w:eastAsia="宋体"/>
          <w:sz w:val="24"/>
          <w:szCs w:val="24"/>
        </w:rPr>
        <w:t>）是否涉及节能产品：</w:t>
      </w:r>
    </w:p>
    <w:p>
      <w:pPr>
        <w:numPr>
          <w:ilvl w:val="255"/>
          <w:numId w:val="0"/>
        </w:numPr>
        <w:tabs>
          <w:tab w:val="left" w:pos="740"/>
        </w:tabs>
        <w:adjustRightInd w:val="0"/>
        <w:snapToGrid w:val="0"/>
        <w:spacing w:line="360" w:lineRule="auto"/>
        <w:ind w:firstLine="720" w:firstLineChars="300"/>
        <w:rPr>
          <w:rFonts w:ascii="宋体" w:hAnsi="宋体"/>
          <w:iCs/>
          <w:sz w:val="24"/>
        </w:rPr>
      </w:pPr>
      <w:r>
        <w:rPr>
          <w:rFonts w:hint="eastAsia" w:ascii="宋体" w:hAnsi="宋体"/>
          <w:sz w:val="24"/>
        </w:rPr>
        <w:sym w:font="Wingdings" w:char="00A8"/>
      </w:r>
      <w:r>
        <w:rPr>
          <w:rFonts w:hint="eastAsia" w:ascii="宋体" w:hAnsi="宋体"/>
          <w:sz w:val="24"/>
        </w:rPr>
        <w:t xml:space="preserve">是 </w:t>
      </w:r>
      <w:r>
        <w:rPr>
          <w:rFonts w:hint="eastAsia" w:ascii="宋体" w:hAnsi="宋体"/>
          <w:sz w:val="24"/>
        </w:rPr>
        <w:sym w:font="Wingdings" w:char="00A8"/>
      </w:r>
      <w:r>
        <w:rPr>
          <w:rFonts w:hint="eastAsia" w:ascii="宋体" w:hAnsi="宋体"/>
          <w:sz w:val="24"/>
        </w:rPr>
        <w:t>否，《节能产品政府采购品目清单》的底级品目名称：</w:t>
      </w:r>
      <w:r>
        <w:rPr>
          <w:rFonts w:hint="eastAsia" w:ascii="宋体" w:hAnsi="宋体"/>
          <w:sz w:val="24"/>
          <w:u w:val="single"/>
        </w:rPr>
        <w:t xml:space="preserve">         </w:t>
      </w:r>
      <w:r>
        <w:rPr>
          <w:rFonts w:hint="eastAsia" w:ascii="宋体" w:hAnsi="宋体"/>
          <w:iCs/>
          <w:sz w:val="24"/>
        </w:rPr>
        <w:t xml:space="preserve">     </w:t>
      </w:r>
    </w:p>
    <w:p>
      <w:pPr>
        <w:numPr>
          <w:ilvl w:val="255"/>
          <w:numId w:val="0"/>
        </w:numPr>
        <w:tabs>
          <w:tab w:val="left" w:pos="740"/>
        </w:tabs>
        <w:adjustRightInd w:val="0"/>
        <w:snapToGrid w:val="0"/>
        <w:spacing w:line="360" w:lineRule="auto"/>
        <w:ind w:firstLine="720" w:firstLineChars="300"/>
        <w:rPr>
          <w:rFonts w:ascii="宋体" w:hAnsi="宋体"/>
          <w:sz w:val="24"/>
        </w:rPr>
      </w:pPr>
      <w:r>
        <w:rPr>
          <w:rFonts w:hint="eastAsia" w:ascii="宋体" w:hAnsi="宋体"/>
          <w:iCs/>
          <w:sz w:val="24"/>
        </w:rPr>
        <w:sym w:font="Wingdings" w:char="00A8"/>
      </w:r>
      <w:r>
        <w:rPr>
          <w:rFonts w:hint="eastAsia" w:ascii="宋体" w:hAnsi="宋体"/>
          <w:iCs/>
          <w:sz w:val="24"/>
        </w:rPr>
        <w:t xml:space="preserve">强制采购       </w:t>
      </w:r>
      <w:r>
        <w:rPr>
          <w:rFonts w:hint="eastAsia" w:ascii="宋体" w:hAnsi="宋体"/>
          <w:iCs/>
          <w:sz w:val="24"/>
        </w:rPr>
        <w:sym w:font="Wingdings" w:char="00A8"/>
      </w:r>
      <w:r>
        <w:rPr>
          <w:rFonts w:hint="eastAsia" w:ascii="宋体" w:hAnsi="宋体"/>
          <w:iCs/>
          <w:sz w:val="24"/>
        </w:rPr>
        <w:t xml:space="preserve">优先采购    </w:t>
      </w:r>
    </w:p>
    <w:p>
      <w:pPr>
        <w:numPr>
          <w:ilvl w:val="255"/>
          <w:numId w:val="0"/>
        </w:numPr>
        <w:tabs>
          <w:tab w:val="left" w:pos="740"/>
        </w:tabs>
        <w:adjustRightInd w:val="0"/>
        <w:snapToGrid w:val="0"/>
        <w:spacing w:line="360" w:lineRule="auto"/>
        <w:ind w:firstLine="720" w:firstLineChars="300"/>
        <w:rPr>
          <w:rFonts w:ascii="宋体" w:hAnsi="宋体"/>
          <w:sz w:val="24"/>
        </w:rPr>
      </w:pPr>
      <w:r>
        <w:rPr>
          <w:rFonts w:hint="eastAsia" w:ascii="宋体" w:hAnsi="宋体"/>
          <w:sz w:val="24"/>
        </w:rPr>
        <w:t>是否涉及环境标志产品：</w:t>
      </w:r>
    </w:p>
    <w:p>
      <w:pPr>
        <w:numPr>
          <w:ilvl w:val="255"/>
          <w:numId w:val="0"/>
        </w:numPr>
        <w:tabs>
          <w:tab w:val="left" w:pos="740"/>
        </w:tabs>
        <w:adjustRightInd w:val="0"/>
        <w:snapToGrid w:val="0"/>
        <w:spacing w:line="360" w:lineRule="auto"/>
        <w:ind w:firstLine="720" w:firstLineChars="300"/>
        <w:rPr>
          <w:rFonts w:ascii="宋体" w:hAnsi="宋体"/>
          <w:sz w:val="24"/>
        </w:rPr>
      </w:pPr>
      <w:r>
        <w:rPr>
          <w:rFonts w:hint="eastAsia" w:ascii="宋体" w:hAnsi="宋体"/>
          <w:sz w:val="24"/>
        </w:rPr>
        <w:sym w:font="Wingdings" w:char="00A8"/>
      </w:r>
      <w:r>
        <w:rPr>
          <w:rFonts w:hint="eastAsia" w:ascii="宋体" w:hAnsi="宋体"/>
          <w:sz w:val="24"/>
        </w:rPr>
        <w:t xml:space="preserve">是 </w:t>
      </w:r>
      <w:r>
        <w:rPr>
          <w:rFonts w:hint="eastAsia" w:ascii="宋体" w:hAnsi="宋体"/>
          <w:sz w:val="24"/>
        </w:rPr>
        <w:sym w:font="Wingdings" w:char="00A8"/>
      </w:r>
      <w:r>
        <w:rPr>
          <w:rFonts w:hint="eastAsia" w:ascii="宋体" w:hAnsi="宋体"/>
          <w:sz w:val="24"/>
        </w:rPr>
        <w:t>否，《环境标志产品政府采购品目清单》的底级品目名称：</w:t>
      </w:r>
      <w:r>
        <w:rPr>
          <w:rFonts w:hint="eastAsia" w:ascii="宋体" w:hAnsi="宋体"/>
          <w:sz w:val="24"/>
          <w:u w:val="single"/>
        </w:rPr>
        <w:t xml:space="preserve">         </w:t>
      </w:r>
      <w:r>
        <w:rPr>
          <w:rFonts w:hint="eastAsia" w:ascii="宋体" w:hAnsi="宋体"/>
          <w:iCs/>
          <w:sz w:val="24"/>
        </w:rPr>
        <w:t xml:space="preserve"> </w:t>
      </w:r>
    </w:p>
    <w:p>
      <w:pPr>
        <w:numPr>
          <w:ilvl w:val="255"/>
          <w:numId w:val="0"/>
        </w:numPr>
        <w:tabs>
          <w:tab w:val="left" w:pos="740"/>
        </w:tabs>
        <w:adjustRightInd w:val="0"/>
        <w:snapToGrid w:val="0"/>
        <w:spacing w:line="360" w:lineRule="auto"/>
        <w:ind w:firstLine="720" w:firstLineChars="300"/>
        <w:rPr>
          <w:rFonts w:ascii="宋体" w:hAnsi="宋体"/>
          <w:sz w:val="24"/>
        </w:rPr>
      </w:pPr>
      <w:r>
        <w:rPr>
          <w:rFonts w:hint="eastAsia" w:ascii="宋体" w:hAnsi="宋体"/>
          <w:iCs/>
          <w:sz w:val="24"/>
        </w:rPr>
        <w:sym w:font="Wingdings" w:char="00A8"/>
      </w:r>
      <w:r>
        <w:rPr>
          <w:rFonts w:hint="eastAsia" w:ascii="宋体" w:hAnsi="宋体"/>
          <w:iCs/>
          <w:sz w:val="24"/>
        </w:rPr>
        <w:t xml:space="preserve">强制采购       </w:t>
      </w:r>
      <w:r>
        <w:rPr>
          <w:rFonts w:hint="eastAsia" w:ascii="宋体" w:hAnsi="宋体"/>
          <w:iCs/>
          <w:sz w:val="24"/>
        </w:rPr>
        <w:sym w:font="Wingdings" w:char="00A8"/>
      </w:r>
      <w:r>
        <w:rPr>
          <w:rFonts w:hint="eastAsia" w:ascii="宋体" w:hAnsi="宋体"/>
          <w:iCs/>
          <w:sz w:val="24"/>
        </w:rPr>
        <w:t xml:space="preserve">优先采购   </w:t>
      </w:r>
    </w:p>
    <w:p>
      <w:pPr>
        <w:pStyle w:val="133"/>
        <w:numPr>
          <w:ilvl w:val="255"/>
          <w:numId w:val="0"/>
        </w:numPr>
        <w:snapToGrid w:val="0"/>
        <w:spacing w:line="360" w:lineRule="auto"/>
        <w:ind w:firstLine="720" w:firstLineChars="300"/>
        <w:rPr>
          <w:rFonts w:ascii="宋体" w:hAnsi="宋体" w:eastAsia="宋体" w:cs="Times New Roman"/>
          <w:kern w:val="2"/>
          <w:sz w:val="24"/>
          <w:szCs w:val="24"/>
        </w:rPr>
      </w:pPr>
      <w:r>
        <w:rPr>
          <w:rFonts w:hint="eastAsia" w:ascii="宋体" w:hAnsi="宋体" w:eastAsia="宋体" w:cs="Times New Roman"/>
          <w:kern w:val="2"/>
          <w:sz w:val="24"/>
          <w:szCs w:val="24"/>
        </w:rPr>
        <w:t xml:space="preserve">是否涉及绿色产品： </w:t>
      </w:r>
    </w:p>
    <w:p>
      <w:pPr>
        <w:pStyle w:val="133"/>
        <w:spacing w:line="360" w:lineRule="auto"/>
        <w:ind w:firstLine="720" w:firstLineChars="300"/>
        <w:rPr>
          <w:rFonts w:ascii="宋体" w:hAnsi="宋体" w:eastAsia="宋体"/>
          <w:sz w:val="24"/>
          <w:szCs w:val="24"/>
          <w:u w:val="single"/>
        </w:rPr>
      </w:pPr>
      <w:r>
        <w:rPr>
          <w:rFonts w:hint="eastAsia" w:ascii="宋体" w:hAnsi="宋体" w:eastAsia="宋体" w:cs="Times New Roman"/>
          <w:kern w:val="2"/>
          <w:sz w:val="24"/>
          <w:szCs w:val="24"/>
        </w:rPr>
        <w:sym w:font="Wingdings" w:char="00A8"/>
      </w:r>
      <w:r>
        <w:rPr>
          <w:rFonts w:hint="eastAsia" w:ascii="宋体" w:hAnsi="宋体" w:eastAsia="宋体" w:cs="Times New Roman"/>
          <w:kern w:val="2"/>
          <w:sz w:val="24"/>
          <w:szCs w:val="24"/>
        </w:rPr>
        <w:t xml:space="preserve">是  </w:t>
      </w:r>
      <w:r>
        <w:rPr>
          <w:rFonts w:hint="eastAsia" w:ascii="宋体" w:hAnsi="宋体" w:eastAsia="宋体" w:cs="Times New Roman"/>
          <w:kern w:val="2"/>
          <w:sz w:val="24"/>
          <w:szCs w:val="24"/>
        </w:rPr>
        <w:sym w:font="Wingdings" w:char="00A8"/>
      </w:r>
      <w:r>
        <w:rPr>
          <w:rFonts w:hint="eastAsia" w:ascii="宋体" w:hAnsi="宋体" w:eastAsia="宋体" w:cs="Times New Roman"/>
          <w:kern w:val="2"/>
          <w:sz w:val="24"/>
          <w:szCs w:val="24"/>
        </w:rPr>
        <w:t>否，绿色产品政府采购相关政策确定的底级品目名称：</w:t>
      </w:r>
      <w:r>
        <w:rPr>
          <w:rFonts w:hint="eastAsia" w:ascii="宋体" w:hAnsi="宋体" w:eastAsia="宋体"/>
          <w:sz w:val="24"/>
          <w:szCs w:val="24"/>
          <w:u w:val="single"/>
        </w:rPr>
        <w:t xml:space="preserve">         </w:t>
      </w:r>
    </w:p>
    <w:p>
      <w:pPr>
        <w:numPr>
          <w:ilvl w:val="255"/>
          <w:numId w:val="0"/>
        </w:numPr>
        <w:tabs>
          <w:tab w:val="left" w:pos="740"/>
        </w:tabs>
        <w:adjustRightInd w:val="0"/>
        <w:snapToGrid w:val="0"/>
        <w:spacing w:line="360" w:lineRule="auto"/>
        <w:ind w:firstLine="720" w:firstLineChars="300"/>
        <w:rPr>
          <w:rFonts w:ascii="宋体" w:hAnsi="宋体"/>
          <w:sz w:val="24"/>
        </w:rPr>
      </w:pPr>
      <w:r>
        <w:rPr>
          <w:rFonts w:hint="eastAsia" w:ascii="宋体" w:hAnsi="宋体"/>
          <w:iCs/>
          <w:sz w:val="24"/>
        </w:rPr>
        <w:sym w:font="Wingdings" w:char="00A8"/>
      </w:r>
      <w:r>
        <w:rPr>
          <w:rFonts w:hint="eastAsia" w:ascii="宋体" w:hAnsi="宋体"/>
          <w:iCs/>
          <w:sz w:val="24"/>
        </w:rPr>
        <w:t xml:space="preserve">强制采购       </w:t>
      </w:r>
      <w:r>
        <w:rPr>
          <w:rFonts w:hint="eastAsia" w:ascii="宋体" w:hAnsi="宋体"/>
          <w:iCs/>
          <w:sz w:val="24"/>
        </w:rPr>
        <w:sym w:font="Wingdings" w:char="00A8"/>
      </w:r>
      <w:r>
        <w:rPr>
          <w:rFonts w:hint="eastAsia" w:ascii="宋体" w:hAnsi="宋体"/>
          <w:iCs/>
          <w:sz w:val="24"/>
        </w:rPr>
        <w:t xml:space="preserve">优先采购  </w:t>
      </w:r>
    </w:p>
    <w:p>
      <w:pPr>
        <w:numPr>
          <w:ilvl w:val="255"/>
          <w:numId w:val="0"/>
        </w:num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）涉及商品包装和快递包装的，是否参考《商品包装政府采购需求标准（试行）》、《快递包装政府采购需求标准（试行）》明确产品及相关快递服务的具体包装要求：</w:t>
      </w:r>
    </w:p>
    <w:p>
      <w:pPr>
        <w:numPr>
          <w:ilvl w:val="255"/>
          <w:numId w:val="0"/>
        </w:numPr>
        <w:adjustRightInd w:val="0"/>
        <w:snapToGrid w:val="0"/>
        <w:spacing w:line="360" w:lineRule="auto"/>
        <w:ind w:firstLine="480" w:firstLineChars="200"/>
        <w:rPr>
          <w:rFonts w:ascii="宋体" w:hAnsi="宋体"/>
          <w:sz w:val="24"/>
        </w:rPr>
      </w:pPr>
      <w:r>
        <w:rPr>
          <w:rFonts w:hint="eastAsia" w:ascii="宋体" w:hAnsi="宋体"/>
          <w:sz w:val="24"/>
        </w:rPr>
        <w:sym w:font="Wingdings" w:char="00A8"/>
      </w:r>
      <w:r>
        <w:rPr>
          <w:rFonts w:hint="eastAsia" w:ascii="宋体" w:hAnsi="宋体"/>
          <w:sz w:val="24"/>
        </w:rPr>
        <w:t xml:space="preserve">是       </w:t>
      </w:r>
      <w:r>
        <w:rPr>
          <w:rFonts w:hint="eastAsia" w:ascii="宋体" w:hAnsi="宋体"/>
          <w:sz w:val="24"/>
        </w:rPr>
        <w:sym w:font="Wingdings" w:char="00A8"/>
      </w:r>
      <w:r>
        <w:rPr>
          <w:rFonts w:hint="eastAsia" w:ascii="宋体" w:hAnsi="宋体"/>
          <w:sz w:val="24"/>
        </w:rPr>
        <w:t xml:space="preserve">否      </w:t>
      </w:r>
      <w:r>
        <w:rPr>
          <w:rFonts w:hint="eastAsia" w:ascii="宋体" w:hAnsi="宋体"/>
          <w:sz w:val="24"/>
        </w:rPr>
        <w:sym w:font="Wingdings" w:char="00A8"/>
      </w:r>
      <w:r>
        <w:rPr>
          <w:rFonts w:hint="eastAsia" w:ascii="宋体" w:hAnsi="宋体"/>
          <w:sz w:val="24"/>
        </w:rPr>
        <w:t>不涉及</w:t>
      </w:r>
    </w:p>
    <w:p>
      <w:pPr>
        <w:snapToGrid w:val="0"/>
        <w:spacing w:before="120" w:line="360" w:lineRule="auto"/>
        <w:ind w:firstLine="482" w:firstLineChars="200"/>
        <w:rPr>
          <w:rFonts w:ascii="宋体" w:hAnsi="宋体" w:cs="宋体"/>
          <w:b/>
          <w:sz w:val="24"/>
        </w:rPr>
      </w:pPr>
      <w:r>
        <w:rPr>
          <w:rFonts w:hint="eastAsia" w:ascii="宋体" w:hAnsi="宋体" w:cs="宋体"/>
          <w:b/>
          <w:sz w:val="24"/>
        </w:rPr>
        <w:t>二、合同条款</w:t>
      </w:r>
    </w:p>
    <w:p>
      <w:pPr>
        <w:snapToGrid w:val="0"/>
        <w:spacing w:before="120" w:line="360" w:lineRule="auto"/>
        <w:ind w:firstLine="482" w:firstLineChars="200"/>
        <w:rPr>
          <w:rFonts w:ascii="宋体" w:hAnsi="宋体" w:cs="宋体"/>
          <w:b/>
          <w:sz w:val="24"/>
        </w:rPr>
      </w:pPr>
      <w:r>
        <w:rPr>
          <w:rFonts w:hint="eastAsia" w:ascii="宋体" w:hAnsi="宋体" w:cs="宋体"/>
          <w:b/>
          <w:sz w:val="24"/>
        </w:rPr>
        <w:t>第一条　合同标的</w:t>
      </w:r>
    </w:p>
    <w:p>
      <w:pPr>
        <w:snapToGrid w:val="0"/>
        <w:spacing w:before="120" w:line="360" w:lineRule="auto"/>
        <w:ind w:firstLine="480" w:firstLineChars="200"/>
        <w:rPr>
          <w:rFonts w:ascii="宋体" w:hAnsi="宋体" w:cs="宋体"/>
          <w:sz w:val="24"/>
        </w:rPr>
      </w:pPr>
      <w:r>
        <w:rPr>
          <w:rFonts w:hint="eastAsia" w:ascii="宋体" w:hAnsi="宋体" w:cs="宋体"/>
          <w:sz w:val="24"/>
        </w:rPr>
        <w:t>1.供货一览表</w:t>
      </w:r>
    </w:p>
    <w:tbl>
      <w:tblPr>
        <w:tblStyle w:val="47"/>
        <w:tblW w:w="9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23"/>
        <w:gridCol w:w="1012"/>
        <w:gridCol w:w="1139"/>
        <w:gridCol w:w="1012"/>
        <w:gridCol w:w="885"/>
        <w:gridCol w:w="633"/>
        <w:gridCol w:w="741"/>
        <w:gridCol w:w="1537"/>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633" w:type="dxa"/>
            <w:vAlign w:val="center"/>
          </w:tcPr>
          <w:p>
            <w:pPr>
              <w:snapToGrid w:val="0"/>
              <w:jc w:val="center"/>
              <w:rPr>
                <w:rFonts w:ascii="宋体" w:hAnsi="宋体" w:cs="宋体"/>
                <w:b/>
                <w:sz w:val="24"/>
              </w:rPr>
            </w:pPr>
            <w:r>
              <w:rPr>
                <w:rFonts w:hint="eastAsia" w:ascii="宋体" w:hAnsi="宋体" w:cs="宋体"/>
                <w:b/>
                <w:sz w:val="24"/>
              </w:rPr>
              <w:t>序号</w:t>
            </w:r>
          </w:p>
        </w:tc>
        <w:tc>
          <w:tcPr>
            <w:tcW w:w="923" w:type="dxa"/>
            <w:vAlign w:val="center"/>
          </w:tcPr>
          <w:p>
            <w:pPr>
              <w:snapToGrid w:val="0"/>
              <w:jc w:val="center"/>
              <w:rPr>
                <w:rFonts w:ascii="宋体" w:hAnsi="宋体" w:cs="宋体"/>
                <w:b/>
                <w:sz w:val="24"/>
              </w:rPr>
            </w:pPr>
            <w:r>
              <w:rPr>
                <w:rFonts w:hint="eastAsia" w:ascii="宋体" w:hAnsi="宋体" w:cs="宋体"/>
                <w:b/>
                <w:sz w:val="24"/>
              </w:rPr>
              <w:t>货物名称</w:t>
            </w:r>
          </w:p>
        </w:tc>
        <w:tc>
          <w:tcPr>
            <w:tcW w:w="1012" w:type="dxa"/>
            <w:vAlign w:val="center"/>
          </w:tcPr>
          <w:p>
            <w:pPr>
              <w:snapToGrid w:val="0"/>
              <w:jc w:val="center"/>
              <w:rPr>
                <w:rFonts w:ascii="宋体" w:hAnsi="宋体" w:cs="宋体"/>
                <w:b/>
                <w:sz w:val="24"/>
              </w:rPr>
            </w:pPr>
            <w:r>
              <w:rPr>
                <w:rFonts w:hint="eastAsia" w:ascii="宋体" w:hAnsi="宋体" w:cs="宋体"/>
                <w:b/>
                <w:sz w:val="24"/>
              </w:rPr>
              <w:t>品牌</w:t>
            </w:r>
          </w:p>
        </w:tc>
        <w:tc>
          <w:tcPr>
            <w:tcW w:w="1139" w:type="dxa"/>
            <w:vAlign w:val="center"/>
          </w:tcPr>
          <w:p>
            <w:pPr>
              <w:snapToGrid w:val="0"/>
              <w:jc w:val="center"/>
              <w:rPr>
                <w:rFonts w:ascii="宋体" w:hAnsi="宋体" w:cs="宋体"/>
                <w:b/>
                <w:sz w:val="24"/>
              </w:rPr>
            </w:pPr>
            <w:r>
              <w:rPr>
                <w:rFonts w:hint="eastAsia" w:ascii="宋体" w:hAnsi="宋体" w:cs="宋体"/>
                <w:b/>
                <w:sz w:val="24"/>
              </w:rPr>
              <w:t>型号</w:t>
            </w:r>
          </w:p>
        </w:tc>
        <w:tc>
          <w:tcPr>
            <w:tcW w:w="1012" w:type="dxa"/>
            <w:vAlign w:val="center"/>
          </w:tcPr>
          <w:p>
            <w:pPr>
              <w:snapToGrid w:val="0"/>
              <w:jc w:val="center"/>
              <w:rPr>
                <w:rFonts w:ascii="宋体" w:hAnsi="宋体" w:cs="宋体"/>
                <w:b/>
                <w:sz w:val="24"/>
              </w:rPr>
            </w:pPr>
            <w:r>
              <w:rPr>
                <w:rFonts w:hint="eastAsia" w:ascii="宋体" w:hAnsi="宋体" w:cs="宋体"/>
                <w:b/>
                <w:sz w:val="24"/>
              </w:rPr>
              <w:t>生产厂家</w:t>
            </w:r>
          </w:p>
        </w:tc>
        <w:tc>
          <w:tcPr>
            <w:tcW w:w="885" w:type="dxa"/>
            <w:vAlign w:val="center"/>
          </w:tcPr>
          <w:p>
            <w:pPr>
              <w:snapToGrid w:val="0"/>
              <w:jc w:val="center"/>
              <w:rPr>
                <w:rFonts w:ascii="宋体" w:hAnsi="宋体" w:cs="宋体"/>
                <w:b/>
                <w:sz w:val="24"/>
              </w:rPr>
            </w:pPr>
            <w:r>
              <w:rPr>
                <w:rFonts w:hint="eastAsia" w:ascii="宋体" w:hAnsi="宋体" w:cs="宋体"/>
                <w:b/>
                <w:sz w:val="24"/>
              </w:rPr>
              <w:t>产地</w:t>
            </w:r>
          </w:p>
        </w:tc>
        <w:tc>
          <w:tcPr>
            <w:tcW w:w="633" w:type="dxa"/>
            <w:vAlign w:val="center"/>
          </w:tcPr>
          <w:p>
            <w:pPr>
              <w:snapToGrid w:val="0"/>
              <w:jc w:val="center"/>
              <w:rPr>
                <w:rFonts w:ascii="宋体" w:hAnsi="宋体" w:cs="宋体"/>
                <w:b/>
                <w:sz w:val="24"/>
              </w:rPr>
            </w:pPr>
            <w:r>
              <w:rPr>
                <w:rFonts w:hint="eastAsia" w:ascii="宋体" w:hAnsi="宋体" w:cs="宋体"/>
                <w:b/>
                <w:sz w:val="24"/>
              </w:rPr>
              <w:t>数  量</w:t>
            </w:r>
          </w:p>
        </w:tc>
        <w:tc>
          <w:tcPr>
            <w:tcW w:w="741" w:type="dxa"/>
            <w:vAlign w:val="center"/>
          </w:tcPr>
          <w:p>
            <w:pPr>
              <w:snapToGrid w:val="0"/>
              <w:jc w:val="center"/>
              <w:rPr>
                <w:rFonts w:ascii="宋体" w:hAnsi="宋体" w:cs="宋体"/>
                <w:b/>
                <w:sz w:val="24"/>
              </w:rPr>
            </w:pPr>
            <w:r>
              <w:rPr>
                <w:rFonts w:hint="eastAsia" w:ascii="宋体" w:hAnsi="宋体" w:cs="宋体"/>
                <w:b/>
                <w:sz w:val="24"/>
              </w:rPr>
              <w:t>单位</w:t>
            </w:r>
          </w:p>
        </w:tc>
        <w:tc>
          <w:tcPr>
            <w:tcW w:w="1537" w:type="dxa"/>
            <w:vAlign w:val="center"/>
          </w:tcPr>
          <w:p>
            <w:pPr>
              <w:snapToGrid w:val="0"/>
              <w:jc w:val="center"/>
              <w:rPr>
                <w:rFonts w:ascii="宋体" w:hAnsi="宋体" w:cs="宋体"/>
                <w:b/>
                <w:sz w:val="24"/>
              </w:rPr>
            </w:pPr>
            <w:r>
              <w:rPr>
                <w:rFonts w:hint="eastAsia" w:ascii="宋体" w:hAnsi="宋体" w:cs="宋体"/>
                <w:b/>
                <w:sz w:val="24"/>
              </w:rPr>
              <w:t>单  价</w:t>
            </w:r>
          </w:p>
          <w:p>
            <w:pPr>
              <w:snapToGrid w:val="0"/>
              <w:jc w:val="center"/>
              <w:rPr>
                <w:rFonts w:ascii="宋体" w:hAnsi="宋体" w:cs="宋体"/>
                <w:b/>
                <w:sz w:val="24"/>
              </w:rPr>
            </w:pPr>
            <w:r>
              <w:rPr>
                <w:rFonts w:hint="eastAsia" w:ascii="宋体" w:hAnsi="宋体" w:cs="宋体"/>
                <w:b/>
                <w:sz w:val="24"/>
              </w:rPr>
              <w:t>（元）</w:t>
            </w:r>
          </w:p>
        </w:tc>
        <w:tc>
          <w:tcPr>
            <w:tcW w:w="1139" w:type="dxa"/>
            <w:vAlign w:val="center"/>
          </w:tcPr>
          <w:p>
            <w:pPr>
              <w:snapToGrid w:val="0"/>
              <w:jc w:val="center"/>
              <w:rPr>
                <w:rFonts w:ascii="宋体" w:hAnsi="宋体" w:cs="宋体"/>
                <w:b/>
                <w:sz w:val="24"/>
              </w:rPr>
            </w:pPr>
            <w:r>
              <w:rPr>
                <w:rFonts w:hint="eastAsia" w:ascii="宋体" w:hAnsi="宋体" w:cs="宋体"/>
                <w:b/>
                <w:sz w:val="24"/>
              </w:rPr>
              <w:t>单项合计（元）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633" w:type="dxa"/>
            <w:vAlign w:val="center"/>
          </w:tcPr>
          <w:p>
            <w:pPr>
              <w:snapToGrid w:val="0"/>
              <w:spacing w:before="120" w:line="360" w:lineRule="auto"/>
              <w:jc w:val="center"/>
              <w:rPr>
                <w:rFonts w:ascii="宋体" w:hAnsi="宋体" w:cs="宋体"/>
                <w:sz w:val="24"/>
              </w:rPr>
            </w:pPr>
            <w:r>
              <w:rPr>
                <w:rFonts w:hint="eastAsia" w:ascii="宋体" w:hAnsi="宋体" w:cs="宋体"/>
                <w:sz w:val="24"/>
              </w:rPr>
              <w:t>1</w:t>
            </w:r>
          </w:p>
        </w:tc>
        <w:tc>
          <w:tcPr>
            <w:tcW w:w="923" w:type="dxa"/>
            <w:vAlign w:val="center"/>
          </w:tcPr>
          <w:p>
            <w:pPr>
              <w:snapToGrid w:val="0"/>
              <w:spacing w:before="120" w:line="360" w:lineRule="auto"/>
              <w:jc w:val="center"/>
              <w:rPr>
                <w:rFonts w:ascii="宋体" w:hAnsi="宋体" w:cs="宋体"/>
                <w:sz w:val="24"/>
              </w:rPr>
            </w:pPr>
          </w:p>
        </w:tc>
        <w:tc>
          <w:tcPr>
            <w:tcW w:w="1012" w:type="dxa"/>
            <w:vAlign w:val="center"/>
          </w:tcPr>
          <w:p>
            <w:pPr>
              <w:snapToGrid w:val="0"/>
              <w:spacing w:before="120" w:line="360" w:lineRule="auto"/>
              <w:jc w:val="center"/>
              <w:rPr>
                <w:rFonts w:ascii="宋体" w:hAnsi="宋体" w:cs="宋体"/>
                <w:sz w:val="24"/>
              </w:rPr>
            </w:pPr>
          </w:p>
        </w:tc>
        <w:tc>
          <w:tcPr>
            <w:tcW w:w="1139" w:type="dxa"/>
            <w:vAlign w:val="center"/>
          </w:tcPr>
          <w:p>
            <w:pPr>
              <w:snapToGrid w:val="0"/>
              <w:spacing w:before="120" w:line="360" w:lineRule="auto"/>
              <w:jc w:val="center"/>
              <w:rPr>
                <w:rFonts w:ascii="宋体" w:hAnsi="宋体" w:cs="宋体"/>
                <w:sz w:val="24"/>
              </w:rPr>
            </w:pPr>
          </w:p>
        </w:tc>
        <w:tc>
          <w:tcPr>
            <w:tcW w:w="1012" w:type="dxa"/>
          </w:tcPr>
          <w:p>
            <w:pPr>
              <w:snapToGrid w:val="0"/>
              <w:spacing w:before="120" w:line="360" w:lineRule="auto"/>
              <w:jc w:val="center"/>
              <w:rPr>
                <w:rFonts w:ascii="宋体" w:hAnsi="宋体" w:cs="宋体"/>
                <w:sz w:val="24"/>
              </w:rPr>
            </w:pPr>
          </w:p>
        </w:tc>
        <w:tc>
          <w:tcPr>
            <w:tcW w:w="885" w:type="dxa"/>
            <w:vAlign w:val="center"/>
          </w:tcPr>
          <w:p>
            <w:pPr>
              <w:snapToGrid w:val="0"/>
              <w:spacing w:before="120" w:line="360" w:lineRule="auto"/>
              <w:jc w:val="center"/>
              <w:rPr>
                <w:rFonts w:ascii="宋体" w:hAnsi="宋体" w:cs="宋体"/>
                <w:sz w:val="24"/>
              </w:rPr>
            </w:pPr>
          </w:p>
        </w:tc>
        <w:tc>
          <w:tcPr>
            <w:tcW w:w="633" w:type="dxa"/>
            <w:vAlign w:val="center"/>
          </w:tcPr>
          <w:p>
            <w:pPr>
              <w:snapToGrid w:val="0"/>
              <w:spacing w:before="120" w:line="360" w:lineRule="auto"/>
              <w:jc w:val="center"/>
              <w:rPr>
                <w:rFonts w:ascii="宋体" w:hAnsi="宋体" w:cs="宋体"/>
                <w:sz w:val="24"/>
              </w:rPr>
            </w:pPr>
          </w:p>
        </w:tc>
        <w:tc>
          <w:tcPr>
            <w:tcW w:w="741" w:type="dxa"/>
          </w:tcPr>
          <w:p>
            <w:pPr>
              <w:snapToGrid w:val="0"/>
              <w:spacing w:before="120" w:line="360" w:lineRule="auto"/>
              <w:jc w:val="center"/>
              <w:rPr>
                <w:rFonts w:ascii="宋体" w:hAnsi="宋体" w:cs="宋体"/>
                <w:sz w:val="24"/>
              </w:rPr>
            </w:pPr>
          </w:p>
        </w:tc>
        <w:tc>
          <w:tcPr>
            <w:tcW w:w="1537" w:type="dxa"/>
            <w:vAlign w:val="center"/>
          </w:tcPr>
          <w:p>
            <w:pPr>
              <w:snapToGrid w:val="0"/>
              <w:spacing w:before="120" w:line="360" w:lineRule="auto"/>
              <w:jc w:val="center"/>
              <w:rPr>
                <w:rFonts w:ascii="宋体" w:hAnsi="宋体" w:cs="宋体"/>
                <w:sz w:val="24"/>
              </w:rPr>
            </w:pPr>
          </w:p>
        </w:tc>
        <w:tc>
          <w:tcPr>
            <w:tcW w:w="1139" w:type="dxa"/>
          </w:tcPr>
          <w:p>
            <w:pPr>
              <w:snapToGrid w:val="0"/>
              <w:spacing w:before="120"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633" w:type="dxa"/>
            <w:vAlign w:val="center"/>
          </w:tcPr>
          <w:p>
            <w:pPr>
              <w:snapToGrid w:val="0"/>
              <w:spacing w:before="120" w:line="360" w:lineRule="auto"/>
              <w:jc w:val="center"/>
              <w:rPr>
                <w:rFonts w:ascii="宋体" w:hAnsi="宋体" w:cs="宋体"/>
                <w:sz w:val="24"/>
              </w:rPr>
            </w:pPr>
            <w:r>
              <w:rPr>
                <w:rFonts w:hint="eastAsia" w:ascii="宋体" w:hAnsi="宋体" w:cs="宋体"/>
                <w:sz w:val="24"/>
              </w:rPr>
              <w:t>N</w:t>
            </w:r>
          </w:p>
        </w:tc>
        <w:tc>
          <w:tcPr>
            <w:tcW w:w="923" w:type="dxa"/>
            <w:vAlign w:val="center"/>
          </w:tcPr>
          <w:p>
            <w:pPr>
              <w:snapToGrid w:val="0"/>
              <w:spacing w:before="120" w:line="360" w:lineRule="auto"/>
              <w:jc w:val="center"/>
              <w:rPr>
                <w:rFonts w:ascii="宋体" w:hAnsi="宋体" w:cs="宋体"/>
                <w:sz w:val="24"/>
              </w:rPr>
            </w:pPr>
          </w:p>
        </w:tc>
        <w:tc>
          <w:tcPr>
            <w:tcW w:w="1012" w:type="dxa"/>
            <w:vAlign w:val="center"/>
          </w:tcPr>
          <w:p>
            <w:pPr>
              <w:snapToGrid w:val="0"/>
              <w:spacing w:before="120" w:line="360" w:lineRule="auto"/>
              <w:jc w:val="center"/>
              <w:rPr>
                <w:rFonts w:ascii="宋体" w:hAnsi="宋体" w:cs="宋体"/>
                <w:sz w:val="24"/>
              </w:rPr>
            </w:pPr>
          </w:p>
        </w:tc>
        <w:tc>
          <w:tcPr>
            <w:tcW w:w="1139" w:type="dxa"/>
            <w:vAlign w:val="center"/>
          </w:tcPr>
          <w:p>
            <w:pPr>
              <w:snapToGrid w:val="0"/>
              <w:spacing w:before="120" w:line="360" w:lineRule="auto"/>
              <w:jc w:val="center"/>
              <w:rPr>
                <w:rFonts w:ascii="宋体" w:hAnsi="宋体" w:cs="宋体"/>
                <w:sz w:val="24"/>
              </w:rPr>
            </w:pPr>
          </w:p>
        </w:tc>
        <w:tc>
          <w:tcPr>
            <w:tcW w:w="1012" w:type="dxa"/>
          </w:tcPr>
          <w:p>
            <w:pPr>
              <w:snapToGrid w:val="0"/>
              <w:spacing w:before="120" w:line="360" w:lineRule="auto"/>
              <w:jc w:val="center"/>
              <w:rPr>
                <w:rFonts w:ascii="宋体" w:hAnsi="宋体" w:cs="宋体"/>
                <w:sz w:val="24"/>
              </w:rPr>
            </w:pPr>
          </w:p>
        </w:tc>
        <w:tc>
          <w:tcPr>
            <w:tcW w:w="885" w:type="dxa"/>
            <w:vAlign w:val="center"/>
          </w:tcPr>
          <w:p>
            <w:pPr>
              <w:snapToGrid w:val="0"/>
              <w:spacing w:before="120" w:line="360" w:lineRule="auto"/>
              <w:jc w:val="center"/>
              <w:rPr>
                <w:rFonts w:ascii="宋体" w:hAnsi="宋体" w:cs="宋体"/>
                <w:sz w:val="24"/>
              </w:rPr>
            </w:pPr>
          </w:p>
        </w:tc>
        <w:tc>
          <w:tcPr>
            <w:tcW w:w="633" w:type="dxa"/>
            <w:vAlign w:val="center"/>
          </w:tcPr>
          <w:p>
            <w:pPr>
              <w:snapToGrid w:val="0"/>
              <w:spacing w:before="120" w:line="360" w:lineRule="auto"/>
              <w:jc w:val="center"/>
              <w:rPr>
                <w:rFonts w:ascii="宋体" w:hAnsi="宋体" w:cs="宋体"/>
                <w:sz w:val="24"/>
              </w:rPr>
            </w:pPr>
          </w:p>
        </w:tc>
        <w:tc>
          <w:tcPr>
            <w:tcW w:w="741" w:type="dxa"/>
          </w:tcPr>
          <w:p>
            <w:pPr>
              <w:snapToGrid w:val="0"/>
              <w:spacing w:before="120" w:line="360" w:lineRule="auto"/>
              <w:jc w:val="center"/>
              <w:rPr>
                <w:rFonts w:ascii="宋体" w:hAnsi="宋体" w:cs="宋体"/>
                <w:sz w:val="24"/>
              </w:rPr>
            </w:pPr>
          </w:p>
        </w:tc>
        <w:tc>
          <w:tcPr>
            <w:tcW w:w="1537" w:type="dxa"/>
            <w:vAlign w:val="center"/>
          </w:tcPr>
          <w:p>
            <w:pPr>
              <w:snapToGrid w:val="0"/>
              <w:spacing w:before="120" w:line="360" w:lineRule="auto"/>
              <w:jc w:val="center"/>
              <w:rPr>
                <w:rFonts w:ascii="宋体" w:hAnsi="宋体" w:cs="宋体"/>
                <w:sz w:val="24"/>
              </w:rPr>
            </w:pPr>
          </w:p>
        </w:tc>
        <w:tc>
          <w:tcPr>
            <w:tcW w:w="1139" w:type="dxa"/>
          </w:tcPr>
          <w:p>
            <w:pPr>
              <w:snapToGrid w:val="0"/>
              <w:spacing w:before="120"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9654" w:type="dxa"/>
            <w:gridSpan w:val="10"/>
          </w:tcPr>
          <w:p>
            <w:pPr>
              <w:snapToGrid w:val="0"/>
              <w:spacing w:before="120" w:line="360" w:lineRule="auto"/>
              <w:jc w:val="left"/>
              <w:rPr>
                <w:rFonts w:ascii="宋体" w:hAnsi="宋体" w:cs="宋体"/>
                <w:sz w:val="24"/>
              </w:rPr>
            </w:pPr>
            <w:r>
              <w:rPr>
                <w:rFonts w:hint="eastAsia" w:ascii="宋体" w:hAnsi="宋体" w:cs="宋体"/>
                <w:sz w:val="24"/>
              </w:rPr>
              <w:t>合计金额（人民币大写</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bCs/>
                <w:sz w:val="24"/>
                <w:u w:val="single"/>
              </w:rPr>
              <w:t>元整</w:t>
            </w:r>
            <w:r>
              <w:rPr>
                <w:rFonts w:hint="eastAsia" w:ascii="宋体" w:hAnsi="宋体" w:cs="宋体"/>
                <w:b/>
                <w:bCs/>
                <w:sz w:val="24"/>
                <w:u w:val="single"/>
              </w:rPr>
              <w:t xml:space="preserve"> </w:t>
            </w:r>
            <w:r>
              <w:rPr>
                <w:rFonts w:hint="eastAsia" w:ascii="宋体" w:hAnsi="宋体" w:cs="宋体"/>
                <w:bCs/>
                <w:sz w:val="24"/>
              </w:rPr>
              <w:t>（小写）</w:t>
            </w:r>
            <w:r>
              <w:rPr>
                <w:rFonts w:hint="eastAsia" w:ascii="宋体" w:hAnsi="宋体" w:cs="宋体"/>
                <w:bCs/>
                <w:sz w:val="24"/>
                <w:u w:val="single"/>
              </w:rPr>
              <w:t xml:space="preserve">¥          </w:t>
            </w:r>
          </w:p>
        </w:tc>
      </w:tr>
    </w:tbl>
    <w:p>
      <w:pPr>
        <w:snapToGrid w:val="0"/>
        <w:spacing w:before="120" w:line="360" w:lineRule="auto"/>
        <w:ind w:firstLine="480" w:firstLineChars="200"/>
        <w:rPr>
          <w:rFonts w:ascii="宋体" w:hAnsi="宋体" w:cs="宋体"/>
          <w:sz w:val="24"/>
        </w:rPr>
      </w:pPr>
      <w:r>
        <w:rPr>
          <w:rFonts w:hint="eastAsia" w:ascii="宋体" w:hAnsi="宋体" w:cs="宋体"/>
          <w:sz w:val="24"/>
        </w:rPr>
        <w:t>2.合同合计金额包括货物价款、配套软件、标准附件、备品备件、专用工具、包装、运输、装卸、货到就位、安装、调试、检验、技术培训、技术资料、售后服务、保险、投标费用、一切税金等全部费用，甲方不再支付合同合计金额以外的其他费用。</w:t>
      </w:r>
    </w:p>
    <w:p>
      <w:pPr>
        <w:snapToGrid w:val="0"/>
        <w:spacing w:before="120" w:line="360" w:lineRule="auto"/>
        <w:ind w:firstLine="482" w:firstLineChars="200"/>
        <w:rPr>
          <w:rFonts w:ascii="宋体" w:hAnsi="宋体" w:cs="宋体"/>
          <w:sz w:val="24"/>
        </w:rPr>
      </w:pPr>
      <w:r>
        <w:rPr>
          <w:rFonts w:hint="eastAsia" w:ascii="宋体" w:hAnsi="宋体" w:cs="宋体"/>
          <w:b/>
          <w:sz w:val="24"/>
        </w:rPr>
        <w:t>第二条　质量要求</w:t>
      </w:r>
    </w:p>
    <w:p>
      <w:pPr>
        <w:snapToGrid w:val="0"/>
        <w:spacing w:before="120" w:line="360" w:lineRule="auto"/>
        <w:ind w:firstLine="480" w:firstLineChars="200"/>
        <w:rPr>
          <w:rFonts w:ascii="宋体" w:hAnsi="宋体" w:cs="宋体"/>
          <w:sz w:val="24"/>
        </w:rPr>
      </w:pPr>
      <w:r>
        <w:rPr>
          <w:rFonts w:hint="eastAsia" w:ascii="宋体" w:hAnsi="宋体" w:cs="宋体"/>
          <w:sz w:val="24"/>
        </w:rPr>
        <w:t>1.乙方所提供的产品名称、商标品牌、生产厂家、规格型号、技术参数等质量必须与招标文件规定及投标文件承诺相一致。乙方提供的节能和环保产品必须是列入政府采购品目清单的产品。</w:t>
      </w:r>
    </w:p>
    <w:p>
      <w:pPr>
        <w:snapToGrid w:val="0"/>
        <w:spacing w:before="120" w:line="360" w:lineRule="auto"/>
        <w:ind w:firstLine="480" w:firstLineChars="200"/>
        <w:rPr>
          <w:rFonts w:ascii="宋体" w:hAnsi="宋体" w:cs="宋体"/>
          <w:sz w:val="24"/>
          <w:u w:val="single"/>
        </w:rPr>
      </w:pPr>
      <w:r>
        <w:rPr>
          <w:rFonts w:hint="eastAsia" w:ascii="宋体" w:hAnsi="宋体" w:cs="宋体"/>
          <w:sz w:val="24"/>
        </w:rPr>
        <w:t>2.乙方所提供的货物必须是全新、未使用的原装产品，且在正常安装、使用和保养条件下，其使用寿命期内各项指标均达到招标文件规定或者投标文件承诺的质量要求。</w:t>
      </w:r>
    </w:p>
    <w:p>
      <w:pPr>
        <w:snapToGrid w:val="0"/>
        <w:spacing w:before="120" w:line="360" w:lineRule="auto"/>
        <w:ind w:firstLine="482" w:firstLineChars="200"/>
        <w:rPr>
          <w:rFonts w:ascii="宋体" w:hAnsi="宋体" w:cs="宋体"/>
          <w:sz w:val="24"/>
        </w:rPr>
      </w:pPr>
      <w:r>
        <w:rPr>
          <w:rFonts w:hint="eastAsia" w:ascii="宋体" w:hAnsi="宋体" w:cs="宋体"/>
          <w:b/>
          <w:sz w:val="24"/>
        </w:rPr>
        <w:t>第三条　权利保证</w:t>
      </w:r>
    </w:p>
    <w:p>
      <w:pPr>
        <w:snapToGrid w:val="0"/>
        <w:spacing w:before="120" w:line="360" w:lineRule="auto"/>
        <w:ind w:firstLine="480" w:firstLineChars="200"/>
        <w:rPr>
          <w:rFonts w:ascii="宋体" w:hAnsi="宋体" w:cs="宋体"/>
          <w:sz w:val="24"/>
        </w:rPr>
      </w:pPr>
      <w:r>
        <w:rPr>
          <w:rFonts w:hint="eastAsia" w:ascii="宋体" w:hAnsi="宋体" w:cs="宋体"/>
          <w:sz w:val="24"/>
        </w:rPr>
        <w:t>1.乙方应保证所提供货物在使用时不会侵犯任何第三方的专利权、商标权、工业设计权或者其他权利，不涉及任何法律纠纷。</w:t>
      </w:r>
    </w:p>
    <w:p>
      <w:pPr>
        <w:snapToGrid w:val="0"/>
        <w:spacing w:before="120" w:line="360" w:lineRule="auto"/>
        <w:ind w:firstLine="480" w:firstLineChars="200"/>
        <w:rPr>
          <w:rFonts w:ascii="宋体" w:hAnsi="宋体" w:cs="宋体"/>
          <w:sz w:val="24"/>
        </w:rPr>
      </w:pPr>
      <w:r>
        <w:rPr>
          <w:rFonts w:hint="eastAsia" w:ascii="宋体" w:hAnsi="宋体" w:cs="宋体"/>
          <w:sz w:val="24"/>
        </w:rPr>
        <w:t>2.乙方应按招标文件规定或者投标文件承诺的时间向甲方提供使用货物的有关技术资料。</w:t>
      </w:r>
    </w:p>
    <w:p>
      <w:pPr>
        <w:snapToGrid w:val="0"/>
        <w:spacing w:before="120" w:line="360" w:lineRule="auto"/>
        <w:ind w:firstLine="480" w:firstLineChars="200"/>
        <w:rPr>
          <w:rFonts w:ascii="宋体" w:hAnsi="宋体" w:cs="宋体"/>
          <w:sz w:val="24"/>
        </w:rPr>
      </w:pPr>
      <w:r>
        <w:rPr>
          <w:rFonts w:hint="eastAsia" w:ascii="宋体" w:hAnsi="宋体" w:cs="宋体"/>
          <w:sz w:val="24"/>
        </w:rPr>
        <w:t>3.没有甲方事先书面同意，乙方不得将由甲方提供的有关合同或者任何合同条文、规格、计划、图纸、样品或者资料提供给与履行本合同无关的任何其他人。即使向履行本合同有关的人员提供，也应注意保密并限于履行合同的必需范围。</w:t>
      </w:r>
    </w:p>
    <w:p>
      <w:pPr>
        <w:snapToGrid w:val="0"/>
        <w:spacing w:before="120" w:line="360" w:lineRule="auto"/>
        <w:ind w:firstLine="480" w:firstLineChars="200"/>
        <w:rPr>
          <w:rFonts w:ascii="宋体" w:hAnsi="宋体" w:cs="宋体"/>
          <w:sz w:val="24"/>
        </w:rPr>
      </w:pPr>
      <w:r>
        <w:rPr>
          <w:rFonts w:hint="eastAsia" w:ascii="宋体" w:hAnsi="宋体" w:cs="宋体"/>
          <w:sz w:val="24"/>
        </w:rPr>
        <w:t>4.乙方保证将要交付的货物的所有权完全属于乙方且无任何抵押、质押、查封等产权瑕疵。</w:t>
      </w:r>
    </w:p>
    <w:p>
      <w:pPr>
        <w:snapToGrid w:val="0"/>
        <w:spacing w:before="120" w:line="360" w:lineRule="auto"/>
        <w:ind w:firstLine="482" w:firstLineChars="200"/>
        <w:rPr>
          <w:rFonts w:ascii="宋体" w:hAnsi="宋体" w:cs="宋体"/>
          <w:b/>
          <w:sz w:val="24"/>
        </w:rPr>
      </w:pPr>
      <w:r>
        <w:rPr>
          <w:rFonts w:hint="eastAsia" w:ascii="宋体" w:hAnsi="宋体" w:cs="宋体"/>
          <w:b/>
          <w:sz w:val="24"/>
        </w:rPr>
        <w:t>第四条　包装、运输和签收</w:t>
      </w:r>
    </w:p>
    <w:p>
      <w:pPr>
        <w:snapToGrid w:val="0"/>
        <w:spacing w:before="120" w:line="360" w:lineRule="auto"/>
        <w:ind w:firstLine="480" w:firstLineChars="200"/>
        <w:rPr>
          <w:rFonts w:ascii="宋体" w:hAnsi="宋体" w:cs="宋体"/>
          <w:sz w:val="24"/>
        </w:rPr>
      </w:pPr>
      <w:r>
        <w:rPr>
          <w:rFonts w:hint="eastAsia" w:ascii="宋体" w:hAnsi="宋体" w:cs="宋体"/>
          <w:sz w:val="24"/>
        </w:rPr>
        <w:t>1.乙方提供的货物均应包装完整，每一包装单元内应附详细的装箱单和质量合格证。</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2.货物的运输：</w:t>
      </w:r>
      <w:r>
        <w:rPr>
          <w:rFonts w:hint="eastAsia" w:ascii="宋体" w:hAnsi="宋体" w:cs="宋体"/>
          <w:kern w:val="0"/>
          <w:sz w:val="24"/>
          <w:u w:val="single"/>
        </w:rPr>
        <w:t xml:space="preserve">  乙方自定 。</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3.乙方负责货物运输，货物运输合理损耗及计算方法：</w:t>
      </w:r>
      <w:r>
        <w:rPr>
          <w:rFonts w:hint="eastAsia" w:ascii="宋体" w:hAnsi="宋体" w:cs="宋体"/>
          <w:kern w:val="0"/>
          <w:sz w:val="24"/>
          <w:u w:val="single"/>
        </w:rPr>
        <w:t>甲方不接受损耗。</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4.乙方应在货物发运前对其进行满足运输距离、防潮、防震、防锈和防破损装卸等要求包装，以保证货物安全运达甲方指定地点。</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5.使用说明书（货物属于进口产品的，供货时应同时附上中文使用说明书）、质量检验证明书、随配附件和工具以及清单一并附于货物内。</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6.乙方在货物发运手续办理完毕后24小时内或者货到甲方48小时前通知甲方，以准备接货。</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7.货物在规定的交付期限内由乙方送达甲方指定的地点，乙方同时需通知甲方货物已送达，甲方清点货物后签收，货物签收不作为最终验收合格的依据。</w:t>
      </w:r>
    </w:p>
    <w:p>
      <w:pPr>
        <w:snapToGrid w:val="0"/>
        <w:spacing w:before="120" w:line="360" w:lineRule="auto"/>
        <w:ind w:firstLine="482" w:firstLineChars="200"/>
        <w:rPr>
          <w:rFonts w:ascii="宋体" w:hAnsi="宋体" w:cs="宋体"/>
          <w:b/>
          <w:sz w:val="24"/>
        </w:rPr>
      </w:pPr>
      <w:r>
        <w:rPr>
          <w:rFonts w:hint="eastAsia" w:ascii="宋体" w:hAnsi="宋体" w:cs="宋体"/>
          <w:b/>
          <w:sz w:val="24"/>
        </w:rPr>
        <w:t>第五条　安装和培训</w:t>
      </w:r>
    </w:p>
    <w:p>
      <w:pPr>
        <w:snapToGrid w:val="0"/>
        <w:spacing w:before="120" w:line="360" w:lineRule="auto"/>
        <w:ind w:firstLine="480" w:firstLineChars="200"/>
        <w:rPr>
          <w:rFonts w:ascii="宋体" w:hAnsi="宋体" w:cs="宋体"/>
          <w:sz w:val="24"/>
        </w:rPr>
      </w:pPr>
      <w:r>
        <w:rPr>
          <w:rFonts w:hint="eastAsia" w:ascii="宋体" w:hAnsi="宋体" w:cs="宋体"/>
          <w:sz w:val="24"/>
        </w:rPr>
        <w:t>1.甲方应提供必要安装条件（如场地、电源、水源等）。</w:t>
      </w:r>
    </w:p>
    <w:p>
      <w:pPr>
        <w:snapToGrid w:val="0"/>
        <w:spacing w:before="120" w:line="360" w:lineRule="auto"/>
        <w:ind w:firstLine="480" w:firstLineChars="200"/>
        <w:rPr>
          <w:rFonts w:ascii="宋体" w:hAnsi="宋体" w:cs="宋体"/>
          <w:sz w:val="24"/>
          <w:u w:val="single"/>
        </w:rPr>
      </w:pPr>
      <w:r>
        <w:rPr>
          <w:rFonts w:hint="eastAsia" w:ascii="宋体" w:hAnsi="宋体" w:cs="宋体"/>
          <w:sz w:val="24"/>
        </w:rPr>
        <w:t>2.乙方投标文件承诺负责甲方有关人员的培训：</w:t>
      </w:r>
      <w:r>
        <w:rPr>
          <w:rFonts w:hint="eastAsia" w:ascii="宋体" w:hAnsi="宋体" w:cs="宋体"/>
          <w:sz w:val="24"/>
          <w:u w:val="single"/>
        </w:rPr>
        <w:t>根据甲方要求开展。</w:t>
      </w:r>
    </w:p>
    <w:p>
      <w:pPr>
        <w:snapToGrid w:val="0"/>
        <w:spacing w:before="120" w:line="360" w:lineRule="auto"/>
        <w:ind w:firstLine="480" w:firstLineChars="200"/>
        <w:rPr>
          <w:rFonts w:ascii="宋体" w:hAnsi="宋体" w:cs="宋体"/>
          <w:sz w:val="24"/>
        </w:rPr>
      </w:pPr>
      <w:r>
        <w:rPr>
          <w:rFonts w:hint="eastAsia" w:ascii="宋体" w:hAnsi="宋体" w:cs="宋体"/>
          <w:sz w:val="24"/>
        </w:rPr>
        <w:t>3.培训时间、地点：</w:t>
      </w:r>
      <w:r>
        <w:rPr>
          <w:rFonts w:hint="eastAsia" w:ascii="宋体" w:hAnsi="宋体" w:cs="宋体"/>
          <w:sz w:val="24"/>
          <w:u w:val="single"/>
        </w:rPr>
        <w:t>甲方指定。</w:t>
      </w:r>
    </w:p>
    <w:p>
      <w:pPr>
        <w:snapToGrid w:val="0"/>
        <w:spacing w:before="120" w:line="360" w:lineRule="auto"/>
        <w:ind w:firstLine="482" w:firstLineChars="200"/>
        <w:rPr>
          <w:rFonts w:ascii="宋体" w:hAnsi="宋体" w:cs="宋体"/>
          <w:sz w:val="24"/>
        </w:rPr>
      </w:pPr>
      <w:r>
        <w:rPr>
          <w:rFonts w:hint="eastAsia" w:ascii="宋体" w:hAnsi="宋体" w:cs="宋体"/>
          <w:b/>
          <w:sz w:val="24"/>
        </w:rPr>
        <w:t>第六条　调试、交付和验收</w:t>
      </w:r>
    </w:p>
    <w:p>
      <w:pPr>
        <w:snapToGrid w:val="0"/>
        <w:spacing w:before="120" w:line="360" w:lineRule="auto"/>
        <w:ind w:firstLine="480" w:firstLineChars="200"/>
        <w:rPr>
          <w:rFonts w:ascii="宋体" w:hAnsi="宋体" w:cs="宋体"/>
          <w:sz w:val="24"/>
          <w:u w:val="single"/>
        </w:rPr>
      </w:pPr>
      <w:r>
        <w:rPr>
          <w:rFonts w:hint="eastAsia" w:ascii="宋体" w:hAnsi="宋体" w:cs="宋体"/>
          <w:sz w:val="24"/>
        </w:rPr>
        <w:t>1.交付时间：自签订合同之日起</w:t>
      </w:r>
      <w:r>
        <w:rPr>
          <w:rFonts w:ascii="宋体" w:hAnsi="宋体" w:cs="宋体"/>
          <w:sz w:val="24"/>
          <w:u w:val="single"/>
        </w:rPr>
        <w:t xml:space="preserve">      </w:t>
      </w:r>
      <w:r>
        <w:rPr>
          <w:rFonts w:hint="eastAsia" w:ascii="宋体" w:hAnsi="宋体" w:cs="宋体"/>
          <w:sz w:val="24"/>
        </w:rPr>
        <w:t>日历天内到货安装调试完成并通过验收。交付地点：</w:t>
      </w:r>
      <w:r>
        <w:rPr>
          <w:rFonts w:hint="eastAsia" w:ascii="宋体" w:hAnsi="宋体" w:cs="宋体"/>
          <w:sz w:val="24"/>
          <w:u w:val="single"/>
        </w:rPr>
        <w:t>甲方指定地点。</w:t>
      </w:r>
    </w:p>
    <w:p>
      <w:pPr>
        <w:snapToGrid w:val="0"/>
        <w:spacing w:before="120" w:line="360" w:lineRule="auto"/>
        <w:ind w:firstLine="480" w:firstLineChars="200"/>
        <w:rPr>
          <w:rFonts w:ascii="宋体" w:hAnsi="宋体" w:cs="宋体"/>
          <w:sz w:val="24"/>
        </w:rPr>
      </w:pPr>
      <w:r>
        <w:rPr>
          <w:rFonts w:hint="eastAsia" w:ascii="宋体" w:hAnsi="宋体" w:cs="宋体"/>
          <w:sz w:val="24"/>
        </w:rPr>
        <w:t>2.乙方提供不符合招标文件规定或者投标文件承诺的和本合同规定的货物，甲方有权拒绝接受。</w:t>
      </w:r>
    </w:p>
    <w:p>
      <w:pPr>
        <w:snapToGrid w:val="0"/>
        <w:spacing w:before="120" w:line="360" w:lineRule="auto"/>
        <w:ind w:firstLine="480" w:firstLineChars="200"/>
        <w:rPr>
          <w:rFonts w:ascii="宋体" w:hAnsi="宋体" w:cs="宋体"/>
          <w:sz w:val="24"/>
        </w:rPr>
      </w:pPr>
      <w:r>
        <w:rPr>
          <w:rFonts w:hint="eastAsia" w:ascii="宋体" w:hAnsi="宋体" w:cs="宋体"/>
          <w:sz w:val="24"/>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pPr>
        <w:spacing w:before="120" w:line="360" w:lineRule="auto"/>
        <w:rPr>
          <w:rFonts w:ascii="宋体" w:hAnsi="宋体" w:cs="宋体"/>
          <w:sz w:val="24"/>
        </w:rPr>
      </w:pPr>
      <w:r>
        <w:rPr>
          <w:rFonts w:hint="eastAsia" w:ascii="宋体" w:hAnsi="宋体" w:cs="宋体"/>
          <w:sz w:val="24"/>
        </w:rPr>
        <w:t xml:space="preserve">   4.乙方应对产品作出全面检查和对验收文件进行整理，并列出清单，作为甲方验收和使用的技术条件依据，检验的结果应随货物交甲方。</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5.甲方对乙方提供的货物在使用前进行调试时，乙方需负责安装并培训甲方的使用操作人员，并协助甲方一起调试，直到符合技术要求，甲方才做最终验收。</w:t>
      </w:r>
    </w:p>
    <w:p>
      <w:pPr>
        <w:snapToGrid w:val="0"/>
        <w:spacing w:before="120" w:line="360" w:lineRule="auto"/>
        <w:ind w:firstLine="480" w:firstLineChars="200"/>
        <w:rPr>
          <w:rFonts w:ascii="宋体" w:hAnsi="宋体" w:cs="宋体"/>
          <w:sz w:val="24"/>
        </w:rPr>
      </w:pPr>
      <w:r>
        <w:rPr>
          <w:rFonts w:hint="eastAsia" w:ascii="宋体" w:hAnsi="宋体" w:cs="宋体"/>
          <w:sz w:val="24"/>
        </w:rPr>
        <w:t>6.乙方应当在到货并安装、调试完毕后，达到验收条件时以书面形式提请甲方进行验收，甲方应在收到验收请求后5个工作日内组织开展验收。验收合格后由甲乙双方签署货物验收单并加盖甲方公章，甲乙双方各执壹份。</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7.对技术复杂的货物，甲方可请国家认可的专业检测机构参与初步验收及最终验收，并由其出具质量检测报告</w:t>
      </w:r>
      <w:r>
        <w:rPr>
          <w:rFonts w:hint="eastAsia" w:hAnsi="宋体"/>
          <w:sz w:val="24"/>
        </w:rPr>
        <w:t>，检测相关费用由</w:t>
      </w:r>
      <w:r>
        <w:rPr>
          <w:rFonts w:hint="eastAsia" w:hAnsi="宋体"/>
          <w:sz w:val="24"/>
          <w:u w:val="single"/>
        </w:rPr>
        <w:t xml:space="preserve">  乙 </w:t>
      </w:r>
      <w:r>
        <w:rPr>
          <w:rFonts w:hint="eastAsia" w:hAnsi="宋体"/>
          <w:sz w:val="24"/>
        </w:rPr>
        <w:t>方承担</w:t>
      </w:r>
      <w:r>
        <w:rPr>
          <w:rFonts w:hint="eastAsia" w:ascii="宋体" w:hAnsi="宋体" w:cs="宋体"/>
          <w:kern w:val="0"/>
          <w:sz w:val="24"/>
        </w:rPr>
        <w:t>。</w:t>
      </w:r>
    </w:p>
    <w:p>
      <w:pPr>
        <w:snapToGrid w:val="0"/>
        <w:spacing w:before="120" w:line="360" w:lineRule="auto"/>
        <w:ind w:firstLine="480" w:firstLineChars="200"/>
        <w:rPr>
          <w:rFonts w:ascii="宋体" w:hAnsi="宋体" w:cs="宋体"/>
          <w:sz w:val="24"/>
        </w:rPr>
      </w:pPr>
      <w:r>
        <w:rPr>
          <w:rFonts w:hint="eastAsia" w:ascii="宋体" w:hAnsi="宋体" w:cs="宋体"/>
          <w:sz w:val="24"/>
        </w:rPr>
        <w:t>8.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before="120" w:line="360" w:lineRule="auto"/>
        <w:ind w:firstLine="480" w:firstLineChars="200"/>
        <w:rPr>
          <w:rFonts w:ascii="宋体" w:hAnsi="宋体" w:cs="宋体"/>
          <w:sz w:val="24"/>
          <w:u w:val="single"/>
        </w:rPr>
      </w:pPr>
      <w:r>
        <w:rPr>
          <w:rFonts w:hint="eastAsia" w:ascii="宋体" w:hAnsi="宋体" w:cs="宋体"/>
          <w:sz w:val="24"/>
        </w:rPr>
        <w:t>9.甲方对验收有异议的，在验收后5个工作日内以书面形式向乙方提出，乙方应自收到甲方书面异议后7日内及时予以解决。</w:t>
      </w:r>
    </w:p>
    <w:p>
      <w:pPr>
        <w:snapToGrid w:val="0"/>
        <w:spacing w:before="120" w:line="360" w:lineRule="auto"/>
        <w:ind w:left="-61" w:firstLine="482"/>
        <w:rPr>
          <w:rFonts w:ascii="宋体" w:hAnsi="宋体" w:cs="宋体"/>
          <w:sz w:val="24"/>
        </w:rPr>
      </w:pPr>
      <w:r>
        <w:rPr>
          <w:rFonts w:hint="eastAsia" w:ascii="宋体" w:hAnsi="宋体" w:cs="宋体"/>
          <w:sz w:val="24"/>
        </w:rPr>
        <w:t>10.验收时乙方必须在现场，验收完毕后作出验收结果报告；验收过程所产生的一切费用均由乙方承担。</w:t>
      </w:r>
    </w:p>
    <w:p>
      <w:pPr>
        <w:snapToGrid w:val="0"/>
        <w:spacing w:before="120" w:line="360" w:lineRule="auto"/>
        <w:ind w:firstLine="480" w:firstLineChars="200"/>
        <w:rPr>
          <w:rFonts w:ascii="宋体" w:hAnsi="宋体" w:cs="宋体"/>
          <w:sz w:val="24"/>
        </w:rPr>
      </w:pPr>
      <w:r>
        <w:rPr>
          <w:rFonts w:hint="eastAsia" w:ascii="宋体" w:hAnsi="宋体" w:cs="宋体"/>
          <w:sz w:val="24"/>
        </w:rPr>
        <w:t>11.货物在交付甲方前发生的风险均由乙方负责。</w:t>
      </w:r>
    </w:p>
    <w:p>
      <w:pPr>
        <w:snapToGrid w:val="0"/>
        <w:spacing w:before="120" w:line="360" w:lineRule="auto"/>
        <w:ind w:firstLine="480" w:firstLineChars="200"/>
        <w:rPr>
          <w:rFonts w:ascii="宋体" w:hAnsi="宋体" w:cs="宋体"/>
          <w:sz w:val="24"/>
        </w:rPr>
      </w:pPr>
      <w:r>
        <w:rPr>
          <w:rFonts w:hint="eastAsia" w:ascii="宋体" w:hAnsi="宋体" w:cs="宋体"/>
          <w:sz w:val="24"/>
        </w:rPr>
        <w:t>12.本合同的验收条款与采购需求商务条款中的验收要求互为补充。</w:t>
      </w:r>
    </w:p>
    <w:p>
      <w:pPr>
        <w:snapToGrid w:val="0"/>
        <w:spacing w:before="120" w:line="360" w:lineRule="auto"/>
        <w:ind w:firstLine="482" w:firstLineChars="200"/>
        <w:rPr>
          <w:rFonts w:ascii="宋体" w:hAnsi="宋体" w:cs="宋体"/>
          <w:b/>
          <w:sz w:val="24"/>
        </w:rPr>
      </w:pPr>
      <w:r>
        <w:rPr>
          <w:rFonts w:hint="eastAsia" w:ascii="宋体" w:hAnsi="宋体" w:cs="宋体"/>
          <w:b/>
          <w:sz w:val="24"/>
        </w:rPr>
        <w:t>第七条　付款方式</w:t>
      </w:r>
    </w:p>
    <w:p>
      <w:pPr>
        <w:spacing w:line="360" w:lineRule="auto"/>
        <w:ind w:firstLine="480" w:firstLineChars="200"/>
        <w:rPr>
          <w:rFonts w:ascii="宋体" w:hAnsi="宋体" w:cs="仿宋_GB2312"/>
          <w:kern w:val="0"/>
          <w:sz w:val="24"/>
          <w:lang w:val="zh-CN"/>
        </w:rPr>
      </w:pPr>
      <w:r>
        <w:rPr>
          <w:rFonts w:ascii="宋体" w:hAnsi="宋体"/>
          <w:sz w:val="24"/>
        </w:rPr>
        <w:t>7</w:t>
      </w:r>
      <w:r>
        <w:rPr>
          <w:rFonts w:hint="eastAsia" w:ascii="宋体" w:hAnsi="宋体"/>
          <w:sz w:val="24"/>
        </w:rPr>
        <w:t>.</w:t>
      </w:r>
      <w:r>
        <w:rPr>
          <w:rFonts w:ascii="宋体" w:hAnsi="宋体"/>
          <w:sz w:val="24"/>
        </w:rPr>
        <w:t>1</w:t>
      </w:r>
      <w:r>
        <w:rPr>
          <w:rFonts w:hint="eastAsia" w:ascii="宋体" w:hAnsi="宋体"/>
          <w:sz w:val="24"/>
        </w:rPr>
        <w:t>.1 付款方式：</w:t>
      </w:r>
      <w:r>
        <w:rPr>
          <w:rFonts w:hint="eastAsia" w:ascii="宋体" w:hAnsi="宋体" w:cs="仿宋_GB2312"/>
          <w:kern w:val="0"/>
          <w:sz w:val="24"/>
          <w:lang w:val="zh-CN"/>
        </w:rPr>
        <w:sym w:font="Wingdings" w:char="00FE"/>
      </w:r>
      <w:r>
        <w:rPr>
          <w:rFonts w:hint="eastAsia" w:ascii="宋体" w:hAnsi="宋体" w:cs="仿宋_GB2312"/>
          <w:kern w:val="0"/>
          <w:sz w:val="24"/>
          <w:lang w:val="zh-CN"/>
        </w:rPr>
        <w:t>采用分期付款方式，付款条件为</w:t>
      </w:r>
      <w:r>
        <w:rPr>
          <w:rFonts w:hint="eastAsia" w:ascii="宋体" w:hAnsi="宋体" w:cs="仿宋_GB2312"/>
          <w:kern w:val="0"/>
          <w:sz w:val="24"/>
        </w:rPr>
        <w:t>：</w:t>
      </w:r>
    </w:p>
    <w:p>
      <w:pPr>
        <w:spacing w:line="360" w:lineRule="auto"/>
        <w:ind w:firstLine="480" w:firstLineChars="200"/>
        <w:rPr>
          <w:rFonts w:ascii="宋体" w:hAnsi="宋体" w:cs="仿宋_GB2312"/>
          <w:kern w:val="0"/>
          <w:sz w:val="24"/>
          <w:u w:val="single"/>
        </w:rPr>
      </w:pPr>
      <w:r>
        <w:rPr>
          <w:rFonts w:hint="eastAsia" w:ascii="宋体" w:hAnsi="宋体" w:cs="仿宋_GB2312"/>
          <w:kern w:val="0"/>
          <w:sz w:val="24"/>
          <w:lang w:val="zh-CN"/>
        </w:rPr>
        <w:t>第一期付款</w:t>
      </w:r>
      <w:r>
        <w:rPr>
          <w:rFonts w:hint="eastAsia" w:ascii="宋体" w:hAnsi="宋体" w:cs="仿宋_GB2312"/>
          <w:kern w:val="0"/>
          <w:sz w:val="24"/>
        </w:rPr>
        <w:t>：</w:t>
      </w:r>
      <w:r>
        <w:rPr>
          <w:rFonts w:hint="eastAsia" w:ascii="宋体" w:hAnsi="宋体" w:cs="仿宋"/>
          <w:kern w:val="0"/>
          <w:sz w:val="24"/>
          <w:u w:val="single"/>
        </w:rPr>
        <w:t>合同签订生效，且甲方收到乙方履约保证支付凭证及预付款保函后10个工作日内支付（合同总价*</w:t>
      </w:r>
      <w:r>
        <w:rPr>
          <w:rFonts w:ascii="宋体" w:hAnsi="宋体" w:cs="仿宋"/>
          <w:kern w:val="0"/>
          <w:sz w:val="24"/>
          <w:u w:val="single"/>
        </w:rPr>
        <w:t xml:space="preserve">  </w:t>
      </w:r>
      <w:r>
        <w:rPr>
          <w:rFonts w:hint="eastAsia" w:ascii="宋体" w:hAnsi="宋体" w:cs="仿宋"/>
          <w:kern w:val="0"/>
          <w:sz w:val="24"/>
          <w:u w:val="single"/>
        </w:rPr>
        <w:t>％）</w:t>
      </w:r>
      <w:bookmarkStart w:id="143" w:name="_Hlk167136440"/>
      <w:r>
        <w:rPr>
          <w:rFonts w:hint="eastAsia" w:ascii="宋体" w:hAnsi="宋体" w:cs="仿宋"/>
          <w:kern w:val="0"/>
          <w:sz w:val="24"/>
          <w:u w:val="single"/>
        </w:rPr>
        <w:t xml:space="preserve">，即人民币（大写） </w:t>
      </w:r>
      <w:r>
        <w:rPr>
          <w:rFonts w:ascii="宋体" w:hAnsi="宋体" w:cs="仿宋"/>
          <w:kern w:val="0"/>
          <w:sz w:val="24"/>
          <w:u w:val="single"/>
        </w:rPr>
        <w:t xml:space="preserve">        </w:t>
      </w:r>
      <w:r>
        <w:rPr>
          <w:rFonts w:hint="eastAsia" w:ascii="宋体" w:hAnsi="宋体" w:cs="仿宋"/>
          <w:kern w:val="0"/>
          <w:sz w:val="24"/>
          <w:u w:val="single"/>
        </w:rPr>
        <w:t xml:space="preserve">（小写） </w:t>
      </w:r>
      <w:r>
        <w:rPr>
          <w:rFonts w:ascii="宋体" w:hAnsi="宋体" w:cs="仿宋"/>
          <w:kern w:val="0"/>
          <w:sz w:val="24"/>
          <w:u w:val="single"/>
        </w:rPr>
        <w:t xml:space="preserve">       </w:t>
      </w:r>
      <w:r>
        <w:rPr>
          <w:rFonts w:hint="eastAsia" w:ascii="宋体" w:hAnsi="宋体" w:cs="仿宋"/>
          <w:kern w:val="0"/>
          <w:sz w:val="24"/>
          <w:u w:val="single"/>
        </w:rPr>
        <w:t xml:space="preserve"> </w:t>
      </w:r>
      <w:r>
        <w:rPr>
          <w:rFonts w:ascii="宋体" w:hAnsi="宋体" w:cs="仿宋"/>
          <w:kern w:val="0"/>
          <w:sz w:val="24"/>
          <w:u w:val="single"/>
        </w:rPr>
        <w:t xml:space="preserve">       </w:t>
      </w:r>
      <w:r>
        <w:rPr>
          <w:rFonts w:hint="eastAsia" w:ascii="宋体" w:hAnsi="宋体" w:cs="仿宋"/>
          <w:kern w:val="0"/>
          <w:sz w:val="24"/>
          <w:u w:val="single"/>
        </w:rPr>
        <w:t>。</w:t>
      </w:r>
      <w:bookmarkEnd w:id="143"/>
    </w:p>
    <w:p>
      <w:pPr>
        <w:spacing w:line="360" w:lineRule="auto"/>
        <w:ind w:firstLine="480" w:firstLineChars="200"/>
        <w:rPr>
          <w:rFonts w:ascii="宋体" w:hAnsi="宋体" w:cs="仿宋_GB2312"/>
          <w:kern w:val="0"/>
          <w:sz w:val="24"/>
          <w:u w:val="single"/>
        </w:rPr>
      </w:pPr>
      <w:r>
        <w:rPr>
          <w:rFonts w:hint="eastAsia" w:ascii="宋体" w:hAnsi="宋体" w:cs="仿宋_GB2312"/>
          <w:kern w:val="0"/>
          <w:sz w:val="24"/>
          <w:lang w:val="zh-CN"/>
        </w:rPr>
        <w:t>第</w:t>
      </w:r>
      <w:r>
        <w:rPr>
          <w:rFonts w:hint="eastAsia" w:ascii="宋体" w:hAnsi="宋体" w:cs="仿宋_GB2312"/>
          <w:kern w:val="0"/>
          <w:sz w:val="24"/>
        </w:rPr>
        <w:t>二</w:t>
      </w:r>
      <w:r>
        <w:rPr>
          <w:rFonts w:hint="eastAsia" w:ascii="宋体" w:hAnsi="宋体" w:cs="仿宋_GB2312"/>
          <w:kern w:val="0"/>
          <w:sz w:val="24"/>
          <w:lang w:val="zh-CN"/>
        </w:rPr>
        <w:t>期付款</w:t>
      </w:r>
      <w:r>
        <w:rPr>
          <w:rFonts w:hint="eastAsia" w:ascii="宋体" w:hAnsi="宋体" w:cs="仿宋_GB2312"/>
          <w:kern w:val="0"/>
          <w:sz w:val="24"/>
        </w:rPr>
        <w:t>：</w:t>
      </w:r>
      <w:r>
        <w:rPr>
          <w:rFonts w:hint="eastAsia" w:ascii="宋体" w:hAnsi="宋体" w:cs="仿宋"/>
          <w:kern w:val="0"/>
          <w:sz w:val="24"/>
          <w:u w:val="single"/>
        </w:rPr>
        <w:t>项目整体验收合格后10个工作日内支付剩余合同款（合同总价*</w:t>
      </w:r>
      <w:r>
        <w:rPr>
          <w:rFonts w:ascii="宋体" w:hAnsi="宋体" w:cs="仿宋"/>
          <w:kern w:val="0"/>
          <w:sz w:val="24"/>
          <w:u w:val="single"/>
        </w:rPr>
        <w:t xml:space="preserve">   </w:t>
      </w:r>
      <w:r>
        <w:rPr>
          <w:rFonts w:hint="eastAsia" w:ascii="宋体" w:hAnsi="宋体" w:cs="仿宋"/>
          <w:kern w:val="0"/>
          <w:sz w:val="24"/>
          <w:u w:val="single"/>
        </w:rPr>
        <w:t xml:space="preserve">％），即人民币（大写） </w:t>
      </w:r>
      <w:r>
        <w:rPr>
          <w:rFonts w:ascii="宋体" w:hAnsi="宋体" w:cs="仿宋"/>
          <w:kern w:val="0"/>
          <w:sz w:val="24"/>
          <w:u w:val="single"/>
        </w:rPr>
        <w:t xml:space="preserve">        </w:t>
      </w:r>
      <w:r>
        <w:rPr>
          <w:rFonts w:hint="eastAsia" w:ascii="宋体" w:hAnsi="宋体" w:cs="仿宋"/>
          <w:kern w:val="0"/>
          <w:sz w:val="24"/>
          <w:u w:val="single"/>
        </w:rPr>
        <w:t xml:space="preserve">（小写） </w:t>
      </w:r>
      <w:r>
        <w:rPr>
          <w:rFonts w:ascii="宋体" w:hAnsi="宋体" w:cs="仿宋"/>
          <w:kern w:val="0"/>
          <w:sz w:val="24"/>
          <w:u w:val="single"/>
        </w:rPr>
        <w:t xml:space="preserve">       </w:t>
      </w:r>
      <w:r>
        <w:rPr>
          <w:rFonts w:hint="eastAsia" w:ascii="宋体" w:hAnsi="宋体" w:cs="仿宋"/>
          <w:kern w:val="0"/>
          <w:sz w:val="24"/>
          <w:u w:val="single"/>
        </w:rPr>
        <w:t xml:space="preserve"> </w:t>
      </w:r>
      <w:r>
        <w:rPr>
          <w:rFonts w:ascii="宋体" w:hAnsi="宋体" w:cs="仿宋"/>
          <w:kern w:val="0"/>
          <w:sz w:val="24"/>
          <w:u w:val="single"/>
        </w:rPr>
        <w:t xml:space="preserve">       </w:t>
      </w:r>
      <w:r>
        <w:rPr>
          <w:rFonts w:hint="eastAsia" w:ascii="宋体" w:hAnsi="宋体" w:cs="仿宋"/>
          <w:kern w:val="0"/>
          <w:sz w:val="24"/>
          <w:u w:val="single"/>
        </w:rPr>
        <w:t>。</w:t>
      </w:r>
    </w:p>
    <w:p>
      <w:pPr>
        <w:spacing w:line="360" w:lineRule="auto"/>
        <w:ind w:firstLine="480" w:firstLineChars="200"/>
        <w:rPr>
          <w:rFonts w:ascii="宋体" w:hAnsi="宋体"/>
          <w:sz w:val="24"/>
          <w:u w:val="single"/>
        </w:rPr>
      </w:pPr>
      <w:r>
        <w:rPr>
          <w:rFonts w:ascii="宋体" w:hAnsi="宋体"/>
          <w:sz w:val="24"/>
        </w:rPr>
        <w:t>7.</w:t>
      </w:r>
      <w:r>
        <w:rPr>
          <w:rFonts w:hint="eastAsia" w:ascii="宋体" w:hAnsi="宋体"/>
          <w:sz w:val="24"/>
        </w:rPr>
        <w:t>1.2 发票开具方式：</w:t>
      </w:r>
      <w:r>
        <w:rPr>
          <w:rFonts w:hint="eastAsia" w:ascii="宋体" w:hAnsi="宋体"/>
          <w:sz w:val="24"/>
          <w:u w:val="single"/>
        </w:rPr>
        <w:t xml:space="preserve">  甲方支付预付款前，乙方应提供由金融机构或保险机构或担保机构出具的等额预付款保函（保函有效期应涵盖合同约定的交货期和验收合格期）给甲方，甲方自收到保函后按合同约定支付相应的预付款；乙方未提供预付款保函的，甲方的付款义务顺延，且不承担迟延期履行的相关责任。</w:t>
      </w:r>
    </w:p>
    <w:p>
      <w:pPr>
        <w:snapToGrid w:val="0"/>
        <w:spacing w:before="120" w:line="360" w:lineRule="auto"/>
        <w:ind w:firstLine="480" w:firstLineChars="200"/>
        <w:rPr>
          <w:rFonts w:ascii="宋体" w:hAnsi="宋体" w:cs="宋体"/>
          <w:sz w:val="24"/>
        </w:rPr>
      </w:pPr>
      <w:r>
        <w:rPr>
          <w:rFonts w:hint="eastAsia" w:ascii="宋体" w:hAnsi="宋体"/>
          <w:sz w:val="24"/>
          <w:u w:val="single"/>
        </w:rPr>
        <w:t>合同款项（含预付款）支付款前，乙方必须按照合同标的、要求提供真实、有效、合法的正式发票。乙方必须按照采购合同要求提供真实、有效、合法的正式发票，发票内不能打印明细的，需提供《销售货物或者应税劳务》；清单不在乙方经营范围的，需提供乙方委托具备相应资质或经营范围的第三方为本项目履约的协议。乙方未提供发票的，甲方的付款义务顺延，且不承担迟延履行的相关责任。同时，甲方一旦发现乙方提供虚假发票，除须向甲方补开合法发票外，乙方应支付甲方发票票面金额一倍的违约金，且甲方有权终止合同，因终止合同而产生的一切损失均由乙方承担。</w:t>
      </w:r>
    </w:p>
    <w:p>
      <w:pPr>
        <w:snapToGrid w:val="0"/>
        <w:spacing w:before="120" w:line="360" w:lineRule="auto"/>
        <w:ind w:firstLine="482" w:firstLineChars="200"/>
        <w:rPr>
          <w:rFonts w:ascii="宋体" w:hAnsi="宋体" w:cs="宋体"/>
          <w:b/>
          <w:sz w:val="24"/>
        </w:rPr>
      </w:pPr>
      <w:r>
        <w:rPr>
          <w:rFonts w:hint="eastAsia" w:ascii="宋体" w:hAnsi="宋体" w:cs="宋体"/>
          <w:b/>
          <w:sz w:val="24"/>
        </w:rPr>
        <w:t>第八条　履约保证金</w:t>
      </w:r>
    </w:p>
    <w:p>
      <w:pPr>
        <w:snapToGrid w:val="0"/>
        <w:spacing w:before="120" w:line="360" w:lineRule="auto"/>
        <w:ind w:firstLine="480" w:firstLineChars="200"/>
        <w:rPr>
          <w:rFonts w:ascii="宋体" w:hAnsi="宋体" w:cs="宋体"/>
          <w:sz w:val="24"/>
          <w:u w:val="single"/>
        </w:rPr>
      </w:pPr>
      <w:r>
        <w:rPr>
          <w:rFonts w:hint="eastAsia" w:ascii="宋体" w:hAnsi="宋体" w:cs="宋体"/>
          <w:sz w:val="24"/>
          <w:u w:val="single"/>
        </w:rPr>
        <w:t>1.履约保证金金额：</w:t>
      </w:r>
      <w:r>
        <w:rPr>
          <w:rFonts w:hint="eastAsia" w:ascii="宋体" w:hAnsi="宋体" w:cs="宋体"/>
          <w:sz w:val="24"/>
          <w:u w:val="single"/>
          <w:lang w:eastAsia="zh-Hans"/>
        </w:rPr>
        <w:t>合同金额的</w:t>
      </w:r>
      <w:r>
        <w:rPr>
          <w:rFonts w:hint="eastAsia" w:ascii="宋体" w:hAnsi="宋体" w:cs="宋体"/>
          <w:sz w:val="24"/>
          <w:u w:val="single"/>
        </w:rPr>
        <w:t xml:space="preserve">  </w:t>
      </w:r>
      <w:r>
        <w:rPr>
          <w:rFonts w:hint="eastAsia" w:ascii="宋体" w:hAnsi="宋体" w:cs="宋体"/>
          <w:sz w:val="24"/>
          <w:u w:val="single"/>
          <w:lang w:eastAsia="zh-Hans"/>
        </w:rPr>
        <w:t>%</w:t>
      </w:r>
      <w:r>
        <w:rPr>
          <w:rFonts w:hint="eastAsia" w:ascii="宋体" w:hAnsi="宋体" w:cs="宋体"/>
          <w:sz w:val="24"/>
        </w:rPr>
        <w:t>，</w:t>
      </w:r>
      <w:r>
        <w:rPr>
          <w:rFonts w:hint="eastAsia" w:ascii="宋体" w:hAnsi="宋体" w:cs="宋体"/>
          <w:sz w:val="24"/>
          <w:u w:val="single"/>
        </w:rPr>
        <w:t xml:space="preserve">即人民币（大写）        元整（小写） </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乙方在签订合同前交至指定账户，否则不予签订合同（履约保证金缴纳时须备注项目编号及项目名称）</w:t>
      </w:r>
    </w:p>
    <w:p>
      <w:pPr>
        <w:snapToGrid w:val="0"/>
        <w:spacing w:before="120" w:line="360" w:lineRule="auto"/>
        <w:ind w:firstLine="480" w:firstLineChars="200"/>
        <w:rPr>
          <w:rFonts w:ascii="宋体" w:hAnsi="宋体" w:cs="宋体"/>
          <w:sz w:val="24"/>
        </w:rPr>
      </w:pPr>
      <w:bookmarkStart w:id="144" w:name="_Hlk167136683"/>
      <w:r>
        <w:rPr>
          <w:rFonts w:hint="eastAsia" w:ascii="宋体" w:hAnsi="宋体" w:cs="宋体"/>
          <w:sz w:val="24"/>
        </w:rPr>
        <w:t>2.履约保证金递交方式：银行转账、电汇或者金融机构或保险机构或担保机构出具的保函等非现金方式。由中标人在签订合同前按规定的金额直接缴入采购人账户。凭履约保证金缴纳凭证签订合同。</w:t>
      </w:r>
    </w:p>
    <w:p>
      <w:pPr>
        <w:snapToGrid w:val="0"/>
        <w:spacing w:before="120" w:line="360" w:lineRule="auto"/>
        <w:ind w:firstLine="480" w:firstLineChars="200"/>
        <w:rPr>
          <w:rFonts w:ascii="宋体" w:hAnsi="宋体" w:cs="宋体"/>
          <w:sz w:val="24"/>
        </w:rPr>
      </w:pPr>
      <w:r>
        <w:rPr>
          <w:rFonts w:hint="eastAsia" w:ascii="宋体" w:hAnsi="宋体" w:cs="宋体"/>
          <w:sz w:val="24"/>
        </w:rPr>
        <w:t>3.履约保证金退付方式、时间及条件：乙方若不能完全履行合同，履约保证金不予退还；从终验合格之日起</w:t>
      </w:r>
      <w:r>
        <w:rPr>
          <w:rFonts w:hint="eastAsia" w:ascii="宋体" w:hAnsi="宋体" w:cs="宋体"/>
          <w:sz w:val="24"/>
          <w:u w:val="single"/>
        </w:rPr>
        <w:t xml:space="preserve">   </w:t>
      </w:r>
      <w:r>
        <w:rPr>
          <w:rFonts w:hint="eastAsia" w:ascii="宋体" w:hAnsi="宋体" w:cs="宋体"/>
          <w:sz w:val="24"/>
        </w:rPr>
        <w:t>年质保期满后，乙方若完全履行合同，乙方凭履约保证金缴款凭证、退付意见书到采购人财务部门办理无息退还手续。由乙方向甲方提供《广西壮族自治区政府采购项目合同验收书》或广西经贸职业技术学院的验收报告（甲方提供格式）、《政府采购项目履约保证金退付意见书》，甲方在收到合格材料后办理退还手续（不计利息）。</w:t>
      </w:r>
    </w:p>
    <w:p>
      <w:pPr>
        <w:snapToGrid w:val="0"/>
        <w:spacing w:before="120" w:line="360" w:lineRule="auto"/>
        <w:ind w:firstLine="480" w:firstLineChars="200"/>
        <w:rPr>
          <w:rFonts w:ascii="宋体" w:hAnsi="宋体" w:cs="宋体"/>
          <w:sz w:val="24"/>
        </w:rPr>
      </w:pPr>
      <w:r>
        <w:rPr>
          <w:rFonts w:hint="eastAsia" w:ascii="宋体" w:hAnsi="宋体" w:cs="宋体"/>
          <w:sz w:val="24"/>
        </w:rPr>
        <w:t>4.备注：</w:t>
      </w:r>
    </w:p>
    <w:p>
      <w:pPr>
        <w:snapToGrid w:val="0"/>
        <w:spacing w:before="120" w:line="360" w:lineRule="auto"/>
        <w:ind w:firstLine="480" w:firstLineChars="200"/>
        <w:rPr>
          <w:rFonts w:ascii="宋体" w:hAnsi="宋体" w:cs="宋体"/>
          <w:sz w:val="24"/>
        </w:rPr>
      </w:pPr>
      <w:r>
        <w:rPr>
          <w:rFonts w:hint="eastAsia" w:ascii="宋体" w:hAnsi="宋体" w:cs="宋体"/>
          <w:sz w:val="24"/>
        </w:rPr>
        <w:t>（1）履约保证金不足额缴纳的，或保函额度不足的或者保函有效期低于合同履行期限（即签订采购合同之日起至履行完合同约定的权利及义务之日止）的，不予签订合同。</w:t>
      </w:r>
    </w:p>
    <w:p>
      <w:pPr>
        <w:snapToGrid w:val="0"/>
        <w:spacing w:before="120" w:line="360" w:lineRule="auto"/>
        <w:ind w:firstLine="480" w:firstLineChars="200"/>
        <w:rPr>
          <w:rFonts w:ascii="宋体" w:hAnsi="宋体" w:cs="宋体"/>
          <w:sz w:val="24"/>
        </w:rPr>
      </w:pPr>
      <w:r>
        <w:rPr>
          <w:rFonts w:hint="eastAsia" w:ascii="宋体" w:hAnsi="宋体" w:cs="宋体"/>
          <w:sz w:val="24"/>
        </w:rPr>
        <w:t>（2）采用保函的，必须为无条件的保函，否则不予签订合同。</w:t>
      </w:r>
    </w:p>
    <w:p>
      <w:pPr>
        <w:snapToGrid w:val="0"/>
        <w:spacing w:before="120" w:line="360" w:lineRule="auto"/>
        <w:ind w:firstLine="480" w:firstLineChars="200"/>
        <w:rPr>
          <w:rFonts w:ascii="宋体" w:hAnsi="宋体" w:cs="宋体"/>
          <w:sz w:val="24"/>
        </w:rPr>
      </w:pPr>
      <w:r>
        <w:rPr>
          <w:rFonts w:hint="eastAsia" w:ascii="宋体" w:hAnsi="宋体" w:cs="宋体"/>
          <w:sz w:val="24"/>
        </w:rPr>
        <w:t>（3）甲方账户信息如下：</w:t>
      </w:r>
    </w:p>
    <w:p>
      <w:pPr>
        <w:snapToGrid w:val="0"/>
        <w:spacing w:before="120" w:line="360" w:lineRule="auto"/>
        <w:ind w:firstLine="480" w:firstLineChars="200"/>
        <w:rPr>
          <w:rFonts w:ascii="宋体" w:hAnsi="宋体" w:cs="宋体"/>
          <w:sz w:val="24"/>
        </w:rPr>
      </w:pPr>
      <w:r>
        <w:rPr>
          <w:rFonts w:hint="eastAsia" w:ascii="宋体" w:hAnsi="宋体" w:cs="宋体"/>
          <w:sz w:val="24"/>
        </w:rPr>
        <w:t>户名：广西经贸职业技术学院</w:t>
      </w:r>
    </w:p>
    <w:p>
      <w:pPr>
        <w:snapToGrid w:val="0"/>
        <w:spacing w:before="120" w:line="360" w:lineRule="auto"/>
        <w:ind w:firstLine="480" w:firstLineChars="200"/>
        <w:rPr>
          <w:rFonts w:ascii="宋体" w:hAnsi="宋体" w:cs="宋体"/>
          <w:sz w:val="24"/>
        </w:rPr>
      </w:pPr>
      <w:r>
        <w:rPr>
          <w:rFonts w:hint="eastAsia" w:ascii="宋体" w:hAnsi="宋体" w:cs="宋体"/>
          <w:sz w:val="24"/>
        </w:rPr>
        <w:t>开户行：中国建设银行南宁青山路支行</w:t>
      </w:r>
    </w:p>
    <w:p>
      <w:pPr>
        <w:snapToGrid w:val="0"/>
        <w:spacing w:before="120" w:line="360" w:lineRule="auto"/>
        <w:ind w:firstLine="480" w:firstLineChars="200"/>
        <w:rPr>
          <w:rFonts w:ascii="宋体" w:hAnsi="宋体" w:cs="宋体"/>
          <w:sz w:val="24"/>
        </w:rPr>
      </w:pPr>
      <w:r>
        <w:rPr>
          <w:rFonts w:hint="eastAsia" w:ascii="宋体" w:hAnsi="宋体" w:cs="宋体"/>
          <w:sz w:val="24"/>
        </w:rPr>
        <w:t>账号：</w:t>
      </w:r>
      <w:r>
        <w:rPr>
          <w:rFonts w:ascii="宋体" w:hAnsi="宋体" w:cs="宋体"/>
          <w:sz w:val="24"/>
        </w:rPr>
        <w:t>45001604556050701379</w:t>
      </w:r>
    </w:p>
    <w:p>
      <w:pPr>
        <w:snapToGrid w:val="0"/>
        <w:spacing w:before="120" w:line="360" w:lineRule="auto"/>
        <w:ind w:firstLine="480" w:firstLineChars="200"/>
        <w:rPr>
          <w:rFonts w:ascii="宋体" w:hAnsi="宋体" w:cs="宋体"/>
          <w:sz w:val="24"/>
        </w:rPr>
      </w:pPr>
      <w:r>
        <w:rPr>
          <w:rFonts w:hint="eastAsia" w:ascii="宋体" w:hAnsi="宋体" w:cs="宋体"/>
          <w:sz w:val="24"/>
        </w:rPr>
        <w:t>签订合同后，如乙方不按双方签订的合同规定履约，则其全部履约保证金甲方不予退还；履约保证金不足以赔偿甲方损失的，按实际损失赔偿。</w:t>
      </w:r>
    </w:p>
    <w:bookmarkEnd w:id="144"/>
    <w:p>
      <w:pPr>
        <w:snapToGrid w:val="0"/>
        <w:spacing w:before="120" w:line="360" w:lineRule="auto"/>
        <w:ind w:firstLine="480"/>
        <w:rPr>
          <w:rFonts w:ascii="宋体" w:hAnsi="宋体" w:cs="宋体"/>
          <w:b/>
          <w:sz w:val="24"/>
        </w:rPr>
      </w:pPr>
      <w:r>
        <w:rPr>
          <w:rFonts w:hint="eastAsia" w:ascii="宋体" w:hAnsi="宋体" w:cs="宋体"/>
          <w:b/>
          <w:sz w:val="24"/>
        </w:rPr>
        <w:t>第九条  税费</w:t>
      </w:r>
    </w:p>
    <w:p>
      <w:pPr>
        <w:snapToGrid w:val="0"/>
        <w:spacing w:before="120" w:line="360" w:lineRule="auto"/>
        <w:ind w:firstLine="482"/>
        <w:rPr>
          <w:rFonts w:ascii="宋体" w:hAnsi="宋体" w:cs="宋体"/>
          <w:sz w:val="24"/>
        </w:rPr>
      </w:pPr>
      <w:r>
        <w:rPr>
          <w:rFonts w:hint="eastAsia" w:ascii="宋体" w:hAnsi="宋体" w:cs="宋体"/>
          <w:sz w:val="24"/>
        </w:rPr>
        <w:t>本合同执行中相关的一切税费均由乙方负担，合同另有约定的除外。</w:t>
      </w:r>
    </w:p>
    <w:p>
      <w:pPr>
        <w:snapToGrid w:val="0"/>
        <w:spacing w:before="120" w:line="360" w:lineRule="auto"/>
        <w:ind w:firstLine="480"/>
        <w:rPr>
          <w:rFonts w:ascii="宋体" w:hAnsi="宋体" w:cs="宋体"/>
          <w:sz w:val="24"/>
        </w:rPr>
      </w:pPr>
      <w:r>
        <w:rPr>
          <w:rFonts w:hint="eastAsia" w:ascii="宋体" w:hAnsi="宋体" w:cs="宋体"/>
          <w:b/>
          <w:sz w:val="24"/>
        </w:rPr>
        <w:t>第十条  质量保证、售后服务</w:t>
      </w:r>
    </w:p>
    <w:p>
      <w:pPr>
        <w:snapToGrid w:val="0"/>
        <w:spacing w:before="120" w:line="360" w:lineRule="auto"/>
        <w:ind w:firstLine="480" w:firstLineChars="200"/>
        <w:rPr>
          <w:rFonts w:ascii="宋体" w:hAnsi="宋体" w:cs="宋体"/>
          <w:bCs/>
          <w:kern w:val="0"/>
          <w:sz w:val="24"/>
        </w:rPr>
      </w:pPr>
      <w:r>
        <w:rPr>
          <w:rFonts w:hint="eastAsia" w:ascii="宋体" w:hAnsi="宋体" w:cs="宋体"/>
          <w:sz w:val="24"/>
        </w:rPr>
        <w:t>1</w:t>
      </w:r>
      <w:r>
        <w:rPr>
          <w:rFonts w:hint="eastAsia" w:ascii="宋体" w:hAnsi="宋体" w:cs="宋体"/>
          <w:bCs/>
          <w:kern w:val="0"/>
          <w:sz w:val="24"/>
        </w:rPr>
        <w:t>.乙方应按照国家有关法律法规和“三包”规定以及招投标文件（采购文件）和本合同所附的《售后服务承诺》，为甲方提供售后服务。</w:t>
      </w:r>
    </w:p>
    <w:p>
      <w:pPr>
        <w:snapToGrid w:val="0"/>
        <w:spacing w:before="120" w:line="360" w:lineRule="auto"/>
        <w:ind w:firstLine="480" w:firstLineChars="200"/>
        <w:rPr>
          <w:rFonts w:ascii="宋体" w:hAnsi="宋体" w:cs="宋体"/>
          <w:bCs/>
          <w:kern w:val="0"/>
          <w:sz w:val="24"/>
        </w:rPr>
      </w:pPr>
      <w:r>
        <w:rPr>
          <w:rFonts w:hint="eastAsia" w:ascii="宋体" w:hAnsi="宋体" w:cs="宋体"/>
          <w:bCs/>
          <w:kern w:val="0"/>
          <w:sz w:val="24"/>
        </w:rPr>
        <w:t>2.乙方应按招标文件规定的设备和软件性能、技术要求、质量标准向甲方提供未经使用的全新产品。对达不到要求者，根据实际情况，经双方协商，可按以下办法处理：</w:t>
      </w:r>
    </w:p>
    <w:p>
      <w:pPr>
        <w:snapToGrid w:val="0"/>
        <w:spacing w:before="120" w:line="360" w:lineRule="auto"/>
        <w:ind w:firstLine="480" w:firstLineChars="200"/>
        <w:rPr>
          <w:rFonts w:ascii="宋体" w:hAnsi="宋体" w:cs="宋体"/>
          <w:bCs/>
          <w:kern w:val="0"/>
          <w:sz w:val="24"/>
        </w:rPr>
      </w:pPr>
      <w:r>
        <w:rPr>
          <w:rFonts w:hint="eastAsia" w:ascii="宋体" w:hAnsi="宋体" w:cs="宋体"/>
          <w:bCs/>
          <w:kern w:val="0"/>
          <w:sz w:val="24"/>
        </w:rPr>
        <w:t>（1）更换：由乙方承担所发生的全部费用。</w:t>
      </w:r>
    </w:p>
    <w:p>
      <w:pPr>
        <w:snapToGrid w:val="0"/>
        <w:spacing w:before="120" w:line="360" w:lineRule="auto"/>
        <w:ind w:firstLine="480" w:firstLineChars="200"/>
        <w:rPr>
          <w:rFonts w:ascii="宋体" w:hAnsi="宋体" w:cs="宋体"/>
          <w:bCs/>
          <w:kern w:val="0"/>
          <w:sz w:val="24"/>
        </w:rPr>
      </w:pPr>
      <w:r>
        <w:rPr>
          <w:rFonts w:hint="eastAsia" w:ascii="宋体" w:hAnsi="宋体" w:cs="宋体"/>
          <w:bCs/>
          <w:kern w:val="0"/>
          <w:sz w:val="24"/>
        </w:rPr>
        <w:t>（2）贬值处理：由甲乙双方合议定价。</w:t>
      </w:r>
    </w:p>
    <w:p>
      <w:pPr>
        <w:snapToGrid w:val="0"/>
        <w:spacing w:before="120" w:line="360" w:lineRule="auto"/>
        <w:ind w:firstLine="480" w:firstLineChars="200"/>
        <w:rPr>
          <w:rFonts w:ascii="宋体" w:hAnsi="宋体" w:cs="宋体"/>
          <w:bCs/>
          <w:kern w:val="0"/>
          <w:sz w:val="24"/>
        </w:rPr>
      </w:pPr>
      <w:r>
        <w:rPr>
          <w:rFonts w:hint="eastAsia" w:ascii="宋体" w:hAnsi="宋体" w:cs="宋体"/>
          <w:bCs/>
          <w:kern w:val="0"/>
          <w:sz w:val="24"/>
        </w:rPr>
        <w:t>（3）退货处理：乙方应退还甲方支付的合同款，同时应承担该货物的直接费用（运输、保险、检验、货款利息及银行手续费等）。</w:t>
      </w:r>
    </w:p>
    <w:p>
      <w:pPr>
        <w:snapToGrid w:val="0"/>
        <w:spacing w:before="120" w:line="360" w:lineRule="auto"/>
        <w:ind w:firstLine="480" w:firstLineChars="200"/>
        <w:rPr>
          <w:rFonts w:ascii="宋体" w:hAnsi="宋体" w:cs="宋体"/>
          <w:bCs/>
          <w:kern w:val="0"/>
          <w:sz w:val="24"/>
        </w:rPr>
      </w:pPr>
      <w:r>
        <w:rPr>
          <w:rFonts w:hint="eastAsia" w:ascii="宋体" w:hAnsi="宋体" w:cs="宋体"/>
          <w:bCs/>
          <w:kern w:val="0"/>
          <w:sz w:val="24"/>
        </w:rPr>
        <w:t>如果双方不能就上述第（1）、（2）项达成协议，则甲方有权单方选择第（3）项方式。</w:t>
      </w:r>
    </w:p>
    <w:p>
      <w:pPr>
        <w:snapToGrid w:val="0"/>
        <w:spacing w:before="120" w:line="360" w:lineRule="auto"/>
        <w:ind w:firstLine="480" w:firstLineChars="200"/>
        <w:rPr>
          <w:rFonts w:ascii="宋体" w:hAnsi="宋体" w:cs="宋体"/>
          <w:bCs/>
          <w:kern w:val="0"/>
          <w:sz w:val="24"/>
        </w:rPr>
      </w:pPr>
      <w:r>
        <w:rPr>
          <w:rFonts w:hint="eastAsia" w:ascii="宋体" w:hAnsi="宋体" w:cs="宋体"/>
          <w:bCs/>
          <w:kern w:val="0"/>
          <w:sz w:val="24"/>
        </w:rPr>
        <w:t>3.乙方提供的服务承诺和售后服务及质量保证期责任等其他具体约定事项（见合同附件）。</w:t>
      </w:r>
    </w:p>
    <w:p>
      <w:pPr>
        <w:snapToGrid w:val="0"/>
        <w:spacing w:before="120" w:line="360" w:lineRule="auto"/>
        <w:ind w:firstLine="480" w:firstLineChars="200"/>
        <w:rPr>
          <w:rFonts w:ascii="宋体" w:hAnsi="宋体" w:cs="宋体"/>
          <w:bCs/>
          <w:kern w:val="0"/>
          <w:sz w:val="24"/>
        </w:rPr>
      </w:pPr>
      <w:r>
        <w:rPr>
          <w:rFonts w:hint="eastAsia" w:ascii="宋体" w:hAnsi="宋体" w:cs="宋体"/>
          <w:sz w:val="24"/>
        </w:rPr>
        <w:t>4</w:t>
      </w:r>
      <w:r>
        <w:rPr>
          <w:rFonts w:hint="eastAsia" w:ascii="宋体" w:hAnsi="宋体" w:cs="宋体"/>
          <w:bCs/>
          <w:kern w:val="0"/>
          <w:sz w:val="24"/>
        </w:rPr>
        <w:t>.乙方除承担运输、安装、调试、验收与培训等义务外，还将为甲方提供技术支持，包括</w:t>
      </w:r>
      <w:r>
        <w:rPr>
          <w:rFonts w:hint="eastAsia" w:ascii="宋体" w:hAnsi="宋体" w:cs="宋体"/>
          <w:sz w:val="24"/>
        </w:rPr>
        <w:t>质量保证期</w:t>
      </w:r>
      <w:r>
        <w:rPr>
          <w:rFonts w:hint="eastAsia" w:ascii="宋体" w:hAnsi="宋体" w:cs="宋体"/>
          <w:bCs/>
          <w:kern w:val="0"/>
          <w:sz w:val="24"/>
        </w:rPr>
        <w:t>外的技术指导。</w:t>
      </w:r>
    </w:p>
    <w:p>
      <w:pPr>
        <w:snapToGrid w:val="0"/>
        <w:spacing w:before="120" w:line="360" w:lineRule="auto"/>
        <w:ind w:firstLine="480" w:firstLineChars="200"/>
        <w:rPr>
          <w:rFonts w:ascii="宋体" w:hAnsi="宋体" w:cs="宋体"/>
          <w:bCs/>
          <w:kern w:val="0"/>
          <w:sz w:val="24"/>
        </w:rPr>
      </w:pPr>
      <w:r>
        <w:rPr>
          <w:rFonts w:hint="eastAsia" w:ascii="宋体" w:hAnsi="宋体" w:cs="宋体"/>
          <w:sz w:val="24"/>
        </w:rPr>
        <w:t>5</w:t>
      </w:r>
      <w:r>
        <w:rPr>
          <w:rFonts w:hint="eastAsia" w:ascii="宋体" w:hAnsi="宋体" w:cs="宋体"/>
          <w:bCs/>
          <w:kern w:val="0"/>
          <w:sz w:val="24"/>
        </w:rPr>
        <w:t>.在</w:t>
      </w:r>
      <w:r>
        <w:rPr>
          <w:rFonts w:hint="eastAsia" w:ascii="宋体" w:hAnsi="宋体" w:cs="宋体"/>
          <w:sz w:val="24"/>
        </w:rPr>
        <w:t>质量保证期</w:t>
      </w:r>
      <w:r>
        <w:rPr>
          <w:rFonts w:hint="eastAsia" w:ascii="宋体" w:hAnsi="宋体" w:cs="宋体"/>
          <w:bCs/>
          <w:kern w:val="0"/>
          <w:sz w:val="24"/>
        </w:rPr>
        <w:t>内，乙方应对货物出现的质量及安全问题负责处理解决并承担一切费用。</w:t>
      </w:r>
    </w:p>
    <w:p>
      <w:pPr>
        <w:snapToGrid w:val="0"/>
        <w:spacing w:before="120" w:line="360" w:lineRule="auto"/>
        <w:ind w:firstLine="480" w:firstLineChars="200"/>
        <w:rPr>
          <w:rFonts w:ascii="宋体" w:hAnsi="宋体" w:cs="宋体"/>
          <w:bCs/>
          <w:kern w:val="0"/>
          <w:sz w:val="24"/>
        </w:rPr>
      </w:pPr>
      <w:r>
        <w:rPr>
          <w:rFonts w:hint="eastAsia" w:ascii="宋体" w:hAnsi="宋体" w:cs="宋体"/>
          <w:sz w:val="24"/>
        </w:rPr>
        <w:t>6</w:t>
      </w:r>
      <w:r>
        <w:rPr>
          <w:rFonts w:hint="eastAsia" w:ascii="宋体" w:hAnsi="宋体" w:cs="宋体"/>
          <w:bCs/>
          <w:kern w:val="0"/>
          <w:sz w:val="24"/>
        </w:rPr>
        <w:t>.超过</w:t>
      </w:r>
      <w:r>
        <w:rPr>
          <w:rFonts w:hint="eastAsia" w:ascii="宋体" w:hAnsi="宋体" w:cs="宋体"/>
          <w:sz w:val="24"/>
        </w:rPr>
        <w:t>质量保证期</w:t>
      </w:r>
      <w:r>
        <w:rPr>
          <w:rFonts w:hint="eastAsia" w:ascii="宋体" w:hAnsi="宋体" w:cs="宋体"/>
          <w:bCs/>
          <w:kern w:val="0"/>
          <w:sz w:val="24"/>
        </w:rPr>
        <w:t>的机器设备，终身维修，维修时只收部件成本费。</w:t>
      </w:r>
    </w:p>
    <w:p>
      <w:pPr>
        <w:snapToGrid w:val="0"/>
        <w:spacing w:before="120" w:line="360" w:lineRule="auto"/>
        <w:ind w:firstLine="480" w:firstLineChars="200"/>
        <w:rPr>
          <w:rFonts w:ascii="宋体" w:hAnsi="宋体" w:cs="宋体"/>
          <w:sz w:val="24"/>
        </w:rPr>
      </w:pPr>
      <w:r>
        <w:rPr>
          <w:rFonts w:hint="eastAsia" w:ascii="宋体" w:hAnsi="宋体" w:cs="宋体"/>
          <w:sz w:val="24"/>
        </w:rPr>
        <w:t>7</w:t>
      </w:r>
      <w:r>
        <w:rPr>
          <w:rFonts w:hint="eastAsia" w:ascii="宋体" w:hAnsi="宋体" w:cs="宋体"/>
          <w:bCs/>
          <w:kern w:val="0"/>
          <w:sz w:val="24"/>
        </w:rPr>
        <w:t>.货物</w:t>
      </w:r>
      <w:r>
        <w:rPr>
          <w:rFonts w:hint="eastAsia" w:ascii="宋体" w:hAnsi="宋体" w:cs="宋体"/>
          <w:sz w:val="24"/>
        </w:rPr>
        <w:t>质量保证期</w:t>
      </w:r>
      <w:r>
        <w:rPr>
          <w:rFonts w:hint="eastAsia" w:ascii="宋体" w:hAnsi="宋体" w:cs="宋体"/>
          <w:bCs/>
          <w:kern w:val="0"/>
          <w:sz w:val="24"/>
        </w:rPr>
        <w:t>：</w:t>
      </w:r>
      <w:r>
        <w:rPr>
          <w:rFonts w:hint="eastAsia" w:ascii="宋体" w:hAnsi="宋体" w:cs="宋体"/>
          <w:bCs/>
          <w:kern w:val="0"/>
          <w:sz w:val="24"/>
          <w:u w:val="single"/>
        </w:rPr>
        <w:t xml:space="preserve"> </w:t>
      </w:r>
      <w:r>
        <w:rPr>
          <w:rFonts w:ascii="宋体" w:hAnsi="宋体" w:cs="宋体"/>
          <w:bCs/>
          <w:kern w:val="0"/>
          <w:sz w:val="24"/>
          <w:u w:val="single"/>
        </w:rPr>
        <w:t xml:space="preserve"> </w:t>
      </w:r>
      <w:r>
        <w:rPr>
          <w:rFonts w:hint="eastAsia" w:ascii="宋体" w:hAnsi="宋体" w:cs="宋体"/>
          <w:bCs/>
          <w:kern w:val="0"/>
          <w:sz w:val="24"/>
          <w:u w:val="single"/>
        </w:rPr>
        <w:t xml:space="preserve">自甲方验收合格之日起  </w:t>
      </w:r>
      <w:r>
        <w:rPr>
          <w:rFonts w:ascii="宋体" w:hAnsi="宋体" w:cs="宋体"/>
          <w:bCs/>
          <w:kern w:val="0"/>
          <w:sz w:val="24"/>
          <w:u w:val="single"/>
        </w:rPr>
        <w:t xml:space="preserve">  </w:t>
      </w:r>
      <w:r>
        <w:rPr>
          <w:rFonts w:hint="eastAsia" w:ascii="宋体" w:hAnsi="宋体" w:cs="宋体"/>
          <w:bCs/>
          <w:kern w:val="0"/>
          <w:sz w:val="24"/>
          <w:u w:val="single"/>
        </w:rPr>
        <w:t>年</w:t>
      </w:r>
      <w:r>
        <w:rPr>
          <w:rFonts w:ascii="宋体" w:hAnsi="宋体" w:cs="宋体"/>
          <w:bCs/>
          <w:kern w:val="0"/>
          <w:sz w:val="24"/>
          <w:u w:val="single"/>
        </w:rPr>
        <w:t xml:space="preserve">  </w:t>
      </w:r>
      <w:r>
        <w:rPr>
          <w:rFonts w:hint="eastAsia" w:ascii="宋体" w:hAnsi="宋体" w:cs="宋体"/>
          <w:bCs/>
          <w:kern w:val="0"/>
          <w:sz w:val="24"/>
          <w:u w:val="single"/>
        </w:rPr>
        <w:t>。</w:t>
      </w:r>
    </w:p>
    <w:p>
      <w:pPr>
        <w:snapToGrid w:val="0"/>
        <w:spacing w:before="120" w:line="360" w:lineRule="auto"/>
        <w:ind w:firstLine="482" w:firstLineChars="200"/>
        <w:rPr>
          <w:rFonts w:ascii="宋体" w:hAnsi="宋体" w:cs="宋体"/>
          <w:b/>
          <w:sz w:val="24"/>
        </w:rPr>
      </w:pPr>
      <w:r>
        <w:rPr>
          <w:rFonts w:hint="eastAsia" w:ascii="宋体" w:hAnsi="宋体" w:cs="宋体"/>
          <w:b/>
          <w:sz w:val="24"/>
        </w:rPr>
        <w:t>第十一条　违约责任</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 xml:space="preserve">1.乙方所提供的产品名称、商标品牌、生产厂家、规格型号、技术参数等质量不合格的，应及时更换，更换不及时的按逾期交货处理；因质量问题甲方不同意接收的或者特殊情况甲方同意接收的，乙方应向甲方支付违约货款额5%违约金并赔偿甲方经济损失。                                       </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2.乙方提供的货物如侵犯了第三方合法权益而引发的任何纠纷或者诉讼，均由乙方负责交涉并承担全部责任。</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3.因包装、运输引起的货物损坏，按质量不合格处理。</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4.合同一方不履行合同义务、履行合同义务不符合约定或者违反合同项下所作保证的，应向对方承担继续履行、采取修理、更换、退货等补救措施或者赔偿损失等违约责任。</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5.乙方未能按时交付货物的，应向甲方支付迟延交付违约金。迟延交付违约金的计算方法如下：</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（1）从迟交的第1日到第30日，每日迟延交付违约金为合同总价的 1.5‰；</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（2）从迟交的第31到第60日，每日迟延交付违约金为合同总价的 3‰；</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（3）从迟交的第61日起，每日迟延交付违约金为合同总价的5‰。</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迟延交付违约金的总额不得超过合同总价的30%。迟延交付违约金的支付不能免除乙方继续交付相关合同货物的义务，但如迟延交付必然导致合同货物安装、调试、验收等工作推迟的，相关工作应相应顺延。</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6.乙方未按本合同和投标文件承诺提供售后服务的，乙方应按本合同总价的5%向甲方支付违约金。</w:t>
      </w:r>
    </w:p>
    <w:p>
      <w:pPr>
        <w:snapToGrid w:val="0"/>
        <w:spacing w:before="120" w:line="360" w:lineRule="auto"/>
        <w:ind w:firstLine="480" w:firstLineChars="200"/>
        <w:rPr>
          <w:rFonts w:ascii="宋体" w:hAnsi="宋体" w:cs="宋体"/>
          <w:kern w:val="0"/>
          <w:sz w:val="24"/>
        </w:rPr>
      </w:pPr>
      <w:r>
        <w:rPr>
          <w:rFonts w:ascii="宋体" w:hAnsi="宋体" w:cs="宋体"/>
          <w:kern w:val="0"/>
          <w:sz w:val="24"/>
        </w:rPr>
        <w:t>7</w:t>
      </w:r>
      <w:r>
        <w:rPr>
          <w:rFonts w:hint="eastAsia" w:ascii="宋体" w:hAnsi="宋体" w:cs="宋体"/>
          <w:kern w:val="0"/>
          <w:sz w:val="24"/>
        </w:rPr>
        <w:t>.乙方违约，甲方对本合同享有单方解除权。</w:t>
      </w:r>
    </w:p>
    <w:p>
      <w:pPr>
        <w:snapToGrid w:val="0"/>
        <w:spacing w:before="120" w:line="360" w:lineRule="auto"/>
        <w:ind w:firstLine="480" w:firstLineChars="200"/>
        <w:rPr>
          <w:rFonts w:ascii="宋体" w:hAnsi="宋体" w:cs="宋体"/>
          <w:kern w:val="0"/>
          <w:sz w:val="24"/>
        </w:rPr>
      </w:pPr>
      <w:r>
        <w:rPr>
          <w:rFonts w:ascii="宋体" w:hAnsi="宋体" w:cs="宋体"/>
          <w:kern w:val="0"/>
          <w:sz w:val="24"/>
        </w:rPr>
        <w:t>8</w:t>
      </w:r>
      <w:r>
        <w:rPr>
          <w:rFonts w:hint="eastAsia" w:ascii="宋体" w:hAnsi="宋体" w:cs="宋体"/>
          <w:kern w:val="0"/>
          <w:sz w:val="24"/>
        </w:rPr>
        <w:t>.因某一方</w:t>
      </w:r>
      <w:r>
        <w:rPr>
          <w:rFonts w:hint="eastAsia" w:ascii="宋体" w:hAnsi="宋体" w:cs="宋体"/>
          <w:bCs/>
          <w:kern w:val="0"/>
          <w:sz w:val="24"/>
          <w:shd w:val="clear" w:color="auto" w:fill="FFFFFF"/>
        </w:rPr>
        <w:t>单方面</w:t>
      </w:r>
      <w:r>
        <w:rPr>
          <w:rFonts w:hint="eastAsia" w:ascii="宋体" w:hAnsi="宋体" w:cs="宋体"/>
          <w:kern w:val="0"/>
          <w:sz w:val="24"/>
        </w:rPr>
        <w:t>原因导致变更、中止或者终止</w:t>
      </w:r>
      <w:bookmarkStart w:id="145" w:name="_Hlk123747227"/>
      <w:r>
        <w:rPr>
          <w:rFonts w:hint="eastAsia" w:ascii="宋体" w:hAnsi="宋体" w:cs="宋体"/>
          <w:bCs/>
          <w:kern w:val="0"/>
          <w:sz w:val="24"/>
          <w:shd w:val="clear" w:color="auto" w:fill="FFFFFF"/>
        </w:rPr>
        <w:t>本</w:t>
      </w:r>
      <w:bookmarkEnd w:id="145"/>
      <w:r>
        <w:rPr>
          <w:rFonts w:hint="eastAsia" w:ascii="宋体" w:hAnsi="宋体" w:cs="宋体"/>
          <w:kern w:val="0"/>
          <w:sz w:val="24"/>
        </w:rPr>
        <w:t>合同的，该方应当对另一方</w:t>
      </w:r>
      <w:r>
        <w:rPr>
          <w:rFonts w:hint="eastAsia" w:ascii="宋体" w:hAnsi="宋体" w:cs="宋体"/>
          <w:bCs/>
          <w:kern w:val="0"/>
          <w:sz w:val="24"/>
          <w:shd w:val="clear" w:color="auto" w:fill="FFFFFF"/>
        </w:rPr>
        <w:t>因此</w:t>
      </w:r>
      <w:r>
        <w:rPr>
          <w:rFonts w:hint="eastAsia" w:ascii="宋体" w:hAnsi="宋体" w:cs="宋体"/>
          <w:kern w:val="0"/>
          <w:sz w:val="24"/>
        </w:rPr>
        <w:t>受到的损失予以赔偿或者补偿。</w:t>
      </w:r>
    </w:p>
    <w:p>
      <w:pPr>
        <w:snapToGrid w:val="0"/>
        <w:spacing w:before="120" w:line="360" w:lineRule="auto"/>
        <w:ind w:firstLine="480" w:firstLineChars="200"/>
        <w:rPr>
          <w:rFonts w:ascii="宋体" w:hAnsi="宋体" w:cs="宋体"/>
          <w:kern w:val="0"/>
          <w:sz w:val="24"/>
        </w:rPr>
      </w:pPr>
      <w:r>
        <w:rPr>
          <w:rFonts w:ascii="宋体" w:hAnsi="宋体" w:cs="宋体"/>
          <w:kern w:val="0"/>
          <w:sz w:val="24"/>
        </w:rPr>
        <w:t>9</w:t>
      </w:r>
      <w:r>
        <w:rPr>
          <w:rFonts w:hint="eastAsia" w:ascii="宋体" w:hAnsi="宋体" w:cs="宋体"/>
          <w:kern w:val="0"/>
          <w:sz w:val="24"/>
        </w:rPr>
        <w:t>.乙方提供的货物在质量保证期内，因设计、工艺或者材料的缺陷和其它质量原因造成的问题，由乙方负责，费用从余款或者履约保证金中扣除，不足另补。</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0</w:t>
      </w:r>
      <w:r>
        <w:rPr>
          <w:rFonts w:hint="eastAsia" w:ascii="宋体" w:hAnsi="宋体" w:cs="宋体"/>
          <w:kern w:val="0"/>
          <w:sz w:val="24"/>
        </w:rPr>
        <w:t>.甲乙双方有其他违约行为的，由违约方向对方支付违约货款额的5%，违约货款额的5%不足以赔偿经济损失的按实际损失赔偿。</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1</w:t>
      </w:r>
      <w:r>
        <w:rPr>
          <w:rFonts w:ascii="宋体" w:hAnsi="宋体" w:cs="宋体"/>
          <w:kern w:val="0"/>
          <w:sz w:val="24"/>
        </w:rPr>
        <w:t>1</w:t>
      </w:r>
      <w:r>
        <w:rPr>
          <w:rFonts w:hint="eastAsia" w:ascii="宋体" w:hAnsi="宋体" w:cs="宋体"/>
          <w:kern w:val="0"/>
          <w:sz w:val="24"/>
        </w:rPr>
        <w:t>.其他违约责任按《中华人民共和国民法典》处理。</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1</w:t>
      </w:r>
      <w:r>
        <w:rPr>
          <w:rFonts w:ascii="宋体" w:hAnsi="宋体" w:cs="宋体"/>
          <w:kern w:val="0"/>
          <w:sz w:val="24"/>
        </w:rPr>
        <w:t>2.</w:t>
      </w:r>
      <w:r>
        <w:rPr>
          <w:rFonts w:hint="eastAsia" w:ascii="宋体" w:hAnsi="宋体" w:cs="宋体"/>
          <w:kern w:val="0"/>
          <w:sz w:val="24"/>
        </w:rPr>
        <w:t>乙方违约的，应当承担甲方的维权费用，包括但不限于诉讼费、保全费、保全保险费、公告费、律师费、评估费、鉴定费、差旅费等。</w:t>
      </w:r>
    </w:p>
    <w:p>
      <w:pPr>
        <w:snapToGrid w:val="0"/>
        <w:spacing w:before="120" w:line="360" w:lineRule="auto"/>
        <w:ind w:firstLine="472" w:firstLineChars="196"/>
        <w:rPr>
          <w:rFonts w:ascii="宋体" w:hAnsi="宋体" w:cs="宋体"/>
          <w:b/>
          <w:bCs/>
          <w:kern w:val="0"/>
          <w:sz w:val="24"/>
        </w:rPr>
      </w:pPr>
      <w:r>
        <w:rPr>
          <w:rFonts w:hint="eastAsia" w:ascii="宋体" w:hAnsi="宋体" w:cs="宋体"/>
          <w:b/>
          <w:bCs/>
          <w:kern w:val="0"/>
          <w:sz w:val="24"/>
        </w:rPr>
        <w:t>第十二条  不可抗力事件处理</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1.在合同有效期内，任何一方因不可抗力事件导致不能履行合同，则合同履行期可延长，其延长期与不可抗力影响期相同。</w:t>
      </w:r>
    </w:p>
    <w:p>
      <w:pPr>
        <w:snapToGrid w:val="0"/>
        <w:spacing w:before="120" w:line="360" w:lineRule="auto"/>
        <w:ind w:firstLine="480" w:firstLineChars="200"/>
        <w:rPr>
          <w:rFonts w:ascii="宋体" w:hAnsi="宋体" w:cs="宋体"/>
          <w:kern w:val="0"/>
          <w:sz w:val="24"/>
        </w:rPr>
      </w:pPr>
      <w:r>
        <w:rPr>
          <w:rFonts w:hint="eastAsia" w:ascii="宋体" w:hAnsi="宋体" w:cs="宋体"/>
          <w:kern w:val="0"/>
          <w:sz w:val="24"/>
        </w:rPr>
        <w:t>2.不可抗力事件发生后，应立即通知对方，并寄送有关具有资质的第三方机构出具的证明。</w:t>
      </w:r>
    </w:p>
    <w:p>
      <w:pPr>
        <w:snapToGrid w:val="0"/>
        <w:spacing w:before="120" w:line="360" w:lineRule="auto"/>
        <w:ind w:firstLine="480" w:firstLineChars="200"/>
        <w:rPr>
          <w:rFonts w:ascii="宋体" w:hAnsi="宋体" w:cs="宋体"/>
          <w:sz w:val="24"/>
        </w:rPr>
      </w:pPr>
      <w:r>
        <w:rPr>
          <w:rFonts w:hint="eastAsia" w:ascii="宋体" w:hAnsi="宋体" w:cs="宋体"/>
          <w:sz w:val="24"/>
        </w:rPr>
        <w:t>3.不可抗力事件延续60天以上，双方应通过友好协商，确定是否继续履行合同。</w:t>
      </w:r>
    </w:p>
    <w:p>
      <w:pPr>
        <w:snapToGrid w:val="0"/>
        <w:spacing w:before="120" w:line="360" w:lineRule="auto"/>
        <w:ind w:firstLine="482" w:firstLineChars="200"/>
        <w:rPr>
          <w:rFonts w:ascii="宋体" w:hAnsi="宋体" w:cs="宋体"/>
          <w:sz w:val="24"/>
        </w:rPr>
      </w:pPr>
      <w:r>
        <w:rPr>
          <w:rFonts w:hint="eastAsia" w:ascii="宋体" w:hAnsi="宋体" w:cs="宋体"/>
          <w:b/>
          <w:sz w:val="24"/>
        </w:rPr>
        <w:t>第十三条  合同争议解决</w:t>
      </w:r>
    </w:p>
    <w:p>
      <w:pPr>
        <w:snapToGrid w:val="0"/>
        <w:spacing w:before="120" w:line="360" w:lineRule="auto"/>
        <w:ind w:firstLine="480" w:firstLineChars="200"/>
        <w:rPr>
          <w:rFonts w:ascii="宋体" w:hAnsi="宋体" w:cs="宋体"/>
          <w:sz w:val="24"/>
        </w:rPr>
      </w:pPr>
      <w:r>
        <w:rPr>
          <w:rFonts w:hint="eastAsia" w:ascii="宋体" w:hAnsi="宋体" w:cs="宋体"/>
          <w:sz w:val="24"/>
        </w:rPr>
        <w:t>1.因货物质量问题发生争议的，应邀请国家认可的质量检测机构对货物质量进行鉴定。货物符合标准的，鉴定费由甲方承担；货物不符合标准的，鉴定费由乙方承担。</w:t>
      </w:r>
    </w:p>
    <w:p>
      <w:pPr>
        <w:snapToGrid w:val="0"/>
        <w:spacing w:before="120" w:line="360" w:lineRule="auto"/>
        <w:ind w:firstLine="480" w:firstLineChars="200"/>
        <w:rPr>
          <w:rFonts w:ascii="宋体" w:hAnsi="宋体" w:cs="宋体"/>
          <w:sz w:val="24"/>
        </w:rPr>
      </w:pPr>
      <w:r>
        <w:rPr>
          <w:rFonts w:hint="eastAsia" w:ascii="宋体" w:hAnsi="宋体" w:cs="宋体"/>
          <w:sz w:val="24"/>
        </w:rPr>
        <w:t>2.因履行本合同引起的或者与本合同有关的争议，甲乙双方应首先通过友好协商解决，如果协商不能解决，任何一方可向甲方所在地有管辖权的人民法院提起诉讼。</w:t>
      </w:r>
    </w:p>
    <w:p>
      <w:pPr>
        <w:snapToGrid w:val="0"/>
        <w:spacing w:before="120" w:line="360" w:lineRule="auto"/>
        <w:ind w:firstLine="482"/>
        <w:rPr>
          <w:rFonts w:ascii="宋体" w:hAnsi="宋体" w:cs="宋体"/>
          <w:sz w:val="24"/>
        </w:rPr>
      </w:pPr>
      <w:r>
        <w:rPr>
          <w:rFonts w:hint="eastAsia" w:ascii="宋体" w:hAnsi="宋体" w:cs="宋体"/>
          <w:sz w:val="24"/>
        </w:rPr>
        <w:t>3.诉讼期间，本合同无争议部分须继续履行。</w:t>
      </w:r>
    </w:p>
    <w:p>
      <w:pPr>
        <w:snapToGrid w:val="0"/>
        <w:spacing w:before="120" w:line="360" w:lineRule="auto"/>
        <w:ind w:firstLine="472" w:firstLineChars="196"/>
        <w:rPr>
          <w:rFonts w:ascii="宋体" w:hAnsi="宋体" w:cs="宋体"/>
          <w:b/>
          <w:kern w:val="0"/>
          <w:sz w:val="24"/>
        </w:rPr>
      </w:pPr>
      <w:r>
        <w:rPr>
          <w:rFonts w:hint="eastAsia" w:ascii="宋体" w:hAnsi="宋体" w:cs="宋体"/>
          <w:b/>
          <w:kern w:val="0"/>
          <w:sz w:val="24"/>
        </w:rPr>
        <w:t>第十四条  合同生效及其他</w:t>
      </w:r>
    </w:p>
    <w:p>
      <w:pPr>
        <w:snapToGrid w:val="0"/>
        <w:spacing w:before="120" w:line="360" w:lineRule="auto"/>
        <w:ind w:firstLine="480" w:firstLineChars="200"/>
        <w:rPr>
          <w:rFonts w:ascii="宋体" w:hAnsi="宋体" w:cs="宋体"/>
          <w:sz w:val="24"/>
        </w:rPr>
      </w:pPr>
      <w:r>
        <w:rPr>
          <w:rFonts w:hint="eastAsia" w:ascii="宋体" w:hAnsi="宋体" w:cs="宋体"/>
          <w:sz w:val="24"/>
        </w:rPr>
        <w:t>1.合同经双方法定代表人或者委托代理人签字并加盖单位公章后生效（委托代理人签字的须后附授权委托书，格式自拟）。</w:t>
      </w:r>
    </w:p>
    <w:p>
      <w:pPr>
        <w:snapToGrid w:val="0"/>
        <w:spacing w:before="120" w:line="360" w:lineRule="auto"/>
        <w:ind w:firstLine="480" w:firstLineChars="200"/>
        <w:rPr>
          <w:rFonts w:ascii="宋体" w:hAnsi="宋体" w:cs="宋体"/>
          <w:sz w:val="24"/>
        </w:rPr>
      </w:pPr>
      <w:r>
        <w:rPr>
          <w:rFonts w:hint="eastAsia" w:ascii="宋体" w:hAnsi="宋体" w:cs="宋体"/>
          <w:sz w:val="24"/>
        </w:rPr>
        <w:t>2.本合同未尽事宜，遵照《中华人民共和国民法典》有关条文执行。</w:t>
      </w:r>
    </w:p>
    <w:p>
      <w:pPr>
        <w:snapToGrid w:val="0"/>
        <w:spacing w:before="120" w:line="360" w:lineRule="auto"/>
        <w:ind w:firstLine="480" w:firstLineChars="200"/>
        <w:rPr>
          <w:rFonts w:ascii="宋体" w:hAnsi="宋体" w:cs="宋体"/>
          <w:sz w:val="24"/>
        </w:rPr>
      </w:pPr>
      <w:r>
        <w:rPr>
          <w:rFonts w:hint="eastAsia" w:ascii="宋体" w:hAnsi="宋体" w:cs="宋体"/>
          <w:sz w:val="24"/>
        </w:rPr>
        <w:t>3.双方确认本合同落款通讯地址作为文书送达地址，该通讯地址适用于包括双方合同履行过程中的各类通知、补充协议等文件，以及因履行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或拒绝接听快递员投递电话等原因，导致文书未能被实际接收的，邮寄文书被退回之日视为送达之日。</w:t>
      </w:r>
    </w:p>
    <w:p>
      <w:pPr>
        <w:snapToGrid w:val="0"/>
        <w:spacing w:before="120" w:line="360" w:lineRule="auto"/>
        <w:ind w:firstLine="482" w:firstLineChars="200"/>
        <w:rPr>
          <w:rFonts w:ascii="宋体" w:hAnsi="宋体" w:cs="宋体"/>
          <w:b/>
          <w:sz w:val="24"/>
        </w:rPr>
      </w:pPr>
      <w:r>
        <w:rPr>
          <w:rFonts w:hint="eastAsia" w:ascii="宋体" w:hAnsi="宋体" w:cs="宋体"/>
          <w:b/>
          <w:sz w:val="24"/>
        </w:rPr>
        <w:t>第十五条　合同的变更、终止与转让</w:t>
      </w:r>
    </w:p>
    <w:p>
      <w:pPr>
        <w:snapToGrid w:val="0"/>
        <w:spacing w:before="120" w:line="360" w:lineRule="auto"/>
        <w:ind w:firstLine="480" w:firstLineChars="200"/>
        <w:rPr>
          <w:rFonts w:ascii="宋体" w:hAnsi="宋体" w:cs="宋体"/>
          <w:sz w:val="24"/>
        </w:rPr>
      </w:pPr>
      <w:r>
        <w:rPr>
          <w:rFonts w:hint="eastAsia" w:ascii="宋体" w:hAnsi="宋体" w:cs="宋体"/>
          <w:sz w:val="24"/>
        </w:rPr>
        <w:t>1.除《中华人民共和国政府采购法》第五十条规定的情形外，本合同一经签订，甲乙双方不得擅自变更、中止或者终止。</w:t>
      </w:r>
    </w:p>
    <w:p>
      <w:pPr>
        <w:snapToGrid w:val="0"/>
        <w:spacing w:before="120" w:line="360" w:lineRule="auto"/>
        <w:ind w:firstLine="482"/>
        <w:rPr>
          <w:rFonts w:ascii="宋体" w:hAnsi="宋体" w:cs="宋体"/>
          <w:sz w:val="24"/>
        </w:rPr>
      </w:pPr>
      <w:r>
        <w:rPr>
          <w:rFonts w:hint="eastAsia" w:ascii="宋体" w:hAnsi="宋体" w:cs="宋体"/>
          <w:sz w:val="24"/>
        </w:rPr>
        <w:t>2.乙方不得擅自转让其应履行的合同义务。</w:t>
      </w:r>
    </w:p>
    <w:p>
      <w:pPr>
        <w:snapToGrid w:val="0"/>
        <w:spacing w:before="120" w:line="360" w:lineRule="auto"/>
        <w:ind w:firstLine="472" w:firstLineChars="196"/>
        <w:rPr>
          <w:rFonts w:ascii="宋体" w:hAnsi="宋体" w:cs="宋体"/>
          <w:kern w:val="0"/>
          <w:sz w:val="24"/>
        </w:rPr>
      </w:pPr>
      <w:r>
        <w:rPr>
          <w:rFonts w:hint="eastAsia" w:ascii="宋体" w:hAnsi="宋体" w:cs="宋体"/>
          <w:b/>
          <w:kern w:val="0"/>
          <w:sz w:val="24"/>
        </w:rPr>
        <w:t>第十六条　</w:t>
      </w:r>
      <w:r>
        <w:rPr>
          <w:rFonts w:hint="eastAsia" w:ascii="宋体" w:hAnsi="宋体" w:cs="宋体"/>
          <w:spacing w:val="-2"/>
          <w:kern w:val="0"/>
          <w:sz w:val="24"/>
        </w:rPr>
        <w:t>本</w:t>
      </w:r>
      <w:r>
        <w:rPr>
          <w:rFonts w:hint="eastAsia" w:ascii="宋体" w:hAnsi="宋体" w:cs="宋体"/>
          <w:kern w:val="0"/>
          <w:sz w:val="24"/>
        </w:rPr>
        <w:t>合同书</w:t>
      </w:r>
      <w:r>
        <w:rPr>
          <w:rFonts w:hint="eastAsia" w:ascii="宋体" w:hAnsi="宋体" w:cs="宋体"/>
          <w:spacing w:val="-2"/>
          <w:kern w:val="0"/>
          <w:sz w:val="24"/>
        </w:rPr>
        <w:t>与</w:t>
      </w:r>
      <w:r>
        <w:rPr>
          <w:rFonts w:hint="eastAsia" w:ascii="宋体" w:hAnsi="宋体" w:cs="宋体"/>
          <w:kern w:val="0"/>
          <w:sz w:val="24"/>
        </w:rPr>
        <w:t>下</w:t>
      </w:r>
      <w:r>
        <w:rPr>
          <w:rFonts w:hint="eastAsia" w:ascii="宋体" w:hAnsi="宋体" w:cs="宋体"/>
          <w:spacing w:val="-2"/>
          <w:kern w:val="0"/>
          <w:sz w:val="24"/>
        </w:rPr>
        <w:t>列</w:t>
      </w:r>
      <w:r>
        <w:rPr>
          <w:rFonts w:hint="eastAsia" w:ascii="宋体" w:hAnsi="宋体" w:cs="宋体"/>
          <w:kern w:val="0"/>
          <w:sz w:val="24"/>
        </w:rPr>
        <w:t>文</w:t>
      </w:r>
      <w:r>
        <w:rPr>
          <w:rFonts w:hint="eastAsia" w:ascii="宋体" w:hAnsi="宋体" w:cs="宋体"/>
          <w:spacing w:val="-2"/>
          <w:kern w:val="0"/>
          <w:sz w:val="24"/>
        </w:rPr>
        <w:t>件一</w:t>
      </w:r>
      <w:r>
        <w:rPr>
          <w:rFonts w:hint="eastAsia" w:ascii="宋体" w:hAnsi="宋体" w:cs="宋体"/>
          <w:kern w:val="0"/>
          <w:sz w:val="24"/>
        </w:rPr>
        <w:t>起构</w:t>
      </w:r>
      <w:r>
        <w:rPr>
          <w:rFonts w:hint="eastAsia" w:ascii="宋体" w:hAnsi="宋体" w:cs="宋体"/>
          <w:spacing w:val="-2"/>
          <w:kern w:val="0"/>
          <w:sz w:val="24"/>
        </w:rPr>
        <w:t>成</w:t>
      </w:r>
      <w:r>
        <w:rPr>
          <w:rFonts w:hint="eastAsia" w:ascii="宋体" w:hAnsi="宋体" w:cs="宋体"/>
          <w:kern w:val="0"/>
          <w:sz w:val="24"/>
        </w:rPr>
        <w:t>合</w:t>
      </w:r>
      <w:r>
        <w:rPr>
          <w:rFonts w:hint="eastAsia" w:ascii="宋体" w:hAnsi="宋体" w:cs="宋体"/>
          <w:spacing w:val="-2"/>
          <w:kern w:val="0"/>
          <w:sz w:val="24"/>
        </w:rPr>
        <w:t>同</w:t>
      </w:r>
      <w:r>
        <w:rPr>
          <w:rFonts w:hint="eastAsia" w:ascii="宋体" w:hAnsi="宋体" w:cs="宋体"/>
          <w:kern w:val="0"/>
          <w:sz w:val="24"/>
        </w:rPr>
        <w:t>文</w:t>
      </w:r>
      <w:r>
        <w:rPr>
          <w:rFonts w:hint="eastAsia" w:ascii="宋体" w:hAnsi="宋体" w:cs="宋体"/>
          <w:spacing w:val="-2"/>
          <w:kern w:val="0"/>
          <w:sz w:val="24"/>
        </w:rPr>
        <w:t>件</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1.中标通知书</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2.采购需求</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3.投标函</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4.开标一览表及设备性能配置清单</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5.商务要求偏离表和技术要求偏离表</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6.售后服务承诺</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7.其他合同文件</w:t>
      </w:r>
    </w:p>
    <w:p>
      <w:pPr>
        <w:snapToGrid w:val="0"/>
        <w:spacing w:before="120" w:line="360" w:lineRule="auto"/>
        <w:ind w:firstLine="470" w:firstLineChars="196"/>
        <w:rPr>
          <w:rFonts w:ascii="宋体" w:hAnsi="宋体" w:cs="宋体"/>
          <w:kern w:val="0"/>
          <w:sz w:val="24"/>
        </w:rPr>
      </w:pPr>
      <w:r>
        <w:rPr>
          <w:rFonts w:hint="eastAsia" w:ascii="宋体" w:hAnsi="宋体" w:cs="宋体"/>
          <w:kern w:val="0"/>
          <w:sz w:val="24"/>
        </w:rPr>
        <w:t>上述合同文件互相补充和解释。如果合同文件之间存在矛盾或者不一致之处，以上述文件 的排列顺序在先者为准。</w:t>
      </w:r>
    </w:p>
    <w:p>
      <w:pPr>
        <w:snapToGrid w:val="0"/>
        <w:spacing w:before="120" w:line="360" w:lineRule="auto"/>
        <w:ind w:firstLine="482" w:firstLineChars="200"/>
        <w:rPr>
          <w:rFonts w:ascii="宋体" w:hAnsi="宋体" w:cs="宋体"/>
          <w:sz w:val="24"/>
        </w:rPr>
      </w:pPr>
      <w:r>
        <w:rPr>
          <w:rFonts w:hint="eastAsia" w:ascii="宋体" w:hAnsi="宋体" w:cs="宋体"/>
          <w:b/>
          <w:sz w:val="24"/>
        </w:rPr>
        <w:t>第十七条　</w:t>
      </w:r>
      <w:r>
        <w:rPr>
          <w:rFonts w:hint="eastAsia" w:ascii="宋体" w:hAnsi="宋体" w:cs="宋体"/>
          <w:sz w:val="24"/>
        </w:rPr>
        <w:t>本合同一式</w:t>
      </w:r>
      <w:r>
        <w:rPr>
          <w:rFonts w:hint="eastAsia" w:ascii="宋体" w:hAnsi="宋体" w:cs="宋体"/>
          <w:sz w:val="24"/>
          <w:u w:val="single"/>
        </w:rPr>
        <w:t xml:space="preserve"> 柒 </w:t>
      </w:r>
      <w:r>
        <w:rPr>
          <w:rFonts w:hint="eastAsia" w:ascii="宋体" w:hAnsi="宋体" w:cs="宋体"/>
          <w:sz w:val="24"/>
        </w:rPr>
        <w:t>份，具有同等法律效力，甲方</w:t>
      </w:r>
      <w:r>
        <w:rPr>
          <w:rFonts w:hint="eastAsia" w:ascii="宋体" w:hAnsi="宋体" w:cs="宋体"/>
          <w:sz w:val="24"/>
          <w:u w:val="single"/>
        </w:rPr>
        <w:t xml:space="preserve"> 肆 </w:t>
      </w:r>
      <w:r>
        <w:rPr>
          <w:rFonts w:hint="eastAsia" w:ascii="宋体" w:hAnsi="宋体" w:cs="宋体"/>
          <w:sz w:val="24"/>
        </w:rPr>
        <w:t>份，乙方</w:t>
      </w:r>
      <w:r>
        <w:rPr>
          <w:rFonts w:hint="eastAsia" w:ascii="宋体" w:hAnsi="宋体" w:cs="宋体"/>
          <w:sz w:val="24"/>
          <w:u w:val="single"/>
        </w:rPr>
        <w:t xml:space="preserve"> 贰 </w:t>
      </w:r>
      <w:r>
        <w:rPr>
          <w:rFonts w:hint="eastAsia" w:ascii="宋体" w:hAnsi="宋体" w:cs="宋体"/>
          <w:sz w:val="24"/>
        </w:rPr>
        <w:t>份，采购代理机构</w:t>
      </w:r>
      <w:r>
        <w:rPr>
          <w:rFonts w:hint="eastAsia" w:ascii="宋体" w:hAnsi="宋体" w:cs="宋体"/>
          <w:sz w:val="24"/>
          <w:u w:val="single"/>
        </w:rPr>
        <w:t xml:space="preserve"> 壹 </w:t>
      </w:r>
      <w:r>
        <w:rPr>
          <w:rFonts w:hint="eastAsia" w:ascii="宋体" w:hAnsi="宋体" w:cs="宋体"/>
          <w:sz w:val="24"/>
        </w:rPr>
        <w:t>份。</w:t>
      </w:r>
    </w:p>
    <w:p>
      <w:pPr>
        <w:spacing w:before="120" w:line="360" w:lineRule="auto"/>
        <w:ind w:firstLine="480"/>
        <w:jc w:val="center"/>
        <w:outlineLvl w:val="0"/>
        <w:rPr>
          <w:rFonts w:ascii="宋体" w:hAnsi="宋体" w:cs="宋体"/>
          <w:b/>
          <w:sz w:val="24"/>
        </w:rPr>
      </w:pPr>
    </w:p>
    <w:p>
      <w:pPr>
        <w:spacing w:before="120" w:line="360" w:lineRule="auto"/>
        <w:ind w:firstLine="480" w:firstLineChars="200"/>
        <w:rPr>
          <w:rFonts w:ascii="宋体" w:hAnsi="宋体" w:cs="宋体"/>
          <w:sz w:val="24"/>
        </w:rPr>
      </w:pPr>
      <w:r>
        <w:rPr>
          <w:rFonts w:hint="eastAsia" w:ascii="宋体" w:hAnsi="宋体" w:cs="宋体"/>
          <w:sz w:val="24"/>
        </w:rPr>
        <w:t>以下无正文。</w:t>
      </w:r>
    </w:p>
    <w:p>
      <w:pPr>
        <w:snapToGrid w:val="0"/>
        <w:spacing w:before="120" w:line="360" w:lineRule="auto"/>
        <w:rPr>
          <w:rFonts w:ascii="宋体" w:hAnsi="宋体" w:cs="宋体"/>
          <w:sz w:val="24"/>
        </w:rPr>
      </w:pPr>
    </w:p>
    <w:tbl>
      <w:tblPr>
        <w:tblStyle w:val="47"/>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9"/>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jc w:val="center"/>
        </w:trPr>
        <w:tc>
          <w:tcPr>
            <w:tcW w:w="4359" w:type="dxa"/>
            <w:vAlign w:val="center"/>
          </w:tcPr>
          <w:p>
            <w:pPr>
              <w:snapToGrid w:val="0"/>
              <w:spacing w:before="120" w:line="360" w:lineRule="auto"/>
              <w:rPr>
                <w:rFonts w:ascii="宋体" w:hAnsi="宋体" w:cs="宋体"/>
                <w:sz w:val="24"/>
              </w:rPr>
            </w:pPr>
            <w:r>
              <w:rPr>
                <w:rFonts w:hint="eastAsia" w:ascii="宋体" w:hAnsi="宋体" w:cs="宋体"/>
                <w:sz w:val="24"/>
              </w:rPr>
              <w:t xml:space="preserve">甲方（章）           </w:t>
            </w:r>
          </w:p>
          <w:p>
            <w:pPr>
              <w:snapToGrid w:val="0"/>
              <w:spacing w:before="120" w:line="360" w:lineRule="auto"/>
              <w:rPr>
                <w:rFonts w:ascii="宋体" w:hAnsi="宋体" w:cs="宋体"/>
                <w:sz w:val="24"/>
              </w:rPr>
            </w:pPr>
            <w:r>
              <w:rPr>
                <w:rFonts w:hint="eastAsia" w:ascii="宋体" w:hAnsi="宋体" w:cs="宋体"/>
                <w:sz w:val="24"/>
              </w:rPr>
              <w:t>广西经贸职业技术学院</w:t>
            </w:r>
          </w:p>
          <w:p>
            <w:pPr>
              <w:snapToGrid w:val="0"/>
              <w:spacing w:before="120" w:line="360" w:lineRule="auto"/>
              <w:ind w:firstLine="1080" w:firstLineChars="450"/>
              <w:jc w:val="right"/>
              <w:rPr>
                <w:rFonts w:ascii="宋体" w:hAnsi="宋体" w:cs="宋体"/>
                <w:sz w:val="24"/>
              </w:rPr>
            </w:pPr>
            <w:r>
              <w:rPr>
                <w:rFonts w:hint="eastAsia" w:ascii="宋体" w:hAnsi="宋体" w:cs="宋体"/>
                <w:sz w:val="24"/>
              </w:rPr>
              <w:t>年   月   日</w:t>
            </w:r>
          </w:p>
        </w:tc>
        <w:tc>
          <w:tcPr>
            <w:tcW w:w="4360" w:type="dxa"/>
            <w:vAlign w:val="center"/>
          </w:tcPr>
          <w:p>
            <w:pPr>
              <w:snapToGrid w:val="0"/>
              <w:spacing w:before="120" w:line="360" w:lineRule="auto"/>
              <w:rPr>
                <w:rFonts w:ascii="宋体" w:hAnsi="宋体" w:cs="宋体"/>
                <w:sz w:val="24"/>
              </w:rPr>
            </w:pPr>
            <w:r>
              <w:rPr>
                <w:rFonts w:hint="eastAsia" w:ascii="宋体" w:hAnsi="宋体" w:cs="宋体"/>
                <w:sz w:val="24"/>
              </w:rPr>
              <w:t xml:space="preserve">乙方（章）            </w:t>
            </w:r>
          </w:p>
          <w:p>
            <w:pPr>
              <w:snapToGrid w:val="0"/>
              <w:spacing w:before="120" w:line="360" w:lineRule="auto"/>
              <w:rPr>
                <w:rFonts w:ascii="宋体" w:hAnsi="宋体" w:cs="宋体"/>
                <w:sz w:val="24"/>
              </w:rPr>
            </w:pPr>
            <w:r>
              <w:rPr>
                <w:rFonts w:hint="eastAsia" w:ascii="宋体" w:hAnsi="宋体" w:cs="宋体"/>
                <w:sz w:val="24"/>
              </w:rPr>
              <w:t xml:space="preserve"> </w:t>
            </w:r>
          </w:p>
          <w:p>
            <w:pPr>
              <w:snapToGrid w:val="0"/>
              <w:spacing w:before="120" w:line="360" w:lineRule="auto"/>
              <w:jc w:val="right"/>
              <w:rPr>
                <w:rFonts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4359" w:type="dxa"/>
            <w:vAlign w:val="center"/>
          </w:tcPr>
          <w:p>
            <w:pPr>
              <w:snapToGrid w:val="0"/>
              <w:spacing w:before="120" w:line="360" w:lineRule="auto"/>
              <w:rPr>
                <w:rFonts w:ascii="宋体" w:hAnsi="宋体" w:cs="宋体"/>
                <w:sz w:val="24"/>
              </w:rPr>
            </w:pPr>
            <w:r>
              <w:rPr>
                <w:rFonts w:hint="eastAsia" w:ascii="宋体" w:hAnsi="宋体" w:cs="宋体"/>
                <w:sz w:val="24"/>
              </w:rPr>
              <w:t>单位地址：</w:t>
            </w:r>
          </w:p>
        </w:tc>
        <w:tc>
          <w:tcPr>
            <w:tcW w:w="4360" w:type="dxa"/>
            <w:vAlign w:val="center"/>
          </w:tcPr>
          <w:p>
            <w:pPr>
              <w:widowControl/>
              <w:spacing w:before="120" w:after="100" w:line="360" w:lineRule="auto"/>
              <w:jc w:val="left"/>
              <w:rPr>
                <w:rFonts w:ascii="宋体" w:hAnsi="宋体" w:cs="宋体"/>
                <w:kern w:val="0"/>
                <w:sz w:val="24"/>
              </w:rPr>
            </w:pPr>
            <w:r>
              <w:rPr>
                <w:rFonts w:hint="eastAsia" w:ascii="宋体" w:hAnsi="宋体" w:cs="宋体"/>
                <w:kern w:val="0"/>
                <w:sz w:val="24"/>
              </w:rPr>
              <w:t xml:space="preserve">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4359" w:type="dxa"/>
            <w:vAlign w:val="center"/>
          </w:tcPr>
          <w:p>
            <w:pPr>
              <w:snapToGrid w:val="0"/>
              <w:spacing w:before="120" w:line="360" w:lineRule="auto"/>
              <w:rPr>
                <w:rFonts w:ascii="宋体" w:hAnsi="宋体" w:cs="宋体"/>
                <w:sz w:val="24"/>
              </w:rPr>
            </w:pPr>
            <w:r>
              <w:rPr>
                <w:rFonts w:hint="eastAsia" w:ascii="宋体" w:hAnsi="宋体" w:cs="宋体"/>
                <w:sz w:val="24"/>
              </w:rPr>
              <w:t>法定代表人或委托代理人</w:t>
            </w:r>
          </w:p>
          <w:p>
            <w:pPr>
              <w:snapToGrid w:val="0"/>
              <w:spacing w:before="120" w:line="360" w:lineRule="auto"/>
              <w:rPr>
                <w:rFonts w:ascii="宋体" w:hAnsi="宋体" w:cs="宋体"/>
                <w:sz w:val="24"/>
              </w:rPr>
            </w:pPr>
            <w:r>
              <w:rPr>
                <w:rFonts w:hint="eastAsia" w:ascii="宋体" w:hAnsi="宋体" w:cs="宋体"/>
                <w:sz w:val="24"/>
              </w:rPr>
              <w:t>（签字或盖章）：</w:t>
            </w:r>
          </w:p>
        </w:tc>
        <w:tc>
          <w:tcPr>
            <w:tcW w:w="4360" w:type="dxa"/>
            <w:vAlign w:val="center"/>
          </w:tcPr>
          <w:p>
            <w:pPr>
              <w:snapToGrid w:val="0"/>
              <w:spacing w:before="120" w:line="360" w:lineRule="auto"/>
              <w:rPr>
                <w:rFonts w:ascii="宋体" w:hAnsi="宋体" w:cs="宋体"/>
                <w:sz w:val="24"/>
              </w:rPr>
            </w:pPr>
            <w:r>
              <w:rPr>
                <w:rFonts w:hint="eastAsia" w:ascii="宋体" w:hAnsi="宋体" w:cs="宋体"/>
                <w:sz w:val="24"/>
              </w:rPr>
              <w:t>法定代表人或委托代理人</w:t>
            </w:r>
          </w:p>
          <w:p>
            <w:pPr>
              <w:snapToGrid w:val="0"/>
              <w:spacing w:before="120" w:line="360" w:lineRule="auto"/>
              <w:rPr>
                <w:rFonts w:ascii="宋体" w:hAnsi="宋体" w:cs="宋体"/>
                <w:sz w:val="24"/>
              </w:rPr>
            </w:pPr>
            <w:r>
              <w:rPr>
                <w:rFonts w:hint="eastAsia" w:ascii="宋体" w:hAnsi="宋体" w:cs="宋体"/>
                <w:sz w:val="24"/>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4359" w:type="dxa"/>
            <w:vAlign w:val="center"/>
          </w:tcPr>
          <w:p>
            <w:pPr>
              <w:snapToGrid w:val="0"/>
              <w:spacing w:before="120" w:line="360" w:lineRule="auto"/>
              <w:rPr>
                <w:rFonts w:ascii="宋体" w:hAnsi="宋体" w:cs="宋体"/>
                <w:sz w:val="24"/>
              </w:rPr>
            </w:pPr>
            <w:r>
              <w:rPr>
                <w:rFonts w:hint="eastAsia" w:ascii="宋体" w:hAnsi="宋体" w:cs="宋体"/>
                <w:sz w:val="24"/>
              </w:rPr>
              <w:t>电话：</w:t>
            </w:r>
          </w:p>
        </w:tc>
        <w:tc>
          <w:tcPr>
            <w:tcW w:w="4360" w:type="dxa"/>
            <w:vAlign w:val="center"/>
          </w:tcPr>
          <w:p>
            <w:pPr>
              <w:widowControl/>
              <w:spacing w:before="120" w:line="360" w:lineRule="auto"/>
              <w:jc w:val="left"/>
              <w:rPr>
                <w:rFonts w:ascii="宋体" w:hAnsi="宋体" w:cs="宋体"/>
                <w:kern w:val="0"/>
                <w:sz w:val="24"/>
              </w:rPr>
            </w:pPr>
            <w:r>
              <w:rPr>
                <w:rFonts w:hint="eastAsia" w:ascii="宋体" w:hAnsi="宋体" w:cs="宋体"/>
                <w:kern w:val="0"/>
                <w:sz w:val="24"/>
              </w:rPr>
              <w:t>电话：</w:t>
            </w:r>
            <w:r>
              <w:rPr>
                <w:rFonts w:hint="eastAsia" w:ascii="宋体" w:hAnsi="宋体" w:cs="宋体"/>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4359" w:type="dxa"/>
            <w:vAlign w:val="center"/>
          </w:tcPr>
          <w:p>
            <w:pPr>
              <w:snapToGrid w:val="0"/>
              <w:spacing w:before="120" w:line="360" w:lineRule="auto"/>
              <w:rPr>
                <w:rFonts w:ascii="宋体" w:hAnsi="宋体" w:cs="宋体"/>
                <w:kern w:val="0"/>
                <w:sz w:val="24"/>
              </w:rPr>
            </w:pPr>
            <w:r>
              <w:rPr>
                <w:rFonts w:hint="eastAsia" w:ascii="宋体" w:hAnsi="宋体" w:cs="宋体"/>
                <w:kern w:val="0"/>
                <w:sz w:val="24"/>
              </w:rPr>
              <w:t>电子邮箱：</w:t>
            </w:r>
          </w:p>
        </w:tc>
        <w:tc>
          <w:tcPr>
            <w:tcW w:w="4360" w:type="dxa"/>
            <w:vAlign w:val="center"/>
          </w:tcPr>
          <w:p>
            <w:pPr>
              <w:snapToGrid w:val="0"/>
              <w:spacing w:before="120" w:line="360" w:lineRule="auto"/>
              <w:rPr>
                <w:rFonts w:ascii="宋体" w:hAnsi="宋体" w:cs="宋体"/>
                <w:kern w:val="0"/>
                <w:sz w:val="24"/>
              </w:rPr>
            </w:pPr>
            <w:r>
              <w:rPr>
                <w:rFonts w:hint="eastAsia" w:ascii="宋体" w:hAnsi="宋体" w:cs="宋体"/>
                <w:kern w:val="0"/>
                <w:sz w:val="24"/>
              </w:rPr>
              <w:t xml:space="preserve">电子邮箱：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4359" w:type="dxa"/>
            <w:vAlign w:val="center"/>
          </w:tcPr>
          <w:p>
            <w:pPr>
              <w:snapToGrid w:val="0"/>
              <w:spacing w:before="120" w:line="360" w:lineRule="auto"/>
              <w:rPr>
                <w:rFonts w:ascii="宋体" w:hAnsi="宋体" w:cs="宋体"/>
                <w:kern w:val="0"/>
                <w:sz w:val="24"/>
              </w:rPr>
            </w:pPr>
            <w:r>
              <w:rPr>
                <w:rFonts w:hint="eastAsia" w:ascii="宋体" w:hAnsi="宋体" w:cs="宋体"/>
                <w:kern w:val="0"/>
                <w:sz w:val="24"/>
              </w:rPr>
              <w:t>开户银行：</w:t>
            </w:r>
            <w:r>
              <w:rPr>
                <w:rFonts w:hint="eastAsia" w:ascii="宋体" w:hAnsi="宋体"/>
                <w:sz w:val="24"/>
              </w:rPr>
              <w:t>中国建设银行南宁市青山路支行</w:t>
            </w:r>
          </w:p>
        </w:tc>
        <w:tc>
          <w:tcPr>
            <w:tcW w:w="4360" w:type="dxa"/>
            <w:vAlign w:val="center"/>
          </w:tcPr>
          <w:p>
            <w:pPr>
              <w:widowControl/>
              <w:spacing w:before="120" w:line="360" w:lineRule="auto"/>
              <w:jc w:val="left"/>
              <w:rPr>
                <w:rFonts w:ascii="宋体" w:hAnsi="宋体" w:cs="宋体"/>
                <w:kern w:val="0"/>
                <w:sz w:val="24"/>
              </w:rPr>
            </w:pPr>
            <w:r>
              <w:rPr>
                <w:rFonts w:hint="eastAsia" w:ascii="宋体" w:hAnsi="宋体" w:cs="宋体"/>
                <w:kern w:val="0"/>
                <w:sz w:val="24"/>
              </w:rPr>
              <w:t>开户银行：</w:t>
            </w:r>
            <w:r>
              <w:rPr>
                <w:rFonts w:hint="eastAsia" w:ascii="宋体" w:hAnsi="宋体" w:cs="宋体"/>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4359" w:type="dxa"/>
            <w:vAlign w:val="center"/>
          </w:tcPr>
          <w:p>
            <w:pPr>
              <w:widowControl/>
              <w:spacing w:before="120" w:after="100" w:line="360" w:lineRule="auto"/>
              <w:jc w:val="left"/>
              <w:rPr>
                <w:rFonts w:ascii="宋体" w:hAnsi="宋体" w:cs="宋体"/>
                <w:kern w:val="0"/>
                <w:sz w:val="24"/>
              </w:rPr>
            </w:pPr>
            <w:r>
              <w:rPr>
                <w:rFonts w:hint="eastAsia" w:ascii="宋体" w:hAnsi="宋体" w:cs="宋体"/>
                <w:kern w:val="0"/>
                <w:sz w:val="24"/>
              </w:rPr>
              <w:t>账号：</w:t>
            </w:r>
            <w:r>
              <w:rPr>
                <w:rFonts w:hint="eastAsia" w:ascii="宋体" w:hAnsi="宋体"/>
                <w:sz w:val="24"/>
              </w:rPr>
              <w:t>45001604556050701379</w:t>
            </w:r>
          </w:p>
        </w:tc>
        <w:tc>
          <w:tcPr>
            <w:tcW w:w="4360" w:type="dxa"/>
            <w:vAlign w:val="center"/>
          </w:tcPr>
          <w:p>
            <w:pPr>
              <w:widowControl/>
              <w:spacing w:before="120" w:line="360" w:lineRule="auto"/>
              <w:jc w:val="left"/>
              <w:rPr>
                <w:rFonts w:ascii="宋体" w:hAnsi="宋体" w:cs="宋体"/>
                <w:sz w:val="24"/>
              </w:rPr>
            </w:pPr>
            <w:r>
              <w:rPr>
                <w:rFonts w:hint="eastAsia" w:ascii="宋体" w:hAnsi="宋体" w:cs="宋体"/>
                <w:sz w:val="24"/>
              </w:rPr>
              <w:t>账号：</w:t>
            </w:r>
            <w:r>
              <w:rPr>
                <w:rFonts w:hint="eastAsia" w:ascii="宋体" w:hAnsi="宋体" w:cs="宋体"/>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4359" w:type="dxa"/>
            <w:vAlign w:val="center"/>
          </w:tcPr>
          <w:p>
            <w:pPr>
              <w:widowControl/>
              <w:spacing w:before="120" w:after="100" w:line="360" w:lineRule="auto"/>
              <w:jc w:val="left"/>
              <w:rPr>
                <w:rFonts w:ascii="宋体" w:hAnsi="宋体" w:cs="宋体"/>
                <w:kern w:val="0"/>
                <w:sz w:val="24"/>
              </w:rPr>
            </w:pPr>
            <w:r>
              <w:rPr>
                <w:rFonts w:hint="eastAsia" w:ascii="宋体" w:hAnsi="宋体"/>
                <w:sz w:val="24"/>
              </w:rPr>
              <w:t>统一社会信用代码：12450000498506411W</w:t>
            </w:r>
          </w:p>
        </w:tc>
        <w:tc>
          <w:tcPr>
            <w:tcW w:w="4360" w:type="dxa"/>
            <w:vAlign w:val="center"/>
          </w:tcPr>
          <w:p>
            <w:pPr>
              <w:widowControl/>
              <w:spacing w:before="120" w:line="360" w:lineRule="auto"/>
              <w:jc w:val="left"/>
              <w:rPr>
                <w:rFonts w:ascii="宋体" w:hAnsi="宋体" w:cs="宋体"/>
                <w:sz w:val="24"/>
              </w:rPr>
            </w:pPr>
            <w:r>
              <w:rPr>
                <w:rFonts w:hint="eastAsia" w:ascii="宋体" w:hAnsi="宋体"/>
                <w:sz w:val="24"/>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4359" w:type="dxa"/>
            <w:vAlign w:val="center"/>
          </w:tcPr>
          <w:p>
            <w:pPr>
              <w:widowControl/>
              <w:spacing w:before="120" w:after="100" w:line="360" w:lineRule="auto"/>
              <w:jc w:val="left"/>
              <w:rPr>
                <w:rFonts w:ascii="宋体" w:hAnsi="宋体" w:cs="宋体"/>
                <w:kern w:val="0"/>
                <w:sz w:val="24"/>
              </w:rPr>
            </w:pPr>
            <w:r>
              <w:rPr>
                <w:rFonts w:hint="eastAsia" w:ascii="宋体" w:hAnsi="宋体" w:cs="宋体"/>
                <w:kern w:val="0"/>
                <w:sz w:val="24"/>
              </w:rPr>
              <w:t>邮政编码：5</w:t>
            </w:r>
            <w:r>
              <w:rPr>
                <w:rFonts w:ascii="宋体" w:hAnsi="宋体" w:cs="宋体"/>
                <w:kern w:val="0"/>
                <w:sz w:val="24"/>
              </w:rPr>
              <w:t>30021</w:t>
            </w:r>
          </w:p>
        </w:tc>
        <w:tc>
          <w:tcPr>
            <w:tcW w:w="4360" w:type="dxa"/>
            <w:vAlign w:val="center"/>
          </w:tcPr>
          <w:p>
            <w:pPr>
              <w:widowControl/>
              <w:spacing w:before="120" w:line="360" w:lineRule="auto"/>
              <w:jc w:val="left"/>
              <w:rPr>
                <w:rFonts w:ascii="宋体" w:hAnsi="宋体" w:cs="宋体"/>
                <w:kern w:val="0"/>
                <w:sz w:val="24"/>
              </w:rPr>
            </w:pPr>
            <w:r>
              <w:rPr>
                <w:rFonts w:hint="eastAsia" w:ascii="宋体" w:hAnsi="宋体" w:cs="宋体"/>
                <w:kern w:val="0"/>
                <w:sz w:val="24"/>
              </w:rPr>
              <w:t>邮政编码：</w:t>
            </w:r>
            <w:r>
              <w:rPr>
                <w:rFonts w:hint="eastAsia" w:ascii="宋体" w:hAnsi="宋体" w:cs="宋体"/>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4359" w:type="dxa"/>
            <w:vAlign w:val="center"/>
          </w:tcPr>
          <w:p>
            <w:pPr>
              <w:widowControl/>
              <w:spacing w:before="120" w:after="100" w:line="360" w:lineRule="auto"/>
              <w:jc w:val="left"/>
              <w:rPr>
                <w:rFonts w:ascii="宋体" w:hAnsi="宋体" w:cs="宋体"/>
                <w:kern w:val="0"/>
                <w:sz w:val="24"/>
              </w:rPr>
            </w:pPr>
            <w:r>
              <w:rPr>
                <w:rFonts w:hint="eastAsia" w:ascii="宋体" w:hAnsi="宋体"/>
                <w:sz w:val="24"/>
              </w:rPr>
              <w:t>经办人：</w:t>
            </w:r>
          </w:p>
        </w:tc>
        <w:tc>
          <w:tcPr>
            <w:tcW w:w="4360" w:type="dxa"/>
            <w:vAlign w:val="center"/>
          </w:tcPr>
          <w:p>
            <w:pPr>
              <w:widowControl/>
              <w:spacing w:before="120" w:line="360" w:lineRule="auto"/>
              <w:jc w:val="left"/>
              <w:rPr>
                <w:rFonts w:ascii="宋体" w:hAnsi="宋体" w:cs="宋体"/>
                <w:kern w:val="0"/>
                <w:sz w:val="24"/>
              </w:rPr>
            </w:pPr>
            <w:r>
              <w:rPr>
                <w:rFonts w:hint="eastAsia" w:ascii="宋体" w:hAnsi="宋体"/>
                <w:sz w:val="24"/>
              </w:rPr>
              <w:t>经办人：</w:t>
            </w:r>
          </w:p>
        </w:tc>
      </w:tr>
    </w:tbl>
    <w:p>
      <w:pPr>
        <w:spacing w:before="120" w:line="460" w:lineRule="exact"/>
        <w:ind w:firstLine="480"/>
        <w:rPr>
          <w:rFonts w:ascii="宋体" w:hAnsi="宋体" w:cs="宋体"/>
          <w:b/>
          <w:bCs/>
          <w:kern w:val="0"/>
          <w:sz w:val="24"/>
        </w:rPr>
      </w:pPr>
      <w:r>
        <w:rPr>
          <w:rFonts w:hint="eastAsia" w:ascii="宋体" w:hAnsi="宋体" w:cs="宋体"/>
          <w:b/>
          <w:bCs/>
          <w:kern w:val="0"/>
          <w:sz w:val="24"/>
        </w:rPr>
        <w:br w:type="page"/>
      </w:r>
    </w:p>
    <w:p>
      <w:pPr>
        <w:snapToGrid w:val="0"/>
        <w:spacing w:line="360" w:lineRule="exact"/>
        <w:jc w:val="center"/>
        <w:rPr>
          <w:rFonts w:ascii="宋体"/>
          <w:b/>
          <w:sz w:val="28"/>
          <w:szCs w:val="28"/>
        </w:rPr>
      </w:pPr>
      <w:r>
        <w:rPr>
          <w:rFonts w:hint="eastAsia" w:ascii="宋体"/>
          <w:b/>
          <w:sz w:val="28"/>
          <w:szCs w:val="28"/>
        </w:rPr>
        <w:t>合 同 附 件</w:t>
      </w:r>
    </w:p>
    <w:p>
      <w:pPr>
        <w:snapToGrid w:val="0"/>
        <w:spacing w:line="360" w:lineRule="exact"/>
        <w:jc w:val="center"/>
        <w:rPr>
          <w:rFonts w:ascii="宋体"/>
          <w:b/>
          <w:szCs w:val="21"/>
        </w:rPr>
      </w:pPr>
    </w:p>
    <w:tbl>
      <w:tblPr>
        <w:tblStyle w:val="47"/>
        <w:tblW w:w="0" w:type="auto"/>
        <w:tblInd w:w="0" w:type="dxa"/>
        <w:tblLayout w:type="fixed"/>
        <w:tblCellMar>
          <w:top w:w="0" w:type="dxa"/>
          <w:left w:w="108" w:type="dxa"/>
          <w:bottom w:w="0" w:type="dxa"/>
          <w:right w:w="108" w:type="dxa"/>
        </w:tblCellMar>
      </w:tblPr>
      <w:tblGrid>
        <w:gridCol w:w="4788"/>
        <w:gridCol w:w="4680"/>
      </w:tblGrid>
      <w:tr>
        <w:tblPrEx>
          <w:tblCellMar>
            <w:top w:w="0" w:type="dxa"/>
            <w:left w:w="108" w:type="dxa"/>
            <w:bottom w:w="0" w:type="dxa"/>
            <w:right w:w="108" w:type="dxa"/>
          </w:tblCellMar>
        </w:tblPrEx>
        <w:trPr>
          <w:trHeight w:val="2260"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szCs w:val="21"/>
              </w:rPr>
            </w:pPr>
            <w:r>
              <w:rPr>
                <w:rFonts w:hint="eastAsia" w:ascii="宋体"/>
                <w:b/>
                <w:szCs w:val="21"/>
              </w:rPr>
              <w:t>1、供应商承诺具体事项：</w:t>
            </w:r>
          </w:p>
        </w:tc>
      </w:tr>
      <w:tr>
        <w:tblPrEx>
          <w:tblCellMar>
            <w:top w:w="0" w:type="dxa"/>
            <w:left w:w="108" w:type="dxa"/>
            <w:bottom w:w="0" w:type="dxa"/>
            <w:right w:w="108" w:type="dxa"/>
          </w:tblCellMar>
        </w:tblPrEx>
        <w:trPr>
          <w:trHeight w:val="2145"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szCs w:val="21"/>
              </w:rPr>
            </w:pPr>
            <w:r>
              <w:rPr>
                <w:rFonts w:hint="eastAsia" w:ascii="宋体"/>
                <w:b/>
                <w:szCs w:val="21"/>
              </w:rPr>
              <w:t>2、售后服务具体事项：</w:t>
            </w:r>
          </w:p>
        </w:tc>
      </w:tr>
      <w:tr>
        <w:tblPrEx>
          <w:tblCellMar>
            <w:top w:w="0" w:type="dxa"/>
            <w:left w:w="108" w:type="dxa"/>
            <w:bottom w:w="0" w:type="dxa"/>
            <w:right w:w="108" w:type="dxa"/>
          </w:tblCellMar>
        </w:tblPrEx>
        <w:trPr>
          <w:trHeight w:val="2267"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szCs w:val="21"/>
              </w:rPr>
            </w:pPr>
            <w:r>
              <w:rPr>
                <w:rFonts w:hint="eastAsia" w:ascii="宋体"/>
                <w:b/>
                <w:szCs w:val="21"/>
              </w:rPr>
              <w:t>3、保修期责任：</w:t>
            </w:r>
          </w:p>
        </w:tc>
      </w:tr>
      <w:tr>
        <w:tblPrEx>
          <w:tblCellMar>
            <w:top w:w="0" w:type="dxa"/>
            <w:left w:w="108" w:type="dxa"/>
            <w:bottom w:w="0" w:type="dxa"/>
            <w:right w:w="108" w:type="dxa"/>
          </w:tblCellMar>
        </w:tblPrEx>
        <w:trPr>
          <w:trHeight w:val="2062"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szCs w:val="21"/>
              </w:rPr>
            </w:pPr>
            <w:r>
              <w:rPr>
                <w:rFonts w:hint="eastAsia" w:ascii="宋体"/>
                <w:b/>
                <w:szCs w:val="21"/>
              </w:rPr>
              <w:t>4、其他具体事项：</w:t>
            </w:r>
          </w:p>
        </w:tc>
      </w:tr>
      <w:tr>
        <w:tblPrEx>
          <w:tblCellMar>
            <w:top w:w="0" w:type="dxa"/>
            <w:left w:w="108" w:type="dxa"/>
            <w:bottom w:w="0" w:type="dxa"/>
            <w:right w:w="108" w:type="dxa"/>
          </w:tblCellMar>
        </w:tblPrEx>
        <w:trPr>
          <w:trHeight w:val="3267" w:hRule="atLeast"/>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0"/>
              <w:rPr>
                <w:rFonts w:ascii="宋体"/>
                <w:b/>
                <w:szCs w:val="21"/>
              </w:rPr>
            </w:pPr>
            <w:r>
              <w:rPr>
                <w:rFonts w:hint="eastAsia" w:ascii="宋体"/>
                <w:b/>
                <w:szCs w:val="21"/>
              </w:rPr>
              <w:t>甲方（章）</w:t>
            </w: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r>
              <w:rPr>
                <w:rFonts w:hint="eastAsia" w:ascii="宋体"/>
                <w:b/>
                <w:szCs w:val="21"/>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0"/>
              <w:rPr>
                <w:rFonts w:ascii="宋体"/>
                <w:b/>
                <w:szCs w:val="21"/>
              </w:rPr>
            </w:pPr>
            <w:r>
              <w:rPr>
                <w:rFonts w:hint="eastAsia" w:ascii="宋体"/>
                <w:b/>
                <w:szCs w:val="21"/>
              </w:rPr>
              <w:t>乙方（章）</w:t>
            </w: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p>
          <w:p>
            <w:pPr>
              <w:snapToGrid w:val="0"/>
              <w:spacing w:line="360" w:lineRule="exact"/>
              <w:ind w:firstLine="422" w:firstLineChars="200"/>
              <w:rPr>
                <w:rFonts w:ascii="宋体"/>
                <w:b/>
                <w:szCs w:val="21"/>
              </w:rPr>
            </w:pPr>
            <w:r>
              <w:rPr>
                <w:rFonts w:hint="eastAsia" w:ascii="宋体"/>
                <w:b/>
                <w:szCs w:val="21"/>
              </w:rPr>
              <w:t xml:space="preserve">                       年   月   日</w:t>
            </w:r>
          </w:p>
        </w:tc>
      </w:tr>
    </w:tbl>
    <w:p>
      <w:pPr>
        <w:snapToGrid w:val="0"/>
        <w:spacing w:line="360" w:lineRule="exact"/>
        <w:rPr>
          <w:rFonts w:ascii="宋体"/>
          <w:szCs w:val="21"/>
        </w:rPr>
      </w:pPr>
      <w:r>
        <w:rPr>
          <w:rFonts w:hint="eastAsia" w:ascii="宋体"/>
          <w:szCs w:val="21"/>
        </w:rPr>
        <w:t xml:space="preserve">  注：售后服务事项填不下时可另加附页</w:t>
      </w:r>
    </w:p>
    <w:p>
      <w:pPr>
        <w:pStyle w:val="25"/>
        <w:snapToGrid w:val="0"/>
        <w:spacing w:before="120" w:after="120"/>
        <w:jc w:val="center"/>
        <w:outlineLvl w:val="0"/>
        <w:rPr>
          <w:rFonts w:ascii="黑体" w:hAnsi="宋体" w:eastAsia="黑体"/>
          <w:b/>
          <w:sz w:val="44"/>
          <w:szCs w:val="44"/>
        </w:rPr>
      </w:pPr>
    </w:p>
    <w:p>
      <w:pPr>
        <w:spacing w:line="720" w:lineRule="auto"/>
        <w:jc w:val="left"/>
        <w:rPr>
          <w:rFonts w:hAnsi="宋体"/>
        </w:rPr>
      </w:pPr>
      <w:r>
        <w:rPr>
          <w:rFonts w:ascii="黑体" w:hAnsi="宋体" w:eastAsia="黑体"/>
          <w:b/>
          <w:sz w:val="44"/>
          <w:szCs w:val="44"/>
        </w:rPr>
        <w:br w:type="page"/>
      </w:r>
      <w:r>
        <w:rPr>
          <w:rFonts w:hint="eastAsia" w:ascii="宋体" w:hAnsi="宋体"/>
          <w:b/>
        </w:rPr>
        <w:t>附件I：</w:t>
      </w:r>
    </w:p>
    <w:p>
      <w:pPr>
        <w:widowControl/>
        <w:jc w:val="center"/>
        <w:rPr>
          <w:rFonts w:ascii="宋体" w:hAnsi="宋体" w:cs="@方正仿宋简体"/>
          <w:b/>
          <w:bCs/>
          <w:kern w:val="0"/>
          <w:sz w:val="32"/>
          <w:szCs w:val="32"/>
        </w:rPr>
      </w:pPr>
      <w:r>
        <w:rPr>
          <w:rFonts w:hint="eastAsia" w:ascii="宋体" w:hAnsi="宋体" w:cs="@方正仿宋简体"/>
          <w:b/>
          <w:bCs/>
          <w:kern w:val="0"/>
          <w:sz w:val="32"/>
          <w:szCs w:val="32"/>
        </w:rPr>
        <w:t>采购项目合同验收报告（格式）</w:t>
      </w:r>
    </w:p>
    <w:p>
      <w:pPr>
        <w:widowControl/>
        <w:snapToGrid w:val="0"/>
        <w:spacing w:line="360" w:lineRule="auto"/>
        <w:jc w:val="left"/>
        <w:rPr>
          <w:rFonts w:ascii="宋体" w:hAnsi="宋体" w:cs="@方正仿宋简体"/>
          <w:kern w:val="0"/>
          <w:szCs w:val="21"/>
        </w:rPr>
      </w:pPr>
      <w:r>
        <w:rPr>
          <w:rFonts w:hint="eastAsia" w:ascii="宋体" w:hAnsi="宋体" w:cs="@方正仿宋简体"/>
          <w:kern w:val="0"/>
          <w:szCs w:val="21"/>
        </w:rPr>
        <w:t xml:space="preserve">    根据采购合同（采购合同编号：</w:t>
      </w:r>
      <w:r>
        <w:rPr>
          <w:rFonts w:hint="eastAsia" w:ascii="宋体" w:hAnsi="宋体" w:cs="@方正仿宋简体"/>
          <w:kern w:val="0"/>
          <w:szCs w:val="21"/>
          <w:u w:val="single"/>
        </w:rPr>
        <w:softHyphen/>
      </w:r>
      <w:r>
        <w:rPr>
          <w:rFonts w:hint="eastAsia" w:ascii="宋体" w:hAnsi="宋体" w:cs="@方正仿宋简体"/>
          <w:kern w:val="0"/>
          <w:szCs w:val="21"/>
          <w:u w:val="single"/>
        </w:rPr>
        <w:t xml:space="preserve">                </w:t>
      </w:r>
      <w:r>
        <w:rPr>
          <w:rFonts w:hint="eastAsia" w:ascii="宋体" w:hAnsi="宋体" w:cs="@方正仿宋简体"/>
          <w:kern w:val="0"/>
          <w:szCs w:val="21"/>
        </w:rPr>
        <w:t>）的约定，我单位对</w:t>
      </w:r>
      <w:r>
        <w:rPr>
          <w:rFonts w:hint="eastAsia" w:ascii="宋体" w:hAnsi="宋体" w:cs="@方正仿宋简体"/>
          <w:kern w:val="0"/>
          <w:szCs w:val="21"/>
          <w:u w:val="single"/>
        </w:rPr>
        <w:t xml:space="preserve">（采购项目名称）       </w:t>
      </w:r>
      <w:r>
        <w:rPr>
          <w:rFonts w:hint="eastAsia" w:ascii="宋体" w:hAnsi="宋体" w:cs="@方正仿宋简体"/>
          <w:kern w:val="0"/>
          <w:szCs w:val="21"/>
        </w:rPr>
        <w:t>采购项目</w:t>
      </w:r>
      <w:r>
        <w:rPr>
          <w:rFonts w:hint="eastAsia" w:ascii="宋体" w:hAnsi="宋体" w:cs="@方正仿宋简体"/>
          <w:kern w:val="0"/>
          <w:szCs w:val="21"/>
          <w:u w:val="single"/>
        </w:rPr>
        <w:t xml:space="preserve">     </w:t>
      </w:r>
      <w:r>
        <w:rPr>
          <w:rFonts w:hint="eastAsia" w:ascii="宋体" w:hAnsi="宋体" w:cs="@方正仿宋简体"/>
          <w:kern w:val="0"/>
          <w:szCs w:val="21"/>
        </w:rPr>
        <w:t>分标中标（或成交）供应商</w:t>
      </w:r>
      <w:r>
        <w:rPr>
          <w:rFonts w:hint="eastAsia" w:ascii="宋体" w:hAnsi="宋体" w:cs="@方正仿宋简体"/>
          <w:kern w:val="0"/>
          <w:szCs w:val="21"/>
          <w:u w:val="single"/>
        </w:rPr>
        <w:t xml:space="preserve">    （公司名称）    </w:t>
      </w:r>
      <w:r>
        <w:rPr>
          <w:rFonts w:hint="eastAsia" w:ascii="宋体" w:hAnsi="宋体" w:cs="@方正仿宋简体"/>
          <w:kern w:val="0"/>
          <w:szCs w:val="21"/>
        </w:rPr>
        <w:t>提供的货物（或服务）进行了验收，验收情况如下：</w:t>
      </w:r>
    </w:p>
    <w:tbl>
      <w:tblPr>
        <w:tblStyle w:val="4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9"/>
        <w:gridCol w:w="741"/>
        <w:gridCol w:w="1951"/>
        <w:gridCol w:w="1272"/>
        <w:gridCol w:w="1813"/>
        <w:gridCol w:w="13"/>
        <w:gridCol w:w="843"/>
        <w:gridCol w:w="889"/>
        <w:gridCol w:w="12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1" w:hRule="atLeast"/>
          <w:jc w:val="center"/>
        </w:trPr>
        <w:tc>
          <w:tcPr>
            <w:tcW w:w="589" w:type="dxa"/>
            <w:tcBorders>
              <w:top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2692" w:type="dxa"/>
            <w:gridSpan w:val="2"/>
            <w:tcBorders>
              <w:top w:val="single" w:color="auto" w:sz="4" w:space="0"/>
              <w:left w:val="single" w:color="auto" w:sz="4" w:space="0"/>
            </w:tcBorders>
            <w:vAlign w:val="center"/>
          </w:tcPr>
          <w:p>
            <w:pPr>
              <w:jc w:val="center"/>
              <w:rPr>
                <w:rFonts w:ascii="宋体" w:hAnsi="宋体" w:cs="宋体"/>
                <w:szCs w:val="21"/>
              </w:rPr>
            </w:pPr>
            <w:r>
              <w:rPr>
                <w:rFonts w:hint="eastAsia" w:ascii="宋体" w:hAnsi="宋体" w:cs="宋体"/>
                <w:szCs w:val="21"/>
              </w:rPr>
              <w:t>名    称</w:t>
            </w:r>
          </w:p>
        </w:tc>
        <w:tc>
          <w:tcPr>
            <w:tcW w:w="3085" w:type="dxa"/>
            <w:gridSpan w:val="2"/>
            <w:vAlign w:val="center"/>
          </w:tcPr>
          <w:p>
            <w:pPr>
              <w:jc w:val="center"/>
              <w:rPr>
                <w:rFonts w:ascii="宋体" w:hAnsi="宋体" w:cs="宋体"/>
                <w:szCs w:val="21"/>
              </w:rPr>
            </w:pPr>
            <w:r>
              <w:rPr>
                <w:rFonts w:hint="eastAsia" w:ascii="宋体" w:hAnsi="宋体" w:cs="宋体"/>
                <w:szCs w:val="21"/>
              </w:rPr>
              <w:t>货物型号规格、标准及配置</w:t>
            </w:r>
          </w:p>
          <w:p>
            <w:pPr>
              <w:jc w:val="center"/>
              <w:rPr>
                <w:rFonts w:ascii="宋体" w:hAnsi="宋体" w:cs="宋体"/>
                <w:szCs w:val="21"/>
              </w:rPr>
            </w:pPr>
            <w:r>
              <w:rPr>
                <w:rFonts w:hint="eastAsia" w:ascii="宋体" w:hAnsi="宋体" w:cs="宋体"/>
                <w:szCs w:val="21"/>
              </w:rPr>
              <w:t>（或服务内容、标准）</w:t>
            </w:r>
          </w:p>
        </w:tc>
        <w:tc>
          <w:tcPr>
            <w:tcW w:w="856" w:type="dxa"/>
            <w:gridSpan w:val="2"/>
            <w:vAlign w:val="center"/>
          </w:tcPr>
          <w:p>
            <w:pPr>
              <w:jc w:val="center"/>
              <w:rPr>
                <w:rFonts w:ascii="宋体" w:hAnsi="宋体" w:cs="宋体"/>
                <w:szCs w:val="21"/>
              </w:rPr>
            </w:pPr>
            <w:r>
              <w:rPr>
                <w:rFonts w:hint="eastAsia" w:ascii="宋体" w:hAnsi="宋体" w:cs="宋体"/>
                <w:szCs w:val="21"/>
              </w:rPr>
              <w:t>数量</w:t>
            </w:r>
          </w:p>
        </w:tc>
        <w:tc>
          <w:tcPr>
            <w:tcW w:w="889" w:type="dxa"/>
            <w:tcBorders>
              <w:right w:val="single" w:color="auto" w:sz="4" w:space="0"/>
            </w:tcBorders>
            <w:vAlign w:val="center"/>
          </w:tcPr>
          <w:p>
            <w:pPr>
              <w:jc w:val="center"/>
              <w:rPr>
                <w:rFonts w:ascii="宋体" w:hAnsi="宋体" w:cs="宋体"/>
                <w:szCs w:val="21"/>
              </w:rPr>
            </w:pPr>
            <w:r>
              <w:rPr>
                <w:rFonts w:hint="eastAsia" w:ascii="宋体" w:hAnsi="宋体" w:cs="宋体"/>
                <w:szCs w:val="21"/>
              </w:rPr>
              <w:t>金额</w:t>
            </w:r>
          </w:p>
        </w:tc>
        <w:tc>
          <w:tcPr>
            <w:tcW w:w="1290" w:type="dxa"/>
            <w:tcBorders>
              <w:left w:val="single" w:color="auto" w:sz="4" w:space="0"/>
            </w:tcBorders>
            <w:vAlign w:val="center"/>
          </w:tcPr>
          <w:p>
            <w:pPr>
              <w:jc w:val="center"/>
              <w:rPr>
                <w:rFonts w:ascii="宋体" w:hAnsi="宋体" w:cs="宋体"/>
                <w:szCs w:val="21"/>
              </w:rPr>
            </w:pPr>
            <w:r>
              <w:rPr>
                <w:rFonts w:hint="eastAsia" w:ascii="宋体" w:hAnsi="宋体" w:cs="宋体"/>
                <w:szCs w:val="21"/>
              </w:rPr>
              <w:t>与合同约定</w:t>
            </w:r>
          </w:p>
          <w:p>
            <w:pPr>
              <w:jc w:val="center"/>
              <w:rPr>
                <w:rFonts w:ascii="宋体" w:hAnsi="宋体" w:cs="宋体"/>
                <w:szCs w:val="21"/>
              </w:rPr>
            </w:pPr>
            <w:r>
              <w:rPr>
                <w:rFonts w:hint="eastAsia" w:ascii="宋体" w:hAnsi="宋体" w:cs="宋体"/>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 </w:t>
            </w:r>
          </w:p>
        </w:tc>
        <w:tc>
          <w:tcPr>
            <w:tcW w:w="3085" w:type="dxa"/>
            <w:gridSpan w:val="2"/>
            <w:vAlign w:val="center"/>
          </w:tcPr>
          <w:p>
            <w:pPr>
              <w:rPr>
                <w:rFonts w:ascii="宋体" w:hAnsi="宋体" w:cs="宋体"/>
                <w:szCs w:val="21"/>
              </w:rPr>
            </w:pPr>
            <w:r>
              <w:rPr>
                <w:rFonts w:hint="eastAsia" w:ascii="宋体" w:hAnsi="宋体" w:cs="宋体"/>
                <w:szCs w:val="21"/>
              </w:rPr>
              <w:t> </w:t>
            </w:r>
          </w:p>
        </w:tc>
        <w:tc>
          <w:tcPr>
            <w:tcW w:w="856" w:type="dxa"/>
            <w:gridSpan w:val="2"/>
            <w:vAlign w:val="center"/>
          </w:tcPr>
          <w:p>
            <w:pPr>
              <w:rPr>
                <w:rFonts w:ascii="宋体" w:hAnsi="宋体" w:cs="宋体"/>
                <w:szCs w:val="21"/>
              </w:rPr>
            </w:pPr>
            <w:r>
              <w:rPr>
                <w:rFonts w:hint="eastAsia" w:ascii="宋体" w:hAnsi="宋体" w:cs="宋体"/>
                <w:szCs w:val="21"/>
              </w:rPr>
              <w:t> </w:t>
            </w:r>
          </w:p>
        </w:tc>
        <w:tc>
          <w:tcPr>
            <w:tcW w:w="889" w:type="dxa"/>
            <w:tcBorders>
              <w:right w:val="single" w:color="auto" w:sz="4" w:space="0"/>
            </w:tcBorders>
            <w:vAlign w:val="center"/>
          </w:tcPr>
          <w:p>
            <w:pPr>
              <w:rPr>
                <w:rFonts w:ascii="宋体" w:hAnsi="宋体" w:cs="宋体"/>
                <w:szCs w:val="21"/>
              </w:rPr>
            </w:pPr>
            <w:r>
              <w:rPr>
                <w:rFonts w:hint="eastAsia" w:ascii="宋体" w:hAnsi="宋体" w:cs="宋体"/>
                <w:szCs w:val="21"/>
              </w:rPr>
              <w:t> </w:t>
            </w: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 </w:t>
            </w:r>
          </w:p>
        </w:tc>
        <w:tc>
          <w:tcPr>
            <w:tcW w:w="3085" w:type="dxa"/>
            <w:gridSpan w:val="2"/>
            <w:vAlign w:val="center"/>
          </w:tcPr>
          <w:p>
            <w:pPr>
              <w:rPr>
                <w:rFonts w:ascii="宋体" w:hAnsi="宋体" w:cs="宋体"/>
                <w:szCs w:val="21"/>
              </w:rPr>
            </w:pPr>
            <w:r>
              <w:rPr>
                <w:rFonts w:hint="eastAsia" w:ascii="宋体" w:hAnsi="宋体" w:cs="宋体"/>
                <w:szCs w:val="21"/>
              </w:rPr>
              <w:t> </w:t>
            </w:r>
          </w:p>
        </w:tc>
        <w:tc>
          <w:tcPr>
            <w:tcW w:w="856" w:type="dxa"/>
            <w:gridSpan w:val="2"/>
            <w:vAlign w:val="center"/>
          </w:tcPr>
          <w:p>
            <w:pPr>
              <w:rPr>
                <w:rFonts w:ascii="宋体" w:hAnsi="宋体" w:cs="宋体"/>
                <w:szCs w:val="21"/>
              </w:rPr>
            </w:pPr>
            <w:r>
              <w:rPr>
                <w:rFonts w:hint="eastAsia" w:ascii="宋体" w:hAnsi="宋体" w:cs="宋体"/>
                <w:szCs w:val="21"/>
              </w:rPr>
              <w:t> </w:t>
            </w:r>
          </w:p>
        </w:tc>
        <w:tc>
          <w:tcPr>
            <w:tcW w:w="889" w:type="dxa"/>
            <w:tcBorders>
              <w:right w:val="single" w:color="auto" w:sz="4" w:space="0"/>
            </w:tcBorders>
            <w:vAlign w:val="center"/>
          </w:tcPr>
          <w:p>
            <w:pPr>
              <w:rPr>
                <w:rFonts w:ascii="宋体" w:hAnsi="宋体" w:cs="宋体"/>
                <w:szCs w:val="21"/>
              </w:rPr>
            </w:pPr>
            <w:r>
              <w:rPr>
                <w:rFonts w:hint="eastAsia" w:ascii="宋体" w:hAnsi="宋体" w:cs="宋体"/>
                <w:szCs w:val="21"/>
              </w:rPr>
              <w:t> </w:t>
            </w: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 </w:t>
            </w:r>
          </w:p>
        </w:tc>
        <w:tc>
          <w:tcPr>
            <w:tcW w:w="3085" w:type="dxa"/>
            <w:gridSpan w:val="2"/>
            <w:vAlign w:val="center"/>
          </w:tcPr>
          <w:p>
            <w:pPr>
              <w:rPr>
                <w:rFonts w:ascii="宋体" w:hAnsi="宋体" w:cs="宋体"/>
                <w:szCs w:val="21"/>
              </w:rPr>
            </w:pPr>
            <w:r>
              <w:rPr>
                <w:rFonts w:hint="eastAsia" w:ascii="宋体" w:hAnsi="宋体" w:cs="宋体"/>
                <w:szCs w:val="21"/>
              </w:rPr>
              <w:t> </w:t>
            </w:r>
          </w:p>
        </w:tc>
        <w:tc>
          <w:tcPr>
            <w:tcW w:w="856" w:type="dxa"/>
            <w:gridSpan w:val="2"/>
            <w:vAlign w:val="center"/>
          </w:tcPr>
          <w:p>
            <w:pPr>
              <w:rPr>
                <w:rFonts w:ascii="宋体" w:hAnsi="宋体" w:cs="宋体"/>
                <w:szCs w:val="21"/>
              </w:rPr>
            </w:pPr>
            <w:r>
              <w:rPr>
                <w:rFonts w:hint="eastAsia" w:ascii="宋体" w:hAnsi="宋体" w:cs="宋体"/>
                <w:szCs w:val="21"/>
              </w:rPr>
              <w:t> </w:t>
            </w:r>
          </w:p>
        </w:tc>
        <w:tc>
          <w:tcPr>
            <w:tcW w:w="889" w:type="dxa"/>
            <w:tcBorders>
              <w:right w:val="single" w:color="auto" w:sz="4" w:space="0"/>
            </w:tcBorders>
            <w:vAlign w:val="center"/>
          </w:tcPr>
          <w:p>
            <w:pPr>
              <w:rPr>
                <w:rFonts w:ascii="宋体" w:hAnsi="宋体" w:cs="宋体"/>
                <w:szCs w:val="21"/>
              </w:rPr>
            </w:pPr>
            <w:r>
              <w:rPr>
                <w:rFonts w:hint="eastAsia" w:ascii="宋体" w:hAnsi="宋体" w:cs="宋体"/>
                <w:szCs w:val="21"/>
              </w:rPr>
              <w:t> </w:t>
            </w: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r>
              <w:rPr>
                <w:rFonts w:hint="eastAsia" w:ascii="宋体" w:hAnsi="宋体" w:cs="宋体"/>
                <w:szCs w:val="21"/>
              </w:rPr>
              <w:t> </w:t>
            </w:r>
          </w:p>
        </w:tc>
        <w:tc>
          <w:tcPr>
            <w:tcW w:w="3085" w:type="dxa"/>
            <w:gridSpan w:val="2"/>
            <w:vAlign w:val="center"/>
          </w:tcPr>
          <w:p>
            <w:pPr>
              <w:rPr>
                <w:rFonts w:ascii="宋体" w:hAnsi="宋体" w:cs="宋体"/>
                <w:szCs w:val="21"/>
              </w:rPr>
            </w:pPr>
            <w:r>
              <w:rPr>
                <w:rFonts w:hint="eastAsia" w:ascii="宋体" w:hAnsi="宋体" w:cs="宋体"/>
                <w:szCs w:val="21"/>
              </w:rPr>
              <w:t> </w:t>
            </w:r>
          </w:p>
        </w:tc>
        <w:tc>
          <w:tcPr>
            <w:tcW w:w="856" w:type="dxa"/>
            <w:gridSpan w:val="2"/>
            <w:vAlign w:val="center"/>
          </w:tcPr>
          <w:p>
            <w:pPr>
              <w:rPr>
                <w:rFonts w:ascii="宋体" w:hAnsi="宋体" w:cs="宋体"/>
                <w:szCs w:val="21"/>
              </w:rPr>
            </w:pPr>
            <w:r>
              <w:rPr>
                <w:rFonts w:hint="eastAsia" w:ascii="宋体" w:hAnsi="宋体" w:cs="宋体"/>
                <w:szCs w:val="21"/>
              </w:rPr>
              <w:t> </w:t>
            </w:r>
          </w:p>
        </w:tc>
        <w:tc>
          <w:tcPr>
            <w:tcW w:w="889" w:type="dxa"/>
            <w:tcBorders>
              <w:right w:val="single" w:color="auto" w:sz="4" w:space="0"/>
            </w:tcBorders>
            <w:vAlign w:val="center"/>
          </w:tcPr>
          <w:p>
            <w:pPr>
              <w:rPr>
                <w:rFonts w:ascii="宋体" w:hAnsi="宋体" w:cs="宋体"/>
                <w:szCs w:val="21"/>
              </w:rPr>
            </w:pPr>
            <w:r>
              <w:rPr>
                <w:rFonts w:hint="eastAsia" w:ascii="宋体" w:hAnsi="宋体" w:cs="宋体"/>
                <w:szCs w:val="21"/>
              </w:rPr>
              <w:t> </w:t>
            </w: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589" w:type="dxa"/>
            <w:tcBorders>
              <w:right w:val="single" w:color="auto" w:sz="4" w:space="0"/>
            </w:tcBorders>
            <w:vAlign w:val="center"/>
          </w:tcPr>
          <w:p>
            <w:pPr>
              <w:rPr>
                <w:rFonts w:ascii="宋体" w:hAnsi="宋体" w:cs="宋体"/>
                <w:szCs w:val="21"/>
              </w:rPr>
            </w:pPr>
          </w:p>
        </w:tc>
        <w:tc>
          <w:tcPr>
            <w:tcW w:w="2692" w:type="dxa"/>
            <w:gridSpan w:val="2"/>
            <w:tcBorders>
              <w:left w:val="single" w:color="auto" w:sz="4" w:space="0"/>
            </w:tcBorders>
            <w:vAlign w:val="center"/>
          </w:tcPr>
          <w:p>
            <w:pPr>
              <w:rPr>
                <w:rFonts w:ascii="宋体" w:hAnsi="宋体" w:cs="宋体"/>
                <w:szCs w:val="21"/>
              </w:rPr>
            </w:pPr>
          </w:p>
        </w:tc>
        <w:tc>
          <w:tcPr>
            <w:tcW w:w="3085" w:type="dxa"/>
            <w:gridSpan w:val="2"/>
            <w:vAlign w:val="center"/>
          </w:tcPr>
          <w:p>
            <w:pPr>
              <w:rPr>
                <w:rFonts w:ascii="宋体" w:hAnsi="宋体" w:cs="宋体"/>
                <w:szCs w:val="21"/>
              </w:rPr>
            </w:pPr>
          </w:p>
        </w:tc>
        <w:tc>
          <w:tcPr>
            <w:tcW w:w="856" w:type="dxa"/>
            <w:gridSpan w:val="2"/>
            <w:vAlign w:val="center"/>
          </w:tcPr>
          <w:p>
            <w:pPr>
              <w:rPr>
                <w:rFonts w:ascii="宋体" w:hAnsi="宋体" w:cs="宋体"/>
                <w:szCs w:val="21"/>
              </w:rPr>
            </w:pPr>
          </w:p>
        </w:tc>
        <w:tc>
          <w:tcPr>
            <w:tcW w:w="889" w:type="dxa"/>
            <w:tcBorders>
              <w:right w:val="single" w:color="auto" w:sz="4" w:space="0"/>
            </w:tcBorders>
            <w:vAlign w:val="center"/>
          </w:tcPr>
          <w:p>
            <w:pPr>
              <w:rPr>
                <w:rFonts w:ascii="宋体" w:hAnsi="宋体" w:cs="宋体"/>
                <w:szCs w:val="21"/>
              </w:rPr>
            </w:pP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6366" w:type="dxa"/>
            <w:gridSpan w:val="5"/>
            <w:vAlign w:val="center"/>
          </w:tcPr>
          <w:p>
            <w:pPr>
              <w:rPr>
                <w:rFonts w:ascii="宋体" w:hAnsi="宋体" w:cs="宋体"/>
                <w:szCs w:val="21"/>
              </w:rPr>
            </w:pPr>
            <w:r>
              <w:rPr>
                <w:rFonts w:hint="eastAsia" w:ascii="宋体" w:hAnsi="宋体" w:cs="宋体"/>
                <w:szCs w:val="21"/>
              </w:rPr>
              <w:t>合     计</w:t>
            </w:r>
          </w:p>
        </w:tc>
        <w:tc>
          <w:tcPr>
            <w:tcW w:w="856" w:type="dxa"/>
            <w:gridSpan w:val="2"/>
            <w:vAlign w:val="center"/>
          </w:tcPr>
          <w:p>
            <w:pPr>
              <w:rPr>
                <w:rFonts w:ascii="宋体" w:hAnsi="宋体" w:cs="宋体"/>
                <w:szCs w:val="21"/>
              </w:rPr>
            </w:pPr>
          </w:p>
        </w:tc>
        <w:tc>
          <w:tcPr>
            <w:tcW w:w="889" w:type="dxa"/>
            <w:tcBorders>
              <w:right w:val="single" w:color="auto" w:sz="4" w:space="0"/>
            </w:tcBorders>
            <w:vAlign w:val="center"/>
          </w:tcPr>
          <w:p>
            <w:pPr>
              <w:rPr>
                <w:rFonts w:ascii="宋体" w:hAnsi="宋体" w:cs="宋体"/>
                <w:szCs w:val="21"/>
              </w:rPr>
            </w:pPr>
          </w:p>
        </w:tc>
        <w:tc>
          <w:tcPr>
            <w:tcW w:w="1290" w:type="dxa"/>
            <w:tcBorders>
              <w:left w:val="single" w:color="auto" w:sz="4" w:space="0"/>
            </w:tcBorders>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jc w:val="center"/>
        </w:trPr>
        <w:tc>
          <w:tcPr>
            <w:tcW w:w="9401" w:type="dxa"/>
            <w:gridSpan w:val="9"/>
            <w:vAlign w:val="center"/>
          </w:tcPr>
          <w:p>
            <w:pPr>
              <w:rPr>
                <w:rFonts w:ascii="宋体" w:hAnsi="宋体" w:cs="宋体"/>
                <w:szCs w:val="21"/>
              </w:rPr>
            </w:pPr>
            <w:r>
              <w:rPr>
                <w:rFonts w:hint="eastAsia" w:ascii="宋体" w:hAnsi="宋体" w:cs="宋体"/>
                <w:szCs w:val="21"/>
              </w:rPr>
              <w:t>合 计 大 写 金 额 ：人民币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1330" w:type="dxa"/>
            <w:gridSpan w:val="2"/>
            <w:vAlign w:val="center"/>
          </w:tcPr>
          <w:p>
            <w:pPr>
              <w:rPr>
                <w:rFonts w:ascii="宋体" w:hAnsi="宋体" w:cs="宋体"/>
                <w:szCs w:val="21"/>
              </w:rPr>
            </w:pPr>
            <w:r>
              <w:rPr>
                <w:rFonts w:hint="eastAsia" w:ascii="宋体" w:hAnsi="宋体" w:cs="宋体"/>
                <w:szCs w:val="21"/>
              </w:rPr>
              <w:t>实际供货日期</w:t>
            </w:r>
          </w:p>
        </w:tc>
        <w:tc>
          <w:tcPr>
            <w:tcW w:w="3223" w:type="dxa"/>
            <w:gridSpan w:val="2"/>
            <w:vAlign w:val="center"/>
          </w:tcPr>
          <w:p>
            <w:pPr>
              <w:rPr>
                <w:rFonts w:ascii="宋体" w:hAnsi="宋体" w:cs="宋体"/>
                <w:szCs w:val="21"/>
              </w:rPr>
            </w:pPr>
          </w:p>
        </w:tc>
        <w:tc>
          <w:tcPr>
            <w:tcW w:w="1826" w:type="dxa"/>
            <w:gridSpan w:val="2"/>
            <w:vAlign w:val="center"/>
          </w:tcPr>
          <w:p>
            <w:pPr>
              <w:rPr>
                <w:rFonts w:ascii="宋体" w:hAnsi="宋体" w:cs="宋体"/>
                <w:szCs w:val="21"/>
              </w:rPr>
            </w:pPr>
            <w:r>
              <w:rPr>
                <w:rFonts w:hint="eastAsia" w:ascii="宋体" w:hAnsi="宋体" w:cs="宋体"/>
                <w:szCs w:val="21"/>
              </w:rPr>
              <w:t>合同交货验收日期</w:t>
            </w:r>
          </w:p>
        </w:tc>
        <w:tc>
          <w:tcPr>
            <w:tcW w:w="3022" w:type="dxa"/>
            <w:gridSpan w:val="3"/>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9" w:hRule="atLeast"/>
          <w:jc w:val="center"/>
        </w:trPr>
        <w:tc>
          <w:tcPr>
            <w:tcW w:w="1330" w:type="dxa"/>
            <w:gridSpan w:val="2"/>
            <w:vAlign w:val="center"/>
          </w:tcPr>
          <w:p>
            <w:pPr>
              <w:rPr>
                <w:rFonts w:ascii="宋体" w:hAnsi="宋体" w:cs="宋体"/>
                <w:szCs w:val="21"/>
              </w:rPr>
            </w:pPr>
          </w:p>
        </w:tc>
        <w:tc>
          <w:tcPr>
            <w:tcW w:w="3223" w:type="dxa"/>
            <w:gridSpan w:val="2"/>
            <w:vAlign w:val="center"/>
          </w:tcPr>
          <w:p>
            <w:pPr>
              <w:rPr>
                <w:rFonts w:ascii="宋体" w:hAnsi="宋体" w:cs="宋体"/>
                <w:szCs w:val="21"/>
              </w:rPr>
            </w:pPr>
          </w:p>
        </w:tc>
        <w:tc>
          <w:tcPr>
            <w:tcW w:w="1826" w:type="dxa"/>
            <w:gridSpan w:val="2"/>
            <w:vAlign w:val="center"/>
          </w:tcPr>
          <w:p>
            <w:pPr>
              <w:rPr>
                <w:rFonts w:ascii="宋体" w:hAnsi="宋体" w:cs="宋体"/>
                <w:szCs w:val="21"/>
              </w:rPr>
            </w:pPr>
          </w:p>
        </w:tc>
        <w:tc>
          <w:tcPr>
            <w:tcW w:w="3022" w:type="dxa"/>
            <w:gridSpan w:val="3"/>
            <w:vAlign w:val="center"/>
          </w:tcPr>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6" w:hRule="atLeast"/>
          <w:jc w:val="center"/>
        </w:trPr>
        <w:tc>
          <w:tcPr>
            <w:tcW w:w="1330" w:type="dxa"/>
            <w:gridSpan w:val="2"/>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验收具体内容</w:t>
            </w:r>
          </w:p>
        </w:tc>
        <w:tc>
          <w:tcPr>
            <w:tcW w:w="8071" w:type="dxa"/>
            <w:gridSpan w:val="7"/>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 （应按采购合同、采购文件、投标响应文件及验收方案等进行验收；并核对中标或中标人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5" w:hRule="atLeast"/>
          <w:jc w:val="center"/>
        </w:trPr>
        <w:tc>
          <w:tcPr>
            <w:tcW w:w="1330" w:type="dxa"/>
            <w:gridSpan w:val="2"/>
            <w:vMerge w:val="restart"/>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验收小组意见</w:t>
            </w:r>
          </w:p>
        </w:tc>
        <w:tc>
          <w:tcPr>
            <w:tcW w:w="8071" w:type="dxa"/>
            <w:gridSpan w:val="7"/>
            <w:tcBorders>
              <w:bottom w:val="single" w:color="auto" w:sz="4" w:space="0"/>
            </w:tcBorders>
            <w:vAlign w:val="center"/>
          </w:tcPr>
          <w:p>
            <w:pPr>
              <w:rPr>
                <w:rFonts w:ascii="宋体" w:hAnsi="宋体" w:cs="宋体"/>
                <w:szCs w:val="21"/>
              </w:rPr>
            </w:pPr>
            <w:r>
              <w:rPr>
                <w:rFonts w:hint="eastAsia" w:ascii="宋体" w:hAnsi="宋体" w:cs="宋体"/>
                <w:szCs w:val="21"/>
              </w:rPr>
              <w:t>验收结论性意见：</w:t>
            </w:r>
          </w:p>
          <w:p>
            <w:pPr>
              <w:rPr>
                <w:rFonts w:ascii="宋体" w:hAnsi="宋体" w:cs="宋体"/>
                <w:szCs w:val="21"/>
              </w:rPr>
            </w:pPr>
          </w:p>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33" w:hRule="atLeast"/>
          <w:jc w:val="center"/>
        </w:trPr>
        <w:tc>
          <w:tcPr>
            <w:tcW w:w="1330" w:type="dxa"/>
            <w:gridSpan w:val="2"/>
            <w:vMerge w:val="continue"/>
            <w:tcMar>
              <w:top w:w="0" w:type="dxa"/>
              <w:left w:w="108" w:type="dxa"/>
              <w:bottom w:w="0" w:type="dxa"/>
              <w:right w:w="108" w:type="dxa"/>
            </w:tcMar>
            <w:vAlign w:val="center"/>
          </w:tcPr>
          <w:p>
            <w:pPr>
              <w:rPr>
                <w:rFonts w:ascii="宋体" w:hAnsi="宋体" w:cs="宋体"/>
                <w:szCs w:val="21"/>
              </w:rPr>
            </w:pPr>
          </w:p>
        </w:tc>
        <w:tc>
          <w:tcPr>
            <w:tcW w:w="8071" w:type="dxa"/>
            <w:gridSpan w:val="7"/>
            <w:tcBorders>
              <w:top w:val="single" w:color="auto" w:sz="4" w:space="0"/>
            </w:tcBorders>
            <w:vAlign w:val="center"/>
          </w:tcPr>
          <w:p>
            <w:pPr>
              <w:rPr>
                <w:rFonts w:ascii="宋体" w:hAnsi="宋体" w:cs="宋体"/>
                <w:szCs w:val="21"/>
              </w:rPr>
            </w:pPr>
            <w:r>
              <w:rPr>
                <w:rFonts w:hint="eastAsia" w:ascii="宋体" w:hAnsi="宋体" w:cs="宋体"/>
                <w:szCs w:val="21"/>
              </w:rPr>
              <w:t>有异议的意见和说明理由：</w:t>
            </w:r>
          </w:p>
          <w:p>
            <w:pPr>
              <w:rPr>
                <w:rFonts w:ascii="宋体" w:hAnsi="宋体" w:cs="宋体"/>
                <w:szCs w:val="21"/>
              </w:rPr>
            </w:pPr>
          </w:p>
          <w:p>
            <w:pP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0" w:hRule="atLeast"/>
          <w:jc w:val="center"/>
        </w:trPr>
        <w:tc>
          <w:tcPr>
            <w:tcW w:w="9401" w:type="dxa"/>
            <w:gridSpan w:val="9"/>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1" w:hRule="atLeast"/>
          <w:jc w:val="center"/>
        </w:trPr>
        <w:tc>
          <w:tcPr>
            <w:tcW w:w="9401" w:type="dxa"/>
            <w:gridSpan w:val="9"/>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50" w:hRule="atLeast"/>
          <w:jc w:val="center"/>
        </w:trPr>
        <w:tc>
          <w:tcPr>
            <w:tcW w:w="4553" w:type="dxa"/>
            <w:gridSpan w:val="4"/>
            <w:tcMar>
              <w:top w:w="0" w:type="dxa"/>
              <w:left w:w="108" w:type="dxa"/>
              <w:bottom w:w="0" w:type="dxa"/>
              <w:right w:w="108" w:type="dxa"/>
            </w:tcMar>
            <w:vAlign w:val="center"/>
          </w:tcPr>
          <w:p>
            <w:pPr>
              <w:rPr>
                <w:rFonts w:ascii="宋体" w:hAnsi="宋体" w:cs="宋体"/>
                <w:szCs w:val="21"/>
              </w:rPr>
            </w:pPr>
            <w:r>
              <w:rPr>
                <w:rFonts w:hint="eastAsia" w:ascii="宋体" w:hAnsi="宋体" w:cs="宋体"/>
                <w:szCs w:val="21"/>
              </w:rPr>
              <w:t>中标（或成交）供应商签字或盖章：</w:t>
            </w:r>
          </w:p>
          <w:p>
            <w:pPr>
              <w:rPr>
                <w:rFonts w:ascii="宋体" w:hAnsi="宋体" w:cs="宋体"/>
                <w:szCs w:val="21"/>
              </w:rPr>
            </w:pPr>
          </w:p>
          <w:p>
            <w:pPr>
              <w:rPr>
                <w:rFonts w:ascii="宋体" w:hAnsi="宋体" w:cs="宋体"/>
                <w:szCs w:val="21"/>
              </w:rPr>
            </w:pPr>
            <w:r>
              <w:rPr>
                <w:rFonts w:hint="eastAsia" w:ascii="宋体" w:hAnsi="宋体" w:cs="宋体"/>
                <w:szCs w:val="21"/>
              </w:rPr>
              <w:t>联系电话：</w:t>
            </w:r>
          </w:p>
          <w:p>
            <w:pPr>
              <w:rPr>
                <w:rFonts w:ascii="宋体" w:hAnsi="宋体" w:cs="宋体"/>
                <w:szCs w:val="21"/>
              </w:rPr>
            </w:pPr>
          </w:p>
          <w:p>
            <w:pPr>
              <w:rPr>
                <w:rFonts w:ascii="宋体" w:hAnsi="宋体" w:cs="宋体"/>
                <w:szCs w:val="21"/>
              </w:rPr>
            </w:pPr>
            <w:r>
              <w:rPr>
                <w:rFonts w:hint="eastAsia" w:ascii="宋体" w:hAnsi="宋体" w:cs="宋体"/>
                <w:szCs w:val="21"/>
              </w:rPr>
              <w:t>年  月   日</w:t>
            </w:r>
          </w:p>
        </w:tc>
        <w:tc>
          <w:tcPr>
            <w:tcW w:w="4848" w:type="dxa"/>
            <w:gridSpan w:val="5"/>
            <w:vAlign w:val="center"/>
          </w:tcPr>
          <w:p>
            <w:pPr>
              <w:rPr>
                <w:rFonts w:ascii="宋体" w:hAnsi="宋体" w:cs="宋体"/>
                <w:szCs w:val="21"/>
              </w:rPr>
            </w:pPr>
            <w:r>
              <w:rPr>
                <w:rFonts w:hint="eastAsia" w:ascii="宋体" w:hAnsi="宋体" w:cs="宋体"/>
                <w:szCs w:val="21"/>
              </w:rPr>
              <w:t>采购人的意见（盖章）：</w:t>
            </w:r>
          </w:p>
          <w:p>
            <w:pPr>
              <w:rPr>
                <w:rFonts w:ascii="宋体" w:hAnsi="宋体" w:cs="宋体"/>
                <w:szCs w:val="21"/>
              </w:rPr>
            </w:pPr>
          </w:p>
          <w:p>
            <w:pPr>
              <w:rPr>
                <w:rFonts w:ascii="宋体" w:hAnsi="宋体" w:cs="宋体"/>
                <w:szCs w:val="21"/>
              </w:rPr>
            </w:pPr>
            <w:r>
              <w:rPr>
                <w:rFonts w:hint="eastAsia" w:ascii="宋体" w:hAnsi="宋体" w:cs="宋体"/>
                <w:szCs w:val="21"/>
              </w:rPr>
              <w:t>联系电话：</w:t>
            </w:r>
          </w:p>
          <w:p>
            <w:pPr>
              <w:rPr>
                <w:rFonts w:ascii="宋体" w:hAnsi="宋体" w:cs="宋体"/>
                <w:szCs w:val="21"/>
              </w:rPr>
            </w:pPr>
          </w:p>
          <w:p>
            <w:pPr>
              <w:rPr>
                <w:rFonts w:ascii="宋体" w:hAnsi="宋体" w:cs="宋体"/>
                <w:szCs w:val="21"/>
              </w:rPr>
            </w:pPr>
            <w:r>
              <w:rPr>
                <w:rFonts w:hint="eastAsia" w:ascii="宋体" w:hAnsi="宋体" w:cs="宋体"/>
                <w:szCs w:val="21"/>
              </w:rPr>
              <w:t xml:space="preserve">   年  月   日</w:t>
            </w:r>
          </w:p>
        </w:tc>
      </w:tr>
    </w:tbl>
    <w:p>
      <w:pPr>
        <w:widowControl/>
        <w:ind w:firstLine="210" w:firstLineChars="100"/>
        <w:jc w:val="left"/>
        <w:rPr>
          <w:rFonts w:ascii="宋体" w:hAnsi="宋体" w:cs="@方正仿宋简体"/>
          <w:kern w:val="0"/>
          <w:szCs w:val="21"/>
        </w:rPr>
      </w:pPr>
      <w:r>
        <w:rPr>
          <w:rFonts w:hint="eastAsia" w:ascii="宋体" w:hAnsi="宋体" w:cs="@方正仿宋简体"/>
          <w:kern w:val="0"/>
          <w:szCs w:val="21"/>
        </w:rPr>
        <w:t>备注：本报告单一式三份（采购人1份、中标人1份、采购代理机构1份）。</w:t>
      </w:r>
    </w:p>
    <w:p>
      <w:pPr>
        <w:snapToGrid w:val="0"/>
        <w:rPr>
          <w:rFonts w:ascii="宋体" w:hAnsi="宋体"/>
          <w:szCs w:val="20"/>
        </w:rPr>
      </w:pPr>
      <w:r>
        <w:rPr>
          <w:rFonts w:ascii="宋体" w:hAnsi="宋体"/>
          <w:b/>
          <w:szCs w:val="20"/>
        </w:rPr>
        <w:br w:type="page"/>
      </w:r>
      <w:r>
        <w:rPr>
          <w:rFonts w:hint="eastAsia" w:ascii="宋体" w:hAnsi="宋体"/>
          <w:b/>
          <w:szCs w:val="20"/>
        </w:rPr>
        <w:t>附件II：</w:t>
      </w:r>
    </w:p>
    <w:p>
      <w:pPr>
        <w:jc w:val="center"/>
        <w:rPr>
          <w:rFonts w:ascii="宋体" w:hAnsi="宋体"/>
          <w:sz w:val="32"/>
          <w:szCs w:val="32"/>
        </w:rPr>
      </w:pPr>
      <w:r>
        <w:rPr>
          <w:rFonts w:hint="eastAsia" w:ascii="宋体" w:hAnsi="宋体" w:cs="@方正仿宋简体"/>
          <w:b/>
          <w:bCs/>
          <w:kern w:val="0"/>
          <w:sz w:val="32"/>
          <w:szCs w:val="32"/>
        </w:rPr>
        <w:t>采购项目履约保证金退付意见书（格式）</w:t>
      </w:r>
    </w:p>
    <w:p>
      <w:pPr>
        <w:jc w:val="center"/>
        <w:rPr>
          <w:rFonts w:ascii="宋体" w:hAnsi="宋体"/>
          <w:szCs w:val="21"/>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8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06" w:type="dxa"/>
            <w:vMerge w:val="restart"/>
            <w:vAlign w:val="center"/>
          </w:tcPr>
          <w:p>
            <w:pPr>
              <w:jc w:val="center"/>
              <w:rPr>
                <w:rFonts w:ascii="宋体" w:hAnsi="宋体"/>
              </w:rPr>
            </w:pPr>
            <w:r>
              <w:rPr>
                <w:rFonts w:hint="eastAsia" w:ascii="宋体" w:hAnsi="宋体"/>
              </w:rPr>
              <w:t>供</w:t>
            </w:r>
          </w:p>
          <w:p>
            <w:pPr>
              <w:jc w:val="center"/>
              <w:rPr>
                <w:rFonts w:ascii="宋体" w:hAnsi="宋体"/>
              </w:rPr>
            </w:pPr>
            <w:r>
              <w:rPr>
                <w:rFonts w:hint="eastAsia" w:ascii="宋体" w:hAnsi="宋体"/>
              </w:rPr>
              <w:t>应</w:t>
            </w:r>
          </w:p>
          <w:p>
            <w:pPr>
              <w:jc w:val="center"/>
              <w:rPr>
                <w:rFonts w:ascii="宋体" w:hAnsi="宋体"/>
              </w:rPr>
            </w:pPr>
            <w:r>
              <w:rPr>
                <w:rFonts w:hint="eastAsia" w:ascii="宋体" w:hAnsi="宋体"/>
              </w:rPr>
              <w:t>商</w:t>
            </w:r>
          </w:p>
          <w:p>
            <w:pPr>
              <w:jc w:val="center"/>
              <w:rPr>
                <w:rFonts w:ascii="宋体" w:hAnsi="宋体"/>
              </w:rPr>
            </w:pPr>
            <w:r>
              <w:rPr>
                <w:rFonts w:hint="eastAsia" w:ascii="宋体" w:hAnsi="宋体"/>
              </w:rPr>
              <w:t>申</w:t>
            </w:r>
          </w:p>
          <w:p>
            <w:pPr>
              <w:jc w:val="center"/>
              <w:rPr>
                <w:rFonts w:ascii="宋体" w:hAnsi="宋体"/>
              </w:rPr>
            </w:pPr>
            <w:r>
              <w:rPr>
                <w:rFonts w:hint="eastAsia" w:ascii="宋体" w:hAnsi="宋体"/>
              </w:rPr>
              <w:t>请</w:t>
            </w:r>
          </w:p>
        </w:tc>
        <w:tc>
          <w:tcPr>
            <w:tcW w:w="8454" w:type="dxa"/>
            <w:vAlign w:val="center"/>
          </w:tcPr>
          <w:p>
            <w:pPr>
              <w:rPr>
                <w:rFonts w:ascii="宋体" w:hAnsi="宋体"/>
              </w:rPr>
            </w:pPr>
            <w:r>
              <w:rPr>
                <w:rFonts w:hint="eastAsia" w:ascii="宋体" w:hAnsi="宋体"/>
              </w:rPr>
              <w:t>采购项目编号：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006" w:type="dxa"/>
            <w:vMerge w:val="continue"/>
          </w:tcPr>
          <w:p>
            <w:pPr>
              <w:rPr>
                <w:rFonts w:ascii="宋体" w:hAnsi="宋体"/>
              </w:rPr>
            </w:pPr>
          </w:p>
        </w:tc>
        <w:tc>
          <w:tcPr>
            <w:tcW w:w="8454" w:type="dxa"/>
            <w:vAlign w:val="center"/>
          </w:tcPr>
          <w:p>
            <w:pPr>
              <w:rPr>
                <w:rFonts w:ascii="宋体" w:hAnsi="宋体"/>
              </w:rPr>
            </w:pPr>
            <w:r>
              <w:rPr>
                <w:rFonts w:hint="eastAsia" w:ascii="宋体" w:hAnsi="宋体"/>
              </w:rPr>
              <w:t xml:space="preserve">采购项目名称：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4" w:hRule="atLeast"/>
          <w:jc w:val="center"/>
        </w:trPr>
        <w:tc>
          <w:tcPr>
            <w:tcW w:w="1006" w:type="dxa"/>
            <w:vMerge w:val="continue"/>
          </w:tcPr>
          <w:p>
            <w:pPr>
              <w:rPr>
                <w:rFonts w:ascii="宋体" w:hAnsi="宋体"/>
              </w:rPr>
            </w:pPr>
          </w:p>
        </w:tc>
        <w:tc>
          <w:tcPr>
            <w:tcW w:w="8454" w:type="dxa"/>
          </w:tcPr>
          <w:p>
            <w:pPr>
              <w:rPr>
                <w:rFonts w:ascii="宋体" w:hAnsi="宋体"/>
              </w:rPr>
            </w:pPr>
          </w:p>
          <w:p>
            <w:pPr>
              <w:ind w:firstLine="525" w:firstLineChars="250"/>
              <w:rPr>
                <w:rFonts w:ascii="宋体" w:hAnsi="宋体"/>
              </w:rPr>
            </w:pPr>
            <w:r>
              <w:rPr>
                <w:rFonts w:hint="eastAsia" w:ascii="宋体" w:hAnsi="宋体"/>
              </w:rPr>
              <w:t>该项目已于 年 月 日验收并交付使用。根据合同规定，可将履约保证金（大写）人民币 元（小写）￥ 元退付到达以下帐户：</w:t>
            </w:r>
          </w:p>
          <w:p>
            <w:pPr>
              <w:rPr>
                <w:rFonts w:ascii="宋体" w:hAnsi="宋体"/>
              </w:rPr>
            </w:pPr>
          </w:p>
          <w:p>
            <w:pPr>
              <w:spacing w:line="420" w:lineRule="exact"/>
              <w:rPr>
                <w:rFonts w:ascii="宋体" w:hAnsi="宋体"/>
              </w:rPr>
            </w:pPr>
            <w:r>
              <w:rPr>
                <w:rFonts w:hint="eastAsia" w:ascii="宋体" w:hAnsi="宋体"/>
              </w:rPr>
              <w:t>单位名称：</w:t>
            </w:r>
          </w:p>
          <w:p>
            <w:pPr>
              <w:spacing w:line="420" w:lineRule="exact"/>
              <w:rPr>
                <w:rFonts w:ascii="宋体" w:hAnsi="宋体"/>
              </w:rPr>
            </w:pPr>
            <w:r>
              <w:rPr>
                <w:rFonts w:hint="eastAsia" w:ascii="宋体" w:hAnsi="宋体"/>
              </w:rPr>
              <w:t>开户银行：</w:t>
            </w:r>
          </w:p>
          <w:p>
            <w:pPr>
              <w:spacing w:line="420" w:lineRule="exact"/>
              <w:rPr>
                <w:rFonts w:ascii="宋体" w:hAnsi="宋体"/>
              </w:rPr>
            </w:pPr>
            <w:r>
              <w:rPr>
                <w:rFonts w:hint="eastAsia" w:ascii="宋体" w:hAnsi="宋体"/>
              </w:rPr>
              <w:t>银行帐号：</w:t>
            </w:r>
          </w:p>
          <w:p>
            <w:pPr>
              <w:rPr>
                <w:rFonts w:ascii="宋体" w:hAnsi="宋体"/>
              </w:rPr>
            </w:pPr>
          </w:p>
          <w:p>
            <w:pPr>
              <w:rPr>
                <w:rFonts w:ascii="宋体" w:hAnsi="宋体"/>
              </w:rPr>
            </w:pPr>
          </w:p>
          <w:p>
            <w:pPr>
              <w:spacing w:line="420" w:lineRule="exact"/>
              <w:rPr>
                <w:rFonts w:ascii="宋体" w:hAnsi="宋体"/>
              </w:rPr>
            </w:pPr>
            <w:r>
              <w:rPr>
                <w:rFonts w:hint="eastAsia" w:ascii="宋体" w:hAnsi="宋体"/>
              </w:rPr>
              <w:t>联系人：</w:t>
            </w:r>
          </w:p>
          <w:p>
            <w:pPr>
              <w:spacing w:line="420" w:lineRule="exact"/>
              <w:rPr>
                <w:rFonts w:ascii="宋体" w:hAnsi="宋体"/>
              </w:rPr>
            </w:pPr>
            <w:r>
              <w:rPr>
                <w:rFonts w:hint="eastAsia" w:ascii="宋体" w:hAnsi="宋体"/>
              </w:rPr>
              <w:t>联系电话：</w:t>
            </w:r>
          </w:p>
          <w:p>
            <w:pPr>
              <w:rPr>
                <w:rFonts w:ascii="宋体" w:hAnsi="宋体"/>
              </w:rPr>
            </w:pPr>
          </w:p>
          <w:p>
            <w:pPr>
              <w:spacing w:line="420" w:lineRule="exact"/>
              <w:rPr>
                <w:rFonts w:ascii="宋体" w:hAnsi="宋体"/>
              </w:rPr>
            </w:pPr>
            <w:r>
              <w:rPr>
                <w:rFonts w:hint="eastAsia" w:ascii="宋体" w:hAnsi="宋体"/>
              </w:rPr>
              <w:t xml:space="preserve">                                       供应商签章</w:t>
            </w:r>
          </w:p>
          <w:p>
            <w:pPr>
              <w:spacing w:line="420" w:lineRule="exact"/>
              <w:rPr>
                <w:rFonts w:ascii="宋体" w:hAnsi="宋体"/>
              </w:rPr>
            </w:pPr>
            <w:r>
              <w:rPr>
                <w:rFonts w:hint="eastAsia" w:ascii="宋体" w:hAnsi="宋体"/>
              </w:rPr>
              <w:t xml:space="preserve">                                     年     月    日</w:t>
            </w: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6" w:hRule="atLeast"/>
          <w:jc w:val="center"/>
        </w:trPr>
        <w:tc>
          <w:tcPr>
            <w:tcW w:w="1006" w:type="dxa"/>
            <w:vAlign w:val="center"/>
          </w:tcPr>
          <w:p>
            <w:pPr>
              <w:jc w:val="center"/>
              <w:rPr>
                <w:rFonts w:ascii="宋体" w:hAnsi="宋体"/>
              </w:rPr>
            </w:pPr>
            <w:r>
              <w:rPr>
                <w:rFonts w:hint="eastAsia" w:ascii="宋体" w:hAnsi="宋体"/>
              </w:rPr>
              <w:t>采</w:t>
            </w:r>
          </w:p>
          <w:p>
            <w:pPr>
              <w:jc w:val="center"/>
              <w:rPr>
                <w:rFonts w:ascii="宋体" w:hAnsi="宋体"/>
              </w:rPr>
            </w:pPr>
            <w:r>
              <w:rPr>
                <w:rFonts w:hint="eastAsia" w:ascii="宋体" w:hAnsi="宋体"/>
              </w:rPr>
              <w:t>购</w:t>
            </w:r>
          </w:p>
          <w:p>
            <w:pPr>
              <w:jc w:val="center"/>
              <w:rPr>
                <w:rFonts w:ascii="宋体" w:hAnsi="宋体"/>
              </w:rPr>
            </w:pPr>
            <w:r>
              <w:rPr>
                <w:rFonts w:hint="eastAsia" w:ascii="宋体" w:hAnsi="宋体"/>
              </w:rPr>
              <w:t>单</w:t>
            </w:r>
          </w:p>
          <w:p>
            <w:pPr>
              <w:jc w:val="center"/>
              <w:rPr>
                <w:rFonts w:ascii="宋体" w:hAnsi="宋体"/>
              </w:rPr>
            </w:pPr>
            <w:r>
              <w:rPr>
                <w:rFonts w:hint="eastAsia" w:ascii="宋体" w:hAnsi="宋体"/>
              </w:rPr>
              <w:t>位</w:t>
            </w:r>
          </w:p>
          <w:p>
            <w:pPr>
              <w:jc w:val="center"/>
              <w:rPr>
                <w:rFonts w:ascii="宋体" w:hAnsi="宋体"/>
              </w:rPr>
            </w:pPr>
            <w:r>
              <w:rPr>
                <w:rFonts w:hint="eastAsia" w:ascii="宋体" w:hAnsi="宋体"/>
              </w:rPr>
              <w:t>意</w:t>
            </w:r>
          </w:p>
          <w:p>
            <w:pPr>
              <w:jc w:val="center"/>
              <w:rPr>
                <w:rFonts w:ascii="宋体" w:hAnsi="宋体"/>
              </w:rPr>
            </w:pPr>
            <w:r>
              <w:rPr>
                <w:rFonts w:hint="eastAsia" w:ascii="宋体" w:hAnsi="宋体"/>
              </w:rPr>
              <w:t>见</w:t>
            </w:r>
          </w:p>
        </w:tc>
        <w:tc>
          <w:tcPr>
            <w:tcW w:w="8454" w:type="dxa"/>
          </w:tcPr>
          <w:p>
            <w:pPr>
              <w:rPr>
                <w:rFonts w:ascii="宋体" w:hAnsi="宋体"/>
              </w:rPr>
            </w:pPr>
          </w:p>
          <w:p>
            <w:pPr>
              <w:rPr>
                <w:rFonts w:ascii="宋体" w:hAnsi="宋体"/>
              </w:rPr>
            </w:pPr>
            <w:r>
              <w:rPr>
                <w:rFonts w:hint="eastAsia" w:ascii="宋体" w:hAnsi="宋体"/>
              </w:rPr>
              <w:t>退付意见：是否同意退付履约保证金及退付金额：</w:t>
            </w:r>
          </w:p>
          <w:p>
            <w:pPr>
              <w:rPr>
                <w:rFonts w:ascii="宋体" w:hAnsi="宋体"/>
              </w:rPr>
            </w:pPr>
          </w:p>
          <w:p>
            <w:pPr>
              <w:rPr>
                <w:rFonts w:ascii="宋体" w:hAnsi="宋体"/>
              </w:rPr>
            </w:pPr>
          </w:p>
          <w:p>
            <w:pPr>
              <w:rPr>
                <w:rFonts w:ascii="宋体" w:hAnsi="宋体"/>
              </w:rPr>
            </w:pPr>
          </w:p>
          <w:p>
            <w:pPr>
              <w:rPr>
                <w:rFonts w:ascii="宋体" w:hAnsi="宋体"/>
              </w:rPr>
            </w:pPr>
          </w:p>
          <w:p>
            <w:pPr>
              <w:spacing w:line="420" w:lineRule="exact"/>
              <w:rPr>
                <w:rFonts w:ascii="宋体" w:hAnsi="宋体"/>
              </w:rPr>
            </w:pPr>
            <w:r>
              <w:rPr>
                <w:rFonts w:hint="eastAsia" w:ascii="宋体" w:hAnsi="宋体"/>
              </w:rPr>
              <w:t>联系人：</w:t>
            </w:r>
          </w:p>
          <w:p>
            <w:pPr>
              <w:spacing w:line="420" w:lineRule="exact"/>
              <w:rPr>
                <w:rFonts w:ascii="宋体" w:hAnsi="宋体"/>
              </w:rPr>
            </w:pPr>
            <w:r>
              <w:rPr>
                <w:rFonts w:hint="eastAsia" w:ascii="宋体" w:hAnsi="宋体"/>
              </w:rPr>
              <w:t>联系电话：</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 xml:space="preserve">                                         单位签章</w:t>
            </w:r>
          </w:p>
          <w:p>
            <w:pPr>
              <w:spacing w:line="420" w:lineRule="exact"/>
              <w:rPr>
                <w:rFonts w:ascii="宋体" w:hAnsi="宋体"/>
              </w:rPr>
            </w:pPr>
            <w:r>
              <w:rPr>
                <w:rFonts w:hint="eastAsia" w:ascii="宋体" w:hAnsi="宋体"/>
              </w:rPr>
              <w:t xml:space="preserve">                                      年     月    日</w:t>
            </w:r>
          </w:p>
        </w:tc>
      </w:tr>
    </w:tbl>
    <w:p>
      <w:pPr>
        <w:pStyle w:val="25"/>
        <w:snapToGrid w:val="0"/>
        <w:spacing w:before="120" w:after="120"/>
        <w:jc w:val="center"/>
        <w:outlineLvl w:val="0"/>
        <w:rPr>
          <w:rFonts w:ascii="黑体" w:hAnsi="宋体" w:eastAsia="黑体"/>
          <w:b/>
          <w:sz w:val="44"/>
          <w:szCs w:val="44"/>
        </w:rPr>
      </w:pPr>
    </w:p>
    <w:p>
      <w:pPr>
        <w:pStyle w:val="56"/>
      </w:pPr>
    </w:p>
    <w:p>
      <w:pPr>
        <w:pStyle w:val="56"/>
      </w:pPr>
      <w:r>
        <w:br w:type="page"/>
      </w:r>
    </w:p>
    <w:p>
      <w:pPr>
        <w:pStyle w:val="56"/>
      </w:pPr>
    </w:p>
    <w:p>
      <w:pPr>
        <w:snapToGrid w:val="0"/>
        <w:spacing w:before="120"/>
        <w:ind w:firstLine="643"/>
        <w:jc w:val="center"/>
        <w:rPr>
          <w:rFonts w:ascii="宋体" w:hAnsi="宋体" w:cs="宋体"/>
          <w:bCs/>
          <w:sz w:val="32"/>
          <w:szCs w:val="32"/>
        </w:rPr>
      </w:pPr>
    </w:p>
    <w:p>
      <w:pPr>
        <w:pStyle w:val="4"/>
        <w:spacing w:before="120"/>
        <w:ind w:firstLine="880"/>
        <w:jc w:val="center"/>
        <w:rPr>
          <w:rFonts w:ascii="宋体" w:hAnsi="宋体" w:cs="宋体"/>
        </w:rPr>
      </w:pPr>
      <w:bookmarkStart w:id="146" w:name="_Toc74320805"/>
      <w:r>
        <w:rPr>
          <w:rFonts w:hint="eastAsia" w:ascii="宋体" w:hAnsi="宋体" w:cs="宋体"/>
        </w:rPr>
        <w:t>第六章　投标文件格式</w:t>
      </w:r>
      <w:bookmarkEnd w:id="146"/>
    </w:p>
    <w:p>
      <w:pPr>
        <w:spacing w:before="120"/>
        <w:ind w:firstLine="560"/>
        <w:rPr>
          <w:rFonts w:ascii="宋体" w:hAnsi="宋体" w:cs="宋体"/>
          <w:b/>
          <w:sz w:val="28"/>
          <w:szCs w:val="28"/>
        </w:rPr>
      </w:pPr>
      <w:bookmarkStart w:id="147" w:name="_Toc19686836"/>
      <w:bookmarkStart w:id="148" w:name="_Toc254970698"/>
      <w:bookmarkStart w:id="149" w:name="_Toc254970557"/>
      <w:r>
        <w:rPr>
          <w:rFonts w:hint="eastAsia" w:ascii="宋体" w:hAnsi="宋体" w:cs="宋体"/>
          <w:b/>
          <w:sz w:val="28"/>
          <w:szCs w:val="28"/>
        </w:rPr>
        <w:t>一、报价文件格式</w:t>
      </w:r>
      <w:bookmarkEnd w:id="147"/>
    </w:p>
    <w:p>
      <w:pPr>
        <w:snapToGrid w:val="0"/>
        <w:spacing w:before="120" w:beforeLines="50" w:after="50" w:line="360" w:lineRule="auto"/>
        <w:ind w:left="142" w:firstLine="480"/>
        <w:jc w:val="left"/>
        <w:rPr>
          <w:rFonts w:ascii="宋体" w:hAnsi="宋体" w:cs="宋体"/>
          <w:sz w:val="24"/>
        </w:rPr>
      </w:pPr>
      <w:r>
        <w:rPr>
          <w:rFonts w:hint="eastAsia" w:ascii="宋体" w:hAnsi="宋体" w:cs="宋体"/>
          <w:b/>
          <w:sz w:val="24"/>
        </w:rPr>
        <w:t xml:space="preserve">1. 报价文件封面格式： </w:t>
      </w:r>
    </w:p>
    <w:p>
      <w:pPr>
        <w:snapToGrid w:val="0"/>
        <w:spacing w:before="120" w:beforeLines="50" w:after="50" w:line="400" w:lineRule="exact"/>
        <w:rPr>
          <w:rFonts w:ascii="宋体" w:hAnsi="宋体" w:cs="宋体"/>
          <w:bCs/>
          <w:sz w:val="24"/>
        </w:rPr>
      </w:pPr>
      <w:r>
        <w:rPr>
          <w:rFonts w:hint="eastAsia" w:ascii="宋体" w:hAnsi="宋体" w:cs="宋体"/>
          <w:sz w:val="24"/>
        </w:rPr>
        <w:t xml:space="preserve">                                                   </w:t>
      </w:r>
    </w:p>
    <w:p>
      <w:pPr>
        <w:snapToGrid w:val="0"/>
        <w:spacing w:before="120" w:beforeLines="50" w:after="50" w:line="400" w:lineRule="exact"/>
        <w:jc w:val="center"/>
        <w:rPr>
          <w:rFonts w:ascii="宋体" w:hAnsi="宋体" w:cs="宋体"/>
          <w:bCs/>
          <w:sz w:val="24"/>
        </w:rPr>
      </w:pPr>
    </w:p>
    <w:p>
      <w:pPr>
        <w:snapToGrid w:val="0"/>
        <w:spacing w:before="120" w:beforeLines="50" w:after="50"/>
        <w:ind w:firstLine="1687"/>
        <w:jc w:val="center"/>
        <w:rPr>
          <w:rFonts w:ascii="宋体" w:hAnsi="宋体" w:cs="宋体"/>
          <w:sz w:val="84"/>
          <w:szCs w:val="84"/>
        </w:rPr>
      </w:pPr>
      <w:r>
        <w:rPr>
          <w:rFonts w:hint="eastAsia" w:ascii="宋体" w:hAnsi="宋体" w:cs="宋体"/>
          <w:sz w:val="84"/>
          <w:szCs w:val="84"/>
        </w:rPr>
        <w:t>投  标  文  件</w:t>
      </w:r>
    </w:p>
    <w:p>
      <w:pPr>
        <w:snapToGrid w:val="0"/>
        <w:spacing w:before="120" w:beforeLines="50" w:after="50" w:line="400" w:lineRule="exact"/>
        <w:ind w:firstLine="643"/>
        <w:jc w:val="center"/>
        <w:rPr>
          <w:rFonts w:ascii="宋体" w:hAnsi="宋体" w:cs="宋体"/>
          <w:bCs/>
          <w:sz w:val="32"/>
          <w:szCs w:val="32"/>
        </w:rPr>
      </w:pPr>
    </w:p>
    <w:p>
      <w:pPr>
        <w:snapToGrid w:val="0"/>
        <w:spacing w:before="120" w:beforeLines="50" w:after="50" w:line="400" w:lineRule="exact"/>
        <w:ind w:firstLine="964"/>
        <w:jc w:val="center"/>
        <w:rPr>
          <w:rFonts w:ascii="宋体" w:hAnsi="宋体" w:cs="宋体"/>
          <w:sz w:val="48"/>
          <w:szCs w:val="48"/>
        </w:rPr>
      </w:pPr>
      <w:r>
        <w:rPr>
          <w:rFonts w:hint="eastAsia" w:ascii="宋体" w:hAnsi="宋体" w:cs="宋体"/>
          <w:sz w:val="48"/>
          <w:szCs w:val="48"/>
        </w:rPr>
        <w:t>报  价  文  件</w:t>
      </w:r>
    </w:p>
    <w:p>
      <w:pPr>
        <w:snapToGrid w:val="0"/>
        <w:spacing w:before="120" w:beforeLines="50" w:after="50" w:line="400" w:lineRule="exact"/>
        <w:rPr>
          <w:rFonts w:ascii="宋体" w:hAnsi="宋体" w:cs="宋体"/>
          <w:bCs/>
          <w:sz w:val="24"/>
          <w:szCs w:val="20"/>
        </w:rPr>
      </w:pPr>
    </w:p>
    <w:p>
      <w:pPr>
        <w:snapToGrid w:val="0"/>
        <w:spacing w:before="120" w:beforeLines="50" w:after="50" w:line="400" w:lineRule="exact"/>
        <w:rPr>
          <w:rFonts w:ascii="宋体" w:hAnsi="宋体" w:cs="宋体"/>
          <w:bCs/>
          <w:sz w:val="24"/>
          <w:szCs w:val="20"/>
        </w:rPr>
      </w:pPr>
    </w:p>
    <w:p>
      <w:pPr>
        <w:snapToGrid w:val="0"/>
        <w:spacing w:before="120" w:beforeLines="50" w:after="50" w:line="400" w:lineRule="exact"/>
        <w:ind w:firstLine="1960" w:firstLineChars="700"/>
        <w:rPr>
          <w:rFonts w:ascii="宋体" w:hAnsi="宋体" w:cs="宋体"/>
          <w:bCs/>
          <w:sz w:val="28"/>
          <w:szCs w:val="21"/>
        </w:rPr>
      </w:pPr>
    </w:p>
    <w:p>
      <w:pPr>
        <w:snapToGrid w:val="0"/>
        <w:spacing w:before="120" w:beforeLines="50" w:after="50" w:line="400" w:lineRule="exact"/>
        <w:ind w:firstLine="1960" w:firstLineChars="700"/>
        <w:rPr>
          <w:rFonts w:ascii="宋体" w:hAnsi="宋体" w:cs="宋体"/>
          <w:bCs/>
          <w:sz w:val="28"/>
          <w:szCs w:val="21"/>
        </w:rPr>
      </w:pPr>
    </w:p>
    <w:p>
      <w:pPr>
        <w:snapToGrid w:val="0"/>
        <w:spacing w:before="120" w:beforeLines="50" w:after="50" w:line="400" w:lineRule="exact"/>
        <w:ind w:firstLine="1960" w:firstLineChars="700"/>
        <w:rPr>
          <w:rFonts w:ascii="宋体" w:hAnsi="宋体" w:cs="宋体"/>
          <w:bCs/>
          <w:sz w:val="28"/>
          <w:szCs w:val="28"/>
        </w:rPr>
      </w:pPr>
      <w:r>
        <w:rPr>
          <w:rFonts w:hint="eastAsia" w:ascii="宋体" w:hAnsi="宋体" w:cs="宋体"/>
          <w:bCs/>
          <w:sz w:val="28"/>
          <w:szCs w:val="28"/>
        </w:rPr>
        <w:t xml:space="preserve">项目名称： </w:t>
      </w:r>
    </w:p>
    <w:p>
      <w:pPr>
        <w:snapToGrid w:val="0"/>
        <w:spacing w:before="120" w:beforeLines="50" w:after="50" w:line="400" w:lineRule="exact"/>
        <w:ind w:firstLine="1960" w:firstLineChars="700"/>
        <w:rPr>
          <w:rFonts w:ascii="宋体" w:hAnsi="宋体" w:cs="宋体"/>
          <w:bCs/>
          <w:sz w:val="28"/>
          <w:szCs w:val="28"/>
        </w:rPr>
      </w:pPr>
      <w:r>
        <w:rPr>
          <w:rFonts w:hint="eastAsia" w:ascii="宋体" w:hAnsi="宋体" w:cs="宋体"/>
          <w:bCs/>
          <w:sz w:val="28"/>
          <w:szCs w:val="28"/>
        </w:rPr>
        <w:t xml:space="preserve">项目编号： </w:t>
      </w:r>
    </w:p>
    <w:p>
      <w:pPr>
        <w:snapToGrid w:val="0"/>
        <w:spacing w:before="120" w:beforeLines="50" w:after="50" w:line="400" w:lineRule="exact"/>
        <w:ind w:firstLine="1960" w:firstLineChars="700"/>
        <w:rPr>
          <w:rFonts w:ascii="宋体" w:hAnsi="宋体" w:cs="宋体"/>
          <w:bCs/>
          <w:sz w:val="28"/>
          <w:szCs w:val="28"/>
        </w:rPr>
      </w:pPr>
      <w:r>
        <w:rPr>
          <w:rFonts w:hint="eastAsia" w:ascii="宋体" w:hAnsi="宋体" w:cs="宋体"/>
          <w:bCs/>
          <w:sz w:val="28"/>
          <w:szCs w:val="28"/>
        </w:rPr>
        <w:t>所投分标：</w:t>
      </w:r>
    </w:p>
    <w:p>
      <w:pPr>
        <w:snapToGrid w:val="0"/>
        <w:spacing w:before="120" w:beforeLines="50" w:after="50" w:line="400" w:lineRule="exact"/>
        <w:ind w:firstLine="1960" w:firstLineChars="700"/>
        <w:rPr>
          <w:rFonts w:ascii="宋体" w:hAnsi="宋体" w:cs="宋体"/>
          <w:bCs/>
          <w:sz w:val="28"/>
          <w:szCs w:val="28"/>
        </w:rPr>
      </w:pPr>
      <w:r>
        <w:rPr>
          <w:rFonts w:hint="eastAsia" w:ascii="宋体" w:hAnsi="宋体" w:cs="宋体"/>
          <w:bCs/>
          <w:sz w:val="28"/>
          <w:szCs w:val="28"/>
        </w:rPr>
        <w:t>投标人名称：</w:t>
      </w:r>
    </w:p>
    <w:p>
      <w:pPr>
        <w:snapToGrid w:val="0"/>
        <w:spacing w:before="120" w:beforeLines="50" w:after="50" w:line="400" w:lineRule="exact"/>
        <w:ind w:firstLine="1960" w:firstLineChars="700"/>
        <w:rPr>
          <w:rFonts w:ascii="宋体" w:hAnsi="宋体" w:cs="宋体"/>
          <w:bCs/>
          <w:sz w:val="28"/>
          <w:szCs w:val="28"/>
        </w:rPr>
      </w:pPr>
      <w:r>
        <w:rPr>
          <w:rFonts w:hint="eastAsia" w:ascii="宋体" w:hAnsi="宋体" w:cs="宋体"/>
          <w:bCs/>
          <w:sz w:val="28"/>
          <w:szCs w:val="28"/>
        </w:rPr>
        <w:t>投标人地址：</w:t>
      </w:r>
    </w:p>
    <w:p>
      <w:pPr>
        <w:pStyle w:val="9"/>
        <w:snapToGrid w:val="0"/>
        <w:spacing w:before="120" w:after="50" w:line="400" w:lineRule="exact"/>
        <w:ind w:firstLine="1120" w:firstLineChars="400"/>
        <w:rPr>
          <w:rFonts w:ascii="宋体" w:hAnsi="宋体" w:cs="宋体"/>
          <w:bCs/>
          <w:sz w:val="28"/>
          <w:szCs w:val="28"/>
        </w:rPr>
      </w:pPr>
    </w:p>
    <w:p>
      <w:pPr>
        <w:snapToGrid w:val="0"/>
        <w:spacing w:before="120" w:beforeLines="50" w:after="50" w:line="400" w:lineRule="exact"/>
        <w:rPr>
          <w:rFonts w:ascii="宋体" w:hAnsi="宋体" w:cs="宋体"/>
          <w:sz w:val="32"/>
          <w:szCs w:val="21"/>
        </w:rPr>
      </w:pPr>
      <w:r>
        <w:rPr>
          <w:rFonts w:hint="eastAsia" w:ascii="宋体" w:hAnsi="宋体" w:cs="宋体"/>
          <w:sz w:val="24"/>
        </w:rPr>
        <w:t xml:space="preserve">                             </w:t>
      </w:r>
      <w:r>
        <w:rPr>
          <w:rFonts w:hint="eastAsia" w:ascii="宋体" w:hAnsi="宋体" w:cs="宋体"/>
          <w:sz w:val="28"/>
          <w:szCs w:val="28"/>
        </w:rPr>
        <w:t xml:space="preserve">      年  月  日</w:t>
      </w:r>
    </w:p>
    <w:p>
      <w:pPr>
        <w:snapToGrid w:val="0"/>
        <w:spacing w:before="120" w:beforeLines="50" w:after="50" w:line="360" w:lineRule="auto"/>
        <w:ind w:firstLine="480"/>
        <w:jc w:val="left"/>
        <w:rPr>
          <w:rFonts w:ascii="宋体" w:hAnsi="宋体" w:cs="宋体"/>
          <w:sz w:val="24"/>
          <w:szCs w:val="20"/>
        </w:rPr>
      </w:pPr>
      <w:r>
        <w:rPr>
          <w:rFonts w:hint="eastAsia" w:ascii="宋体" w:hAnsi="宋体" w:cs="宋体"/>
          <w:b/>
          <w:sz w:val="24"/>
        </w:rPr>
        <w:br w:type="page"/>
      </w:r>
      <w:r>
        <w:rPr>
          <w:rFonts w:hint="eastAsia" w:ascii="宋体" w:hAnsi="宋体" w:cs="宋体"/>
          <w:b/>
          <w:sz w:val="24"/>
        </w:rPr>
        <w:t>2.</w:t>
      </w:r>
      <w:r>
        <w:rPr>
          <w:rFonts w:hint="eastAsia" w:ascii="宋体" w:hAnsi="宋体" w:cs="宋体"/>
          <w:b/>
          <w:bCs/>
          <w:sz w:val="24"/>
        </w:rPr>
        <w:t>报价文件目录</w:t>
      </w:r>
    </w:p>
    <w:p>
      <w:pPr>
        <w:snapToGrid w:val="0"/>
        <w:spacing w:before="120" w:after="120" w:afterLines="50" w:line="360" w:lineRule="auto"/>
        <w:jc w:val="left"/>
        <w:rPr>
          <w:rFonts w:ascii="宋体" w:hAnsi="宋体" w:cs="宋体"/>
          <w:b/>
          <w:sz w:val="24"/>
        </w:rPr>
      </w:pPr>
      <w:r>
        <w:rPr>
          <w:rFonts w:hint="eastAsia" w:ascii="宋体" w:hAnsi="宋体" w:cs="宋体"/>
          <w:sz w:val="24"/>
        </w:rPr>
        <w:t>根据招标文件规定及投标人提供的材料自行编写目录。</w:t>
      </w:r>
    </w:p>
    <w:p>
      <w:pPr>
        <w:snapToGrid w:val="0"/>
        <w:spacing w:before="120" w:beforeLines="50" w:after="50"/>
        <w:ind w:firstLine="480"/>
        <w:rPr>
          <w:rFonts w:ascii="宋体" w:hAnsi="宋体" w:cs="宋体"/>
          <w:b/>
          <w:sz w:val="24"/>
        </w:rPr>
      </w:pPr>
    </w:p>
    <w:p>
      <w:pPr>
        <w:snapToGrid w:val="0"/>
        <w:spacing w:before="120" w:beforeLines="50" w:after="50"/>
        <w:ind w:firstLine="480"/>
        <w:rPr>
          <w:rFonts w:ascii="宋体" w:hAnsi="宋体" w:cs="宋体"/>
          <w:b/>
          <w:sz w:val="24"/>
        </w:rPr>
      </w:pPr>
    </w:p>
    <w:p>
      <w:pPr>
        <w:snapToGrid w:val="0"/>
        <w:spacing w:before="120" w:beforeLines="50" w:after="50"/>
        <w:ind w:firstLine="480"/>
        <w:rPr>
          <w:rFonts w:ascii="宋体" w:hAnsi="宋体" w:cs="宋体"/>
          <w:b/>
          <w:sz w:val="24"/>
        </w:rPr>
      </w:pPr>
    </w:p>
    <w:p>
      <w:pPr>
        <w:snapToGrid w:val="0"/>
        <w:spacing w:before="120" w:beforeLines="50" w:after="50"/>
        <w:ind w:left="142" w:firstLine="480"/>
        <w:jc w:val="left"/>
        <w:rPr>
          <w:rFonts w:ascii="宋体" w:hAnsi="宋体" w:cs="宋体"/>
          <w:b/>
          <w:sz w:val="24"/>
        </w:rPr>
      </w:pPr>
      <w:r>
        <w:rPr>
          <w:rFonts w:hint="eastAsia" w:ascii="宋体" w:hAnsi="宋体" w:cs="宋体"/>
          <w:b/>
          <w:sz w:val="24"/>
        </w:rPr>
        <w:br w:type="page"/>
      </w:r>
      <w:r>
        <w:rPr>
          <w:rFonts w:hint="eastAsia" w:ascii="宋体" w:hAnsi="宋体" w:cs="宋体"/>
          <w:b/>
          <w:sz w:val="24"/>
        </w:rPr>
        <w:t>3. 投标函格式：</w:t>
      </w:r>
    </w:p>
    <w:p>
      <w:pPr>
        <w:snapToGrid w:val="0"/>
        <w:spacing w:before="120" w:beforeLines="50" w:after="50" w:line="360" w:lineRule="auto"/>
        <w:ind w:firstLine="883"/>
        <w:jc w:val="center"/>
        <w:rPr>
          <w:rFonts w:ascii="宋体" w:hAnsi="宋体" w:cs="宋体"/>
          <w:bCs/>
          <w:sz w:val="44"/>
          <w:szCs w:val="44"/>
        </w:rPr>
      </w:pPr>
      <w:r>
        <w:rPr>
          <w:rFonts w:hint="eastAsia" w:ascii="宋体" w:hAnsi="宋体" w:cs="宋体"/>
          <w:bCs/>
          <w:sz w:val="44"/>
          <w:szCs w:val="44"/>
        </w:rPr>
        <w:t>投 标 函</w:t>
      </w:r>
    </w:p>
    <w:p>
      <w:pPr>
        <w:spacing w:before="120" w:line="360" w:lineRule="auto"/>
        <w:contextualSpacing/>
        <w:rPr>
          <w:rFonts w:ascii="宋体" w:hAnsi="宋体" w:cs="宋体"/>
          <w:sz w:val="24"/>
        </w:rPr>
      </w:pPr>
      <w:r>
        <w:rPr>
          <w:rFonts w:hint="eastAsia" w:ascii="宋体" w:hAnsi="宋体" w:cs="宋体"/>
          <w:sz w:val="24"/>
        </w:rPr>
        <w:t>致：</w:t>
      </w:r>
      <w:r>
        <w:rPr>
          <w:rFonts w:hint="eastAsia" w:ascii="宋体" w:hAnsi="宋体" w:cs="宋体"/>
          <w:sz w:val="24"/>
          <w:u w:val="single"/>
        </w:rPr>
        <w:t>采购人名称</w:t>
      </w:r>
    </w:p>
    <w:p>
      <w:pPr>
        <w:spacing w:before="120" w:line="360" w:lineRule="auto"/>
        <w:ind w:firstLine="482"/>
        <w:contextualSpacing/>
        <w:rPr>
          <w:rFonts w:ascii="宋体" w:hAnsi="宋体" w:cs="宋体"/>
          <w:sz w:val="24"/>
        </w:rPr>
      </w:pPr>
      <w:r>
        <w:rPr>
          <w:rFonts w:hint="eastAsia" w:ascii="宋体" w:hAnsi="宋体" w:cs="宋体"/>
          <w:sz w:val="24"/>
        </w:rPr>
        <w:t>根据贵方</w:t>
      </w:r>
      <w:r>
        <w:rPr>
          <w:rFonts w:hint="eastAsia" w:ascii="宋体" w:hAnsi="宋体" w:cs="宋体"/>
          <w:sz w:val="24"/>
          <w:u w:val="single"/>
        </w:rPr>
        <w:t xml:space="preserve"> 项目名称</w:t>
      </w: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rPr>
        <w:t>）的招标公告，签字代表</w:t>
      </w:r>
      <w:r>
        <w:rPr>
          <w:rFonts w:hint="eastAsia" w:ascii="宋体" w:hAnsi="宋体" w:cs="宋体"/>
          <w:sz w:val="24"/>
          <w:u w:val="single"/>
        </w:rPr>
        <w:t xml:space="preserve">         </w:t>
      </w:r>
      <w:r>
        <w:rPr>
          <w:rFonts w:hint="eastAsia" w:ascii="宋体" w:hAnsi="宋体" w:cs="宋体"/>
          <w:sz w:val="24"/>
        </w:rPr>
        <w:t>（姓名）经正式授权并代表投标人</w:t>
      </w:r>
      <w:r>
        <w:rPr>
          <w:rFonts w:hint="eastAsia" w:ascii="宋体" w:hAnsi="宋体" w:cs="宋体"/>
          <w:sz w:val="24"/>
          <w:u w:val="single"/>
        </w:rPr>
        <w:t xml:space="preserve">                 </w:t>
      </w:r>
      <w:r>
        <w:rPr>
          <w:rFonts w:hint="eastAsia" w:ascii="宋体" w:hAnsi="宋体" w:cs="宋体"/>
          <w:sz w:val="24"/>
        </w:rPr>
        <w:t>（投标人名称）提交投标文件。</w:t>
      </w:r>
    </w:p>
    <w:p>
      <w:pPr>
        <w:spacing w:before="120" w:line="360" w:lineRule="auto"/>
        <w:ind w:firstLine="480" w:firstLineChars="200"/>
        <w:contextualSpacing/>
        <w:rPr>
          <w:rFonts w:ascii="宋体" w:hAnsi="宋体" w:cs="宋体"/>
          <w:sz w:val="24"/>
        </w:rPr>
      </w:pPr>
      <w:r>
        <w:rPr>
          <w:rFonts w:hint="eastAsia" w:ascii="宋体" w:hAnsi="宋体" w:cs="宋体"/>
          <w:sz w:val="24"/>
        </w:rPr>
        <w:t>据此函，我方宣布同意如下：</w:t>
      </w:r>
    </w:p>
    <w:p>
      <w:pPr>
        <w:spacing w:before="120" w:line="360" w:lineRule="auto"/>
        <w:ind w:firstLine="480" w:firstLineChars="200"/>
        <w:contextualSpacing/>
        <w:rPr>
          <w:rFonts w:ascii="宋体" w:hAnsi="宋体" w:cs="宋体"/>
          <w:sz w:val="24"/>
        </w:rPr>
      </w:pPr>
      <w:r>
        <w:rPr>
          <w:rFonts w:hint="eastAsia" w:ascii="宋体" w:hAnsi="宋体" w:cs="宋体"/>
          <w:sz w:val="24"/>
        </w:rPr>
        <w:t>1.我方已详细审查全部“招标文件”，包括修改文件（如有的话）以及全部参考资料和有关附件，已经了解我方对于招标文件、采购过程、采购结果有依法进行询问、质疑、投诉的权利及相关渠道和要求。</w:t>
      </w:r>
    </w:p>
    <w:p>
      <w:pPr>
        <w:spacing w:before="120" w:line="360" w:lineRule="auto"/>
        <w:ind w:firstLine="480" w:firstLineChars="200"/>
        <w:contextualSpacing/>
        <w:rPr>
          <w:rFonts w:ascii="宋体" w:hAnsi="宋体" w:cs="宋体"/>
          <w:sz w:val="24"/>
        </w:rPr>
      </w:pPr>
      <w:r>
        <w:rPr>
          <w:rFonts w:hint="eastAsia" w:ascii="宋体" w:hAnsi="宋体" w:cs="宋体"/>
          <w:sz w:val="24"/>
        </w:rPr>
        <w:t>2.我方在投标之前已经完全理解并接受招标文件的各项规定和要求，对招标文件的合理性、合法性不再有异议。</w:t>
      </w:r>
    </w:p>
    <w:p>
      <w:pPr>
        <w:spacing w:before="120" w:line="360" w:lineRule="auto"/>
        <w:ind w:firstLine="480" w:firstLineChars="200"/>
        <w:contextualSpacing/>
        <w:rPr>
          <w:rFonts w:ascii="宋体" w:hAnsi="宋体" w:cs="宋体"/>
          <w:sz w:val="24"/>
        </w:rPr>
      </w:pPr>
      <w:r>
        <w:rPr>
          <w:rFonts w:hint="eastAsia" w:ascii="宋体" w:hAnsi="宋体" w:cs="宋体"/>
          <w:sz w:val="24"/>
        </w:rPr>
        <w:t>3.本投标有效期自投标截止之日起</w:t>
      </w:r>
      <w:r>
        <w:rPr>
          <w:rFonts w:hint="eastAsia" w:ascii="宋体" w:hAnsi="宋体" w:cs="宋体"/>
          <w:sz w:val="24"/>
          <w:u w:val="single"/>
        </w:rPr>
        <w:t xml:space="preserve">    </w:t>
      </w:r>
      <w:r>
        <w:rPr>
          <w:rFonts w:hint="eastAsia" w:ascii="宋体" w:hAnsi="宋体" w:cs="宋体"/>
          <w:sz w:val="24"/>
        </w:rPr>
        <w:t>日。</w:t>
      </w:r>
    </w:p>
    <w:p>
      <w:pPr>
        <w:spacing w:before="120" w:line="360" w:lineRule="auto"/>
        <w:ind w:firstLine="480" w:firstLineChars="200"/>
        <w:contextualSpacing/>
        <w:rPr>
          <w:rFonts w:ascii="宋体" w:hAnsi="宋体" w:cs="宋体"/>
          <w:sz w:val="24"/>
        </w:rPr>
      </w:pPr>
      <w:r>
        <w:rPr>
          <w:rFonts w:hint="eastAsia" w:ascii="宋体" w:hAnsi="宋体" w:cs="宋体"/>
          <w:sz w:val="24"/>
        </w:rPr>
        <w:t>4.如中标，本投标文件至本项目合同履行完毕止均保持有效，我方将按“招标文件”及政府采购法律、法规的规定履行合同责任和义务。</w:t>
      </w:r>
    </w:p>
    <w:p>
      <w:pPr>
        <w:spacing w:before="120" w:line="360" w:lineRule="auto"/>
        <w:ind w:firstLine="480" w:firstLineChars="200"/>
        <w:contextualSpacing/>
        <w:rPr>
          <w:rFonts w:ascii="宋体" w:hAnsi="宋体" w:cs="宋体"/>
          <w:sz w:val="24"/>
        </w:rPr>
      </w:pPr>
      <w:r>
        <w:rPr>
          <w:rFonts w:hint="eastAsia" w:ascii="宋体" w:hAnsi="宋体" w:cs="宋体"/>
          <w:sz w:val="24"/>
        </w:rPr>
        <w:t>5.我方同意按照贵方要求提供与投标有关的一切数据或者资料。</w:t>
      </w:r>
    </w:p>
    <w:p>
      <w:pPr>
        <w:spacing w:before="120" w:line="360" w:lineRule="auto"/>
        <w:ind w:firstLine="480" w:firstLineChars="200"/>
        <w:contextualSpacing/>
        <w:rPr>
          <w:rFonts w:ascii="宋体" w:hAnsi="宋体" w:cs="宋体"/>
          <w:sz w:val="24"/>
        </w:rPr>
      </w:pPr>
      <w:r>
        <w:rPr>
          <w:rFonts w:hint="eastAsia" w:ascii="宋体" w:hAnsi="宋体" w:cs="宋体"/>
          <w:sz w:val="24"/>
        </w:rPr>
        <w:t>6.我方向贵方提交的所有投标文件、资料都是准确的和真实的。</w:t>
      </w:r>
    </w:p>
    <w:p>
      <w:pPr>
        <w:spacing w:before="120" w:line="360" w:lineRule="auto"/>
        <w:ind w:firstLine="480" w:firstLineChars="200"/>
        <w:contextualSpacing/>
        <w:rPr>
          <w:rFonts w:ascii="宋体" w:hAnsi="宋体" w:cs="宋体"/>
          <w:sz w:val="24"/>
        </w:rPr>
      </w:pPr>
      <w:r>
        <w:rPr>
          <w:rFonts w:hint="eastAsia" w:ascii="宋体" w:hAnsi="宋体" w:cs="宋体"/>
          <w:sz w:val="24"/>
        </w:rPr>
        <w:t>7.以上事项如有虚假或者隐瞒，我方愿意承担一切后果，并不再寻求任何旨在减轻或者免除法律责任的辩解。</w:t>
      </w:r>
    </w:p>
    <w:p>
      <w:pPr>
        <w:spacing w:before="120" w:line="360" w:lineRule="auto"/>
        <w:ind w:firstLine="480" w:firstLineChars="200"/>
        <w:contextualSpacing/>
        <w:rPr>
          <w:rFonts w:ascii="宋体" w:hAnsi="宋体" w:cs="宋体"/>
          <w:sz w:val="24"/>
        </w:rPr>
      </w:pPr>
      <w:r>
        <w:rPr>
          <w:rFonts w:hint="eastAsia" w:ascii="宋体" w:hAnsi="宋体" w:cs="宋体"/>
          <w:sz w:val="24"/>
        </w:rPr>
        <w:t>8.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before="120" w:line="360" w:lineRule="auto"/>
        <w:ind w:firstLine="480" w:firstLineChars="200"/>
        <w:contextualSpacing/>
        <w:rPr>
          <w:rFonts w:ascii="宋体" w:hAnsi="宋体" w:cs="宋体"/>
          <w:sz w:val="24"/>
        </w:rPr>
      </w:pPr>
      <w:r>
        <w:rPr>
          <w:rFonts w:hint="eastAsia" w:ascii="宋体" w:hAnsi="宋体" w:cs="宋体"/>
          <w:sz w:val="24"/>
        </w:rPr>
        <w:t>□我方本次投标文件</w:t>
      </w:r>
      <w:r>
        <w:rPr>
          <w:rFonts w:hint="eastAsia" w:ascii="宋体" w:hAnsi="宋体" w:cs="宋体"/>
          <w:kern w:val="0"/>
          <w:sz w:val="24"/>
        </w:rPr>
        <w:t>内容中</w:t>
      </w:r>
      <w:r>
        <w:rPr>
          <w:rFonts w:hint="eastAsia" w:ascii="宋体" w:hAnsi="宋体" w:cs="宋体"/>
          <w:sz w:val="24"/>
        </w:rPr>
        <w:t>未</w:t>
      </w:r>
      <w:r>
        <w:rPr>
          <w:rFonts w:hint="eastAsia" w:ascii="宋体" w:hAnsi="宋体" w:cs="宋体"/>
          <w:kern w:val="0"/>
          <w:sz w:val="24"/>
        </w:rPr>
        <w:t>涉及商业秘密；</w:t>
      </w:r>
    </w:p>
    <w:p>
      <w:pPr>
        <w:spacing w:before="120" w:line="360" w:lineRule="auto"/>
        <w:ind w:firstLine="480" w:firstLineChars="200"/>
        <w:contextualSpacing/>
        <w:rPr>
          <w:rFonts w:ascii="宋体" w:hAnsi="宋体" w:cs="宋体"/>
          <w:kern w:val="0"/>
          <w:sz w:val="24"/>
        </w:rPr>
      </w:pPr>
      <w:r>
        <w:rPr>
          <w:rFonts w:hint="eastAsia" w:ascii="宋体" w:hAnsi="宋体" w:cs="宋体"/>
          <w:sz w:val="24"/>
        </w:rPr>
        <w:t>□我方本次投标文件</w:t>
      </w:r>
      <w:r>
        <w:rPr>
          <w:rFonts w:hint="eastAsia" w:ascii="宋体" w:hAnsi="宋体" w:cs="宋体"/>
          <w:kern w:val="0"/>
          <w:sz w:val="24"/>
        </w:rPr>
        <w:t>涉及商业秘密的内容有：</w:t>
      </w:r>
      <w:r>
        <w:rPr>
          <w:rFonts w:hint="eastAsia" w:ascii="宋体" w:hAnsi="宋体" w:cs="宋体"/>
          <w:sz w:val="24"/>
        </w:rPr>
        <w:t xml:space="preserve">                         </w:t>
      </w:r>
      <w:r>
        <w:rPr>
          <w:rFonts w:hint="eastAsia" w:ascii="宋体" w:hAnsi="宋体" w:cs="宋体"/>
          <w:kern w:val="0"/>
          <w:sz w:val="24"/>
        </w:rPr>
        <w:t>；</w:t>
      </w:r>
    </w:p>
    <w:p>
      <w:pPr>
        <w:spacing w:before="120" w:line="360" w:lineRule="auto"/>
        <w:ind w:firstLine="480" w:firstLineChars="200"/>
        <w:contextualSpacing/>
        <w:rPr>
          <w:rFonts w:ascii="宋体" w:hAnsi="宋体" w:cs="宋体"/>
          <w:sz w:val="24"/>
        </w:rPr>
      </w:pPr>
      <w:r>
        <w:rPr>
          <w:rFonts w:hint="eastAsia" w:ascii="宋体" w:hAnsi="宋体" w:cs="宋体"/>
          <w:sz w:val="24"/>
        </w:rPr>
        <w:t>9.我方若中标，将采取</w:t>
      </w:r>
      <w:r>
        <w:rPr>
          <w:rFonts w:hint="eastAsia" w:ascii="宋体" w:hAnsi="宋体" w:cs="宋体"/>
          <w:sz w:val="24"/>
          <w:u w:val="single"/>
        </w:rPr>
        <w:t>      </w:t>
      </w:r>
      <w:r>
        <w:rPr>
          <w:rFonts w:hint="eastAsia" w:ascii="宋体" w:hAnsi="宋体" w:cs="宋体"/>
          <w:sz w:val="24"/>
        </w:rPr>
        <w:t>（汽车、火车、飞机等）方式运输货物。</w:t>
      </w:r>
    </w:p>
    <w:p>
      <w:pPr>
        <w:spacing w:before="120" w:line="360" w:lineRule="auto"/>
        <w:ind w:firstLine="480" w:firstLineChars="200"/>
        <w:contextualSpacing/>
        <w:rPr>
          <w:rFonts w:ascii="宋体" w:hAnsi="宋体" w:cs="宋体"/>
          <w:sz w:val="24"/>
        </w:rPr>
      </w:pPr>
      <w:r>
        <w:rPr>
          <w:rFonts w:hint="eastAsia" w:ascii="宋体" w:hAnsi="宋体" w:cs="宋体"/>
          <w:sz w:val="24"/>
        </w:rPr>
        <w:t>10.我方若竞标成功，除非发生不可抗力，承诺与采购人及时签订《采购合同》。如果放弃，自愿按照本文件之《供应商须知正文》第30.4条的要求承担法律责任和失信惩戒。</w:t>
      </w:r>
    </w:p>
    <w:p>
      <w:pPr>
        <w:spacing w:before="120" w:line="360" w:lineRule="auto"/>
        <w:ind w:firstLine="480" w:firstLineChars="200"/>
        <w:contextualSpacing/>
        <w:rPr>
          <w:rFonts w:ascii="宋体" w:hAnsi="宋体" w:cs="宋体"/>
          <w:sz w:val="24"/>
        </w:rPr>
      </w:pPr>
      <w:r>
        <w:rPr>
          <w:rFonts w:ascii="宋体" w:hAnsi="宋体" w:cs="宋体"/>
          <w:sz w:val="24"/>
        </w:rPr>
        <w:t>11</w:t>
      </w:r>
      <w:r>
        <w:rPr>
          <w:rFonts w:hint="eastAsia" w:ascii="宋体" w:hAnsi="宋体" w:cs="宋体"/>
          <w:sz w:val="24"/>
        </w:rPr>
        <w:t>.与本投标有关的一切正式往来信函请寄：</w:t>
      </w:r>
    </w:p>
    <w:p>
      <w:pPr>
        <w:spacing w:before="120" w:line="360" w:lineRule="auto"/>
        <w:ind w:firstLine="480" w:firstLineChars="200"/>
        <w:contextualSpacing/>
        <w:rPr>
          <w:rFonts w:ascii="宋体" w:hAnsi="宋体" w:cs="宋体"/>
          <w:sz w:val="24"/>
        </w:rPr>
      </w:pPr>
      <w:r>
        <w:rPr>
          <w:rFonts w:hint="eastAsia" w:ascii="宋体" w:hAnsi="宋体" w:cs="宋体"/>
          <w:sz w:val="24"/>
        </w:rPr>
        <w:t xml:space="preserve">地址：          邮编：            </w:t>
      </w:r>
    </w:p>
    <w:p>
      <w:pPr>
        <w:spacing w:before="120" w:line="360" w:lineRule="auto"/>
        <w:ind w:firstLine="480" w:firstLineChars="200"/>
        <w:contextualSpacing/>
        <w:rPr>
          <w:rFonts w:ascii="宋体" w:hAnsi="宋体" w:cs="宋体"/>
          <w:sz w:val="24"/>
        </w:rPr>
      </w:pPr>
      <w:r>
        <w:rPr>
          <w:rFonts w:hint="eastAsia" w:ascii="宋体" w:hAnsi="宋体" w:cs="宋体"/>
          <w:sz w:val="24"/>
        </w:rPr>
        <w:t>电话：</w:t>
      </w:r>
      <w:r>
        <w:rPr>
          <w:rFonts w:hint="eastAsia" w:ascii="宋体" w:hAnsi="宋体" w:cs="宋体"/>
          <w:sz w:val="24"/>
          <w:u w:val="single"/>
        </w:rPr>
        <w:t xml:space="preserve">        </w:t>
      </w:r>
      <w:r>
        <w:rPr>
          <w:rFonts w:hint="eastAsia" w:ascii="宋体" w:hAnsi="宋体" w:cs="宋体"/>
          <w:sz w:val="24"/>
        </w:rPr>
        <w:t>传真：</w:t>
      </w:r>
      <w:r>
        <w:rPr>
          <w:rFonts w:hint="eastAsia" w:ascii="宋体" w:hAnsi="宋体" w:cs="宋体"/>
          <w:sz w:val="24"/>
          <w:u w:val="single"/>
        </w:rPr>
        <w:t xml:space="preserve">          </w:t>
      </w:r>
    </w:p>
    <w:p>
      <w:pPr>
        <w:spacing w:before="120" w:line="360" w:lineRule="auto"/>
        <w:ind w:firstLine="480" w:firstLineChars="200"/>
        <w:contextualSpacing/>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p>
    <w:p>
      <w:pPr>
        <w:spacing w:before="120" w:line="360" w:lineRule="auto"/>
        <w:ind w:firstLine="480" w:firstLineChars="200"/>
        <w:contextualSpacing/>
        <w:jc w:val="left"/>
        <w:rPr>
          <w:rFonts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银行帐号：</w:t>
      </w:r>
      <w:r>
        <w:rPr>
          <w:rFonts w:hint="eastAsia" w:ascii="宋体" w:hAnsi="宋体" w:cs="宋体"/>
          <w:sz w:val="24"/>
          <w:u w:val="single"/>
        </w:rPr>
        <w:t xml:space="preserve">                    </w:t>
      </w:r>
      <w:r>
        <w:rPr>
          <w:rFonts w:hint="eastAsia" w:ascii="宋体" w:hAnsi="宋体" w:cs="宋体"/>
          <w:sz w:val="24"/>
        </w:rPr>
        <w:t xml:space="preserve"> </w:t>
      </w:r>
    </w:p>
    <w:p>
      <w:pPr>
        <w:spacing w:before="120" w:line="360" w:lineRule="auto"/>
        <w:ind w:firstLine="480" w:firstLineChars="200"/>
        <w:contextualSpacing/>
        <w:jc w:val="left"/>
        <w:rPr>
          <w:rFonts w:ascii="宋体" w:hAnsi="宋体" w:cs="宋体"/>
          <w:sz w:val="24"/>
        </w:rPr>
      </w:pPr>
      <w:r>
        <w:rPr>
          <w:rFonts w:hint="eastAsia" w:ascii="宋体" w:hAnsi="宋体" w:cs="宋体"/>
          <w:sz w:val="24"/>
        </w:rPr>
        <w:t>法定代表人或者委托代理人签字：</w:t>
      </w:r>
      <w:r>
        <w:rPr>
          <w:rFonts w:hint="eastAsia" w:ascii="宋体" w:hAnsi="宋体" w:cs="宋体"/>
          <w:sz w:val="24"/>
          <w:u w:val="single"/>
        </w:rPr>
        <w:t xml:space="preserve">           </w:t>
      </w:r>
      <w:r>
        <w:rPr>
          <w:rFonts w:hint="eastAsia" w:ascii="宋体" w:hAnsi="宋体" w:cs="宋体"/>
          <w:sz w:val="24"/>
        </w:rPr>
        <w:t xml:space="preserve"> </w:t>
      </w:r>
    </w:p>
    <w:p>
      <w:pPr>
        <w:pStyle w:val="25"/>
        <w:spacing w:before="120" w:line="360" w:lineRule="auto"/>
        <w:contextualSpacing/>
        <w:jc w:val="center"/>
        <w:rPr>
          <w:rFonts w:hAnsi="宋体" w:cs="宋体"/>
          <w:sz w:val="24"/>
          <w:szCs w:val="24"/>
          <w:u w:val="single"/>
        </w:rPr>
      </w:pPr>
      <w:r>
        <w:rPr>
          <w:rFonts w:hint="eastAsia" w:hAnsi="宋体" w:cs="宋体"/>
          <w:sz w:val="24"/>
          <w:szCs w:val="24"/>
        </w:rPr>
        <w:t xml:space="preserve">                                    投标人（公章）：</w:t>
      </w:r>
    </w:p>
    <w:p>
      <w:pPr>
        <w:pStyle w:val="25"/>
        <w:spacing w:before="120" w:line="360" w:lineRule="auto"/>
        <w:contextualSpacing/>
        <w:rPr>
          <w:rFonts w:hAnsi="宋体" w:cs="宋体"/>
          <w:sz w:val="24"/>
          <w:szCs w:val="24"/>
        </w:rPr>
      </w:pPr>
      <w:r>
        <w:rPr>
          <w:rFonts w:hint="eastAsia" w:hAnsi="宋体" w:cs="宋体"/>
          <w:sz w:val="24"/>
          <w:szCs w:val="24"/>
        </w:rPr>
        <w:t xml:space="preserve">                                                </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snapToGrid w:val="0"/>
        <w:spacing w:before="120" w:beforeLines="50" w:after="50" w:line="360" w:lineRule="auto"/>
        <w:jc w:val="left"/>
        <w:rPr>
          <w:rFonts w:ascii="宋体" w:hAnsi="宋体" w:cs="宋体"/>
          <w:b/>
          <w:sz w:val="24"/>
          <w:szCs w:val="20"/>
        </w:rPr>
      </w:pPr>
      <w:r>
        <w:rPr>
          <w:rFonts w:hint="eastAsia" w:ascii="宋体" w:hAnsi="宋体" w:cs="宋体"/>
          <w:sz w:val="24"/>
          <w:u w:val="single"/>
        </w:rPr>
        <w:br w:type="page"/>
      </w:r>
      <w:r>
        <w:rPr>
          <w:rFonts w:hint="eastAsia" w:ascii="宋体" w:hAnsi="宋体" w:cs="宋体"/>
          <w:b/>
          <w:sz w:val="24"/>
        </w:rPr>
        <w:t>4. 开标一览表（货物类格式）</w:t>
      </w:r>
    </w:p>
    <w:p>
      <w:pPr>
        <w:snapToGrid w:val="0"/>
        <w:spacing w:before="120" w:after="50"/>
        <w:ind w:firstLine="600"/>
        <w:jc w:val="center"/>
        <w:rPr>
          <w:rFonts w:ascii="宋体" w:hAnsi="宋体" w:cs="宋体"/>
          <w:b/>
          <w:sz w:val="30"/>
        </w:rPr>
      </w:pPr>
      <w:r>
        <w:rPr>
          <w:rFonts w:hint="eastAsia" w:ascii="宋体" w:hAnsi="宋体" w:cs="宋体"/>
          <w:b/>
          <w:sz w:val="30"/>
        </w:rPr>
        <w:t>开标一览表</w:t>
      </w:r>
    </w:p>
    <w:p>
      <w:pPr>
        <w:snapToGrid w:val="0"/>
        <w:spacing w:before="120" w:after="50"/>
        <w:ind w:firstLine="480"/>
        <w:jc w:val="center"/>
        <w:rPr>
          <w:rFonts w:ascii="宋体" w:hAnsi="宋体" w:cs="宋体"/>
          <w:b/>
          <w:sz w:val="24"/>
        </w:rPr>
      </w:pPr>
    </w:p>
    <w:p>
      <w:pPr>
        <w:snapToGrid w:val="0"/>
        <w:spacing w:before="120" w:after="50" w:line="360" w:lineRule="auto"/>
        <w:rPr>
          <w:rFonts w:ascii="宋体" w:hAnsi="宋体" w:cs="宋体"/>
          <w:sz w:val="24"/>
          <w:u w:val="single"/>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 xml:space="preserve">         项目编号：</w:t>
      </w:r>
      <w:r>
        <w:rPr>
          <w:rFonts w:hint="eastAsia" w:ascii="宋体" w:hAnsi="宋体" w:cs="宋体"/>
          <w:sz w:val="24"/>
          <w:u w:val="single"/>
        </w:rPr>
        <w:t xml:space="preserve">            </w:t>
      </w:r>
      <w:r>
        <w:rPr>
          <w:rFonts w:hint="eastAsia" w:ascii="宋体" w:hAnsi="宋体" w:cs="宋体"/>
          <w:sz w:val="24"/>
        </w:rPr>
        <w:t xml:space="preserve">         分标：</w:t>
      </w:r>
      <w:r>
        <w:rPr>
          <w:rFonts w:hint="eastAsia" w:ascii="宋体" w:hAnsi="宋体" w:cs="宋体"/>
          <w:sz w:val="24"/>
          <w:u w:val="single"/>
        </w:rPr>
        <w:t xml:space="preserve">           </w:t>
      </w:r>
    </w:p>
    <w:p>
      <w:pPr>
        <w:snapToGrid w:val="0"/>
        <w:spacing w:before="120" w:after="50" w:line="360" w:lineRule="auto"/>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货币单位：人民币元</w:t>
      </w:r>
    </w:p>
    <w:tbl>
      <w:tblPr>
        <w:tblStyle w:val="47"/>
        <w:tblW w:w="9282" w:type="dxa"/>
        <w:jc w:val="center"/>
        <w:tblLayout w:type="autofit"/>
        <w:tblCellMar>
          <w:top w:w="0" w:type="dxa"/>
          <w:left w:w="108" w:type="dxa"/>
          <w:bottom w:w="0" w:type="dxa"/>
          <w:right w:w="108" w:type="dxa"/>
        </w:tblCellMar>
      </w:tblPr>
      <w:tblGrid>
        <w:gridCol w:w="457"/>
        <w:gridCol w:w="1632"/>
        <w:gridCol w:w="771"/>
        <w:gridCol w:w="750"/>
        <w:gridCol w:w="772"/>
        <w:gridCol w:w="772"/>
        <w:gridCol w:w="772"/>
        <w:gridCol w:w="772"/>
        <w:gridCol w:w="772"/>
        <w:gridCol w:w="939"/>
        <w:gridCol w:w="873"/>
      </w:tblGrid>
      <w:tr>
        <w:tblPrEx>
          <w:tblCellMar>
            <w:top w:w="0" w:type="dxa"/>
            <w:left w:w="108" w:type="dxa"/>
            <w:bottom w:w="0" w:type="dxa"/>
            <w:right w:w="108" w:type="dxa"/>
          </w:tblCellMar>
        </w:tblPrEx>
        <w:trPr>
          <w:trHeight w:val="91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序号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货物名称</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单位</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品牌</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型号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生产厂家</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产地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单  价</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单项合计（元）</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kern w:val="0"/>
                <w:sz w:val="24"/>
                <w:lang w:bidi="ar"/>
              </w:rPr>
            </w:pPr>
            <w:r>
              <w:rPr>
                <w:rFonts w:hint="eastAsia" w:ascii="宋体" w:hAnsi="宋体" w:cs="宋体"/>
                <w:b/>
                <w:bCs/>
                <w:kern w:val="0"/>
                <w:sz w:val="24"/>
                <w:lang w:bidi="ar"/>
              </w:rPr>
              <w:t>备注</w:t>
            </w:r>
          </w:p>
        </w:tc>
      </w:tr>
      <w:tr>
        <w:tblPrEx>
          <w:tblCellMar>
            <w:top w:w="0" w:type="dxa"/>
            <w:left w:w="108" w:type="dxa"/>
            <w:bottom w:w="0" w:type="dxa"/>
            <w:right w:w="108" w:type="dxa"/>
          </w:tblCellMar>
        </w:tblPrEx>
        <w:trPr>
          <w:trHeight w:val="493" w:hRule="atLeast"/>
          <w:jc w:val="center"/>
        </w:trPr>
        <w:tc>
          <w:tcPr>
            <w:tcW w:w="84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sz w:val="24"/>
              </w:rPr>
            </w:pPr>
            <w:r>
              <w:rPr>
                <w:rFonts w:hint="eastAsia" w:ascii="宋体" w:hAnsi="宋体" w:cs="宋体"/>
                <w:b/>
                <w:bCs/>
                <w:kern w:val="0"/>
                <w:sz w:val="24"/>
                <w:lang w:bidi="ar"/>
              </w:rPr>
              <w:t>一、校园网</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kern w:val="0"/>
                <w:sz w:val="24"/>
                <w:lang w:bidi="ar"/>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无线控制器</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核心交换机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汇聚交换机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975"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汇聚交换机（7号楼汇聚交换机）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光纤汇聚无源设备</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汇聚交换机配套光模块</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组</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接入设备配套光模块</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组</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吸顶AP</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699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高密AP</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70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室外AP</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4口光面板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8口光面板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24口交换机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8口光交换机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57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8口万兆POE光交换机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3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8口POE交换机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391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SDN控制器</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975"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2芯单模光纤跳线 10米-15米长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57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19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2芯单模光纤跳线 2米长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171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20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一光一电</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21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4口光纤盒 含尾纤、耦合器</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975"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jc w:val="center"/>
              <w:textAlignment w:val="center"/>
              <w:rPr>
                <w:rFonts w:ascii="宋体" w:hAnsi="宋体" w:cs="宋体"/>
                <w:sz w:val="24"/>
              </w:rPr>
            </w:pPr>
            <w:r>
              <w:rPr>
                <w:rFonts w:hint="eastAsia" w:ascii="宋体" w:hAnsi="宋体" w:cs="宋体"/>
                <w:kern w:val="0"/>
                <w:sz w:val="24"/>
                <w:lang w:bidi="ar"/>
              </w:rPr>
              <w:t>22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48口光纤配线架 含尾纤、耦合器</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架</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894" w:hRule="atLeast"/>
          <w:jc w:val="center"/>
        </w:trPr>
        <w:tc>
          <w:tcPr>
            <w:tcW w:w="84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ind w:firstLine="480"/>
              <w:jc w:val="center"/>
              <w:textAlignment w:val="center"/>
              <w:rPr>
                <w:rFonts w:ascii="宋体" w:hAnsi="宋体" w:cs="宋体"/>
                <w:b/>
                <w:bCs/>
                <w:sz w:val="24"/>
              </w:rPr>
            </w:pPr>
            <w:r>
              <w:rPr>
                <w:rFonts w:hint="eastAsia" w:ascii="宋体" w:hAnsi="宋体" w:cs="宋体"/>
                <w:b/>
                <w:bCs/>
                <w:kern w:val="0"/>
                <w:sz w:val="24"/>
                <w:lang w:bidi="ar"/>
              </w:rPr>
              <w:t>二、学生宿舍网</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ind w:firstLine="480"/>
              <w:jc w:val="center"/>
              <w:textAlignment w:val="center"/>
              <w:rPr>
                <w:rFonts w:ascii="宋体" w:hAnsi="宋体" w:cs="宋体"/>
                <w:b/>
                <w:bCs/>
                <w:kern w:val="0"/>
                <w:sz w:val="24"/>
                <w:lang w:bidi="ar"/>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出口路由器</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核心交换机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认证计费系统开发接入服务</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无线控制器</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汇聚交换机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光纤汇聚无源设备</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汇聚交换机配套光模块</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组</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925"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接入设备配套光模块</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组</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吸顶AP</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55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4口光面板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8口光面板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1686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8口POE交换机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975"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2芯单模光纤跳线 10米-15米长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2芯单模光纤跳线 2米长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213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599" w:hRule="atLeast"/>
          <w:jc w:val="center"/>
        </w:trPr>
        <w:tc>
          <w:tcPr>
            <w:tcW w:w="84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ind w:firstLine="480"/>
              <w:jc w:val="center"/>
              <w:textAlignment w:val="center"/>
              <w:rPr>
                <w:rFonts w:ascii="宋体" w:hAnsi="宋体" w:cs="宋体"/>
                <w:b/>
                <w:bCs/>
                <w:sz w:val="24"/>
              </w:rPr>
            </w:pPr>
            <w:r>
              <w:rPr>
                <w:rFonts w:hint="eastAsia" w:ascii="宋体" w:hAnsi="宋体" w:cs="宋体"/>
                <w:b/>
                <w:bCs/>
                <w:kern w:val="0"/>
                <w:sz w:val="24"/>
                <w:lang w:bidi="ar"/>
              </w:rPr>
              <w:t>三、设备网</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20"/>
              <w:ind w:firstLine="480"/>
              <w:jc w:val="center"/>
              <w:textAlignment w:val="center"/>
              <w:rPr>
                <w:rFonts w:ascii="宋体" w:hAnsi="宋体" w:cs="宋体"/>
                <w:b/>
                <w:bCs/>
                <w:kern w:val="0"/>
                <w:sz w:val="24"/>
                <w:lang w:bidi="ar"/>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核心交换机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24口POE交换机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129</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31"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24口交换机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48口全光口交换机</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975"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2芯单模光纤跳线 10米-15米长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153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5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2芯单模光纤跳线 2米长</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153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条</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342"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43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6U机柜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107</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120"/>
              <w:ind w:firstLine="442"/>
              <w:jc w:val="center"/>
              <w:rPr>
                <w:rFonts w:ascii="宋体" w:hAnsi="宋体" w:cs="宋体"/>
                <w:sz w:val="24"/>
              </w:rPr>
            </w:pPr>
          </w:p>
        </w:tc>
      </w:tr>
      <w:tr>
        <w:tblPrEx>
          <w:tblCellMar>
            <w:top w:w="0" w:type="dxa"/>
            <w:left w:w="108" w:type="dxa"/>
            <w:bottom w:w="0" w:type="dxa"/>
            <w:right w:w="108" w:type="dxa"/>
          </w:tblCellMar>
        </w:tblPrEx>
        <w:trPr>
          <w:trHeight w:val="660" w:hRule="atLeast"/>
          <w:jc w:val="center"/>
        </w:trPr>
        <w:tc>
          <w:tcPr>
            <w:tcW w:w="9282" w:type="dxa"/>
            <w:gridSpan w:val="11"/>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120" w:line="360" w:lineRule="auto"/>
              <w:jc w:val="left"/>
              <w:rPr>
                <w:rFonts w:ascii="宋体" w:hAnsi="宋体" w:cs="宋体"/>
                <w:sz w:val="24"/>
              </w:rPr>
            </w:pPr>
          </w:p>
          <w:p>
            <w:pPr>
              <w:snapToGrid w:val="0"/>
              <w:spacing w:before="120" w:line="360" w:lineRule="auto"/>
              <w:jc w:val="left"/>
              <w:rPr>
                <w:rFonts w:ascii="宋体" w:hAnsi="宋体" w:cs="宋体"/>
                <w:sz w:val="24"/>
              </w:rPr>
            </w:pPr>
            <w:r>
              <w:rPr>
                <w:rFonts w:hint="eastAsia" w:ascii="宋体" w:hAnsi="宋体" w:cs="宋体"/>
                <w:sz w:val="24"/>
              </w:rPr>
              <w:t>合计金额（人民币大写</w:t>
            </w:r>
            <w:r>
              <w:rPr>
                <w:rFonts w:hint="eastAsia" w:ascii="宋体" w:hAnsi="宋体" w:cs="宋体"/>
                <w:sz w:val="24"/>
                <w:u w:val="single"/>
              </w:rPr>
              <w:t xml:space="preserve">）               </w:t>
            </w:r>
            <w:r>
              <w:rPr>
                <w:rFonts w:hint="eastAsia" w:ascii="宋体" w:hAnsi="宋体" w:cs="宋体"/>
                <w:b/>
                <w:bCs/>
                <w:sz w:val="24"/>
                <w:u w:val="single"/>
              </w:rPr>
              <w:t xml:space="preserve">               </w:t>
            </w:r>
            <w:r>
              <w:rPr>
                <w:rFonts w:hint="eastAsia" w:ascii="宋体" w:hAnsi="宋体" w:cs="宋体"/>
                <w:bCs/>
                <w:sz w:val="24"/>
                <w:u w:val="single"/>
              </w:rPr>
              <w:t>元整</w:t>
            </w:r>
            <w:r>
              <w:rPr>
                <w:rFonts w:hint="eastAsia" w:ascii="宋体" w:hAnsi="宋体" w:cs="宋体"/>
                <w:bCs/>
                <w:sz w:val="24"/>
              </w:rPr>
              <w:t>（小写）</w:t>
            </w:r>
            <w:r>
              <w:rPr>
                <w:rFonts w:hint="eastAsia" w:ascii="宋体" w:hAnsi="宋体" w:cs="宋体"/>
                <w:bCs/>
                <w:sz w:val="24"/>
                <w:u w:val="single"/>
              </w:rPr>
              <w:t xml:space="preserve">¥          </w:t>
            </w:r>
          </w:p>
        </w:tc>
      </w:tr>
      <w:tr>
        <w:tblPrEx>
          <w:tblCellMar>
            <w:top w:w="0" w:type="dxa"/>
            <w:left w:w="108" w:type="dxa"/>
            <w:bottom w:w="0" w:type="dxa"/>
            <w:right w:w="108" w:type="dxa"/>
          </w:tblCellMar>
        </w:tblPrEx>
        <w:trPr>
          <w:trHeight w:val="342" w:hRule="atLeast"/>
          <w:jc w:val="center"/>
        </w:trPr>
        <w:tc>
          <w:tcPr>
            <w:tcW w:w="9282" w:type="dxa"/>
            <w:gridSpan w:val="11"/>
            <w:tcBorders>
              <w:top w:val="single" w:color="000000" w:sz="4" w:space="0"/>
              <w:left w:val="single" w:color="000000" w:sz="4" w:space="0"/>
              <w:bottom w:val="single" w:color="000000" w:sz="4" w:space="0"/>
              <w:right w:val="single" w:color="000000" w:sz="4" w:space="0"/>
            </w:tcBorders>
            <w:shd w:val="clear" w:color="auto" w:fill="auto"/>
          </w:tcPr>
          <w:p>
            <w:pPr>
              <w:snapToGrid w:val="0"/>
              <w:spacing w:before="120" w:line="360" w:lineRule="auto"/>
              <w:jc w:val="left"/>
              <w:rPr>
                <w:rFonts w:ascii="宋体" w:hAnsi="宋体" w:cs="宋体"/>
                <w:sz w:val="24"/>
              </w:rPr>
            </w:pPr>
          </w:p>
          <w:p>
            <w:pPr>
              <w:snapToGrid w:val="0"/>
              <w:spacing w:before="120" w:line="360" w:lineRule="auto"/>
              <w:jc w:val="left"/>
              <w:rPr>
                <w:rFonts w:ascii="宋体" w:hAnsi="宋体" w:cs="宋体"/>
                <w:sz w:val="24"/>
              </w:rPr>
            </w:pPr>
            <w:r>
              <w:rPr>
                <w:rFonts w:hint="eastAsia" w:ascii="宋体" w:hAnsi="宋体" w:cs="宋体"/>
                <w:sz w:val="24"/>
              </w:rPr>
              <w:t>交付时间：</w:t>
            </w:r>
            <w:r>
              <w:rPr>
                <w:rFonts w:hint="eastAsia" w:ascii="宋体" w:hAnsi="宋体" w:cs="宋体"/>
                <w:sz w:val="24"/>
                <w:u w:val="single"/>
              </w:rPr>
              <w:t xml:space="preserve">           </w:t>
            </w:r>
          </w:p>
        </w:tc>
      </w:tr>
    </w:tbl>
    <w:p>
      <w:pPr>
        <w:snapToGrid w:val="0"/>
        <w:spacing w:before="120" w:after="50" w:line="360" w:lineRule="auto"/>
        <w:ind w:firstLine="480"/>
        <w:jc w:val="left"/>
        <w:rPr>
          <w:rFonts w:ascii="宋体" w:hAnsi="宋体" w:cs="宋体"/>
          <w:b/>
          <w:sz w:val="24"/>
        </w:rPr>
      </w:pPr>
      <w:r>
        <w:rPr>
          <w:rFonts w:hint="eastAsia" w:ascii="宋体" w:hAnsi="宋体" w:cs="宋体"/>
          <w:b/>
          <w:sz w:val="24"/>
        </w:rPr>
        <w:t xml:space="preserve">注： </w:t>
      </w:r>
    </w:p>
    <w:p>
      <w:pPr>
        <w:snapToGrid w:val="0"/>
        <w:spacing w:before="120" w:after="50"/>
        <w:jc w:val="left"/>
        <w:rPr>
          <w:rFonts w:ascii="宋体" w:hAnsi="宋体" w:cs="宋体"/>
          <w:sz w:val="24"/>
        </w:rPr>
      </w:pPr>
      <w:r>
        <w:rPr>
          <w:rFonts w:hint="eastAsia" w:ascii="宋体" w:hAnsi="宋体" w:cs="宋体"/>
          <w:sz w:val="24"/>
        </w:rPr>
        <w:t xml:space="preserve">注： </w:t>
      </w:r>
    </w:p>
    <w:p>
      <w:pPr>
        <w:spacing w:before="120"/>
        <w:ind w:firstLine="480" w:firstLineChars="200"/>
        <w:contextualSpacing/>
        <w:jc w:val="left"/>
      </w:pPr>
      <w:r>
        <w:rPr>
          <w:rFonts w:hint="eastAsia" w:ascii="宋体" w:hAnsi="宋体" w:cs="宋体"/>
          <w:sz w:val="24"/>
        </w:rPr>
        <w:t>1. 开标一览表中“货物名称、数量、单位、品牌、型号、生产厂家、产地”必须如实填写完整，</w:t>
      </w:r>
      <w:r>
        <w:rPr>
          <w:rFonts w:hint="eastAsia" w:ascii="宋体" w:hAnsi="宋体" w:cs="宋体"/>
          <w:b/>
          <w:bCs/>
          <w:sz w:val="24"/>
        </w:rPr>
        <w:t>其它如为定制产品</w:t>
      </w:r>
      <w:r>
        <w:rPr>
          <w:rFonts w:hint="eastAsia" w:ascii="宋体" w:hAnsi="宋体" w:cs="宋体"/>
          <w:sz w:val="24"/>
        </w:rPr>
        <w:t>在型号栏中填写“定制”。货物名称、数量、单位、品牌等必须与“开标一览表”一致，否则按无效投标处理。</w:t>
      </w:r>
      <w:r>
        <w:rPr>
          <w:rFonts w:hint="eastAsia" w:ascii="宋体" w:hAnsi="宋体" w:cs="宋体"/>
          <w:b/>
          <w:sz w:val="24"/>
        </w:rPr>
        <w:t>填写有缺漏</w:t>
      </w:r>
      <w:r>
        <w:rPr>
          <w:rFonts w:hint="eastAsia" w:ascii="宋体" w:hAnsi="宋体" w:cs="宋体"/>
          <w:b/>
          <w:bCs/>
          <w:sz w:val="24"/>
        </w:rPr>
        <w:t>的，</w:t>
      </w:r>
      <w:r>
        <w:rPr>
          <w:rFonts w:hint="eastAsia" w:ascii="宋体" w:hAnsi="宋体" w:cs="宋体"/>
          <w:b/>
          <w:sz w:val="24"/>
        </w:rPr>
        <w:t>其响应文件按无效响应处理。</w:t>
      </w:r>
    </w:p>
    <w:p>
      <w:pPr>
        <w:snapToGrid w:val="0"/>
        <w:spacing w:before="120" w:after="50"/>
        <w:ind w:firstLine="480" w:firstLineChars="200"/>
        <w:jc w:val="left"/>
        <w:rPr>
          <w:rFonts w:ascii="宋体" w:hAnsi="宋体" w:cs="宋体"/>
          <w:sz w:val="24"/>
        </w:rPr>
      </w:pPr>
      <w:r>
        <w:rPr>
          <w:rFonts w:ascii="宋体" w:hAnsi="宋体" w:cs="宋体"/>
          <w:sz w:val="24"/>
        </w:rPr>
        <w:t>2</w:t>
      </w:r>
      <w:r>
        <w:rPr>
          <w:rFonts w:hint="eastAsia" w:ascii="宋体" w:hAnsi="宋体" w:cs="宋体"/>
          <w:sz w:val="24"/>
        </w:rPr>
        <w:t>.</w:t>
      </w:r>
      <w:r>
        <w:rPr>
          <w:rFonts w:hint="eastAsia" w:ascii="宋体" w:hAnsi="宋体" w:cs="宋体"/>
          <w:b/>
          <w:sz w:val="24"/>
        </w:rPr>
        <w:t xml:space="preserve"> 所填写的型号与货物铭牌一致。</w:t>
      </w:r>
    </w:p>
    <w:p>
      <w:pPr>
        <w:snapToGrid w:val="0"/>
        <w:spacing w:before="120" w:after="50"/>
        <w:ind w:firstLine="480" w:firstLineChars="200"/>
        <w:jc w:val="left"/>
        <w:rPr>
          <w:rFonts w:ascii="宋体" w:hAnsi="宋体" w:cs="宋体"/>
          <w:b/>
          <w:sz w:val="24"/>
        </w:rPr>
      </w:pPr>
      <w:r>
        <w:rPr>
          <w:rFonts w:ascii="宋体" w:hAnsi="宋体" w:cs="宋体"/>
          <w:bCs/>
          <w:sz w:val="24"/>
        </w:rPr>
        <w:t>3</w:t>
      </w:r>
      <w:r>
        <w:rPr>
          <w:rFonts w:hint="eastAsia" w:ascii="宋体" w:hAnsi="宋体" w:cs="宋体"/>
          <w:bCs/>
          <w:sz w:val="24"/>
        </w:rPr>
        <w:t>.</w:t>
      </w:r>
      <w:r>
        <w:rPr>
          <w:rFonts w:hint="eastAsia" w:ascii="宋体" w:hAnsi="宋体" w:cs="宋体"/>
          <w:sz w:val="24"/>
        </w:rPr>
        <w:t>报价一经涂改，应在涂改处加盖投标人公章或者由法定代表人或者委托代理人签字或者盖章</w:t>
      </w:r>
      <w:r>
        <w:rPr>
          <w:rFonts w:hint="eastAsia" w:ascii="宋体" w:hAnsi="宋体" w:cs="宋体"/>
          <w:b/>
          <w:sz w:val="24"/>
        </w:rPr>
        <w:t>，否则其投标作无效标处理。</w:t>
      </w:r>
    </w:p>
    <w:p>
      <w:pPr>
        <w:snapToGrid w:val="0"/>
        <w:spacing w:before="120" w:after="50"/>
        <w:ind w:firstLine="482" w:firstLineChars="200"/>
        <w:jc w:val="left"/>
        <w:rPr>
          <w:rFonts w:ascii="宋体" w:hAnsi="宋体" w:cs="宋体"/>
          <w:sz w:val="24"/>
        </w:rPr>
      </w:pPr>
      <w:r>
        <w:rPr>
          <w:rFonts w:ascii="宋体" w:hAnsi="宋体" w:cs="宋体"/>
          <w:b/>
          <w:sz w:val="24"/>
        </w:rPr>
        <w:t>4</w:t>
      </w:r>
      <w:r>
        <w:rPr>
          <w:rFonts w:hint="eastAsia" w:ascii="宋体" w:hAnsi="宋体" w:cs="宋体"/>
          <w:b/>
          <w:sz w:val="24"/>
        </w:rPr>
        <w:t>.</w:t>
      </w:r>
      <w:r>
        <w:rPr>
          <w:rFonts w:ascii="宋体" w:hAnsi="宋体" w:cs="宋体"/>
          <w:sz w:val="24"/>
        </w:rPr>
        <w:t xml:space="preserve"> </w:t>
      </w:r>
      <w:r>
        <w:rPr>
          <w:rFonts w:hint="eastAsia" w:ascii="宋体" w:hAnsi="宋体" w:cs="宋体"/>
          <w:sz w:val="24"/>
        </w:rPr>
        <w:t>投标人的开标一览表必须加盖投标人公章并由法定代表人或者委托代理人签字，</w:t>
      </w:r>
      <w:r>
        <w:rPr>
          <w:rFonts w:hint="eastAsia" w:ascii="宋体" w:hAnsi="宋体" w:cs="宋体"/>
          <w:b/>
          <w:sz w:val="24"/>
        </w:rPr>
        <w:t>否则其投标作无效标处理</w:t>
      </w:r>
      <w:r>
        <w:rPr>
          <w:rFonts w:hint="eastAsia" w:ascii="宋体" w:hAnsi="宋体" w:cs="宋体"/>
          <w:sz w:val="24"/>
        </w:rPr>
        <w:t>。</w:t>
      </w:r>
    </w:p>
    <w:p>
      <w:pPr>
        <w:snapToGrid w:val="0"/>
        <w:spacing w:before="120" w:after="50"/>
        <w:ind w:firstLine="480" w:firstLineChars="200"/>
        <w:jc w:val="left"/>
        <w:rPr>
          <w:rFonts w:ascii="宋体" w:hAnsi="宋体" w:cs="宋体"/>
          <w:sz w:val="24"/>
        </w:rPr>
      </w:pPr>
      <w:r>
        <w:rPr>
          <w:rFonts w:ascii="宋体" w:hAnsi="宋体" w:cs="宋体"/>
          <w:sz w:val="24"/>
        </w:rPr>
        <w:t>5</w:t>
      </w:r>
      <w:r>
        <w:rPr>
          <w:rFonts w:hint="eastAsia" w:ascii="宋体" w:hAnsi="宋体" w:cs="宋体"/>
          <w:sz w:val="24"/>
        </w:rPr>
        <w:t>.招标文件中列明采购专用耗材的，应按招标文件规定的耗材量或者按耗材的常规使用量提供报价。</w:t>
      </w:r>
    </w:p>
    <w:p>
      <w:pPr>
        <w:snapToGrid w:val="0"/>
        <w:spacing w:before="120" w:after="50"/>
        <w:ind w:firstLine="480" w:firstLineChars="200"/>
        <w:jc w:val="left"/>
        <w:rPr>
          <w:rFonts w:ascii="宋体" w:hAnsi="宋体" w:cs="宋体"/>
          <w:sz w:val="24"/>
        </w:rPr>
      </w:pPr>
      <w:r>
        <w:rPr>
          <w:rFonts w:ascii="宋体" w:hAnsi="宋体" w:cs="宋体"/>
          <w:sz w:val="24"/>
        </w:rPr>
        <w:t>6</w:t>
      </w:r>
      <w:r>
        <w:rPr>
          <w:rFonts w:hint="eastAsia" w:ascii="宋体" w:hAnsi="宋体" w:cs="宋体"/>
          <w:sz w:val="24"/>
        </w:rPr>
        <w:t>.如为联合体投标，“投标人名称”处必须列明联合体各方名称，并标注联合体牵头人名称，</w:t>
      </w:r>
      <w:r>
        <w:rPr>
          <w:rFonts w:hint="eastAsia" w:ascii="宋体" w:hAnsi="宋体" w:cs="宋体"/>
          <w:b/>
          <w:sz w:val="24"/>
        </w:rPr>
        <w:t>否则其投标作无效标处理。</w:t>
      </w:r>
    </w:p>
    <w:p>
      <w:pPr>
        <w:snapToGrid w:val="0"/>
        <w:spacing w:before="120" w:after="50"/>
        <w:ind w:firstLine="456" w:firstLineChars="200"/>
        <w:jc w:val="left"/>
        <w:rPr>
          <w:rFonts w:ascii="宋体" w:hAnsi="宋体" w:cs="宋体"/>
          <w:spacing w:val="-6"/>
          <w:sz w:val="24"/>
        </w:rPr>
      </w:pPr>
      <w:r>
        <w:rPr>
          <w:rFonts w:ascii="宋体" w:hAnsi="宋体" w:cs="宋体"/>
          <w:spacing w:val="-6"/>
          <w:sz w:val="24"/>
        </w:rPr>
        <w:t>7</w:t>
      </w:r>
      <w:r>
        <w:rPr>
          <w:rFonts w:hint="eastAsia" w:ascii="宋体" w:hAnsi="宋体" w:cs="宋体"/>
          <w:spacing w:val="-6"/>
          <w:sz w:val="24"/>
        </w:rPr>
        <w:t>.如为联合体投标，盖章处须加盖联合体各方公章，</w:t>
      </w:r>
      <w:r>
        <w:rPr>
          <w:rFonts w:hint="eastAsia" w:ascii="宋体" w:hAnsi="宋体" w:cs="宋体"/>
          <w:b/>
          <w:spacing w:val="-6"/>
          <w:sz w:val="24"/>
        </w:rPr>
        <w:t>否则其投标作无效标处理。</w:t>
      </w:r>
    </w:p>
    <w:p>
      <w:pPr>
        <w:snapToGrid w:val="0"/>
        <w:spacing w:before="120" w:after="50"/>
        <w:ind w:firstLine="480" w:firstLineChars="200"/>
        <w:rPr>
          <w:rFonts w:ascii="宋体" w:hAnsi="宋体" w:cs="宋体"/>
          <w:b/>
          <w:sz w:val="24"/>
        </w:rPr>
      </w:pPr>
      <w:r>
        <w:rPr>
          <w:rFonts w:ascii="宋体" w:hAnsi="宋体" w:cs="宋体"/>
          <w:sz w:val="24"/>
        </w:rPr>
        <w:t>8</w:t>
      </w:r>
      <w:r>
        <w:rPr>
          <w:rFonts w:hint="eastAsia" w:ascii="宋体" w:hAnsi="宋体" w:cs="宋体"/>
          <w:sz w:val="24"/>
        </w:rPr>
        <w:t>.投标人需按本表格式填写，不得自行更改，如有多分标，按分标分别提供开标一览表，必须加盖投标人公章并由法定代表人或者委托代理人签字，</w:t>
      </w:r>
      <w:r>
        <w:rPr>
          <w:rFonts w:hint="eastAsia" w:ascii="宋体" w:hAnsi="宋体" w:cs="宋体"/>
          <w:b/>
          <w:sz w:val="24"/>
        </w:rPr>
        <w:t>否则投标无效。</w:t>
      </w:r>
    </w:p>
    <w:p>
      <w:pPr>
        <w:snapToGrid w:val="0"/>
        <w:spacing w:before="120" w:after="50"/>
        <w:ind w:firstLine="480" w:firstLineChars="200"/>
        <w:rPr>
          <w:rFonts w:ascii="宋体" w:hAnsi="宋体" w:cs="宋体"/>
          <w:sz w:val="24"/>
        </w:rPr>
      </w:pPr>
      <w:r>
        <w:rPr>
          <w:rFonts w:hint="eastAsia" w:ascii="宋体" w:hAnsi="宋体" w:cs="宋体"/>
          <w:sz w:val="24"/>
        </w:rPr>
        <w:t>9.特别提示：采购代理机构将对项目名称和项目编号，中标人名称、地址和中标金额，主要中标标的的名称、规格型号、品牌（如有）、数量、单价等予以公示。</w:t>
      </w:r>
    </w:p>
    <w:p>
      <w:pPr>
        <w:pStyle w:val="56"/>
        <w:spacing w:before="120"/>
        <w:ind w:firstLine="480"/>
      </w:pPr>
    </w:p>
    <w:p>
      <w:pPr>
        <w:snapToGrid w:val="0"/>
        <w:spacing w:before="120" w:after="50"/>
        <w:ind w:left="-2" w:leftChars="-1" w:right="-817" w:rightChars="-389"/>
        <w:rPr>
          <w:rFonts w:ascii="宋体" w:hAnsi="宋体" w:cs="宋体"/>
          <w:sz w:val="24"/>
        </w:rPr>
      </w:pPr>
      <w:r>
        <w:rPr>
          <w:rFonts w:hint="eastAsia" w:ascii="宋体" w:hAnsi="宋体" w:cs="宋体"/>
          <w:sz w:val="24"/>
        </w:rPr>
        <w:t xml:space="preserve">法定代表人或者委托代理人（签字）：                    </w:t>
      </w:r>
    </w:p>
    <w:p>
      <w:pPr>
        <w:snapToGrid w:val="0"/>
        <w:spacing w:before="120" w:after="50"/>
        <w:ind w:left="-3" w:leftChars="-15" w:right="-817" w:rightChars="-389" w:hanging="28" w:hangingChars="12"/>
        <w:rPr>
          <w:rFonts w:ascii="宋体" w:hAnsi="宋体" w:cs="宋体"/>
          <w:sz w:val="24"/>
        </w:rPr>
      </w:pPr>
      <w:r>
        <w:rPr>
          <w:rFonts w:hint="eastAsia" w:ascii="宋体" w:hAnsi="宋体" w:cs="宋体"/>
          <w:sz w:val="24"/>
        </w:rPr>
        <w:t>投标人（公章）：                                 日期：    年   月   日</w:t>
      </w:r>
    </w:p>
    <w:p>
      <w:pPr>
        <w:spacing w:before="120"/>
        <w:ind w:firstLine="480"/>
        <w:rPr>
          <w:rFonts w:ascii="宋体" w:hAnsi="宋体" w:cs="宋体"/>
          <w:b/>
          <w:sz w:val="28"/>
          <w:szCs w:val="28"/>
        </w:rPr>
      </w:pPr>
      <w:r>
        <w:rPr>
          <w:rFonts w:hint="eastAsia" w:ascii="宋体" w:hAnsi="宋体" w:cs="宋体"/>
          <w:b/>
          <w:bCs/>
          <w:sz w:val="24"/>
        </w:rPr>
        <w:br w:type="page"/>
      </w:r>
      <w:bookmarkStart w:id="150" w:name="_Toc19686837"/>
      <w:r>
        <w:rPr>
          <w:rFonts w:hint="eastAsia" w:ascii="宋体" w:hAnsi="宋体" w:cs="宋体"/>
          <w:b/>
          <w:sz w:val="28"/>
          <w:szCs w:val="28"/>
        </w:rPr>
        <w:t>二、资格证明文件格式</w:t>
      </w:r>
      <w:bookmarkEnd w:id="148"/>
      <w:bookmarkEnd w:id="149"/>
      <w:bookmarkEnd w:id="150"/>
    </w:p>
    <w:p>
      <w:pPr>
        <w:numPr>
          <w:ilvl w:val="2"/>
          <w:numId w:val="5"/>
        </w:numPr>
        <w:snapToGrid w:val="0"/>
        <w:spacing w:before="120" w:beforeLines="50" w:after="50" w:line="360" w:lineRule="auto"/>
        <w:ind w:left="0" w:firstLine="480"/>
        <w:jc w:val="left"/>
        <w:rPr>
          <w:rFonts w:ascii="宋体" w:hAnsi="宋体" w:cs="宋体"/>
          <w:b/>
          <w:sz w:val="24"/>
        </w:rPr>
      </w:pPr>
      <w:r>
        <w:rPr>
          <w:rFonts w:hint="eastAsia" w:ascii="宋体" w:hAnsi="宋体" w:cs="宋体"/>
          <w:b/>
          <w:sz w:val="24"/>
        </w:rPr>
        <w:t xml:space="preserve">资格证明文件封面格式： </w:t>
      </w:r>
    </w:p>
    <w:p>
      <w:pPr>
        <w:snapToGrid w:val="0"/>
        <w:spacing w:before="120" w:beforeLines="50" w:after="50"/>
        <w:rPr>
          <w:rFonts w:ascii="宋体" w:hAnsi="宋体" w:cs="宋体"/>
          <w:bCs/>
          <w:sz w:val="32"/>
          <w:szCs w:val="20"/>
        </w:rPr>
      </w:pPr>
      <w:r>
        <w:rPr>
          <w:rFonts w:hint="eastAsia" w:ascii="宋体" w:hAnsi="宋体" w:cs="宋体"/>
          <w:sz w:val="24"/>
        </w:rPr>
        <w:t xml:space="preserve">                                                   </w:t>
      </w:r>
    </w:p>
    <w:p>
      <w:pPr>
        <w:snapToGrid w:val="0"/>
        <w:spacing w:before="120" w:beforeLines="50" w:after="50"/>
        <w:rPr>
          <w:rFonts w:ascii="宋体" w:hAnsi="宋体" w:cs="宋体"/>
          <w:sz w:val="24"/>
          <w:szCs w:val="20"/>
        </w:rPr>
      </w:pPr>
    </w:p>
    <w:p>
      <w:pPr>
        <w:snapToGrid w:val="0"/>
        <w:spacing w:before="120" w:beforeLines="50" w:after="50"/>
        <w:rPr>
          <w:rFonts w:ascii="宋体" w:hAnsi="宋体" w:cs="宋体"/>
          <w:sz w:val="24"/>
          <w:szCs w:val="20"/>
        </w:rPr>
      </w:pPr>
    </w:p>
    <w:p>
      <w:pPr>
        <w:snapToGrid w:val="0"/>
        <w:spacing w:before="120" w:beforeLines="50" w:after="50"/>
        <w:ind w:firstLine="1687"/>
        <w:jc w:val="center"/>
        <w:rPr>
          <w:rFonts w:ascii="宋体" w:hAnsi="宋体" w:cs="宋体"/>
          <w:sz w:val="84"/>
          <w:szCs w:val="84"/>
        </w:rPr>
      </w:pPr>
      <w:r>
        <w:rPr>
          <w:rFonts w:hint="eastAsia" w:ascii="宋体" w:hAnsi="宋体" w:cs="宋体"/>
          <w:sz w:val="84"/>
          <w:szCs w:val="84"/>
        </w:rPr>
        <w:t>投  标  文  件</w:t>
      </w:r>
    </w:p>
    <w:p>
      <w:pPr>
        <w:snapToGrid w:val="0"/>
        <w:spacing w:before="120" w:beforeLines="50" w:after="50"/>
        <w:rPr>
          <w:rFonts w:ascii="宋体" w:hAnsi="宋体" w:cs="宋体"/>
          <w:sz w:val="24"/>
          <w:szCs w:val="20"/>
        </w:rPr>
      </w:pPr>
    </w:p>
    <w:p>
      <w:pPr>
        <w:snapToGrid w:val="0"/>
        <w:spacing w:before="120" w:beforeLines="50" w:after="50"/>
        <w:rPr>
          <w:rFonts w:ascii="宋体" w:hAnsi="宋体" w:cs="宋体"/>
          <w:sz w:val="24"/>
          <w:szCs w:val="20"/>
        </w:rPr>
      </w:pPr>
    </w:p>
    <w:p>
      <w:pPr>
        <w:snapToGrid w:val="0"/>
        <w:spacing w:before="120" w:beforeLines="50" w:after="50"/>
        <w:ind w:firstLine="640"/>
        <w:jc w:val="center"/>
        <w:rPr>
          <w:rFonts w:ascii="宋体" w:hAnsi="宋体" w:cs="宋体"/>
          <w:b/>
          <w:sz w:val="24"/>
          <w:szCs w:val="20"/>
        </w:rPr>
      </w:pPr>
      <w:r>
        <w:rPr>
          <w:rFonts w:hint="eastAsia" w:ascii="宋体" w:hAnsi="宋体" w:cs="宋体"/>
          <w:b/>
          <w:sz w:val="32"/>
          <w:szCs w:val="32"/>
        </w:rPr>
        <w:t>资 格 证 明 文 件</w:t>
      </w:r>
    </w:p>
    <w:p>
      <w:pPr>
        <w:snapToGrid w:val="0"/>
        <w:spacing w:before="120" w:beforeLines="50" w:after="50"/>
        <w:rPr>
          <w:rFonts w:ascii="宋体" w:hAnsi="宋体" w:cs="宋体"/>
          <w:bCs/>
          <w:sz w:val="24"/>
          <w:szCs w:val="20"/>
        </w:rPr>
      </w:pPr>
    </w:p>
    <w:p>
      <w:pPr>
        <w:snapToGrid w:val="0"/>
        <w:spacing w:before="120" w:beforeLines="50" w:after="50"/>
        <w:rPr>
          <w:rFonts w:ascii="宋体" w:hAnsi="宋体" w:cs="宋体"/>
          <w:bCs/>
          <w:sz w:val="24"/>
          <w:szCs w:val="20"/>
        </w:rPr>
      </w:pPr>
    </w:p>
    <w:p>
      <w:pPr>
        <w:snapToGrid w:val="0"/>
        <w:spacing w:before="120" w:beforeLines="50" w:after="50"/>
        <w:ind w:firstLine="1680" w:firstLineChars="600"/>
        <w:rPr>
          <w:rFonts w:ascii="宋体" w:hAnsi="宋体" w:cs="宋体"/>
          <w:bCs/>
          <w:sz w:val="28"/>
          <w:szCs w:val="21"/>
        </w:rPr>
      </w:pPr>
    </w:p>
    <w:p>
      <w:pPr>
        <w:snapToGrid w:val="0"/>
        <w:spacing w:before="120" w:beforeLines="50" w:after="50"/>
        <w:ind w:firstLine="1680" w:firstLineChars="600"/>
        <w:rPr>
          <w:rFonts w:ascii="宋体" w:hAnsi="宋体" w:cs="宋体"/>
          <w:bCs/>
          <w:sz w:val="28"/>
          <w:szCs w:val="21"/>
        </w:rPr>
      </w:pPr>
    </w:p>
    <w:p>
      <w:pPr>
        <w:snapToGrid w:val="0"/>
        <w:spacing w:before="120" w:beforeLines="50" w:after="50"/>
        <w:ind w:firstLine="1680" w:firstLineChars="600"/>
        <w:rPr>
          <w:rFonts w:ascii="宋体" w:hAnsi="宋体" w:cs="宋体"/>
          <w:bCs/>
          <w:sz w:val="28"/>
          <w:szCs w:val="21"/>
        </w:rPr>
      </w:pPr>
      <w:r>
        <w:rPr>
          <w:rFonts w:hint="eastAsia" w:ascii="宋体" w:hAnsi="宋体" w:cs="宋体"/>
          <w:bCs/>
          <w:sz w:val="28"/>
          <w:szCs w:val="28"/>
        </w:rPr>
        <w:t>项目名称：</w:t>
      </w:r>
    </w:p>
    <w:p>
      <w:pPr>
        <w:snapToGrid w:val="0"/>
        <w:spacing w:before="120" w:beforeLines="50" w:after="50"/>
        <w:ind w:firstLine="1680" w:firstLineChars="600"/>
        <w:rPr>
          <w:rFonts w:ascii="宋体" w:hAnsi="宋体" w:cs="宋体"/>
          <w:bCs/>
          <w:sz w:val="28"/>
          <w:szCs w:val="28"/>
        </w:rPr>
      </w:pPr>
      <w:r>
        <w:rPr>
          <w:rFonts w:hint="eastAsia" w:ascii="宋体" w:hAnsi="宋体" w:cs="宋体"/>
          <w:bCs/>
          <w:sz w:val="28"/>
          <w:szCs w:val="28"/>
        </w:rPr>
        <w:t>项目编号：</w:t>
      </w:r>
    </w:p>
    <w:p>
      <w:pPr>
        <w:snapToGrid w:val="0"/>
        <w:spacing w:before="120" w:beforeLines="50" w:after="50"/>
        <w:ind w:firstLine="1680" w:firstLineChars="600"/>
        <w:rPr>
          <w:rFonts w:ascii="宋体" w:hAnsi="宋体" w:cs="宋体"/>
          <w:bCs/>
          <w:sz w:val="28"/>
          <w:szCs w:val="28"/>
        </w:rPr>
      </w:pPr>
      <w:r>
        <w:rPr>
          <w:rFonts w:hint="eastAsia" w:ascii="宋体" w:hAnsi="宋体" w:cs="宋体"/>
          <w:bCs/>
          <w:sz w:val="28"/>
          <w:szCs w:val="28"/>
        </w:rPr>
        <w:t>所投分标：</w:t>
      </w:r>
    </w:p>
    <w:p>
      <w:pPr>
        <w:snapToGrid w:val="0"/>
        <w:spacing w:before="120" w:beforeLines="50" w:after="50"/>
        <w:ind w:firstLine="1680" w:firstLineChars="600"/>
        <w:rPr>
          <w:rFonts w:ascii="宋体" w:hAnsi="宋体" w:cs="宋体"/>
          <w:bCs/>
          <w:sz w:val="28"/>
          <w:szCs w:val="28"/>
        </w:rPr>
      </w:pPr>
      <w:r>
        <w:rPr>
          <w:rFonts w:hint="eastAsia" w:ascii="宋体" w:hAnsi="宋体" w:cs="宋体"/>
          <w:bCs/>
          <w:sz w:val="28"/>
          <w:szCs w:val="28"/>
        </w:rPr>
        <w:t>投标人名称：</w:t>
      </w:r>
    </w:p>
    <w:p>
      <w:pPr>
        <w:snapToGrid w:val="0"/>
        <w:spacing w:before="120" w:beforeLines="50" w:after="50"/>
        <w:ind w:firstLine="1680" w:firstLineChars="600"/>
        <w:rPr>
          <w:rFonts w:ascii="宋体" w:hAnsi="宋体" w:cs="宋体"/>
          <w:bCs/>
          <w:sz w:val="28"/>
          <w:szCs w:val="28"/>
        </w:rPr>
      </w:pPr>
      <w:r>
        <w:rPr>
          <w:rFonts w:hint="eastAsia" w:ascii="宋体" w:hAnsi="宋体" w:cs="宋体"/>
          <w:bCs/>
          <w:sz w:val="28"/>
          <w:szCs w:val="28"/>
        </w:rPr>
        <w:t>投标人地址：</w:t>
      </w:r>
    </w:p>
    <w:p>
      <w:pPr>
        <w:snapToGrid w:val="0"/>
        <w:spacing w:before="120" w:beforeLines="50" w:after="50"/>
        <w:ind w:firstLine="1680" w:firstLineChars="600"/>
        <w:rPr>
          <w:rFonts w:ascii="宋体" w:hAnsi="宋体" w:cs="宋体"/>
          <w:bCs/>
          <w:sz w:val="28"/>
          <w:szCs w:val="28"/>
        </w:rPr>
      </w:pPr>
    </w:p>
    <w:p>
      <w:pPr>
        <w:pStyle w:val="9"/>
        <w:snapToGrid w:val="0"/>
        <w:spacing w:before="120" w:after="50"/>
        <w:ind w:firstLine="1680" w:firstLineChars="600"/>
        <w:rPr>
          <w:rFonts w:ascii="宋体" w:hAnsi="宋体" w:cs="宋体"/>
          <w:bCs/>
          <w:sz w:val="28"/>
          <w:szCs w:val="28"/>
        </w:rPr>
      </w:pPr>
    </w:p>
    <w:p>
      <w:pPr>
        <w:pStyle w:val="9"/>
        <w:snapToGrid w:val="0"/>
        <w:spacing w:before="120" w:after="50"/>
        <w:ind w:firstLine="1680" w:firstLineChars="600"/>
        <w:rPr>
          <w:rFonts w:ascii="宋体" w:hAnsi="宋体" w:cs="宋体"/>
          <w:bCs/>
          <w:sz w:val="28"/>
          <w:szCs w:val="28"/>
        </w:rPr>
      </w:pPr>
    </w:p>
    <w:p>
      <w:pPr>
        <w:snapToGrid w:val="0"/>
        <w:spacing w:before="120" w:beforeLines="50" w:after="50"/>
        <w:ind w:firstLine="1680" w:firstLineChars="600"/>
        <w:jc w:val="center"/>
        <w:rPr>
          <w:rFonts w:ascii="宋体" w:hAnsi="宋体" w:cs="宋体"/>
          <w:sz w:val="28"/>
          <w:szCs w:val="28"/>
        </w:rPr>
      </w:pPr>
      <w:r>
        <w:rPr>
          <w:rFonts w:hint="eastAsia" w:ascii="宋体" w:hAnsi="宋体" w:cs="宋体"/>
          <w:sz w:val="28"/>
          <w:szCs w:val="28"/>
        </w:rPr>
        <w:t>年  月  日</w:t>
      </w:r>
    </w:p>
    <w:p>
      <w:pPr>
        <w:snapToGrid w:val="0"/>
        <w:spacing w:before="120" w:beforeLines="50" w:after="50"/>
        <w:rPr>
          <w:rFonts w:ascii="宋体" w:hAnsi="宋体" w:cs="宋体"/>
          <w:sz w:val="24"/>
          <w:szCs w:val="20"/>
        </w:rPr>
      </w:pPr>
      <w:r>
        <w:rPr>
          <w:rFonts w:hint="eastAsia" w:ascii="宋体" w:hAnsi="宋体" w:cs="宋体"/>
          <w:sz w:val="24"/>
          <w:szCs w:val="20"/>
        </w:rPr>
        <w:t xml:space="preserve"> </w:t>
      </w:r>
    </w:p>
    <w:p>
      <w:pPr>
        <w:snapToGrid w:val="0"/>
        <w:spacing w:before="120" w:beforeLines="50" w:after="50"/>
        <w:rPr>
          <w:rFonts w:ascii="宋体" w:hAnsi="宋体" w:cs="宋体"/>
          <w:sz w:val="24"/>
          <w:szCs w:val="20"/>
        </w:rPr>
      </w:pPr>
    </w:p>
    <w:p>
      <w:pPr>
        <w:numPr>
          <w:ilvl w:val="2"/>
          <w:numId w:val="5"/>
        </w:numPr>
        <w:snapToGrid w:val="0"/>
        <w:spacing w:before="120" w:beforeLines="50" w:after="50" w:line="360" w:lineRule="auto"/>
        <w:ind w:left="0" w:firstLine="480"/>
        <w:jc w:val="left"/>
        <w:rPr>
          <w:rFonts w:ascii="宋体" w:hAnsi="宋体" w:cs="宋体"/>
          <w:sz w:val="24"/>
          <w:szCs w:val="20"/>
        </w:rPr>
      </w:pPr>
      <w:r>
        <w:rPr>
          <w:rFonts w:hint="eastAsia" w:ascii="宋体" w:hAnsi="宋体" w:cs="宋体"/>
          <w:b/>
          <w:bCs/>
          <w:sz w:val="24"/>
        </w:rPr>
        <w:br w:type="page"/>
      </w:r>
      <w:r>
        <w:rPr>
          <w:rFonts w:hint="eastAsia" w:ascii="宋体" w:hAnsi="宋体" w:cs="宋体"/>
          <w:b/>
          <w:bCs/>
          <w:sz w:val="24"/>
        </w:rPr>
        <w:t>资格证明文件目录</w:t>
      </w:r>
    </w:p>
    <w:p>
      <w:pPr>
        <w:snapToGrid w:val="0"/>
        <w:spacing w:before="120" w:line="360" w:lineRule="auto"/>
        <w:ind w:firstLine="480" w:firstLineChars="200"/>
        <w:jc w:val="left"/>
        <w:rPr>
          <w:rFonts w:ascii="宋体" w:hAnsi="宋体" w:cs="宋体"/>
          <w:sz w:val="24"/>
        </w:rPr>
      </w:pPr>
      <w:r>
        <w:rPr>
          <w:rFonts w:hint="eastAsia" w:ascii="宋体" w:hAnsi="宋体" w:cs="宋体"/>
          <w:sz w:val="24"/>
        </w:rPr>
        <w:t>根据招标文件规定及投标人提供的材料自行编写目录。</w:t>
      </w:r>
    </w:p>
    <w:p>
      <w:pPr>
        <w:snapToGrid w:val="0"/>
        <w:spacing w:before="120" w:after="120" w:afterLines="50"/>
        <w:jc w:val="left"/>
        <w:rPr>
          <w:rFonts w:ascii="宋体" w:hAnsi="宋体" w:cs="宋体"/>
          <w:sz w:val="24"/>
        </w:rPr>
      </w:pPr>
    </w:p>
    <w:p>
      <w:pPr>
        <w:snapToGrid w:val="0"/>
        <w:spacing w:before="120" w:after="120" w:afterLines="50"/>
        <w:jc w:val="left"/>
        <w:rPr>
          <w:rFonts w:ascii="宋体" w:hAnsi="宋体" w:cs="宋体"/>
          <w:sz w:val="24"/>
        </w:rPr>
      </w:pPr>
    </w:p>
    <w:p>
      <w:pPr>
        <w:numPr>
          <w:ilvl w:val="2"/>
          <w:numId w:val="5"/>
        </w:numPr>
        <w:snapToGrid w:val="0"/>
        <w:spacing w:before="120" w:beforeLines="50" w:after="50"/>
        <w:ind w:left="0" w:firstLine="480"/>
        <w:jc w:val="left"/>
        <w:rPr>
          <w:rFonts w:ascii="宋体" w:hAnsi="宋体" w:cs="宋体"/>
          <w:b/>
          <w:sz w:val="24"/>
        </w:rPr>
      </w:pPr>
      <w:r>
        <w:rPr>
          <w:rFonts w:hint="eastAsia" w:ascii="宋体" w:hAnsi="宋体" w:cs="宋体"/>
          <w:b/>
          <w:sz w:val="24"/>
        </w:rPr>
        <w:br w:type="page"/>
      </w:r>
      <w:r>
        <w:rPr>
          <w:rFonts w:hint="eastAsia" w:ascii="宋体" w:hAnsi="宋体" w:cs="宋体"/>
          <w:b/>
          <w:sz w:val="28"/>
          <w:szCs w:val="28"/>
        </w:rPr>
        <w:t>投标人直接控股、管理关系信息表</w:t>
      </w:r>
    </w:p>
    <w:p>
      <w:pPr>
        <w:snapToGrid w:val="0"/>
        <w:spacing w:before="120" w:after="120" w:afterLines="50"/>
        <w:ind w:firstLine="560"/>
        <w:jc w:val="center"/>
        <w:rPr>
          <w:rFonts w:ascii="宋体" w:hAnsi="宋体" w:cs="宋体"/>
          <w:b/>
          <w:sz w:val="28"/>
          <w:szCs w:val="28"/>
        </w:rPr>
      </w:pPr>
    </w:p>
    <w:p>
      <w:pPr>
        <w:snapToGrid w:val="0"/>
        <w:spacing w:before="120" w:after="120" w:afterLines="50" w:line="360" w:lineRule="auto"/>
        <w:ind w:firstLine="640"/>
        <w:jc w:val="center"/>
        <w:rPr>
          <w:rFonts w:ascii="宋体" w:hAnsi="宋体" w:cs="宋体"/>
          <w:b/>
          <w:sz w:val="32"/>
          <w:szCs w:val="32"/>
        </w:rPr>
      </w:pPr>
      <w:r>
        <w:rPr>
          <w:rFonts w:hint="eastAsia" w:ascii="宋体" w:hAnsi="宋体" w:cs="宋体"/>
          <w:b/>
          <w:sz w:val="32"/>
          <w:szCs w:val="32"/>
        </w:rPr>
        <w:t>投标人直接控股股东信息表</w:t>
      </w:r>
    </w:p>
    <w:tbl>
      <w:tblPr>
        <w:tblStyle w:val="47"/>
        <w:tblW w:w="9476" w:type="dxa"/>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before="120" w:line="360" w:lineRule="auto"/>
              <w:ind w:firstLine="480"/>
              <w:jc w:val="center"/>
              <w:rPr>
                <w:rFonts w:ascii="宋体" w:hAnsi="宋体" w:cs="宋体"/>
                <w:b/>
                <w:bCs/>
                <w:kern w:val="0"/>
                <w:sz w:val="24"/>
              </w:rPr>
            </w:pPr>
            <w:r>
              <w:rPr>
                <w:rFonts w:hint="eastAsia" w:ascii="宋体" w:hAnsi="宋体" w:cs="宋体"/>
                <w:b/>
                <w:bCs/>
                <w:kern w:val="0"/>
                <w:sz w:val="24"/>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before="120" w:line="360" w:lineRule="auto"/>
              <w:ind w:firstLine="480"/>
              <w:jc w:val="center"/>
              <w:rPr>
                <w:rFonts w:ascii="宋体" w:hAnsi="宋体" w:cs="宋体"/>
                <w:b/>
                <w:bCs/>
                <w:kern w:val="0"/>
                <w:sz w:val="24"/>
              </w:rPr>
            </w:pPr>
            <w:r>
              <w:rPr>
                <w:rFonts w:hint="eastAsia" w:ascii="宋体" w:hAnsi="宋体" w:cs="宋体"/>
                <w:b/>
                <w:bCs/>
                <w:kern w:val="0"/>
                <w:sz w:val="24"/>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before="120" w:line="360" w:lineRule="auto"/>
              <w:ind w:firstLine="480"/>
              <w:jc w:val="center"/>
              <w:rPr>
                <w:rFonts w:ascii="宋体" w:hAnsi="宋体" w:cs="宋体"/>
                <w:b/>
                <w:bCs/>
                <w:kern w:val="0"/>
                <w:sz w:val="24"/>
              </w:rPr>
            </w:pPr>
            <w:r>
              <w:rPr>
                <w:rFonts w:hint="eastAsia" w:ascii="宋体" w:hAnsi="宋体" w:cs="宋体"/>
                <w:b/>
                <w:bCs/>
                <w:kern w:val="0"/>
                <w:sz w:val="24"/>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before="120" w:line="360" w:lineRule="auto"/>
              <w:ind w:firstLine="480"/>
              <w:jc w:val="center"/>
              <w:rPr>
                <w:rFonts w:ascii="宋体" w:hAnsi="宋体" w:cs="宋体"/>
                <w:b/>
                <w:bCs/>
                <w:kern w:val="0"/>
                <w:sz w:val="24"/>
              </w:rPr>
            </w:pPr>
            <w:r>
              <w:rPr>
                <w:rFonts w:hint="eastAsia" w:ascii="宋体" w:hAnsi="宋体" w:cs="宋体"/>
                <w:b/>
                <w:bCs/>
                <w:kern w:val="0"/>
                <w:sz w:val="24"/>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before="120" w:line="360" w:lineRule="auto"/>
              <w:ind w:firstLine="480"/>
              <w:jc w:val="center"/>
              <w:rPr>
                <w:rFonts w:ascii="宋体" w:hAnsi="宋体" w:cs="宋体"/>
                <w:b/>
                <w:bCs/>
                <w:kern w:val="0"/>
                <w:sz w:val="24"/>
              </w:rPr>
            </w:pPr>
            <w:r>
              <w:rPr>
                <w:rFonts w:hint="eastAsia" w:ascii="宋体" w:hAnsi="宋体" w:cs="宋体"/>
                <w:b/>
                <w:bCs/>
                <w:kern w:val="0"/>
                <w:sz w:val="24"/>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r>
              <w:rPr>
                <w:rFonts w:hint="eastAsia" w:ascii="宋体" w:hAnsi="宋体" w:cs="宋体"/>
                <w:kern w:val="0"/>
                <w:sz w:val="24"/>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r>
              <w:rPr>
                <w:rFonts w:hint="eastAsia" w:ascii="宋体" w:hAnsi="宋体" w:cs="宋体"/>
                <w:kern w:val="0"/>
                <w:sz w:val="24"/>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r>
              <w:rPr>
                <w:rFonts w:hint="eastAsia" w:ascii="宋体" w:hAnsi="宋体" w:cs="宋体"/>
                <w:kern w:val="0"/>
                <w:sz w:val="24"/>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r>
              <w:rPr>
                <w:rFonts w:hint="eastAsia" w:ascii="宋体" w:hAnsi="宋体" w:cs="宋体"/>
                <w:kern w:val="0"/>
                <w:sz w:val="24"/>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r>
    </w:tbl>
    <w:p>
      <w:pPr>
        <w:snapToGrid w:val="0"/>
        <w:spacing w:before="120" w:line="360" w:lineRule="auto"/>
        <w:jc w:val="left"/>
        <w:rPr>
          <w:rFonts w:ascii="宋体" w:hAnsi="宋体" w:cs="宋体"/>
          <w:sz w:val="24"/>
        </w:rPr>
      </w:pPr>
      <w:r>
        <w:rPr>
          <w:rFonts w:hint="eastAsia" w:ascii="宋体" w:hAnsi="宋体" w:cs="宋体"/>
          <w:sz w:val="24"/>
        </w:rPr>
        <w:t>注：</w:t>
      </w:r>
    </w:p>
    <w:p>
      <w:pPr>
        <w:snapToGrid w:val="0"/>
        <w:spacing w:before="120" w:line="360" w:lineRule="auto"/>
        <w:jc w:val="left"/>
        <w:rPr>
          <w:rFonts w:ascii="宋体" w:hAnsi="宋体" w:cs="宋体"/>
          <w:sz w:val="24"/>
        </w:rPr>
      </w:pPr>
      <w:r>
        <w:rPr>
          <w:rFonts w:hint="eastAsia" w:ascii="宋体" w:hAnsi="宋体" w:cs="宋体"/>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before="120" w:line="360" w:lineRule="auto"/>
        <w:jc w:val="left"/>
        <w:rPr>
          <w:rFonts w:ascii="宋体" w:hAnsi="宋体" w:cs="宋体"/>
          <w:sz w:val="24"/>
        </w:rPr>
      </w:pPr>
      <w:r>
        <w:rPr>
          <w:rFonts w:hint="eastAsia" w:ascii="宋体" w:hAnsi="宋体" w:cs="宋体"/>
          <w:sz w:val="24"/>
        </w:rPr>
        <w:t>2.本表所指的控股关系仅限于直接控股关系，不包括间接的控股关系。公司实际控制人与公司之间的关系不属于本表所指的直接控股关系。</w:t>
      </w:r>
    </w:p>
    <w:p>
      <w:pPr>
        <w:snapToGrid w:val="0"/>
        <w:spacing w:before="120" w:line="360" w:lineRule="auto"/>
        <w:jc w:val="left"/>
        <w:rPr>
          <w:rFonts w:ascii="宋体" w:hAnsi="宋体" w:cs="宋体"/>
          <w:sz w:val="24"/>
        </w:rPr>
      </w:pPr>
      <w:r>
        <w:rPr>
          <w:rFonts w:hint="eastAsia" w:ascii="宋体" w:hAnsi="宋体" w:cs="宋体"/>
          <w:sz w:val="24"/>
        </w:rPr>
        <w:t>3.供应商不存在直接控股股东的，则填“无”。</w:t>
      </w:r>
    </w:p>
    <w:p>
      <w:pPr>
        <w:snapToGrid w:val="0"/>
        <w:spacing w:before="120" w:line="360" w:lineRule="auto"/>
        <w:jc w:val="left"/>
        <w:rPr>
          <w:rFonts w:ascii="宋体" w:hAnsi="宋体" w:cs="宋体"/>
          <w:sz w:val="24"/>
        </w:rPr>
      </w:pPr>
    </w:p>
    <w:p>
      <w:pPr>
        <w:snapToGrid w:val="0"/>
        <w:spacing w:before="120" w:beforeLines="50" w:line="360" w:lineRule="auto"/>
        <w:ind w:right="480" w:firstLine="3967" w:firstLineChars="1653"/>
        <w:rPr>
          <w:rFonts w:ascii="宋体" w:hAnsi="宋体" w:cs="宋体"/>
          <w:sz w:val="24"/>
          <w:u w:val="single"/>
        </w:rPr>
      </w:pPr>
      <w:r>
        <w:rPr>
          <w:rFonts w:hint="eastAsia" w:ascii="宋体" w:hAnsi="宋体" w:cs="宋体"/>
          <w:sz w:val="24"/>
        </w:rPr>
        <w:t>法定代表人或者委托代理人（签字）：</w:t>
      </w:r>
      <w:r>
        <w:rPr>
          <w:rFonts w:hint="eastAsia" w:ascii="宋体" w:hAnsi="宋体" w:cs="宋体"/>
          <w:sz w:val="24"/>
          <w:u w:val="single"/>
        </w:rPr>
        <w:t xml:space="preserve">             </w:t>
      </w:r>
    </w:p>
    <w:p>
      <w:pPr>
        <w:snapToGrid w:val="0"/>
        <w:spacing w:before="120" w:beforeLines="50" w:after="50" w:line="360" w:lineRule="auto"/>
        <w:ind w:right="480" w:firstLine="5520" w:firstLineChars="2300"/>
        <w:rPr>
          <w:rFonts w:ascii="宋体" w:hAnsi="宋体" w:cs="宋体"/>
          <w:sz w:val="24"/>
          <w:u w:val="single"/>
        </w:rPr>
      </w:pPr>
      <w:r>
        <w:rPr>
          <w:rFonts w:hint="eastAsia" w:ascii="宋体" w:hAnsi="宋体" w:cs="宋体"/>
          <w:sz w:val="24"/>
        </w:rPr>
        <w:t>投标人（公章）：</w:t>
      </w:r>
      <w:r>
        <w:rPr>
          <w:rFonts w:hint="eastAsia" w:ascii="宋体" w:hAnsi="宋体" w:cs="宋体"/>
          <w:sz w:val="24"/>
          <w:u w:val="single"/>
        </w:rPr>
        <w:t xml:space="preserve">                 </w:t>
      </w:r>
    </w:p>
    <w:p>
      <w:pPr>
        <w:snapToGrid w:val="0"/>
        <w:spacing w:before="120" w:beforeLines="50" w:after="50" w:line="360" w:lineRule="auto"/>
        <w:ind w:right="480" w:firstLine="5520" w:firstLineChars="2300"/>
        <w:rPr>
          <w:rFonts w:ascii="宋体" w:hAnsi="宋体" w:cs="宋体"/>
          <w:sz w:val="24"/>
        </w:rPr>
      </w:pPr>
      <w:r>
        <w:rPr>
          <w:rFonts w:hint="eastAsia" w:ascii="宋体" w:hAnsi="宋体" w:cs="宋体"/>
          <w:sz w:val="24"/>
        </w:rPr>
        <w:t>年    月    日</w:t>
      </w:r>
    </w:p>
    <w:p>
      <w:pPr>
        <w:snapToGrid w:val="0"/>
        <w:spacing w:before="120"/>
        <w:ind w:firstLine="560"/>
        <w:jc w:val="center"/>
        <w:rPr>
          <w:rFonts w:ascii="宋体" w:hAnsi="宋体" w:cs="宋体"/>
          <w:b/>
          <w:sz w:val="28"/>
          <w:szCs w:val="28"/>
        </w:rPr>
      </w:pPr>
    </w:p>
    <w:p>
      <w:pPr>
        <w:snapToGrid w:val="0"/>
        <w:spacing w:before="120" w:line="360" w:lineRule="auto"/>
        <w:ind w:firstLine="640"/>
        <w:jc w:val="center"/>
        <w:rPr>
          <w:rFonts w:ascii="宋体" w:hAnsi="宋体" w:cs="宋体"/>
          <w:sz w:val="32"/>
          <w:szCs w:val="32"/>
        </w:rPr>
      </w:pPr>
      <w:r>
        <w:rPr>
          <w:rFonts w:hint="eastAsia" w:ascii="宋体" w:hAnsi="宋体" w:cs="宋体"/>
          <w:b/>
          <w:sz w:val="32"/>
          <w:szCs w:val="32"/>
        </w:rPr>
        <w:br w:type="page"/>
      </w:r>
      <w:r>
        <w:rPr>
          <w:rFonts w:hint="eastAsia" w:ascii="宋体" w:hAnsi="宋体" w:cs="宋体"/>
          <w:b/>
          <w:sz w:val="32"/>
          <w:szCs w:val="32"/>
        </w:rPr>
        <w:t>投标人直接管理关系信息表</w:t>
      </w:r>
    </w:p>
    <w:tbl>
      <w:tblPr>
        <w:tblStyle w:val="47"/>
        <w:tblW w:w="9652" w:type="dxa"/>
        <w:tblInd w:w="0" w:type="dxa"/>
        <w:tblLayout w:type="fixed"/>
        <w:tblCellMar>
          <w:top w:w="0" w:type="dxa"/>
          <w:left w:w="0" w:type="dxa"/>
          <w:bottom w:w="0" w:type="dxa"/>
          <w:right w:w="0" w:type="dxa"/>
        </w:tblCellMar>
      </w:tblPr>
      <w:tblGrid>
        <w:gridCol w:w="1005"/>
        <w:gridCol w:w="2659"/>
        <w:gridCol w:w="3924"/>
        <w:gridCol w:w="2064"/>
      </w:tblGrid>
      <w:tr>
        <w:tblPrEx>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序号</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r>
              <w:rPr>
                <w:rFonts w:hint="eastAsia" w:ascii="宋体" w:hAnsi="宋体" w:cs="宋体"/>
                <w:kern w:val="0"/>
                <w:sz w:val="24"/>
              </w:rPr>
              <w:t>1</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r>
              <w:rPr>
                <w:rFonts w:hint="eastAsia" w:ascii="宋体" w:hAnsi="宋体" w:cs="宋体"/>
                <w:kern w:val="0"/>
                <w:sz w:val="24"/>
              </w:rPr>
              <w:t>2</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r>
              <w:rPr>
                <w:rFonts w:hint="eastAsia" w:ascii="宋体" w:hAnsi="宋体" w:cs="宋体"/>
                <w:kern w:val="0"/>
                <w:sz w:val="24"/>
              </w:rPr>
              <w:t>3</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r>
              <w:rPr>
                <w:rFonts w:hint="eastAsia" w:ascii="宋体" w:hAnsi="宋体" w:cs="宋体"/>
                <w:kern w:val="0"/>
                <w:sz w:val="24"/>
              </w:rPr>
              <w:t>……</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before="120" w:line="360" w:lineRule="auto"/>
              <w:jc w:val="center"/>
              <w:rPr>
                <w:rFonts w:ascii="宋体" w:hAnsi="宋体" w:cs="宋体"/>
                <w:kern w:val="0"/>
                <w:sz w:val="24"/>
              </w:rPr>
            </w:pPr>
          </w:p>
        </w:tc>
      </w:tr>
    </w:tbl>
    <w:p>
      <w:pPr>
        <w:snapToGrid w:val="0"/>
        <w:spacing w:before="120" w:line="360" w:lineRule="auto"/>
        <w:jc w:val="left"/>
        <w:rPr>
          <w:rFonts w:ascii="宋体" w:hAnsi="宋体" w:cs="宋体"/>
          <w:sz w:val="24"/>
        </w:rPr>
      </w:pPr>
      <w:r>
        <w:rPr>
          <w:rFonts w:hint="eastAsia" w:ascii="宋体" w:hAnsi="宋体" w:cs="宋体"/>
          <w:sz w:val="24"/>
        </w:rPr>
        <w:t>注：</w:t>
      </w:r>
    </w:p>
    <w:p>
      <w:pPr>
        <w:snapToGrid w:val="0"/>
        <w:spacing w:before="120" w:line="360" w:lineRule="auto"/>
        <w:ind w:firstLine="480" w:firstLineChars="200"/>
        <w:jc w:val="left"/>
        <w:rPr>
          <w:rFonts w:ascii="宋体" w:hAnsi="宋体" w:cs="宋体"/>
          <w:sz w:val="24"/>
        </w:rPr>
      </w:pPr>
      <w:r>
        <w:rPr>
          <w:rFonts w:hint="eastAsia" w:ascii="宋体" w:hAnsi="宋体" w:cs="宋体"/>
          <w:sz w:val="24"/>
        </w:rPr>
        <w:t>1.管理关系：是指不具有出资持股关系的其他单位之间存在的管理与被管理关系，如一些上下级关系的事业单位和团体组织。</w:t>
      </w:r>
    </w:p>
    <w:p>
      <w:pPr>
        <w:snapToGrid w:val="0"/>
        <w:spacing w:before="120"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pacing w:val="-6"/>
          <w:sz w:val="24"/>
        </w:rPr>
        <w:t>本表所指的管理关系仅限于直接管理关系，不包括间接的管理关系。</w:t>
      </w:r>
    </w:p>
    <w:p>
      <w:pPr>
        <w:snapToGrid w:val="0"/>
        <w:spacing w:before="120" w:line="360" w:lineRule="auto"/>
        <w:ind w:firstLine="480" w:firstLineChars="200"/>
        <w:jc w:val="left"/>
        <w:rPr>
          <w:rFonts w:ascii="宋体" w:hAnsi="宋体" w:cs="宋体"/>
          <w:sz w:val="24"/>
        </w:rPr>
      </w:pPr>
      <w:r>
        <w:rPr>
          <w:rFonts w:hint="eastAsia" w:ascii="宋体" w:hAnsi="宋体" w:cs="宋体"/>
          <w:sz w:val="24"/>
        </w:rPr>
        <w:t>3.供应商不存在直接管理关系的，则填“无”。</w:t>
      </w:r>
    </w:p>
    <w:p>
      <w:pPr>
        <w:snapToGrid w:val="0"/>
        <w:spacing w:before="120" w:line="360" w:lineRule="auto"/>
        <w:jc w:val="left"/>
        <w:rPr>
          <w:rFonts w:ascii="宋体" w:hAnsi="宋体" w:cs="宋体"/>
          <w:sz w:val="24"/>
        </w:rPr>
      </w:pPr>
    </w:p>
    <w:p>
      <w:pPr>
        <w:snapToGrid w:val="0"/>
        <w:spacing w:before="120" w:line="360" w:lineRule="auto"/>
        <w:jc w:val="left"/>
        <w:rPr>
          <w:rFonts w:ascii="宋体" w:hAnsi="宋体" w:cs="宋体"/>
          <w:sz w:val="24"/>
        </w:rPr>
      </w:pPr>
    </w:p>
    <w:p>
      <w:pPr>
        <w:snapToGrid w:val="0"/>
        <w:spacing w:before="120" w:line="360" w:lineRule="auto"/>
        <w:jc w:val="left"/>
        <w:rPr>
          <w:rFonts w:ascii="宋体" w:hAnsi="宋体" w:cs="宋体"/>
          <w:sz w:val="24"/>
        </w:rPr>
      </w:pPr>
    </w:p>
    <w:p>
      <w:pPr>
        <w:snapToGrid w:val="0"/>
        <w:spacing w:before="120" w:line="360" w:lineRule="auto"/>
        <w:jc w:val="left"/>
        <w:rPr>
          <w:rFonts w:ascii="宋体" w:hAnsi="宋体" w:cs="宋体"/>
          <w:sz w:val="24"/>
        </w:rPr>
      </w:pPr>
    </w:p>
    <w:p>
      <w:pPr>
        <w:snapToGrid w:val="0"/>
        <w:spacing w:before="120" w:line="360" w:lineRule="auto"/>
        <w:jc w:val="left"/>
        <w:rPr>
          <w:rFonts w:ascii="宋体" w:hAnsi="宋体" w:cs="宋体"/>
          <w:sz w:val="24"/>
        </w:rPr>
      </w:pPr>
    </w:p>
    <w:p>
      <w:pPr>
        <w:snapToGrid w:val="0"/>
        <w:spacing w:before="120" w:line="360" w:lineRule="auto"/>
        <w:jc w:val="left"/>
        <w:rPr>
          <w:rFonts w:ascii="宋体" w:hAnsi="宋体" w:cs="宋体"/>
          <w:sz w:val="24"/>
        </w:rPr>
      </w:pPr>
    </w:p>
    <w:p>
      <w:pPr>
        <w:snapToGrid w:val="0"/>
        <w:spacing w:before="120" w:beforeLines="50" w:line="360" w:lineRule="auto"/>
        <w:ind w:right="480" w:firstLine="3967" w:firstLineChars="1653"/>
        <w:rPr>
          <w:rFonts w:ascii="宋体" w:hAnsi="宋体" w:cs="宋体"/>
          <w:sz w:val="24"/>
          <w:u w:val="single"/>
        </w:rPr>
      </w:pPr>
      <w:r>
        <w:rPr>
          <w:rFonts w:hint="eastAsia" w:ascii="宋体" w:hAnsi="宋体" w:cs="宋体"/>
          <w:sz w:val="24"/>
        </w:rPr>
        <w:t>法定代表人或者委托代理人（签字）：</w:t>
      </w:r>
      <w:r>
        <w:rPr>
          <w:rFonts w:hint="eastAsia" w:ascii="宋体" w:hAnsi="宋体" w:cs="宋体"/>
          <w:sz w:val="24"/>
          <w:u w:val="single"/>
        </w:rPr>
        <w:t xml:space="preserve">             </w:t>
      </w:r>
    </w:p>
    <w:p>
      <w:pPr>
        <w:snapToGrid w:val="0"/>
        <w:spacing w:before="120" w:beforeLines="50" w:after="50" w:line="360" w:lineRule="auto"/>
        <w:ind w:right="480" w:firstLine="5520" w:firstLineChars="2300"/>
        <w:rPr>
          <w:rFonts w:ascii="宋体" w:hAnsi="宋体" w:cs="宋体"/>
          <w:sz w:val="24"/>
        </w:rPr>
      </w:pPr>
      <w:r>
        <w:rPr>
          <w:rFonts w:hint="eastAsia" w:ascii="宋体" w:hAnsi="宋体" w:cs="宋体"/>
          <w:sz w:val="24"/>
        </w:rPr>
        <w:t>投标人（公章）：</w:t>
      </w:r>
      <w:r>
        <w:rPr>
          <w:rFonts w:hint="eastAsia" w:ascii="宋体" w:hAnsi="宋体" w:cs="宋体"/>
          <w:sz w:val="24"/>
          <w:u w:val="single"/>
        </w:rPr>
        <w:t xml:space="preserve">                 </w:t>
      </w:r>
    </w:p>
    <w:p>
      <w:pPr>
        <w:snapToGrid w:val="0"/>
        <w:spacing w:before="120" w:beforeLines="50" w:after="50" w:line="360" w:lineRule="auto"/>
        <w:ind w:right="480" w:firstLine="240" w:firstLineChars="100"/>
        <w:jc w:val="right"/>
        <w:rPr>
          <w:rFonts w:ascii="宋体" w:hAnsi="宋体" w:cs="宋体"/>
          <w:sz w:val="24"/>
        </w:rPr>
      </w:pPr>
      <w:r>
        <w:rPr>
          <w:rFonts w:hint="eastAsia" w:ascii="宋体" w:hAnsi="宋体" w:cs="宋体"/>
          <w:sz w:val="24"/>
        </w:rPr>
        <w:t xml:space="preserve"> 年    月    日</w:t>
      </w:r>
    </w:p>
    <w:p>
      <w:pPr>
        <w:snapToGrid w:val="0"/>
        <w:spacing w:before="120" w:after="120" w:afterLines="50"/>
        <w:ind w:firstLine="482"/>
        <w:jc w:val="left"/>
        <w:rPr>
          <w:rFonts w:ascii="宋体" w:hAnsi="宋体" w:cs="宋体"/>
          <w:szCs w:val="21"/>
        </w:rPr>
      </w:pPr>
    </w:p>
    <w:p>
      <w:pPr>
        <w:snapToGrid w:val="0"/>
        <w:spacing w:before="120" w:beforeLines="50" w:after="50"/>
        <w:ind w:firstLine="480"/>
        <w:jc w:val="left"/>
        <w:rPr>
          <w:rFonts w:ascii="宋体" w:hAnsi="宋体" w:cs="宋体"/>
          <w:b/>
          <w:sz w:val="24"/>
          <w:szCs w:val="20"/>
        </w:rPr>
      </w:pPr>
    </w:p>
    <w:p>
      <w:pPr>
        <w:numPr>
          <w:ilvl w:val="2"/>
          <w:numId w:val="5"/>
        </w:numPr>
        <w:snapToGrid w:val="0"/>
        <w:spacing w:before="120" w:beforeLines="50" w:after="50"/>
        <w:ind w:left="0" w:firstLine="480"/>
        <w:jc w:val="left"/>
        <w:rPr>
          <w:rFonts w:ascii="宋体" w:hAnsi="宋体" w:cs="宋体"/>
          <w:b/>
          <w:sz w:val="24"/>
          <w:szCs w:val="20"/>
        </w:rPr>
      </w:pPr>
      <w:r>
        <w:rPr>
          <w:rFonts w:hint="eastAsia" w:ascii="宋体" w:hAnsi="宋体" w:cs="宋体"/>
          <w:b/>
          <w:sz w:val="24"/>
        </w:rPr>
        <w:br w:type="page"/>
      </w:r>
      <w:r>
        <w:rPr>
          <w:rFonts w:hint="eastAsia" w:ascii="宋体" w:hAnsi="宋体" w:cs="宋体"/>
          <w:b/>
          <w:sz w:val="24"/>
        </w:rPr>
        <w:t>投标声明格式</w:t>
      </w:r>
    </w:p>
    <w:p>
      <w:pPr>
        <w:snapToGrid w:val="0"/>
        <w:spacing w:before="120" w:after="120" w:afterLines="50"/>
        <w:ind w:firstLine="482"/>
        <w:jc w:val="left"/>
        <w:rPr>
          <w:rFonts w:ascii="宋体" w:hAnsi="宋体" w:cs="宋体"/>
        </w:rPr>
      </w:pPr>
    </w:p>
    <w:p>
      <w:pPr>
        <w:snapToGrid w:val="0"/>
        <w:spacing w:before="120" w:after="120" w:afterLines="50"/>
        <w:ind w:firstLine="883"/>
        <w:jc w:val="center"/>
        <w:rPr>
          <w:rFonts w:ascii="宋体" w:hAnsi="宋体" w:cs="宋体"/>
          <w:bCs/>
          <w:sz w:val="44"/>
          <w:szCs w:val="44"/>
        </w:rPr>
      </w:pPr>
      <w:r>
        <w:rPr>
          <w:rFonts w:hint="eastAsia" w:ascii="宋体" w:hAnsi="宋体" w:cs="宋体"/>
          <w:bCs/>
          <w:sz w:val="44"/>
          <w:szCs w:val="44"/>
        </w:rPr>
        <w:t>投标声明</w:t>
      </w:r>
    </w:p>
    <w:p>
      <w:pPr>
        <w:snapToGrid w:val="0"/>
        <w:spacing w:before="120" w:after="120" w:afterLines="50"/>
        <w:ind w:firstLine="883"/>
        <w:jc w:val="center"/>
        <w:rPr>
          <w:rFonts w:ascii="宋体" w:hAnsi="宋体" w:cs="宋体"/>
          <w:bCs/>
          <w:sz w:val="44"/>
          <w:szCs w:val="44"/>
        </w:rPr>
      </w:pPr>
    </w:p>
    <w:p>
      <w:pPr>
        <w:spacing w:before="120" w:line="400" w:lineRule="exact"/>
        <w:contextualSpacing/>
        <w:jc w:val="left"/>
        <w:rPr>
          <w:rFonts w:ascii="宋体" w:hAnsi="宋体" w:cs="宋体"/>
          <w:sz w:val="24"/>
        </w:rPr>
      </w:pPr>
      <w:r>
        <w:rPr>
          <w:rFonts w:hint="eastAsia" w:ascii="宋体" w:hAnsi="宋体" w:cs="宋体"/>
          <w:sz w:val="24"/>
        </w:rPr>
        <w:t>（采购人名称）：</w:t>
      </w:r>
    </w:p>
    <w:p>
      <w:pPr>
        <w:spacing w:before="120" w:line="400" w:lineRule="exact"/>
        <w:ind w:firstLine="523" w:firstLineChars="218"/>
        <w:contextualSpacing/>
        <w:jc w:val="left"/>
        <w:rPr>
          <w:rFonts w:ascii="宋体" w:hAnsi="宋体" w:cs="宋体"/>
          <w:sz w:val="24"/>
        </w:rPr>
      </w:pPr>
      <w:r>
        <w:rPr>
          <w:rFonts w:hint="eastAsia" w:ascii="宋体" w:hAnsi="宋体" w:cs="宋体"/>
          <w:sz w:val="24"/>
        </w:rPr>
        <w:t>我方参加贵单位组织</w:t>
      </w:r>
      <w:r>
        <w:rPr>
          <w:rFonts w:hint="eastAsia" w:ascii="宋体" w:hAnsi="宋体" w:cs="宋体"/>
          <w:sz w:val="24"/>
          <w:u w:val="single"/>
        </w:rPr>
        <w:t xml:space="preserve">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）的政府采购活动。我方在此郑重声明：</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供应商资格条件，我方对此声明负全部法律责任。</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2.我方不是为本次采购项目提供整体设计、规范编制或者项目管理、监理、检测等服务的供应商。</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3. 我方承诺符合《中华人民共和国政府采购法》第二十二条规定：</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（一）具有独立承担民事责任的能力；</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（二）具有良好的商业信誉和健全的财务会计制度；</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（三）具有履行合同所必需的设备和专业技术能力；</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（四）有依法缴纳税收和社会保障资金的良好记录；</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（五）参加政府采购活动前三年内，在经营活动中没有重大违法记录；</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（六）法律、行政法规规定的其他条件。</w:t>
      </w:r>
    </w:p>
    <w:p>
      <w:pPr>
        <w:spacing w:before="120" w:line="400" w:lineRule="exact"/>
        <w:ind w:firstLine="480" w:firstLineChars="200"/>
        <w:contextualSpacing/>
        <w:jc w:val="left"/>
        <w:rPr>
          <w:rFonts w:ascii="宋体" w:hAnsi="宋体" w:cs="宋体"/>
          <w:sz w:val="24"/>
        </w:rPr>
      </w:pPr>
      <w:r>
        <w:rPr>
          <w:rFonts w:hint="eastAsia" w:ascii="宋体" w:hAnsi="宋体" w:cs="宋体"/>
          <w:sz w:val="24"/>
        </w:rPr>
        <w:t>4.以上事项如有虚假或者隐瞒，我方愿意承担一切后果，并不再寻求任何旨在减轻或者免除法律责任的辩解。</w:t>
      </w:r>
    </w:p>
    <w:p>
      <w:pPr>
        <w:spacing w:before="120" w:line="400" w:lineRule="exact"/>
        <w:ind w:firstLine="480" w:firstLineChars="200"/>
        <w:contextualSpacing/>
        <w:jc w:val="left"/>
      </w:pPr>
      <w:r>
        <w:rPr>
          <w:rFonts w:ascii="宋体" w:hAnsi="宋体" w:cs="宋体"/>
          <w:sz w:val="24"/>
        </w:rPr>
        <w:t>5</w:t>
      </w:r>
      <w:r>
        <w:rPr>
          <w:rFonts w:hint="eastAsia" w:ascii="宋体" w:hAnsi="宋体" w:cs="宋体"/>
          <w:sz w:val="24"/>
        </w:rPr>
        <w:t>.我方若中标，除非发生不可抗力，承诺与发包方及时签订《合同书》。如果弃标，自愿按照本文件之《投标人须知正文》第3</w:t>
      </w:r>
      <w:r>
        <w:rPr>
          <w:rFonts w:ascii="宋体" w:hAnsi="宋体" w:cs="宋体"/>
          <w:sz w:val="24"/>
        </w:rPr>
        <w:t>0.4</w:t>
      </w:r>
      <w:r>
        <w:rPr>
          <w:rFonts w:hint="eastAsia" w:ascii="宋体" w:hAnsi="宋体" w:cs="宋体"/>
          <w:sz w:val="24"/>
        </w:rPr>
        <w:t>条的要求承担法律责任和失信惩戒。</w:t>
      </w:r>
    </w:p>
    <w:p>
      <w:pPr>
        <w:spacing w:before="120" w:line="400" w:lineRule="exact"/>
        <w:contextualSpacing/>
        <w:jc w:val="left"/>
        <w:rPr>
          <w:rFonts w:ascii="宋体" w:hAnsi="宋体" w:cs="宋体"/>
          <w:sz w:val="24"/>
        </w:rPr>
      </w:pPr>
      <w:r>
        <w:rPr>
          <w:rFonts w:hint="eastAsia" w:ascii="宋体" w:hAnsi="宋体" w:cs="宋体"/>
          <w:sz w:val="24"/>
        </w:rPr>
        <w:t xml:space="preserve">    特此承诺。</w:t>
      </w:r>
    </w:p>
    <w:p>
      <w:pPr>
        <w:spacing w:before="120" w:line="400" w:lineRule="exact"/>
        <w:ind w:firstLine="480"/>
        <w:contextualSpacing/>
        <w:jc w:val="left"/>
        <w:rPr>
          <w:rFonts w:ascii="楷体" w:hAnsi="楷体" w:eastAsia="楷体" w:cs="宋体"/>
          <w:b/>
          <w:sz w:val="24"/>
        </w:rPr>
      </w:pPr>
      <w:r>
        <w:rPr>
          <w:rFonts w:hint="eastAsia" w:ascii="宋体" w:hAnsi="宋体" w:cs="宋体"/>
          <w:b/>
          <w:sz w:val="24"/>
        </w:rPr>
        <w:t xml:space="preserve">  </w:t>
      </w:r>
      <w:r>
        <w:rPr>
          <w:rFonts w:ascii="楷体" w:hAnsi="楷体" w:eastAsia="楷体" w:cs="宋体"/>
          <w:b/>
          <w:sz w:val="24"/>
        </w:rPr>
        <w:t xml:space="preserve">  </w:t>
      </w:r>
      <w:r>
        <w:rPr>
          <w:rFonts w:hint="eastAsia" w:ascii="楷体" w:hAnsi="楷体" w:eastAsia="楷体" w:cs="宋体"/>
          <w:b/>
          <w:sz w:val="24"/>
        </w:rPr>
        <w:t>【注】如为联合体投标，盖章处须加盖联合体各方公章并由联合体各方法定代表人分别签字，否则投标无效。</w:t>
      </w:r>
    </w:p>
    <w:p>
      <w:pPr>
        <w:spacing w:before="120" w:line="400" w:lineRule="exact"/>
        <w:contextualSpacing/>
        <w:jc w:val="left"/>
        <w:rPr>
          <w:rFonts w:ascii="宋体" w:hAnsi="宋体" w:cs="宋体"/>
          <w:sz w:val="24"/>
        </w:rPr>
      </w:pPr>
      <w:r>
        <w:rPr>
          <w:rFonts w:hint="eastAsia" w:ascii="宋体" w:hAnsi="宋体" w:cs="宋体"/>
          <w:sz w:val="24"/>
        </w:rPr>
        <w:t xml:space="preserve">                                          法定代表人（签字）：</w:t>
      </w:r>
      <w:r>
        <w:rPr>
          <w:rFonts w:hint="eastAsia" w:ascii="宋体" w:hAnsi="宋体" w:cs="宋体"/>
          <w:sz w:val="24"/>
          <w:u w:val="single"/>
        </w:rPr>
        <w:t xml:space="preserve">             </w:t>
      </w:r>
    </w:p>
    <w:p>
      <w:pPr>
        <w:spacing w:before="120" w:line="400" w:lineRule="exact"/>
        <w:contextualSpacing/>
        <w:jc w:val="left"/>
        <w:rPr>
          <w:rFonts w:ascii="宋体" w:hAnsi="宋体" w:cs="宋体"/>
          <w:sz w:val="24"/>
        </w:rPr>
      </w:pPr>
      <w:r>
        <w:rPr>
          <w:rFonts w:hint="eastAsia" w:ascii="宋体" w:hAnsi="宋体" w:cs="宋体"/>
          <w:sz w:val="24"/>
        </w:rPr>
        <w:t xml:space="preserve">                                          投标人（公章）：</w:t>
      </w:r>
      <w:r>
        <w:rPr>
          <w:rFonts w:hint="eastAsia" w:ascii="宋体" w:hAnsi="宋体" w:cs="宋体"/>
          <w:sz w:val="24"/>
          <w:u w:val="single"/>
        </w:rPr>
        <w:t xml:space="preserve">                 </w:t>
      </w:r>
    </w:p>
    <w:p>
      <w:pPr>
        <w:spacing w:before="120" w:line="400" w:lineRule="exact"/>
        <w:contextualSpacing/>
        <w:jc w:val="left"/>
        <w:rPr>
          <w:rFonts w:ascii="宋体" w:hAnsi="宋体" w:cs="宋体"/>
        </w:rPr>
      </w:pPr>
      <w:r>
        <w:rPr>
          <w:rFonts w:hint="eastAsia" w:ascii="宋体" w:hAnsi="宋体" w:cs="宋体"/>
          <w:sz w:val="24"/>
        </w:rPr>
        <w:t xml:space="preserve">                                                  年    月    日</w:t>
      </w:r>
    </w:p>
    <w:p>
      <w:pPr>
        <w:spacing w:before="120"/>
        <w:ind w:firstLine="560"/>
        <w:rPr>
          <w:rFonts w:ascii="宋体" w:hAnsi="宋体" w:cs="宋体"/>
          <w:b/>
          <w:sz w:val="28"/>
          <w:szCs w:val="28"/>
        </w:rPr>
      </w:pPr>
      <w:bookmarkStart w:id="151" w:name="_Toc19686838"/>
      <w:r>
        <w:rPr>
          <w:rFonts w:hint="eastAsia" w:ascii="宋体" w:hAnsi="宋体" w:cs="宋体"/>
          <w:b/>
          <w:sz w:val="28"/>
          <w:szCs w:val="28"/>
        </w:rPr>
        <w:br w:type="page"/>
      </w:r>
      <w:r>
        <w:rPr>
          <w:rFonts w:hint="eastAsia" w:ascii="宋体" w:hAnsi="宋体" w:cs="宋体"/>
          <w:b/>
          <w:sz w:val="28"/>
          <w:szCs w:val="28"/>
        </w:rPr>
        <w:t>三、商务文件格式</w:t>
      </w:r>
      <w:bookmarkEnd w:id="151"/>
    </w:p>
    <w:p>
      <w:pPr>
        <w:snapToGrid w:val="0"/>
        <w:spacing w:before="120" w:beforeLines="50" w:after="50" w:line="360" w:lineRule="auto"/>
        <w:ind w:firstLine="480"/>
        <w:jc w:val="left"/>
        <w:rPr>
          <w:rFonts w:ascii="宋体" w:hAnsi="宋体" w:cs="宋体"/>
          <w:b/>
          <w:sz w:val="24"/>
        </w:rPr>
      </w:pPr>
      <w:r>
        <w:rPr>
          <w:rFonts w:hint="eastAsia" w:ascii="宋体" w:hAnsi="宋体" w:cs="宋体"/>
          <w:b/>
          <w:sz w:val="24"/>
        </w:rPr>
        <w:t xml:space="preserve">1.商务文件封面格式： </w:t>
      </w:r>
    </w:p>
    <w:p>
      <w:pPr>
        <w:snapToGrid w:val="0"/>
        <w:spacing w:before="120" w:beforeLines="50" w:after="50"/>
        <w:rPr>
          <w:rFonts w:ascii="宋体" w:hAnsi="宋体" w:cs="宋体"/>
          <w:bCs/>
          <w:sz w:val="32"/>
          <w:szCs w:val="20"/>
        </w:rPr>
      </w:pPr>
      <w:r>
        <w:rPr>
          <w:rFonts w:hint="eastAsia" w:ascii="宋体" w:hAnsi="宋体" w:cs="宋体"/>
          <w:sz w:val="24"/>
        </w:rPr>
        <w:t xml:space="preserve">                                                 </w:t>
      </w:r>
    </w:p>
    <w:p>
      <w:pPr>
        <w:snapToGrid w:val="0"/>
        <w:spacing w:before="120" w:beforeLines="50" w:after="50"/>
        <w:rPr>
          <w:rFonts w:ascii="宋体" w:hAnsi="宋体" w:cs="宋体"/>
          <w:sz w:val="24"/>
          <w:szCs w:val="20"/>
        </w:rPr>
      </w:pPr>
    </w:p>
    <w:p>
      <w:pPr>
        <w:snapToGrid w:val="0"/>
        <w:spacing w:before="120" w:beforeLines="50" w:after="50"/>
        <w:rPr>
          <w:rFonts w:ascii="宋体" w:hAnsi="宋体" w:cs="宋体"/>
          <w:sz w:val="24"/>
          <w:szCs w:val="20"/>
        </w:rPr>
      </w:pPr>
    </w:p>
    <w:p>
      <w:pPr>
        <w:snapToGrid w:val="0"/>
        <w:spacing w:before="120" w:beforeLines="50" w:after="50"/>
        <w:rPr>
          <w:rFonts w:ascii="宋体" w:hAnsi="宋体" w:cs="宋体"/>
          <w:sz w:val="24"/>
          <w:szCs w:val="20"/>
        </w:rPr>
      </w:pPr>
    </w:p>
    <w:p>
      <w:pPr>
        <w:snapToGrid w:val="0"/>
        <w:spacing w:before="120" w:beforeLines="50" w:after="50"/>
        <w:ind w:firstLine="1687"/>
        <w:jc w:val="center"/>
        <w:rPr>
          <w:rFonts w:ascii="宋体" w:hAnsi="宋体" w:cs="宋体"/>
          <w:sz w:val="84"/>
          <w:szCs w:val="84"/>
        </w:rPr>
      </w:pPr>
      <w:r>
        <w:rPr>
          <w:rFonts w:hint="eastAsia" w:ascii="宋体" w:hAnsi="宋体" w:cs="宋体"/>
          <w:sz w:val="84"/>
          <w:szCs w:val="84"/>
        </w:rPr>
        <w:t>投  标  文  件</w:t>
      </w:r>
    </w:p>
    <w:p>
      <w:pPr>
        <w:snapToGrid w:val="0"/>
        <w:spacing w:before="120" w:beforeLines="50" w:after="50"/>
        <w:rPr>
          <w:rFonts w:ascii="宋体" w:hAnsi="宋体" w:cs="宋体"/>
          <w:sz w:val="24"/>
          <w:szCs w:val="20"/>
        </w:rPr>
      </w:pPr>
    </w:p>
    <w:p>
      <w:pPr>
        <w:snapToGrid w:val="0"/>
        <w:spacing w:before="120" w:beforeLines="50" w:after="50"/>
        <w:rPr>
          <w:rFonts w:ascii="宋体" w:hAnsi="宋体" w:cs="宋体"/>
          <w:sz w:val="24"/>
          <w:szCs w:val="20"/>
        </w:rPr>
      </w:pPr>
    </w:p>
    <w:p>
      <w:pPr>
        <w:snapToGrid w:val="0"/>
        <w:spacing w:before="120" w:beforeLines="50" w:after="50"/>
        <w:ind w:firstLine="643"/>
        <w:jc w:val="center"/>
        <w:rPr>
          <w:rFonts w:ascii="宋体" w:hAnsi="宋体" w:cs="宋体"/>
          <w:bCs/>
          <w:sz w:val="32"/>
          <w:szCs w:val="32"/>
        </w:rPr>
      </w:pPr>
      <w:r>
        <w:rPr>
          <w:rFonts w:hint="eastAsia" w:ascii="宋体" w:hAnsi="宋体" w:cs="宋体"/>
          <w:bCs/>
          <w:sz w:val="32"/>
          <w:szCs w:val="32"/>
        </w:rPr>
        <w:t>商  务  文  件</w:t>
      </w:r>
    </w:p>
    <w:p>
      <w:pPr>
        <w:snapToGrid w:val="0"/>
        <w:spacing w:before="120" w:beforeLines="50" w:after="50"/>
        <w:rPr>
          <w:rFonts w:ascii="宋体" w:hAnsi="宋体" w:cs="宋体"/>
          <w:bCs/>
          <w:sz w:val="24"/>
          <w:szCs w:val="20"/>
        </w:rPr>
      </w:pPr>
    </w:p>
    <w:p>
      <w:pPr>
        <w:snapToGrid w:val="0"/>
        <w:spacing w:before="120" w:beforeLines="50" w:after="50"/>
        <w:ind w:firstLine="540" w:firstLineChars="225"/>
        <w:rPr>
          <w:rFonts w:ascii="宋体" w:hAnsi="宋体" w:cs="宋体"/>
          <w:bCs/>
          <w:sz w:val="24"/>
        </w:rPr>
      </w:pPr>
    </w:p>
    <w:p>
      <w:pPr>
        <w:snapToGrid w:val="0"/>
        <w:spacing w:before="120" w:beforeLines="50" w:after="50"/>
        <w:ind w:firstLine="540" w:firstLineChars="225"/>
        <w:rPr>
          <w:rFonts w:ascii="宋体" w:hAnsi="宋体" w:cs="宋体"/>
          <w:bCs/>
          <w:sz w:val="24"/>
        </w:rPr>
      </w:pPr>
    </w:p>
    <w:p>
      <w:pPr>
        <w:snapToGrid w:val="0"/>
        <w:spacing w:before="120" w:beforeLines="50" w:after="50"/>
        <w:ind w:firstLine="1680" w:firstLineChars="600"/>
        <w:rPr>
          <w:rFonts w:ascii="宋体" w:hAnsi="宋体" w:cs="宋体"/>
          <w:bCs/>
          <w:sz w:val="28"/>
          <w:szCs w:val="28"/>
        </w:rPr>
      </w:pPr>
    </w:p>
    <w:p>
      <w:pPr>
        <w:snapToGrid w:val="0"/>
        <w:spacing w:before="120" w:beforeLines="50" w:after="50"/>
        <w:ind w:firstLine="1680" w:firstLineChars="600"/>
        <w:rPr>
          <w:rFonts w:ascii="宋体" w:hAnsi="宋体" w:cs="宋体"/>
          <w:bCs/>
          <w:sz w:val="28"/>
          <w:szCs w:val="28"/>
        </w:rPr>
      </w:pPr>
      <w:r>
        <w:rPr>
          <w:rFonts w:hint="eastAsia" w:ascii="宋体" w:hAnsi="宋体" w:cs="宋体"/>
          <w:bCs/>
          <w:sz w:val="28"/>
          <w:szCs w:val="28"/>
        </w:rPr>
        <w:t>项目名称：</w:t>
      </w:r>
    </w:p>
    <w:p>
      <w:pPr>
        <w:snapToGrid w:val="0"/>
        <w:spacing w:before="120" w:beforeLines="50" w:after="50"/>
        <w:ind w:firstLine="1680" w:firstLineChars="600"/>
        <w:rPr>
          <w:rFonts w:ascii="宋体" w:hAnsi="宋体" w:cs="宋体"/>
          <w:bCs/>
          <w:sz w:val="28"/>
          <w:szCs w:val="21"/>
        </w:rPr>
      </w:pPr>
      <w:r>
        <w:rPr>
          <w:rFonts w:hint="eastAsia" w:ascii="宋体" w:hAnsi="宋体" w:cs="宋体"/>
          <w:bCs/>
          <w:sz w:val="28"/>
          <w:szCs w:val="28"/>
        </w:rPr>
        <w:t>项目编号：</w:t>
      </w:r>
    </w:p>
    <w:p>
      <w:pPr>
        <w:snapToGrid w:val="0"/>
        <w:spacing w:before="120" w:beforeLines="50" w:after="50"/>
        <w:ind w:firstLine="1680" w:firstLineChars="600"/>
        <w:rPr>
          <w:rFonts w:ascii="宋体" w:hAnsi="宋体" w:cs="宋体"/>
          <w:bCs/>
          <w:sz w:val="28"/>
          <w:szCs w:val="28"/>
        </w:rPr>
      </w:pPr>
      <w:r>
        <w:rPr>
          <w:rFonts w:hint="eastAsia" w:ascii="宋体" w:hAnsi="宋体" w:cs="宋体"/>
          <w:bCs/>
          <w:sz w:val="28"/>
          <w:szCs w:val="28"/>
        </w:rPr>
        <w:t>所投分标：</w:t>
      </w:r>
    </w:p>
    <w:p>
      <w:pPr>
        <w:pStyle w:val="9"/>
        <w:snapToGrid w:val="0"/>
        <w:spacing w:before="120" w:after="50"/>
        <w:ind w:firstLine="1680" w:firstLineChars="600"/>
        <w:rPr>
          <w:rFonts w:ascii="宋体" w:hAnsi="宋体" w:cs="宋体"/>
          <w:bCs/>
          <w:sz w:val="28"/>
          <w:szCs w:val="28"/>
        </w:rPr>
      </w:pPr>
      <w:r>
        <w:rPr>
          <w:rFonts w:hint="eastAsia" w:ascii="宋体" w:hAnsi="宋体" w:cs="宋体"/>
          <w:bCs/>
          <w:sz w:val="28"/>
          <w:szCs w:val="28"/>
        </w:rPr>
        <w:t>投标人名称：</w:t>
      </w:r>
    </w:p>
    <w:p>
      <w:pPr>
        <w:pStyle w:val="9"/>
        <w:snapToGrid w:val="0"/>
        <w:spacing w:before="120" w:after="50"/>
        <w:ind w:firstLine="1680" w:firstLineChars="600"/>
        <w:rPr>
          <w:rFonts w:ascii="宋体" w:hAnsi="宋体" w:cs="宋体"/>
          <w:bCs/>
          <w:sz w:val="28"/>
          <w:szCs w:val="28"/>
        </w:rPr>
      </w:pPr>
      <w:r>
        <w:rPr>
          <w:rFonts w:hint="eastAsia" w:ascii="宋体" w:hAnsi="宋体" w:cs="宋体"/>
          <w:bCs/>
          <w:sz w:val="28"/>
          <w:szCs w:val="28"/>
        </w:rPr>
        <w:t>投标人地址：</w:t>
      </w:r>
    </w:p>
    <w:p>
      <w:pPr>
        <w:pStyle w:val="9"/>
        <w:snapToGrid w:val="0"/>
        <w:spacing w:before="120" w:after="50"/>
        <w:ind w:firstLine="1680" w:firstLineChars="600"/>
        <w:rPr>
          <w:rFonts w:ascii="宋体" w:hAnsi="宋体" w:cs="宋体"/>
          <w:bCs/>
          <w:sz w:val="28"/>
          <w:szCs w:val="28"/>
        </w:rPr>
      </w:pPr>
    </w:p>
    <w:p>
      <w:pPr>
        <w:snapToGrid w:val="0"/>
        <w:spacing w:before="120" w:beforeLines="50" w:after="50"/>
        <w:ind w:firstLine="1680" w:firstLineChars="600"/>
        <w:rPr>
          <w:rFonts w:ascii="宋体" w:hAnsi="宋体" w:cs="宋体"/>
          <w:sz w:val="28"/>
          <w:szCs w:val="28"/>
        </w:rPr>
      </w:pPr>
      <w:r>
        <w:rPr>
          <w:rFonts w:hint="eastAsia" w:ascii="宋体" w:hAnsi="宋体" w:cs="宋体"/>
          <w:sz w:val="28"/>
          <w:szCs w:val="28"/>
        </w:rPr>
        <w:t xml:space="preserve">                        年  月  日</w:t>
      </w:r>
    </w:p>
    <w:p>
      <w:pPr>
        <w:snapToGrid w:val="0"/>
        <w:spacing w:before="120" w:beforeLines="50" w:after="50"/>
        <w:rPr>
          <w:rFonts w:ascii="宋体" w:hAnsi="宋体" w:cs="宋体"/>
          <w:sz w:val="24"/>
          <w:szCs w:val="20"/>
        </w:rPr>
      </w:pPr>
      <w:r>
        <w:rPr>
          <w:rFonts w:hint="eastAsia" w:ascii="宋体" w:hAnsi="宋体" w:cs="宋体"/>
          <w:sz w:val="24"/>
          <w:szCs w:val="20"/>
        </w:rPr>
        <w:t xml:space="preserve"> </w:t>
      </w:r>
    </w:p>
    <w:p>
      <w:pPr>
        <w:snapToGrid w:val="0"/>
        <w:spacing w:before="120" w:line="360" w:lineRule="auto"/>
        <w:jc w:val="left"/>
        <w:rPr>
          <w:rFonts w:ascii="宋体" w:hAnsi="宋体" w:cs="宋体"/>
          <w:b/>
          <w:bCs/>
          <w:sz w:val="28"/>
          <w:szCs w:val="28"/>
        </w:rPr>
      </w:pPr>
      <w:r>
        <w:rPr>
          <w:rFonts w:hint="eastAsia" w:ascii="宋体" w:hAnsi="宋体" w:cs="宋体"/>
          <w:sz w:val="24"/>
          <w:szCs w:val="20"/>
        </w:rPr>
        <w:br w:type="page"/>
      </w:r>
      <w:r>
        <w:rPr>
          <w:rFonts w:hint="eastAsia" w:ascii="宋体" w:hAnsi="宋体" w:cs="宋体"/>
          <w:b/>
          <w:bCs/>
          <w:sz w:val="24"/>
        </w:rPr>
        <w:t>2.商务文件目录</w:t>
      </w:r>
    </w:p>
    <w:p>
      <w:pPr>
        <w:snapToGrid w:val="0"/>
        <w:spacing w:before="120" w:after="120" w:afterLines="50" w:line="360" w:lineRule="auto"/>
        <w:ind w:firstLine="480" w:firstLineChars="200"/>
        <w:jc w:val="left"/>
        <w:rPr>
          <w:rFonts w:ascii="宋体" w:hAnsi="宋体" w:cs="宋体"/>
          <w:b/>
          <w:bCs/>
          <w:sz w:val="32"/>
          <w:szCs w:val="32"/>
        </w:rPr>
      </w:pPr>
      <w:r>
        <w:rPr>
          <w:rFonts w:hint="eastAsia" w:ascii="宋体" w:hAnsi="宋体" w:cs="宋体"/>
          <w:sz w:val="24"/>
        </w:rPr>
        <w:t>根据招标文件规定及投标人提供的材料自行编写目录。</w:t>
      </w:r>
    </w:p>
    <w:p>
      <w:pPr>
        <w:snapToGrid w:val="0"/>
        <w:spacing w:before="120" w:after="120" w:afterLines="50"/>
        <w:ind w:firstLine="482"/>
        <w:jc w:val="left"/>
        <w:rPr>
          <w:rFonts w:ascii="宋体" w:hAnsi="宋体" w:cs="宋体"/>
        </w:rPr>
      </w:pPr>
    </w:p>
    <w:p>
      <w:pPr>
        <w:snapToGrid w:val="0"/>
        <w:spacing w:before="120" w:beforeLines="50" w:after="50"/>
        <w:ind w:firstLine="480"/>
        <w:jc w:val="left"/>
        <w:rPr>
          <w:rFonts w:ascii="宋体" w:hAnsi="宋体" w:cs="宋体"/>
          <w:b/>
          <w:sz w:val="24"/>
        </w:rPr>
      </w:pPr>
      <w:r>
        <w:rPr>
          <w:rFonts w:hint="eastAsia" w:ascii="宋体" w:hAnsi="宋体" w:cs="宋体"/>
          <w:b/>
          <w:sz w:val="24"/>
        </w:rPr>
        <w:br w:type="page"/>
      </w:r>
      <w:r>
        <w:rPr>
          <w:rFonts w:hint="eastAsia" w:ascii="宋体" w:hAnsi="宋体" w:cs="宋体"/>
          <w:b/>
          <w:sz w:val="24"/>
        </w:rPr>
        <w:t>3.投标人参加本项目无围标串标行为的承诺</w:t>
      </w:r>
    </w:p>
    <w:p>
      <w:pPr>
        <w:snapToGrid w:val="0"/>
        <w:spacing w:before="120" w:beforeLines="50" w:after="50"/>
        <w:ind w:firstLine="480"/>
        <w:jc w:val="left"/>
        <w:rPr>
          <w:rFonts w:ascii="宋体" w:hAnsi="宋体" w:cs="宋体"/>
          <w:b/>
          <w:sz w:val="24"/>
        </w:rPr>
      </w:pPr>
    </w:p>
    <w:p>
      <w:pPr>
        <w:spacing w:before="120" w:line="360" w:lineRule="auto"/>
        <w:ind w:left="420" w:firstLine="839"/>
        <w:contextualSpacing/>
        <w:jc w:val="center"/>
        <w:rPr>
          <w:rFonts w:ascii="宋体" w:hAnsi="宋体" w:cs="宋体"/>
          <w:b/>
          <w:sz w:val="24"/>
        </w:rPr>
      </w:pPr>
      <w:r>
        <w:rPr>
          <w:rFonts w:hint="eastAsia" w:ascii="宋体" w:hAnsi="宋体" w:cs="宋体"/>
          <w:bCs/>
          <w:spacing w:val="-11"/>
          <w:sz w:val="44"/>
          <w:szCs w:val="44"/>
        </w:rPr>
        <w:t>投标人参加本项目无围标串标行为的承诺函</w:t>
      </w:r>
    </w:p>
    <w:p>
      <w:pPr>
        <w:spacing w:before="120" w:line="440" w:lineRule="exact"/>
        <w:ind w:firstLine="480"/>
        <w:contextualSpacing/>
        <w:jc w:val="left"/>
        <w:rPr>
          <w:rFonts w:ascii="宋体" w:hAnsi="宋体" w:cs="宋体"/>
          <w:b/>
          <w:sz w:val="24"/>
        </w:rPr>
      </w:pPr>
      <w:r>
        <w:rPr>
          <w:rFonts w:hint="eastAsia" w:ascii="宋体" w:hAnsi="宋体" w:cs="宋体"/>
          <w:b/>
          <w:sz w:val="24"/>
        </w:rPr>
        <w:t>一、我方承诺无下列相互串通投标的情形：</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1.不同投标人的投标文件由同一单位或者个人编制；</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2.不同投标人委托同一单位或者个人办理投标事宜；</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3.不同的投标人的投标文件载明的项目管理员为同一个人；</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4.不同投标人的投标文件异常一致或者投标报价呈规律性差异；</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5.不同投标人的投标文件相互混装；</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6.不同投标人的投标保证金从同一单位或者个人账户转出。</w:t>
      </w:r>
    </w:p>
    <w:p>
      <w:pPr>
        <w:spacing w:before="120" w:line="440" w:lineRule="exact"/>
        <w:ind w:firstLine="480"/>
        <w:contextualSpacing/>
        <w:jc w:val="left"/>
        <w:rPr>
          <w:rFonts w:ascii="宋体" w:hAnsi="宋体" w:cs="宋体"/>
          <w:sz w:val="24"/>
        </w:rPr>
      </w:pPr>
      <w:r>
        <w:rPr>
          <w:rFonts w:hint="eastAsia" w:ascii="宋体" w:hAnsi="宋体" w:cs="宋体"/>
          <w:b/>
          <w:sz w:val="24"/>
        </w:rPr>
        <w:t>二、我方承诺无下列恶意串通的情形：</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1.投标人直接或者间接从采购人或者采购代理机构处获得其他投标人的相关信息并修改其投标文件或者响应文件；</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2.投标人按照采购人或者采购代理机构的授意撤换、修改投标文件或者响应文件；</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3.投标人之间协商报价、技术方案等投标文件或者响应文件的实质性内容；</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4.属于同一集团、协会、商会等组织成员的投标人按照该组织要求协同参加政府采购活动；</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5.投标人之间事先约定一致抬高或者压低投标报价，或者在招标项目中事先约定轮流以高价位或者低价位中标，或者事先约定由某一特定投标人中标，然后再参加投标；</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6.投标人之间商定部分投标人放弃参加政府采购活动或者放弃中标；</w:t>
      </w:r>
    </w:p>
    <w:p>
      <w:pPr>
        <w:spacing w:before="120" w:line="440" w:lineRule="exact"/>
        <w:ind w:firstLine="470" w:firstLineChars="196"/>
        <w:contextualSpacing/>
        <w:jc w:val="left"/>
        <w:rPr>
          <w:rFonts w:ascii="宋体" w:hAnsi="宋体" w:cs="宋体"/>
          <w:sz w:val="24"/>
        </w:rPr>
      </w:pPr>
      <w:r>
        <w:rPr>
          <w:rFonts w:hint="eastAsia" w:ascii="宋体" w:hAnsi="宋体" w:cs="宋体"/>
          <w:sz w:val="24"/>
        </w:rPr>
        <w:t>7.投标人与采购人或者采购代理机构之间、投标人相互之间，为谋求特定投标人中标或者排斥其他投标人的其他串通行为。</w:t>
      </w:r>
    </w:p>
    <w:p>
      <w:pPr>
        <w:spacing w:before="120" w:line="440" w:lineRule="exact"/>
        <w:ind w:firstLine="472" w:firstLineChars="196"/>
        <w:contextualSpacing/>
        <w:jc w:val="left"/>
        <w:rPr>
          <w:rFonts w:ascii="宋体" w:hAnsi="宋体" w:cs="宋体"/>
          <w:b/>
          <w:sz w:val="24"/>
        </w:rPr>
      </w:pPr>
      <w:r>
        <w:rPr>
          <w:rFonts w:hint="eastAsia" w:ascii="宋体" w:hAnsi="宋体" w:cs="宋体"/>
          <w:b/>
          <w:sz w:val="24"/>
        </w:rPr>
        <w:t>以上情形一经核查属实，我方愿意承担一切后果，并不再寻求任何旨在减轻或者免除法律责任的辩解。</w:t>
      </w:r>
    </w:p>
    <w:p>
      <w:pPr>
        <w:pStyle w:val="25"/>
        <w:spacing w:before="120" w:line="440" w:lineRule="exact"/>
        <w:ind w:firstLine="6840" w:firstLineChars="2850"/>
        <w:contextualSpacing/>
        <w:rPr>
          <w:rFonts w:hAnsi="宋体" w:cs="宋体"/>
          <w:sz w:val="24"/>
          <w:szCs w:val="24"/>
        </w:rPr>
      </w:pPr>
    </w:p>
    <w:p>
      <w:pPr>
        <w:pStyle w:val="25"/>
        <w:spacing w:before="120" w:line="440" w:lineRule="exact"/>
        <w:contextualSpacing/>
        <w:jc w:val="center"/>
        <w:rPr>
          <w:rFonts w:hAnsi="宋体" w:cs="宋体"/>
          <w:sz w:val="24"/>
          <w:szCs w:val="24"/>
        </w:rPr>
      </w:pPr>
      <w:r>
        <w:rPr>
          <w:rFonts w:hint="eastAsia" w:hAnsi="宋体" w:cs="宋体"/>
          <w:sz w:val="24"/>
          <w:szCs w:val="24"/>
        </w:rPr>
        <w:t xml:space="preserve">                                    投标人名称（公章）</w:t>
      </w:r>
    </w:p>
    <w:p>
      <w:pPr>
        <w:pStyle w:val="25"/>
        <w:spacing w:before="120" w:line="440" w:lineRule="exact"/>
        <w:contextualSpacing/>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napToGrid w:val="0"/>
        <w:spacing w:before="120" w:beforeLines="50" w:after="50"/>
        <w:ind w:firstLine="480"/>
        <w:jc w:val="left"/>
        <w:rPr>
          <w:rFonts w:ascii="宋体" w:hAnsi="宋体" w:cs="宋体"/>
          <w:b/>
          <w:sz w:val="24"/>
          <w:szCs w:val="20"/>
        </w:rPr>
      </w:pPr>
      <w:r>
        <w:rPr>
          <w:rFonts w:hint="eastAsia" w:ascii="宋体" w:hAnsi="宋体" w:cs="宋体"/>
          <w:b/>
          <w:sz w:val="24"/>
        </w:rPr>
        <w:br w:type="page"/>
      </w:r>
      <w:r>
        <w:rPr>
          <w:rFonts w:hint="eastAsia" w:ascii="宋体" w:hAnsi="宋体" w:cs="宋体"/>
          <w:b/>
          <w:sz w:val="24"/>
        </w:rPr>
        <w:t>4.法定代表人身份证明</w:t>
      </w:r>
    </w:p>
    <w:p>
      <w:pPr>
        <w:spacing w:before="240" w:beforeLines="100" w:after="120" w:afterLines="50"/>
        <w:ind w:left="540" w:firstLine="883"/>
        <w:jc w:val="center"/>
        <w:rPr>
          <w:rFonts w:ascii="宋体" w:hAnsi="宋体" w:cs="宋体"/>
          <w:bCs/>
          <w:sz w:val="44"/>
          <w:szCs w:val="44"/>
        </w:rPr>
      </w:pPr>
    </w:p>
    <w:p>
      <w:pPr>
        <w:spacing w:before="240" w:beforeLines="100" w:after="120" w:afterLines="50"/>
        <w:ind w:left="540" w:firstLine="883"/>
        <w:jc w:val="center"/>
        <w:rPr>
          <w:rFonts w:ascii="宋体" w:hAnsi="宋体" w:cs="宋体"/>
          <w:bCs/>
          <w:sz w:val="44"/>
          <w:szCs w:val="44"/>
        </w:rPr>
      </w:pPr>
      <w:r>
        <w:rPr>
          <w:rFonts w:hint="eastAsia" w:ascii="宋体" w:hAnsi="宋体" w:cs="宋体"/>
          <w:bCs/>
          <w:sz w:val="44"/>
          <w:szCs w:val="44"/>
        </w:rPr>
        <w:t>法定代表人身份证明</w:t>
      </w:r>
    </w:p>
    <w:p>
      <w:pPr>
        <w:spacing w:before="120" w:line="500" w:lineRule="exact"/>
        <w:ind w:left="540"/>
        <w:rPr>
          <w:rFonts w:ascii="宋体" w:hAnsi="宋体" w:cs="宋体"/>
          <w:sz w:val="24"/>
        </w:rPr>
      </w:pPr>
      <w:r>
        <w:rPr>
          <w:rFonts w:hint="eastAsia" w:ascii="宋体" w:hAnsi="宋体" w:cs="宋体"/>
          <w:sz w:val="24"/>
        </w:rPr>
        <w:t>投 标 人：</w:t>
      </w:r>
      <w:r>
        <w:rPr>
          <w:rFonts w:hint="eastAsia" w:ascii="宋体" w:hAnsi="宋体" w:cs="宋体"/>
          <w:sz w:val="24"/>
          <w:u w:val="single"/>
        </w:rPr>
        <w:t xml:space="preserve">                                                        </w:t>
      </w:r>
    </w:p>
    <w:p>
      <w:pPr>
        <w:spacing w:before="120" w:line="500" w:lineRule="exact"/>
        <w:ind w:left="54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p>
    <w:p>
      <w:pPr>
        <w:spacing w:before="120" w:line="500" w:lineRule="exact"/>
        <w:ind w:left="540"/>
        <w:rPr>
          <w:rFonts w:ascii="宋体" w:hAnsi="宋体" w:cs="宋体"/>
          <w:sz w:val="24"/>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性      别：</w:t>
      </w:r>
      <w:r>
        <w:rPr>
          <w:rFonts w:hint="eastAsia" w:ascii="宋体" w:hAnsi="宋体" w:cs="宋体"/>
          <w:sz w:val="24"/>
          <w:u w:val="single"/>
        </w:rPr>
        <w:t xml:space="preserve">                </w:t>
      </w:r>
    </w:p>
    <w:p>
      <w:pPr>
        <w:spacing w:before="120" w:line="500" w:lineRule="exact"/>
        <w:ind w:left="540"/>
        <w:rPr>
          <w:rFonts w:ascii="宋体" w:hAnsi="宋体" w:cs="宋体"/>
          <w:sz w:val="24"/>
          <w:u w:val="single"/>
        </w:rPr>
      </w:pPr>
      <w:r>
        <w:rPr>
          <w:rFonts w:hint="eastAsia" w:ascii="宋体" w:hAnsi="宋体" w:cs="宋体"/>
          <w:sz w:val="24"/>
        </w:rPr>
        <w:t>年    龄：</w:t>
      </w:r>
      <w:r>
        <w:rPr>
          <w:rFonts w:hint="eastAsia" w:ascii="宋体" w:hAnsi="宋体" w:cs="宋体"/>
          <w:sz w:val="24"/>
          <w:u w:val="single"/>
        </w:rPr>
        <w:t xml:space="preserve">                          </w:t>
      </w:r>
      <w:r>
        <w:rPr>
          <w:rFonts w:hint="eastAsia" w:ascii="宋体" w:hAnsi="宋体" w:cs="宋体"/>
          <w:sz w:val="24"/>
        </w:rPr>
        <w:t>职      务：</w:t>
      </w:r>
      <w:r>
        <w:rPr>
          <w:rFonts w:hint="eastAsia" w:ascii="宋体" w:hAnsi="宋体" w:cs="宋体"/>
          <w:sz w:val="24"/>
          <w:u w:val="single"/>
        </w:rPr>
        <w:t xml:space="preserve">                </w:t>
      </w:r>
    </w:p>
    <w:p>
      <w:pPr>
        <w:spacing w:before="120" w:line="500" w:lineRule="exact"/>
        <w:ind w:left="540"/>
        <w:rPr>
          <w:rFonts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p>
    <w:p>
      <w:pPr>
        <w:spacing w:before="120" w:line="500" w:lineRule="exact"/>
        <w:ind w:left="54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（投标人名称）              </w:t>
      </w:r>
      <w:r>
        <w:rPr>
          <w:rFonts w:hint="eastAsia" w:ascii="宋体" w:hAnsi="宋体" w:cs="宋体"/>
          <w:sz w:val="24"/>
        </w:rPr>
        <w:t>的法定代表人。</w:t>
      </w:r>
    </w:p>
    <w:p>
      <w:pPr>
        <w:spacing w:before="120" w:line="500" w:lineRule="exact"/>
        <w:ind w:left="540"/>
        <w:rPr>
          <w:rFonts w:ascii="宋体" w:hAnsi="宋体" w:cs="宋体"/>
          <w:sz w:val="24"/>
        </w:rPr>
      </w:pPr>
      <w:r>
        <w:rPr>
          <w:rFonts w:hint="eastAsia" w:ascii="宋体" w:hAnsi="宋体" w:cs="宋体"/>
          <w:sz w:val="24"/>
        </w:rPr>
        <w:t>特此证明。</w:t>
      </w:r>
    </w:p>
    <w:p>
      <w:pPr>
        <w:spacing w:before="120" w:line="500" w:lineRule="exact"/>
        <w:ind w:left="540"/>
        <w:rPr>
          <w:rFonts w:ascii="宋体" w:hAnsi="宋体" w:cs="宋体"/>
          <w:sz w:val="24"/>
        </w:rPr>
      </w:pPr>
    </w:p>
    <w:p>
      <w:pPr>
        <w:spacing w:before="120" w:line="500" w:lineRule="exact"/>
        <w:ind w:left="540"/>
        <w:rPr>
          <w:rFonts w:ascii="宋体" w:hAnsi="宋体" w:cs="宋体"/>
          <w:sz w:val="24"/>
        </w:rPr>
      </w:pPr>
    </w:p>
    <w:p>
      <w:pPr>
        <w:spacing w:before="120" w:line="500" w:lineRule="exact"/>
        <w:ind w:left="540"/>
        <w:rPr>
          <w:rFonts w:ascii="宋体" w:hAnsi="宋体" w:cs="宋体"/>
          <w:sz w:val="24"/>
        </w:rPr>
      </w:pPr>
      <w:r>
        <w:rPr>
          <w:rFonts w:hint="eastAsia" w:ascii="宋体" w:hAnsi="宋体" w:cs="宋体"/>
          <w:sz w:val="24"/>
        </w:rPr>
        <w:t>附件：法定代表人有效身份证正反面复印件</w:t>
      </w:r>
    </w:p>
    <w:p>
      <w:pPr>
        <w:spacing w:before="120" w:line="500" w:lineRule="exact"/>
        <w:ind w:left="540"/>
        <w:rPr>
          <w:rFonts w:ascii="宋体" w:hAnsi="宋体" w:cs="宋体"/>
          <w:sz w:val="24"/>
        </w:rPr>
      </w:pPr>
    </w:p>
    <w:p>
      <w:pPr>
        <w:spacing w:before="120" w:line="500" w:lineRule="exact"/>
        <w:ind w:left="540"/>
        <w:jc w:val="right"/>
        <w:rPr>
          <w:rFonts w:ascii="宋体" w:hAnsi="宋体" w:cs="宋体"/>
          <w:sz w:val="24"/>
        </w:rPr>
      </w:pPr>
      <w:r>
        <w:rPr>
          <w:rFonts w:hint="eastAsia" w:ascii="宋体" w:hAnsi="宋体" w:cs="宋体"/>
          <w:sz w:val="24"/>
        </w:rPr>
        <w:t>投标人名称（公章）</w:t>
      </w:r>
    </w:p>
    <w:p>
      <w:pPr>
        <w:spacing w:before="120" w:line="500" w:lineRule="exact"/>
        <w:ind w:left="540"/>
        <w:jc w:val="right"/>
        <w:rPr>
          <w:rFonts w:ascii="宋体" w:hAnsi="宋体" w:cs="宋体"/>
          <w:sz w:val="24"/>
        </w:rPr>
      </w:pPr>
    </w:p>
    <w:p>
      <w:pPr>
        <w:snapToGrid w:val="0"/>
        <w:spacing w:before="120" w:beforeLines="50" w:after="50"/>
        <w:ind w:left="540"/>
        <w:jc w:val="right"/>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before="120" w:beforeLines="50" w:after="50"/>
        <w:ind w:firstLine="480"/>
        <w:jc w:val="center"/>
        <w:rPr>
          <w:rFonts w:ascii="宋体" w:hAnsi="宋体" w:cs="宋体"/>
          <w:b/>
          <w:sz w:val="24"/>
        </w:rPr>
      </w:pPr>
    </w:p>
    <w:p>
      <w:pPr>
        <w:snapToGrid w:val="0"/>
        <w:spacing w:before="120" w:beforeLines="50" w:after="50"/>
        <w:ind w:firstLine="480"/>
        <w:jc w:val="left"/>
        <w:rPr>
          <w:rFonts w:ascii="楷体" w:hAnsi="楷体" w:eastAsia="楷体" w:cs="宋体"/>
          <w:b/>
          <w:sz w:val="24"/>
          <w:szCs w:val="20"/>
        </w:rPr>
      </w:pPr>
      <w:r>
        <w:rPr>
          <w:rFonts w:hint="eastAsia" w:ascii="楷体" w:hAnsi="楷体" w:eastAsia="楷体" w:cs="宋体"/>
          <w:b/>
          <w:sz w:val="24"/>
        </w:rPr>
        <w:t>【注】自然人投标的无需提供</w:t>
      </w:r>
    </w:p>
    <w:p>
      <w:pPr>
        <w:snapToGrid w:val="0"/>
        <w:spacing w:before="120" w:beforeLines="50" w:after="50"/>
        <w:ind w:firstLine="480"/>
        <w:jc w:val="left"/>
        <w:rPr>
          <w:rFonts w:ascii="宋体" w:hAnsi="宋体" w:cs="宋体"/>
          <w:b/>
          <w:sz w:val="24"/>
          <w:szCs w:val="20"/>
        </w:rPr>
      </w:pPr>
      <w:r>
        <w:rPr>
          <w:rFonts w:hint="eastAsia" w:ascii="宋体" w:hAnsi="宋体" w:cs="宋体"/>
          <w:b/>
          <w:sz w:val="24"/>
        </w:rPr>
        <w:br w:type="page"/>
      </w:r>
      <w:r>
        <w:rPr>
          <w:rFonts w:hint="eastAsia" w:ascii="宋体" w:hAnsi="宋体" w:cs="宋体"/>
          <w:b/>
          <w:sz w:val="24"/>
        </w:rPr>
        <w:t>5.授权委托书格式</w:t>
      </w:r>
    </w:p>
    <w:p>
      <w:pPr>
        <w:snapToGrid w:val="0"/>
        <w:spacing w:before="120" w:beforeLines="50" w:after="50"/>
        <w:ind w:firstLine="880"/>
        <w:jc w:val="center"/>
        <w:rPr>
          <w:rFonts w:ascii="宋体" w:hAnsi="宋体" w:cs="宋体"/>
          <w:b/>
          <w:sz w:val="44"/>
          <w:szCs w:val="44"/>
        </w:rPr>
      </w:pPr>
    </w:p>
    <w:p>
      <w:pPr>
        <w:spacing w:before="120" w:line="360" w:lineRule="auto"/>
        <w:ind w:firstLine="883"/>
        <w:contextualSpacing/>
        <w:jc w:val="center"/>
        <w:rPr>
          <w:rFonts w:ascii="宋体" w:hAnsi="宋体" w:cs="宋体"/>
          <w:bCs/>
          <w:sz w:val="44"/>
          <w:szCs w:val="44"/>
        </w:rPr>
      </w:pPr>
      <w:r>
        <w:rPr>
          <w:rFonts w:hint="eastAsia" w:ascii="宋体" w:hAnsi="宋体" w:cs="宋体"/>
          <w:bCs/>
          <w:sz w:val="44"/>
          <w:szCs w:val="44"/>
        </w:rPr>
        <w:t>授权委托书</w:t>
      </w:r>
    </w:p>
    <w:p>
      <w:pPr>
        <w:spacing w:before="120" w:line="360" w:lineRule="auto"/>
        <w:ind w:firstLine="643"/>
        <w:contextualSpacing/>
        <w:jc w:val="center"/>
        <w:rPr>
          <w:rFonts w:ascii="宋体" w:hAnsi="宋体" w:cs="宋体"/>
          <w:bCs/>
          <w:sz w:val="32"/>
          <w:szCs w:val="32"/>
        </w:rPr>
      </w:pPr>
      <w:r>
        <w:rPr>
          <w:rFonts w:hint="eastAsia" w:ascii="宋体" w:hAnsi="宋体" w:cs="宋体"/>
          <w:bCs/>
          <w:sz w:val="32"/>
          <w:szCs w:val="32"/>
        </w:rPr>
        <w:t>（非联合体投标格式）</w:t>
      </w:r>
    </w:p>
    <w:p>
      <w:pPr>
        <w:spacing w:before="120" w:line="360" w:lineRule="auto"/>
        <w:ind w:firstLine="643"/>
        <w:contextualSpacing/>
        <w:jc w:val="center"/>
        <w:rPr>
          <w:rFonts w:ascii="宋体" w:hAnsi="宋体" w:cs="宋体"/>
          <w:bCs/>
          <w:sz w:val="24"/>
        </w:rPr>
      </w:pPr>
      <w:r>
        <w:rPr>
          <w:rFonts w:hint="eastAsia" w:ascii="宋体" w:hAnsi="宋体" w:cs="宋体"/>
          <w:bCs/>
          <w:sz w:val="32"/>
          <w:szCs w:val="32"/>
        </w:rPr>
        <w:t>（如有委托时）</w:t>
      </w:r>
    </w:p>
    <w:p>
      <w:pPr>
        <w:spacing w:before="120" w:line="440" w:lineRule="exact"/>
        <w:ind w:firstLine="480"/>
        <w:contextualSpacing/>
        <w:jc w:val="center"/>
        <w:rPr>
          <w:rFonts w:ascii="宋体" w:hAnsi="宋体" w:cs="宋体"/>
          <w:b/>
          <w:sz w:val="24"/>
        </w:rPr>
      </w:pPr>
    </w:p>
    <w:p>
      <w:pPr>
        <w:spacing w:before="120" w:line="440" w:lineRule="exact"/>
        <w:contextualSpacing/>
        <w:rPr>
          <w:rFonts w:ascii="宋体" w:hAnsi="宋体" w:cs="宋体"/>
          <w:b/>
          <w:bCs/>
          <w:sz w:val="24"/>
        </w:rPr>
      </w:pPr>
      <w:r>
        <w:rPr>
          <w:rFonts w:hint="eastAsia" w:ascii="宋体" w:hAnsi="宋体" w:cs="宋体"/>
          <w:bCs/>
          <w:sz w:val="24"/>
        </w:rPr>
        <w:t>致：</w:t>
      </w:r>
      <w:r>
        <w:rPr>
          <w:rFonts w:hint="eastAsia" w:ascii="宋体" w:hAnsi="宋体" w:cs="宋体"/>
          <w:sz w:val="24"/>
          <w:u w:val="single"/>
        </w:rPr>
        <w:t>采购人名称</w:t>
      </w:r>
      <w:r>
        <w:rPr>
          <w:rFonts w:hint="eastAsia" w:ascii="宋体" w:hAnsi="宋体" w:cs="宋体"/>
          <w:sz w:val="24"/>
        </w:rPr>
        <w:t>：</w:t>
      </w:r>
    </w:p>
    <w:p>
      <w:pPr>
        <w:spacing w:before="120" w:line="440" w:lineRule="exact"/>
        <w:ind w:firstLine="566" w:firstLineChars="236"/>
        <w:contextualSpacing/>
        <w:rPr>
          <w:rFonts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（投标人名称）的法定代表人，现授权委托</w:t>
      </w:r>
      <w:r>
        <w:rPr>
          <w:rFonts w:hint="eastAsia" w:ascii="宋体" w:hAnsi="宋体" w:cs="宋体"/>
          <w:sz w:val="24"/>
          <w:u w:val="single"/>
        </w:rPr>
        <w:t xml:space="preserve">              （姓名）</w:t>
      </w:r>
      <w:r>
        <w:rPr>
          <w:rFonts w:hint="eastAsia" w:ascii="宋体" w:hAnsi="宋体" w:cs="宋体"/>
          <w:sz w:val="24"/>
        </w:rPr>
        <w:t>以我方的名义参加</w:t>
      </w:r>
      <w:r>
        <w:rPr>
          <w:rFonts w:hint="eastAsia" w:ascii="宋体" w:hAnsi="宋体" w:cs="宋体"/>
          <w:sz w:val="24"/>
          <w:u w:val="single"/>
        </w:rPr>
        <w:t xml:space="preserve">              </w:t>
      </w:r>
      <w:r>
        <w:rPr>
          <w:rFonts w:hint="eastAsia" w:ascii="宋体" w:hAnsi="宋体" w:cs="宋体"/>
          <w:sz w:val="24"/>
        </w:rPr>
        <w:t>项目的投标活动，并代表我方全权办理针对上述项目的所有采购程序和环节的具体事务和签署相关文件。</w:t>
      </w:r>
    </w:p>
    <w:p>
      <w:pPr>
        <w:spacing w:before="120" w:line="440" w:lineRule="exact"/>
        <w:contextualSpacing/>
        <w:rPr>
          <w:rFonts w:ascii="宋体" w:hAnsi="宋体" w:cs="宋体"/>
          <w:sz w:val="24"/>
        </w:rPr>
      </w:pPr>
      <w:r>
        <w:rPr>
          <w:rFonts w:hint="eastAsia" w:ascii="宋体" w:hAnsi="宋体" w:cs="宋体"/>
          <w:sz w:val="24"/>
        </w:rPr>
        <w:t xml:space="preserve">    我方对委托代理人的签字事项负全部责任。</w:t>
      </w:r>
    </w:p>
    <w:p>
      <w:pPr>
        <w:spacing w:before="120" w:line="440" w:lineRule="exact"/>
        <w:ind w:firstLine="482"/>
        <w:contextualSpacing/>
        <w:rPr>
          <w:rFonts w:ascii="宋体" w:hAnsi="宋体" w:cs="宋体"/>
          <w:sz w:val="24"/>
        </w:rPr>
      </w:pPr>
      <w:r>
        <w:rPr>
          <w:rFonts w:hint="eastAsia" w:ascii="宋体" w:hAnsi="宋体" w:cs="宋体"/>
          <w:sz w:val="24"/>
          <w:u w:val="single"/>
        </w:rPr>
        <w:t>本授权书自签署之日起生效，在撤销授权的书面通知以前，本授权书一直有效。委托代理人在授权书有效期内签署的所有文件不因授权的撤销而失效。</w:t>
      </w:r>
    </w:p>
    <w:p>
      <w:pPr>
        <w:spacing w:before="120" w:line="440" w:lineRule="exact"/>
        <w:ind w:firstLine="482"/>
        <w:contextualSpacing/>
        <w:rPr>
          <w:rFonts w:ascii="宋体" w:hAnsi="宋体" w:cs="宋体"/>
          <w:sz w:val="24"/>
        </w:rPr>
      </w:pPr>
      <w:r>
        <w:rPr>
          <w:rFonts w:hint="eastAsia" w:ascii="宋体" w:hAnsi="宋体" w:cs="宋体"/>
          <w:sz w:val="24"/>
        </w:rPr>
        <w:t>委托代理人无转委托权，特此委托。</w:t>
      </w:r>
    </w:p>
    <w:p>
      <w:pPr>
        <w:spacing w:before="120" w:line="440" w:lineRule="exact"/>
        <w:ind w:firstLine="482"/>
        <w:contextualSpacing/>
        <w:rPr>
          <w:rFonts w:ascii="宋体" w:hAnsi="宋体" w:cs="宋体"/>
          <w:sz w:val="24"/>
        </w:rPr>
      </w:pPr>
      <w:r>
        <w:rPr>
          <w:rFonts w:hint="eastAsia" w:ascii="宋体" w:hAnsi="宋体" w:cs="宋体"/>
          <w:sz w:val="24"/>
        </w:rPr>
        <w:t>附：法定代表人身份证明及委托代理人有效身份证正反面复印件</w:t>
      </w:r>
    </w:p>
    <w:p>
      <w:pPr>
        <w:spacing w:before="120" w:line="440" w:lineRule="exact"/>
        <w:contextualSpacing/>
        <w:rPr>
          <w:rFonts w:ascii="宋体" w:hAnsi="宋体" w:cs="宋体"/>
          <w:sz w:val="24"/>
        </w:rPr>
      </w:pPr>
    </w:p>
    <w:p>
      <w:pPr>
        <w:spacing w:before="120" w:line="440" w:lineRule="exact"/>
        <w:contextualSpacing/>
        <w:rPr>
          <w:rFonts w:ascii="宋体" w:hAnsi="宋体" w:cs="宋体"/>
          <w:sz w:val="24"/>
          <w:u w:val="single"/>
        </w:rPr>
      </w:pPr>
      <w:r>
        <w:rPr>
          <w:rFonts w:hint="eastAsia" w:ascii="宋体" w:hAnsi="宋体" w:cs="宋体"/>
          <w:sz w:val="24"/>
        </w:rPr>
        <w:t>委托代理人（签字）：</w:t>
      </w:r>
      <w:r>
        <w:rPr>
          <w:rFonts w:hint="eastAsia" w:ascii="宋体" w:hAnsi="宋体" w:cs="宋体"/>
          <w:sz w:val="24"/>
          <w:u w:val="single"/>
        </w:rPr>
        <w:t xml:space="preserve">               </w:t>
      </w:r>
      <w:r>
        <w:rPr>
          <w:rFonts w:hint="eastAsia" w:ascii="宋体" w:hAnsi="宋体" w:cs="宋体"/>
          <w:sz w:val="24"/>
        </w:rPr>
        <w:t xml:space="preserve">            法定代表人（签字）：</w:t>
      </w:r>
      <w:r>
        <w:rPr>
          <w:rFonts w:hint="eastAsia" w:ascii="宋体" w:hAnsi="宋体" w:cs="宋体"/>
          <w:sz w:val="24"/>
          <w:u w:val="single"/>
        </w:rPr>
        <w:t xml:space="preserve">              </w:t>
      </w:r>
    </w:p>
    <w:p>
      <w:pPr>
        <w:spacing w:before="120" w:line="440" w:lineRule="exact"/>
        <w:contextualSpacing/>
        <w:rPr>
          <w:rFonts w:ascii="宋体" w:hAnsi="宋体" w:cs="宋体"/>
          <w:sz w:val="24"/>
        </w:rPr>
      </w:pPr>
      <w:r>
        <w:rPr>
          <w:rFonts w:hint="eastAsia" w:ascii="宋体" w:hAnsi="宋体" w:cs="宋体"/>
          <w:sz w:val="24"/>
        </w:rPr>
        <w:t>委托代理人身份证号码：</w:t>
      </w:r>
      <w:r>
        <w:rPr>
          <w:rFonts w:hint="eastAsia" w:ascii="宋体" w:hAnsi="宋体" w:cs="宋体"/>
          <w:sz w:val="24"/>
          <w:u w:val="single"/>
        </w:rPr>
        <w:t xml:space="preserve">                             </w:t>
      </w:r>
      <w:r>
        <w:rPr>
          <w:rFonts w:hint="eastAsia" w:ascii="宋体" w:hAnsi="宋体" w:cs="宋体"/>
          <w:sz w:val="24"/>
        </w:rPr>
        <w:t xml:space="preserve"> </w:t>
      </w:r>
    </w:p>
    <w:p>
      <w:pPr>
        <w:spacing w:before="120" w:line="440" w:lineRule="exact"/>
        <w:contextualSpacing/>
        <w:jc w:val="center"/>
        <w:rPr>
          <w:rFonts w:ascii="宋体" w:hAnsi="宋体" w:cs="宋体"/>
          <w:sz w:val="24"/>
        </w:rPr>
      </w:pPr>
      <w:r>
        <w:rPr>
          <w:rFonts w:hint="eastAsia" w:ascii="宋体" w:hAnsi="宋体" w:cs="宋体"/>
          <w:sz w:val="24"/>
        </w:rPr>
        <w:t xml:space="preserve">                                                投标人（公章）：</w:t>
      </w:r>
    </w:p>
    <w:p>
      <w:pPr>
        <w:spacing w:before="120" w:line="440" w:lineRule="exact"/>
        <w:contextualSpacing/>
        <w:jc w:val="center"/>
        <w:rPr>
          <w:rFonts w:ascii="宋体" w:hAnsi="宋体" w:cs="宋体"/>
          <w:sz w:val="24"/>
        </w:rPr>
      </w:pPr>
      <w:r>
        <w:rPr>
          <w:rFonts w:hint="eastAsia" w:ascii="宋体" w:hAnsi="宋体" w:cs="宋体"/>
          <w:sz w:val="24"/>
        </w:rPr>
        <w:t xml:space="preserve">                                              年    月    日</w:t>
      </w:r>
    </w:p>
    <w:p>
      <w:pPr>
        <w:spacing w:before="120" w:line="440" w:lineRule="exact"/>
        <w:contextualSpacing/>
        <w:rPr>
          <w:rFonts w:ascii="楷体" w:hAnsi="楷体" w:eastAsia="楷体" w:cs="宋体"/>
          <w:sz w:val="24"/>
        </w:rPr>
      </w:pPr>
      <w:r>
        <w:rPr>
          <w:rFonts w:hint="eastAsia" w:ascii="楷体" w:hAnsi="楷体" w:eastAsia="楷体" w:cs="宋体"/>
          <w:sz w:val="24"/>
        </w:rPr>
        <w:t>【</w:t>
      </w:r>
      <w:r>
        <w:rPr>
          <w:rFonts w:hint="eastAsia" w:ascii="楷体" w:hAnsi="楷体" w:eastAsia="楷体" w:cs="宋体"/>
          <w:b/>
          <w:sz w:val="24"/>
        </w:rPr>
        <w:t>注</w:t>
      </w:r>
      <w:r>
        <w:rPr>
          <w:rFonts w:hint="eastAsia" w:ascii="楷体" w:hAnsi="楷体" w:eastAsia="楷体" w:cs="宋体"/>
          <w:sz w:val="24"/>
        </w:rPr>
        <w:t>】</w:t>
      </w:r>
      <w:r>
        <w:rPr>
          <w:rFonts w:ascii="楷体" w:hAnsi="楷体" w:eastAsia="楷体" w:cs="宋体"/>
          <w:sz w:val="24"/>
        </w:rPr>
        <w:t>1.</w:t>
      </w:r>
      <w:bookmarkStart w:id="152" w:name="_Hlk65851555"/>
      <w:bookmarkStart w:id="153" w:name="_Hlk65851620"/>
      <w:r>
        <w:rPr>
          <w:rFonts w:hint="eastAsia" w:ascii="楷体" w:hAnsi="楷体" w:eastAsia="楷体" w:cs="宋体"/>
          <w:sz w:val="24"/>
        </w:rPr>
        <w:t>法定代表人必须在授权委托书上亲笔签字或者盖章，</w:t>
      </w:r>
      <w:bookmarkEnd w:id="152"/>
      <w:r>
        <w:rPr>
          <w:rFonts w:hint="eastAsia" w:ascii="楷体" w:hAnsi="楷体" w:eastAsia="楷体" w:cs="宋体"/>
          <w:sz w:val="24"/>
        </w:rPr>
        <w:t>委托代理人必须在授权委托书上亲笔签字，</w:t>
      </w:r>
      <w:r>
        <w:rPr>
          <w:rFonts w:hint="eastAsia" w:ascii="楷体" w:hAnsi="楷体" w:eastAsia="楷体" w:cs="宋体"/>
          <w:b/>
          <w:bCs/>
          <w:sz w:val="24"/>
        </w:rPr>
        <w:t>否则按无效投标处理</w:t>
      </w:r>
      <w:r>
        <w:rPr>
          <w:rFonts w:hint="eastAsia" w:ascii="楷体" w:hAnsi="楷体" w:eastAsia="楷体" w:cs="宋体"/>
          <w:sz w:val="24"/>
        </w:rPr>
        <w:t>；</w:t>
      </w:r>
      <w:bookmarkEnd w:id="153"/>
    </w:p>
    <w:p>
      <w:pPr>
        <w:spacing w:before="120" w:line="440" w:lineRule="exact"/>
        <w:ind w:firstLine="480" w:firstLineChars="200"/>
        <w:contextualSpacing/>
        <w:jc w:val="left"/>
        <w:rPr>
          <w:rFonts w:ascii="楷体" w:hAnsi="楷体" w:eastAsia="楷体" w:cs="宋体"/>
          <w:sz w:val="24"/>
        </w:rPr>
      </w:pPr>
      <w:r>
        <w:rPr>
          <w:rFonts w:ascii="楷体" w:hAnsi="楷体" w:eastAsia="楷体" w:cs="宋体"/>
          <w:sz w:val="24"/>
        </w:rPr>
        <w:t>2.法人、其他组织投标时“我方”是指“我单位”，自然人投标时“我方”是指“本人”。</w:t>
      </w:r>
    </w:p>
    <w:p>
      <w:pPr>
        <w:snapToGrid w:val="0"/>
        <w:spacing w:before="120" w:beforeLines="50" w:after="50"/>
        <w:ind w:firstLine="566" w:firstLineChars="236"/>
        <w:jc w:val="center"/>
        <w:rPr>
          <w:rFonts w:ascii="宋体" w:hAnsi="宋体" w:cs="宋体"/>
          <w:sz w:val="44"/>
          <w:szCs w:val="44"/>
        </w:rPr>
      </w:pPr>
      <w:r>
        <w:rPr>
          <w:rFonts w:hint="eastAsia" w:ascii="宋体" w:hAnsi="宋体" w:cs="宋体"/>
          <w:sz w:val="24"/>
        </w:rPr>
        <w:br w:type="page"/>
      </w:r>
      <w:r>
        <w:rPr>
          <w:rFonts w:hint="eastAsia" w:ascii="宋体" w:hAnsi="宋体" w:cs="宋体"/>
          <w:sz w:val="44"/>
          <w:szCs w:val="44"/>
        </w:rPr>
        <w:t>授权委托书</w:t>
      </w:r>
    </w:p>
    <w:p>
      <w:pPr>
        <w:snapToGrid w:val="0"/>
        <w:spacing w:before="120" w:beforeLines="50" w:after="50"/>
        <w:ind w:firstLine="755" w:firstLineChars="236"/>
        <w:jc w:val="center"/>
        <w:rPr>
          <w:rFonts w:ascii="宋体" w:hAnsi="宋体" w:cs="宋体"/>
          <w:sz w:val="32"/>
          <w:szCs w:val="32"/>
        </w:rPr>
      </w:pPr>
      <w:r>
        <w:rPr>
          <w:rFonts w:hint="eastAsia" w:ascii="宋体" w:hAnsi="宋体" w:cs="宋体"/>
          <w:sz w:val="32"/>
          <w:szCs w:val="32"/>
        </w:rPr>
        <w:t>（联合体投标格式）</w:t>
      </w:r>
    </w:p>
    <w:p>
      <w:pPr>
        <w:snapToGrid w:val="0"/>
        <w:spacing w:before="120" w:beforeLines="50" w:after="50"/>
        <w:ind w:firstLine="755" w:firstLineChars="236"/>
        <w:jc w:val="center"/>
        <w:rPr>
          <w:rFonts w:ascii="宋体" w:hAnsi="宋体" w:cs="宋体"/>
          <w:sz w:val="24"/>
        </w:rPr>
      </w:pPr>
      <w:r>
        <w:rPr>
          <w:rFonts w:hint="eastAsia" w:ascii="宋体" w:hAnsi="宋体" w:cs="宋体"/>
          <w:sz w:val="32"/>
          <w:szCs w:val="32"/>
        </w:rPr>
        <w:t>（如有委托时）</w:t>
      </w:r>
    </w:p>
    <w:p>
      <w:pPr>
        <w:spacing w:before="120" w:line="360" w:lineRule="auto"/>
        <w:contextualSpacing/>
        <w:jc w:val="left"/>
        <w:rPr>
          <w:rFonts w:ascii="宋体" w:hAnsi="宋体" w:cs="宋体"/>
          <w:sz w:val="24"/>
        </w:rPr>
      </w:pPr>
      <w:r>
        <w:rPr>
          <w:rFonts w:hint="eastAsia" w:ascii="宋体" w:hAnsi="宋体" w:cs="宋体"/>
          <w:bCs/>
          <w:sz w:val="24"/>
        </w:rPr>
        <w:t>致：</w:t>
      </w:r>
      <w:r>
        <w:rPr>
          <w:rFonts w:hint="eastAsia" w:ascii="宋体" w:hAnsi="宋体" w:cs="宋体"/>
          <w:sz w:val="24"/>
          <w:u w:val="single"/>
        </w:rPr>
        <w:t>采购人名称</w:t>
      </w:r>
      <w:r>
        <w:rPr>
          <w:rFonts w:hint="eastAsia" w:ascii="宋体" w:hAnsi="宋体" w:cs="宋体"/>
          <w:sz w:val="24"/>
        </w:rPr>
        <w:t>：</w:t>
      </w:r>
    </w:p>
    <w:p>
      <w:pPr>
        <w:spacing w:before="120" w:line="360" w:lineRule="auto"/>
        <w:ind w:firstLine="566" w:firstLineChars="236"/>
        <w:contextualSpacing/>
        <w:rPr>
          <w:rFonts w:ascii="宋体" w:hAnsi="宋体" w:cs="宋体"/>
          <w:sz w:val="24"/>
        </w:rPr>
      </w:pPr>
      <w:r>
        <w:rPr>
          <w:rFonts w:hint="eastAsia" w:ascii="宋体" w:hAnsi="宋体" w:cs="宋体"/>
          <w:sz w:val="24"/>
        </w:rPr>
        <w:t xml:space="preserve">根据 </w:t>
      </w:r>
      <w:r>
        <w:rPr>
          <w:rFonts w:hint="eastAsia" w:ascii="宋体" w:hAnsi="宋体" w:cs="宋体"/>
          <w:sz w:val="24"/>
          <w:u w:val="single"/>
        </w:rPr>
        <w:t xml:space="preserve"> （牵头人名称）</w:t>
      </w:r>
      <w:r>
        <w:rPr>
          <w:rFonts w:hint="eastAsia" w:ascii="宋体" w:hAnsi="宋体" w:cs="宋体"/>
          <w:sz w:val="24"/>
        </w:rPr>
        <w:t>与</w:t>
      </w:r>
      <w:r>
        <w:rPr>
          <w:rFonts w:hint="eastAsia" w:ascii="宋体" w:hAnsi="宋体" w:cs="宋体"/>
          <w:sz w:val="24"/>
          <w:u w:val="single"/>
        </w:rPr>
        <w:t>（联合体其他成员名称）</w:t>
      </w:r>
      <w:r>
        <w:rPr>
          <w:rFonts w:hint="eastAsia" w:ascii="宋体" w:hAnsi="宋体" w:cs="宋体"/>
          <w:sz w:val="24"/>
        </w:rPr>
        <w:t>签订的《联合体投标协议书》的内容，</w:t>
      </w:r>
      <w:r>
        <w:rPr>
          <w:rFonts w:hint="eastAsia" w:ascii="宋体" w:hAnsi="宋体" w:cs="宋体"/>
          <w:sz w:val="24"/>
          <w:u w:val="single"/>
        </w:rPr>
        <w:t>（牵头人名称）</w:t>
      </w:r>
      <w:r>
        <w:rPr>
          <w:rFonts w:hint="eastAsia" w:ascii="宋体" w:hAnsi="宋体" w:cs="宋体"/>
          <w:sz w:val="24"/>
        </w:rPr>
        <w:t>的法定代表人</w:t>
      </w:r>
      <w:r>
        <w:rPr>
          <w:rFonts w:hint="eastAsia" w:ascii="宋体" w:hAnsi="宋体" w:cs="宋体"/>
          <w:sz w:val="24"/>
          <w:u w:val="single"/>
        </w:rPr>
        <w:t>（姓名）</w:t>
      </w:r>
      <w:r>
        <w:rPr>
          <w:rFonts w:hint="eastAsia" w:ascii="宋体" w:hAnsi="宋体" w:cs="宋体"/>
          <w:sz w:val="24"/>
        </w:rPr>
        <w:t>现授权委托</w:t>
      </w:r>
      <w:r>
        <w:rPr>
          <w:rFonts w:hint="eastAsia" w:ascii="宋体" w:hAnsi="宋体" w:cs="宋体"/>
          <w:sz w:val="24"/>
          <w:u w:val="single"/>
        </w:rPr>
        <w:t xml:space="preserve">              （姓名）</w:t>
      </w:r>
      <w:r>
        <w:rPr>
          <w:rFonts w:hint="eastAsia" w:ascii="宋体" w:hAnsi="宋体" w:cs="宋体"/>
          <w:sz w:val="24"/>
        </w:rPr>
        <w:t>以我方的名义参加</w:t>
      </w:r>
      <w:r>
        <w:rPr>
          <w:rFonts w:hint="eastAsia" w:ascii="宋体" w:hAnsi="宋体" w:cs="宋体"/>
          <w:sz w:val="24"/>
          <w:u w:val="single"/>
        </w:rPr>
        <w:t xml:space="preserve">              </w:t>
      </w:r>
      <w:r>
        <w:rPr>
          <w:rFonts w:hint="eastAsia" w:ascii="宋体" w:hAnsi="宋体" w:cs="宋体"/>
          <w:sz w:val="24"/>
        </w:rPr>
        <w:t>项目的投标活动，并代表我方全权办理针对上述项目的所有采购程序和环节的具体事务和签署相关文件。</w:t>
      </w:r>
    </w:p>
    <w:p>
      <w:pPr>
        <w:spacing w:before="120" w:line="360" w:lineRule="auto"/>
        <w:ind w:firstLine="566" w:firstLineChars="236"/>
        <w:contextualSpacing/>
        <w:rPr>
          <w:rFonts w:ascii="宋体" w:hAnsi="宋体" w:cs="宋体"/>
          <w:sz w:val="24"/>
        </w:rPr>
      </w:pPr>
      <w:r>
        <w:rPr>
          <w:rFonts w:hint="eastAsia" w:ascii="宋体" w:hAnsi="宋体" w:cs="宋体"/>
          <w:sz w:val="24"/>
        </w:rPr>
        <w:t>我方对委托代理人的签字事项负全部责任。</w:t>
      </w:r>
    </w:p>
    <w:p>
      <w:pPr>
        <w:spacing w:before="120" w:line="360" w:lineRule="auto"/>
        <w:ind w:firstLine="566" w:firstLineChars="236"/>
        <w:contextualSpacing/>
        <w:rPr>
          <w:rFonts w:ascii="宋体" w:hAnsi="宋体" w:cs="宋体"/>
          <w:sz w:val="24"/>
        </w:rPr>
      </w:pPr>
      <w:r>
        <w:rPr>
          <w:rFonts w:hint="eastAsia" w:ascii="宋体" w:hAnsi="宋体" w:cs="宋体"/>
          <w:sz w:val="24"/>
        </w:rPr>
        <w:t>本授权书自签署之日起生效，在撤销授权的书面通知以前，本授权书一直有效。委托代理人在授权书有效期内签署的所有文件不因授权的撤销而失效。</w:t>
      </w:r>
    </w:p>
    <w:p>
      <w:pPr>
        <w:spacing w:before="120" w:line="360" w:lineRule="auto"/>
        <w:ind w:firstLine="566" w:firstLineChars="236"/>
        <w:contextualSpacing/>
        <w:rPr>
          <w:rFonts w:ascii="宋体" w:hAnsi="宋体" w:cs="宋体"/>
          <w:sz w:val="24"/>
        </w:rPr>
      </w:pPr>
      <w:r>
        <w:rPr>
          <w:rFonts w:hint="eastAsia" w:ascii="宋体" w:hAnsi="宋体" w:cs="宋体"/>
          <w:sz w:val="24"/>
        </w:rPr>
        <w:t>委托代理人无转委托权，特此委托。</w:t>
      </w:r>
    </w:p>
    <w:p>
      <w:pPr>
        <w:spacing w:before="120" w:line="360" w:lineRule="auto"/>
        <w:ind w:firstLine="566" w:firstLineChars="236"/>
        <w:contextualSpacing/>
        <w:rPr>
          <w:rFonts w:ascii="宋体" w:hAnsi="宋体" w:cs="宋体"/>
          <w:sz w:val="24"/>
        </w:rPr>
      </w:pPr>
      <w:r>
        <w:rPr>
          <w:rFonts w:hint="eastAsia" w:ascii="宋体" w:hAnsi="宋体" w:cs="宋体"/>
          <w:sz w:val="24"/>
        </w:rPr>
        <w:t>附：牵头人法定代表人身份证明及委托代理人有效身份证正反面复印件</w:t>
      </w:r>
    </w:p>
    <w:p>
      <w:pPr>
        <w:spacing w:before="120" w:line="360" w:lineRule="auto"/>
        <w:ind w:firstLine="566" w:firstLineChars="236"/>
        <w:contextualSpacing/>
        <w:rPr>
          <w:rFonts w:ascii="宋体" w:hAnsi="宋体" w:cs="宋体"/>
          <w:sz w:val="24"/>
        </w:rPr>
      </w:pPr>
    </w:p>
    <w:p>
      <w:pPr>
        <w:spacing w:before="120" w:line="360" w:lineRule="auto"/>
        <w:ind w:firstLine="566" w:firstLineChars="236"/>
        <w:contextualSpacing/>
        <w:rPr>
          <w:rFonts w:ascii="宋体" w:hAnsi="宋体" w:cs="宋体"/>
          <w:sz w:val="24"/>
        </w:rPr>
      </w:pPr>
      <w:r>
        <w:rPr>
          <w:rFonts w:hint="eastAsia" w:ascii="宋体" w:hAnsi="宋体" w:cs="宋体"/>
          <w:sz w:val="24"/>
        </w:rPr>
        <w:t>牵头人法定代表人（签字）：</w:t>
      </w:r>
    </w:p>
    <w:p>
      <w:pPr>
        <w:spacing w:before="120" w:line="360" w:lineRule="auto"/>
        <w:ind w:firstLine="566" w:firstLineChars="236"/>
        <w:contextualSpacing/>
        <w:rPr>
          <w:rFonts w:ascii="宋体" w:hAnsi="宋体" w:cs="宋体"/>
          <w:sz w:val="24"/>
        </w:rPr>
      </w:pPr>
      <w:r>
        <w:rPr>
          <w:rFonts w:hint="eastAsia" w:ascii="宋体" w:hAnsi="宋体" w:cs="宋体"/>
          <w:sz w:val="24"/>
        </w:rPr>
        <w:t>牵头人（公章）：</w:t>
      </w:r>
    </w:p>
    <w:p>
      <w:pPr>
        <w:spacing w:before="120" w:line="360" w:lineRule="auto"/>
        <w:ind w:firstLine="566" w:firstLineChars="236"/>
        <w:contextualSpacing/>
        <w:rPr>
          <w:rFonts w:ascii="宋体" w:hAnsi="宋体" w:cs="宋体"/>
          <w:sz w:val="24"/>
        </w:rPr>
      </w:pPr>
      <w:r>
        <w:rPr>
          <w:rFonts w:hint="eastAsia" w:ascii="宋体" w:hAnsi="宋体" w:cs="宋体"/>
          <w:sz w:val="24"/>
        </w:rPr>
        <w:t>日期：    年   月   日</w:t>
      </w:r>
    </w:p>
    <w:p>
      <w:pPr>
        <w:spacing w:before="120" w:line="360" w:lineRule="auto"/>
        <w:ind w:firstLine="566" w:firstLineChars="236"/>
        <w:contextualSpacing/>
        <w:rPr>
          <w:rFonts w:ascii="宋体" w:hAnsi="宋体" w:cs="宋体"/>
          <w:sz w:val="24"/>
        </w:rPr>
      </w:pPr>
    </w:p>
    <w:p>
      <w:pPr>
        <w:spacing w:before="120" w:line="360" w:lineRule="auto"/>
        <w:ind w:firstLine="566" w:firstLineChars="236"/>
        <w:contextualSpacing/>
        <w:rPr>
          <w:rFonts w:ascii="宋体" w:hAnsi="宋体" w:cs="宋体"/>
          <w:sz w:val="24"/>
        </w:rPr>
      </w:pPr>
      <w:r>
        <w:rPr>
          <w:rFonts w:hint="eastAsia" w:ascii="宋体" w:hAnsi="宋体" w:cs="宋体"/>
          <w:sz w:val="24"/>
        </w:rPr>
        <w:t>被授权人（签字）：</w:t>
      </w:r>
    </w:p>
    <w:p>
      <w:pPr>
        <w:spacing w:before="120" w:line="360" w:lineRule="auto"/>
        <w:ind w:firstLine="566" w:firstLineChars="236"/>
        <w:contextualSpacing/>
        <w:rPr>
          <w:rFonts w:ascii="宋体" w:hAnsi="宋体" w:cs="宋体"/>
          <w:sz w:val="24"/>
        </w:rPr>
      </w:pPr>
      <w:r>
        <w:rPr>
          <w:rFonts w:hint="eastAsia" w:ascii="宋体" w:hAnsi="宋体" w:cs="宋体"/>
          <w:sz w:val="24"/>
        </w:rPr>
        <w:t>日期：    年   月   日</w:t>
      </w:r>
    </w:p>
    <w:p>
      <w:pPr>
        <w:spacing w:before="120" w:line="360" w:lineRule="auto"/>
        <w:contextualSpacing/>
        <w:rPr>
          <w:rFonts w:ascii="楷体" w:hAnsi="楷体" w:eastAsia="楷体" w:cs="宋体"/>
          <w:sz w:val="24"/>
        </w:rPr>
      </w:pPr>
    </w:p>
    <w:p>
      <w:pPr>
        <w:spacing w:before="120" w:line="360" w:lineRule="auto"/>
        <w:contextualSpacing/>
        <w:rPr>
          <w:rFonts w:ascii="楷体" w:hAnsi="楷体" w:eastAsia="楷体" w:cs="宋体"/>
          <w:sz w:val="24"/>
        </w:rPr>
      </w:pPr>
      <w:r>
        <w:rPr>
          <w:rFonts w:hint="eastAsia" w:ascii="楷体" w:hAnsi="楷体" w:eastAsia="楷体" w:cs="宋体"/>
          <w:sz w:val="24"/>
        </w:rPr>
        <w:t>【注】</w:t>
      </w:r>
    </w:p>
    <w:p>
      <w:pPr>
        <w:spacing w:before="120" w:line="360" w:lineRule="auto"/>
        <w:ind w:firstLine="480" w:firstLineChars="200"/>
        <w:contextualSpacing/>
        <w:rPr>
          <w:rFonts w:ascii="楷体" w:hAnsi="楷体" w:eastAsia="楷体" w:cs="宋体"/>
          <w:sz w:val="24"/>
        </w:rPr>
      </w:pPr>
      <w:r>
        <w:rPr>
          <w:rFonts w:ascii="楷体" w:hAnsi="楷体" w:eastAsia="楷体" w:cs="宋体"/>
          <w:sz w:val="24"/>
        </w:rPr>
        <w:t>1.</w:t>
      </w:r>
      <w:r>
        <w:rPr>
          <w:rFonts w:hint="eastAsia" w:ascii="楷体" w:hAnsi="楷体" w:eastAsia="楷体" w:cs="宋体"/>
          <w:sz w:val="24"/>
        </w:rPr>
        <w:t>法定代表人必须在授权委托书上亲笔签字或者盖章，委托代理人必须在授权委托书上亲笔签字，</w:t>
      </w:r>
      <w:r>
        <w:rPr>
          <w:rFonts w:hint="eastAsia" w:ascii="楷体" w:hAnsi="楷体" w:eastAsia="楷体" w:cs="宋体"/>
          <w:b/>
          <w:bCs/>
          <w:sz w:val="24"/>
        </w:rPr>
        <w:t>否则按无效投标处理</w:t>
      </w:r>
      <w:r>
        <w:rPr>
          <w:rFonts w:hint="eastAsia" w:ascii="楷体" w:hAnsi="楷体" w:eastAsia="楷体" w:cs="宋体"/>
          <w:sz w:val="24"/>
        </w:rPr>
        <w:t>；</w:t>
      </w:r>
    </w:p>
    <w:p>
      <w:pPr>
        <w:spacing w:before="120" w:line="360" w:lineRule="auto"/>
        <w:ind w:firstLine="480" w:firstLineChars="200"/>
        <w:contextualSpacing/>
        <w:jc w:val="left"/>
        <w:rPr>
          <w:rFonts w:ascii="楷体" w:hAnsi="楷体" w:eastAsia="楷体" w:cs="宋体"/>
          <w:sz w:val="24"/>
        </w:rPr>
      </w:pPr>
      <w:r>
        <w:rPr>
          <w:rFonts w:ascii="楷体" w:hAnsi="楷体" w:eastAsia="楷体" w:cs="宋体"/>
          <w:sz w:val="24"/>
        </w:rPr>
        <w:t>2.本授权委托书应由联合体牵头人的法定代表人按上述规定签字。</w:t>
      </w:r>
    </w:p>
    <w:p>
      <w:pPr>
        <w:spacing w:before="120" w:line="360" w:lineRule="auto"/>
        <w:ind w:firstLine="480" w:firstLineChars="200"/>
        <w:contextualSpacing/>
        <w:jc w:val="left"/>
        <w:rPr>
          <w:rFonts w:ascii="楷体" w:hAnsi="楷体" w:eastAsia="楷体" w:cs="宋体"/>
          <w:sz w:val="24"/>
        </w:rPr>
      </w:pPr>
      <w:r>
        <w:rPr>
          <w:rFonts w:ascii="楷体" w:hAnsi="楷体" w:eastAsia="楷体" w:cs="宋体"/>
          <w:sz w:val="24"/>
        </w:rPr>
        <w:t>3.法人、其他组织投标时“我方”是指“我单位”，自然人投标时“我方”是指“本人”。</w:t>
      </w:r>
    </w:p>
    <w:p>
      <w:pPr>
        <w:snapToGrid w:val="0"/>
        <w:spacing w:before="120" w:after="120" w:afterLines="50" w:line="360" w:lineRule="auto"/>
        <w:ind w:firstLine="480" w:firstLineChars="200"/>
        <w:jc w:val="left"/>
        <w:rPr>
          <w:rFonts w:ascii="宋体" w:hAnsi="宋体" w:cs="宋体"/>
          <w:sz w:val="24"/>
        </w:rPr>
        <w:sectPr>
          <w:footerReference r:id="rId9" w:type="first"/>
          <w:headerReference r:id="rId6" w:type="default"/>
          <w:footerReference r:id="rId7" w:type="default"/>
          <w:footerReference r:id="rId8" w:type="even"/>
          <w:pgSz w:w="11906" w:h="16838"/>
          <w:pgMar w:top="1417" w:right="1417" w:bottom="1417" w:left="1417" w:header="851" w:footer="567" w:gutter="0"/>
          <w:cols w:space="720" w:num="1"/>
          <w:titlePg/>
          <w:docGrid w:linePitch="312" w:charSpace="0"/>
        </w:sectPr>
      </w:pPr>
    </w:p>
    <w:p>
      <w:pPr>
        <w:spacing w:before="120"/>
        <w:rPr>
          <w:rFonts w:ascii="宋体" w:hAnsi="宋体" w:cs="宋体"/>
          <w:sz w:val="24"/>
        </w:rPr>
      </w:pPr>
    </w:p>
    <w:p>
      <w:pPr>
        <w:spacing w:before="120"/>
        <w:ind w:firstLine="480"/>
        <w:rPr>
          <w:rFonts w:ascii="宋体" w:hAnsi="宋体" w:cs="宋体"/>
          <w:b/>
          <w:sz w:val="24"/>
          <w:szCs w:val="20"/>
        </w:rPr>
      </w:pPr>
      <w:r>
        <w:rPr>
          <w:rFonts w:hint="eastAsia" w:ascii="宋体" w:hAnsi="宋体" w:cs="宋体"/>
          <w:b/>
          <w:sz w:val="24"/>
        </w:rPr>
        <w:t>6.商务要求偏离表格式（注：按项目需求表具体项目修改）</w:t>
      </w:r>
    </w:p>
    <w:p>
      <w:pPr>
        <w:snapToGrid w:val="0"/>
        <w:spacing w:before="120"/>
        <w:jc w:val="left"/>
        <w:rPr>
          <w:rFonts w:ascii="宋体" w:hAnsi="宋体" w:cs="宋体"/>
          <w:sz w:val="24"/>
        </w:rPr>
      </w:pPr>
    </w:p>
    <w:p>
      <w:pPr>
        <w:pStyle w:val="25"/>
        <w:spacing w:before="120"/>
        <w:rPr>
          <w:rFonts w:hAnsi="宋体" w:cs="宋体"/>
          <w:sz w:val="24"/>
          <w:szCs w:val="24"/>
        </w:rPr>
      </w:pPr>
      <w:r>
        <w:rPr>
          <w:rFonts w:hint="eastAsia" w:hAnsi="宋体" w:cs="宋体"/>
          <w:sz w:val="24"/>
          <w:szCs w:val="24"/>
        </w:rPr>
        <w:t>所投分标：</w:t>
      </w:r>
      <w:r>
        <w:rPr>
          <w:rFonts w:hint="eastAsia" w:hAnsi="宋体" w:cs="宋体"/>
          <w:sz w:val="24"/>
          <w:szCs w:val="24"/>
          <w:u w:val="single"/>
        </w:rPr>
        <w:t xml:space="preserve">     </w:t>
      </w:r>
      <w:r>
        <w:rPr>
          <w:rFonts w:hint="eastAsia" w:hAnsi="宋体" w:cs="宋体"/>
          <w:sz w:val="24"/>
          <w:szCs w:val="24"/>
        </w:rPr>
        <w:t>分标</w:t>
      </w:r>
    </w:p>
    <w:p>
      <w:pPr>
        <w:snapToGrid w:val="0"/>
        <w:spacing w:before="120"/>
        <w:jc w:val="left"/>
        <w:rPr>
          <w:rFonts w:ascii="宋体" w:hAnsi="宋体" w:cs="宋体"/>
          <w:sz w:val="24"/>
          <w:u w:val="single"/>
        </w:rPr>
      </w:pPr>
    </w:p>
    <w:tbl>
      <w:tblPr>
        <w:tblStyle w:val="47"/>
        <w:tblW w:w="8641" w:type="dxa"/>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r>
              <w:rPr>
                <w:rFonts w:hint="eastAsia" w:ascii="宋体" w:hAnsi="宋体" w:cs="宋体"/>
                <w:sz w:val="24"/>
              </w:rPr>
              <w:t>项目</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r>
              <w:rPr>
                <w:rFonts w:hint="eastAsia" w:ascii="宋体" w:hAnsi="宋体" w:cs="宋体"/>
                <w:sz w:val="24"/>
              </w:rPr>
              <w:t>招标文件商务要求</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r>
              <w:rPr>
                <w:rFonts w:hint="eastAsia" w:ascii="宋体" w:hAnsi="宋体" w:cs="宋体"/>
                <w:sz w:val="24"/>
              </w:rPr>
              <w:t>投标人的承诺</w:t>
            </w: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r>
              <w:rPr>
                <w:rFonts w:hint="eastAsia" w:ascii="宋体" w:hAnsi="宋体" w:cs="宋体"/>
                <w:sz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 w:val="24"/>
              </w:rPr>
            </w:pP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510"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cs="宋体"/>
                <w:sz w:val="24"/>
              </w:rPr>
            </w:pP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u w:val="singl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s="宋体"/>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r>
              <w:rPr>
                <w:rFonts w:hint="eastAsia" w:ascii="宋体" w:hAnsi="宋体" w:cs="宋体"/>
                <w:sz w:val="24"/>
              </w:rPr>
              <w:t>…</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p>
        </w:tc>
      </w:tr>
    </w:tbl>
    <w:p>
      <w:pPr>
        <w:pStyle w:val="19"/>
        <w:spacing w:before="120"/>
        <w:ind w:firstLine="480"/>
        <w:rPr>
          <w:rFonts w:ascii="楷体" w:hAnsi="楷体" w:eastAsia="楷体" w:cs="宋体"/>
        </w:rPr>
      </w:pPr>
      <w:r>
        <w:rPr>
          <w:rFonts w:hint="eastAsia" w:ascii="楷体" w:hAnsi="楷体" w:eastAsia="楷体" w:cs="宋体"/>
        </w:rPr>
        <w:t>【注】</w:t>
      </w:r>
    </w:p>
    <w:p>
      <w:pPr>
        <w:pStyle w:val="20"/>
        <w:spacing w:before="120" w:line="520" w:lineRule="exact"/>
        <w:ind w:firstLine="0" w:firstLineChars="0"/>
        <w:rPr>
          <w:rFonts w:ascii="楷体" w:hAnsi="楷体" w:eastAsia="楷体" w:cs="宋体"/>
          <w:szCs w:val="32"/>
        </w:rPr>
      </w:pPr>
      <w:r>
        <w:rPr>
          <w:rFonts w:ascii="楷体" w:hAnsi="楷体" w:eastAsia="楷体" w:cs="宋体"/>
          <w:sz w:val="24"/>
          <w:szCs w:val="24"/>
        </w:rPr>
        <w:t>1.</w:t>
      </w:r>
      <w:r>
        <w:rPr>
          <w:rFonts w:hint="eastAsia" w:ascii="楷体" w:hAnsi="楷体" w:eastAsia="楷体" w:cs="宋体"/>
          <w:sz w:val="24"/>
          <w:szCs w:val="24"/>
        </w:rPr>
        <w:t>说明：应对照招标文件“第二章</w:t>
      </w:r>
      <w:r>
        <w:rPr>
          <w:rFonts w:ascii="楷体" w:hAnsi="楷体" w:eastAsia="楷体" w:cs="宋体"/>
          <w:sz w:val="24"/>
          <w:szCs w:val="24"/>
        </w:rPr>
        <w:t xml:space="preserve"> </w:t>
      </w:r>
      <w:r>
        <w:rPr>
          <w:rFonts w:hint="eastAsia" w:ascii="楷体" w:hAnsi="楷体" w:eastAsia="楷体" w:cs="宋体"/>
          <w:sz w:val="24"/>
          <w:szCs w:val="24"/>
        </w:rPr>
        <w:t>采购需求”中的商务要求逐条作明确的投标响应，并作出偏离说明。</w:t>
      </w:r>
    </w:p>
    <w:p>
      <w:pPr>
        <w:pStyle w:val="19"/>
        <w:spacing w:before="120"/>
        <w:rPr>
          <w:rFonts w:ascii="楷体" w:hAnsi="楷体" w:eastAsia="楷体" w:cs="宋体"/>
          <w:b w:val="0"/>
          <w:bCs w:val="0"/>
        </w:rPr>
      </w:pPr>
      <w:r>
        <w:rPr>
          <w:rFonts w:ascii="楷体" w:hAnsi="楷体" w:eastAsia="楷体" w:cs="宋体"/>
          <w:b w:val="0"/>
          <w:bCs w:val="0"/>
        </w:rPr>
        <w:t>2.投标人应根据自身的承诺，对照招标文件要求在“偏离说明”中注明“</w:t>
      </w:r>
      <w:r>
        <w:rPr>
          <w:rFonts w:hint="eastAsia" w:ascii="楷体" w:hAnsi="楷体" w:eastAsia="楷体" w:cs="宋体"/>
        </w:rPr>
        <w:t>正偏离</w:t>
      </w:r>
      <w:r>
        <w:rPr>
          <w:rFonts w:hint="eastAsia" w:ascii="楷体" w:hAnsi="楷体" w:eastAsia="楷体" w:cs="宋体"/>
          <w:b w:val="0"/>
          <w:bCs w:val="0"/>
        </w:rPr>
        <w:t>”、“</w:t>
      </w:r>
      <w:r>
        <w:rPr>
          <w:rFonts w:hint="eastAsia" w:ascii="楷体" w:hAnsi="楷体" w:eastAsia="楷体" w:cs="宋体"/>
        </w:rPr>
        <w:t>负偏离</w:t>
      </w:r>
      <w:r>
        <w:rPr>
          <w:rFonts w:hint="eastAsia" w:ascii="楷体" w:hAnsi="楷体" w:eastAsia="楷体" w:cs="宋体"/>
          <w:b w:val="0"/>
          <w:bCs w:val="0"/>
        </w:rPr>
        <w:t>”或者“</w:t>
      </w:r>
      <w:r>
        <w:rPr>
          <w:rFonts w:hint="eastAsia" w:ascii="楷体" w:hAnsi="楷体" w:eastAsia="楷体" w:cs="宋体"/>
        </w:rPr>
        <w:t>无偏离</w:t>
      </w:r>
      <w:r>
        <w:rPr>
          <w:rFonts w:hint="eastAsia" w:ascii="楷体" w:hAnsi="楷体" w:eastAsia="楷体" w:cs="宋体"/>
          <w:b w:val="0"/>
          <w:bCs w:val="0"/>
        </w:rPr>
        <w:t>”。既不属于“</w:t>
      </w:r>
      <w:r>
        <w:rPr>
          <w:rFonts w:hint="eastAsia" w:ascii="楷体" w:hAnsi="楷体" w:eastAsia="楷体" w:cs="宋体"/>
        </w:rPr>
        <w:t>正偏离</w:t>
      </w:r>
      <w:r>
        <w:rPr>
          <w:rFonts w:hint="eastAsia" w:ascii="楷体" w:hAnsi="楷体" w:eastAsia="楷体" w:cs="宋体"/>
          <w:b w:val="0"/>
          <w:bCs w:val="0"/>
        </w:rPr>
        <w:t>”也不属于“</w:t>
      </w:r>
      <w:r>
        <w:rPr>
          <w:rFonts w:hint="eastAsia" w:ascii="楷体" w:hAnsi="楷体" w:eastAsia="楷体" w:cs="宋体"/>
        </w:rPr>
        <w:t>负偏离</w:t>
      </w:r>
      <w:r>
        <w:rPr>
          <w:rFonts w:hint="eastAsia" w:ascii="楷体" w:hAnsi="楷体" w:eastAsia="楷体" w:cs="宋体"/>
          <w:b w:val="0"/>
          <w:bCs w:val="0"/>
        </w:rPr>
        <w:t>”即为“</w:t>
      </w:r>
      <w:r>
        <w:rPr>
          <w:rFonts w:hint="eastAsia" w:ascii="楷体" w:hAnsi="楷体" w:eastAsia="楷体" w:cs="宋体"/>
        </w:rPr>
        <w:t>无偏离</w:t>
      </w:r>
      <w:r>
        <w:rPr>
          <w:rFonts w:hint="eastAsia" w:ascii="楷体" w:hAnsi="楷体" w:eastAsia="楷体" w:cs="宋体"/>
          <w:b w:val="0"/>
          <w:bCs w:val="0"/>
        </w:rPr>
        <w:t>”。</w:t>
      </w:r>
    </w:p>
    <w:p>
      <w:pPr>
        <w:snapToGrid w:val="0"/>
        <w:spacing w:before="120" w:after="50"/>
        <w:rPr>
          <w:rFonts w:ascii="宋体" w:hAnsi="宋体" w:cs="宋体"/>
          <w:sz w:val="24"/>
        </w:rPr>
      </w:pPr>
    </w:p>
    <w:p>
      <w:pPr>
        <w:pStyle w:val="56"/>
        <w:spacing w:before="120"/>
        <w:ind w:firstLine="480"/>
        <w:rPr>
          <w:rFonts w:ascii="宋体" w:hAnsi="宋体" w:cs="宋体"/>
          <w:sz w:val="24"/>
        </w:rPr>
      </w:pPr>
    </w:p>
    <w:p>
      <w:pPr>
        <w:snapToGrid w:val="0"/>
        <w:spacing w:before="120" w:after="50"/>
        <w:rPr>
          <w:rFonts w:ascii="宋体" w:hAnsi="宋体" w:cs="宋体"/>
          <w:spacing w:val="20"/>
          <w:sz w:val="24"/>
          <w:u w:val="single"/>
        </w:rPr>
      </w:pPr>
      <w:r>
        <w:rPr>
          <w:rFonts w:hint="eastAsia" w:ascii="宋体" w:hAnsi="宋体" w:cs="宋体"/>
          <w:sz w:val="24"/>
        </w:rPr>
        <w:t>法定代表人或者委托代理人</w:t>
      </w:r>
      <w:r>
        <w:rPr>
          <w:rFonts w:hint="eastAsia" w:ascii="宋体" w:hAnsi="宋体" w:cs="宋体"/>
          <w:spacing w:val="20"/>
          <w:sz w:val="24"/>
        </w:rPr>
        <w:t>（签字）：</w:t>
      </w:r>
      <w:r>
        <w:rPr>
          <w:rFonts w:hint="eastAsia" w:ascii="宋体" w:hAnsi="宋体" w:cs="宋体"/>
          <w:spacing w:val="20"/>
          <w:sz w:val="24"/>
          <w:u w:val="single"/>
        </w:rPr>
        <w:t xml:space="preserve">        </w:t>
      </w:r>
    </w:p>
    <w:p>
      <w:pPr>
        <w:snapToGrid w:val="0"/>
        <w:spacing w:before="120" w:beforeLines="50"/>
        <w:ind w:firstLine="562"/>
        <w:rPr>
          <w:rFonts w:ascii="宋体" w:hAnsi="宋体" w:cs="宋体"/>
          <w:spacing w:val="20"/>
          <w:sz w:val="24"/>
        </w:rPr>
      </w:pPr>
      <w:r>
        <w:rPr>
          <w:rFonts w:hint="eastAsia" w:ascii="宋体" w:hAnsi="宋体" w:cs="宋体"/>
          <w:spacing w:val="20"/>
          <w:sz w:val="24"/>
        </w:rPr>
        <w:t>投标人公章：</w:t>
      </w:r>
      <w:r>
        <w:rPr>
          <w:rFonts w:hint="eastAsia" w:ascii="宋体" w:hAnsi="宋体" w:cs="宋体"/>
          <w:spacing w:val="20"/>
          <w:sz w:val="24"/>
          <w:u w:val="single"/>
        </w:rPr>
        <w:t xml:space="preserve">            </w:t>
      </w:r>
      <w:r>
        <w:rPr>
          <w:rFonts w:hint="eastAsia" w:ascii="宋体" w:hAnsi="宋体" w:cs="宋体"/>
          <w:spacing w:val="20"/>
          <w:sz w:val="24"/>
        </w:rPr>
        <w:t xml:space="preserve">   </w:t>
      </w:r>
    </w:p>
    <w:p>
      <w:pPr>
        <w:snapToGrid w:val="0"/>
        <w:spacing w:before="120" w:beforeLines="50"/>
        <w:ind w:firstLine="562"/>
        <w:rPr>
          <w:rFonts w:ascii="宋体" w:hAnsi="宋体" w:cs="宋体"/>
          <w:sz w:val="24"/>
          <w:szCs w:val="20"/>
        </w:rPr>
      </w:pPr>
      <w:r>
        <w:rPr>
          <w:rFonts w:hint="eastAsia" w:ascii="宋体" w:hAnsi="宋体" w:cs="宋体"/>
          <w:spacing w:val="20"/>
          <w:sz w:val="24"/>
        </w:rPr>
        <w:t>日  期：</w:t>
      </w:r>
      <w:r>
        <w:rPr>
          <w:rFonts w:hint="eastAsia" w:ascii="宋体" w:hAnsi="宋体" w:cs="宋体"/>
          <w:spacing w:val="20"/>
          <w:sz w:val="24"/>
          <w:u w:val="single"/>
        </w:rPr>
        <w:t xml:space="preserve">         </w:t>
      </w:r>
    </w:p>
    <w:p>
      <w:pPr>
        <w:snapToGrid w:val="0"/>
        <w:spacing w:before="120" w:beforeLines="50"/>
        <w:rPr>
          <w:rFonts w:ascii="宋体" w:hAnsi="宋体" w:cs="宋体"/>
          <w:sz w:val="24"/>
          <w:szCs w:val="20"/>
        </w:rPr>
      </w:pPr>
    </w:p>
    <w:p>
      <w:pPr>
        <w:snapToGrid w:val="0"/>
        <w:spacing w:before="120" w:beforeLines="50" w:after="50"/>
        <w:jc w:val="left"/>
        <w:rPr>
          <w:rFonts w:ascii="宋体" w:hAnsi="宋体" w:cs="宋体"/>
          <w:sz w:val="24"/>
          <w:szCs w:val="20"/>
        </w:rPr>
      </w:pPr>
    </w:p>
    <w:p>
      <w:pPr>
        <w:snapToGrid w:val="0"/>
        <w:spacing w:before="120" w:beforeLines="50" w:after="50"/>
        <w:jc w:val="left"/>
        <w:rPr>
          <w:rFonts w:ascii="宋体" w:hAnsi="宋体" w:cs="宋体"/>
          <w:b/>
          <w:sz w:val="24"/>
        </w:rPr>
      </w:pPr>
      <w:r>
        <w:rPr>
          <w:rFonts w:hint="eastAsia" w:ascii="宋体" w:hAnsi="宋体" w:cs="宋体"/>
          <w:sz w:val="24"/>
          <w:szCs w:val="20"/>
        </w:rPr>
        <w:br w:type="page"/>
      </w:r>
      <w:r>
        <w:rPr>
          <w:rFonts w:hint="eastAsia" w:ascii="宋体" w:hAnsi="宋体" w:cs="宋体"/>
          <w:b/>
          <w:sz w:val="24"/>
        </w:rPr>
        <w:t>7.投标人业绩证明材料</w:t>
      </w:r>
    </w:p>
    <w:p>
      <w:pPr>
        <w:pStyle w:val="35"/>
        <w:snapToGrid w:val="0"/>
        <w:spacing w:before="120"/>
        <w:ind w:left="480" w:hanging="480"/>
        <w:rPr>
          <w:rFonts w:ascii="宋体" w:hAnsi="宋体" w:cs="宋体"/>
          <w:sz w:val="24"/>
        </w:rPr>
      </w:pPr>
    </w:p>
    <w:p>
      <w:pPr>
        <w:pStyle w:val="35"/>
        <w:snapToGrid w:val="0"/>
        <w:spacing w:before="120"/>
        <w:ind w:left="480" w:hanging="480"/>
        <w:rPr>
          <w:rFonts w:ascii="宋体" w:hAnsi="宋体" w:cs="宋体"/>
          <w:sz w:val="24"/>
        </w:rPr>
      </w:pPr>
      <w:r>
        <w:rPr>
          <w:rFonts w:hint="eastAsia" w:ascii="宋体" w:hAnsi="宋体" w:cs="宋体"/>
          <w:sz w:val="24"/>
        </w:rPr>
        <w:t xml:space="preserve">投标人业绩情况一览表格式： </w:t>
      </w:r>
    </w:p>
    <w:tbl>
      <w:tblPr>
        <w:tblStyle w:val="47"/>
        <w:tblW w:w="917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95"/>
        <w:gridCol w:w="1904"/>
        <w:gridCol w:w="1904"/>
        <w:gridCol w:w="30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229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jc w:val="center"/>
              <w:rPr>
                <w:rFonts w:ascii="宋体" w:hAnsi="宋体" w:cs="宋体"/>
                <w:sz w:val="24"/>
              </w:rPr>
            </w:pPr>
            <w:r>
              <w:rPr>
                <w:rFonts w:hint="eastAsia" w:ascii="宋体" w:hAnsi="宋体" w:cs="宋体"/>
                <w:sz w:val="24"/>
              </w:rPr>
              <w:t>采购人名称</w:t>
            </w:r>
          </w:p>
        </w:tc>
        <w:tc>
          <w:tcPr>
            <w:tcW w:w="19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jc w:val="center"/>
              <w:rPr>
                <w:rFonts w:ascii="宋体" w:hAnsi="宋体" w:cs="宋体"/>
                <w:sz w:val="24"/>
              </w:rPr>
            </w:pPr>
            <w:r>
              <w:rPr>
                <w:rFonts w:hint="eastAsia" w:ascii="宋体" w:hAnsi="宋体" w:cs="宋体"/>
                <w:sz w:val="24"/>
              </w:rPr>
              <w:t>项目名称</w:t>
            </w:r>
          </w:p>
        </w:tc>
        <w:tc>
          <w:tcPr>
            <w:tcW w:w="19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jc w:val="center"/>
              <w:rPr>
                <w:rFonts w:ascii="宋体" w:hAnsi="宋体" w:cs="宋体"/>
                <w:sz w:val="24"/>
              </w:rPr>
            </w:pPr>
            <w:r>
              <w:rPr>
                <w:rFonts w:hint="eastAsia" w:ascii="宋体" w:hAnsi="宋体" w:cs="宋体"/>
                <w:sz w:val="24"/>
              </w:rPr>
              <w:t>合同金额</w:t>
            </w:r>
          </w:p>
          <w:p>
            <w:pPr>
              <w:snapToGrid w:val="0"/>
              <w:spacing w:before="120"/>
              <w:jc w:val="center"/>
              <w:rPr>
                <w:rFonts w:ascii="宋体" w:hAnsi="宋体" w:cs="宋体"/>
                <w:sz w:val="24"/>
              </w:rPr>
            </w:pPr>
            <w:r>
              <w:rPr>
                <w:rFonts w:hint="eastAsia" w:ascii="宋体" w:hAnsi="宋体" w:cs="宋体"/>
                <w:sz w:val="24"/>
              </w:rPr>
              <w:t>（万元）</w:t>
            </w:r>
          </w:p>
        </w:tc>
        <w:tc>
          <w:tcPr>
            <w:tcW w:w="307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jc w:val="center"/>
              <w:rPr>
                <w:rFonts w:ascii="宋体" w:hAnsi="宋体" w:cs="宋体"/>
                <w:sz w:val="24"/>
              </w:rPr>
            </w:pPr>
            <w:r>
              <w:rPr>
                <w:rFonts w:hint="eastAsia" w:ascii="宋体" w:hAnsi="宋体" w:cs="宋体"/>
                <w:sz w:val="24"/>
              </w:rPr>
              <w:t>采购人联系人及</w:t>
            </w:r>
          </w:p>
          <w:p>
            <w:pPr>
              <w:snapToGrid w:val="0"/>
              <w:spacing w:before="120"/>
              <w:jc w:val="center"/>
              <w:rPr>
                <w:rFonts w:ascii="宋体" w:hAnsi="宋体" w:cs="宋体"/>
                <w:sz w:val="24"/>
              </w:rPr>
            </w:pPr>
            <w:r>
              <w:rPr>
                <w:rFonts w:hint="eastAsia" w:ascii="宋体" w:hAnsi="宋体" w:cs="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2295" w:type="dxa"/>
            <w:vMerge w:val="continue"/>
            <w:tcBorders>
              <w:top w:val="single" w:color="auto" w:sz="4" w:space="0"/>
              <w:left w:val="single" w:color="auto" w:sz="4" w:space="0"/>
              <w:bottom w:val="single" w:color="auto" w:sz="4" w:space="0"/>
              <w:right w:val="single" w:color="auto" w:sz="4" w:space="0"/>
            </w:tcBorders>
            <w:vAlign w:val="center"/>
          </w:tcPr>
          <w:p>
            <w:pPr>
              <w:spacing w:before="120"/>
              <w:jc w:val="left"/>
              <w:rPr>
                <w:rFonts w:ascii="宋体" w:hAnsi="宋体" w:cs="宋体"/>
                <w:sz w:val="24"/>
              </w:rPr>
            </w:pPr>
          </w:p>
        </w:tc>
        <w:tc>
          <w:tcPr>
            <w:tcW w:w="1904" w:type="dxa"/>
            <w:vMerge w:val="continue"/>
            <w:tcBorders>
              <w:top w:val="single" w:color="auto" w:sz="4" w:space="0"/>
              <w:left w:val="single" w:color="auto" w:sz="4" w:space="0"/>
              <w:bottom w:val="single" w:color="auto" w:sz="4" w:space="0"/>
              <w:right w:val="single" w:color="auto" w:sz="4" w:space="0"/>
            </w:tcBorders>
            <w:vAlign w:val="center"/>
          </w:tcPr>
          <w:p>
            <w:pPr>
              <w:spacing w:before="120"/>
              <w:jc w:val="left"/>
              <w:rPr>
                <w:rFonts w:ascii="宋体" w:hAnsi="宋体" w:cs="宋体"/>
                <w:sz w:val="24"/>
              </w:rPr>
            </w:pPr>
          </w:p>
        </w:tc>
        <w:tc>
          <w:tcPr>
            <w:tcW w:w="1904" w:type="dxa"/>
            <w:vMerge w:val="continue"/>
            <w:tcBorders>
              <w:top w:val="single" w:color="auto" w:sz="4" w:space="0"/>
              <w:left w:val="single" w:color="auto" w:sz="4" w:space="0"/>
              <w:bottom w:val="single" w:color="auto" w:sz="4" w:space="0"/>
              <w:right w:val="single" w:color="auto" w:sz="4" w:space="0"/>
            </w:tcBorders>
            <w:vAlign w:val="center"/>
          </w:tcPr>
          <w:p>
            <w:pPr>
              <w:spacing w:before="120"/>
              <w:jc w:val="left"/>
              <w:rPr>
                <w:rFonts w:ascii="宋体" w:hAnsi="宋体" w:cs="宋体"/>
                <w:sz w:val="24"/>
              </w:rPr>
            </w:pPr>
          </w:p>
        </w:tc>
        <w:tc>
          <w:tcPr>
            <w:tcW w:w="3074" w:type="dxa"/>
            <w:vMerge w:val="continue"/>
            <w:tcBorders>
              <w:top w:val="single" w:color="auto" w:sz="4" w:space="0"/>
              <w:left w:val="single" w:color="auto" w:sz="4" w:space="0"/>
              <w:bottom w:val="single" w:color="auto" w:sz="4" w:space="0"/>
              <w:right w:val="single" w:color="auto" w:sz="4" w:space="0"/>
            </w:tcBorders>
            <w:vAlign w:val="center"/>
          </w:tcPr>
          <w:p>
            <w:pPr>
              <w:spacing w:before="12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295"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190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190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307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295"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190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190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307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295"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190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190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307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2295"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190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190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c>
          <w:tcPr>
            <w:tcW w:w="3074" w:type="dxa"/>
            <w:tcBorders>
              <w:top w:val="single" w:color="auto" w:sz="4" w:space="0"/>
              <w:left w:val="single" w:color="auto" w:sz="4" w:space="0"/>
              <w:bottom w:val="single" w:color="auto" w:sz="4" w:space="0"/>
              <w:right w:val="single" w:color="auto" w:sz="4" w:space="0"/>
            </w:tcBorders>
          </w:tcPr>
          <w:p>
            <w:pPr>
              <w:snapToGrid w:val="0"/>
              <w:spacing w:before="120" w:after="120" w:afterLines="50" w:line="400" w:lineRule="exact"/>
              <w:jc w:val="left"/>
              <w:rPr>
                <w:rFonts w:ascii="宋体" w:hAnsi="宋体" w:cs="宋体"/>
                <w:sz w:val="24"/>
              </w:rPr>
            </w:pPr>
          </w:p>
        </w:tc>
      </w:tr>
    </w:tbl>
    <w:p>
      <w:pPr>
        <w:pStyle w:val="16"/>
        <w:spacing w:before="120" w:after="0" w:line="360" w:lineRule="auto"/>
        <w:contextualSpacing/>
        <w:rPr>
          <w:rFonts w:ascii="宋体" w:hAnsi="宋体" w:eastAsia="宋体" w:cs="宋体"/>
          <w:sz w:val="24"/>
          <w:szCs w:val="24"/>
        </w:rPr>
      </w:pPr>
    </w:p>
    <w:p>
      <w:pPr>
        <w:pStyle w:val="16"/>
        <w:spacing w:before="120" w:after="0" w:line="360" w:lineRule="auto"/>
        <w:contextualSpacing/>
        <w:rPr>
          <w:rFonts w:ascii="楷体" w:hAnsi="楷体" w:eastAsia="楷体" w:cs="宋体"/>
          <w:sz w:val="24"/>
          <w:szCs w:val="24"/>
        </w:rPr>
      </w:pPr>
      <w:r>
        <w:rPr>
          <w:rFonts w:hint="eastAsia" w:ascii="楷体" w:hAnsi="楷体" w:eastAsia="楷体" w:cs="宋体"/>
          <w:sz w:val="24"/>
          <w:szCs w:val="24"/>
        </w:rPr>
        <w:t>【</w:t>
      </w:r>
      <w:r>
        <w:rPr>
          <w:rFonts w:hint="eastAsia" w:ascii="楷体" w:hAnsi="楷体" w:eastAsia="楷体" w:cs="宋体"/>
          <w:b/>
          <w:sz w:val="24"/>
          <w:szCs w:val="24"/>
        </w:rPr>
        <w:t>注</w:t>
      </w:r>
      <w:r>
        <w:rPr>
          <w:rFonts w:hint="eastAsia" w:ascii="楷体" w:hAnsi="楷体" w:eastAsia="楷体" w:cs="宋体"/>
          <w:sz w:val="24"/>
          <w:szCs w:val="24"/>
        </w:rPr>
        <w:t>】</w:t>
      </w:r>
      <w:r>
        <w:rPr>
          <w:rFonts w:hint="eastAsia" w:ascii="楷体" w:hAnsi="楷体" w:eastAsia="楷体" w:cs="宋体"/>
          <w:sz w:val="24"/>
        </w:rPr>
        <w:t>投标人根据评标标准具体要求附业绩证明材料。</w:t>
      </w:r>
    </w:p>
    <w:p>
      <w:pPr>
        <w:pStyle w:val="16"/>
        <w:spacing w:before="120" w:after="0" w:line="360" w:lineRule="auto"/>
        <w:contextualSpacing/>
        <w:jc w:val="left"/>
        <w:rPr>
          <w:rFonts w:ascii="宋体" w:hAnsi="宋体" w:eastAsia="宋体" w:cs="宋体"/>
          <w:sz w:val="24"/>
          <w:szCs w:val="24"/>
        </w:rPr>
      </w:pPr>
    </w:p>
    <w:p>
      <w:pPr>
        <w:pStyle w:val="16"/>
        <w:spacing w:before="120" w:after="0" w:line="360" w:lineRule="auto"/>
        <w:contextualSpacing/>
        <w:jc w:val="left"/>
        <w:rPr>
          <w:rFonts w:ascii="宋体" w:hAnsi="宋体" w:eastAsia="宋体" w:cs="宋体"/>
          <w:sz w:val="24"/>
          <w:szCs w:val="24"/>
        </w:rPr>
      </w:pPr>
    </w:p>
    <w:p>
      <w:pPr>
        <w:pStyle w:val="16"/>
        <w:spacing w:before="120" w:after="0" w:line="360" w:lineRule="auto"/>
        <w:contextualSpacing/>
        <w:jc w:val="left"/>
        <w:rPr>
          <w:rFonts w:ascii="宋体" w:hAnsi="宋体" w:eastAsia="宋体" w:cs="宋体"/>
          <w:sz w:val="24"/>
          <w:szCs w:val="24"/>
          <w:u w:val="single"/>
        </w:rPr>
      </w:pPr>
      <w:r>
        <w:rPr>
          <w:rFonts w:hint="eastAsia" w:ascii="宋体" w:hAnsi="宋体" w:eastAsia="宋体" w:cs="宋体"/>
          <w:sz w:val="24"/>
          <w:szCs w:val="24"/>
        </w:rPr>
        <w:t>法定代表人或者委托代理人（签字）：</w:t>
      </w:r>
      <w:r>
        <w:rPr>
          <w:rFonts w:hint="eastAsia" w:ascii="宋体" w:hAnsi="宋体" w:eastAsia="宋体" w:cs="宋体"/>
          <w:sz w:val="24"/>
          <w:szCs w:val="24"/>
          <w:u w:val="single"/>
        </w:rPr>
        <w:t>　　　　　</w:t>
      </w:r>
    </w:p>
    <w:p>
      <w:pPr>
        <w:spacing w:before="120" w:line="360" w:lineRule="auto"/>
        <w:ind w:left="720" w:right="480" w:hanging="720" w:hangingChars="300"/>
        <w:contextualSpacing/>
        <w:jc w:val="left"/>
        <w:rPr>
          <w:rFonts w:ascii="宋体" w:hAnsi="宋体" w:cs="宋体"/>
          <w:sz w:val="24"/>
          <w:szCs w:val="20"/>
        </w:rPr>
      </w:pPr>
      <w:r>
        <w:rPr>
          <w:rFonts w:hint="eastAsia" w:ascii="宋体" w:hAnsi="宋体" w:cs="宋体"/>
          <w:sz w:val="24"/>
        </w:rPr>
        <w:t xml:space="preserve">投标人（公章）： </w:t>
      </w:r>
      <w:r>
        <w:rPr>
          <w:rFonts w:hint="eastAsia" w:ascii="宋体" w:hAnsi="宋体" w:cs="宋体"/>
          <w:sz w:val="24"/>
          <w:u w:val="single"/>
        </w:rPr>
        <w:t xml:space="preserve">                </w:t>
      </w:r>
      <w:r>
        <w:rPr>
          <w:rFonts w:hint="eastAsia" w:ascii="宋体" w:hAnsi="宋体" w:cs="宋体"/>
          <w:sz w:val="24"/>
        </w:rPr>
        <w:t xml:space="preserve">                                                              年    月    日</w:t>
      </w:r>
    </w:p>
    <w:p>
      <w:pPr>
        <w:snapToGrid w:val="0"/>
        <w:spacing w:before="120"/>
        <w:ind w:firstLine="480" w:firstLineChars="200"/>
        <w:jc w:val="left"/>
        <w:rPr>
          <w:rFonts w:ascii="宋体" w:hAnsi="宋体" w:cs="宋体"/>
          <w:sz w:val="24"/>
          <w:szCs w:val="20"/>
        </w:rPr>
      </w:pPr>
    </w:p>
    <w:p>
      <w:pPr>
        <w:snapToGrid w:val="0"/>
        <w:spacing w:before="120"/>
        <w:jc w:val="left"/>
        <w:rPr>
          <w:rFonts w:ascii="宋体" w:hAnsi="宋体" w:cs="宋体"/>
          <w:sz w:val="24"/>
        </w:rPr>
      </w:pPr>
    </w:p>
    <w:p>
      <w:pPr>
        <w:snapToGrid w:val="0"/>
        <w:spacing w:before="120" w:beforeLines="50"/>
        <w:rPr>
          <w:rFonts w:ascii="宋体" w:hAnsi="宋体" w:cs="宋体"/>
          <w:sz w:val="24"/>
          <w:szCs w:val="20"/>
        </w:rPr>
        <w:sectPr>
          <w:pgSz w:w="11906" w:h="16838"/>
          <w:pgMar w:top="1417" w:right="1417" w:bottom="1417" w:left="1417" w:header="851" w:footer="567" w:gutter="0"/>
          <w:cols w:space="720" w:num="1"/>
          <w:titlePg/>
          <w:docGrid w:linePitch="312" w:charSpace="0"/>
        </w:sectPr>
      </w:pPr>
    </w:p>
    <w:p>
      <w:pPr>
        <w:spacing w:before="120"/>
        <w:ind w:firstLine="560"/>
        <w:rPr>
          <w:rFonts w:ascii="宋体" w:hAnsi="宋体" w:cs="宋体"/>
          <w:b/>
          <w:sz w:val="28"/>
          <w:szCs w:val="28"/>
        </w:rPr>
      </w:pPr>
      <w:r>
        <w:rPr>
          <w:rFonts w:hint="eastAsia" w:ascii="宋体" w:hAnsi="宋体" w:cs="宋体"/>
          <w:b/>
          <w:sz w:val="28"/>
          <w:szCs w:val="28"/>
        </w:rPr>
        <w:t>四、技术文件格式</w:t>
      </w:r>
    </w:p>
    <w:p>
      <w:pPr>
        <w:snapToGrid w:val="0"/>
        <w:spacing w:before="120" w:beforeLines="50" w:after="50"/>
        <w:ind w:left="142" w:firstLine="480"/>
        <w:jc w:val="left"/>
        <w:rPr>
          <w:rFonts w:ascii="宋体" w:hAnsi="宋体" w:cs="宋体"/>
          <w:b/>
          <w:sz w:val="24"/>
        </w:rPr>
      </w:pPr>
      <w:r>
        <w:rPr>
          <w:rFonts w:hint="eastAsia" w:ascii="宋体" w:hAnsi="宋体" w:cs="宋体"/>
          <w:b/>
          <w:sz w:val="24"/>
        </w:rPr>
        <w:t xml:space="preserve">1. 技术文件封面格式： </w:t>
      </w:r>
    </w:p>
    <w:p>
      <w:pPr>
        <w:snapToGrid w:val="0"/>
        <w:spacing w:before="120" w:beforeLines="50" w:after="50"/>
        <w:rPr>
          <w:rFonts w:ascii="宋体" w:hAnsi="宋体" w:cs="宋体"/>
          <w:b/>
          <w:bCs/>
          <w:sz w:val="32"/>
          <w:szCs w:val="20"/>
        </w:rPr>
      </w:pPr>
      <w:r>
        <w:rPr>
          <w:rFonts w:hint="eastAsia" w:ascii="宋体" w:hAnsi="宋体" w:cs="宋体"/>
          <w:sz w:val="24"/>
        </w:rPr>
        <w:t xml:space="preserve">                                                   </w:t>
      </w:r>
    </w:p>
    <w:p>
      <w:pPr>
        <w:snapToGrid w:val="0"/>
        <w:spacing w:before="120" w:beforeLines="50" w:after="50"/>
        <w:rPr>
          <w:rFonts w:ascii="宋体" w:hAnsi="宋体" w:cs="宋体"/>
          <w:sz w:val="24"/>
          <w:szCs w:val="20"/>
        </w:rPr>
      </w:pPr>
    </w:p>
    <w:p>
      <w:pPr>
        <w:snapToGrid w:val="0"/>
        <w:spacing w:before="120" w:beforeLines="50" w:after="50"/>
        <w:rPr>
          <w:rFonts w:ascii="宋体" w:hAnsi="宋体" w:cs="宋体"/>
          <w:sz w:val="24"/>
          <w:szCs w:val="20"/>
        </w:rPr>
      </w:pPr>
    </w:p>
    <w:p>
      <w:pPr>
        <w:snapToGrid w:val="0"/>
        <w:spacing w:before="120" w:beforeLines="50" w:after="50"/>
        <w:ind w:firstLine="1687"/>
        <w:jc w:val="center"/>
        <w:rPr>
          <w:rFonts w:ascii="宋体" w:hAnsi="宋体" w:cs="宋体"/>
          <w:sz w:val="84"/>
          <w:szCs w:val="84"/>
        </w:rPr>
      </w:pPr>
      <w:r>
        <w:rPr>
          <w:rFonts w:hint="eastAsia" w:ascii="宋体" w:hAnsi="宋体" w:cs="宋体"/>
          <w:sz w:val="84"/>
          <w:szCs w:val="84"/>
        </w:rPr>
        <w:t>投  标  文  件</w:t>
      </w:r>
    </w:p>
    <w:p>
      <w:pPr>
        <w:snapToGrid w:val="0"/>
        <w:spacing w:before="120" w:beforeLines="50" w:after="50"/>
        <w:rPr>
          <w:rFonts w:ascii="宋体" w:hAnsi="宋体" w:cs="宋体"/>
          <w:sz w:val="24"/>
          <w:szCs w:val="20"/>
        </w:rPr>
      </w:pPr>
    </w:p>
    <w:p>
      <w:pPr>
        <w:snapToGrid w:val="0"/>
        <w:spacing w:before="120" w:beforeLines="50" w:after="50"/>
        <w:rPr>
          <w:rFonts w:ascii="宋体" w:hAnsi="宋体" w:cs="宋体"/>
          <w:sz w:val="24"/>
          <w:szCs w:val="20"/>
        </w:rPr>
      </w:pPr>
    </w:p>
    <w:p>
      <w:pPr>
        <w:snapToGrid w:val="0"/>
        <w:spacing w:before="120" w:beforeLines="50" w:after="50"/>
        <w:ind w:firstLine="640"/>
        <w:jc w:val="center"/>
        <w:rPr>
          <w:rFonts w:ascii="宋体" w:hAnsi="宋体" w:cs="宋体"/>
          <w:b/>
          <w:bCs/>
          <w:sz w:val="32"/>
          <w:szCs w:val="32"/>
        </w:rPr>
      </w:pPr>
      <w:r>
        <w:rPr>
          <w:rFonts w:hint="eastAsia" w:ascii="宋体" w:hAnsi="宋体" w:cs="宋体"/>
          <w:b/>
          <w:bCs/>
          <w:sz w:val="32"/>
          <w:szCs w:val="32"/>
        </w:rPr>
        <w:t>技  术  文  件</w:t>
      </w:r>
    </w:p>
    <w:p>
      <w:pPr>
        <w:snapToGrid w:val="0"/>
        <w:spacing w:before="120" w:beforeLines="50" w:after="50"/>
        <w:rPr>
          <w:rFonts w:ascii="宋体" w:hAnsi="宋体" w:cs="宋体"/>
          <w:bCs/>
          <w:sz w:val="24"/>
          <w:szCs w:val="20"/>
        </w:rPr>
      </w:pPr>
    </w:p>
    <w:p>
      <w:pPr>
        <w:snapToGrid w:val="0"/>
        <w:spacing w:before="120" w:beforeLines="50" w:after="50"/>
        <w:rPr>
          <w:rFonts w:ascii="宋体" w:hAnsi="宋体" w:cs="宋体"/>
          <w:bCs/>
          <w:sz w:val="24"/>
          <w:szCs w:val="20"/>
        </w:rPr>
      </w:pPr>
    </w:p>
    <w:p>
      <w:pPr>
        <w:snapToGrid w:val="0"/>
        <w:spacing w:before="120" w:beforeLines="50" w:after="50" w:line="400" w:lineRule="exact"/>
        <w:ind w:firstLine="360" w:firstLineChars="150"/>
        <w:rPr>
          <w:rFonts w:ascii="宋体" w:hAnsi="宋体" w:cs="宋体"/>
          <w:bCs/>
          <w:sz w:val="24"/>
        </w:rPr>
      </w:pPr>
      <w:r>
        <w:rPr>
          <w:rFonts w:hint="eastAsia" w:ascii="宋体" w:hAnsi="宋体" w:cs="宋体"/>
          <w:bCs/>
          <w:sz w:val="24"/>
        </w:rPr>
        <w:t xml:space="preserve">项目名称： </w:t>
      </w:r>
    </w:p>
    <w:p>
      <w:pPr>
        <w:snapToGrid w:val="0"/>
        <w:spacing w:before="120" w:beforeLines="50" w:after="50" w:line="400" w:lineRule="exact"/>
        <w:ind w:firstLine="360" w:firstLineChars="150"/>
        <w:rPr>
          <w:rFonts w:ascii="宋体" w:hAnsi="宋体" w:cs="宋体"/>
          <w:bCs/>
          <w:sz w:val="24"/>
          <w:szCs w:val="20"/>
        </w:rPr>
      </w:pPr>
    </w:p>
    <w:p>
      <w:pPr>
        <w:snapToGrid w:val="0"/>
        <w:spacing w:before="120" w:beforeLines="50" w:after="50" w:line="400" w:lineRule="exact"/>
        <w:ind w:firstLine="360" w:firstLineChars="150"/>
        <w:rPr>
          <w:rFonts w:ascii="宋体" w:hAnsi="宋体" w:cs="宋体"/>
          <w:bCs/>
          <w:sz w:val="24"/>
        </w:rPr>
      </w:pPr>
      <w:r>
        <w:rPr>
          <w:rFonts w:hint="eastAsia" w:ascii="宋体" w:hAnsi="宋体" w:cs="宋体"/>
          <w:bCs/>
          <w:sz w:val="24"/>
        </w:rPr>
        <w:t xml:space="preserve">项目编号： </w:t>
      </w:r>
    </w:p>
    <w:p>
      <w:pPr>
        <w:snapToGrid w:val="0"/>
        <w:spacing w:before="120" w:beforeLines="50" w:after="50" w:line="400" w:lineRule="exact"/>
        <w:ind w:firstLine="360" w:firstLineChars="150"/>
        <w:rPr>
          <w:rFonts w:ascii="宋体" w:hAnsi="宋体" w:cs="宋体"/>
          <w:bCs/>
          <w:sz w:val="24"/>
        </w:rPr>
      </w:pPr>
    </w:p>
    <w:p>
      <w:pPr>
        <w:snapToGrid w:val="0"/>
        <w:spacing w:before="120" w:beforeLines="50" w:after="50" w:line="400" w:lineRule="exact"/>
        <w:ind w:firstLine="360" w:firstLineChars="150"/>
        <w:rPr>
          <w:rFonts w:ascii="宋体" w:hAnsi="宋体" w:cs="宋体"/>
          <w:bCs/>
          <w:sz w:val="24"/>
        </w:rPr>
      </w:pPr>
      <w:r>
        <w:rPr>
          <w:rFonts w:hint="eastAsia" w:ascii="宋体" w:hAnsi="宋体" w:cs="宋体"/>
          <w:bCs/>
          <w:sz w:val="24"/>
        </w:rPr>
        <w:t>所投分标：</w:t>
      </w:r>
    </w:p>
    <w:p>
      <w:pPr>
        <w:snapToGrid w:val="0"/>
        <w:spacing w:before="120" w:beforeLines="50" w:after="50" w:line="400" w:lineRule="exact"/>
        <w:ind w:firstLine="360" w:firstLineChars="150"/>
        <w:rPr>
          <w:rFonts w:ascii="宋体" w:hAnsi="宋体" w:cs="宋体"/>
          <w:bCs/>
          <w:sz w:val="24"/>
        </w:rPr>
      </w:pPr>
    </w:p>
    <w:p>
      <w:pPr>
        <w:snapToGrid w:val="0"/>
        <w:spacing w:before="120" w:beforeLines="50" w:after="50" w:line="400" w:lineRule="exact"/>
        <w:ind w:firstLine="360" w:firstLineChars="150"/>
        <w:rPr>
          <w:rFonts w:ascii="宋体" w:hAnsi="宋体" w:cs="宋体"/>
          <w:bCs/>
          <w:sz w:val="24"/>
        </w:rPr>
      </w:pPr>
      <w:r>
        <w:rPr>
          <w:rFonts w:hint="eastAsia" w:ascii="宋体" w:hAnsi="宋体" w:cs="宋体"/>
          <w:bCs/>
          <w:sz w:val="24"/>
        </w:rPr>
        <w:t>投标人名称：</w:t>
      </w:r>
    </w:p>
    <w:p>
      <w:pPr>
        <w:snapToGrid w:val="0"/>
        <w:spacing w:before="120" w:beforeLines="50" w:after="50" w:line="400" w:lineRule="exact"/>
        <w:ind w:firstLine="360" w:firstLineChars="150"/>
        <w:rPr>
          <w:rFonts w:ascii="宋体" w:hAnsi="宋体" w:cs="宋体"/>
          <w:bCs/>
          <w:sz w:val="24"/>
        </w:rPr>
      </w:pPr>
    </w:p>
    <w:p>
      <w:pPr>
        <w:snapToGrid w:val="0"/>
        <w:spacing w:before="120" w:beforeLines="50" w:after="50" w:line="400" w:lineRule="exact"/>
        <w:ind w:firstLine="360" w:firstLineChars="150"/>
        <w:rPr>
          <w:rFonts w:ascii="宋体" w:hAnsi="宋体" w:cs="宋体"/>
          <w:bCs/>
          <w:sz w:val="24"/>
        </w:rPr>
      </w:pPr>
      <w:r>
        <w:rPr>
          <w:rFonts w:hint="eastAsia" w:ascii="宋体" w:hAnsi="宋体" w:cs="宋体"/>
          <w:bCs/>
          <w:sz w:val="24"/>
        </w:rPr>
        <w:t>投标人地址：</w:t>
      </w:r>
    </w:p>
    <w:p>
      <w:pPr>
        <w:snapToGrid w:val="0"/>
        <w:spacing w:before="120" w:beforeLines="50" w:after="50" w:line="400" w:lineRule="exact"/>
        <w:ind w:firstLine="360" w:firstLineChars="150"/>
        <w:rPr>
          <w:rFonts w:ascii="宋体" w:hAnsi="宋体" w:cs="宋体"/>
          <w:bCs/>
          <w:sz w:val="24"/>
        </w:rPr>
      </w:pPr>
    </w:p>
    <w:p>
      <w:pPr>
        <w:snapToGrid w:val="0"/>
        <w:spacing w:before="120" w:beforeLines="50" w:after="50"/>
        <w:ind w:firstLine="482"/>
        <w:jc w:val="center"/>
        <w:rPr>
          <w:rFonts w:ascii="宋体" w:hAnsi="宋体" w:cs="宋体"/>
          <w:sz w:val="24"/>
        </w:rPr>
      </w:pPr>
      <w:r>
        <w:rPr>
          <w:rFonts w:hint="eastAsia" w:ascii="宋体" w:hAnsi="宋体" w:cs="宋体"/>
          <w:sz w:val="24"/>
        </w:rPr>
        <w:t xml:space="preserve">               </w:t>
      </w:r>
    </w:p>
    <w:p>
      <w:pPr>
        <w:snapToGrid w:val="0"/>
        <w:spacing w:before="120" w:beforeLines="50" w:after="50"/>
        <w:ind w:firstLine="482"/>
        <w:jc w:val="center"/>
        <w:rPr>
          <w:rFonts w:ascii="宋体" w:hAnsi="宋体" w:cs="宋体"/>
          <w:sz w:val="24"/>
        </w:rPr>
      </w:pPr>
    </w:p>
    <w:p>
      <w:pPr>
        <w:snapToGrid w:val="0"/>
        <w:spacing w:before="120" w:beforeLines="50" w:after="50"/>
        <w:ind w:firstLine="482"/>
        <w:jc w:val="center"/>
        <w:rPr>
          <w:rFonts w:ascii="宋体" w:hAnsi="宋体" w:cs="宋体"/>
          <w:sz w:val="24"/>
        </w:rPr>
      </w:pPr>
      <w:r>
        <w:rPr>
          <w:rFonts w:hint="eastAsia" w:ascii="宋体" w:hAnsi="宋体" w:cs="宋体"/>
          <w:sz w:val="24"/>
        </w:rPr>
        <w:t>年    月    日</w:t>
      </w:r>
    </w:p>
    <w:p>
      <w:pPr>
        <w:snapToGrid w:val="0"/>
        <w:spacing w:before="120" w:beforeLines="50" w:after="50"/>
        <w:ind w:firstLine="482"/>
        <w:jc w:val="center"/>
        <w:rPr>
          <w:rFonts w:ascii="宋体" w:hAnsi="宋体" w:cs="宋体"/>
          <w:sz w:val="24"/>
          <w:szCs w:val="20"/>
        </w:rPr>
      </w:pPr>
    </w:p>
    <w:p>
      <w:pPr>
        <w:snapToGrid w:val="0"/>
        <w:spacing w:before="120" w:beforeLines="50" w:after="50"/>
        <w:ind w:left="142" w:firstLine="480"/>
        <w:jc w:val="left"/>
        <w:rPr>
          <w:rFonts w:ascii="宋体" w:hAnsi="宋体" w:cs="宋体"/>
          <w:b/>
          <w:bCs/>
          <w:sz w:val="24"/>
        </w:rPr>
      </w:pPr>
      <w:r>
        <w:rPr>
          <w:rFonts w:hint="eastAsia" w:ascii="宋体" w:hAnsi="宋体" w:cs="宋体"/>
          <w:b/>
          <w:bCs/>
          <w:sz w:val="24"/>
        </w:rPr>
        <w:br w:type="page"/>
      </w:r>
      <w:r>
        <w:rPr>
          <w:rFonts w:hint="eastAsia" w:ascii="宋体" w:hAnsi="宋体" w:cs="宋体"/>
          <w:b/>
          <w:bCs/>
          <w:sz w:val="24"/>
        </w:rPr>
        <w:t>2.技术文件目录</w:t>
      </w:r>
    </w:p>
    <w:p>
      <w:pPr>
        <w:snapToGrid w:val="0"/>
        <w:spacing w:before="120" w:after="120" w:afterLines="50" w:line="360" w:lineRule="auto"/>
        <w:ind w:firstLine="480" w:firstLineChars="200"/>
        <w:jc w:val="left"/>
        <w:rPr>
          <w:rFonts w:ascii="宋体" w:hAnsi="宋体" w:cs="宋体"/>
          <w:sz w:val="24"/>
        </w:rPr>
      </w:pPr>
      <w:r>
        <w:rPr>
          <w:rFonts w:hint="eastAsia" w:ascii="宋体" w:hAnsi="宋体" w:cs="宋体"/>
          <w:sz w:val="24"/>
        </w:rPr>
        <w:t>根据招标文件规定及投标人提供的材料自行编写目录。</w:t>
      </w:r>
    </w:p>
    <w:p>
      <w:pPr>
        <w:snapToGrid w:val="0"/>
        <w:spacing w:before="120" w:beforeLines="50" w:after="50"/>
        <w:ind w:left="142" w:firstLine="480"/>
        <w:jc w:val="left"/>
        <w:rPr>
          <w:rFonts w:ascii="宋体" w:hAnsi="宋体" w:cs="宋体"/>
          <w:b/>
          <w:sz w:val="24"/>
        </w:rPr>
      </w:pPr>
      <w:r>
        <w:rPr>
          <w:rFonts w:hint="eastAsia" w:ascii="宋体" w:hAnsi="宋体" w:cs="宋体"/>
          <w:b/>
          <w:sz w:val="24"/>
        </w:rPr>
        <w:br w:type="page"/>
      </w:r>
      <w:r>
        <w:rPr>
          <w:rFonts w:hint="eastAsia" w:ascii="宋体" w:hAnsi="宋体" w:cs="宋体"/>
          <w:b/>
          <w:sz w:val="24"/>
        </w:rPr>
        <w:t>3. 设备性能配置清单格式</w:t>
      </w:r>
    </w:p>
    <w:p>
      <w:pPr>
        <w:snapToGrid w:val="0"/>
        <w:spacing w:before="120" w:beforeLines="50" w:after="50"/>
        <w:ind w:left="142" w:firstLine="480"/>
        <w:jc w:val="left"/>
        <w:rPr>
          <w:rFonts w:ascii="宋体" w:hAnsi="宋体" w:cs="宋体"/>
          <w:b/>
          <w:sz w:val="24"/>
        </w:rPr>
      </w:pPr>
    </w:p>
    <w:p>
      <w:pPr>
        <w:snapToGrid w:val="0"/>
        <w:spacing w:before="120" w:beforeLines="50" w:after="50"/>
        <w:ind w:left="142" w:firstLine="640"/>
        <w:jc w:val="center"/>
        <w:rPr>
          <w:rFonts w:ascii="宋体" w:hAnsi="宋体" w:cs="宋体"/>
          <w:b/>
          <w:sz w:val="32"/>
          <w:szCs w:val="32"/>
        </w:rPr>
      </w:pPr>
      <w:r>
        <w:rPr>
          <w:rFonts w:hint="eastAsia" w:ascii="宋体" w:hAnsi="宋体" w:cs="宋体"/>
          <w:b/>
          <w:sz w:val="32"/>
          <w:szCs w:val="32"/>
        </w:rPr>
        <w:t>设备性能配置清单</w:t>
      </w:r>
    </w:p>
    <w:p>
      <w:pPr>
        <w:pStyle w:val="25"/>
        <w:spacing w:before="120"/>
        <w:rPr>
          <w:rFonts w:hAnsi="宋体" w:cs="宋体"/>
          <w:sz w:val="24"/>
          <w:szCs w:val="24"/>
        </w:rPr>
      </w:pPr>
      <w:r>
        <w:rPr>
          <w:rFonts w:hint="eastAsia" w:hAnsi="宋体" w:cs="宋体"/>
          <w:sz w:val="24"/>
          <w:szCs w:val="24"/>
        </w:rPr>
        <w:t>所投分标：</w:t>
      </w:r>
      <w:r>
        <w:rPr>
          <w:rFonts w:hint="eastAsia" w:hAnsi="宋体" w:cs="宋体"/>
          <w:sz w:val="24"/>
          <w:szCs w:val="24"/>
          <w:u w:val="single"/>
        </w:rPr>
        <w:t xml:space="preserve">     </w:t>
      </w:r>
      <w:r>
        <w:rPr>
          <w:rFonts w:hint="eastAsia" w:hAnsi="宋体" w:cs="宋体"/>
          <w:sz w:val="24"/>
          <w:szCs w:val="24"/>
        </w:rPr>
        <w:t>分标</w:t>
      </w:r>
    </w:p>
    <w:tbl>
      <w:tblPr>
        <w:tblStyle w:val="47"/>
        <w:tblW w:w="913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092"/>
        <w:gridCol w:w="785"/>
        <w:gridCol w:w="1566"/>
        <w:gridCol w:w="1092"/>
        <w:gridCol w:w="646"/>
        <w:gridCol w:w="673"/>
        <w:gridCol w:w="820"/>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r>
              <w:rPr>
                <w:rFonts w:hint="eastAsia" w:ascii="宋体" w:hAnsi="宋体" w:cs="宋体"/>
                <w:sz w:val="24"/>
              </w:rPr>
              <w:t>序号</w:t>
            </w:r>
          </w:p>
        </w:tc>
        <w:tc>
          <w:tcPr>
            <w:tcW w:w="1092"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r>
              <w:rPr>
                <w:rFonts w:hint="eastAsia" w:ascii="宋体" w:hAnsi="宋体" w:cs="宋体"/>
                <w:sz w:val="24"/>
              </w:rPr>
              <w:t>货物名称</w:t>
            </w:r>
          </w:p>
        </w:tc>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r>
              <w:rPr>
                <w:rFonts w:hint="eastAsia" w:ascii="宋体" w:hAnsi="宋体" w:cs="宋体"/>
                <w:sz w:val="24"/>
              </w:rPr>
              <w:t>品牌</w:t>
            </w:r>
          </w:p>
        </w:tc>
        <w:tc>
          <w:tcPr>
            <w:tcW w:w="1566"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r>
              <w:rPr>
                <w:rFonts w:hint="eastAsia" w:ascii="宋体" w:hAnsi="宋体" w:cs="宋体"/>
                <w:sz w:val="24"/>
              </w:rPr>
              <w:t>型号</w:t>
            </w:r>
          </w:p>
        </w:tc>
        <w:tc>
          <w:tcPr>
            <w:tcW w:w="1092"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r>
              <w:rPr>
                <w:rFonts w:hint="eastAsia" w:ascii="宋体" w:hAnsi="宋体" w:cs="宋体"/>
                <w:sz w:val="24"/>
              </w:rPr>
              <w:t>生产厂家</w:t>
            </w:r>
          </w:p>
        </w:tc>
        <w:tc>
          <w:tcPr>
            <w:tcW w:w="646"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r>
              <w:rPr>
                <w:rFonts w:hint="eastAsia" w:ascii="宋体" w:hAnsi="宋体" w:cs="宋体"/>
                <w:sz w:val="24"/>
              </w:rPr>
              <w:t>产地</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r>
              <w:rPr>
                <w:rFonts w:hint="eastAsia" w:ascii="宋体" w:hAnsi="宋体" w:cs="宋体"/>
                <w:sz w:val="24"/>
              </w:rPr>
              <w:t>数量</w:t>
            </w:r>
          </w:p>
        </w:tc>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r>
              <w:rPr>
                <w:rFonts w:hint="eastAsia" w:ascii="宋体" w:hAnsi="宋体" w:cs="宋体"/>
                <w:sz w:val="24"/>
              </w:rPr>
              <w:t>单位</w:t>
            </w: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r>
              <w:rPr>
                <w:rFonts w:hint="eastAsia" w:ascii="宋体" w:hAnsi="宋体" w:cs="宋体"/>
                <w:sz w:val="24"/>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20" w:after="5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646"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673" w:type="dxa"/>
            <w:tcBorders>
              <w:top w:val="single" w:color="auto" w:sz="4" w:space="0"/>
              <w:left w:val="single" w:color="auto" w:sz="4" w:space="0"/>
              <w:bottom w:val="single" w:color="auto" w:sz="4" w:space="0"/>
              <w:right w:val="single" w:color="auto" w:sz="4" w:space="0"/>
            </w:tcBorders>
          </w:tcPr>
          <w:p>
            <w:pPr>
              <w:snapToGrid w:val="0"/>
              <w:spacing w:before="120" w:after="50"/>
              <w:jc w:val="center"/>
              <w:rPr>
                <w:rFonts w:ascii="宋体" w:hAnsi="宋体" w:cs="宋体"/>
                <w:sz w:val="24"/>
              </w:rPr>
            </w:pPr>
          </w:p>
        </w:tc>
        <w:tc>
          <w:tcPr>
            <w:tcW w:w="820" w:type="dxa"/>
            <w:tcBorders>
              <w:top w:val="single" w:color="auto" w:sz="4" w:space="0"/>
              <w:left w:val="single" w:color="auto" w:sz="4" w:space="0"/>
              <w:bottom w:val="single" w:color="auto" w:sz="4" w:space="0"/>
              <w:right w:val="single" w:color="auto" w:sz="4" w:space="0"/>
            </w:tcBorders>
          </w:tcPr>
          <w:p>
            <w:pPr>
              <w:snapToGrid w:val="0"/>
              <w:spacing w:before="120" w:after="50"/>
              <w:jc w:val="center"/>
              <w:rPr>
                <w:rFonts w:ascii="宋体" w:hAnsi="宋体" w:cs="宋体"/>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20" w:after="5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646"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673" w:type="dxa"/>
            <w:tcBorders>
              <w:top w:val="single" w:color="auto" w:sz="4" w:space="0"/>
              <w:left w:val="single" w:color="auto" w:sz="4" w:space="0"/>
              <w:bottom w:val="single" w:color="auto" w:sz="4" w:space="0"/>
              <w:right w:val="single" w:color="auto" w:sz="4" w:space="0"/>
            </w:tcBorders>
          </w:tcPr>
          <w:p>
            <w:pPr>
              <w:snapToGrid w:val="0"/>
              <w:spacing w:before="120" w:after="50"/>
              <w:jc w:val="center"/>
              <w:rPr>
                <w:rFonts w:ascii="宋体" w:hAnsi="宋体" w:cs="宋体"/>
                <w:sz w:val="24"/>
              </w:rPr>
            </w:pPr>
          </w:p>
        </w:tc>
        <w:tc>
          <w:tcPr>
            <w:tcW w:w="820" w:type="dxa"/>
            <w:tcBorders>
              <w:top w:val="single" w:color="auto" w:sz="4" w:space="0"/>
              <w:left w:val="single" w:color="auto" w:sz="4" w:space="0"/>
              <w:bottom w:val="single" w:color="auto" w:sz="4" w:space="0"/>
              <w:right w:val="single" w:color="auto" w:sz="4" w:space="0"/>
            </w:tcBorders>
          </w:tcPr>
          <w:p>
            <w:pPr>
              <w:snapToGrid w:val="0"/>
              <w:spacing w:before="120" w:after="50"/>
              <w:jc w:val="center"/>
              <w:rPr>
                <w:rFonts w:ascii="宋体" w:hAnsi="宋体" w:cs="宋体"/>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1566" w:type="dxa"/>
            <w:tcBorders>
              <w:top w:val="single" w:color="auto" w:sz="4" w:space="0"/>
              <w:left w:val="single" w:color="auto" w:sz="4" w:space="0"/>
              <w:bottom w:val="single" w:color="auto" w:sz="4" w:space="0"/>
              <w:right w:val="single" w:color="auto" w:sz="4" w:space="0"/>
            </w:tcBorders>
          </w:tcPr>
          <w:p>
            <w:pPr>
              <w:snapToGrid w:val="0"/>
              <w:spacing w:before="120" w:after="50"/>
              <w:jc w:val="center"/>
              <w:rPr>
                <w:rFonts w:ascii="宋体" w:hAnsi="宋体" w:cs="宋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646"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c>
          <w:tcPr>
            <w:tcW w:w="673" w:type="dxa"/>
            <w:tcBorders>
              <w:top w:val="single" w:color="auto" w:sz="4" w:space="0"/>
              <w:left w:val="single" w:color="auto" w:sz="4" w:space="0"/>
              <w:bottom w:val="single" w:color="auto" w:sz="4" w:space="0"/>
              <w:right w:val="single" w:color="auto" w:sz="4" w:space="0"/>
            </w:tcBorders>
          </w:tcPr>
          <w:p>
            <w:pPr>
              <w:snapToGrid w:val="0"/>
              <w:spacing w:before="120" w:after="50"/>
              <w:jc w:val="center"/>
              <w:rPr>
                <w:rFonts w:ascii="宋体" w:hAnsi="宋体" w:cs="宋体"/>
                <w:sz w:val="24"/>
              </w:rPr>
            </w:pPr>
          </w:p>
        </w:tc>
        <w:tc>
          <w:tcPr>
            <w:tcW w:w="820" w:type="dxa"/>
            <w:tcBorders>
              <w:top w:val="single" w:color="auto" w:sz="4" w:space="0"/>
              <w:left w:val="single" w:color="auto" w:sz="4" w:space="0"/>
              <w:bottom w:val="single" w:color="auto" w:sz="4" w:space="0"/>
              <w:right w:val="single" w:color="auto" w:sz="4" w:space="0"/>
            </w:tcBorders>
          </w:tcPr>
          <w:p>
            <w:pPr>
              <w:snapToGrid w:val="0"/>
              <w:spacing w:before="120" w:after="50"/>
              <w:jc w:val="center"/>
              <w:rPr>
                <w:rFonts w:ascii="宋体" w:hAnsi="宋体" w:cs="宋体"/>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snapToGrid w:val="0"/>
              <w:spacing w:before="120" w:after="50"/>
              <w:jc w:val="center"/>
              <w:rPr>
                <w:rFonts w:ascii="宋体" w:hAnsi="宋体" w:cs="宋体"/>
                <w:sz w:val="24"/>
              </w:rPr>
            </w:pPr>
          </w:p>
        </w:tc>
      </w:tr>
    </w:tbl>
    <w:p>
      <w:pPr>
        <w:spacing w:before="120" w:line="360" w:lineRule="auto"/>
        <w:contextualSpacing/>
        <w:rPr>
          <w:rFonts w:ascii="宋体" w:hAnsi="宋体" w:cs="宋体"/>
          <w:sz w:val="24"/>
        </w:rPr>
      </w:pPr>
    </w:p>
    <w:p>
      <w:pPr>
        <w:spacing w:before="120" w:line="360" w:lineRule="auto"/>
        <w:contextualSpacing/>
        <w:rPr>
          <w:rFonts w:ascii="楷体" w:hAnsi="楷体" w:eastAsia="楷体" w:cs="宋体"/>
          <w:sz w:val="24"/>
        </w:rPr>
      </w:pPr>
      <w:r>
        <w:rPr>
          <w:rFonts w:hint="eastAsia" w:ascii="楷体" w:hAnsi="楷体" w:eastAsia="楷体" w:cs="宋体"/>
          <w:sz w:val="24"/>
        </w:rPr>
        <w:t>【备注】</w:t>
      </w:r>
    </w:p>
    <w:p>
      <w:pPr>
        <w:spacing w:before="120" w:line="360" w:lineRule="auto"/>
        <w:ind w:firstLine="480" w:firstLineChars="200"/>
        <w:contextualSpacing/>
        <w:rPr>
          <w:rFonts w:ascii="楷体" w:hAnsi="楷体" w:eastAsia="楷体" w:cs="宋体"/>
          <w:b/>
          <w:sz w:val="24"/>
        </w:rPr>
      </w:pPr>
      <w:r>
        <w:rPr>
          <w:rFonts w:hint="eastAsia" w:ascii="楷体" w:hAnsi="楷体" w:eastAsia="楷体" w:cs="宋体"/>
          <w:sz w:val="24"/>
        </w:rPr>
        <w:t>以上设备性能配置清单中“货物名称、数量及单位、品牌、规格型号、制造商、原产地、参数性能、指标及配置”必须如实填写完整，定制产品在型号栏中填写“定制”。填写有缺漏</w:t>
      </w:r>
      <w:r>
        <w:rPr>
          <w:rFonts w:hint="eastAsia" w:ascii="楷体" w:hAnsi="楷体" w:eastAsia="楷体" w:cs="宋体"/>
          <w:bCs/>
          <w:sz w:val="24"/>
        </w:rPr>
        <w:t>的，</w:t>
      </w:r>
      <w:r>
        <w:rPr>
          <w:rFonts w:hint="eastAsia" w:ascii="楷体" w:hAnsi="楷体" w:eastAsia="楷体" w:cs="宋体"/>
          <w:b/>
          <w:sz w:val="24"/>
        </w:rPr>
        <w:t>作无效投标处理。</w:t>
      </w:r>
      <w:r>
        <w:rPr>
          <w:rFonts w:hint="eastAsia" w:ascii="楷体" w:hAnsi="楷体" w:eastAsia="楷体" w:cs="宋体"/>
          <w:sz w:val="24"/>
        </w:rPr>
        <w:t>货物名称、数量、单位、品牌等必须与“开标一览表”一致，</w:t>
      </w:r>
      <w:r>
        <w:rPr>
          <w:rFonts w:hint="eastAsia" w:ascii="楷体" w:hAnsi="楷体" w:eastAsia="楷体" w:cs="宋体"/>
          <w:b/>
          <w:sz w:val="24"/>
        </w:rPr>
        <w:t>否则按无效投标处理。</w:t>
      </w:r>
    </w:p>
    <w:p>
      <w:pPr>
        <w:spacing w:before="120" w:line="360" w:lineRule="auto"/>
        <w:ind w:firstLine="480" w:firstLineChars="200"/>
        <w:contextualSpacing/>
        <w:rPr>
          <w:rFonts w:ascii="宋体" w:hAnsi="宋体" w:cs="宋体"/>
          <w:sz w:val="24"/>
        </w:rPr>
      </w:pPr>
    </w:p>
    <w:p>
      <w:pPr>
        <w:spacing w:before="120" w:line="360" w:lineRule="auto"/>
        <w:contextualSpacing/>
        <w:rPr>
          <w:rFonts w:ascii="宋体" w:hAnsi="宋体" w:cs="宋体"/>
          <w:spacing w:val="20"/>
          <w:sz w:val="24"/>
          <w:u w:val="single"/>
        </w:rPr>
      </w:pPr>
      <w:r>
        <w:rPr>
          <w:rFonts w:hint="eastAsia" w:ascii="宋体" w:hAnsi="宋体" w:cs="宋体"/>
          <w:sz w:val="24"/>
        </w:rPr>
        <w:t>法定代表人或者委托代理人</w:t>
      </w:r>
      <w:r>
        <w:rPr>
          <w:rFonts w:hint="eastAsia" w:ascii="宋体" w:hAnsi="宋体" w:cs="宋体"/>
          <w:spacing w:val="20"/>
          <w:sz w:val="24"/>
        </w:rPr>
        <w:t>（签字）：</w:t>
      </w:r>
      <w:r>
        <w:rPr>
          <w:rFonts w:hint="eastAsia" w:ascii="宋体" w:hAnsi="宋体" w:cs="宋体"/>
          <w:spacing w:val="20"/>
          <w:sz w:val="24"/>
          <w:u w:val="single"/>
        </w:rPr>
        <w:t xml:space="preserve">        </w:t>
      </w:r>
    </w:p>
    <w:p>
      <w:pPr>
        <w:spacing w:before="120" w:line="360" w:lineRule="auto"/>
        <w:ind w:firstLine="562"/>
        <w:contextualSpacing/>
        <w:rPr>
          <w:rFonts w:ascii="宋体" w:hAnsi="宋体" w:cs="宋体"/>
          <w:spacing w:val="20"/>
          <w:sz w:val="24"/>
        </w:rPr>
      </w:pPr>
      <w:r>
        <w:rPr>
          <w:rFonts w:hint="eastAsia" w:ascii="宋体" w:hAnsi="宋体" w:cs="宋体"/>
          <w:spacing w:val="20"/>
          <w:sz w:val="24"/>
        </w:rPr>
        <w:t>投标人（公章）：</w:t>
      </w:r>
      <w:r>
        <w:rPr>
          <w:rFonts w:hint="eastAsia" w:ascii="宋体" w:hAnsi="宋体" w:cs="宋体"/>
          <w:spacing w:val="20"/>
          <w:sz w:val="24"/>
          <w:u w:val="single"/>
        </w:rPr>
        <w:t xml:space="preserve">            </w:t>
      </w:r>
      <w:r>
        <w:rPr>
          <w:rFonts w:hint="eastAsia" w:ascii="宋体" w:hAnsi="宋体" w:cs="宋体"/>
          <w:spacing w:val="20"/>
          <w:sz w:val="24"/>
        </w:rPr>
        <w:t xml:space="preserve">              </w:t>
      </w:r>
    </w:p>
    <w:p>
      <w:pPr>
        <w:spacing w:before="120" w:line="360" w:lineRule="auto"/>
        <w:ind w:firstLine="562"/>
        <w:contextualSpacing/>
        <w:rPr>
          <w:rFonts w:ascii="宋体" w:hAnsi="宋体" w:cs="宋体"/>
          <w:sz w:val="24"/>
          <w:szCs w:val="20"/>
        </w:rPr>
      </w:pPr>
      <w:r>
        <w:rPr>
          <w:rFonts w:hint="eastAsia" w:ascii="宋体" w:hAnsi="宋体" w:cs="宋体"/>
          <w:spacing w:val="20"/>
          <w:sz w:val="24"/>
        </w:rPr>
        <w:t>日  期：</w:t>
      </w:r>
      <w:r>
        <w:rPr>
          <w:rFonts w:hint="eastAsia" w:ascii="宋体" w:hAnsi="宋体" w:cs="宋体"/>
          <w:spacing w:val="20"/>
          <w:sz w:val="24"/>
          <w:u w:val="single"/>
        </w:rPr>
        <w:t xml:space="preserve">          </w:t>
      </w:r>
    </w:p>
    <w:p>
      <w:pPr>
        <w:snapToGrid w:val="0"/>
        <w:spacing w:before="120" w:after="120" w:afterLines="50"/>
        <w:jc w:val="left"/>
        <w:rPr>
          <w:rFonts w:ascii="宋体" w:hAnsi="宋体" w:cs="宋体"/>
          <w:sz w:val="24"/>
          <w:szCs w:val="20"/>
        </w:rPr>
      </w:pPr>
    </w:p>
    <w:p>
      <w:pPr>
        <w:snapToGrid w:val="0"/>
        <w:spacing w:before="120" w:after="120" w:afterLines="50"/>
        <w:jc w:val="left"/>
        <w:rPr>
          <w:rFonts w:ascii="宋体" w:hAnsi="宋体" w:cs="宋体"/>
          <w:sz w:val="24"/>
          <w:szCs w:val="20"/>
        </w:rPr>
      </w:pPr>
    </w:p>
    <w:p>
      <w:pPr>
        <w:snapToGrid w:val="0"/>
        <w:spacing w:before="120" w:beforeLines="50" w:after="50"/>
        <w:ind w:left="142" w:firstLine="480"/>
        <w:jc w:val="left"/>
        <w:rPr>
          <w:rFonts w:ascii="宋体" w:hAnsi="宋体" w:cs="宋体"/>
          <w:b/>
          <w:sz w:val="24"/>
        </w:rPr>
      </w:pPr>
      <w:r>
        <w:rPr>
          <w:rFonts w:hint="eastAsia" w:ascii="宋体" w:hAnsi="宋体" w:cs="宋体"/>
          <w:b/>
          <w:sz w:val="24"/>
        </w:rPr>
        <w:br w:type="page"/>
      </w:r>
      <w:r>
        <w:rPr>
          <w:rFonts w:hint="eastAsia" w:ascii="宋体" w:hAnsi="宋体" w:cs="宋体"/>
          <w:b/>
          <w:sz w:val="24"/>
        </w:rPr>
        <w:t>4. 技术要求偏离表格式</w:t>
      </w:r>
    </w:p>
    <w:p>
      <w:pPr>
        <w:snapToGrid w:val="0"/>
        <w:spacing w:before="120" w:beforeLines="50" w:after="50"/>
        <w:ind w:left="142" w:firstLine="480"/>
        <w:jc w:val="left"/>
        <w:rPr>
          <w:rFonts w:ascii="宋体" w:hAnsi="宋体" w:cs="宋体"/>
          <w:b/>
          <w:sz w:val="24"/>
        </w:rPr>
      </w:pPr>
    </w:p>
    <w:p>
      <w:pPr>
        <w:snapToGrid w:val="0"/>
        <w:spacing w:before="120" w:beforeLines="50" w:after="50"/>
        <w:ind w:left="142" w:firstLine="640"/>
        <w:jc w:val="center"/>
        <w:rPr>
          <w:rFonts w:ascii="宋体" w:hAnsi="宋体" w:cs="宋体"/>
          <w:b/>
          <w:sz w:val="32"/>
          <w:szCs w:val="32"/>
        </w:rPr>
      </w:pPr>
      <w:r>
        <w:rPr>
          <w:rFonts w:hint="eastAsia" w:ascii="宋体" w:hAnsi="宋体" w:cs="宋体"/>
          <w:b/>
          <w:sz w:val="32"/>
          <w:szCs w:val="32"/>
        </w:rPr>
        <w:t>技术要求偏离表</w:t>
      </w:r>
    </w:p>
    <w:p>
      <w:pPr>
        <w:pStyle w:val="25"/>
        <w:spacing w:before="120"/>
        <w:rPr>
          <w:rFonts w:hAnsi="宋体" w:cs="宋体"/>
          <w:sz w:val="24"/>
          <w:szCs w:val="24"/>
        </w:rPr>
      </w:pPr>
      <w:r>
        <w:rPr>
          <w:rFonts w:hint="eastAsia" w:hAnsi="宋体" w:cs="宋体"/>
          <w:sz w:val="24"/>
          <w:szCs w:val="24"/>
        </w:rPr>
        <w:t>所投分标：</w:t>
      </w:r>
      <w:r>
        <w:rPr>
          <w:rFonts w:hint="eastAsia" w:hAnsi="宋体" w:cs="宋体"/>
          <w:sz w:val="24"/>
          <w:szCs w:val="24"/>
          <w:u w:val="single"/>
        </w:rPr>
        <w:t xml:space="preserve">     </w:t>
      </w:r>
      <w:r>
        <w:rPr>
          <w:rFonts w:hint="eastAsia" w:hAnsi="宋体" w:cs="宋体"/>
          <w:sz w:val="24"/>
          <w:szCs w:val="24"/>
        </w:rPr>
        <w:t>分标</w:t>
      </w:r>
    </w:p>
    <w:tbl>
      <w:tblPr>
        <w:tblStyle w:val="47"/>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5"/>
              <w:spacing w:before="120" w:line="400" w:lineRule="exact"/>
              <w:jc w:val="center"/>
              <w:rPr>
                <w:rFonts w:hAnsi="宋体" w:cs="宋体"/>
                <w:kern w:val="2"/>
                <w:sz w:val="24"/>
                <w:szCs w:val="24"/>
              </w:rPr>
            </w:pPr>
            <w:r>
              <w:rPr>
                <w:rFonts w:hint="eastAsia" w:hAnsi="宋体" w:cs="宋体"/>
                <w:kern w:val="2"/>
                <w:sz w:val="24"/>
                <w:szCs w:val="24"/>
              </w:rPr>
              <w:t>序号</w:t>
            </w:r>
          </w:p>
        </w:tc>
        <w:tc>
          <w:tcPr>
            <w:tcW w:w="2143" w:type="dxa"/>
            <w:vAlign w:val="center"/>
          </w:tcPr>
          <w:p>
            <w:pPr>
              <w:pStyle w:val="25"/>
              <w:spacing w:before="120" w:line="400" w:lineRule="exact"/>
              <w:jc w:val="center"/>
              <w:rPr>
                <w:rFonts w:hAnsi="宋体" w:cs="宋体"/>
                <w:kern w:val="2"/>
                <w:sz w:val="24"/>
                <w:szCs w:val="24"/>
              </w:rPr>
            </w:pPr>
            <w:r>
              <w:rPr>
                <w:rFonts w:hint="eastAsia" w:hAnsi="宋体" w:cs="宋体"/>
                <w:kern w:val="2"/>
                <w:sz w:val="24"/>
                <w:szCs w:val="24"/>
              </w:rPr>
              <w:t>货物名称</w:t>
            </w:r>
          </w:p>
        </w:tc>
        <w:tc>
          <w:tcPr>
            <w:tcW w:w="1834" w:type="dxa"/>
            <w:vAlign w:val="center"/>
          </w:tcPr>
          <w:p>
            <w:pPr>
              <w:pStyle w:val="25"/>
              <w:spacing w:before="120" w:line="400" w:lineRule="exact"/>
              <w:jc w:val="center"/>
              <w:rPr>
                <w:rFonts w:hAnsi="宋体" w:cs="宋体"/>
                <w:kern w:val="2"/>
                <w:sz w:val="24"/>
                <w:szCs w:val="24"/>
              </w:rPr>
            </w:pPr>
            <w:r>
              <w:rPr>
                <w:rFonts w:hint="eastAsia" w:hAnsi="宋体" w:cs="宋体"/>
                <w:kern w:val="2"/>
                <w:sz w:val="24"/>
                <w:szCs w:val="24"/>
              </w:rPr>
              <w:t>技术要求</w:t>
            </w:r>
          </w:p>
        </w:tc>
        <w:tc>
          <w:tcPr>
            <w:tcW w:w="2181" w:type="dxa"/>
            <w:vAlign w:val="center"/>
          </w:tcPr>
          <w:p>
            <w:pPr>
              <w:pStyle w:val="25"/>
              <w:spacing w:before="120" w:line="400" w:lineRule="exact"/>
              <w:jc w:val="center"/>
              <w:rPr>
                <w:rFonts w:hAnsi="宋体" w:cs="宋体"/>
                <w:kern w:val="2"/>
                <w:sz w:val="24"/>
                <w:szCs w:val="24"/>
              </w:rPr>
            </w:pPr>
            <w:r>
              <w:rPr>
                <w:rFonts w:hint="eastAsia" w:hAnsi="宋体" w:cs="宋体"/>
                <w:kern w:val="2"/>
                <w:sz w:val="24"/>
                <w:szCs w:val="24"/>
              </w:rPr>
              <w:t>投标响应</w:t>
            </w:r>
          </w:p>
        </w:tc>
        <w:tc>
          <w:tcPr>
            <w:tcW w:w="1934" w:type="dxa"/>
            <w:vAlign w:val="center"/>
          </w:tcPr>
          <w:p>
            <w:pPr>
              <w:pStyle w:val="25"/>
              <w:spacing w:before="120" w:line="400" w:lineRule="exact"/>
              <w:jc w:val="center"/>
              <w:rPr>
                <w:rFonts w:hAnsi="宋体" w:cs="宋体"/>
                <w:kern w:val="2"/>
                <w:sz w:val="24"/>
                <w:szCs w:val="24"/>
              </w:rPr>
            </w:pPr>
            <w:r>
              <w:rPr>
                <w:rFonts w:hint="eastAsia" w:hAnsi="宋体" w:cs="宋体"/>
                <w:kern w:val="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before="120" w:line="600" w:lineRule="exact"/>
              <w:jc w:val="center"/>
              <w:rPr>
                <w:rFonts w:hAnsi="宋体" w:cs="宋体"/>
                <w:kern w:val="2"/>
                <w:sz w:val="24"/>
                <w:szCs w:val="24"/>
              </w:rPr>
            </w:pPr>
          </w:p>
        </w:tc>
        <w:tc>
          <w:tcPr>
            <w:tcW w:w="2143" w:type="dxa"/>
            <w:vAlign w:val="center"/>
          </w:tcPr>
          <w:p>
            <w:pPr>
              <w:pStyle w:val="25"/>
              <w:spacing w:before="120" w:line="600" w:lineRule="exact"/>
              <w:jc w:val="center"/>
              <w:rPr>
                <w:rFonts w:hAnsi="宋体" w:cs="宋体"/>
                <w:kern w:val="2"/>
                <w:sz w:val="24"/>
                <w:szCs w:val="24"/>
              </w:rPr>
            </w:pPr>
          </w:p>
        </w:tc>
        <w:tc>
          <w:tcPr>
            <w:tcW w:w="1834" w:type="dxa"/>
            <w:vAlign w:val="center"/>
          </w:tcPr>
          <w:p>
            <w:pPr>
              <w:pStyle w:val="25"/>
              <w:spacing w:before="120" w:line="600" w:lineRule="exact"/>
              <w:jc w:val="center"/>
              <w:rPr>
                <w:rFonts w:hAnsi="宋体" w:cs="宋体"/>
                <w:kern w:val="2"/>
                <w:sz w:val="24"/>
                <w:szCs w:val="24"/>
              </w:rPr>
            </w:pPr>
          </w:p>
        </w:tc>
        <w:tc>
          <w:tcPr>
            <w:tcW w:w="2181" w:type="dxa"/>
            <w:vAlign w:val="center"/>
          </w:tcPr>
          <w:p>
            <w:pPr>
              <w:pStyle w:val="25"/>
              <w:spacing w:before="120" w:line="600" w:lineRule="exact"/>
              <w:jc w:val="center"/>
              <w:rPr>
                <w:rFonts w:hAnsi="宋体" w:cs="宋体"/>
                <w:kern w:val="2"/>
                <w:sz w:val="24"/>
                <w:szCs w:val="24"/>
              </w:rPr>
            </w:pPr>
          </w:p>
        </w:tc>
        <w:tc>
          <w:tcPr>
            <w:tcW w:w="1934" w:type="dxa"/>
            <w:vAlign w:val="center"/>
          </w:tcPr>
          <w:p>
            <w:pPr>
              <w:pStyle w:val="25"/>
              <w:spacing w:before="120" w:line="600" w:lineRule="exact"/>
              <w:jc w:val="center"/>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before="120" w:line="600" w:lineRule="exact"/>
              <w:rPr>
                <w:rFonts w:hAnsi="宋体" w:cs="宋体"/>
                <w:kern w:val="2"/>
                <w:sz w:val="24"/>
                <w:szCs w:val="24"/>
              </w:rPr>
            </w:pPr>
          </w:p>
        </w:tc>
        <w:tc>
          <w:tcPr>
            <w:tcW w:w="2143" w:type="dxa"/>
          </w:tcPr>
          <w:p>
            <w:pPr>
              <w:pStyle w:val="25"/>
              <w:spacing w:before="120" w:line="600" w:lineRule="exact"/>
              <w:rPr>
                <w:rFonts w:hAnsi="宋体" w:cs="宋体"/>
                <w:kern w:val="2"/>
                <w:sz w:val="24"/>
                <w:szCs w:val="24"/>
              </w:rPr>
            </w:pPr>
          </w:p>
        </w:tc>
        <w:tc>
          <w:tcPr>
            <w:tcW w:w="1834" w:type="dxa"/>
          </w:tcPr>
          <w:p>
            <w:pPr>
              <w:pStyle w:val="25"/>
              <w:spacing w:before="120" w:line="600" w:lineRule="exact"/>
              <w:rPr>
                <w:rFonts w:hAnsi="宋体" w:cs="宋体"/>
                <w:kern w:val="2"/>
                <w:sz w:val="24"/>
                <w:szCs w:val="24"/>
              </w:rPr>
            </w:pPr>
          </w:p>
        </w:tc>
        <w:tc>
          <w:tcPr>
            <w:tcW w:w="2181" w:type="dxa"/>
          </w:tcPr>
          <w:p>
            <w:pPr>
              <w:pStyle w:val="25"/>
              <w:spacing w:before="120" w:line="600" w:lineRule="exact"/>
              <w:rPr>
                <w:rFonts w:hAnsi="宋体" w:cs="宋体"/>
                <w:kern w:val="2"/>
                <w:sz w:val="24"/>
                <w:szCs w:val="24"/>
              </w:rPr>
            </w:pPr>
          </w:p>
        </w:tc>
        <w:tc>
          <w:tcPr>
            <w:tcW w:w="1934" w:type="dxa"/>
          </w:tcPr>
          <w:p>
            <w:pPr>
              <w:pStyle w:val="25"/>
              <w:spacing w:before="120" w:line="600" w:lineRule="exact"/>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before="120" w:line="600" w:lineRule="exact"/>
              <w:rPr>
                <w:rFonts w:hAnsi="宋体" w:cs="宋体"/>
                <w:kern w:val="2"/>
                <w:sz w:val="24"/>
                <w:szCs w:val="24"/>
              </w:rPr>
            </w:pPr>
          </w:p>
        </w:tc>
        <w:tc>
          <w:tcPr>
            <w:tcW w:w="2143" w:type="dxa"/>
          </w:tcPr>
          <w:p>
            <w:pPr>
              <w:pStyle w:val="25"/>
              <w:spacing w:before="120" w:line="600" w:lineRule="exact"/>
              <w:rPr>
                <w:rFonts w:hAnsi="宋体" w:cs="宋体"/>
                <w:kern w:val="2"/>
                <w:sz w:val="24"/>
                <w:szCs w:val="24"/>
              </w:rPr>
            </w:pPr>
          </w:p>
        </w:tc>
        <w:tc>
          <w:tcPr>
            <w:tcW w:w="1834" w:type="dxa"/>
          </w:tcPr>
          <w:p>
            <w:pPr>
              <w:pStyle w:val="25"/>
              <w:spacing w:before="120" w:line="600" w:lineRule="exact"/>
              <w:rPr>
                <w:rFonts w:hAnsi="宋体" w:cs="宋体"/>
                <w:kern w:val="2"/>
                <w:sz w:val="24"/>
                <w:szCs w:val="24"/>
              </w:rPr>
            </w:pPr>
          </w:p>
        </w:tc>
        <w:tc>
          <w:tcPr>
            <w:tcW w:w="2181" w:type="dxa"/>
          </w:tcPr>
          <w:p>
            <w:pPr>
              <w:pStyle w:val="25"/>
              <w:spacing w:before="120" w:line="600" w:lineRule="exact"/>
              <w:rPr>
                <w:rFonts w:hAnsi="宋体" w:cs="宋体"/>
                <w:kern w:val="2"/>
                <w:sz w:val="24"/>
                <w:szCs w:val="24"/>
              </w:rPr>
            </w:pPr>
          </w:p>
        </w:tc>
        <w:tc>
          <w:tcPr>
            <w:tcW w:w="1934" w:type="dxa"/>
          </w:tcPr>
          <w:p>
            <w:pPr>
              <w:pStyle w:val="25"/>
              <w:spacing w:before="120" w:line="600" w:lineRule="exact"/>
              <w:rPr>
                <w:rFonts w:hAnsi="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5"/>
              <w:spacing w:before="120" w:line="600" w:lineRule="exact"/>
              <w:rPr>
                <w:rFonts w:hAnsi="宋体" w:cs="宋体"/>
                <w:kern w:val="2"/>
                <w:sz w:val="24"/>
                <w:szCs w:val="24"/>
              </w:rPr>
            </w:pPr>
          </w:p>
        </w:tc>
        <w:tc>
          <w:tcPr>
            <w:tcW w:w="2143" w:type="dxa"/>
          </w:tcPr>
          <w:p>
            <w:pPr>
              <w:pStyle w:val="25"/>
              <w:spacing w:before="120" w:line="600" w:lineRule="exact"/>
              <w:rPr>
                <w:rFonts w:hAnsi="宋体" w:cs="宋体"/>
                <w:kern w:val="2"/>
                <w:sz w:val="24"/>
                <w:szCs w:val="24"/>
              </w:rPr>
            </w:pPr>
          </w:p>
        </w:tc>
        <w:tc>
          <w:tcPr>
            <w:tcW w:w="1834" w:type="dxa"/>
          </w:tcPr>
          <w:p>
            <w:pPr>
              <w:pStyle w:val="25"/>
              <w:spacing w:before="120" w:line="600" w:lineRule="exact"/>
              <w:rPr>
                <w:rFonts w:hAnsi="宋体" w:cs="宋体"/>
                <w:kern w:val="2"/>
                <w:sz w:val="24"/>
                <w:szCs w:val="24"/>
              </w:rPr>
            </w:pPr>
          </w:p>
        </w:tc>
        <w:tc>
          <w:tcPr>
            <w:tcW w:w="2181" w:type="dxa"/>
          </w:tcPr>
          <w:p>
            <w:pPr>
              <w:pStyle w:val="25"/>
              <w:spacing w:before="120" w:line="600" w:lineRule="exact"/>
              <w:rPr>
                <w:rFonts w:hAnsi="宋体" w:cs="宋体"/>
                <w:kern w:val="2"/>
                <w:sz w:val="24"/>
                <w:szCs w:val="24"/>
              </w:rPr>
            </w:pPr>
          </w:p>
        </w:tc>
        <w:tc>
          <w:tcPr>
            <w:tcW w:w="1934" w:type="dxa"/>
          </w:tcPr>
          <w:p>
            <w:pPr>
              <w:pStyle w:val="25"/>
              <w:spacing w:before="120" w:line="600" w:lineRule="exact"/>
              <w:rPr>
                <w:rFonts w:hAnsi="宋体" w:cs="宋体"/>
                <w:kern w:val="2"/>
                <w:sz w:val="24"/>
                <w:szCs w:val="24"/>
              </w:rPr>
            </w:pPr>
          </w:p>
        </w:tc>
      </w:tr>
    </w:tbl>
    <w:p>
      <w:pPr>
        <w:pStyle w:val="19"/>
        <w:spacing w:before="120"/>
        <w:ind w:firstLine="480"/>
        <w:rPr>
          <w:rFonts w:ascii="楷体" w:hAnsi="楷体" w:eastAsia="楷体" w:cs="宋体"/>
        </w:rPr>
      </w:pPr>
      <w:r>
        <w:rPr>
          <w:rFonts w:hint="eastAsia" w:ascii="楷体" w:hAnsi="楷体" w:eastAsia="楷体" w:cs="宋体"/>
        </w:rPr>
        <w:t>【注】</w:t>
      </w:r>
    </w:p>
    <w:p>
      <w:pPr>
        <w:pStyle w:val="20"/>
        <w:spacing w:before="120" w:line="360" w:lineRule="auto"/>
        <w:ind w:firstLine="0" w:firstLineChars="0"/>
        <w:rPr>
          <w:rFonts w:ascii="楷体" w:hAnsi="楷体" w:eastAsia="楷体" w:cs="宋体"/>
          <w:szCs w:val="32"/>
        </w:rPr>
      </w:pPr>
      <w:r>
        <w:rPr>
          <w:rFonts w:ascii="楷体" w:hAnsi="楷体" w:eastAsia="楷体" w:cs="宋体"/>
          <w:sz w:val="24"/>
          <w:szCs w:val="24"/>
        </w:rPr>
        <w:t>1.</w:t>
      </w:r>
      <w:r>
        <w:rPr>
          <w:rFonts w:hint="eastAsia" w:ascii="楷体" w:hAnsi="楷体" w:eastAsia="楷体" w:cs="宋体"/>
          <w:sz w:val="24"/>
          <w:szCs w:val="24"/>
        </w:rPr>
        <w:t>说明：应对照招标文件“第二章</w:t>
      </w:r>
      <w:r>
        <w:rPr>
          <w:rFonts w:ascii="楷体" w:hAnsi="楷体" w:eastAsia="楷体" w:cs="宋体"/>
          <w:sz w:val="24"/>
          <w:szCs w:val="24"/>
        </w:rPr>
        <w:t xml:space="preserve"> </w:t>
      </w:r>
      <w:r>
        <w:rPr>
          <w:rFonts w:hint="eastAsia" w:ascii="楷体" w:hAnsi="楷体" w:eastAsia="楷体" w:cs="宋体"/>
          <w:sz w:val="24"/>
          <w:szCs w:val="24"/>
        </w:rPr>
        <w:t>采购需求”中的“技术要求”逐条作明确的投标响应，并作出偏离说明。</w:t>
      </w:r>
    </w:p>
    <w:p>
      <w:pPr>
        <w:pStyle w:val="19"/>
        <w:spacing w:before="120" w:line="360" w:lineRule="auto"/>
        <w:rPr>
          <w:rFonts w:ascii="楷体" w:hAnsi="楷体" w:eastAsia="楷体" w:cs="宋体"/>
          <w:b w:val="0"/>
          <w:bCs w:val="0"/>
        </w:rPr>
      </w:pPr>
      <w:r>
        <w:rPr>
          <w:rFonts w:ascii="楷体" w:hAnsi="楷体" w:eastAsia="楷体" w:cs="宋体"/>
          <w:b w:val="0"/>
          <w:bCs w:val="0"/>
        </w:rPr>
        <w:t>2.投标人根据投标货物的性能指标，对照招标文件技术要求，在“偏离说明”中注明“</w:t>
      </w:r>
      <w:r>
        <w:rPr>
          <w:rFonts w:hint="eastAsia" w:ascii="楷体" w:hAnsi="楷体" w:eastAsia="楷体" w:cs="宋体"/>
        </w:rPr>
        <w:t>正偏离</w:t>
      </w:r>
      <w:r>
        <w:rPr>
          <w:rFonts w:hint="eastAsia" w:ascii="楷体" w:hAnsi="楷体" w:eastAsia="楷体" w:cs="宋体"/>
          <w:b w:val="0"/>
          <w:bCs w:val="0"/>
        </w:rPr>
        <w:t>”、“</w:t>
      </w:r>
      <w:r>
        <w:rPr>
          <w:rFonts w:hint="eastAsia" w:ascii="楷体" w:hAnsi="楷体" w:eastAsia="楷体" w:cs="宋体"/>
        </w:rPr>
        <w:t>负偏离</w:t>
      </w:r>
      <w:r>
        <w:rPr>
          <w:rFonts w:hint="eastAsia" w:ascii="楷体" w:hAnsi="楷体" w:eastAsia="楷体" w:cs="宋体"/>
          <w:b w:val="0"/>
          <w:bCs w:val="0"/>
        </w:rPr>
        <w:t>”或者“</w:t>
      </w:r>
      <w:r>
        <w:rPr>
          <w:rFonts w:hint="eastAsia" w:ascii="楷体" w:hAnsi="楷体" w:eastAsia="楷体" w:cs="宋体"/>
        </w:rPr>
        <w:t>无偏离</w:t>
      </w:r>
      <w:r>
        <w:rPr>
          <w:rFonts w:hint="eastAsia" w:ascii="楷体" w:hAnsi="楷体" w:eastAsia="楷体" w:cs="宋体"/>
          <w:b w:val="0"/>
          <w:bCs w:val="0"/>
        </w:rPr>
        <w:t>”。既不属于“</w:t>
      </w:r>
      <w:r>
        <w:rPr>
          <w:rFonts w:hint="eastAsia" w:ascii="楷体" w:hAnsi="楷体" w:eastAsia="楷体" w:cs="宋体"/>
        </w:rPr>
        <w:t>正偏离</w:t>
      </w:r>
      <w:r>
        <w:rPr>
          <w:rFonts w:hint="eastAsia" w:ascii="楷体" w:hAnsi="楷体" w:eastAsia="楷体" w:cs="宋体"/>
          <w:b w:val="0"/>
          <w:bCs w:val="0"/>
        </w:rPr>
        <w:t>”也不属于“</w:t>
      </w:r>
      <w:r>
        <w:rPr>
          <w:rFonts w:hint="eastAsia" w:ascii="楷体" w:hAnsi="楷体" w:eastAsia="楷体" w:cs="宋体"/>
        </w:rPr>
        <w:t>负偏离</w:t>
      </w:r>
      <w:r>
        <w:rPr>
          <w:rFonts w:hint="eastAsia" w:ascii="楷体" w:hAnsi="楷体" w:eastAsia="楷体" w:cs="宋体"/>
          <w:b w:val="0"/>
          <w:bCs w:val="0"/>
        </w:rPr>
        <w:t>”即为“</w:t>
      </w:r>
      <w:r>
        <w:rPr>
          <w:rFonts w:hint="eastAsia" w:ascii="楷体" w:hAnsi="楷体" w:eastAsia="楷体" w:cs="宋体"/>
        </w:rPr>
        <w:t>无偏离</w:t>
      </w:r>
      <w:r>
        <w:rPr>
          <w:rFonts w:hint="eastAsia" w:ascii="楷体" w:hAnsi="楷体" w:eastAsia="楷体" w:cs="宋体"/>
          <w:b w:val="0"/>
          <w:bCs w:val="0"/>
        </w:rPr>
        <w:t>”。</w:t>
      </w:r>
    </w:p>
    <w:p>
      <w:pPr>
        <w:pStyle w:val="20"/>
        <w:spacing w:before="120" w:line="360" w:lineRule="auto"/>
        <w:ind w:firstLine="0" w:firstLineChars="0"/>
        <w:rPr>
          <w:rFonts w:ascii="楷体" w:hAnsi="楷体" w:eastAsia="楷体" w:cs="宋体"/>
          <w:sz w:val="24"/>
          <w:szCs w:val="24"/>
        </w:rPr>
      </w:pPr>
      <w:r>
        <w:rPr>
          <w:rFonts w:ascii="楷体" w:hAnsi="楷体" w:eastAsia="楷体" w:cs="宋体"/>
          <w:sz w:val="24"/>
          <w:szCs w:val="24"/>
        </w:rPr>
        <w:t>3.投标人认为其投标响应有正偏离的，请在技术要求偏离表中列明，且在投标文件中提供投标产品的彩页或国家认可的有资质的第三方检测机构出具的检测报告复印件或产品生产厂家出具的技术参数说明证明作为佐证，以上佐证材料均需加盖生产厂家或代理商（</w:t>
      </w:r>
      <w:r>
        <w:rPr>
          <w:rFonts w:hint="eastAsia" w:ascii="楷体" w:hAnsi="楷体" w:eastAsia="楷体" w:cs="宋体"/>
          <w:sz w:val="24"/>
          <w:szCs w:val="24"/>
        </w:rPr>
        <w:t>附生产厂家授权资料）公章。</w:t>
      </w:r>
    </w:p>
    <w:p>
      <w:pPr>
        <w:pStyle w:val="20"/>
        <w:spacing w:before="120" w:line="360" w:lineRule="auto"/>
        <w:ind w:firstLine="0" w:firstLineChars="0"/>
        <w:rPr>
          <w:rFonts w:ascii="楷体" w:hAnsi="楷体" w:eastAsia="楷体" w:cs="宋体"/>
          <w:sz w:val="24"/>
          <w:szCs w:val="24"/>
        </w:rPr>
      </w:pPr>
      <w:r>
        <w:rPr>
          <w:rFonts w:ascii="楷体" w:hAnsi="楷体" w:eastAsia="楷体" w:cs="宋体"/>
          <w:sz w:val="24"/>
          <w:szCs w:val="24"/>
        </w:rPr>
        <w:t xml:space="preserve">4. </w:t>
      </w:r>
      <w:r>
        <w:rPr>
          <w:rFonts w:hint="eastAsia" w:ascii="楷体" w:hAnsi="楷体" w:eastAsia="楷体" w:cs="宋体"/>
          <w:sz w:val="24"/>
          <w:szCs w:val="24"/>
        </w:rPr>
        <w:t>如技术要求偏离表中的投标响应与佐证材料不一致的，以佐证材料为准。</w:t>
      </w:r>
    </w:p>
    <w:p>
      <w:pPr>
        <w:snapToGrid w:val="0"/>
        <w:spacing w:before="120" w:after="50" w:line="360" w:lineRule="auto"/>
        <w:rPr>
          <w:rFonts w:ascii="宋体" w:hAnsi="宋体" w:cs="宋体"/>
          <w:sz w:val="24"/>
        </w:rPr>
      </w:pPr>
    </w:p>
    <w:p>
      <w:pPr>
        <w:snapToGrid w:val="0"/>
        <w:spacing w:before="120" w:after="50" w:line="360" w:lineRule="auto"/>
        <w:rPr>
          <w:rFonts w:ascii="宋体" w:hAnsi="宋体" w:cs="宋体"/>
          <w:spacing w:val="20"/>
          <w:sz w:val="24"/>
          <w:u w:val="single"/>
        </w:rPr>
      </w:pPr>
      <w:r>
        <w:rPr>
          <w:rFonts w:hint="eastAsia" w:ascii="宋体" w:hAnsi="宋体" w:cs="宋体"/>
          <w:sz w:val="24"/>
        </w:rPr>
        <w:t>法定代表人或者委托代理人</w:t>
      </w:r>
      <w:r>
        <w:rPr>
          <w:rFonts w:hint="eastAsia" w:ascii="宋体" w:hAnsi="宋体" w:cs="宋体"/>
          <w:spacing w:val="20"/>
          <w:sz w:val="24"/>
        </w:rPr>
        <w:t>（签字）：</w:t>
      </w:r>
      <w:r>
        <w:rPr>
          <w:rFonts w:hint="eastAsia" w:ascii="宋体" w:hAnsi="宋体" w:cs="宋体"/>
          <w:spacing w:val="20"/>
          <w:sz w:val="24"/>
          <w:u w:val="single"/>
        </w:rPr>
        <w:t xml:space="preserve">        </w:t>
      </w:r>
    </w:p>
    <w:p>
      <w:pPr>
        <w:snapToGrid w:val="0"/>
        <w:spacing w:before="120" w:after="50" w:line="360" w:lineRule="auto"/>
        <w:ind w:firstLine="562"/>
        <w:rPr>
          <w:rFonts w:ascii="宋体" w:hAnsi="宋体" w:cs="宋体"/>
          <w:spacing w:val="20"/>
          <w:sz w:val="24"/>
          <w:u w:val="single"/>
        </w:rPr>
      </w:pPr>
      <w:r>
        <w:rPr>
          <w:rFonts w:hint="eastAsia" w:ascii="宋体" w:hAnsi="宋体" w:cs="宋体"/>
          <w:spacing w:val="20"/>
          <w:sz w:val="24"/>
        </w:rPr>
        <w:t>投标人（公章）：</w:t>
      </w:r>
      <w:r>
        <w:rPr>
          <w:rFonts w:hint="eastAsia" w:ascii="宋体" w:hAnsi="宋体" w:cs="宋体"/>
          <w:spacing w:val="20"/>
          <w:sz w:val="24"/>
          <w:u w:val="single"/>
        </w:rPr>
        <w:t xml:space="preserve">            </w:t>
      </w:r>
      <w:r>
        <w:rPr>
          <w:rFonts w:hint="eastAsia" w:ascii="宋体" w:hAnsi="宋体" w:cs="宋体"/>
          <w:spacing w:val="20"/>
          <w:sz w:val="24"/>
        </w:rPr>
        <w:t xml:space="preserve">              日 期：</w:t>
      </w:r>
      <w:r>
        <w:rPr>
          <w:rFonts w:hint="eastAsia" w:ascii="宋体" w:hAnsi="宋体" w:cs="宋体"/>
          <w:spacing w:val="20"/>
          <w:sz w:val="24"/>
          <w:u w:val="single"/>
        </w:rPr>
        <w:t xml:space="preserve">        </w:t>
      </w:r>
    </w:p>
    <w:p>
      <w:pPr>
        <w:snapToGrid w:val="0"/>
        <w:spacing w:before="120" w:after="50" w:line="360" w:lineRule="auto"/>
        <w:rPr>
          <w:rFonts w:ascii="宋体" w:hAnsi="宋体" w:cs="宋体"/>
          <w:sz w:val="24"/>
          <w:szCs w:val="20"/>
        </w:rPr>
      </w:pPr>
    </w:p>
    <w:p>
      <w:pPr>
        <w:snapToGrid w:val="0"/>
        <w:spacing w:before="120" w:beforeLines="50" w:after="50"/>
        <w:ind w:left="142" w:firstLine="480"/>
        <w:jc w:val="left"/>
        <w:rPr>
          <w:rFonts w:ascii="宋体" w:hAnsi="宋体" w:cs="宋体"/>
          <w:b/>
          <w:sz w:val="24"/>
        </w:rPr>
      </w:pPr>
      <w:r>
        <w:rPr>
          <w:rFonts w:hint="eastAsia" w:ascii="宋体" w:hAnsi="宋体" w:cs="宋体"/>
          <w:b/>
          <w:sz w:val="24"/>
        </w:rPr>
        <w:br w:type="page"/>
      </w:r>
      <w:r>
        <w:rPr>
          <w:rFonts w:hint="eastAsia" w:ascii="宋体" w:hAnsi="宋体" w:cs="宋体"/>
          <w:b/>
          <w:sz w:val="24"/>
        </w:rPr>
        <w:t>5. 项目实施人员一览表格式</w:t>
      </w:r>
    </w:p>
    <w:p>
      <w:pPr>
        <w:snapToGrid w:val="0"/>
        <w:spacing w:before="120" w:beforeLines="50" w:after="50"/>
        <w:ind w:left="142" w:firstLine="480"/>
        <w:jc w:val="left"/>
        <w:rPr>
          <w:rFonts w:ascii="宋体" w:hAnsi="宋体" w:cs="宋体"/>
          <w:b/>
          <w:sz w:val="24"/>
        </w:rPr>
      </w:pPr>
    </w:p>
    <w:p>
      <w:pPr>
        <w:snapToGrid w:val="0"/>
        <w:spacing w:before="120" w:beforeLines="50" w:after="50"/>
        <w:ind w:left="142" w:firstLine="640"/>
        <w:jc w:val="center"/>
        <w:rPr>
          <w:rFonts w:ascii="宋体" w:hAnsi="宋体" w:cs="宋体"/>
          <w:b/>
          <w:sz w:val="32"/>
          <w:szCs w:val="32"/>
        </w:rPr>
      </w:pPr>
      <w:r>
        <w:rPr>
          <w:rFonts w:hint="eastAsia" w:ascii="宋体" w:hAnsi="宋体" w:cs="宋体"/>
          <w:b/>
          <w:sz w:val="32"/>
          <w:szCs w:val="32"/>
        </w:rPr>
        <w:t>项目实施人员一览表</w:t>
      </w:r>
    </w:p>
    <w:p>
      <w:pPr>
        <w:pStyle w:val="25"/>
        <w:spacing w:before="120"/>
        <w:rPr>
          <w:rFonts w:hAnsi="宋体" w:cs="宋体"/>
          <w:sz w:val="24"/>
          <w:szCs w:val="24"/>
        </w:rPr>
      </w:pPr>
      <w:r>
        <w:rPr>
          <w:rFonts w:hint="eastAsia" w:hAnsi="宋体" w:cs="宋体"/>
          <w:sz w:val="24"/>
          <w:szCs w:val="24"/>
        </w:rPr>
        <w:t>所投分标：</w:t>
      </w:r>
      <w:r>
        <w:rPr>
          <w:rFonts w:hint="eastAsia" w:hAnsi="宋体" w:cs="宋体"/>
          <w:sz w:val="24"/>
          <w:szCs w:val="24"/>
          <w:u w:val="single"/>
        </w:rPr>
        <w:t xml:space="preserve">     </w:t>
      </w:r>
      <w:r>
        <w:rPr>
          <w:rFonts w:hint="eastAsia" w:hAnsi="宋体" w:cs="宋体"/>
          <w:sz w:val="24"/>
          <w:szCs w:val="24"/>
        </w:rPr>
        <w:t>分标</w:t>
      </w:r>
    </w:p>
    <w:tbl>
      <w:tblPr>
        <w:tblStyle w:val="4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20" w:after="120" w:afterLines="50"/>
              <w:jc w:val="center"/>
              <w:rPr>
                <w:rFonts w:ascii="宋体" w:hAnsi="宋体" w:cs="宋体"/>
                <w:sz w:val="24"/>
                <w:szCs w:val="20"/>
              </w:rPr>
            </w:pPr>
            <w:r>
              <w:rPr>
                <w:rFonts w:hint="eastAsia" w:ascii="宋体" w:hAnsi="宋体" w:cs="宋体"/>
                <w:sz w:val="24"/>
                <w:szCs w:val="20"/>
              </w:rPr>
              <w:t>姓名</w:t>
            </w:r>
          </w:p>
        </w:tc>
        <w:tc>
          <w:tcPr>
            <w:tcW w:w="709" w:type="dxa"/>
            <w:vAlign w:val="center"/>
          </w:tcPr>
          <w:p>
            <w:pPr>
              <w:snapToGrid w:val="0"/>
              <w:spacing w:before="120" w:after="120" w:afterLines="50"/>
              <w:jc w:val="center"/>
              <w:rPr>
                <w:rFonts w:ascii="宋体" w:hAnsi="宋体" w:cs="宋体"/>
                <w:sz w:val="24"/>
                <w:szCs w:val="20"/>
              </w:rPr>
            </w:pPr>
            <w:r>
              <w:rPr>
                <w:rFonts w:hint="eastAsia" w:ascii="宋体" w:hAnsi="宋体" w:cs="宋体"/>
                <w:sz w:val="24"/>
                <w:szCs w:val="20"/>
              </w:rPr>
              <w:t>职务</w:t>
            </w:r>
          </w:p>
        </w:tc>
        <w:tc>
          <w:tcPr>
            <w:tcW w:w="1701" w:type="dxa"/>
            <w:vAlign w:val="center"/>
          </w:tcPr>
          <w:p>
            <w:pPr>
              <w:snapToGrid w:val="0"/>
              <w:spacing w:before="120" w:after="120" w:afterLines="50"/>
              <w:jc w:val="center"/>
              <w:rPr>
                <w:rFonts w:ascii="宋体" w:hAnsi="宋体" w:cs="宋体"/>
                <w:sz w:val="24"/>
                <w:szCs w:val="20"/>
              </w:rPr>
            </w:pPr>
            <w:r>
              <w:rPr>
                <w:rFonts w:hint="eastAsia" w:ascii="宋体" w:hAnsi="宋体" w:cs="宋体"/>
                <w:sz w:val="24"/>
                <w:szCs w:val="20"/>
              </w:rPr>
              <w:t>专业技术资格（职称）或者职业资格或者执业资格证或者其他证书</w:t>
            </w:r>
          </w:p>
        </w:tc>
        <w:tc>
          <w:tcPr>
            <w:tcW w:w="1420" w:type="dxa"/>
            <w:vAlign w:val="center"/>
          </w:tcPr>
          <w:p>
            <w:pPr>
              <w:snapToGrid w:val="0"/>
              <w:spacing w:before="120" w:after="120" w:afterLines="50"/>
              <w:jc w:val="center"/>
              <w:rPr>
                <w:rFonts w:ascii="宋体" w:hAnsi="宋体" w:cs="宋体"/>
                <w:sz w:val="24"/>
                <w:szCs w:val="20"/>
              </w:rPr>
            </w:pPr>
            <w:r>
              <w:rPr>
                <w:rFonts w:hint="eastAsia" w:ascii="宋体" w:hAnsi="宋体" w:cs="宋体"/>
                <w:sz w:val="24"/>
                <w:szCs w:val="20"/>
              </w:rPr>
              <w:t>证书编号</w:t>
            </w:r>
          </w:p>
        </w:tc>
        <w:tc>
          <w:tcPr>
            <w:tcW w:w="1698" w:type="dxa"/>
            <w:vAlign w:val="center"/>
          </w:tcPr>
          <w:p>
            <w:pPr>
              <w:snapToGrid w:val="0"/>
              <w:spacing w:before="120" w:after="120" w:afterLines="50"/>
              <w:jc w:val="center"/>
              <w:rPr>
                <w:rFonts w:ascii="宋体" w:hAnsi="宋体" w:cs="宋体"/>
                <w:sz w:val="24"/>
                <w:szCs w:val="20"/>
              </w:rPr>
            </w:pPr>
            <w:r>
              <w:rPr>
                <w:rFonts w:hint="eastAsia" w:ascii="宋体" w:hAnsi="宋体" w:cs="宋体"/>
                <w:sz w:val="24"/>
                <w:szCs w:val="20"/>
              </w:rPr>
              <w:t>参加本单位</w:t>
            </w:r>
          </w:p>
          <w:p>
            <w:pPr>
              <w:snapToGrid w:val="0"/>
              <w:spacing w:before="120" w:after="120" w:afterLines="50"/>
              <w:jc w:val="center"/>
              <w:rPr>
                <w:rFonts w:ascii="宋体" w:hAnsi="宋体" w:cs="宋体"/>
                <w:sz w:val="24"/>
                <w:szCs w:val="20"/>
              </w:rPr>
            </w:pPr>
            <w:r>
              <w:rPr>
                <w:rFonts w:hint="eastAsia" w:ascii="宋体" w:hAnsi="宋体" w:cs="宋体"/>
                <w:sz w:val="24"/>
                <w:szCs w:val="20"/>
              </w:rPr>
              <w:t>工作时间</w:t>
            </w:r>
          </w:p>
        </w:tc>
        <w:tc>
          <w:tcPr>
            <w:tcW w:w="1843" w:type="dxa"/>
            <w:vAlign w:val="center"/>
          </w:tcPr>
          <w:p>
            <w:pPr>
              <w:snapToGrid w:val="0"/>
              <w:spacing w:before="120" w:after="120" w:afterLines="50"/>
              <w:jc w:val="center"/>
              <w:rPr>
                <w:rFonts w:ascii="宋体" w:hAnsi="宋体" w:cs="宋体"/>
                <w:sz w:val="24"/>
                <w:szCs w:val="20"/>
              </w:rPr>
            </w:pPr>
            <w:r>
              <w:rPr>
                <w:rFonts w:hint="eastAsia" w:ascii="宋体" w:hAnsi="宋体" w:cs="宋体"/>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20" w:after="120" w:afterLines="50"/>
              <w:jc w:val="center"/>
              <w:rPr>
                <w:rFonts w:ascii="宋体" w:hAnsi="宋体" w:cs="宋体"/>
                <w:sz w:val="24"/>
                <w:szCs w:val="20"/>
              </w:rPr>
            </w:pPr>
          </w:p>
        </w:tc>
        <w:tc>
          <w:tcPr>
            <w:tcW w:w="709" w:type="dxa"/>
            <w:vAlign w:val="center"/>
          </w:tcPr>
          <w:p>
            <w:pPr>
              <w:snapToGrid w:val="0"/>
              <w:spacing w:before="120" w:after="120" w:afterLines="50"/>
              <w:jc w:val="center"/>
              <w:rPr>
                <w:rFonts w:ascii="宋体" w:hAnsi="宋体" w:cs="宋体"/>
                <w:sz w:val="24"/>
                <w:szCs w:val="20"/>
              </w:rPr>
            </w:pPr>
          </w:p>
        </w:tc>
        <w:tc>
          <w:tcPr>
            <w:tcW w:w="1701" w:type="dxa"/>
            <w:vAlign w:val="center"/>
          </w:tcPr>
          <w:p>
            <w:pPr>
              <w:snapToGrid w:val="0"/>
              <w:spacing w:before="120" w:after="120" w:afterLines="50"/>
              <w:jc w:val="center"/>
              <w:rPr>
                <w:rFonts w:ascii="宋体" w:hAnsi="宋体" w:cs="宋体"/>
                <w:sz w:val="24"/>
                <w:szCs w:val="20"/>
              </w:rPr>
            </w:pPr>
          </w:p>
        </w:tc>
        <w:tc>
          <w:tcPr>
            <w:tcW w:w="1420" w:type="dxa"/>
            <w:vAlign w:val="center"/>
          </w:tcPr>
          <w:p>
            <w:pPr>
              <w:snapToGrid w:val="0"/>
              <w:spacing w:before="120" w:after="120" w:afterLines="50"/>
              <w:jc w:val="center"/>
              <w:rPr>
                <w:rFonts w:ascii="宋体" w:hAnsi="宋体" w:cs="宋体"/>
                <w:sz w:val="24"/>
                <w:szCs w:val="20"/>
              </w:rPr>
            </w:pPr>
          </w:p>
        </w:tc>
        <w:tc>
          <w:tcPr>
            <w:tcW w:w="1698" w:type="dxa"/>
            <w:vAlign w:val="center"/>
          </w:tcPr>
          <w:p>
            <w:pPr>
              <w:snapToGrid w:val="0"/>
              <w:spacing w:before="120" w:after="120" w:afterLines="50"/>
              <w:jc w:val="center"/>
              <w:rPr>
                <w:rFonts w:ascii="宋体" w:hAnsi="宋体" w:cs="宋体"/>
                <w:sz w:val="24"/>
                <w:szCs w:val="20"/>
              </w:rPr>
            </w:pPr>
          </w:p>
        </w:tc>
        <w:tc>
          <w:tcPr>
            <w:tcW w:w="1843" w:type="dxa"/>
            <w:vAlign w:val="center"/>
          </w:tcPr>
          <w:p>
            <w:pPr>
              <w:snapToGrid w:val="0"/>
              <w:spacing w:before="120" w:after="120" w:afterLines="50"/>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20" w:after="120" w:afterLines="50"/>
              <w:jc w:val="center"/>
              <w:rPr>
                <w:rFonts w:ascii="宋体" w:hAnsi="宋体" w:cs="宋体"/>
                <w:sz w:val="24"/>
                <w:szCs w:val="20"/>
              </w:rPr>
            </w:pPr>
          </w:p>
        </w:tc>
        <w:tc>
          <w:tcPr>
            <w:tcW w:w="709" w:type="dxa"/>
            <w:vAlign w:val="center"/>
          </w:tcPr>
          <w:p>
            <w:pPr>
              <w:snapToGrid w:val="0"/>
              <w:spacing w:before="120" w:after="120" w:afterLines="50"/>
              <w:jc w:val="center"/>
              <w:rPr>
                <w:rFonts w:ascii="宋体" w:hAnsi="宋体" w:cs="宋体"/>
                <w:sz w:val="24"/>
                <w:szCs w:val="20"/>
              </w:rPr>
            </w:pPr>
          </w:p>
        </w:tc>
        <w:tc>
          <w:tcPr>
            <w:tcW w:w="1701" w:type="dxa"/>
            <w:vAlign w:val="center"/>
          </w:tcPr>
          <w:p>
            <w:pPr>
              <w:snapToGrid w:val="0"/>
              <w:spacing w:before="120" w:after="120" w:afterLines="50"/>
              <w:jc w:val="center"/>
              <w:rPr>
                <w:rFonts w:ascii="宋体" w:hAnsi="宋体" w:cs="宋体"/>
                <w:sz w:val="24"/>
                <w:szCs w:val="20"/>
              </w:rPr>
            </w:pPr>
          </w:p>
        </w:tc>
        <w:tc>
          <w:tcPr>
            <w:tcW w:w="1420" w:type="dxa"/>
            <w:vAlign w:val="center"/>
          </w:tcPr>
          <w:p>
            <w:pPr>
              <w:snapToGrid w:val="0"/>
              <w:spacing w:before="120" w:after="120" w:afterLines="50"/>
              <w:jc w:val="center"/>
              <w:rPr>
                <w:rFonts w:ascii="宋体" w:hAnsi="宋体" w:cs="宋体"/>
                <w:sz w:val="24"/>
                <w:szCs w:val="20"/>
              </w:rPr>
            </w:pPr>
          </w:p>
        </w:tc>
        <w:tc>
          <w:tcPr>
            <w:tcW w:w="1698" w:type="dxa"/>
            <w:vAlign w:val="center"/>
          </w:tcPr>
          <w:p>
            <w:pPr>
              <w:snapToGrid w:val="0"/>
              <w:spacing w:before="120" w:after="120" w:afterLines="50"/>
              <w:jc w:val="center"/>
              <w:rPr>
                <w:rFonts w:ascii="宋体" w:hAnsi="宋体" w:cs="宋体"/>
                <w:sz w:val="24"/>
                <w:szCs w:val="20"/>
              </w:rPr>
            </w:pPr>
          </w:p>
        </w:tc>
        <w:tc>
          <w:tcPr>
            <w:tcW w:w="1843" w:type="dxa"/>
            <w:vAlign w:val="center"/>
          </w:tcPr>
          <w:p>
            <w:pPr>
              <w:snapToGrid w:val="0"/>
              <w:spacing w:before="120" w:after="120" w:afterLines="50"/>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120" w:after="120" w:afterLines="50"/>
              <w:jc w:val="center"/>
              <w:rPr>
                <w:rFonts w:ascii="宋体" w:hAnsi="宋体" w:cs="宋体"/>
                <w:sz w:val="24"/>
                <w:szCs w:val="20"/>
              </w:rPr>
            </w:pPr>
          </w:p>
        </w:tc>
        <w:tc>
          <w:tcPr>
            <w:tcW w:w="709" w:type="dxa"/>
            <w:vAlign w:val="center"/>
          </w:tcPr>
          <w:p>
            <w:pPr>
              <w:snapToGrid w:val="0"/>
              <w:spacing w:before="120" w:after="120" w:afterLines="50"/>
              <w:jc w:val="center"/>
              <w:rPr>
                <w:rFonts w:ascii="宋体" w:hAnsi="宋体" w:cs="宋体"/>
                <w:sz w:val="24"/>
                <w:szCs w:val="20"/>
              </w:rPr>
            </w:pPr>
          </w:p>
        </w:tc>
        <w:tc>
          <w:tcPr>
            <w:tcW w:w="1701" w:type="dxa"/>
            <w:vAlign w:val="center"/>
          </w:tcPr>
          <w:p>
            <w:pPr>
              <w:snapToGrid w:val="0"/>
              <w:spacing w:before="120" w:after="120" w:afterLines="50"/>
              <w:jc w:val="center"/>
              <w:rPr>
                <w:rFonts w:ascii="宋体" w:hAnsi="宋体" w:cs="宋体"/>
                <w:sz w:val="24"/>
                <w:szCs w:val="20"/>
              </w:rPr>
            </w:pPr>
          </w:p>
        </w:tc>
        <w:tc>
          <w:tcPr>
            <w:tcW w:w="1420" w:type="dxa"/>
            <w:vAlign w:val="center"/>
          </w:tcPr>
          <w:p>
            <w:pPr>
              <w:snapToGrid w:val="0"/>
              <w:spacing w:before="120" w:after="120" w:afterLines="50"/>
              <w:jc w:val="center"/>
              <w:rPr>
                <w:rFonts w:ascii="宋体" w:hAnsi="宋体" w:cs="宋体"/>
                <w:sz w:val="24"/>
                <w:szCs w:val="20"/>
              </w:rPr>
            </w:pPr>
          </w:p>
        </w:tc>
        <w:tc>
          <w:tcPr>
            <w:tcW w:w="1698" w:type="dxa"/>
            <w:vAlign w:val="center"/>
          </w:tcPr>
          <w:p>
            <w:pPr>
              <w:snapToGrid w:val="0"/>
              <w:spacing w:before="120" w:after="120" w:afterLines="50"/>
              <w:jc w:val="center"/>
              <w:rPr>
                <w:rFonts w:ascii="宋体" w:hAnsi="宋体" w:cs="宋体"/>
                <w:sz w:val="24"/>
                <w:szCs w:val="20"/>
              </w:rPr>
            </w:pPr>
          </w:p>
        </w:tc>
        <w:tc>
          <w:tcPr>
            <w:tcW w:w="1843" w:type="dxa"/>
            <w:vAlign w:val="center"/>
          </w:tcPr>
          <w:p>
            <w:pPr>
              <w:snapToGrid w:val="0"/>
              <w:spacing w:before="120" w:after="120" w:afterLines="50"/>
              <w:jc w:val="center"/>
              <w:rPr>
                <w:rFonts w:ascii="宋体" w:hAnsi="宋体" w:cs="宋体"/>
                <w:sz w:val="24"/>
                <w:szCs w:val="20"/>
              </w:rPr>
            </w:pPr>
          </w:p>
        </w:tc>
      </w:tr>
    </w:tbl>
    <w:p>
      <w:pPr>
        <w:snapToGrid w:val="0"/>
        <w:spacing w:before="120" w:after="120" w:afterLines="50"/>
        <w:jc w:val="left"/>
        <w:rPr>
          <w:rFonts w:ascii="宋体" w:hAnsi="宋体" w:cs="宋体"/>
          <w:sz w:val="24"/>
          <w:szCs w:val="20"/>
        </w:rPr>
      </w:pPr>
    </w:p>
    <w:p>
      <w:pPr>
        <w:spacing w:before="120" w:line="360" w:lineRule="auto"/>
        <w:contextualSpacing/>
        <w:jc w:val="left"/>
        <w:rPr>
          <w:rFonts w:ascii="楷体" w:hAnsi="楷体" w:eastAsia="楷体" w:cs="宋体"/>
          <w:sz w:val="24"/>
          <w:szCs w:val="20"/>
        </w:rPr>
      </w:pPr>
      <w:r>
        <w:rPr>
          <w:rFonts w:hint="eastAsia" w:ascii="楷体" w:hAnsi="楷体" w:eastAsia="楷体" w:cs="宋体"/>
          <w:sz w:val="24"/>
          <w:szCs w:val="20"/>
        </w:rPr>
        <w:t>【</w:t>
      </w:r>
      <w:r>
        <w:rPr>
          <w:rFonts w:hint="eastAsia" w:ascii="楷体" w:hAnsi="楷体" w:eastAsia="楷体" w:cs="宋体"/>
          <w:b/>
          <w:sz w:val="24"/>
          <w:szCs w:val="20"/>
        </w:rPr>
        <w:t>注</w:t>
      </w:r>
      <w:r>
        <w:rPr>
          <w:rFonts w:hint="eastAsia" w:ascii="楷体" w:hAnsi="楷体" w:eastAsia="楷体" w:cs="宋体"/>
          <w:sz w:val="24"/>
          <w:szCs w:val="20"/>
        </w:rPr>
        <w:t>】</w:t>
      </w:r>
    </w:p>
    <w:p>
      <w:pPr>
        <w:spacing w:before="120" w:line="360" w:lineRule="auto"/>
        <w:contextualSpacing/>
        <w:jc w:val="left"/>
        <w:rPr>
          <w:rFonts w:ascii="楷体" w:hAnsi="楷体" w:eastAsia="楷体" w:cs="宋体"/>
          <w:sz w:val="24"/>
          <w:szCs w:val="20"/>
        </w:rPr>
      </w:pPr>
      <w:r>
        <w:rPr>
          <w:rFonts w:ascii="楷体" w:hAnsi="楷体" w:eastAsia="楷体" w:cs="宋体"/>
          <w:sz w:val="24"/>
          <w:szCs w:val="20"/>
        </w:rPr>
        <w:t>1.在填写时，如本表格不适合投标单位的实际情况，可根据本表格式自行制表填写。</w:t>
      </w:r>
    </w:p>
    <w:p>
      <w:pPr>
        <w:spacing w:before="120" w:line="360" w:lineRule="auto"/>
        <w:contextualSpacing/>
        <w:jc w:val="left"/>
        <w:rPr>
          <w:rFonts w:ascii="楷体" w:hAnsi="楷体" w:eastAsia="楷体" w:cs="宋体"/>
          <w:sz w:val="24"/>
          <w:szCs w:val="20"/>
        </w:rPr>
      </w:pPr>
      <w:r>
        <w:rPr>
          <w:rFonts w:ascii="楷体" w:hAnsi="楷体" w:eastAsia="楷体" w:cs="宋体"/>
          <w:sz w:val="24"/>
          <w:szCs w:val="20"/>
        </w:rPr>
        <w:t>2.投标人应当附本表所</w:t>
      </w:r>
      <w:r>
        <w:rPr>
          <w:rFonts w:hint="eastAsia" w:ascii="楷体" w:hAnsi="楷体" w:eastAsia="楷体" w:cs="宋体"/>
          <w:sz w:val="24"/>
          <w:szCs w:val="20"/>
        </w:rPr>
        <w:t>列证书的复印件并加盖投标人公章。</w:t>
      </w:r>
    </w:p>
    <w:p>
      <w:pPr>
        <w:pStyle w:val="56"/>
        <w:spacing w:before="120"/>
        <w:ind w:firstLine="480"/>
        <w:rPr>
          <w:rFonts w:ascii="宋体" w:hAnsi="宋体" w:cs="宋体"/>
          <w:sz w:val="24"/>
          <w:szCs w:val="20"/>
        </w:rPr>
      </w:pPr>
    </w:p>
    <w:p>
      <w:pPr>
        <w:spacing w:before="120" w:line="360" w:lineRule="auto"/>
        <w:contextualSpacing/>
        <w:rPr>
          <w:rFonts w:ascii="宋体" w:hAnsi="宋体" w:cs="宋体"/>
          <w:spacing w:val="20"/>
          <w:sz w:val="24"/>
          <w:szCs w:val="20"/>
          <w:u w:val="single"/>
        </w:rPr>
      </w:pPr>
      <w:r>
        <w:rPr>
          <w:rFonts w:hint="eastAsia" w:ascii="宋体" w:hAnsi="宋体" w:cs="宋体"/>
          <w:sz w:val="24"/>
        </w:rPr>
        <w:t>法定代表人或者委托代理人</w:t>
      </w:r>
      <w:r>
        <w:rPr>
          <w:rFonts w:hint="eastAsia" w:ascii="宋体" w:hAnsi="宋体" w:cs="宋体"/>
          <w:spacing w:val="20"/>
          <w:sz w:val="24"/>
        </w:rPr>
        <w:t>（签字）：</w:t>
      </w:r>
      <w:r>
        <w:rPr>
          <w:rFonts w:hint="eastAsia" w:ascii="宋体" w:hAnsi="宋体" w:cs="宋体"/>
          <w:spacing w:val="20"/>
          <w:sz w:val="24"/>
          <w:u w:val="single"/>
        </w:rPr>
        <w:t xml:space="preserve">        </w:t>
      </w:r>
    </w:p>
    <w:p>
      <w:pPr>
        <w:spacing w:before="120" w:line="360" w:lineRule="auto"/>
        <w:ind w:firstLine="562"/>
        <w:contextualSpacing/>
        <w:jc w:val="left"/>
        <w:rPr>
          <w:rFonts w:ascii="宋体" w:hAnsi="宋体" w:cs="宋体"/>
          <w:spacing w:val="20"/>
          <w:sz w:val="24"/>
        </w:rPr>
      </w:pPr>
      <w:r>
        <w:rPr>
          <w:rFonts w:hint="eastAsia" w:ascii="宋体" w:hAnsi="宋体" w:cs="宋体"/>
          <w:spacing w:val="20"/>
          <w:sz w:val="24"/>
        </w:rPr>
        <w:t>投标人（公章）：</w:t>
      </w:r>
      <w:r>
        <w:rPr>
          <w:rFonts w:hint="eastAsia" w:ascii="宋体" w:hAnsi="宋体" w:cs="宋体"/>
          <w:spacing w:val="20"/>
          <w:sz w:val="24"/>
          <w:u w:val="single"/>
        </w:rPr>
        <w:t xml:space="preserve">            </w:t>
      </w:r>
      <w:r>
        <w:rPr>
          <w:rFonts w:hint="eastAsia" w:ascii="宋体" w:hAnsi="宋体" w:cs="宋体"/>
          <w:spacing w:val="20"/>
          <w:sz w:val="24"/>
        </w:rPr>
        <w:t xml:space="preserve">              </w:t>
      </w:r>
    </w:p>
    <w:p>
      <w:pPr>
        <w:spacing w:before="120" w:line="360" w:lineRule="auto"/>
        <w:ind w:firstLine="562"/>
        <w:contextualSpacing/>
        <w:jc w:val="left"/>
        <w:rPr>
          <w:rFonts w:ascii="宋体" w:hAnsi="宋体" w:cs="宋体"/>
          <w:sz w:val="24"/>
          <w:szCs w:val="20"/>
        </w:rPr>
      </w:pPr>
      <w:r>
        <w:rPr>
          <w:rFonts w:hint="eastAsia" w:ascii="宋体" w:hAnsi="宋体" w:cs="宋体"/>
          <w:spacing w:val="20"/>
          <w:sz w:val="24"/>
        </w:rPr>
        <w:t>日 期：</w:t>
      </w:r>
      <w:r>
        <w:rPr>
          <w:rFonts w:hint="eastAsia" w:ascii="宋体" w:hAnsi="宋体" w:cs="宋体"/>
          <w:spacing w:val="20"/>
          <w:sz w:val="24"/>
          <w:u w:val="single"/>
        </w:rPr>
        <w:t xml:space="preserve">         </w:t>
      </w:r>
    </w:p>
    <w:p>
      <w:pPr>
        <w:snapToGrid w:val="0"/>
        <w:spacing w:before="120" w:after="120" w:afterLines="50"/>
        <w:jc w:val="left"/>
        <w:rPr>
          <w:rFonts w:ascii="宋体" w:hAnsi="宋体" w:cs="宋体"/>
          <w:sz w:val="24"/>
          <w:szCs w:val="20"/>
        </w:rPr>
      </w:pPr>
    </w:p>
    <w:p>
      <w:pPr>
        <w:snapToGrid w:val="0"/>
        <w:spacing w:before="120" w:beforeLines="50" w:after="50"/>
        <w:ind w:left="142" w:firstLine="480"/>
        <w:jc w:val="left"/>
        <w:rPr>
          <w:rFonts w:ascii="宋体" w:hAnsi="宋体" w:cs="宋体"/>
          <w:b/>
          <w:sz w:val="24"/>
        </w:rPr>
      </w:pPr>
      <w:r>
        <w:rPr>
          <w:rFonts w:hint="eastAsia" w:ascii="宋体" w:hAnsi="宋体" w:cs="宋体"/>
          <w:b/>
          <w:sz w:val="24"/>
        </w:rPr>
        <w:br w:type="page"/>
      </w:r>
      <w:r>
        <w:rPr>
          <w:rFonts w:hint="eastAsia" w:ascii="宋体" w:hAnsi="宋体" w:cs="宋体"/>
          <w:b/>
          <w:sz w:val="24"/>
        </w:rPr>
        <w:t>6. 选配件、专用耗材、售后服务优惠表格式（注：按项目需求表具体项目修改）</w:t>
      </w:r>
    </w:p>
    <w:p>
      <w:pPr>
        <w:snapToGrid w:val="0"/>
        <w:spacing w:before="120" w:beforeLines="50" w:after="50"/>
        <w:ind w:left="142" w:firstLine="480"/>
        <w:jc w:val="left"/>
        <w:rPr>
          <w:rFonts w:ascii="宋体" w:hAnsi="宋体" w:cs="宋体"/>
          <w:b/>
          <w:sz w:val="24"/>
        </w:rPr>
      </w:pPr>
    </w:p>
    <w:p>
      <w:pPr>
        <w:snapToGrid w:val="0"/>
        <w:spacing w:before="120" w:beforeLines="50" w:after="50"/>
        <w:ind w:left="142" w:firstLine="640"/>
        <w:jc w:val="center"/>
        <w:rPr>
          <w:rFonts w:ascii="宋体" w:hAnsi="宋体" w:cs="宋体"/>
          <w:b/>
          <w:sz w:val="32"/>
          <w:szCs w:val="32"/>
        </w:rPr>
      </w:pPr>
      <w:r>
        <w:rPr>
          <w:rFonts w:hint="eastAsia" w:ascii="宋体" w:hAnsi="宋体" w:cs="宋体"/>
          <w:b/>
          <w:sz w:val="32"/>
          <w:szCs w:val="32"/>
        </w:rPr>
        <w:t>选配件、专用耗材、售后服务优惠表</w:t>
      </w:r>
    </w:p>
    <w:p>
      <w:pPr>
        <w:pStyle w:val="25"/>
        <w:spacing w:before="120"/>
        <w:rPr>
          <w:rFonts w:hAnsi="宋体" w:cs="宋体"/>
          <w:sz w:val="24"/>
          <w:szCs w:val="24"/>
        </w:rPr>
      </w:pPr>
    </w:p>
    <w:p>
      <w:pPr>
        <w:pStyle w:val="25"/>
        <w:spacing w:before="120"/>
        <w:rPr>
          <w:rFonts w:hAnsi="宋体" w:cs="宋体"/>
          <w:sz w:val="24"/>
          <w:szCs w:val="24"/>
        </w:rPr>
      </w:pPr>
      <w:r>
        <w:rPr>
          <w:rFonts w:hint="eastAsia" w:hAnsi="宋体" w:cs="宋体"/>
          <w:sz w:val="24"/>
          <w:szCs w:val="24"/>
        </w:rPr>
        <w:t>所投分标：</w:t>
      </w:r>
      <w:r>
        <w:rPr>
          <w:rFonts w:hint="eastAsia" w:hAnsi="宋体" w:cs="宋体"/>
          <w:sz w:val="24"/>
          <w:szCs w:val="24"/>
          <w:u w:val="single"/>
        </w:rPr>
        <w:t xml:space="preserve">     </w:t>
      </w:r>
      <w:r>
        <w:rPr>
          <w:rFonts w:hint="eastAsia" w:hAnsi="宋体" w:cs="宋体"/>
          <w:sz w:val="24"/>
          <w:szCs w:val="24"/>
        </w:rPr>
        <w:t>分标</w:t>
      </w:r>
    </w:p>
    <w:tbl>
      <w:tblPr>
        <w:tblStyle w:val="47"/>
        <w:tblW w:w="86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1</w:t>
            </w:r>
          </w:p>
        </w:tc>
        <w:tc>
          <w:tcPr>
            <w:tcW w:w="2700" w:type="dxa"/>
            <w:tcBorders>
              <w:top w:val="single" w:color="auto" w:sz="2" w:space="0"/>
              <w:left w:val="single" w:color="auto" w:sz="2" w:space="0"/>
              <w:bottom w:val="single" w:color="auto" w:sz="6" w:space="0"/>
              <w:right w:val="single" w:color="auto" w:sz="4" w:space="0"/>
            </w:tcBorders>
            <w:vAlign w:val="center"/>
          </w:tcPr>
          <w:p>
            <w:pPr>
              <w:pStyle w:val="25"/>
              <w:snapToGrid w:val="0"/>
              <w:spacing w:before="120" w:after="295"/>
              <w:jc w:val="center"/>
              <w:rPr>
                <w:rFonts w:hAnsi="宋体" w:cs="宋体"/>
                <w:kern w:val="2"/>
                <w:sz w:val="24"/>
                <w:szCs w:val="24"/>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25"/>
              <w:snapToGrid w:val="0"/>
              <w:spacing w:before="120" w:after="295"/>
              <w:jc w:val="center"/>
              <w:rPr>
                <w:rFonts w:hAnsi="宋体" w:cs="宋体"/>
                <w:kern w:val="2"/>
                <w:sz w:val="24"/>
                <w:szCs w:val="24"/>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5"/>
              <w:snapToGrid w:val="0"/>
              <w:spacing w:before="120" w:after="295"/>
              <w:jc w:val="center"/>
              <w:rPr>
                <w:rFonts w:hAnsi="宋体" w:cs="宋体"/>
                <w:kern w:val="2"/>
                <w:sz w:val="24"/>
                <w:szCs w:val="24"/>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 xml:space="preserve"> </w:t>
            </w:r>
            <w:r>
              <w:rPr>
                <w:rFonts w:hint="eastAsia" w:hAnsi="宋体" w:cs="宋体"/>
                <w:kern w:val="2"/>
                <w:sz w:val="24"/>
                <w:szCs w:val="24"/>
                <w:u w:val="single"/>
              </w:rPr>
              <w:t xml:space="preserve">           </w:t>
            </w:r>
            <w:r>
              <w:rPr>
                <w:rFonts w:hint="eastAsia"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2</w:t>
            </w:r>
          </w:p>
        </w:tc>
        <w:tc>
          <w:tcPr>
            <w:tcW w:w="2700" w:type="dxa"/>
            <w:tcBorders>
              <w:top w:val="single" w:color="auto" w:sz="6" w:space="0"/>
              <w:left w:val="single" w:color="auto" w:sz="2" w:space="0"/>
              <w:bottom w:val="single" w:color="auto" w:sz="6" w:space="0"/>
              <w:right w:val="single" w:color="auto" w:sz="4" w:space="0"/>
            </w:tcBorders>
            <w:vAlign w:val="center"/>
          </w:tcPr>
          <w:p>
            <w:pPr>
              <w:pStyle w:val="25"/>
              <w:snapToGrid w:val="0"/>
              <w:spacing w:before="120" w:after="295"/>
              <w:jc w:val="center"/>
              <w:rPr>
                <w:rFonts w:hAnsi="宋体" w:cs="宋体"/>
                <w:kern w:val="2"/>
                <w:sz w:val="24"/>
                <w:szCs w:val="24"/>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5"/>
              <w:snapToGrid w:val="0"/>
              <w:spacing w:before="120" w:after="295"/>
              <w:jc w:val="center"/>
              <w:rPr>
                <w:rFonts w:hAnsi="宋体" w:cs="宋体"/>
                <w:kern w:val="2"/>
                <w:sz w:val="24"/>
                <w:szCs w:val="24"/>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5"/>
              <w:snapToGrid w:val="0"/>
              <w:spacing w:before="120" w:after="295"/>
              <w:jc w:val="center"/>
              <w:rPr>
                <w:rFonts w:hAnsi="宋体" w:cs="宋体"/>
                <w:kern w:val="2"/>
                <w:sz w:val="24"/>
                <w:szCs w:val="24"/>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 xml:space="preserve"> </w:t>
            </w:r>
            <w:r>
              <w:rPr>
                <w:rFonts w:hint="eastAsia" w:hAnsi="宋体" w:cs="宋体"/>
                <w:kern w:val="2"/>
                <w:sz w:val="24"/>
                <w:szCs w:val="24"/>
                <w:u w:val="single"/>
              </w:rPr>
              <w:t xml:space="preserve">           </w:t>
            </w:r>
            <w:r>
              <w:rPr>
                <w:rFonts w:hint="eastAsia"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3</w:t>
            </w:r>
          </w:p>
        </w:tc>
        <w:tc>
          <w:tcPr>
            <w:tcW w:w="2700" w:type="dxa"/>
            <w:tcBorders>
              <w:top w:val="single" w:color="auto" w:sz="6" w:space="0"/>
              <w:left w:val="single" w:color="auto" w:sz="2" w:space="0"/>
              <w:bottom w:val="single" w:color="auto" w:sz="6" w:space="0"/>
              <w:right w:val="single" w:color="auto" w:sz="4" w:space="0"/>
            </w:tcBorders>
            <w:vAlign w:val="center"/>
          </w:tcPr>
          <w:p>
            <w:pPr>
              <w:pStyle w:val="25"/>
              <w:snapToGrid w:val="0"/>
              <w:spacing w:before="120" w:after="295"/>
              <w:jc w:val="center"/>
              <w:rPr>
                <w:rFonts w:hAnsi="宋体" w:cs="宋体"/>
                <w:kern w:val="2"/>
                <w:sz w:val="24"/>
                <w:szCs w:val="24"/>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5"/>
              <w:snapToGrid w:val="0"/>
              <w:spacing w:before="120" w:after="295"/>
              <w:jc w:val="center"/>
              <w:rPr>
                <w:rFonts w:hAnsi="宋体" w:cs="宋体"/>
                <w:kern w:val="2"/>
                <w:sz w:val="24"/>
                <w:szCs w:val="24"/>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5"/>
              <w:snapToGrid w:val="0"/>
              <w:spacing w:before="120" w:after="295"/>
              <w:jc w:val="center"/>
              <w:rPr>
                <w:rFonts w:hAnsi="宋体" w:cs="宋体"/>
                <w:kern w:val="2"/>
                <w:sz w:val="24"/>
                <w:szCs w:val="24"/>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5"/>
              <w:snapToGrid w:val="0"/>
              <w:spacing w:before="120" w:after="295"/>
              <w:jc w:val="center"/>
              <w:rPr>
                <w:rFonts w:hAnsi="宋体" w:cs="宋体"/>
                <w:kern w:val="2"/>
                <w:sz w:val="24"/>
                <w:szCs w:val="24"/>
              </w:rPr>
            </w:pPr>
            <w:r>
              <w:rPr>
                <w:rFonts w:hint="eastAsia" w:hAnsi="宋体" w:cs="宋体"/>
                <w:kern w:val="2"/>
                <w:sz w:val="24"/>
                <w:szCs w:val="24"/>
              </w:rPr>
              <w:t xml:space="preserve"> </w:t>
            </w:r>
            <w:r>
              <w:rPr>
                <w:rFonts w:hint="eastAsia" w:hAnsi="宋体" w:cs="宋体"/>
                <w:kern w:val="2"/>
                <w:sz w:val="24"/>
                <w:szCs w:val="24"/>
                <w:u w:val="single"/>
              </w:rPr>
              <w:t xml:space="preserve">           </w:t>
            </w:r>
            <w:r>
              <w:rPr>
                <w:rFonts w:hint="eastAsia" w:hAnsi="宋体" w:cs="宋体"/>
                <w:kern w:val="2"/>
                <w:sz w:val="24"/>
                <w:szCs w:val="24"/>
              </w:rPr>
              <w:t>%</w:t>
            </w:r>
          </w:p>
        </w:tc>
      </w:tr>
    </w:tbl>
    <w:p>
      <w:pPr>
        <w:spacing w:before="120" w:line="360" w:lineRule="auto"/>
        <w:contextualSpacing/>
        <w:rPr>
          <w:rFonts w:ascii="宋体" w:hAnsi="宋体" w:cs="宋体"/>
          <w:sz w:val="24"/>
        </w:rPr>
      </w:pPr>
    </w:p>
    <w:p>
      <w:pPr>
        <w:spacing w:before="120" w:line="360" w:lineRule="auto"/>
        <w:contextualSpacing/>
        <w:rPr>
          <w:rFonts w:ascii="宋体" w:hAnsi="宋体" w:cs="宋体"/>
          <w:spacing w:val="20"/>
          <w:sz w:val="24"/>
          <w:u w:val="single"/>
        </w:rPr>
      </w:pPr>
      <w:r>
        <w:rPr>
          <w:rFonts w:hint="eastAsia" w:ascii="宋体" w:hAnsi="宋体" w:cs="宋体"/>
          <w:sz w:val="24"/>
        </w:rPr>
        <w:t>法定代表人或者委托代理人</w:t>
      </w:r>
      <w:r>
        <w:rPr>
          <w:rFonts w:hint="eastAsia" w:ascii="宋体" w:hAnsi="宋体" w:cs="宋体"/>
          <w:spacing w:val="20"/>
          <w:sz w:val="24"/>
        </w:rPr>
        <w:t>（签字）：</w:t>
      </w:r>
      <w:r>
        <w:rPr>
          <w:rFonts w:hint="eastAsia" w:ascii="宋体" w:hAnsi="宋体" w:cs="宋体"/>
          <w:spacing w:val="20"/>
          <w:sz w:val="24"/>
          <w:u w:val="single"/>
        </w:rPr>
        <w:t xml:space="preserve">        </w:t>
      </w:r>
    </w:p>
    <w:p>
      <w:pPr>
        <w:spacing w:before="120" w:line="360" w:lineRule="auto"/>
        <w:ind w:firstLine="562"/>
        <w:contextualSpacing/>
        <w:rPr>
          <w:rFonts w:ascii="宋体" w:hAnsi="宋体" w:cs="宋体"/>
          <w:spacing w:val="20"/>
          <w:sz w:val="24"/>
        </w:rPr>
      </w:pPr>
      <w:r>
        <w:rPr>
          <w:rFonts w:hint="eastAsia" w:ascii="宋体" w:hAnsi="宋体" w:cs="宋体"/>
          <w:spacing w:val="20"/>
          <w:sz w:val="24"/>
        </w:rPr>
        <w:t>投标人（公章）：</w:t>
      </w:r>
      <w:r>
        <w:rPr>
          <w:rFonts w:hint="eastAsia" w:ascii="宋体" w:hAnsi="宋体" w:cs="宋体"/>
          <w:spacing w:val="20"/>
          <w:sz w:val="24"/>
          <w:u w:val="single"/>
        </w:rPr>
        <w:t xml:space="preserve">            </w:t>
      </w:r>
      <w:r>
        <w:rPr>
          <w:rFonts w:hint="eastAsia" w:ascii="宋体" w:hAnsi="宋体" w:cs="宋体"/>
          <w:spacing w:val="20"/>
          <w:sz w:val="24"/>
        </w:rPr>
        <w:t xml:space="preserve">              </w:t>
      </w:r>
    </w:p>
    <w:p>
      <w:pPr>
        <w:spacing w:before="120" w:line="360" w:lineRule="auto"/>
        <w:ind w:firstLine="562"/>
        <w:contextualSpacing/>
        <w:rPr>
          <w:rFonts w:ascii="宋体" w:hAnsi="宋体" w:cs="宋体"/>
          <w:sz w:val="24"/>
          <w:szCs w:val="20"/>
        </w:rPr>
      </w:pPr>
      <w:r>
        <w:rPr>
          <w:rFonts w:hint="eastAsia" w:ascii="宋体" w:hAnsi="宋体" w:cs="宋体"/>
          <w:spacing w:val="20"/>
          <w:sz w:val="24"/>
        </w:rPr>
        <w:t>日 期：</w:t>
      </w:r>
      <w:r>
        <w:rPr>
          <w:rFonts w:hint="eastAsia" w:ascii="宋体" w:hAnsi="宋体" w:cs="宋体"/>
          <w:spacing w:val="20"/>
          <w:sz w:val="24"/>
          <w:u w:val="single"/>
        </w:rPr>
        <w:t xml:space="preserve">            </w:t>
      </w:r>
    </w:p>
    <w:p>
      <w:pPr>
        <w:snapToGrid w:val="0"/>
        <w:spacing w:before="120" w:after="120" w:afterLines="50"/>
        <w:jc w:val="left"/>
        <w:rPr>
          <w:rFonts w:ascii="宋体" w:hAnsi="宋体" w:cs="宋体"/>
          <w:sz w:val="24"/>
          <w:szCs w:val="20"/>
        </w:rPr>
      </w:pPr>
    </w:p>
    <w:p>
      <w:pPr>
        <w:spacing w:before="120"/>
        <w:ind w:firstLine="480"/>
        <w:rPr>
          <w:rFonts w:ascii="宋体" w:hAnsi="宋体" w:cs="宋体"/>
          <w:b/>
          <w:sz w:val="28"/>
          <w:szCs w:val="28"/>
        </w:rPr>
      </w:pPr>
      <w:r>
        <w:rPr>
          <w:rFonts w:hint="eastAsia" w:ascii="宋体" w:hAnsi="宋体" w:cs="宋体"/>
          <w:b/>
          <w:bCs/>
          <w:sz w:val="24"/>
        </w:rPr>
        <w:br w:type="page"/>
      </w:r>
      <w:r>
        <w:rPr>
          <w:rFonts w:hint="eastAsia" w:ascii="宋体" w:hAnsi="宋体" w:cs="宋体"/>
          <w:b/>
          <w:sz w:val="28"/>
          <w:szCs w:val="28"/>
        </w:rPr>
        <w:t>五、其他文书、文件格式</w:t>
      </w:r>
    </w:p>
    <w:p>
      <w:pPr>
        <w:snapToGrid w:val="0"/>
        <w:spacing w:before="120" w:beforeLines="50" w:after="50"/>
        <w:ind w:left="142" w:firstLine="560"/>
        <w:jc w:val="left"/>
        <w:rPr>
          <w:rFonts w:ascii="宋体" w:hAnsi="宋体" w:cs="宋体"/>
          <w:b/>
          <w:spacing w:val="20"/>
          <w:sz w:val="24"/>
        </w:rPr>
      </w:pPr>
      <w:r>
        <w:rPr>
          <w:rFonts w:hint="eastAsia" w:ascii="宋体" w:hAnsi="宋体" w:cs="宋体"/>
          <w:b/>
          <w:spacing w:val="20"/>
          <w:sz w:val="24"/>
        </w:rPr>
        <w:t>1.联合投标协议书格式</w:t>
      </w:r>
    </w:p>
    <w:p>
      <w:pPr>
        <w:snapToGrid w:val="0"/>
        <w:spacing w:before="120" w:beforeLines="50" w:after="50"/>
        <w:ind w:left="142" w:firstLine="560"/>
        <w:jc w:val="left"/>
        <w:rPr>
          <w:rFonts w:ascii="宋体" w:hAnsi="宋体" w:cs="宋体"/>
          <w:b/>
          <w:spacing w:val="20"/>
          <w:sz w:val="24"/>
        </w:rPr>
      </w:pPr>
    </w:p>
    <w:p>
      <w:pPr>
        <w:pStyle w:val="9"/>
        <w:overflowPunct w:val="0"/>
        <w:spacing w:before="120"/>
        <w:ind w:firstLine="883"/>
        <w:jc w:val="center"/>
        <w:rPr>
          <w:rFonts w:ascii="宋体" w:hAnsi="宋体" w:cs="宋体"/>
          <w:sz w:val="44"/>
          <w:szCs w:val="44"/>
        </w:rPr>
      </w:pPr>
      <w:r>
        <w:rPr>
          <w:rFonts w:hint="eastAsia" w:ascii="宋体" w:hAnsi="宋体" w:cs="宋体"/>
          <w:sz w:val="44"/>
          <w:szCs w:val="44"/>
        </w:rPr>
        <w:t>联合体协议书</w:t>
      </w:r>
    </w:p>
    <w:p>
      <w:pPr>
        <w:pStyle w:val="9"/>
        <w:overflowPunct w:val="0"/>
        <w:spacing w:before="120"/>
        <w:ind w:firstLine="482"/>
        <w:rPr>
          <w:rFonts w:ascii="宋体" w:hAnsi="宋体" w:cs="宋体"/>
          <w:sz w:val="24"/>
        </w:rPr>
      </w:pPr>
    </w:p>
    <w:p>
      <w:pPr>
        <w:pStyle w:val="9"/>
        <w:overflowPunct w:val="0"/>
        <w:spacing w:before="120" w:line="360" w:lineRule="auto"/>
        <w:ind w:firstLine="482"/>
        <w:contextualSpacing/>
        <w:rPr>
          <w:rFonts w:ascii="宋体" w:hAnsi="宋体" w:cs="宋体"/>
          <w:sz w:val="24"/>
        </w:rPr>
      </w:pP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（所有成员单位名称）自愿组成</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（联合体名称）联合体，共同参加</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（项</w:t>
      </w:r>
      <w:r>
        <w:rPr>
          <w:rFonts w:hint="eastAsia" w:ascii="宋体" w:hAnsi="宋体" w:cs="宋体"/>
          <w:sz w:val="24"/>
        </w:rPr>
        <w:t>目名称）采购招标项目投标。现就联合体投标事宜订立如下协议。</w:t>
      </w: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 xml:space="preserve">1.  </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（某成员单位名称）为</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（联合体名称）牵头人。</w:t>
      </w: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2.联合体各成员授权牵头人代表联合体参加投标活动，签署文件及对文件的盖章，提交和接收相关的资料、 信息及指示，进行合同谈判活动，负责合同实施阶段的组织和协调工作，以及处理与本招标项 目有关的一切事宜。</w:t>
      </w: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3.联合体牵头人在本项目中签署和盖章的一切文件和处理的一切事宜，联合体各成员均予以承认。 联合体各成员将严格按照招标文件、投标文件和合同的要求全面履行义务，并向甲方承担连带责任。</w:t>
      </w: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4.联合体各成员单位内部的职责分工如下：</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w:t>
      </w: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5.本协议书自所有成员单位法定代表人或者其委托代理人签字或者盖公章之日起生效，合同履行完毕后自动失效。</w:t>
      </w: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6.本协议书一式</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份，联合体成员和甲方各执壹份。</w:t>
      </w:r>
    </w:p>
    <w:p>
      <w:pPr>
        <w:pStyle w:val="9"/>
        <w:overflowPunct w:val="0"/>
        <w:spacing w:before="120" w:line="360" w:lineRule="auto"/>
        <w:ind w:firstLineChars="175"/>
        <w:contextualSpacing/>
        <w:rPr>
          <w:rFonts w:ascii="楷体" w:hAnsi="楷体" w:eastAsia="楷体" w:cs="宋体"/>
          <w:sz w:val="24"/>
        </w:rPr>
      </w:pPr>
      <w:r>
        <w:rPr>
          <w:rFonts w:hint="eastAsia" w:ascii="楷体" w:hAnsi="楷体" w:eastAsia="楷体" w:cs="宋体"/>
          <w:sz w:val="24"/>
        </w:rPr>
        <w:t>【</w:t>
      </w:r>
      <w:r>
        <w:rPr>
          <w:rFonts w:hint="eastAsia" w:ascii="楷体" w:hAnsi="楷体" w:eastAsia="楷体" w:cs="宋体"/>
          <w:b/>
          <w:sz w:val="24"/>
        </w:rPr>
        <w:t>注</w:t>
      </w:r>
      <w:r>
        <w:rPr>
          <w:rFonts w:hint="eastAsia" w:ascii="楷体" w:hAnsi="楷体" w:eastAsia="楷体" w:cs="宋体"/>
          <w:sz w:val="24"/>
        </w:rPr>
        <w:t>】本协议书由法定代表人签字的，应附法定代表人身份证明；由委托代理人签字的，应附授权委托书。</w:t>
      </w:r>
    </w:p>
    <w:p>
      <w:pPr>
        <w:pStyle w:val="9"/>
        <w:overflowPunct w:val="0"/>
        <w:spacing w:before="120" w:line="360" w:lineRule="auto"/>
        <w:ind w:firstLineChars="175"/>
        <w:contextualSpacing/>
        <w:rPr>
          <w:rFonts w:ascii="宋体" w:hAnsi="宋体" w:cs="宋体"/>
          <w:sz w:val="24"/>
        </w:rPr>
      </w:pP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联合体牵头人名称（公章）：</w:t>
      </w: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 xml:space="preserve">法定代表人或者其委托代理人： </w:t>
      </w:r>
      <w:r>
        <w:rPr>
          <w:rFonts w:hint="eastAsia" w:ascii="宋体" w:hAnsi="宋体" w:cs="宋体"/>
          <w:sz w:val="24"/>
        </w:rPr>
        <w:tab/>
      </w:r>
      <w:r>
        <w:rPr>
          <w:rFonts w:hint="eastAsia" w:ascii="宋体" w:hAnsi="宋体" w:cs="宋体"/>
          <w:sz w:val="24"/>
        </w:rPr>
        <w:t>（签字）</w:t>
      </w:r>
    </w:p>
    <w:p>
      <w:pPr>
        <w:pStyle w:val="9"/>
        <w:overflowPunct w:val="0"/>
        <w:spacing w:before="120" w:line="360" w:lineRule="auto"/>
        <w:ind w:firstLineChars="175"/>
        <w:contextualSpacing/>
        <w:rPr>
          <w:rFonts w:ascii="宋体" w:hAnsi="宋体" w:cs="宋体"/>
          <w:sz w:val="24"/>
        </w:rPr>
      </w:pP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联合体成员名称（公章）：</w:t>
      </w: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 xml:space="preserve">法定代表人或者其委托代理人： </w:t>
      </w:r>
      <w:r>
        <w:rPr>
          <w:rFonts w:hint="eastAsia" w:ascii="宋体" w:hAnsi="宋体" w:cs="宋体"/>
          <w:sz w:val="24"/>
        </w:rPr>
        <w:tab/>
      </w:r>
      <w:r>
        <w:rPr>
          <w:rFonts w:hint="eastAsia" w:ascii="宋体" w:hAnsi="宋体" w:cs="宋体"/>
          <w:sz w:val="24"/>
        </w:rPr>
        <w:t>（签字）</w:t>
      </w:r>
    </w:p>
    <w:p>
      <w:pPr>
        <w:pStyle w:val="9"/>
        <w:overflowPunct w:val="0"/>
        <w:spacing w:before="120" w:line="360" w:lineRule="auto"/>
        <w:ind w:firstLineChars="175"/>
        <w:contextualSpacing/>
        <w:rPr>
          <w:rFonts w:ascii="宋体" w:hAnsi="宋体" w:cs="宋体"/>
          <w:sz w:val="24"/>
        </w:rPr>
      </w:pPr>
      <w:r>
        <w:rPr>
          <w:rFonts w:hint="eastAsia" w:ascii="宋体" w:hAnsi="宋体" w:cs="宋体"/>
          <w:sz w:val="24"/>
        </w:rPr>
        <w:t>……</w:t>
      </w:r>
    </w:p>
    <w:p>
      <w:pPr>
        <w:pStyle w:val="9"/>
        <w:overflowPunct w:val="0"/>
        <w:spacing w:before="120" w:line="360" w:lineRule="auto"/>
        <w:ind w:firstLineChars="175"/>
        <w:contextualSpacing/>
        <w:rPr>
          <w:rFonts w:ascii="宋体" w:hAnsi="宋体" w:cs="宋体"/>
          <w:sz w:val="24"/>
        </w:rPr>
      </w:pPr>
    </w:p>
    <w:p>
      <w:pPr>
        <w:pStyle w:val="9"/>
        <w:overflowPunct w:val="0"/>
        <w:spacing w:before="120" w:line="360" w:lineRule="auto"/>
        <w:ind w:firstLineChars="175"/>
        <w:contextualSpacing/>
        <w:rPr>
          <w:rFonts w:ascii="宋体" w:hAnsi="宋体" w:cs="宋体"/>
          <w:b/>
          <w:sz w:val="24"/>
        </w:rPr>
      </w:pPr>
      <w:r>
        <w:rPr>
          <w:rFonts w:hint="eastAsia" w:ascii="宋体" w:hAnsi="宋体" w:cs="宋体"/>
          <w:sz w:val="24"/>
        </w:rPr>
        <w:t xml:space="preserve">日 期： </w:t>
      </w:r>
      <w:r>
        <w:rPr>
          <w:rFonts w:ascii="宋体" w:hAnsi="宋体" w:cs="宋体"/>
          <w:sz w:val="24"/>
        </w:rPr>
        <w:t xml:space="preserve">  </w:t>
      </w:r>
      <w:r>
        <w:rPr>
          <w:rFonts w:hint="eastAsia" w:ascii="宋体" w:hAnsi="宋体" w:cs="宋体"/>
          <w:sz w:val="24"/>
        </w:rPr>
        <w:t xml:space="preserve">年 </w:t>
      </w:r>
      <w:r>
        <w:rPr>
          <w:rFonts w:ascii="宋体" w:hAnsi="宋体" w:cs="宋体"/>
          <w:sz w:val="24"/>
        </w:rPr>
        <w:t xml:space="preserve"> </w:t>
      </w:r>
      <w:r>
        <w:rPr>
          <w:rFonts w:hint="eastAsia" w:ascii="宋体" w:hAnsi="宋体" w:cs="宋体"/>
          <w:sz w:val="24"/>
        </w:rPr>
        <w:t xml:space="preserve">月 </w:t>
      </w:r>
      <w:r>
        <w:rPr>
          <w:rFonts w:ascii="宋体" w:hAnsi="宋体" w:cs="宋体"/>
          <w:sz w:val="24"/>
        </w:rPr>
        <w:t xml:space="preserve"> </w:t>
      </w:r>
      <w:r>
        <w:rPr>
          <w:rFonts w:hint="eastAsia" w:ascii="宋体" w:hAnsi="宋体" w:cs="宋体"/>
          <w:sz w:val="24"/>
        </w:rPr>
        <w:t>日</w:t>
      </w:r>
    </w:p>
    <w:p>
      <w:pPr>
        <w:snapToGrid w:val="0"/>
        <w:spacing w:before="120" w:beforeLines="50" w:after="50"/>
        <w:ind w:firstLine="480"/>
        <w:jc w:val="left"/>
        <w:rPr>
          <w:rFonts w:ascii="宋体" w:hAnsi="宋体" w:cs="宋体"/>
        </w:rPr>
      </w:pPr>
      <w:r>
        <w:rPr>
          <w:rFonts w:hint="eastAsia" w:ascii="宋体" w:hAnsi="宋体" w:cs="宋体"/>
          <w:b/>
          <w:sz w:val="24"/>
        </w:rPr>
        <w:br w:type="page"/>
      </w:r>
      <w:r>
        <w:rPr>
          <w:rFonts w:hint="eastAsia" w:ascii="宋体" w:hAnsi="宋体" w:cs="宋体"/>
          <w:b/>
          <w:sz w:val="24"/>
        </w:rPr>
        <w:t xml:space="preserve"> 2.中小企业声明函格式</w:t>
      </w:r>
    </w:p>
    <w:p>
      <w:pPr>
        <w:spacing w:before="120"/>
        <w:ind w:firstLine="482"/>
        <w:rPr>
          <w:rFonts w:ascii="宋体" w:hAnsi="宋体" w:cs="宋体"/>
        </w:rPr>
      </w:pPr>
    </w:p>
    <w:p>
      <w:pPr>
        <w:spacing w:before="120"/>
        <w:ind w:firstLine="883"/>
        <w:jc w:val="center"/>
        <w:rPr>
          <w:rFonts w:ascii="宋体" w:hAnsi="宋体" w:cs="宋体"/>
          <w:sz w:val="44"/>
          <w:szCs w:val="44"/>
        </w:rPr>
      </w:pPr>
      <w:r>
        <w:rPr>
          <w:rFonts w:hint="eastAsia" w:ascii="宋体" w:hAnsi="宋体" w:cs="宋体"/>
          <w:sz w:val="44"/>
          <w:szCs w:val="44"/>
        </w:rPr>
        <w:t>中小企业声明函（货物）</w:t>
      </w:r>
    </w:p>
    <w:p>
      <w:pPr>
        <w:spacing w:before="120" w:line="500" w:lineRule="exact"/>
        <w:ind w:firstLine="540"/>
        <w:rPr>
          <w:rFonts w:ascii="宋体" w:hAnsi="宋体" w:cs="宋体"/>
          <w:b/>
          <w:bCs/>
          <w:sz w:val="27"/>
          <w:szCs w:val="27"/>
        </w:rPr>
      </w:pPr>
    </w:p>
    <w:p>
      <w:pPr>
        <w:pStyle w:val="3"/>
      </w:pPr>
      <w:r>
        <w:rPr>
          <w:rFonts w:hint="eastAsia"/>
        </w:rPr>
        <w:t>本公司（联合体）郑重声明，根据《政府采购促进中小企业发展管理办法》（财库﹝2020﹞46号）的规定，本公司（联合体）参加</w:t>
      </w:r>
      <w:r>
        <w:rPr>
          <w:rFonts w:hint="eastAsia"/>
          <w:u w:val="single"/>
        </w:rPr>
        <w:t>（单位名称）</w:t>
      </w:r>
      <w:r>
        <w:rPr>
          <w:rFonts w:hint="eastAsia"/>
        </w:rPr>
        <w:t>的</w:t>
      </w:r>
      <w:r>
        <w:rPr>
          <w:rFonts w:hint="eastAsia"/>
          <w:u w:val="single"/>
        </w:rPr>
        <w:t>（项目名称）</w:t>
      </w:r>
      <w:r>
        <w:rPr>
          <w:rFonts w:hint="eastAsia"/>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before="120" w:line="360" w:lineRule="auto"/>
        <w:ind w:left="-426" w:right="-58" w:firstLine="482"/>
        <w:contextualSpacing/>
        <w:rPr>
          <w:rFonts w:ascii="宋体" w:hAnsi="宋体" w:cs="宋体"/>
          <w:kern w:val="24"/>
          <w:sz w:val="24"/>
        </w:rPr>
      </w:pPr>
      <w:r>
        <w:rPr>
          <w:rFonts w:hint="eastAsia" w:ascii="宋体" w:hAnsi="宋体" w:cs="宋体"/>
          <w:kern w:val="24"/>
          <w:sz w:val="24"/>
        </w:rPr>
        <w:t>1.</w:t>
      </w:r>
      <w:r>
        <w:rPr>
          <w:rFonts w:hint="eastAsia" w:ascii="宋体" w:hAnsi="宋体" w:cs="宋体"/>
          <w:kern w:val="24"/>
          <w:sz w:val="24"/>
          <w:u w:val="single"/>
        </w:rPr>
        <w:t>（标的名称）</w:t>
      </w:r>
      <w:r>
        <w:rPr>
          <w:rFonts w:hint="eastAsia" w:ascii="宋体" w:hAnsi="宋体" w:cs="宋体"/>
          <w:kern w:val="24"/>
          <w:sz w:val="24"/>
        </w:rPr>
        <w:t>，属于</w:t>
      </w:r>
      <w:r>
        <w:rPr>
          <w:rFonts w:hint="eastAsia" w:ascii="宋体" w:hAnsi="宋体" w:cs="宋体"/>
          <w:kern w:val="24"/>
          <w:sz w:val="24"/>
          <w:u w:val="single"/>
        </w:rPr>
        <w:t>（采购文件中明确的所属行业）</w:t>
      </w:r>
      <w:r>
        <w:rPr>
          <w:rFonts w:hint="eastAsia" w:ascii="宋体" w:hAnsi="宋体" w:cs="宋体"/>
          <w:kern w:val="24"/>
          <w:sz w:val="24"/>
        </w:rPr>
        <w:t>行业；制造商为</w:t>
      </w:r>
      <w:r>
        <w:rPr>
          <w:rFonts w:hint="eastAsia" w:ascii="宋体" w:hAnsi="宋体" w:cs="宋体"/>
          <w:kern w:val="24"/>
          <w:sz w:val="24"/>
          <w:u w:val="single"/>
        </w:rPr>
        <w:t>（企业名称）</w:t>
      </w:r>
      <w:r>
        <w:rPr>
          <w:rFonts w:hint="eastAsia" w:ascii="宋体" w:hAnsi="宋体" w:cs="宋体"/>
          <w:kern w:val="24"/>
          <w:sz w:val="24"/>
        </w:rPr>
        <w:t>，从业人员</w:t>
      </w:r>
      <w:r>
        <w:rPr>
          <w:rFonts w:hint="eastAsia" w:ascii="宋体" w:hAnsi="宋体" w:cs="宋体"/>
          <w:kern w:val="24"/>
          <w:sz w:val="24"/>
          <w:u w:val="single"/>
        </w:rPr>
        <w:t xml:space="preserve">      </w:t>
      </w:r>
      <w:r>
        <w:rPr>
          <w:rFonts w:hint="eastAsia" w:ascii="宋体" w:hAnsi="宋体" w:cs="宋体"/>
          <w:kern w:val="24"/>
          <w:sz w:val="24"/>
        </w:rPr>
        <w:t>人，营业收入为</w:t>
      </w:r>
      <w:r>
        <w:rPr>
          <w:rFonts w:hint="eastAsia" w:ascii="宋体" w:hAnsi="宋体" w:cs="宋体"/>
          <w:kern w:val="24"/>
          <w:sz w:val="24"/>
          <w:u w:val="single"/>
        </w:rPr>
        <w:t xml:space="preserve">      </w:t>
      </w:r>
      <w:r>
        <w:rPr>
          <w:rFonts w:hint="eastAsia" w:ascii="宋体" w:hAnsi="宋体" w:cs="宋体"/>
          <w:kern w:val="24"/>
          <w:sz w:val="24"/>
        </w:rPr>
        <w:t>万元，资产总额为</w:t>
      </w:r>
      <w:r>
        <w:rPr>
          <w:rFonts w:hint="eastAsia" w:ascii="宋体" w:hAnsi="宋体" w:cs="宋体"/>
          <w:kern w:val="24"/>
          <w:sz w:val="24"/>
          <w:u w:val="single"/>
        </w:rPr>
        <w:t xml:space="preserve">      </w:t>
      </w:r>
      <w:r>
        <w:rPr>
          <w:rFonts w:hint="eastAsia" w:ascii="宋体" w:hAnsi="宋体" w:cs="宋体"/>
          <w:kern w:val="24"/>
          <w:sz w:val="24"/>
        </w:rPr>
        <w:t>万元，属于</w:t>
      </w:r>
      <w:r>
        <w:rPr>
          <w:rFonts w:hint="eastAsia" w:ascii="宋体" w:hAnsi="宋体" w:cs="宋体"/>
          <w:kern w:val="24"/>
          <w:sz w:val="24"/>
          <w:u w:val="single"/>
        </w:rPr>
        <w:t>（中型企业、小型企业、微型企业）</w:t>
      </w:r>
      <w:r>
        <w:rPr>
          <w:rFonts w:hint="eastAsia" w:ascii="宋体" w:hAnsi="宋体" w:cs="宋体"/>
          <w:kern w:val="24"/>
          <w:sz w:val="24"/>
        </w:rPr>
        <w:t>；</w:t>
      </w:r>
    </w:p>
    <w:p>
      <w:pPr>
        <w:tabs>
          <w:tab w:val="left" w:pos="1065"/>
          <w:tab w:val="left" w:pos="6477"/>
        </w:tabs>
        <w:spacing w:before="120" w:line="360" w:lineRule="auto"/>
        <w:ind w:left="-426" w:right="-58" w:firstLine="482"/>
        <w:contextualSpacing/>
        <w:rPr>
          <w:rFonts w:ascii="宋体" w:hAnsi="宋体" w:cs="宋体"/>
          <w:kern w:val="24"/>
          <w:sz w:val="24"/>
        </w:rPr>
      </w:pPr>
      <w:r>
        <w:rPr>
          <w:rFonts w:hint="eastAsia" w:ascii="宋体" w:hAnsi="宋体" w:cs="宋体"/>
          <w:kern w:val="24"/>
          <w:sz w:val="24"/>
        </w:rPr>
        <w:t>2.</w:t>
      </w:r>
      <w:r>
        <w:rPr>
          <w:rFonts w:hint="eastAsia" w:ascii="宋体" w:hAnsi="宋体" w:cs="宋体"/>
          <w:kern w:val="24"/>
          <w:sz w:val="24"/>
          <w:u w:val="single"/>
        </w:rPr>
        <w:t>（标的名称）</w:t>
      </w:r>
      <w:r>
        <w:rPr>
          <w:rFonts w:hint="eastAsia" w:ascii="宋体" w:hAnsi="宋体" w:cs="宋体"/>
          <w:kern w:val="24"/>
          <w:sz w:val="24"/>
        </w:rPr>
        <w:t>，属于</w:t>
      </w:r>
      <w:r>
        <w:rPr>
          <w:rFonts w:hint="eastAsia" w:ascii="宋体" w:hAnsi="宋体" w:cs="宋体"/>
          <w:kern w:val="24"/>
          <w:sz w:val="24"/>
          <w:u w:val="single"/>
        </w:rPr>
        <w:t>（采购文件中明确的所属行业）</w:t>
      </w:r>
      <w:r>
        <w:rPr>
          <w:rFonts w:hint="eastAsia" w:ascii="宋体" w:hAnsi="宋体" w:cs="宋体"/>
          <w:kern w:val="24"/>
          <w:sz w:val="24"/>
        </w:rPr>
        <w:t>行业；制造商为</w:t>
      </w:r>
      <w:r>
        <w:rPr>
          <w:rFonts w:hint="eastAsia" w:ascii="宋体" w:hAnsi="宋体" w:cs="宋体"/>
          <w:kern w:val="24"/>
          <w:sz w:val="24"/>
          <w:u w:val="single"/>
        </w:rPr>
        <w:t>（企业名称）</w:t>
      </w:r>
      <w:r>
        <w:rPr>
          <w:rFonts w:hint="eastAsia" w:ascii="宋体" w:hAnsi="宋体" w:cs="宋体"/>
          <w:kern w:val="24"/>
          <w:sz w:val="24"/>
        </w:rPr>
        <w:t>，从业人员</w:t>
      </w:r>
      <w:r>
        <w:rPr>
          <w:rFonts w:hint="eastAsia" w:ascii="宋体" w:hAnsi="宋体" w:cs="宋体"/>
          <w:kern w:val="24"/>
          <w:sz w:val="24"/>
          <w:u w:val="single"/>
        </w:rPr>
        <w:t xml:space="preserve">      </w:t>
      </w:r>
      <w:r>
        <w:rPr>
          <w:rFonts w:hint="eastAsia" w:ascii="宋体" w:hAnsi="宋体" w:cs="宋体"/>
          <w:kern w:val="24"/>
          <w:sz w:val="24"/>
        </w:rPr>
        <w:t>人，营业收入为</w:t>
      </w:r>
      <w:r>
        <w:rPr>
          <w:rFonts w:hint="eastAsia" w:ascii="宋体" w:hAnsi="宋体" w:cs="宋体"/>
          <w:kern w:val="24"/>
          <w:sz w:val="24"/>
          <w:u w:val="single"/>
        </w:rPr>
        <w:t xml:space="preserve">      </w:t>
      </w:r>
      <w:r>
        <w:rPr>
          <w:rFonts w:hint="eastAsia" w:ascii="宋体" w:hAnsi="宋体" w:cs="宋体"/>
          <w:kern w:val="24"/>
          <w:sz w:val="24"/>
        </w:rPr>
        <w:t>万元，资产总额为</w:t>
      </w:r>
      <w:r>
        <w:rPr>
          <w:rFonts w:hint="eastAsia" w:ascii="宋体" w:hAnsi="宋体" w:cs="宋体"/>
          <w:kern w:val="24"/>
          <w:sz w:val="24"/>
          <w:u w:val="single"/>
        </w:rPr>
        <w:t xml:space="preserve">      </w:t>
      </w:r>
      <w:r>
        <w:rPr>
          <w:rFonts w:hint="eastAsia" w:ascii="宋体" w:hAnsi="宋体" w:cs="宋体"/>
          <w:kern w:val="24"/>
          <w:sz w:val="24"/>
        </w:rPr>
        <w:t>万元，属于</w:t>
      </w:r>
      <w:r>
        <w:rPr>
          <w:rFonts w:hint="eastAsia" w:ascii="宋体" w:hAnsi="宋体" w:cs="宋体"/>
          <w:kern w:val="24"/>
          <w:sz w:val="24"/>
          <w:u w:val="single"/>
        </w:rPr>
        <w:t>（中型企业、小型企业、微型企业）</w:t>
      </w:r>
      <w:r>
        <w:rPr>
          <w:rFonts w:hint="eastAsia" w:ascii="宋体" w:hAnsi="宋体" w:cs="宋体"/>
          <w:kern w:val="24"/>
          <w:sz w:val="24"/>
        </w:rPr>
        <w:t>；</w:t>
      </w:r>
    </w:p>
    <w:p>
      <w:pPr>
        <w:pStyle w:val="3"/>
      </w:pPr>
      <w:r>
        <w:rPr>
          <w:rFonts w:hint="eastAsia"/>
        </w:rPr>
        <w:t xml:space="preserve">…… </w:t>
      </w:r>
    </w:p>
    <w:p>
      <w:pPr>
        <w:pStyle w:val="3"/>
      </w:pPr>
      <w:r>
        <w:rPr>
          <w:rFonts w:hint="eastAsia"/>
        </w:rPr>
        <w:t>以上企业，不属于大企业的分支机构，不存在控股股东为大企业的情形，也不存在与大企业的负责人为同一人的情形。</w:t>
      </w:r>
    </w:p>
    <w:p>
      <w:pPr>
        <w:pStyle w:val="3"/>
      </w:pPr>
      <w:r>
        <w:rPr>
          <w:rFonts w:hint="eastAsia"/>
        </w:rPr>
        <w:t>本企业对上述声明内容的真实性负责。如有虚假，将依法承担相应责任。</w:t>
      </w:r>
    </w:p>
    <w:p>
      <w:pPr>
        <w:pStyle w:val="3"/>
      </w:pPr>
    </w:p>
    <w:p>
      <w:pPr>
        <w:pStyle w:val="3"/>
      </w:pPr>
      <w:r>
        <w:rPr>
          <w:rFonts w:hint="eastAsia"/>
        </w:rPr>
        <w:t xml:space="preserve">企业名称（公章）： </w:t>
      </w:r>
    </w:p>
    <w:p>
      <w:pPr>
        <w:pStyle w:val="3"/>
      </w:pPr>
      <w:r>
        <w:rPr>
          <w:rFonts w:hint="eastAsia"/>
        </w:rPr>
        <w:t>日 期：</w:t>
      </w:r>
    </w:p>
    <w:p>
      <w:pPr>
        <w:pStyle w:val="3"/>
      </w:pPr>
    </w:p>
    <w:p>
      <w:pPr>
        <w:pStyle w:val="3"/>
      </w:pPr>
    </w:p>
    <w:p>
      <w:pPr>
        <w:pStyle w:val="3"/>
      </w:pPr>
      <w:r>
        <w:rPr>
          <w:rFonts w:hint="eastAsia"/>
        </w:rPr>
        <w:t>【</w:t>
      </w:r>
      <w:r>
        <w:rPr>
          <w:rFonts w:hint="eastAsia"/>
          <w:b/>
        </w:rPr>
        <w:t>注</w:t>
      </w:r>
      <w:r>
        <w:rPr>
          <w:rFonts w:hint="eastAsia"/>
        </w:rPr>
        <w:t>】享受《政府采购促进中小企业发展管理办法》（财库〔</w:t>
      </w:r>
      <w:r>
        <w:t>2020〕46号）规定的中小企业扶持政策的，采购人、采购代理机构应当随中标结果公开中标供应商的《中小企业声明函》。从业人员、营业收入、资产总额填报上一年度数据，无上</w:t>
      </w:r>
      <w:r>
        <w:rPr>
          <w:rFonts w:hint="eastAsia"/>
        </w:rPr>
        <w:t>一年度数据的新成立企业可不填报。</w:t>
      </w:r>
    </w:p>
    <w:p>
      <w:pPr>
        <w:snapToGrid w:val="0"/>
        <w:spacing w:before="120" w:beforeLines="50" w:after="50"/>
        <w:ind w:left="142" w:firstLine="480"/>
        <w:jc w:val="left"/>
        <w:rPr>
          <w:rFonts w:ascii="宋体" w:hAnsi="宋体" w:cs="宋体"/>
          <w:b/>
          <w:sz w:val="24"/>
        </w:rPr>
      </w:pPr>
    </w:p>
    <w:p>
      <w:pPr>
        <w:spacing w:before="120"/>
        <w:ind w:firstLine="643"/>
        <w:rPr>
          <w:rFonts w:hAnsi="宋体" w:cs="宋体"/>
          <w:sz w:val="32"/>
          <w:szCs w:val="32"/>
        </w:rPr>
      </w:pPr>
      <w:r>
        <w:rPr>
          <w:rFonts w:hint="eastAsia" w:hAnsi="宋体" w:cs="宋体"/>
          <w:sz w:val="32"/>
          <w:szCs w:val="32"/>
        </w:rPr>
        <w:br w:type="page"/>
      </w:r>
    </w:p>
    <w:p>
      <w:pPr>
        <w:snapToGrid w:val="0"/>
        <w:spacing w:before="120" w:beforeLines="50" w:after="50"/>
        <w:ind w:left="142" w:firstLine="480"/>
        <w:jc w:val="left"/>
        <w:rPr>
          <w:rFonts w:ascii="宋体" w:hAnsi="宋体" w:cs="宋体"/>
          <w:b/>
          <w:sz w:val="24"/>
        </w:rPr>
      </w:pPr>
      <w:r>
        <w:rPr>
          <w:rFonts w:hint="eastAsia" w:ascii="宋体" w:hAnsi="宋体" w:cs="宋体"/>
          <w:b/>
          <w:sz w:val="24"/>
        </w:rPr>
        <w:t>3.残疾人福利性单位声明函格式</w:t>
      </w:r>
    </w:p>
    <w:p>
      <w:pPr>
        <w:spacing w:before="120" w:line="588" w:lineRule="exact"/>
        <w:ind w:firstLine="664"/>
        <w:jc w:val="center"/>
        <w:rPr>
          <w:rFonts w:ascii="宋体" w:hAnsi="宋体" w:cs="宋体"/>
          <w:b/>
          <w:spacing w:val="6"/>
          <w:sz w:val="32"/>
          <w:szCs w:val="32"/>
        </w:rPr>
      </w:pPr>
    </w:p>
    <w:p>
      <w:pPr>
        <w:spacing w:before="120" w:line="588" w:lineRule="exact"/>
        <w:ind w:firstLine="907"/>
        <w:jc w:val="center"/>
        <w:rPr>
          <w:rFonts w:ascii="宋体" w:hAnsi="宋体" w:cs="宋体"/>
          <w:bCs/>
          <w:spacing w:val="6"/>
          <w:sz w:val="44"/>
          <w:szCs w:val="44"/>
        </w:rPr>
      </w:pPr>
      <w:r>
        <w:rPr>
          <w:rFonts w:hint="eastAsia" w:ascii="宋体" w:hAnsi="宋体" w:cs="宋体"/>
          <w:bCs/>
          <w:spacing w:val="6"/>
          <w:sz w:val="44"/>
          <w:szCs w:val="44"/>
        </w:rPr>
        <w:t>残疾人福利性单位声明函</w:t>
      </w:r>
    </w:p>
    <w:p>
      <w:pPr>
        <w:spacing w:before="120" w:line="360" w:lineRule="auto"/>
        <w:ind w:firstLine="626"/>
        <w:contextualSpacing/>
        <w:rPr>
          <w:rFonts w:ascii="宋体" w:hAnsi="宋体" w:cs="宋体"/>
          <w:bCs/>
          <w:spacing w:val="6"/>
          <w:sz w:val="30"/>
          <w:szCs w:val="30"/>
        </w:rPr>
      </w:pPr>
    </w:p>
    <w:p>
      <w:pPr>
        <w:spacing w:before="120" w:line="360" w:lineRule="auto"/>
        <w:ind w:firstLine="504" w:firstLineChars="200"/>
        <w:contextualSpacing/>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w:t>
      </w:r>
      <w:r>
        <w:rPr>
          <w:rFonts w:hint="eastAsia" w:ascii="宋体" w:hAnsi="宋体" w:cs="宋体"/>
          <w:spacing w:val="-6"/>
          <w:sz w:val="24"/>
        </w:rPr>
        <w:t>疾人福利性单位制造的货物（不包括使用非残疾人福利性单位注册商标的货物）。</w:t>
      </w:r>
    </w:p>
    <w:p>
      <w:pPr>
        <w:spacing w:before="120" w:line="360" w:lineRule="auto"/>
        <w:ind w:firstLine="504" w:firstLineChars="200"/>
        <w:contextualSpacing/>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before="120" w:line="360" w:lineRule="auto"/>
        <w:ind w:firstLine="504" w:firstLineChars="200"/>
        <w:contextualSpacing/>
        <w:rPr>
          <w:rFonts w:ascii="宋体" w:hAnsi="宋体" w:cs="宋体"/>
          <w:spacing w:val="6"/>
          <w:sz w:val="24"/>
        </w:rPr>
      </w:pPr>
    </w:p>
    <w:p>
      <w:pPr>
        <w:spacing w:before="120" w:line="360" w:lineRule="auto"/>
        <w:ind w:firstLine="504" w:firstLineChars="200"/>
        <w:contextualSpacing/>
        <w:rPr>
          <w:rFonts w:ascii="宋体" w:hAnsi="宋体" w:cs="宋体"/>
          <w:spacing w:val="6"/>
          <w:sz w:val="24"/>
        </w:rPr>
      </w:pPr>
    </w:p>
    <w:p>
      <w:pPr>
        <w:tabs>
          <w:tab w:val="left" w:pos="4860"/>
        </w:tabs>
        <w:spacing w:before="120" w:line="360" w:lineRule="auto"/>
        <w:ind w:right="1560" w:firstLine="504" w:firstLineChars="200"/>
        <w:contextualSpacing/>
        <w:jc w:val="center"/>
        <w:rPr>
          <w:rFonts w:ascii="宋体" w:hAnsi="宋体" w:cs="宋体"/>
          <w:spacing w:val="6"/>
          <w:sz w:val="24"/>
        </w:rPr>
      </w:pPr>
      <w:r>
        <w:rPr>
          <w:rFonts w:hint="eastAsia" w:ascii="宋体" w:hAnsi="宋体" w:cs="宋体"/>
          <w:spacing w:val="6"/>
          <w:sz w:val="24"/>
        </w:rPr>
        <w:t>单位名称（公章）：</w:t>
      </w:r>
    </w:p>
    <w:p>
      <w:pPr>
        <w:tabs>
          <w:tab w:val="left" w:pos="4860"/>
        </w:tabs>
        <w:spacing w:before="120" w:line="360" w:lineRule="auto"/>
        <w:ind w:right="1560" w:firstLine="504" w:firstLineChars="200"/>
        <w:contextualSpacing/>
        <w:jc w:val="center"/>
        <w:rPr>
          <w:rFonts w:ascii="宋体" w:hAnsi="宋体" w:cs="宋体"/>
          <w:spacing w:val="6"/>
          <w:sz w:val="24"/>
        </w:rPr>
      </w:pPr>
      <w:r>
        <w:rPr>
          <w:rFonts w:hint="eastAsia" w:ascii="宋体" w:hAnsi="宋体" w:cs="宋体"/>
          <w:spacing w:val="6"/>
          <w:sz w:val="24"/>
        </w:rPr>
        <w:t>日  期：</w:t>
      </w:r>
    </w:p>
    <w:p>
      <w:pPr>
        <w:spacing w:before="120" w:line="360" w:lineRule="auto"/>
        <w:contextualSpacing/>
        <w:rPr>
          <w:rFonts w:ascii="宋体" w:hAnsi="宋体" w:cs="宋体"/>
          <w:sz w:val="24"/>
        </w:rPr>
      </w:pPr>
    </w:p>
    <w:p>
      <w:pPr>
        <w:spacing w:before="120" w:line="360" w:lineRule="auto"/>
        <w:contextualSpacing/>
        <w:rPr>
          <w:rFonts w:ascii="宋体" w:hAnsi="宋体" w:cs="宋体"/>
          <w:sz w:val="24"/>
        </w:rPr>
      </w:pPr>
    </w:p>
    <w:p>
      <w:pPr>
        <w:spacing w:before="120" w:line="360" w:lineRule="auto"/>
        <w:contextualSpacing/>
        <w:rPr>
          <w:rFonts w:ascii="宋体" w:hAnsi="宋体" w:cs="宋体"/>
          <w:sz w:val="24"/>
        </w:rPr>
      </w:pPr>
    </w:p>
    <w:p>
      <w:pPr>
        <w:spacing w:before="120" w:line="360" w:lineRule="auto"/>
        <w:contextualSpacing/>
        <w:rPr>
          <w:rFonts w:ascii="楷体" w:hAnsi="楷体" w:eastAsia="楷体" w:cs="宋体"/>
          <w:sz w:val="24"/>
        </w:rPr>
      </w:pPr>
      <w:r>
        <w:rPr>
          <w:rFonts w:hint="eastAsia" w:ascii="楷体" w:hAnsi="楷体" w:eastAsia="楷体" w:cs="宋体"/>
          <w:sz w:val="24"/>
        </w:rPr>
        <w:t>【</w:t>
      </w:r>
      <w:r>
        <w:rPr>
          <w:rFonts w:hint="eastAsia" w:ascii="楷体" w:hAnsi="楷体" w:eastAsia="楷体" w:cs="宋体"/>
          <w:b/>
          <w:sz w:val="24"/>
        </w:rPr>
        <w:t>注</w:t>
      </w:r>
      <w:r>
        <w:rPr>
          <w:rFonts w:hint="eastAsia" w:ascii="楷体" w:hAnsi="楷体" w:eastAsia="楷体" w:cs="宋体"/>
          <w:sz w:val="24"/>
        </w:rPr>
        <w:t>】请根据自己的真实情况出具《残疾人福利性单位声明函》。依法享受中小企业优惠政策的，采购人或者采购代理机构在公告中标结果时，同时公告其《残疾人福利性单位声明函》，接受社会监督。</w:t>
      </w:r>
    </w:p>
    <w:p>
      <w:pPr>
        <w:spacing w:before="120" w:line="360" w:lineRule="auto"/>
        <w:jc w:val="left"/>
        <w:rPr>
          <w:rFonts w:ascii="宋体" w:hAnsi="宋体" w:cs="宋体"/>
          <w:sz w:val="24"/>
        </w:rPr>
      </w:pPr>
      <w:r>
        <w:rPr>
          <w:rFonts w:hint="eastAsia" w:ascii="宋体" w:hAnsi="宋体" w:cs="宋体"/>
          <w:sz w:val="24"/>
        </w:rPr>
        <w:br w:type="page"/>
      </w:r>
      <w:r>
        <w:rPr>
          <w:rFonts w:hint="eastAsia" w:ascii="宋体" w:hAnsi="宋体" w:cs="宋体"/>
          <w:b/>
          <w:sz w:val="24"/>
        </w:rPr>
        <w:t>4.质疑函格式</w:t>
      </w:r>
    </w:p>
    <w:p>
      <w:pPr>
        <w:spacing w:before="120" w:line="360" w:lineRule="auto"/>
        <w:ind w:firstLine="883"/>
        <w:jc w:val="center"/>
        <w:rPr>
          <w:rFonts w:ascii="宋体" w:hAnsi="宋体" w:cs="宋体"/>
          <w:sz w:val="44"/>
          <w:szCs w:val="44"/>
        </w:rPr>
      </w:pPr>
      <w:r>
        <w:rPr>
          <w:rFonts w:hint="eastAsia" w:ascii="宋体" w:hAnsi="宋体" w:cs="宋体"/>
          <w:sz w:val="44"/>
          <w:szCs w:val="44"/>
        </w:rPr>
        <w:t>质疑函</w:t>
      </w:r>
    </w:p>
    <w:p>
      <w:pPr>
        <w:pStyle w:val="25"/>
        <w:snapToGrid w:val="0"/>
        <w:spacing w:before="120" w:line="360" w:lineRule="auto"/>
        <w:ind w:firstLine="482" w:firstLineChars="200"/>
        <w:rPr>
          <w:rFonts w:hAnsi="宋体" w:cs="宋体"/>
          <w:b/>
          <w:bCs/>
          <w:sz w:val="24"/>
          <w:szCs w:val="24"/>
        </w:rPr>
      </w:pPr>
      <w:r>
        <w:rPr>
          <w:rFonts w:hint="eastAsia" w:hAnsi="宋体" w:cs="宋体"/>
          <w:b/>
          <w:bCs/>
          <w:sz w:val="24"/>
          <w:szCs w:val="24"/>
        </w:rPr>
        <w:t>一、质疑供应商基本信息：</w:t>
      </w:r>
    </w:p>
    <w:p>
      <w:pPr>
        <w:pStyle w:val="25"/>
        <w:snapToGrid w:val="0"/>
        <w:spacing w:before="120" w:line="360" w:lineRule="auto"/>
        <w:ind w:firstLine="480" w:firstLineChars="200"/>
        <w:rPr>
          <w:rFonts w:hAnsi="宋体" w:cs="宋体"/>
          <w:bCs/>
          <w:sz w:val="24"/>
          <w:szCs w:val="24"/>
          <w:u w:val="single"/>
        </w:rPr>
      </w:pPr>
      <w:r>
        <w:rPr>
          <w:rFonts w:hint="eastAsia" w:hAnsi="宋体" w:cs="宋体"/>
          <w:bCs/>
          <w:sz w:val="24"/>
          <w:szCs w:val="24"/>
        </w:rPr>
        <w:t>质疑供应商：</w:t>
      </w:r>
      <w:r>
        <w:rPr>
          <w:rFonts w:hint="eastAsia" w:hAnsi="宋体" w:cs="宋体"/>
          <w:bCs/>
          <w:sz w:val="24"/>
          <w:szCs w:val="24"/>
          <w:u w:val="single"/>
        </w:rPr>
        <w:t xml:space="preserve">                                       </w:t>
      </w:r>
      <w:r>
        <w:rPr>
          <w:rFonts w:hint="eastAsia" w:hAnsi="宋体" w:cs="宋体"/>
          <w:bCs/>
          <w:sz w:val="24"/>
          <w:szCs w:val="24"/>
        </w:rPr>
        <w:t xml:space="preserve">                 </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地址：</w:t>
      </w:r>
      <w:r>
        <w:rPr>
          <w:rFonts w:hint="eastAsia" w:hAnsi="宋体" w:cs="宋体"/>
          <w:bCs/>
          <w:sz w:val="24"/>
          <w:szCs w:val="24"/>
          <w:u w:val="single"/>
        </w:rPr>
        <w:t xml:space="preserve">                                          </w:t>
      </w:r>
      <w:r>
        <w:rPr>
          <w:rFonts w:hint="eastAsia" w:hAnsi="宋体" w:cs="宋体"/>
          <w:bCs/>
          <w:sz w:val="24"/>
          <w:szCs w:val="24"/>
        </w:rPr>
        <w:t>邮编：</w:t>
      </w:r>
      <w:r>
        <w:rPr>
          <w:rFonts w:hint="eastAsia" w:hAnsi="宋体" w:cs="宋体"/>
          <w:bCs/>
          <w:sz w:val="24"/>
          <w:szCs w:val="24"/>
          <w:u w:val="single"/>
        </w:rPr>
        <w:t xml:space="preserve">    </w:t>
      </w:r>
      <w:r>
        <w:rPr>
          <w:rFonts w:hint="eastAsia" w:hAnsi="宋体" w:cs="宋体"/>
          <w:bCs/>
          <w:sz w:val="24"/>
          <w:szCs w:val="24"/>
        </w:rPr>
        <w:t xml:space="preserve">                 </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联系人：</w:t>
      </w:r>
      <w:r>
        <w:rPr>
          <w:rFonts w:hint="eastAsia" w:hAnsi="宋体" w:cs="宋体"/>
          <w:bCs/>
          <w:sz w:val="24"/>
          <w:szCs w:val="24"/>
          <w:u w:val="single"/>
        </w:rPr>
        <w:t xml:space="preserve">                     </w:t>
      </w:r>
      <w:r>
        <w:rPr>
          <w:rFonts w:hint="eastAsia" w:hAnsi="宋体" w:cs="宋体"/>
          <w:bCs/>
          <w:sz w:val="24"/>
          <w:szCs w:val="24"/>
        </w:rPr>
        <w:t>联系电话：</w:t>
      </w:r>
      <w:r>
        <w:rPr>
          <w:rFonts w:hint="eastAsia" w:hAnsi="宋体" w:cs="宋体"/>
          <w:bCs/>
          <w:sz w:val="24"/>
          <w:szCs w:val="24"/>
          <w:u w:val="single"/>
        </w:rPr>
        <w:t xml:space="preserve">                   </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授权代表：</w:t>
      </w:r>
      <w:r>
        <w:rPr>
          <w:rFonts w:hint="eastAsia" w:hAnsi="宋体" w:cs="宋体"/>
          <w:bCs/>
          <w:sz w:val="24"/>
          <w:szCs w:val="24"/>
          <w:u w:val="single"/>
        </w:rPr>
        <w:t xml:space="preserve">                      </w:t>
      </w:r>
    </w:p>
    <w:p>
      <w:pPr>
        <w:pStyle w:val="25"/>
        <w:snapToGrid w:val="0"/>
        <w:spacing w:before="120" w:line="360" w:lineRule="auto"/>
        <w:ind w:firstLine="480" w:firstLineChars="200"/>
        <w:rPr>
          <w:rFonts w:hAnsi="宋体" w:cs="宋体"/>
          <w:bCs/>
          <w:sz w:val="24"/>
          <w:szCs w:val="24"/>
          <w:u w:val="single"/>
        </w:rPr>
      </w:pPr>
      <w:r>
        <w:rPr>
          <w:rFonts w:hint="eastAsia" w:hAnsi="宋体" w:cs="宋体"/>
          <w:bCs/>
          <w:sz w:val="24"/>
          <w:szCs w:val="24"/>
        </w:rPr>
        <w:t>联系电话：</w:t>
      </w:r>
      <w:r>
        <w:rPr>
          <w:rFonts w:hint="eastAsia" w:hAnsi="宋体" w:cs="宋体"/>
          <w:bCs/>
          <w:sz w:val="24"/>
          <w:szCs w:val="24"/>
          <w:u w:val="single"/>
        </w:rPr>
        <w:t xml:space="preserve">                      </w:t>
      </w:r>
    </w:p>
    <w:p>
      <w:pPr>
        <w:pStyle w:val="25"/>
        <w:snapToGrid w:val="0"/>
        <w:spacing w:before="120" w:line="360" w:lineRule="auto"/>
        <w:ind w:firstLine="480" w:firstLineChars="200"/>
        <w:rPr>
          <w:rFonts w:hAnsi="宋体" w:cs="宋体"/>
          <w:bCs/>
          <w:sz w:val="24"/>
          <w:szCs w:val="24"/>
        </w:rPr>
      </w:pPr>
      <w:r>
        <w:rPr>
          <w:rFonts w:hint="eastAsia" w:hAnsi="宋体" w:cs="宋体"/>
          <w:bCs/>
          <w:sz w:val="24"/>
          <w:szCs w:val="24"/>
        </w:rPr>
        <w:t>地址：</w:t>
      </w:r>
      <w:r>
        <w:rPr>
          <w:rFonts w:hint="eastAsia" w:hAnsi="宋体" w:cs="宋体"/>
          <w:bCs/>
          <w:sz w:val="24"/>
          <w:szCs w:val="24"/>
          <w:u w:val="single"/>
        </w:rPr>
        <w:t xml:space="preserve">                       </w:t>
      </w:r>
      <w:r>
        <w:rPr>
          <w:rFonts w:hint="eastAsia" w:hAnsi="宋体" w:cs="宋体"/>
          <w:bCs/>
          <w:sz w:val="24"/>
          <w:szCs w:val="24"/>
        </w:rPr>
        <w:t>邮编：</w:t>
      </w:r>
      <w:r>
        <w:rPr>
          <w:rFonts w:hint="eastAsia" w:hAnsi="宋体" w:cs="宋体"/>
          <w:bCs/>
          <w:sz w:val="24"/>
          <w:szCs w:val="24"/>
          <w:u w:val="single"/>
        </w:rPr>
        <w:t xml:space="preserve">                       </w:t>
      </w:r>
      <w:r>
        <w:rPr>
          <w:rFonts w:hint="eastAsia" w:hAnsi="宋体" w:cs="宋体"/>
          <w:bCs/>
          <w:sz w:val="24"/>
          <w:szCs w:val="24"/>
        </w:rPr>
        <w:t xml:space="preserve">    </w:t>
      </w:r>
    </w:p>
    <w:p>
      <w:pPr>
        <w:pStyle w:val="25"/>
        <w:snapToGrid w:val="0"/>
        <w:spacing w:before="120" w:line="360" w:lineRule="auto"/>
        <w:ind w:firstLine="482" w:firstLineChars="200"/>
        <w:rPr>
          <w:rFonts w:hAnsi="宋体" w:cs="宋体"/>
          <w:b/>
          <w:bCs/>
          <w:sz w:val="24"/>
          <w:szCs w:val="24"/>
        </w:rPr>
      </w:pPr>
      <w:r>
        <w:rPr>
          <w:rFonts w:hint="eastAsia" w:hAnsi="宋体" w:cs="宋体"/>
          <w:b/>
          <w:bCs/>
          <w:sz w:val="24"/>
          <w:szCs w:val="24"/>
        </w:rPr>
        <w:t>二、质疑项目基本情况：</w:t>
      </w:r>
    </w:p>
    <w:p>
      <w:pPr>
        <w:pStyle w:val="25"/>
        <w:spacing w:before="120" w:line="360" w:lineRule="auto"/>
        <w:ind w:left="25" w:leftChars="12" w:firstLine="472" w:firstLineChars="197"/>
        <w:rPr>
          <w:rFonts w:hAnsi="宋体" w:cs="宋体"/>
          <w:sz w:val="24"/>
          <w:szCs w:val="24"/>
        </w:rPr>
      </w:pPr>
      <w:r>
        <w:rPr>
          <w:rFonts w:hint="eastAsia" w:hAnsi="宋体" w:cs="宋体"/>
          <w:bCs/>
          <w:sz w:val="24"/>
          <w:szCs w:val="24"/>
        </w:rPr>
        <w:t>质疑</w:t>
      </w:r>
      <w:r>
        <w:rPr>
          <w:rFonts w:hint="eastAsia" w:hAnsi="宋体" w:cs="宋体"/>
          <w:sz w:val="24"/>
          <w:szCs w:val="24"/>
        </w:rPr>
        <w:t>项目的名称：</w:t>
      </w:r>
      <w:r>
        <w:rPr>
          <w:rFonts w:hint="eastAsia" w:hAnsi="宋体" w:cs="宋体"/>
          <w:bCs/>
          <w:sz w:val="24"/>
          <w:szCs w:val="24"/>
          <w:u w:val="single"/>
        </w:rPr>
        <w:t xml:space="preserve">                                          </w:t>
      </w:r>
    </w:p>
    <w:p>
      <w:pPr>
        <w:pStyle w:val="25"/>
        <w:spacing w:before="120" w:line="360" w:lineRule="auto"/>
        <w:ind w:left="25" w:leftChars="12" w:firstLine="472" w:firstLineChars="197"/>
        <w:rPr>
          <w:rFonts w:hAnsi="宋体" w:cs="宋体"/>
          <w:sz w:val="24"/>
          <w:szCs w:val="24"/>
        </w:rPr>
      </w:pPr>
      <w:r>
        <w:rPr>
          <w:rFonts w:hint="eastAsia" w:hAnsi="宋体" w:cs="宋体"/>
          <w:bCs/>
          <w:sz w:val="24"/>
          <w:szCs w:val="24"/>
        </w:rPr>
        <w:t>质疑</w:t>
      </w:r>
      <w:r>
        <w:rPr>
          <w:rFonts w:hint="eastAsia" w:hAnsi="宋体" w:cs="宋体"/>
          <w:sz w:val="24"/>
          <w:szCs w:val="24"/>
        </w:rPr>
        <w:t>项目的编号：</w:t>
      </w:r>
      <w:r>
        <w:rPr>
          <w:rFonts w:hint="eastAsia" w:hAnsi="宋体" w:cs="宋体"/>
          <w:bCs/>
          <w:sz w:val="24"/>
          <w:szCs w:val="24"/>
          <w:u w:val="single"/>
        </w:rPr>
        <w:t xml:space="preserve">                                          </w:t>
      </w: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采购人名称：</w:t>
      </w:r>
      <w:r>
        <w:rPr>
          <w:rFonts w:hint="eastAsia" w:hAnsi="宋体" w:cs="宋体"/>
          <w:bCs/>
          <w:sz w:val="24"/>
          <w:szCs w:val="24"/>
          <w:u w:val="single"/>
        </w:rPr>
        <w:t xml:space="preserve">                                              </w:t>
      </w: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质疑事项：</w:t>
      </w:r>
    </w:p>
    <w:p>
      <w:pPr>
        <w:pStyle w:val="25"/>
        <w:spacing w:before="120" w:line="360" w:lineRule="auto"/>
        <w:ind w:left="25" w:leftChars="12" w:firstLine="352" w:firstLineChars="147"/>
        <w:rPr>
          <w:rFonts w:hAnsi="宋体" w:cs="宋体"/>
          <w:sz w:val="24"/>
          <w:szCs w:val="24"/>
        </w:rPr>
      </w:pPr>
      <w:r>
        <w:rPr>
          <w:rFonts w:hint="eastAsia" w:hAnsi="宋体" w:cs="宋体"/>
          <w:sz w:val="24"/>
          <w:szCs w:val="24"/>
        </w:rPr>
        <w:t>□招标文件   招标文件获取日期：</w:t>
      </w:r>
      <w:r>
        <w:rPr>
          <w:rFonts w:hint="eastAsia" w:hAnsi="宋体" w:cs="宋体"/>
          <w:bCs/>
          <w:sz w:val="24"/>
          <w:szCs w:val="24"/>
          <w:u w:val="single"/>
        </w:rPr>
        <w:t xml:space="preserve">                            </w:t>
      </w:r>
    </w:p>
    <w:p>
      <w:pPr>
        <w:pStyle w:val="25"/>
        <w:spacing w:before="120" w:line="360" w:lineRule="auto"/>
        <w:ind w:left="25" w:leftChars="12" w:firstLine="352" w:firstLineChars="147"/>
        <w:rPr>
          <w:rFonts w:hAnsi="宋体" w:cs="宋体"/>
          <w:sz w:val="24"/>
          <w:szCs w:val="24"/>
        </w:rPr>
      </w:pPr>
      <w:r>
        <w:rPr>
          <w:rFonts w:hint="eastAsia" w:hAnsi="宋体" w:cs="宋体"/>
          <w:sz w:val="24"/>
          <w:szCs w:val="24"/>
        </w:rPr>
        <w:t xml:space="preserve">□采购过程   </w:t>
      </w:r>
    </w:p>
    <w:p>
      <w:pPr>
        <w:pStyle w:val="25"/>
        <w:spacing w:before="120" w:line="360" w:lineRule="auto"/>
        <w:ind w:left="25" w:leftChars="12" w:firstLine="352" w:firstLineChars="147"/>
        <w:rPr>
          <w:rFonts w:hAnsi="宋体" w:cs="宋体"/>
          <w:bCs/>
          <w:sz w:val="24"/>
          <w:szCs w:val="24"/>
          <w:u w:val="single"/>
        </w:rPr>
      </w:pPr>
      <w:r>
        <w:rPr>
          <w:rFonts w:hint="eastAsia" w:hAnsi="宋体" w:cs="宋体"/>
          <w:sz w:val="24"/>
          <w:szCs w:val="24"/>
        </w:rPr>
        <w:t xml:space="preserve">□中标结果   </w:t>
      </w:r>
    </w:p>
    <w:p>
      <w:pPr>
        <w:pStyle w:val="25"/>
        <w:spacing w:before="120" w:line="360" w:lineRule="auto"/>
        <w:ind w:left="25" w:leftChars="12" w:firstLine="472" w:firstLineChars="196"/>
        <w:rPr>
          <w:rFonts w:hAnsi="宋体" w:cs="宋体"/>
          <w:b/>
          <w:sz w:val="24"/>
          <w:szCs w:val="24"/>
        </w:rPr>
      </w:pPr>
      <w:r>
        <w:rPr>
          <w:rFonts w:hint="eastAsia" w:hAnsi="宋体" w:cs="宋体"/>
          <w:b/>
          <w:sz w:val="24"/>
          <w:szCs w:val="24"/>
        </w:rPr>
        <w:t>三、质疑事项具体内容</w:t>
      </w: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质疑事项1：</w:t>
      </w:r>
      <w:r>
        <w:rPr>
          <w:rFonts w:hint="eastAsia" w:hAnsi="宋体" w:cs="宋体"/>
          <w:bCs/>
          <w:sz w:val="24"/>
          <w:szCs w:val="24"/>
          <w:u w:val="single"/>
        </w:rPr>
        <w:t xml:space="preserve">                                               </w:t>
      </w: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事实依据：</w:t>
      </w:r>
      <w:r>
        <w:rPr>
          <w:rFonts w:hint="eastAsia" w:hAnsi="宋体" w:cs="宋体"/>
          <w:bCs/>
          <w:sz w:val="24"/>
          <w:szCs w:val="24"/>
          <w:u w:val="single"/>
        </w:rPr>
        <w:t xml:space="preserve">                                                </w:t>
      </w: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法律依据：</w:t>
      </w:r>
      <w:r>
        <w:rPr>
          <w:rFonts w:hint="eastAsia" w:hAnsi="宋体" w:cs="宋体"/>
          <w:sz w:val="24"/>
          <w:szCs w:val="24"/>
          <w:u w:val="single"/>
        </w:rPr>
        <w:t xml:space="preserve">                                                </w:t>
      </w: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质疑事项2</w:t>
      </w: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w:t>
      </w: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四、与质疑事项相关的质疑请求：</w:t>
      </w: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请求：</w:t>
      </w:r>
      <w:r>
        <w:rPr>
          <w:rFonts w:hint="eastAsia" w:hAnsi="宋体" w:cs="宋体"/>
          <w:bCs/>
          <w:sz w:val="24"/>
          <w:szCs w:val="24"/>
          <w:u w:val="single"/>
        </w:rPr>
        <w:t xml:space="preserve">                                                    </w:t>
      </w:r>
    </w:p>
    <w:p>
      <w:pPr>
        <w:pStyle w:val="25"/>
        <w:spacing w:before="120" w:line="360" w:lineRule="auto"/>
        <w:ind w:left="25" w:leftChars="12" w:firstLine="352" w:firstLineChars="147"/>
        <w:rPr>
          <w:rFonts w:hAnsi="宋体" w:cs="宋体"/>
          <w:sz w:val="24"/>
          <w:szCs w:val="24"/>
        </w:rPr>
      </w:pP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签字（签章）：                                       公章：</w:t>
      </w:r>
    </w:p>
    <w:p>
      <w:pPr>
        <w:pStyle w:val="25"/>
        <w:spacing w:before="120" w:line="360" w:lineRule="auto"/>
        <w:ind w:left="25" w:leftChars="12" w:firstLine="352" w:firstLineChars="147"/>
        <w:rPr>
          <w:rFonts w:hAnsi="宋体" w:cs="宋体"/>
          <w:sz w:val="24"/>
          <w:szCs w:val="24"/>
        </w:rPr>
      </w:pPr>
    </w:p>
    <w:p>
      <w:pPr>
        <w:pStyle w:val="25"/>
        <w:spacing w:before="120" w:line="360" w:lineRule="auto"/>
        <w:ind w:left="25" w:leftChars="12" w:firstLine="472" w:firstLineChars="197"/>
        <w:rPr>
          <w:rFonts w:hAnsi="宋体" w:cs="宋体"/>
          <w:sz w:val="24"/>
          <w:szCs w:val="24"/>
        </w:rPr>
      </w:pPr>
      <w:r>
        <w:rPr>
          <w:rFonts w:hint="eastAsia" w:hAnsi="宋体" w:cs="宋体"/>
          <w:sz w:val="24"/>
          <w:szCs w:val="24"/>
        </w:rPr>
        <w:t>日期：</w:t>
      </w:r>
    </w:p>
    <w:p>
      <w:pPr>
        <w:pStyle w:val="25"/>
        <w:snapToGrid w:val="0"/>
        <w:spacing w:before="120" w:line="360" w:lineRule="auto"/>
        <w:ind w:firstLine="480"/>
        <w:rPr>
          <w:rFonts w:hAnsi="宋体" w:cs="宋体"/>
          <w:b/>
          <w:sz w:val="24"/>
          <w:szCs w:val="24"/>
        </w:rPr>
      </w:pPr>
    </w:p>
    <w:p>
      <w:pPr>
        <w:pStyle w:val="25"/>
        <w:snapToGrid w:val="0"/>
        <w:spacing w:before="120" w:line="360" w:lineRule="auto"/>
        <w:ind w:firstLine="480"/>
        <w:rPr>
          <w:rFonts w:ascii="楷体" w:hAnsi="楷体" w:eastAsia="楷体" w:cs="宋体"/>
          <w:b/>
          <w:sz w:val="24"/>
          <w:szCs w:val="24"/>
        </w:rPr>
      </w:pPr>
      <w:r>
        <w:rPr>
          <w:rFonts w:hint="eastAsia" w:ascii="楷体" w:hAnsi="楷体" w:eastAsia="楷体" w:cs="宋体"/>
          <w:b/>
          <w:sz w:val="24"/>
          <w:szCs w:val="24"/>
        </w:rPr>
        <w:t>说明：</w:t>
      </w:r>
    </w:p>
    <w:p>
      <w:pPr>
        <w:pStyle w:val="25"/>
        <w:spacing w:before="120" w:line="360" w:lineRule="auto"/>
        <w:ind w:left="25" w:leftChars="12" w:firstLine="354" w:firstLineChars="147"/>
        <w:rPr>
          <w:rFonts w:ascii="楷体" w:hAnsi="楷体" w:eastAsia="楷体" w:cs="宋体"/>
          <w:b/>
          <w:bCs/>
          <w:sz w:val="24"/>
          <w:szCs w:val="24"/>
        </w:rPr>
      </w:pPr>
      <w:r>
        <w:rPr>
          <w:rFonts w:ascii="楷体" w:hAnsi="楷体" w:eastAsia="楷体" w:cs="宋体"/>
          <w:b/>
          <w:sz w:val="24"/>
          <w:szCs w:val="24"/>
        </w:rPr>
        <w:t>1.供应商提出质疑时，应提交质疑函和必要的证明材料</w:t>
      </w:r>
      <w:r>
        <w:rPr>
          <w:rFonts w:hint="eastAsia" w:ascii="楷体" w:hAnsi="楷体" w:eastAsia="楷体" w:cs="宋体"/>
          <w:b/>
          <w:bCs/>
          <w:sz w:val="24"/>
          <w:szCs w:val="24"/>
        </w:rPr>
        <w:t>。</w:t>
      </w:r>
    </w:p>
    <w:p>
      <w:pPr>
        <w:pStyle w:val="25"/>
        <w:spacing w:before="120" w:line="360" w:lineRule="auto"/>
        <w:ind w:left="25" w:leftChars="12" w:firstLine="354" w:firstLineChars="147"/>
        <w:rPr>
          <w:rFonts w:ascii="楷体" w:hAnsi="楷体" w:eastAsia="楷体" w:cs="宋体"/>
          <w:b/>
          <w:sz w:val="24"/>
          <w:szCs w:val="24"/>
        </w:rPr>
      </w:pPr>
      <w:r>
        <w:rPr>
          <w:rFonts w:ascii="楷体" w:hAnsi="楷体" w:eastAsia="楷体" w:cs="宋体"/>
          <w:b/>
          <w:sz w:val="24"/>
          <w:szCs w:val="24"/>
        </w:rPr>
        <w:t>2.质疑供应商若委托代理人进行质疑的，</w:t>
      </w:r>
      <w:r>
        <w:rPr>
          <w:rFonts w:hint="eastAsia" w:ascii="楷体" w:hAnsi="楷体" w:eastAsia="楷体" w:cs="宋体"/>
          <w:b/>
          <w:sz w:val="24"/>
          <w:szCs w:val="24"/>
        </w:rPr>
        <w:t>质疑函应按要求列明“授权代表”的有关内容，并在附件中提交由质疑供应商签署的授权委托书。授权委托书应载明代理人的姓名或者名称、代理事项、具体权限、期限和相关事项。</w:t>
      </w:r>
    </w:p>
    <w:p>
      <w:pPr>
        <w:pStyle w:val="25"/>
        <w:spacing w:before="120" w:line="360" w:lineRule="auto"/>
        <w:ind w:left="25" w:leftChars="12" w:firstLine="354" w:firstLineChars="147"/>
        <w:rPr>
          <w:rFonts w:ascii="楷体" w:hAnsi="楷体" w:eastAsia="楷体" w:cs="宋体"/>
          <w:b/>
          <w:sz w:val="24"/>
          <w:szCs w:val="24"/>
        </w:rPr>
      </w:pPr>
      <w:r>
        <w:rPr>
          <w:rFonts w:ascii="楷体" w:hAnsi="楷体" w:eastAsia="楷体" w:cs="宋体"/>
          <w:b/>
          <w:sz w:val="24"/>
          <w:szCs w:val="24"/>
        </w:rPr>
        <w:t>3.质疑函的质疑事项应具体、明确，并有必要的事实依据和法律依据。</w:t>
      </w:r>
    </w:p>
    <w:p>
      <w:pPr>
        <w:pStyle w:val="25"/>
        <w:spacing w:before="120" w:line="360" w:lineRule="auto"/>
        <w:ind w:left="25" w:leftChars="12" w:firstLine="354" w:firstLineChars="147"/>
        <w:rPr>
          <w:rFonts w:ascii="楷体" w:hAnsi="楷体" w:eastAsia="楷体" w:cs="宋体"/>
          <w:b/>
          <w:sz w:val="24"/>
          <w:szCs w:val="24"/>
        </w:rPr>
      </w:pPr>
      <w:r>
        <w:rPr>
          <w:rFonts w:ascii="楷体" w:hAnsi="楷体" w:eastAsia="楷体" w:cs="宋体"/>
          <w:b/>
          <w:sz w:val="24"/>
          <w:szCs w:val="24"/>
        </w:rPr>
        <w:t>4.质疑函的质疑请求应与质疑事项相关。</w:t>
      </w:r>
    </w:p>
    <w:p>
      <w:pPr>
        <w:pStyle w:val="25"/>
        <w:spacing w:before="120" w:line="360" w:lineRule="auto"/>
        <w:ind w:left="25" w:leftChars="12" w:firstLine="354" w:firstLineChars="147"/>
        <w:rPr>
          <w:rFonts w:ascii="楷体" w:hAnsi="楷体" w:eastAsia="楷体" w:cs="宋体"/>
          <w:b/>
        </w:rPr>
      </w:pPr>
      <w:r>
        <w:rPr>
          <w:rFonts w:ascii="楷体" w:hAnsi="楷体" w:eastAsia="楷体" w:cs="宋体"/>
          <w:b/>
          <w:sz w:val="24"/>
          <w:szCs w:val="24"/>
        </w:rPr>
        <w:t>5.质疑供应商为法人或者其他组织的，</w:t>
      </w:r>
      <w:r>
        <w:rPr>
          <w:rFonts w:hint="eastAsia" w:ascii="楷体" w:hAnsi="楷体" w:eastAsia="楷体" w:cs="宋体"/>
          <w:b/>
          <w:sz w:val="24"/>
          <w:szCs w:val="24"/>
        </w:rPr>
        <w:t>质疑函应由法定代表人、主要负责人，或者其授权代表签字或者盖章，并加盖公章。</w:t>
      </w:r>
    </w:p>
    <w:p>
      <w:pPr>
        <w:pStyle w:val="25"/>
        <w:snapToGrid w:val="0"/>
        <w:spacing w:before="120"/>
        <w:ind w:firstLine="480"/>
        <w:rPr>
          <w:rFonts w:hAnsi="宋体" w:cs="宋体"/>
          <w:b/>
          <w:sz w:val="24"/>
          <w:szCs w:val="24"/>
        </w:rPr>
      </w:pPr>
    </w:p>
    <w:p>
      <w:pPr>
        <w:spacing w:before="120" w:line="360" w:lineRule="auto"/>
        <w:ind w:firstLine="883"/>
        <w:jc w:val="left"/>
        <w:rPr>
          <w:rFonts w:ascii="宋体" w:hAnsi="宋体" w:cs="宋体"/>
          <w:b/>
          <w:bCs/>
          <w:sz w:val="32"/>
          <w:szCs w:val="32"/>
        </w:rPr>
      </w:pPr>
      <w:r>
        <w:rPr>
          <w:rFonts w:hint="eastAsia" w:ascii="宋体" w:hAnsi="宋体" w:cs="宋体"/>
          <w:sz w:val="44"/>
        </w:rPr>
        <w:br w:type="page"/>
      </w:r>
      <w:r>
        <w:rPr>
          <w:rFonts w:hint="eastAsia" w:ascii="宋体" w:hAnsi="宋体" w:cs="宋体"/>
          <w:b/>
          <w:sz w:val="24"/>
        </w:rPr>
        <w:t>5.投诉书格式</w:t>
      </w:r>
    </w:p>
    <w:p>
      <w:pPr>
        <w:spacing w:before="120"/>
        <w:ind w:firstLine="883"/>
        <w:jc w:val="center"/>
        <w:rPr>
          <w:rFonts w:ascii="宋体" w:hAnsi="宋体" w:cs="宋体"/>
          <w:sz w:val="44"/>
          <w:szCs w:val="44"/>
        </w:rPr>
      </w:pPr>
      <w:r>
        <w:rPr>
          <w:rFonts w:hint="eastAsia" w:ascii="宋体" w:hAnsi="宋体" w:cs="宋体"/>
          <w:sz w:val="44"/>
          <w:szCs w:val="44"/>
        </w:rPr>
        <w:t>投诉书</w:t>
      </w:r>
    </w:p>
    <w:p>
      <w:pPr>
        <w:pStyle w:val="25"/>
        <w:snapToGrid w:val="0"/>
        <w:spacing w:before="120" w:line="440" w:lineRule="exact"/>
        <w:ind w:firstLine="482" w:firstLineChars="200"/>
        <w:rPr>
          <w:rFonts w:hAnsi="宋体" w:cs="宋体"/>
          <w:b/>
          <w:bCs/>
          <w:sz w:val="24"/>
          <w:szCs w:val="24"/>
        </w:rPr>
      </w:pPr>
    </w:p>
    <w:p>
      <w:pPr>
        <w:pStyle w:val="25"/>
        <w:snapToGrid w:val="0"/>
        <w:spacing w:before="120" w:line="440" w:lineRule="exact"/>
        <w:ind w:firstLine="482" w:firstLineChars="200"/>
        <w:rPr>
          <w:rFonts w:hAnsi="宋体" w:cs="宋体"/>
          <w:b/>
          <w:bCs/>
          <w:sz w:val="24"/>
          <w:szCs w:val="24"/>
        </w:rPr>
      </w:pPr>
      <w:r>
        <w:rPr>
          <w:rFonts w:hint="eastAsia" w:hAnsi="宋体" w:cs="宋体"/>
          <w:b/>
          <w:bCs/>
          <w:sz w:val="24"/>
          <w:szCs w:val="24"/>
        </w:rPr>
        <w:t>一、投诉相关主体基本情况：</w:t>
      </w:r>
    </w:p>
    <w:p>
      <w:pPr>
        <w:pStyle w:val="25"/>
        <w:snapToGrid w:val="0"/>
        <w:spacing w:before="120" w:line="440" w:lineRule="exact"/>
        <w:ind w:firstLine="480" w:firstLineChars="200"/>
        <w:jc w:val="left"/>
        <w:rPr>
          <w:rFonts w:hAnsi="宋体" w:cs="宋体"/>
          <w:bCs/>
          <w:sz w:val="24"/>
          <w:szCs w:val="24"/>
          <w:u w:val="single"/>
        </w:rPr>
      </w:pPr>
      <w:r>
        <w:rPr>
          <w:rFonts w:hint="eastAsia" w:hAnsi="宋体" w:cs="宋体"/>
          <w:bCs/>
          <w:sz w:val="24"/>
          <w:szCs w:val="24"/>
        </w:rPr>
        <w:t>投标人：</w:t>
      </w:r>
      <w:r>
        <w:rPr>
          <w:rFonts w:hint="eastAsia" w:hAnsi="宋体" w:cs="宋体"/>
          <w:bCs/>
          <w:sz w:val="24"/>
          <w:szCs w:val="24"/>
          <w:u w:val="single"/>
        </w:rPr>
        <w:t xml:space="preserve">                                                                        </w:t>
      </w:r>
      <w:r>
        <w:rPr>
          <w:rFonts w:hint="eastAsia" w:hAnsi="宋体" w:cs="宋体"/>
          <w:bCs/>
          <w:sz w:val="24"/>
          <w:szCs w:val="24"/>
        </w:rPr>
        <w:t xml:space="preserve">                 </w:t>
      </w:r>
    </w:p>
    <w:p>
      <w:pPr>
        <w:pStyle w:val="25"/>
        <w:snapToGrid w:val="0"/>
        <w:spacing w:before="120" w:line="440" w:lineRule="exact"/>
        <w:ind w:firstLine="480" w:firstLineChars="200"/>
        <w:jc w:val="left"/>
        <w:rPr>
          <w:rFonts w:hAnsi="宋体" w:cs="宋体"/>
          <w:bCs/>
          <w:sz w:val="24"/>
          <w:szCs w:val="24"/>
        </w:rPr>
      </w:pPr>
      <w:r>
        <w:rPr>
          <w:rFonts w:hint="eastAsia" w:hAnsi="宋体" w:cs="宋体"/>
          <w:bCs/>
          <w:sz w:val="24"/>
          <w:szCs w:val="24"/>
        </w:rPr>
        <w:t>地址：</w:t>
      </w:r>
      <w:r>
        <w:rPr>
          <w:rFonts w:hint="eastAsia" w:hAnsi="宋体" w:cs="宋体"/>
          <w:bCs/>
          <w:sz w:val="24"/>
          <w:szCs w:val="24"/>
          <w:u w:val="single"/>
        </w:rPr>
        <w:t xml:space="preserve">                                          </w:t>
      </w:r>
      <w:r>
        <w:rPr>
          <w:rFonts w:hint="eastAsia" w:hAnsi="宋体" w:cs="宋体"/>
          <w:bCs/>
          <w:sz w:val="24"/>
          <w:szCs w:val="24"/>
        </w:rPr>
        <w:t>邮编：</w:t>
      </w:r>
      <w:r>
        <w:rPr>
          <w:rFonts w:hint="eastAsia" w:hAnsi="宋体" w:cs="宋体"/>
          <w:bCs/>
          <w:sz w:val="24"/>
          <w:szCs w:val="24"/>
          <w:u w:val="single"/>
        </w:rPr>
        <w:t xml:space="preserve">                          </w:t>
      </w:r>
      <w:r>
        <w:rPr>
          <w:rFonts w:hint="eastAsia" w:hAnsi="宋体" w:cs="宋体"/>
          <w:bCs/>
          <w:sz w:val="24"/>
          <w:szCs w:val="24"/>
        </w:rPr>
        <w:t xml:space="preserve">                 </w:t>
      </w:r>
    </w:p>
    <w:p>
      <w:pPr>
        <w:pStyle w:val="25"/>
        <w:snapToGrid w:val="0"/>
        <w:spacing w:before="120" w:line="440" w:lineRule="exact"/>
        <w:ind w:firstLine="480" w:firstLineChars="200"/>
        <w:jc w:val="left"/>
        <w:rPr>
          <w:rFonts w:hAnsi="宋体" w:cs="宋体"/>
          <w:bCs/>
          <w:sz w:val="24"/>
          <w:szCs w:val="24"/>
          <w:u w:val="single"/>
        </w:rPr>
      </w:pPr>
      <w:r>
        <w:rPr>
          <w:rFonts w:hint="eastAsia" w:hAnsi="宋体" w:cs="宋体"/>
          <w:bCs/>
          <w:sz w:val="24"/>
          <w:szCs w:val="24"/>
        </w:rPr>
        <w:t>法定代表人/主要负责人：</w:t>
      </w:r>
      <w:r>
        <w:rPr>
          <w:rFonts w:hint="eastAsia" w:hAnsi="宋体" w:cs="宋体"/>
          <w:bCs/>
          <w:sz w:val="24"/>
          <w:szCs w:val="24"/>
          <w:u w:val="single"/>
        </w:rPr>
        <w:t xml:space="preserve">                                                         </w:t>
      </w:r>
    </w:p>
    <w:p>
      <w:pPr>
        <w:pStyle w:val="25"/>
        <w:snapToGrid w:val="0"/>
        <w:spacing w:before="120" w:line="440" w:lineRule="exact"/>
        <w:ind w:firstLine="480" w:firstLineChars="200"/>
        <w:jc w:val="left"/>
        <w:rPr>
          <w:rFonts w:hAnsi="宋体" w:cs="宋体"/>
          <w:bCs/>
          <w:sz w:val="24"/>
          <w:szCs w:val="24"/>
        </w:rPr>
      </w:pPr>
      <w:r>
        <w:rPr>
          <w:rFonts w:hint="eastAsia" w:hAnsi="宋体" w:cs="宋体"/>
          <w:bCs/>
          <w:sz w:val="24"/>
          <w:szCs w:val="24"/>
        </w:rPr>
        <w:t>联系电话：</w:t>
      </w:r>
      <w:r>
        <w:rPr>
          <w:rFonts w:hint="eastAsia" w:hAnsi="宋体" w:cs="宋体"/>
          <w:bCs/>
          <w:sz w:val="24"/>
          <w:szCs w:val="24"/>
          <w:u w:val="single"/>
        </w:rPr>
        <w:t xml:space="preserve">                                                              </w:t>
      </w:r>
    </w:p>
    <w:p>
      <w:pPr>
        <w:pStyle w:val="25"/>
        <w:snapToGrid w:val="0"/>
        <w:spacing w:before="120" w:line="440" w:lineRule="exact"/>
        <w:ind w:firstLine="480" w:firstLineChars="200"/>
        <w:jc w:val="left"/>
        <w:rPr>
          <w:rFonts w:hAnsi="宋体" w:cs="宋体"/>
          <w:bCs/>
          <w:sz w:val="24"/>
          <w:szCs w:val="24"/>
          <w:u w:val="single"/>
        </w:rPr>
      </w:pPr>
      <w:r>
        <w:rPr>
          <w:rFonts w:hint="eastAsia" w:hAnsi="宋体" w:cs="宋体"/>
          <w:bCs/>
          <w:sz w:val="24"/>
          <w:szCs w:val="24"/>
        </w:rPr>
        <w:t>授权代表：</w:t>
      </w:r>
      <w:r>
        <w:rPr>
          <w:rFonts w:hint="eastAsia" w:hAnsi="宋体" w:cs="宋体"/>
          <w:bCs/>
          <w:sz w:val="24"/>
          <w:szCs w:val="24"/>
          <w:u w:val="single"/>
        </w:rPr>
        <w:t xml:space="preserve">                                         </w:t>
      </w:r>
      <w:r>
        <w:rPr>
          <w:rFonts w:hint="eastAsia" w:hAnsi="宋体" w:cs="宋体"/>
          <w:bCs/>
          <w:sz w:val="24"/>
          <w:szCs w:val="24"/>
        </w:rPr>
        <w:t>联系电话：</w:t>
      </w:r>
      <w:r>
        <w:rPr>
          <w:rFonts w:hint="eastAsia" w:hAnsi="宋体" w:cs="宋体"/>
          <w:bCs/>
          <w:sz w:val="24"/>
          <w:szCs w:val="24"/>
          <w:u w:val="single"/>
        </w:rPr>
        <w:t xml:space="preserve">                   </w:t>
      </w:r>
    </w:p>
    <w:p>
      <w:pPr>
        <w:pStyle w:val="25"/>
        <w:snapToGrid w:val="0"/>
        <w:spacing w:before="120" w:line="440" w:lineRule="exact"/>
        <w:ind w:firstLine="480" w:firstLineChars="200"/>
        <w:jc w:val="left"/>
        <w:rPr>
          <w:rFonts w:hAnsi="宋体" w:cs="宋体"/>
          <w:bCs/>
          <w:sz w:val="24"/>
          <w:szCs w:val="24"/>
          <w:u w:val="single"/>
        </w:rPr>
      </w:pPr>
      <w:r>
        <w:rPr>
          <w:rFonts w:hint="eastAsia" w:hAnsi="宋体" w:cs="宋体"/>
          <w:bCs/>
          <w:sz w:val="24"/>
          <w:szCs w:val="24"/>
        </w:rPr>
        <w:t>地址：</w:t>
      </w:r>
      <w:r>
        <w:rPr>
          <w:rFonts w:hint="eastAsia" w:hAnsi="宋体" w:cs="宋体"/>
          <w:bCs/>
          <w:sz w:val="24"/>
          <w:szCs w:val="24"/>
          <w:u w:val="single"/>
        </w:rPr>
        <w:t xml:space="preserve">                                                                  </w:t>
      </w:r>
    </w:p>
    <w:p>
      <w:pPr>
        <w:pStyle w:val="25"/>
        <w:snapToGrid w:val="0"/>
        <w:spacing w:before="120" w:line="440" w:lineRule="exact"/>
        <w:ind w:firstLine="480" w:firstLineChars="200"/>
        <w:jc w:val="left"/>
        <w:rPr>
          <w:rFonts w:hAnsi="宋体" w:cs="宋体"/>
          <w:bCs/>
          <w:sz w:val="24"/>
          <w:szCs w:val="24"/>
        </w:rPr>
      </w:pPr>
      <w:r>
        <w:rPr>
          <w:rFonts w:hint="eastAsia" w:hAnsi="宋体" w:cs="宋体"/>
          <w:bCs/>
          <w:sz w:val="24"/>
          <w:szCs w:val="24"/>
        </w:rPr>
        <w:t>邮编：</w:t>
      </w:r>
      <w:r>
        <w:rPr>
          <w:rFonts w:hint="eastAsia" w:hAnsi="宋体" w:cs="宋体"/>
          <w:bCs/>
          <w:sz w:val="24"/>
          <w:szCs w:val="24"/>
          <w:u w:val="single"/>
        </w:rPr>
        <w:t xml:space="preserve">         </w:t>
      </w:r>
      <w:r>
        <w:rPr>
          <w:rFonts w:hint="eastAsia" w:hAnsi="宋体" w:cs="宋体"/>
          <w:bCs/>
          <w:sz w:val="24"/>
          <w:szCs w:val="24"/>
        </w:rPr>
        <w:t xml:space="preserve">   </w:t>
      </w:r>
    </w:p>
    <w:p>
      <w:pPr>
        <w:pStyle w:val="25"/>
        <w:snapToGrid w:val="0"/>
        <w:spacing w:before="120" w:line="440" w:lineRule="exact"/>
        <w:ind w:firstLine="480" w:firstLineChars="200"/>
        <w:jc w:val="left"/>
        <w:rPr>
          <w:rFonts w:hAnsi="宋体" w:cs="宋体"/>
          <w:bCs/>
          <w:sz w:val="24"/>
          <w:szCs w:val="24"/>
        </w:rPr>
      </w:pPr>
      <w:r>
        <w:rPr>
          <w:rFonts w:hint="eastAsia" w:hAnsi="宋体" w:cs="宋体"/>
          <w:bCs/>
          <w:sz w:val="24"/>
          <w:szCs w:val="24"/>
        </w:rPr>
        <w:t>被投诉人1：</w:t>
      </w:r>
    </w:p>
    <w:p>
      <w:pPr>
        <w:pStyle w:val="25"/>
        <w:snapToGrid w:val="0"/>
        <w:spacing w:before="120" w:line="440" w:lineRule="exact"/>
        <w:ind w:firstLine="480" w:firstLineChars="200"/>
        <w:jc w:val="left"/>
        <w:rPr>
          <w:rFonts w:hAnsi="宋体" w:cs="宋体"/>
          <w:bCs/>
          <w:sz w:val="24"/>
          <w:szCs w:val="24"/>
          <w:u w:val="single"/>
        </w:rPr>
      </w:pPr>
      <w:r>
        <w:rPr>
          <w:rFonts w:hint="eastAsia" w:hAnsi="宋体" w:cs="宋体"/>
          <w:bCs/>
          <w:sz w:val="24"/>
          <w:szCs w:val="24"/>
        </w:rPr>
        <w:t>地址：</w:t>
      </w:r>
      <w:r>
        <w:rPr>
          <w:rFonts w:hint="eastAsia" w:hAnsi="宋体" w:cs="宋体"/>
          <w:bCs/>
          <w:sz w:val="24"/>
          <w:szCs w:val="24"/>
          <w:u w:val="single"/>
        </w:rPr>
        <w:t xml:space="preserve">                                                                  </w:t>
      </w:r>
    </w:p>
    <w:p>
      <w:pPr>
        <w:pStyle w:val="25"/>
        <w:snapToGrid w:val="0"/>
        <w:spacing w:before="120" w:line="440" w:lineRule="exact"/>
        <w:ind w:firstLine="480" w:firstLineChars="200"/>
        <w:jc w:val="left"/>
        <w:rPr>
          <w:rFonts w:hAnsi="宋体" w:cs="宋体"/>
          <w:bCs/>
          <w:sz w:val="24"/>
          <w:szCs w:val="24"/>
        </w:rPr>
      </w:pPr>
      <w:r>
        <w:rPr>
          <w:rFonts w:hint="eastAsia" w:hAnsi="宋体" w:cs="宋体"/>
          <w:bCs/>
          <w:sz w:val="24"/>
          <w:szCs w:val="24"/>
        </w:rPr>
        <w:t>邮编：</w:t>
      </w:r>
      <w:r>
        <w:rPr>
          <w:rFonts w:hint="eastAsia" w:hAnsi="宋体" w:cs="宋体"/>
          <w:bCs/>
          <w:sz w:val="24"/>
          <w:szCs w:val="24"/>
          <w:u w:val="single"/>
        </w:rPr>
        <w:t xml:space="preserve">         </w:t>
      </w:r>
      <w:r>
        <w:rPr>
          <w:rFonts w:hint="eastAsia" w:hAnsi="宋体" w:cs="宋体"/>
          <w:bCs/>
          <w:sz w:val="24"/>
          <w:szCs w:val="24"/>
        </w:rPr>
        <w:t xml:space="preserve">  </w:t>
      </w:r>
    </w:p>
    <w:p>
      <w:pPr>
        <w:pStyle w:val="25"/>
        <w:snapToGrid w:val="0"/>
        <w:spacing w:before="120" w:line="440" w:lineRule="exact"/>
        <w:ind w:firstLine="480" w:firstLineChars="200"/>
        <w:jc w:val="left"/>
        <w:rPr>
          <w:rFonts w:hAnsi="宋体" w:cs="宋体"/>
          <w:bCs/>
          <w:sz w:val="24"/>
          <w:szCs w:val="24"/>
          <w:u w:val="single"/>
        </w:rPr>
      </w:pPr>
      <w:r>
        <w:rPr>
          <w:rFonts w:hint="eastAsia" w:hAnsi="宋体" w:cs="宋体"/>
          <w:bCs/>
          <w:sz w:val="24"/>
          <w:szCs w:val="24"/>
        </w:rPr>
        <w:t>联系人：</w:t>
      </w:r>
      <w:r>
        <w:rPr>
          <w:rFonts w:hint="eastAsia" w:hAnsi="宋体" w:cs="宋体"/>
          <w:bCs/>
          <w:sz w:val="24"/>
          <w:szCs w:val="24"/>
          <w:u w:val="single"/>
        </w:rPr>
        <w:t xml:space="preserve">                            </w:t>
      </w:r>
      <w:r>
        <w:rPr>
          <w:rFonts w:hint="eastAsia" w:hAnsi="宋体" w:cs="宋体"/>
          <w:bCs/>
          <w:sz w:val="24"/>
          <w:szCs w:val="24"/>
        </w:rPr>
        <w:t>联系电话：</w:t>
      </w:r>
      <w:r>
        <w:rPr>
          <w:rFonts w:hint="eastAsia" w:hAnsi="宋体" w:cs="宋体"/>
          <w:bCs/>
          <w:sz w:val="24"/>
          <w:szCs w:val="24"/>
          <w:u w:val="single"/>
        </w:rPr>
        <w:t xml:space="preserve">                          </w:t>
      </w:r>
    </w:p>
    <w:p>
      <w:pPr>
        <w:pStyle w:val="25"/>
        <w:snapToGrid w:val="0"/>
        <w:spacing w:before="120" w:line="440" w:lineRule="exact"/>
        <w:ind w:firstLine="480" w:firstLineChars="200"/>
        <w:jc w:val="left"/>
        <w:rPr>
          <w:rFonts w:hAnsi="宋体" w:cs="宋体"/>
          <w:bCs/>
          <w:sz w:val="24"/>
          <w:szCs w:val="24"/>
        </w:rPr>
      </w:pPr>
      <w:r>
        <w:rPr>
          <w:rFonts w:hint="eastAsia" w:hAnsi="宋体" w:cs="宋体"/>
          <w:bCs/>
          <w:sz w:val="24"/>
          <w:szCs w:val="24"/>
        </w:rPr>
        <w:t>被投诉人2：</w:t>
      </w:r>
    </w:p>
    <w:p>
      <w:pPr>
        <w:pStyle w:val="25"/>
        <w:snapToGrid w:val="0"/>
        <w:spacing w:before="120" w:line="440" w:lineRule="exact"/>
        <w:ind w:firstLine="480" w:firstLineChars="200"/>
        <w:jc w:val="left"/>
        <w:rPr>
          <w:rFonts w:hAnsi="宋体" w:cs="宋体"/>
          <w:bCs/>
          <w:sz w:val="24"/>
          <w:szCs w:val="24"/>
        </w:rPr>
      </w:pPr>
      <w:r>
        <w:rPr>
          <w:rFonts w:hint="eastAsia" w:hAnsi="宋体" w:cs="宋体"/>
          <w:bCs/>
          <w:sz w:val="24"/>
          <w:szCs w:val="24"/>
        </w:rPr>
        <w:t>……</w:t>
      </w:r>
    </w:p>
    <w:p>
      <w:pPr>
        <w:pStyle w:val="25"/>
        <w:snapToGrid w:val="0"/>
        <w:spacing w:before="120" w:line="440" w:lineRule="exact"/>
        <w:ind w:firstLine="480" w:firstLineChars="200"/>
        <w:jc w:val="left"/>
        <w:rPr>
          <w:rFonts w:hAnsi="宋体" w:cs="宋体"/>
          <w:bCs/>
          <w:sz w:val="24"/>
          <w:szCs w:val="24"/>
          <w:u w:val="single"/>
        </w:rPr>
      </w:pPr>
      <w:r>
        <w:rPr>
          <w:rFonts w:hint="eastAsia" w:hAnsi="宋体" w:cs="宋体"/>
          <w:bCs/>
          <w:sz w:val="24"/>
          <w:szCs w:val="24"/>
        </w:rPr>
        <w:t>相关供应商：</w:t>
      </w:r>
      <w:r>
        <w:rPr>
          <w:rFonts w:hint="eastAsia" w:hAnsi="宋体" w:cs="宋体"/>
          <w:bCs/>
          <w:sz w:val="24"/>
          <w:szCs w:val="24"/>
          <w:u w:val="single"/>
        </w:rPr>
        <w:t xml:space="preserve">                                                                       </w:t>
      </w:r>
    </w:p>
    <w:p>
      <w:pPr>
        <w:pStyle w:val="25"/>
        <w:snapToGrid w:val="0"/>
        <w:spacing w:before="120" w:line="440" w:lineRule="exact"/>
        <w:ind w:firstLine="480" w:firstLineChars="200"/>
        <w:jc w:val="left"/>
        <w:rPr>
          <w:rFonts w:hAnsi="宋体" w:cs="宋体"/>
          <w:bCs/>
          <w:sz w:val="24"/>
          <w:szCs w:val="24"/>
          <w:u w:val="single"/>
        </w:rPr>
      </w:pPr>
      <w:r>
        <w:rPr>
          <w:rFonts w:hint="eastAsia" w:hAnsi="宋体" w:cs="宋体"/>
          <w:bCs/>
          <w:sz w:val="24"/>
          <w:szCs w:val="24"/>
        </w:rPr>
        <w:t>地址：</w:t>
      </w:r>
      <w:r>
        <w:rPr>
          <w:rFonts w:hint="eastAsia" w:hAnsi="宋体" w:cs="宋体"/>
          <w:bCs/>
          <w:sz w:val="24"/>
          <w:szCs w:val="24"/>
          <w:u w:val="single"/>
        </w:rPr>
        <w:t xml:space="preserve">                                              </w:t>
      </w:r>
      <w:r>
        <w:rPr>
          <w:rFonts w:hint="eastAsia" w:hAnsi="宋体" w:cs="宋体"/>
          <w:bCs/>
          <w:sz w:val="24"/>
          <w:szCs w:val="24"/>
        </w:rPr>
        <w:t>邮编：</w:t>
      </w:r>
      <w:r>
        <w:rPr>
          <w:rFonts w:hint="eastAsia" w:hAnsi="宋体" w:cs="宋体"/>
          <w:bCs/>
          <w:sz w:val="24"/>
          <w:szCs w:val="24"/>
          <w:u w:val="single"/>
        </w:rPr>
        <w:t xml:space="preserve">                         </w:t>
      </w:r>
    </w:p>
    <w:p>
      <w:pPr>
        <w:pStyle w:val="25"/>
        <w:snapToGrid w:val="0"/>
        <w:spacing w:before="120" w:line="440" w:lineRule="exact"/>
        <w:ind w:firstLine="480" w:firstLineChars="200"/>
        <w:jc w:val="left"/>
        <w:rPr>
          <w:rFonts w:hAnsi="宋体" w:cs="宋体"/>
          <w:bCs/>
          <w:sz w:val="24"/>
          <w:szCs w:val="24"/>
        </w:rPr>
      </w:pPr>
      <w:r>
        <w:rPr>
          <w:rFonts w:hint="eastAsia" w:hAnsi="宋体" w:cs="宋体"/>
          <w:bCs/>
          <w:sz w:val="24"/>
          <w:szCs w:val="24"/>
        </w:rPr>
        <w:t>联系人：</w:t>
      </w:r>
      <w:r>
        <w:rPr>
          <w:rFonts w:hint="eastAsia" w:hAnsi="宋体" w:cs="宋体"/>
          <w:bCs/>
          <w:sz w:val="24"/>
          <w:szCs w:val="24"/>
          <w:u w:val="single"/>
        </w:rPr>
        <w:t xml:space="preserve">                                            </w:t>
      </w:r>
      <w:r>
        <w:rPr>
          <w:rFonts w:hint="eastAsia" w:hAnsi="宋体" w:cs="宋体"/>
          <w:bCs/>
          <w:sz w:val="24"/>
          <w:szCs w:val="24"/>
        </w:rPr>
        <w:t>联系电话：</w:t>
      </w:r>
      <w:r>
        <w:rPr>
          <w:rFonts w:hint="eastAsia" w:hAnsi="宋体" w:cs="宋体"/>
          <w:bCs/>
          <w:sz w:val="24"/>
          <w:szCs w:val="24"/>
          <w:u w:val="single"/>
        </w:rPr>
        <w:t xml:space="preserve">                     </w:t>
      </w:r>
      <w:r>
        <w:rPr>
          <w:rFonts w:hint="eastAsia" w:hAnsi="宋体" w:cs="宋体"/>
          <w:bCs/>
          <w:sz w:val="24"/>
          <w:szCs w:val="24"/>
        </w:rPr>
        <w:t xml:space="preserve">                </w:t>
      </w:r>
    </w:p>
    <w:p>
      <w:pPr>
        <w:pStyle w:val="25"/>
        <w:snapToGrid w:val="0"/>
        <w:spacing w:before="120" w:line="440" w:lineRule="exact"/>
        <w:ind w:firstLine="482" w:firstLineChars="200"/>
        <w:rPr>
          <w:rFonts w:hAnsi="宋体" w:cs="宋体"/>
          <w:b/>
          <w:bCs/>
          <w:sz w:val="24"/>
          <w:szCs w:val="24"/>
        </w:rPr>
      </w:pPr>
      <w:r>
        <w:rPr>
          <w:rFonts w:hint="eastAsia" w:hAnsi="宋体" w:cs="宋体"/>
          <w:b/>
          <w:bCs/>
          <w:sz w:val="24"/>
          <w:szCs w:val="24"/>
        </w:rPr>
        <w:t>二、投诉项目基本情况：</w:t>
      </w:r>
    </w:p>
    <w:p>
      <w:pPr>
        <w:pStyle w:val="25"/>
        <w:spacing w:before="120" w:line="440" w:lineRule="exact"/>
        <w:ind w:left="25" w:leftChars="12" w:firstLine="472" w:firstLineChars="197"/>
        <w:rPr>
          <w:rFonts w:hAnsi="宋体" w:cs="宋体"/>
          <w:sz w:val="24"/>
          <w:szCs w:val="24"/>
        </w:rPr>
      </w:pPr>
      <w:r>
        <w:rPr>
          <w:rFonts w:hint="eastAsia" w:hAnsi="宋体" w:cs="宋体"/>
          <w:bCs/>
          <w:sz w:val="24"/>
          <w:szCs w:val="24"/>
        </w:rPr>
        <w:t>采购</w:t>
      </w:r>
      <w:r>
        <w:rPr>
          <w:rFonts w:hint="eastAsia" w:hAnsi="宋体" w:cs="宋体"/>
          <w:sz w:val="24"/>
          <w:szCs w:val="24"/>
        </w:rPr>
        <w:t>项目的名称：</w:t>
      </w:r>
      <w:r>
        <w:rPr>
          <w:rFonts w:hint="eastAsia" w:hAnsi="宋体" w:cs="宋体"/>
          <w:bCs/>
          <w:sz w:val="24"/>
          <w:szCs w:val="24"/>
          <w:u w:val="single"/>
        </w:rPr>
        <w:t xml:space="preserve">                                                                   </w:t>
      </w:r>
    </w:p>
    <w:p>
      <w:pPr>
        <w:pStyle w:val="25"/>
        <w:spacing w:before="120" w:line="440" w:lineRule="exact"/>
        <w:ind w:left="25" w:leftChars="12" w:firstLine="472" w:firstLineChars="197"/>
        <w:rPr>
          <w:rFonts w:hAnsi="宋体" w:cs="宋体"/>
          <w:sz w:val="24"/>
          <w:szCs w:val="24"/>
        </w:rPr>
      </w:pPr>
      <w:r>
        <w:rPr>
          <w:rFonts w:hint="eastAsia" w:hAnsi="宋体" w:cs="宋体"/>
          <w:bCs/>
          <w:sz w:val="24"/>
          <w:szCs w:val="24"/>
        </w:rPr>
        <w:t>采购</w:t>
      </w:r>
      <w:r>
        <w:rPr>
          <w:rFonts w:hint="eastAsia" w:hAnsi="宋体" w:cs="宋体"/>
          <w:sz w:val="24"/>
          <w:szCs w:val="24"/>
        </w:rPr>
        <w:t>项目的编号：</w:t>
      </w:r>
      <w:r>
        <w:rPr>
          <w:rFonts w:hint="eastAsia" w:hAnsi="宋体" w:cs="宋体"/>
          <w:bCs/>
          <w:sz w:val="24"/>
          <w:szCs w:val="24"/>
          <w:u w:val="single"/>
        </w:rPr>
        <w:t xml:space="preserve">                                                        </w:t>
      </w:r>
    </w:p>
    <w:p>
      <w:pPr>
        <w:pStyle w:val="25"/>
        <w:spacing w:before="120" w:line="440" w:lineRule="exact"/>
        <w:ind w:left="25" w:leftChars="12" w:firstLine="472" w:firstLineChars="197"/>
        <w:rPr>
          <w:rFonts w:hAnsi="宋体" w:cs="宋体"/>
          <w:bCs/>
          <w:sz w:val="24"/>
          <w:szCs w:val="24"/>
          <w:u w:val="single"/>
        </w:rPr>
      </w:pPr>
      <w:r>
        <w:rPr>
          <w:rFonts w:hint="eastAsia" w:hAnsi="宋体" w:cs="宋体"/>
          <w:sz w:val="24"/>
          <w:szCs w:val="24"/>
        </w:rPr>
        <w:t>采购人名称：</w:t>
      </w:r>
      <w:r>
        <w:rPr>
          <w:rFonts w:hint="eastAsia" w:hAnsi="宋体" w:cs="宋体"/>
          <w:bCs/>
          <w:sz w:val="24"/>
          <w:szCs w:val="24"/>
          <w:u w:val="single"/>
        </w:rPr>
        <w:t xml:space="preserve">                                                                        </w:t>
      </w:r>
    </w:p>
    <w:p>
      <w:pPr>
        <w:pStyle w:val="25"/>
        <w:spacing w:before="120" w:line="440" w:lineRule="exact"/>
        <w:ind w:left="25" w:leftChars="12" w:firstLine="472" w:firstLineChars="197"/>
        <w:rPr>
          <w:rFonts w:hAnsi="宋体" w:cs="宋体"/>
          <w:bCs/>
          <w:sz w:val="24"/>
          <w:szCs w:val="24"/>
          <w:u w:val="single"/>
        </w:rPr>
      </w:pPr>
      <w:r>
        <w:rPr>
          <w:rFonts w:hint="eastAsia" w:hAnsi="宋体" w:cs="宋体"/>
          <w:sz w:val="24"/>
          <w:szCs w:val="24"/>
        </w:rPr>
        <w:t>代理机构名称：</w:t>
      </w:r>
      <w:r>
        <w:rPr>
          <w:rFonts w:hint="eastAsia" w:hAnsi="宋体" w:cs="宋体"/>
          <w:bCs/>
          <w:sz w:val="24"/>
          <w:szCs w:val="24"/>
          <w:u w:val="single"/>
        </w:rPr>
        <w:t xml:space="preserve">                                                                      </w:t>
      </w:r>
    </w:p>
    <w:p>
      <w:pPr>
        <w:pStyle w:val="25"/>
        <w:spacing w:before="120" w:line="440" w:lineRule="exact"/>
        <w:ind w:left="25" w:leftChars="12" w:firstLine="472" w:firstLineChars="197"/>
        <w:rPr>
          <w:rFonts w:hAnsi="宋体" w:cs="宋体"/>
          <w:bCs/>
          <w:sz w:val="24"/>
          <w:szCs w:val="24"/>
          <w:u w:val="single"/>
        </w:rPr>
      </w:pPr>
      <w:r>
        <w:rPr>
          <w:rFonts w:hint="eastAsia" w:hAnsi="宋体" w:cs="宋体"/>
          <w:bCs/>
          <w:sz w:val="24"/>
          <w:szCs w:val="24"/>
        </w:rPr>
        <w:t>招标文件公告：</w:t>
      </w:r>
      <w:r>
        <w:rPr>
          <w:rFonts w:hint="eastAsia" w:hAnsi="宋体" w:cs="宋体"/>
          <w:bCs/>
          <w:sz w:val="24"/>
          <w:szCs w:val="24"/>
          <w:u w:val="single"/>
        </w:rPr>
        <w:t>是/否</w:t>
      </w:r>
      <w:r>
        <w:rPr>
          <w:rFonts w:hint="eastAsia" w:hAnsi="宋体" w:cs="宋体"/>
          <w:bCs/>
          <w:sz w:val="24"/>
          <w:szCs w:val="24"/>
        </w:rPr>
        <w:t>公告期限：</w:t>
      </w:r>
      <w:r>
        <w:rPr>
          <w:rFonts w:hint="eastAsia" w:hAnsi="宋体" w:cs="宋体"/>
          <w:bCs/>
          <w:sz w:val="24"/>
          <w:szCs w:val="24"/>
          <w:u w:val="single"/>
        </w:rPr>
        <w:t xml:space="preserve">                                                       </w:t>
      </w:r>
    </w:p>
    <w:p>
      <w:pPr>
        <w:pStyle w:val="25"/>
        <w:spacing w:before="120" w:line="440" w:lineRule="exact"/>
        <w:ind w:left="25" w:leftChars="12" w:firstLine="472" w:firstLineChars="197"/>
        <w:rPr>
          <w:rFonts w:hAnsi="宋体" w:cs="宋体"/>
          <w:b/>
          <w:sz w:val="24"/>
          <w:szCs w:val="24"/>
        </w:rPr>
      </w:pPr>
      <w:r>
        <w:rPr>
          <w:rFonts w:hint="eastAsia" w:hAnsi="宋体" w:cs="宋体"/>
          <w:bCs/>
          <w:sz w:val="24"/>
          <w:szCs w:val="24"/>
        </w:rPr>
        <w:t>采购结果公告：</w:t>
      </w:r>
      <w:r>
        <w:rPr>
          <w:rFonts w:hint="eastAsia" w:hAnsi="宋体" w:cs="宋体"/>
          <w:bCs/>
          <w:sz w:val="24"/>
          <w:szCs w:val="24"/>
          <w:u w:val="single"/>
        </w:rPr>
        <w:t>是/否</w:t>
      </w:r>
      <w:r>
        <w:rPr>
          <w:rFonts w:hint="eastAsia" w:hAnsi="宋体" w:cs="宋体"/>
          <w:bCs/>
          <w:sz w:val="24"/>
          <w:szCs w:val="24"/>
        </w:rPr>
        <w:t>公告期限：</w:t>
      </w:r>
      <w:r>
        <w:rPr>
          <w:rFonts w:hint="eastAsia" w:hAnsi="宋体" w:cs="宋体"/>
          <w:bCs/>
          <w:sz w:val="24"/>
          <w:szCs w:val="24"/>
          <w:u w:val="single"/>
        </w:rPr>
        <w:t xml:space="preserve">                                                       </w:t>
      </w:r>
    </w:p>
    <w:p>
      <w:pPr>
        <w:pStyle w:val="25"/>
        <w:spacing w:before="120" w:line="440" w:lineRule="exact"/>
        <w:ind w:left="25" w:leftChars="12" w:firstLine="472" w:firstLineChars="196"/>
        <w:rPr>
          <w:rFonts w:hAnsi="宋体" w:cs="宋体"/>
          <w:b/>
          <w:sz w:val="24"/>
          <w:szCs w:val="24"/>
        </w:rPr>
      </w:pPr>
      <w:r>
        <w:rPr>
          <w:rFonts w:hint="eastAsia" w:hAnsi="宋体" w:cs="宋体"/>
          <w:b/>
          <w:sz w:val="24"/>
          <w:szCs w:val="24"/>
        </w:rPr>
        <w:t>三、质疑基本情况</w:t>
      </w:r>
    </w:p>
    <w:p>
      <w:pPr>
        <w:pStyle w:val="25"/>
        <w:spacing w:before="120" w:line="440" w:lineRule="exact"/>
        <w:ind w:left="25" w:leftChars="12" w:firstLine="480" w:firstLineChars="200"/>
        <w:rPr>
          <w:rFonts w:hAnsi="宋体" w:cs="宋体"/>
          <w:bCs/>
          <w:sz w:val="24"/>
          <w:szCs w:val="24"/>
          <w:u w:val="single"/>
        </w:rPr>
      </w:pPr>
      <w:r>
        <w:rPr>
          <w:rFonts w:hint="eastAsia" w:hAnsi="宋体" w:cs="宋体"/>
          <w:sz w:val="24"/>
          <w:szCs w:val="24"/>
        </w:rPr>
        <w:t>投诉人于</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日，向</w:t>
      </w:r>
      <w:r>
        <w:rPr>
          <w:rFonts w:hint="eastAsia" w:hAnsi="宋体" w:cs="宋体"/>
          <w:sz w:val="24"/>
          <w:szCs w:val="24"/>
          <w:u w:val="single"/>
        </w:rPr>
        <w:t xml:space="preserve">                                </w:t>
      </w:r>
      <w:r>
        <w:rPr>
          <w:rFonts w:hint="eastAsia" w:hAnsi="宋体" w:cs="宋体"/>
          <w:sz w:val="24"/>
          <w:szCs w:val="24"/>
        </w:rPr>
        <w:t>提出质疑，质疑事项为：</w:t>
      </w:r>
      <w:r>
        <w:rPr>
          <w:rFonts w:hint="eastAsia" w:hAnsi="宋体" w:cs="宋体"/>
          <w:bCs/>
          <w:sz w:val="24"/>
          <w:szCs w:val="24"/>
          <w:u w:val="single"/>
        </w:rPr>
        <w:t xml:space="preserve">                                                                                      </w:t>
      </w:r>
    </w:p>
    <w:p>
      <w:pPr>
        <w:pStyle w:val="25"/>
        <w:spacing w:before="120" w:line="440" w:lineRule="exact"/>
        <w:rPr>
          <w:rFonts w:hAnsi="宋体" w:cs="宋体"/>
          <w:bCs/>
          <w:sz w:val="24"/>
          <w:szCs w:val="24"/>
          <w:u w:val="single"/>
        </w:rPr>
      </w:pPr>
      <w:r>
        <w:rPr>
          <w:rFonts w:hint="eastAsia" w:hAnsi="宋体" w:cs="宋体"/>
          <w:bCs/>
          <w:sz w:val="24"/>
          <w:szCs w:val="24"/>
          <w:u w:val="single"/>
        </w:rPr>
        <w:t xml:space="preserve">                                                                                      </w:t>
      </w:r>
    </w:p>
    <w:p>
      <w:pPr>
        <w:pStyle w:val="25"/>
        <w:spacing w:before="120" w:line="440" w:lineRule="exact"/>
        <w:ind w:firstLine="480" w:firstLineChars="200"/>
        <w:rPr>
          <w:rFonts w:hAnsi="宋体" w:cs="宋体"/>
          <w:sz w:val="24"/>
          <w:szCs w:val="24"/>
        </w:rPr>
      </w:pPr>
      <w:r>
        <w:rPr>
          <w:rFonts w:hint="eastAsia" w:hAnsi="宋体" w:cs="宋体"/>
          <w:bCs/>
          <w:sz w:val="24"/>
          <w:szCs w:val="24"/>
          <w:u w:val="single"/>
        </w:rPr>
        <w:t>采购人/代理机构</w:t>
      </w:r>
      <w:r>
        <w:rPr>
          <w:rFonts w:hint="eastAsia" w:hAnsi="宋体" w:cs="宋体"/>
          <w:bCs/>
          <w:sz w:val="24"/>
          <w:szCs w:val="24"/>
        </w:rPr>
        <w:t>于</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r>
        <w:rPr>
          <w:rFonts w:hint="eastAsia" w:hAnsi="宋体" w:cs="宋体"/>
          <w:bCs/>
          <w:sz w:val="24"/>
          <w:szCs w:val="24"/>
        </w:rPr>
        <w:t xml:space="preserve">就质疑事项作出了答复/没有在法定期限内作出答复。                                                                                             </w:t>
      </w:r>
    </w:p>
    <w:p>
      <w:pPr>
        <w:pStyle w:val="25"/>
        <w:spacing w:before="120" w:line="440" w:lineRule="exact"/>
        <w:ind w:left="25" w:leftChars="12" w:firstLine="472" w:firstLineChars="196"/>
        <w:rPr>
          <w:rFonts w:hAnsi="宋体" w:cs="宋体"/>
          <w:b/>
          <w:sz w:val="24"/>
          <w:szCs w:val="24"/>
        </w:rPr>
      </w:pPr>
      <w:r>
        <w:rPr>
          <w:rFonts w:hint="eastAsia" w:hAnsi="宋体" w:cs="宋体"/>
          <w:b/>
          <w:sz w:val="24"/>
          <w:szCs w:val="24"/>
        </w:rPr>
        <w:t>四、投诉事项具体内容</w:t>
      </w:r>
    </w:p>
    <w:p>
      <w:pPr>
        <w:pStyle w:val="25"/>
        <w:spacing w:before="120" w:line="440" w:lineRule="exact"/>
        <w:ind w:left="25" w:leftChars="12" w:firstLine="472" w:firstLineChars="197"/>
        <w:rPr>
          <w:rFonts w:hAnsi="宋体" w:cs="宋体"/>
          <w:bCs/>
          <w:sz w:val="24"/>
          <w:szCs w:val="24"/>
          <w:u w:val="single"/>
        </w:rPr>
      </w:pPr>
      <w:r>
        <w:rPr>
          <w:rFonts w:hint="eastAsia" w:hAnsi="宋体" w:cs="宋体"/>
          <w:sz w:val="24"/>
          <w:szCs w:val="24"/>
        </w:rPr>
        <w:t>投诉事项1：</w:t>
      </w:r>
      <w:r>
        <w:rPr>
          <w:rFonts w:hint="eastAsia" w:hAnsi="宋体" w:cs="宋体"/>
          <w:bCs/>
          <w:sz w:val="24"/>
          <w:szCs w:val="24"/>
          <w:u w:val="single"/>
        </w:rPr>
        <w:t xml:space="preserve">                                                                           </w:t>
      </w:r>
    </w:p>
    <w:p>
      <w:pPr>
        <w:pStyle w:val="25"/>
        <w:spacing w:before="120" w:line="440" w:lineRule="exact"/>
        <w:ind w:firstLine="480" w:firstLineChars="200"/>
        <w:rPr>
          <w:rFonts w:hAnsi="宋体" w:cs="宋体"/>
          <w:bCs/>
          <w:sz w:val="24"/>
          <w:szCs w:val="24"/>
          <w:u w:val="single"/>
        </w:rPr>
      </w:pPr>
      <w:r>
        <w:rPr>
          <w:rFonts w:hint="eastAsia" w:hAnsi="宋体" w:cs="宋体"/>
          <w:bCs/>
          <w:sz w:val="24"/>
          <w:szCs w:val="24"/>
        </w:rPr>
        <w:t>事实依据：</w:t>
      </w:r>
      <w:r>
        <w:rPr>
          <w:rFonts w:hint="eastAsia" w:hAnsi="宋体" w:cs="宋体"/>
          <w:sz w:val="24"/>
          <w:szCs w:val="24"/>
        </w:rPr>
        <w:t xml:space="preserve"> </w:t>
      </w:r>
      <w:r>
        <w:rPr>
          <w:rFonts w:hint="eastAsia" w:hAnsi="宋体" w:cs="宋体"/>
          <w:bCs/>
          <w:sz w:val="24"/>
          <w:szCs w:val="24"/>
          <w:u w:val="single"/>
        </w:rPr>
        <w:t xml:space="preserve">                                                                                      </w:t>
      </w:r>
    </w:p>
    <w:p>
      <w:pPr>
        <w:pStyle w:val="25"/>
        <w:spacing w:before="120" w:line="440" w:lineRule="exact"/>
        <w:ind w:left="25" w:leftChars="12" w:firstLine="472" w:firstLineChars="197"/>
        <w:rPr>
          <w:rFonts w:hAnsi="宋体" w:cs="宋体"/>
          <w:sz w:val="24"/>
          <w:szCs w:val="24"/>
        </w:rPr>
      </w:pPr>
      <w:r>
        <w:rPr>
          <w:rFonts w:hint="eastAsia" w:hAnsi="宋体" w:cs="宋体"/>
          <w:bCs/>
          <w:sz w:val="24"/>
          <w:szCs w:val="24"/>
          <w:u w:val="single"/>
        </w:rPr>
        <w:t xml:space="preserve">                                                                                        </w:t>
      </w:r>
    </w:p>
    <w:p>
      <w:pPr>
        <w:pStyle w:val="25"/>
        <w:spacing w:before="120" w:line="440" w:lineRule="exact"/>
        <w:ind w:firstLine="480" w:firstLineChars="200"/>
        <w:rPr>
          <w:rFonts w:hAnsi="宋体" w:cs="宋体"/>
          <w:bCs/>
          <w:sz w:val="24"/>
          <w:szCs w:val="24"/>
          <w:u w:val="single"/>
        </w:rPr>
      </w:pPr>
      <w:r>
        <w:rPr>
          <w:rFonts w:hint="eastAsia" w:hAnsi="宋体" w:cs="宋体"/>
          <w:bCs/>
          <w:sz w:val="24"/>
          <w:szCs w:val="24"/>
        </w:rPr>
        <w:t>法律依据：</w:t>
      </w:r>
      <w:r>
        <w:rPr>
          <w:rFonts w:hint="eastAsia" w:hAnsi="宋体" w:cs="宋体"/>
          <w:sz w:val="24"/>
          <w:szCs w:val="24"/>
        </w:rPr>
        <w:t xml:space="preserve"> </w:t>
      </w:r>
      <w:r>
        <w:rPr>
          <w:rFonts w:hint="eastAsia" w:hAnsi="宋体" w:cs="宋体"/>
          <w:bCs/>
          <w:sz w:val="24"/>
          <w:szCs w:val="24"/>
          <w:u w:val="single"/>
        </w:rPr>
        <w:t xml:space="preserve">                                                                                      </w:t>
      </w:r>
    </w:p>
    <w:p>
      <w:pPr>
        <w:pStyle w:val="25"/>
        <w:spacing w:before="120" w:line="440" w:lineRule="exact"/>
        <w:ind w:left="25" w:leftChars="12" w:firstLine="352" w:firstLineChars="147"/>
        <w:rPr>
          <w:rFonts w:hAnsi="宋体" w:cs="宋体"/>
          <w:bCs/>
          <w:sz w:val="24"/>
          <w:szCs w:val="24"/>
          <w:u w:val="single"/>
        </w:rPr>
      </w:pPr>
      <w:r>
        <w:rPr>
          <w:rFonts w:hint="eastAsia" w:hAnsi="宋体" w:cs="宋体"/>
          <w:bCs/>
          <w:sz w:val="24"/>
          <w:szCs w:val="24"/>
        </w:rPr>
        <w:t xml:space="preserve"> </w:t>
      </w:r>
      <w:r>
        <w:rPr>
          <w:rFonts w:hint="eastAsia" w:hAnsi="宋体" w:cs="宋体"/>
          <w:bCs/>
          <w:sz w:val="24"/>
          <w:szCs w:val="24"/>
          <w:u w:val="single"/>
        </w:rPr>
        <w:t xml:space="preserve">                                                                                        </w:t>
      </w:r>
    </w:p>
    <w:p>
      <w:pPr>
        <w:pStyle w:val="25"/>
        <w:spacing w:before="120" w:line="440" w:lineRule="exact"/>
        <w:ind w:left="25" w:leftChars="12" w:firstLine="472" w:firstLineChars="197"/>
        <w:rPr>
          <w:rFonts w:hAnsi="宋体" w:cs="宋体"/>
          <w:bCs/>
          <w:sz w:val="24"/>
          <w:szCs w:val="24"/>
        </w:rPr>
      </w:pPr>
      <w:r>
        <w:rPr>
          <w:rFonts w:hint="eastAsia" w:hAnsi="宋体" w:cs="宋体"/>
          <w:sz w:val="24"/>
          <w:szCs w:val="24"/>
        </w:rPr>
        <w:t xml:space="preserve">投诉事项2  </w:t>
      </w:r>
      <w:r>
        <w:rPr>
          <w:rFonts w:hint="eastAsia" w:hAnsi="宋体" w:cs="宋体"/>
          <w:bCs/>
          <w:sz w:val="24"/>
          <w:szCs w:val="24"/>
        </w:rPr>
        <w:t xml:space="preserve">   </w:t>
      </w:r>
    </w:p>
    <w:p>
      <w:pPr>
        <w:pStyle w:val="25"/>
        <w:spacing w:before="120" w:line="440" w:lineRule="exact"/>
        <w:ind w:left="25" w:leftChars="12" w:firstLine="472" w:firstLineChars="197"/>
        <w:rPr>
          <w:rFonts w:hAnsi="宋体" w:cs="宋体"/>
          <w:bCs/>
          <w:sz w:val="24"/>
          <w:szCs w:val="24"/>
        </w:rPr>
      </w:pPr>
      <w:r>
        <w:rPr>
          <w:rFonts w:hint="eastAsia" w:hAnsi="宋体" w:cs="宋体"/>
          <w:bCs/>
          <w:sz w:val="24"/>
          <w:szCs w:val="24"/>
        </w:rPr>
        <w:t>……</w:t>
      </w:r>
    </w:p>
    <w:p>
      <w:pPr>
        <w:pStyle w:val="25"/>
        <w:spacing w:before="120" w:line="440" w:lineRule="exact"/>
        <w:ind w:left="25" w:leftChars="12" w:firstLine="472" w:firstLineChars="196"/>
        <w:rPr>
          <w:rFonts w:hAnsi="宋体" w:cs="宋体"/>
          <w:b/>
          <w:sz w:val="24"/>
          <w:szCs w:val="24"/>
        </w:rPr>
      </w:pPr>
      <w:r>
        <w:rPr>
          <w:rFonts w:hint="eastAsia" w:hAnsi="宋体" w:cs="宋体"/>
          <w:b/>
          <w:sz w:val="24"/>
          <w:szCs w:val="24"/>
        </w:rPr>
        <w:t>五、与投诉事项相关的投诉请求：</w:t>
      </w:r>
    </w:p>
    <w:p>
      <w:pPr>
        <w:pStyle w:val="25"/>
        <w:spacing w:before="120" w:line="440" w:lineRule="exact"/>
        <w:ind w:left="25" w:leftChars="12" w:firstLine="472" w:firstLineChars="197"/>
        <w:rPr>
          <w:rFonts w:hAnsi="宋体" w:cs="宋体"/>
          <w:sz w:val="24"/>
          <w:szCs w:val="24"/>
        </w:rPr>
      </w:pPr>
      <w:r>
        <w:rPr>
          <w:rFonts w:hint="eastAsia" w:hAnsi="宋体" w:cs="宋体"/>
          <w:sz w:val="24"/>
          <w:szCs w:val="24"/>
        </w:rPr>
        <w:t>请求：</w:t>
      </w:r>
      <w:r>
        <w:rPr>
          <w:rFonts w:hint="eastAsia" w:hAnsi="宋体" w:cs="宋体"/>
          <w:bCs/>
          <w:sz w:val="24"/>
          <w:szCs w:val="24"/>
          <w:u w:val="single"/>
        </w:rPr>
        <w:t xml:space="preserve">                                                                                 </w:t>
      </w:r>
    </w:p>
    <w:p>
      <w:pPr>
        <w:pStyle w:val="25"/>
        <w:spacing w:before="120" w:line="440" w:lineRule="exact"/>
        <w:ind w:left="25" w:leftChars="12" w:firstLine="352" w:firstLineChars="147"/>
        <w:rPr>
          <w:rFonts w:hAnsi="宋体" w:cs="宋体"/>
          <w:sz w:val="24"/>
          <w:szCs w:val="24"/>
        </w:rPr>
      </w:pPr>
    </w:p>
    <w:p>
      <w:pPr>
        <w:pStyle w:val="25"/>
        <w:spacing w:before="120" w:line="440" w:lineRule="exact"/>
        <w:ind w:left="25" w:leftChars="12" w:firstLine="472" w:firstLineChars="197"/>
        <w:rPr>
          <w:rFonts w:hAnsi="宋体" w:cs="宋体"/>
          <w:sz w:val="24"/>
          <w:szCs w:val="24"/>
        </w:rPr>
      </w:pPr>
      <w:r>
        <w:rPr>
          <w:rFonts w:hint="eastAsia" w:hAnsi="宋体" w:cs="宋体"/>
          <w:sz w:val="24"/>
          <w:szCs w:val="24"/>
        </w:rPr>
        <w:t>签字（签章）：                                       公章：</w:t>
      </w:r>
    </w:p>
    <w:p>
      <w:pPr>
        <w:pStyle w:val="25"/>
        <w:spacing w:before="120" w:line="440" w:lineRule="exact"/>
        <w:ind w:left="25" w:leftChars="12" w:firstLine="352" w:firstLineChars="147"/>
        <w:rPr>
          <w:rFonts w:hAnsi="宋体" w:cs="宋体"/>
          <w:sz w:val="24"/>
          <w:szCs w:val="24"/>
        </w:rPr>
      </w:pPr>
    </w:p>
    <w:p>
      <w:pPr>
        <w:pStyle w:val="25"/>
        <w:spacing w:before="120" w:line="440" w:lineRule="exact"/>
        <w:ind w:left="25" w:leftChars="12" w:firstLine="472" w:firstLineChars="197"/>
        <w:rPr>
          <w:rFonts w:hAnsi="宋体" w:cs="宋体"/>
          <w:sz w:val="24"/>
          <w:szCs w:val="24"/>
        </w:rPr>
      </w:pPr>
      <w:r>
        <w:rPr>
          <w:rFonts w:hint="eastAsia" w:hAnsi="宋体" w:cs="宋体"/>
          <w:sz w:val="24"/>
          <w:szCs w:val="24"/>
        </w:rPr>
        <w:t>日期：</w:t>
      </w:r>
    </w:p>
    <w:p>
      <w:pPr>
        <w:pStyle w:val="25"/>
        <w:spacing w:before="120" w:line="440" w:lineRule="exact"/>
        <w:ind w:left="25" w:leftChars="12" w:firstLine="472" w:firstLineChars="197"/>
        <w:rPr>
          <w:rFonts w:hAnsi="宋体" w:cs="宋体"/>
          <w:sz w:val="24"/>
          <w:szCs w:val="24"/>
        </w:rPr>
      </w:pPr>
      <w:r>
        <w:rPr>
          <w:rFonts w:hint="eastAsia" w:hAnsi="宋体" w:cs="宋体"/>
          <w:bCs/>
          <w:sz w:val="24"/>
          <w:szCs w:val="24"/>
        </w:rPr>
        <w:t xml:space="preserve">                                                                              </w:t>
      </w:r>
    </w:p>
    <w:p>
      <w:pPr>
        <w:pStyle w:val="25"/>
        <w:snapToGrid w:val="0"/>
        <w:spacing w:before="120" w:line="440" w:lineRule="exact"/>
        <w:ind w:firstLine="480"/>
        <w:rPr>
          <w:rFonts w:ascii="楷体" w:hAnsi="楷体" w:eastAsia="楷体" w:cs="宋体"/>
          <w:b/>
          <w:sz w:val="24"/>
          <w:szCs w:val="24"/>
        </w:rPr>
      </w:pPr>
      <w:r>
        <w:rPr>
          <w:rFonts w:hint="eastAsia" w:ascii="楷体" w:hAnsi="楷体" w:eastAsia="楷体" w:cs="宋体"/>
          <w:b/>
          <w:sz w:val="24"/>
          <w:szCs w:val="24"/>
        </w:rPr>
        <w:t>说明：</w:t>
      </w:r>
    </w:p>
    <w:p>
      <w:pPr>
        <w:pStyle w:val="25"/>
        <w:spacing w:before="120" w:line="440" w:lineRule="exact"/>
        <w:ind w:left="25" w:leftChars="12" w:firstLine="354" w:firstLineChars="147"/>
        <w:rPr>
          <w:rFonts w:ascii="楷体" w:hAnsi="楷体" w:eastAsia="楷体" w:cs="宋体"/>
          <w:b/>
          <w:bCs/>
          <w:sz w:val="24"/>
          <w:szCs w:val="24"/>
        </w:rPr>
      </w:pPr>
      <w:r>
        <w:rPr>
          <w:rFonts w:ascii="楷体" w:hAnsi="楷体" w:eastAsia="楷体" w:cs="宋体"/>
          <w:b/>
          <w:sz w:val="24"/>
          <w:szCs w:val="24"/>
        </w:rPr>
        <w:t>1.投诉人提起投诉时，应当提交投</w:t>
      </w:r>
      <w:r>
        <w:rPr>
          <w:rFonts w:hint="eastAsia" w:ascii="楷体" w:hAnsi="楷体" w:eastAsia="楷体" w:cs="宋体"/>
          <w:b/>
          <w:sz w:val="24"/>
          <w:szCs w:val="24"/>
        </w:rPr>
        <w:t>诉书和必要的证明材料，并按照被投诉人和与投诉事项有关的供应商数量提供投诉书副本</w:t>
      </w:r>
      <w:r>
        <w:rPr>
          <w:rFonts w:hint="eastAsia" w:ascii="楷体" w:hAnsi="楷体" w:eastAsia="楷体" w:cs="宋体"/>
          <w:b/>
          <w:bCs/>
          <w:sz w:val="24"/>
          <w:szCs w:val="24"/>
        </w:rPr>
        <w:t>。</w:t>
      </w:r>
    </w:p>
    <w:p>
      <w:pPr>
        <w:pStyle w:val="25"/>
        <w:spacing w:before="120" w:line="440" w:lineRule="exact"/>
        <w:ind w:left="25" w:leftChars="12" w:firstLine="354" w:firstLineChars="147"/>
        <w:rPr>
          <w:rFonts w:ascii="楷体" w:hAnsi="楷体" w:eastAsia="楷体" w:cs="宋体"/>
          <w:b/>
          <w:sz w:val="24"/>
          <w:szCs w:val="24"/>
        </w:rPr>
      </w:pPr>
      <w:r>
        <w:rPr>
          <w:rFonts w:ascii="楷体" w:hAnsi="楷体" w:eastAsia="楷体" w:cs="宋体"/>
          <w:b/>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5"/>
        <w:spacing w:before="120" w:line="440" w:lineRule="exact"/>
        <w:ind w:left="25" w:leftChars="12" w:firstLine="354" w:firstLineChars="147"/>
        <w:rPr>
          <w:rFonts w:ascii="楷体" w:hAnsi="楷体" w:eastAsia="楷体" w:cs="宋体"/>
          <w:b/>
          <w:sz w:val="24"/>
          <w:szCs w:val="24"/>
        </w:rPr>
      </w:pPr>
      <w:r>
        <w:rPr>
          <w:rFonts w:ascii="楷体" w:hAnsi="楷体" w:eastAsia="楷体" w:cs="宋体"/>
          <w:b/>
          <w:sz w:val="24"/>
          <w:szCs w:val="24"/>
        </w:rPr>
        <w:t>3.投诉书应简要列明质疑事项，质疑函、质疑答复等作为附件材料提供。</w:t>
      </w:r>
    </w:p>
    <w:p>
      <w:pPr>
        <w:pStyle w:val="25"/>
        <w:spacing w:before="120" w:line="440" w:lineRule="exact"/>
        <w:ind w:left="25" w:leftChars="12" w:firstLine="354" w:firstLineChars="147"/>
        <w:rPr>
          <w:rFonts w:ascii="楷体" w:hAnsi="楷体" w:eastAsia="楷体" w:cs="宋体"/>
          <w:b/>
          <w:sz w:val="24"/>
          <w:szCs w:val="24"/>
        </w:rPr>
      </w:pPr>
      <w:r>
        <w:rPr>
          <w:rFonts w:ascii="楷体" w:hAnsi="楷体" w:eastAsia="楷体" w:cs="宋体"/>
          <w:b/>
          <w:sz w:val="24"/>
          <w:szCs w:val="24"/>
        </w:rPr>
        <w:t>4.投诉书的投诉事项应具体、明确，并有必要的事实依据和法律依据。</w:t>
      </w:r>
    </w:p>
    <w:p>
      <w:pPr>
        <w:pStyle w:val="25"/>
        <w:spacing w:before="120" w:line="440" w:lineRule="exact"/>
        <w:ind w:left="25" w:leftChars="12" w:firstLine="354" w:firstLineChars="147"/>
        <w:rPr>
          <w:rFonts w:ascii="楷体" w:hAnsi="楷体" w:eastAsia="楷体" w:cs="宋体"/>
          <w:b/>
          <w:sz w:val="24"/>
          <w:szCs w:val="24"/>
        </w:rPr>
      </w:pPr>
      <w:r>
        <w:rPr>
          <w:rFonts w:ascii="楷体" w:hAnsi="楷体" w:eastAsia="楷体" w:cs="宋体"/>
          <w:b/>
          <w:sz w:val="24"/>
          <w:szCs w:val="24"/>
        </w:rPr>
        <w:t>5.投诉书的投诉请求应与投诉事项相关。</w:t>
      </w:r>
    </w:p>
    <w:p>
      <w:pPr>
        <w:pStyle w:val="25"/>
        <w:spacing w:before="120" w:line="440" w:lineRule="exact"/>
        <w:ind w:left="25" w:leftChars="12" w:firstLine="354" w:firstLineChars="147"/>
        <w:rPr>
          <w:rFonts w:ascii="楷体" w:hAnsi="楷体" w:eastAsia="楷体" w:cs="宋体"/>
          <w:b/>
        </w:rPr>
      </w:pPr>
      <w:r>
        <w:rPr>
          <w:rFonts w:ascii="楷体" w:hAnsi="楷体" w:eastAsia="楷体" w:cs="宋体"/>
          <w:b/>
          <w:sz w:val="24"/>
          <w:szCs w:val="24"/>
        </w:rPr>
        <w:t>6.投诉人为法人或者其他组织的，投诉书应由法定代表人、主要负责人，或者其授权代表签字或者盖章，并加盖公章。</w:t>
      </w:r>
    </w:p>
    <w:sectPr>
      <w:footerReference r:id="rId13" w:type="first"/>
      <w:headerReference r:id="rId10" w:type="default"/>
      <w:footerReference r:id="rId11" w:type="default"/>
      <w:footerReference r:id="rId12" w:type="even"/>
      <w:pgSz w:w="11906" w:h="16838"/>
      <w:pgMar w:top="1417" w:right="1417" w:bottom="1417" w:left="1417" w:header="851" w:footer="56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entury">
    <w:altName w:val="Times New Roman"/>
    <w:panose1 w:val="02040604050505020304"/>
    <w:charset w:val="00"/>
    <w:family w:val="roman"/>
    <w:pitch w:val="default"/>
    <w:sig w:usb0="00000000" w:usb1="00000000" w:usb2="00000000" w:usb3="00000000" w:csb0="0000009F" w:csb1="00000000"/>
  </w:font>
  <w:font w:name="_x000B__x000C_">
    <w:altName w:val="Times New Roman"/>
    <w:panose1 w:val="00000000000000000000"/>
    <w:charset w:val="00"/>
    <w:family w:val="roman"/>
    <w:pitch w:val="default"/>
    <w:sig w:usb0="00000000" w:usb1="00000000" w:usb2="00000000" w:usb3="00000000" w:csb0="00040001" w:csb1="00000000"/>
  </w:font>
  <w:font w:name="方正书宋_GBK">
    <w:altName w:val="微软雅黑"/>
    <w:panose1 w:val="00000000000000000000"/>
    <w:charset w:val="86"/>
    <w:family w:val="auto"/>
    <w:pitch w:val="default"/>
    <w:sig w:usb0="00000000" w:usb1="00000000" w:usb2="00082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仿宋"/>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fldChar w:fldCharType="begin"/>
                          </w:r>
                          <w:r>
                            <w:rPr>
                              <w:rFonts w:ascii="Times New Roman" w:hAnsi="Times New Roman" w:eastAsia="宋体" w:cs="Times New Roman"/>
                              <w:kern w:val="0"/>
                              <w:sz w:val="18"/>
                              <w:szCs w:val="18"/>
                              <w:lang w:val="en-US" w:eastAsia="zh-CN" w:bidi="ar-SA"/>
                            </w:rPr>
                            <w:instrText xml:space="preserve"> PAGE  \* MERGEFORMAT </w:instrText>
                          </w:r>
                          <w:r>
                            <w:rPr>
                              <w:rFonts w:ascii="Times New Roman" w:hAnsi="Times New Roman" w:eastAsia="宋体" w:cs="Times New Roman"/>
                              <w:kern w:val="0"/>
                              <w:sz w:val="18"/>
                              <w:szCs w:val="18"/>
                              <w:lang w:val="en-US" w:eastAsia="zh-CN" w:bidi="ar-SA"/>
                            </w:rPr>
                            <w:fldChar w:fldCharType="separate"/>
                          </w:r>
                          <w:r>
                            <w:rPr>
                              <w:rFonts w:ascii="Times New Roman" w:hAnsi="Times New Roman" w:eastAsia="宋体" w:cs="Times New Roman"/>
                              <w:kern w:val="0"/>
                              <w:sz w:val="18"/>
                              <w:szCs w:val="18"/>
                              <w:lang w:val="en-US" w:eastAsia="zh-CN" w:bidi="ar-SA"/>
                            </w:rPr>
                            <w:t>2</w:t>
                          </w:r>
                          <w:r>
                            <w:rPr>
                              <w:rFonts w:ascii="Times New Roman" w:hAnsi="Times New Roman" w:eastAsia="宋体" w:cs="Times New Roman"/>
                              <w:kern w:val="0"/>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widowControl w:val="0"/>
                      <w:snapToGrid w:val="0"/>
                      <w:jc w:val="left"/>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fldChar w:fldCharType="begin"/>
                    </w:r>
                    <w:r>
                      <w:rPr>
                        <w:rFonts w:ascii="Times New Roman" w:hAnsi="Times New Roman" w:eastAsia="宋体" w:cs="Times New Roman"/>
                        <w:kern w:val="0"/>
                        <w:sz w:val="18"/>
                        <w:szCs w:val="18"/>
                        <w:lang w:val="en-US" w:eastAsia="zh-CN" w:bidi="ar-SA"/>
                      </w:rPr>
                      <w:instrText xml:space="preserve"> PAGE  \* MERGEFORMAT </w:instrText>
                    </w:r>
                    <w:r>
                      <w:rPr>
                        <w:rFonts w:ascii="Times New Roman" w:hAnsi="Times New Roman" w:eastAsia="宋体" w:cs="Times New Roman"/>
                        <w:kern w:val="0"/>
                        <w:sz w:val="18"/>
                        <w:szCs w:val="18"/>
                        <w:lang w:val="en-US" w:eastAsia="zh-CN" w:bidi="ar-SA"/>
                      </w:rPr>
                      <w:fldChar w:fldCharType="separate"/>
                    </w:r>
                    <w:r>
                      <w:rPr>
                        <w:rFonts w:ascii="Times New Roman" w:hAnsi="Times New Roman" w:eastAsia="宋体" w:cs="Times New Roman"/>
                        <w:kern w:val="0"/>
                        <w:sz w:val="18"/>
                        <w:szCs w:val="18"/>
                        <w:lang w:val="en-US" w:eastAsia="zh-CN" w:bidi="ar-SA"/>
                      </w:rPr>
                      <w:t>2</w:t>
                    </w:r>
                    <w:r>
                      <w:rPr>
                        <w:rFonts w:ascii="Times New Roman" w:hAnsi="Times New Roman" w:eastAsia="宋体" w:cs="Times New Roman"/>
                        <w:kern w:val="0"/>
                        <w:sz w:val="18"/>
                        <w:szCs w:val="1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5727050"/>
    </w:sdtPr>
    <w:sdtContent>
      <w:p>
        <w:pPr>
          <w:pStyle w:val="31"/>
          <w:jc w:val="center"/>
        </w:pPr>
        <w:r>
          <w:fldChar w:fldCharType="begin"/>
        </w:r>
        <w:r>
          <w:instrText xml:space="preserve">PAGE   \* MERGEFORMAT</w:instrText>
        </w:r>
        <w:r>
          <w:fldChar w:fldCharType="separate"/>
        </w:r>
        <w:r>
          <w:rPr>
            <w:lang w:val="zh-CN"/>
          </w:rPr>
          <w:t>66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end"/>
    </w:r>
  </w:p>
  <w:p>
    <w:pPr>
      <w:pStyle w:val="3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jc w:val="center"/>
                          </w:pPr>
                          <w:r>
                            <w:fldChar w:fldCharType="begin"/>
                          </w:r>
                          <w:r>
                            <w:instrText xml:space="preserve">PAGE   \* MERGEFORMAT</w:instrText>
                          </w:r>
                          <w:r>
                            <w:fldChar w:fldCharType="separate"/>
                          </w:r>
                          <w:r>
                            <w:rPr>
                              <w:lang w:val="zh-CN"/>
                            </w:rPr>
                            <w:t>119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1"/>
                      <w:jc w:val="center"/>
                    </w:pPr>
                    <w:r>
                      <w:fldChar w:fldCharType="begin"/>
                    </w:r>
                    <w:r>
                      <w:instrText xml:space="preserve">PAGE   \* MERGEFORMAT</w:instrText>
                    </w:r>
                    <w:r>
                      <w:fldChar w:fldCharType="separate"/>
                    </w:r>
                    <w:r>
                      <w:rPr>
                        <w:lang w:val="zh-CN"/>
                      </w:rPr>
                      <w:t>119</w:t>
                    </w:r>
                    <w:r>
                      <w:fldChar w:fldCharType="end"/>
                    </w:r>
                  </w:p>
                </w:txbxContent>
              </v:textbox>
            </v:shape>
          </w:pict>
        </mc:Fallback>
      </mc:AlternateContent>
    </w:r>
  </w:p>
  <w:p>
    <w:pPr>
      <w:pStyle w:val="31"/>
      <w:ind w:right="360"/>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120"/>
      <w:ind w:firstLine="36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jc w:val="center"/>
                          </w:pPr>
                          <w:r>
                            <w:fldChar w:fldCharType="begin"/>
                          </w:r>
                          <w:r>
                            <w:instrText xml:space="preserve"> PAGE   \* MERGEFORMAT </w:instrText>
                          </w:r>
                          <w:r>
                            <w:fldChar w:fldCharType="separate"/>
                          </w:r>
                          <w:r>
                            <w:rPr>
                              <w:lang w:val="zh-CN"/>
                            </w:rPr>
                            <w:t>122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1"/>
                      <w:jc w:val="center"/>
                    </w:pPr>
                    <w:r>
                      <w:fldChar w:fldCharType="begin"/>
                    </w:r>
                    <w:r>
                      <w:instrText xml:space="preserve"> PAGE   \* MERGEFORMAT </w:instrText>
                    </w:r>
                    <w:r>
                      <w:fldChar w:fldCharType="separate"/>
                    </w:r>
                    <w:r>
                      <w:rPr>
                        <w:lang w:val="zh-CN"/>
                      </w:rPr>
                      <w:t>122</w:t>
                    </w:r>
                    <w:r>
                      <w:fldChar w:fldCharType="end"/>
                    </w:r>
                  </w:p>
                </w:txbxContent>
              </v:textbox>
            </v:shape>
          </w:pict>
        </mc:Fallback>
      </mc:AlternateContent>
    </w:r>
  </w:p>
  <w:p>
    <w:pPr>
      <w:pStyle w:val="31"/>
      <w:spacing w:before="120"/>
      <w:ind w:firstLine="36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spacing w:before="120"/>
      <w:ind w:firstLine="361"/>
      <w:rPr>
        <w:rStyle w:val="51"/>
      </w:rPr>
    </w:pPr>
    <w:r>
      <w:fldChar w:fldCharType="begin"/>
    </w:r>
    <w:r>
      <w:rPr>
        <w:rStyle w:val="51"/>
      </w:rPr>
      <w:instrText xml:space="preserve">PAGE  </w:instrText>
    </w:r>
    <w:r>
      <w:fldChar w:fldCharType="end"/>
    </w:r>
  </w:p>
  <w:p>
    <w:pPr>
      <w:pStyle w:val="31"/>
      <w:spacing w:before="120"/>
      <w:ind w:firstLine="361"/>
    </w:pPr>
  </w:p>
  <w:p>
    <w:pPr>
      <w:spacing w:before="120"/>
      <w:ind w:firstLine="482"/>
    </w:pPr>
  </w:p>
  <w:p>
    <w:pPr>
      <w:spacing w:before="120"/>
      <w:ind w:firstLine="482"/>
    </w:pPr>
  </w:p>
  <w:p>
    <w:pPr>
      <w:spacing w:before="120"/>
      <w:ind w:firstLine="482"/>
    </w:pPr>
  </w:p>
  <w:p>
    <w:pPr>
      <w:spacing w:before="120"/>
      <w:ind w:firstLine="482"/>
    </w:pPr>
  </w:p>
  <w:p>
    <w:pPr>
      <w:spacing w:before="120"/>
      <w:ind w:firstLine="482"/>
    </w:pPr>
  </w:p>
  <w:p>
    <w:pPr>
      <w:spacing w:before="120"/>
      <w:ind w:firstLine="482"/>
    </w:pPr>
  </w:p>
  <w:p>
    <w:pPr>
      <w:spacing w:before="120"/>
      <w:ind w:firstLine="482"/>
    </w:pPr>
  </w:p>
  <w:p>
    <w:pPr>
      <w:ind w:firstLine="482"/>
    </w:pPr>
  </w:p>
  <w:p>
    <w:pPr>
      <w:ind w:firstLine="482"/>
    </w:pPr>
  </w:p>
  <w:p/>
  <w:p/>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120"/>
      <w:ind w:right="360" w:firstLine="361"/>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1"/>
      <w:lvlText w:val="%1."/>
      <w:lvlJc w:val="left"/>
      <w:pPr>
        <w:tabs>
          <w:tab w:val="left" w:pos="1200"/>
        </w:tabs>
        <w:ind w:left="1200" w:hanging="360"/>
      </w:p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10"/>
      <w:suff w:val="nothing"/>
      <w:lvlText w:val=""/>
      <w:lvlJc w:val="left"/>
      <w:pPr>
        <w:ind w:left="0" w:firstLine="0"/>
      </w:pPr>
      <w:rPr>
        <w:rFonts w:hint="eastAsia"/>
      </w:rPr>
    </w:lvl>
    <w:lvl w:ilvl="6" w:tentative="0">
      <w:start w:val="1"/>
      <w:numFmt w:val="none"/>
      <w:pStyle w:val="11"/>
      <w:suff w:val="nothing"/>
      <w:lvlText w:val=""/>
      <w:lvlJc w:val="left"/>
      <w:pPr>
        <w:ind w:left="0" w:firstLine="0"/>
      </w:pPr>
      <w:rPr>
        <w:rFonts w:hint="eastAsia"/>
      </w:rPr>
    </w:lvl>
    <w:lvl w:ilvl="7" w:tentative="0">
      <w:start w:val="1"/>
      <w:numFmt w:val="none"/>
      <w:pStyle w:val="12"/>
      <w:suff w:val="nothing"/>
      <w:lvlText w:val=""/>
      <w:lvlJc w:val="left"/>
      <w:pPr>
        <w:ind w:left="0" w:firstLine="0"/>
      </w:pPr>
      <w:rPr>
        <w:rFonts w:hint="eastAsia"/>
      </w:rPr>
    </w:lvl>
    <w:lvl w:ilvl="8" w:tentative="0">
      <w:start w:val="1"/>
      <w:numFmt w:val="none"/>
      <w:pStyle w:val="13"/>
      <w:suff w:val="nothing"/>
      <w:lvlText w:val=""/>
      <w:lvlJc w:val="left"/>
      <w:pPr>
        <w:ind w:left="0" w:firstLine="0"/>
      </w:pPr>
      <w:rPr>
        <w:rFonts w:hint="eastAsia"/>
      </w:rPr>
    </w:lvl>
  </w:abstractNum>
  <w:abstractNum w:abstractNumId="2">
    <w:nsid w:val="4C601917"/>
    <w:multiLevelType w:val="singleLevel"/>
    <w:tmpl w:val="4C601917"/>
    <w:lvl w:ilvl="0" w:tentative="0">
      <w:start w:val="1"/>
      <w:numFmt w:val="decimal"/>
      <w:suff w:val="nothing"/>
      <w:lvlText w:val="（%1）"/>
      <w:lvlJc w:val="left"/>
      <w:pPr>
        <w:ind w:left="-2"/>
      </w:pPr>
    </w:lvl>
  </w:abstractNum>
  <w:abstractNum w:abstractNumId="3">
    <w:nsid w:val="5FABD14B"/>
    <w:multiLevelType w:val="singleLevel"/>
    <w:tmpl w:val="5FABD14B"/>
    <w:lvl w:ilvl="0" w:tentative="0">
      <w:start w:val="1"/>
      <w:numFmt w:val="decimal"/>
      <w:suff w:val="nothing"/>
      <w:lvlText w:val="（%1）"/>
      <w:lvlJc w:val="left"/>
    </w:lvl>
  </w:abstractNum>
  <w:abstractNum w:abstractNumId="4">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YmNhODQxOWNkODc0ZjYxNTI4MThkY2UxMGM3NzYifQ=="/>
  </w:docVars>
  <w:rsids>
    <w:rsidRoot w:val="00F9008B"/>
    <w:rsid w:val="0000010C"/>
    <w:rsid w:val="000004FE"/>
    <w:rsid w:val="00000FE0"/>
    <w:rsid w:val="00001068"/>
    <w:rsid w:val="00001117"/>
    <w:rsid w:val="0000114A"/>
    <w:rsid w:val="00001731"/>
    <w:rsid w:val="00001C2D"/>
    <w:rsid w:val="00001C55"/>
    <w:rsid w:val="00001CA8"/>
    <w:rsid w:val="00001F78"/>
    <w:rsid w:val="00001FAE"/>
    <w:rsid w:val="00002291"/>
    <w:rsid w:val="000027A1"/>
    <w:rsid w:val="00002DBF"/>
    <w:rsid w:val="00002EC0"/>
    <w:rsid w:val="00003224"/>
    <w:rsid w:val="000033F5"/>
    <w:rsid w:val="0000358C"/>
    <w:rsid w:val="0000361D"/>
    <w:rsid w:val="00003BEF"/>
    <w:rsid w:val="00004130"/>
    <w:rsid w:val="0000431F"/>
    <w:rsid w:val="00004634"/>
    <w:rsid w:val="00004D8B"/>
    <w:rsid w:val="000059E2"/>
    <w:rsid w:val="000061EA"/>
    <w:rsid w:val="00006AE7"/>
    <w:rsid w:val="00006B9B"/>
    <w:rsid w:val="00006BCA"/>
    <w:rsid w:val="00006C35"/>
    <w:rsid w:val="000072B1"/>
    <w:rsid w:val="00007329"/>
    <w:rsid w:val="00007E28"/>
    <w:rsid w:val="00007E84"/>
    <w:rsid w:val="00010401"/>
    <w:rsid w:val="000105A1"/>
    <w:rsid w:val="000107AD"/>
    <w:rsid w:val="00010835"/>
    <w:rsid w:val="000117D5"/>
    <w:rsid w:val="00011842"/>
    <w:rsid w:val="00011B34"/>
    <w:rsid w:val="00012137"/>
    <w:rsid w:val="000121FF"/>
    <w:rsid w:val="00012456"/>
    <w:rsid w:val="000125B8"/>
    <w:rsid w:val="00012692"/>
    <w:rsid w:val="00012705"/>
    <w:rsid w:val="00013446"/>
    <w:rsid w:val="00013509"/>
    <w:rsid w:val="000135BC"/>
    <w:rsid w:val="000135DC"/>
    <w:rsid w:val="000136D6"/>
    <w:rsid w:val="00013720"/>
    <w:rsid w:val="00014085"/>
    <w:rsid w:val="00014D89"/>
    <w:rsid w:val="00014DD9"/>
    <w:rsid w:val="00014EE0"/>
    <w:rsid w:val="000151E4"/>
    <w:rsid w:val="00015577"/>
    <w:rsid w:val="000156E4"/>
    <w:rsid w:val="000159A7"/>
    <w:rsid w:val="00015FB8"/>
    <w:rsid w:val="0001609F"/>
    <w:rsid w:val="0001635B"/>
    <w:rsid w:val="00016549"/>
    <w:rsid w:val="00016814"/>
    <w:rsid w:val="00016BF7"/>
    <w:rsid w:val="0001720C"/>
    <w:rsid w:val="0001767E"/>
    <w:rsid w:val="0001776D"/>
    <w:rsid w:val="00017F31"/>
    <w:rsid w:val="00020316"/>
    <w:rsid w:val="00020607"/>
    <w:rsid w:val="0002103A"/>
    <w:rsid w:val="000217E4"/>
    <w:rsid w:val="00021852"/>
    <w:rsid w:val="00021A12"/>
    <w:rsid w:val="000223BF"/>
    <w:rsid w:val="00022622"/>
    <w:rsid w:val="00022A11"/>
    <w:rsid w:val="00023363"/>
    <w:rsid w:val="000235F3"/>
    <w:rsid w:val="00023644"/>
    <w:rsid w:val="00023712"/>
    <w:rsid w:val="00024291"/>
    <w:rsid w:val="00024A75"/>
    <w:rsid w:val="00024E3C"/>
    <w:rsid w:val="00024EB0"/>
    <w:rsid w:val="00025040"/>
    <w:rsid w:val="00025578"/>
    <w:rsid w:val="00025604"/>
    <w:rsid w:val="00025DAF"/>
    <w:rsid w:val="0002646A"/>
    <w:rsid w:val="0002651D"/>
    <w:rsid w:val="00026CFD"/>
    <w:rsid w:val="00027C8B"/>
    <w:rsid w:val="00027CD9"/>
    <w:rsid w:val="00030242"/>
    <w:rsid w:val="00030B06"/>
    <w:rsid w:val="000314EA"/>
    <w:rsid w:val="0003183A"/>
    <w:rsid w:val="00031CDC"/>
    <w:rsid w:val="00031EA7"/>
    <w:rsid w:val="00032461"/>
    <w:rsid w:val="0003263B"/>
    <w:rsid w:val="0003282C"/>
    <w:rsid w:val="00032F6D"/>
    <w:rsid w:val="0003304A"/>
    <w:rsid w:val="0003317E"/>
    <w:rsid w:val="00033413"/>
    <w:rsid w:val="000337F3"/>
    <w:rsid w:val="00033DDB"/>
    <w:rsid w:val="00034B24"/>
    <w:rsid w:val="00034C27"/>
    <w:rsid w:val="00034E2A"/>
    <w:rsid w:val="0003577F"/>
    <w:rsid w:val="00035B29"/>
    <w:rsid w:val="00036466"/>
    <w:rsid w:val="0003675E"/>
    <w:rsid w:val="00037F87"/>
    <w:rsid w:val="00037FA2"/>
    <w:rsid w:val="000400D0"/>
    <w:rsid w:val="00040343"/>
    <w:rsid w:val="00041848"/>
    <w:rsid w:val="000425AC"/>
    <w:rsid w:val="000427B8"/>
    <w:rsid w:val="00042F4A"/>
    <w:rsid w:val="0004372B"/>
    <w:rsid w:val="00043AC8"/>
    <w:rsid w:val="00043BE5"/>
    <w:rsid w:val="00044003"/>
    <w:rsid w:val="00044527"/>
    <w:rsid w:val="000447E8"/>
    <w:rsid w:val="00044897"/>
    <w:rsid w:val="00044ACF"/>
    <w:rsid w:val="000454F4"/>
    <w:rsid w:val="00045D1E"/>
    <w:rsid w:val="00045E69"/>
    <w:rsid w:val="00045E97"/>
    <w:rsid w:val="00045EF4"/>
    <w:rsid w:val="00046547"/>
    <w:rsid w:val="000466D7"/>
    <w:rsid w:val="00046753"/>
    <w:rsid w:val="000468CD"/>
    <w:rsid w:val="00047254"/>
    <w:rsid w:val="00047E41"/>
    <w:rsid w:val="0005022B"/>
    <w:rsid w:val="00050450"/>
    <w:rsid w:val="00050771"/>
    <w:rsid w:val="000509B3"/>
    <w:rsid w:val="000509BA"/>
    <w:rsid w:val="000513F3"/>
    <w:rsid w:val="00051C73"/>
    <w:rsid w:val="00052287"/>
    <w:rsid w:val="000522E0"/>
    <w:rsid w:val="000532F4"/>
    <w:rsid w:val="000535A9"/>
    <w:rsid w:val="000536AE"/>
    <w:rsid w:val="00054C2F"/>
    <w:rsid w:val="00054CD5"/>
    <w:rsid w:val="00054D03"/>
    <w:rsid w:val="000550AC"/>
    <w:rsid w:val="0005584D"/>
    <w:rsid w:val="00055AA4"/>
    <w:rsid w:val="00055CC3"/>
    <w:rsid w:val="00055CEE"/>
    <w:rsid w:val="00055FB7"/>
    <w:rsid w:val="000566FA"/>
    <w:rsid w:val="00056A2B"/>
    <w:rsid w:val="00056DA8"/>
    <w:rsid w:val="00056E37"/>
    <w:rsid w:val="00056EE2"/>
    <w:rsid w:val="00056FE2"/>
    <w:rsid w:val="000570FB"/>
    <w:rsid w:val="0005750E"/>
    <w:rsid w:val="000575B8"/>
    <w:rsid w:val="00060131"/>
    <w:rsid w:val="0006026B"/>
    <w:rsid w:val="00060293"/>
    <w:rsid w:val="00060D40"/>
    <w:rsid w:val="00061341"/>
    <w:rsid w:val="0006197E"/>
    <w:rsid w:val="00061AA1"/>
    <w:rsid w:val="00061BD3"/>
    <w:rsid w:val="00061BDA"/>
    <w:rsid w:val="00061CC2"/>
    <w:rsid w:val="000621FE"/>
    <w:rsid w:val="00062B90"/>
    <w:rsid w:val="00062C70"/>
    <w:rsid w:val="00062DD0"/>
    <w:rsid w:val="00062E6F"/>
    <w:rsid w:val="000630C7"/>
    <w:rsid w:val="0006400F"/>
    <w:rsid w:val="000645DD"/>
    <w:rsid w:val="00064D7E"/>
    <w:rsid w:val="00064F65"/>
    <w:rsid w:val="00064FD0"/>
    <w:rsid w:val="0006534A"/>
    <w:rsid w:val="00065A5D"/>
    <w:rsid w:val="00065BA2"/>
    <w:rsid w:val="000661CA"/>
    <w:rsid w:val="0006668D"/>
    <w:rsid w:val="00066896"/>
    <w:rsid w:val="00067002"/>
    <w:rsid w:val="00067993"/>
    <w:rsid w:val="00067B1C"/>
    <w:rsid w:val="00067CED"/>
    <w:rsid w:val="00067F66"/>
    <w:rsid w:val="0007041A"/>
    <w:rsid w:val="00070634"/>
    <w:rsid w:val="00070883"/>
    <w:rsid w:val="00070C3F"/>
    <w:rsid w:val="0007102C"/>
    <w:rsid w:val="00071D68"/>
    <w:rsid w:val="00071FCE"/>
    <w:rsid w:val="00072661"/>
    <w:rsid w:val="00072CCC"/>
    <w:rsid w:val="0007315D"/>
    <w:rsid w:val="00073549"/>
    <w:rsid w:val="00074669"/>
    <w:rsid w:val="0007483E"/>
    <w:rsid w:val="000751DB"/>
    <w:rsid w:val="0007542D"/>
    <w:rsid w:val="0007578F"/>
    <w:rsid w:val="00075E43"/>
    <w:rsid w:val="00077706"/>
    <w:rsid w:val="00077878"/>
    <w:rsid w:val="00077C37"/>
    <w:rsid w:val="00077E81"/>
    <w:rsid w:val="000804EF"/>
    <w:rsid w:val="00080558"/>
    <w:rsid w:val="00081230"/>
    <w:rsid w:val="000814E2"/>
    <w:rsid w:val="000818C9"/>
    <w:rsid w:val="00081CBB"/>
    <w:rsid w:val="00081D42"/>
    <w:rsid w:val="00081D7B"/>
    <w:rsid w:val="000822EF"/>
    <w:rsid w:val="0008241E"/>
    <w:rsid w:val="0008268D"/>
    <w:rsid w:val="000826B3"/>
    <w:rsid w:val="000826F5"/>
    <w:rsid w:val="000829B1"/>
    <w:rsid w:val="00082AAB"/>
    <w:rsid w:val="0008307D"/>
    <w:rsid w:val="000831E9"/>
    <w:rsid w:val="000833BB"/>
    <w:rsid w:val="0008452D"/>
    <w:rsid w:val="0008467B"/>
    <w:rsid w:val="000850FA"/>
    <w:rsid w:val="000857A6"/>
    <w:rsid w:val="000859B5"/>
    <w:rsid w:val="00085C12"/>
    <w:rsid w:val="00085DA0"/>
    <w:rsid w:val="00085F82"/>
    <w:rsid w:val="00086506"/>
    <w:rsid w:val="00086B6E"/>
    <w:rsid w:val="00086B90"/>
    <w:rsid w:val="00086C2F"/>
    <w:rsid w:val="00086C64"/>
    <w:rsid w:val="000874BB"/>
    <w:rsid w:val="0008781A"/>
    <w:rsid w:val="0008795D"/>
    <w:rsid w:val="00090951"/>
    <w:rsid w:val="00090A61"/>
    <w:rsid w:val="000918F5"/>
    <w:rsid w:val="000919B5"/>
    <w:rsid w:val="00091C1D"/>
    <w:rsid w:val="00091E08"/>
    <w:rsid w:val="00092100"/>
    <w:rsid w:val="000922D8"/>
    <w:rsid w:val="000932E7"/>
    <w:rsid w:val="0009333A"/>
    <w:rsid w:val="000933C3"/>
    <w:rsid w:val="00093459"/>
    <w:rsid w:val="00093B8B"/>
    <w:rsid w:val="000951E7"/>
    <w:rsid w:val="00095B82"/>
    <w:rsid w:val="00096098"/>
    <w:rsid w:val="000961B2"/>
    <w:rsid w:val="000969D9"/>
    <w:rsid w:val="00096F37"/>
    <w:rsid w:val="00097087"/>
    <w:rsid w:val="00097FE5"/>
    <w:rsid w:val="000A0354"/>
    <w:rsid w:val="000A091F"/>
    <w:rsid w:val="000A0958"/>
    <w:rsid w:val="000A0FCC"/>
    <w:rsid w:val="000A1033"/>
    <w:rsid w:val="000A2712"/>
    <w:rsid w:val="000A2877"/>
    <w:rsid w:val="000A355D"/>
    <w:rsid w:val="000A35DA"/>
    <w:rsid w:val="000A371E"/>
    <w:rsid w:val="000A3DE5"/>
    <w:rsid w:val="000A4011"/>
    <w:rsid w:val="000A45D5"/>
    <w:rsid w:val="000A46CD"/>
    <w:rsid w:val="000A490E"/>
    <w:rsid w:val="000A529E"/>
    <w:rsid w:val="000A5B49"/>
    <w:rsid w:val="000A5F7A"/>
    <w:rsid w:val="000A5FE5"/>
    <w:rsid w:val="000A6684"/>
    <w:rsid w:val="000A7194"/>
    <w:rsid w:val="000A7218"/>
    <w:rsid w:val="000A740A"/>
    <w:rsid w:val="000A7446"/>
    <w:rsid w:val="000A7E7F"/>
    <w:rsid w:val="000A7ECD"/>
    <w:rsid w:val="000B04DD"/>
    <w:rsid w:val="000B0F01"/>
    <w:rsid w:val="000B1346"/>
    <w:rsid w:val="000B1914"/>
    <w:rsid w:val="000B19DC"/>
    <w:rsid w:val="000B1B44"/>
    <w:rsid w:val="000B1CA2"/>
    <w:rsid w:val="000B202E"/>
    <w:rsid w:val="000B2293"/>
    <w:rsid w:val="000B24A4"/>
    <w:rsid w:val="000B255C"/>
    <w:rsid w:val="000B395E"/>
    <w:rsid w:val="000B39C3"/>
    <w:rsid w:val="000B3A00"/>
    <w:rsid w:val="000B4840"/>
    <w:rsid w:val="000B4D79"/>
    <w:rsid w:val="000B5627"/>
    <w:rsid w:val="000B5671"/>
    <w:rsid w:val="000B6BF0"/>
    <w:rsid w:val="000B6CE8"/>
    <w:rsid w:val="000B7C94"/>
    <w:rsid w:val="000B7DAF"/>
    <w:rsid w:val="000C006F"/>
    <w:rsid w:val="000C071C"/>
    <w:rsid w:val="000C0931"/>
    <w:rsid w:val="000C0BB4"/>
    <w:rsid w:val="000C0BEE"/>
    <w:rsid w:val="000C11BE"/>
    <w:rsid w:val="000C1CB9"/>
    <w:rsid w:val="000C2159"/>
    <w:rsid w:val="000C21BB"/>
    <w:rsid w:val="000C289B"/>
    <w:rsid w:val="000C2EB4"/>
    <w:rsid w:val="000C352F"/>
    <w:rsid w:val="000C3F01"/>
    <w:rsid w:val="000C410D"/>
    <w:rsid w:val="000C420D"/>
    <w:rsid w:val="000C4773"/>
    <w:rsid w:val="000C4944"/>
    <w:rsid w:val="000C4E24"/>
    <w:rsid w:val="000C5851"/>
    <w:rsid w:val="000C5C4A"/>
    <w:rsid w:val="000C5F01"/>
    <w:rsid w:val="000C63C4"/>
    <w:rsid w:val="000C66C1"/>
    <w:rsid w:val="000C6F0B"/>
    <w:rsid w:val="000C6F32"/>
    <w:rsid w:val="000C6FEF"/>
    <w:rsid w:val="000C7324"/>
    <w:rsid w:val="000C755A"/>
    <w:rsid w:val="000C778C"/>
    <w:rsid w:val="000C7833"/>
    <w:rsid w:val="000C7E1B"/>
    <w:rsid w:val="000C7E73"/>
    <w:rsid w:val="000D001B"/>
    <w:rsid w:val="000D0A45"/>
    <w:rsid w:val="000D136E"/>
    <w:rsid w:val="000D1421"/>
    <w:rsid w:val="000D14AC"/>
    <w:rsid w:val="000D14EE"/>
    <w:rsid w:val="000D15BA"/>
    <w:rsid w:val="000D15BE"/>
    <w:rsid w:val="000D252B"/>
    <w:rsid w:val="000D2BCC"/>
    <w:rsid w:val="000D2C9B"/>
    <w:rsid w:val="000D2CCB"/>
    <w:rsid w:val="000D35FD"/>
    <w:rsid w:val="000D3D2D"/>
    <w:rsid w:val="000D3D99"/>
    <w:rsid w:val="000D451B"/>
    <w:rsid w:val="000D4653"/>
    <w:rsid w:val="000D4696"/>
    <w:rsid w:val="000D4817"/>
    <w:rsid w:val="000D4D0C"/>
    <w:rsid w:val="000D4FB9"/>
    <w:rsid w:val="000D54B4"/>
    <w:rsid w:val="000D584B"/>
    <w:rsid w:val="000D5EE9"/>
    <w:rsid w:val="000D5F55"/>
    <w:rsid w:val="000D6372"/>
    <w:rsid w:val="000D6825"/>
    <w:rsid w:val="000D6979"/>
    <w:rsid w:val="000D6CE7"/>
    <w:rsid w:val="000D6E38"/>
    <w:rsid w:val="000D6E63"/>
    <w:rsid w:val="000D711C"/>
    <w:rsid w:val="000D7B6E"/>
    <w:rsid w:val="000E01E4"/>
    <w:rsid w:val="000E0644"/>
    <w:rsid w:val="000E076D"/>
    <w:rsid w:val="000E087C"/>
    <w:rsid w:val="000E137E"/>
    <w:rsid w:val="000E187C"/>
    <w:rsid w:val="000E1B28"/>
    <w:rsid w:val="000E1E8D"/>
    <w:rsid w:val="000E1EBC"/>
    <w:rsid w:val="000E2173"/>
    <w:rsid w:val="000E220B"/>
    <w:rsid w:val="000E2266"/>
    <w:rsid w:val="000E2A50"/>
    <w:rsid w:val="000E30F2"/>
    <w:rsid w:val="000E316B"/>
    <w:rsid w:val="000E372D"/>
    <w:rsid w:val="000E3D08"/>
    <w:rsid w:val="000E40BB"/>
    <w:rsid w:val="000E45A5"/>
    <w:rsid w:val="000E4728"/>
    <w:rsid w:val="000E4D1F"/>
    <w:rsid w:val="000E4E1E"/>
    <w:rsid w:val="000E5658"/>
    <w:rsid w:val="000E5698"/>
    <w:rsid w:val="000E5723"/>
    <w:rsid w:val="000E581B"/>
    <w:rsid w:val="000E64B2"/>
    <w:rsid w:val="000E65D2"/>
    <w:rsid w:val="000E6919"/>
    <w:rsid w:val="000E6B1B"/>
    <w:rsid w:val="000E6F0C"/>
    <w:rsid w:val="000E732D"/>
    <w:rsid w:val="000F07ED"/>
    <w:rsid w:val="000F0CF2"/>
    <w:rsid w:val="000F1401"/>
    <w:rsid w:val="000F17E5"/>
    <w:rsid w:val="000F1A32"/>
    <w:rsid w:val="000F1CC2"/>
    <w:rsid w:val="000F1D15"/>
    <w:rsid w:val="000F270A"/>
    <w:rsid w:val="000F2997"/>
    <w:rsid w:val="000F2FA3"/>
    <w:rsid w:val="000F34C8"/>
    <w:rsid w:val="000F38BC"/>
    <w:rsid w:val="000F3E2A"/>
    <w:rsid w:val="000F4D26"/>
    <w:rsid w:val="000F5639"/>
    <w:rsid w:val="000F58A4"/>
    <w:rsid w:val="000F5F99"/>
    <w:rsid w:val="000F6833"/>
    <w:rsid w:val="000F6A24"/>
    <w:rsid w:val="000F7294"/>
    <w:rsid w:val="000F7502"/>
    <w:rsid w:val="000F7616"/>
    <w:rsid w:val="000F7DE9"/>
    <w:rsid w:val="000F7F7A"/>
    <w:rsid w:val="001002F4"/>
    <w:rsid w:val="0010050C"/>
    <w:rsid w:val="001006CB"/>
    <w:rsid w:val="001007E5"/>
    <w:rsid w:val="001011FC"/>
    <w:rsid w:val="0010165F"/>
    <w:rsid w:val="00101E7C"/>
    <w:rsid w:val="001023DC"/>
    <w:rsid w:val="00102572"/>
    <w:rsid w:val="001025DD"/>
    <w:rsid w:val="00102946"/>
    <w:rsid w:val="00102FBF"/>
    <w:rsid w:val="0010333D"/>
    <w:rsid w:val="0010372A"/>
    <w:rsid w:val="00103F41"/>
    <w:rsid w:val="00104662"/>
    <w:rsid w:val="00104F34"/>
    <w:rsid w:val="001053C5"/>
    <w:rsid w:val="001055AD"/>
    <w:rsid w:val="00105C14"/>
    <w:rsid w:val="001065A3"/>
    <w:rsid w:val="00106610"/>
    <w:rsid w:val="00106831"/>
    <w:rsid w:val="0010683E"/>
    <w:rsid w:val="0010691D"/>
    <w:rsid w:val="00106B33"/>
    <w:rsid w:val="00106E69"/>
    <w:rsid w:val="00110AC5"/>
    <w:rsid w:val="00110D4D"/>
    <w:rsid w:val="00110F0B"/>
    <w:rsid w:val="0011108B"/>
    <w:rsid w:val="00111136"/>
    <w:rsid w:val="00111164"/>
    <w:rsid w:val="00111761"/>
    <w:rsid w:val="00112164"/>
    <w:rsid w:val="0011241F"/>
    <w:rsid w:val="001128BF"/>
    <w:rsid w:val="00112D09"/>
    <w:rsid w:val="00112E8F"/>
    <w:rsid w:val="00112F03"/>
    <w:rsid w:val="00112F38"/>
    <w:rsid w:val="00113821"/>
    <w:rsid w:val="00114058"/>
    <w:rsid w:val="0011449E"/>
    <w:rsid w:val="001153EF"/>
    <w:rsid w:val="00115D55"/>
    <w:rsid w:val="00115E45"/>
    <w:rsid w:val="00115F85"/>
    <w:rsid w:val="00116172"/>
    <w:rsid w:val="0011688E"/>
    <w:rsid w:val="00116ACD"/>
    <w:rsid w:val="00116E19"/>
    <w:rsid w:val="0011718F"/>
    <w:rsid w:val="00117B7D"/>
    <w:rsid w:val="00117EFC"/>
    <w:rsid w:val="001205A8"/>
    <w:rsid w:val="00121766"/>
    <w:rsid w:val="0012291C"/>
    <w:rsid w:val="00122A64"/>
    <w:rsid w:val="00123694"/>
    <w:rsid w:val="0012388A"/>
    <w:rsid w:val="0012388C"/>
    <w:rsid w:val="00123AFA"/>
    <w:rsid w:val="00123C8C"/>
    <w:rsid w:val="00123E8B"/>
    <w:rsid w:val="00124405"/>
    <w:rsid w:val="00124B43"/>
    <w:rsid w:val="00124DF8"/>
    <w:rsid w:val="001253EA"/>
    <w:rsid w:val="00125B99"/>
    <w:rsid w:val="00126160"/>
    <w:rsid w:val="00126AEC"/>
    <w:rsid w:val="00126DB5"/>
    <w:rsid w:val="0012711C"/>
    <w:rsid w:val="00127178"/>
    <w:rsid w:val="00127F09"/>
    <w:rsid w:val="0013002A"/>
    <w:rsid w:val="001306B6"/>
    <w:rsid w:val="0013085D"/>
    <w:rsid w:val="0013089C"/>
    <w:rsid w:val="00130A2D"/>
    <w:rsid w:val="00130F54"/>
    <w:rsid w:val="00131888"/>
    <w:rsid w:val="00131EE1"/>
    <w:rsid w:val="00131F17"/>
    <w:rsid w:val="0013212F"/>
    <w:rsid w:val="00132284"/>
    <w:rsid w:val="001323F9"/>
    <w:rsid w:val="0013251F"/>
    <w:rsid w:val="00133088"/>
    <w:rsid w:val="00133346"/>
    <w:rsid w:val="001335B1"/>
    <w:rsid w:val="00133B4E"/>
    <w:rsid w:val="0013410F"/>
    <w:rsid w:val="001346AF"/>
    <w:rsid w:val="00134990"/>
    <w:rsid w:val="001354D1"/>
    <w:rsid w:val="00135840"/>
    <w:rsid w:val="00135A0A"/>
    <w:rsid w:val="00135BB9"/>
    <w:rsid w:val="0013621D"/>
    <w:rsid w:val="00136354"/>
    <w:rsid w:val="00136674"/>
    <w:rsid w:val="00136B0E"/>
    <w:rsid w:val="00136C3B"/>
    <w:rsid w:val="001376AB"/>
    <w:rsid w:val="0013777C"/>
    <w:rsid w:val="00137D5F"/>
    <w:rsid w:val="00137E0F"/>
    <w:rsid w:val="00140082"/>
    <w:rsid w:val="001400C5"/>
    <w:rsid w:val="00140175"/>
    <w:rsid w:val="00140757"/>
    <w:rsid w:val="00140D07"/>
    <w:rsid w:val="0014194E"/>
    <w:rsid w:val="00141A3A"/>
    <w:rsid w:val="00141FD4"/>
    <w:rsid w:val="001423FA"/>
    <w:rsid w:val="001427B5"/>
    <w:rsid w:val="001427CF"/>
    <w:rsid w:val="001428CF"/>
    <w:rsid w:val="00142D0C"/>
    <w:rsid w:val="00142E3C"/>
    <w:rsid w:val="00143387"/>
    <w:rsid w:val="001439BA"/>
    <w:rsid w:val="00144013"/>
    <w:rsid w:val="001455C3"/>
    <w:rsid w:val="00145764"/>
    <w:rsid w:val="00145A17"/>
    <w:rsid w:val="00145BBE"/>
    <w:rsid w:val="001460B5"/>
    <w:rsid w:val="0014641F"/>
    <w:rsid w:val="001464A8"/>
    <w:rsid w:val="001467BB"/>
    <w:rsid w:val="00146B1E"/>
    <w:rsid w:val="00146CA8"/>
    <w:rsid w:val="00147884"/>
    <w:rsid w:val="00150827"/>
    <w:rsid w:val="00150B0D"/>
    <w:rsid w:val="00150E10"/>
    <w:rsid w:val="00151A32"/>
    <w:rsid w:val="00151B2C"/>
    <w:rsid w:val="00151E31"/>
    <w:rsid w:val="00151F9B"/>
    <w:rsid w:val="00152289"/>
    <w:rsid w:val="00152425"/>
    <w:rsid w:val="00152BAD"/>
    <w:rsid w:val="00152CE3"/>
    <w:rsid w:val="00153652"/>
    <w:rsid w:val="00153697"/>
    <w:rsid w:val="00153956"/>
    <w:rsid w:val="00153B95"/>
    <w:rsid w:val="00154146"/>
    <w:rsid w:val="00154190"/>
    <w:rsid w:val="001545EA"/>
    <w:rsid w:val="001549BA"/>
    <w:rsid w:val="00154BBF"/>
    <w:rsid w:val="00155099"/>
    <w:rsid w:val="00155C85"/>
    <w:rsid w:val="00156592"/>
    <w:rsid w:val="00156A6C"/>
    <w:rsid w:val="00156B10"/>
    <w:rsid w:val="001576FE"/>
    <w:rsid w:val="00157823"/>
    <w:rsid w:val="0015790D"/>
    <w:rsid w:val="00157AE9"/>
    <w:rsid w:val="00157C5E"/>
    <w:rsid w:val="00157DD3"/>
    <w:rsid w:val="0016015A"/>
    <w:rsid w:val="001601E7"/>
    <w:rsid w:val="0016020E"/>
    <w:rsid w:val="00160503"/>
    <w:rsid w:val="00160BF6"/>
    <w:rsid w:val="00160D7C"/>
    <w:rsid w:val="00160E30"/>
    <w:rsid w:val="0016106D"/>
    <w:rsid w:val="001612E1"/>
    <w:rsid w:val="001614DB"/>
    <w:rsid w:val="0016194E"/>
    <w:rsid w:val="00161ADC"/>
    <w:rsid w:val="0016236C"/>
    <w:rsid w:val="00162625"/>
    <w:rsid w:val="00162707"/>
    <w:rsid w:val="001630A8"/>
    <w:rsid w:val="00163826"/>
    <w:rsid w:val="00163943"/>
    <w:rsid w:val="00163BA1"/>
    <w:rsid w:val="00163F22"/>
    <w:rsid w:val="0016417B"/>
    <w:rsid w:val="001643A6"/>
    <w:rsid w:val="0016470E"/>
    <w:rsid w:val="001649D3"/>
    <w:rsid w:val="00164E0A"/>
    <w:rsid w:val="001652D7"/>
    <w:rsid w:val="00165A5F"/>
    <w:rsid w:val="00166223"/>
    <w:rsid w:val="0016793E"/>
    <w:rsid w:val="00167D4D"/>
    <w:rsid w:val="0017054C"/>
    <w:rsid w:val="00170631"/>
    <w:rsid w:val="00170635"/>
    <w:rsid w:val="0017070D"/>
    <w:rsid w:val="00170837"/>
    <w:rsid w:val="00170F77"/>
    <w:rsid w:val="00171035"/>
    <w:rsid w:val="001713B7"/>
    <w:rsid w:val="00171ADB"/>
    <w:rsid w:val="00171E2C"/>
    <w:rsid w:val="00172029"/>
    <w:rsid w:val="001733A4"/>
    <w:rsid w:val="0017360E"/>
    <w:rsid w:val="00173AB9"/>
    <w:rsid w:val="00173EED"/>
    <w:rsid w:val="00174368"/>
    <w:rsid w:val="001744EA"/>
    <w:rsid w:val="00174731"/>
    <w:rsid w:val="00174D82"/>
    <w:rsid w:val="00174E44"/>
    <w:rsid w:val="00175053"/>
    <w:rsid w:val="001753B7"/>
    <w:rsid w:val="001757E7"/>
    <w:rsid w:val="00175873"/>
    <w:rsid w:val="00175C59"/>
    <w:rsid w:val="001760BC"/>
    <w:rsid w:val="00176674"/>
    <w:rsid w:val="00176818"/>
    <w:rsid w:val="00176B82"/>
    <w:rsid w:val="00176E3B"/>
    <w:rsid w:val="00176ECB"/>
    <w:rsid w:val="0017752D"/>
    <w:rsid w:val="0017759F"/>
    <w:rsid w:val="00177832"/>
    <w:rsid w:val="00180880"/>
    <w:rsid w:val="00181178"/>
    <w:rsid w:val="0018119E"/>
    <w:rsid w:val="0018152C"/>
    <w:rsid w:val="00181DBA"/>
    <w:rsid w:val="00181EEF"/>
    <w:rsid w:val="00181F3E"/>
    <w:rsid w:val="00181F3F"/>
    <w:rsid w:val="00182FE0"/>
    <w:rsid w:val="00183911"/>
    <w:rsid w:val="00184418"/>
    <w:rsid w:val="001845FB"/>
    <w:rsid w:val="00184A86"/>
    <w:rsid w:val="001857FB"/>
    <w:rsid w:val="00185DA6"/>
    <w:rsid w:val="00185F64"/>
    <w:rsid w:val="00186096"/>
    <w:rsid w:val="001862FE"/>
    <w:rsid w:val="001864AC"/>
    <w:rsid w:val="00186A33"/>
    <w:rsid w:val="00187317"/>
    <w:rsid w:val="0018772E"/>
    <w:rsid w:val="00187A94"/>
    <w:rsid w:val="0019029E"/>
    <w:rsid w:val="00190804"/>
    <w:rsid w:val="0019088F"/>
    <w:rsid w:val="00190C51"/>
    <w:rsid w:val="00192F00"/>
    <w:rsid w:val="00193ACC"/>
    <w:rsid w:val="00193BFE"/>
    <w:rsid w:val="00195322"/>
    <w:rsid w:val="0019560E"/>
    <w:rsid w:val="001958E3"/>
    <w:rsid w:val="00195FFA"/>
    <w:rsid w:val="0019601B"/>
    <w:rsid w:val="00196048"/>
    <w:rsid w:val="00196966"/>
    <w:rsid w:val="00196A82"/>
    <w:rsid w:val="0019769B"/>
    <w:rsid w:val="001979F9"/>
    <w:rsid w:val="00197FFE"/>
    <w:rsid w:val="001A0D25"/>
    <w:rsid w:val="001A0E14"/>
    <w:rsid w:val="001A1570"/>
    <w:rsid w:val="001A1917"/>
    <w:rsid w:val="001A1C64"/>
    <w:rsid w:val="001A1DFB"/>
    <w:rsid w:val="001A1E7F"/>
    <w:rsid w:val="001A2918"/>
    <w:rsid w:val="001A2D02"/>
    <w:rsid w:val="001A3076"/>
    <w:rsid w:val="001A3163"/>
    <w:rsid w:val="001A31A5"/>
    <w:rsid w:val="001A32A7"/>
    <w:rsid w:val="001A389C"/>
    <w:rsid w:val="001A3B75"/>
    <w:rsid w:val="001A42A3"/>
    <w:rsid w:val="001A46FB"/>
    <w:rsid w:val="001A4EC9"/>
    <w:rsid w:val="001A529F"/>
    <w:rsid w:val="001A5944"/>
    <w:rsid w:val="001A5FB1"/>
    <w:rsid w:val="001A618F"/>
    <w:rsid w:val="001A698A"/>
    <w:rsid w:val="001A6CCC"/>
    <w:rsid w:val="001A6E3B"/>
    <w:rsid w:val="001A70C8"/>
    <w:rsid w:val="001A71C9"/>
    <w:rsid w:val="001A7342"/>
    <w:rsid w:val="001A7429"/>
    <w:rsid w:val="001A760C"/>
    <w:rsid w:val="001A76F0"/>
    <w:rsid w:val="001A7977"/>
    <w:rsid w:val="001A799B"/>
    <w:rsid w:val="001A7AC7"/>
    <w:rsid w:val="001A7C38"/>
    <w:rsid w:val="001B02F8"/>
    <w:rsid w:val="001B2104"/>
    <w:rsid w:val="001B2263"/>
    <w:rsid w:val="001B2279"/>
    <w:rsid w:val="001B2729"/>
    <w:rsid w:val="001B2866"/>
    <w:rsid w:val="001B2881"/>
    <w:rsid w:val="001B2B73"/>
    <w:rsid w:val="001B3675"/>
    <w:rsid w:val="001B37C8"/>
    <w:rsid w:val="001B3C7B"/>
    <w:rsid w:val="001B48BA"/>
    <w:rsid w:val="001B4B2C"/>
    <w:rsid w:val="001B4F10"/>
    <w:rsid w:val="001B5154"/>
    <w:rsid w:val="001B6E30"/>
    <w:rsid w:val="001B6E43"/>
    <w:rsid w:val="001B7C83"/>
    <w:rsid w:val="001B7CB3"/>
    <w:rsid w:val="001B7F9E"/>
    <w:rsid w:val="001C0206"/>
    <w:rsid w:val="001C0246"/>
    <w:rsid w:val="001C04D4"/>
    <w:rsid w:val="001C0B34"/>
    <w:rsid w:val="001C12A3"/>
    <w:rsid w:val="001C1419"/>
    <w:rsid w:val="001C15D8"/>
    <w:rsid w:val="001C17BB"/>
    <w:rsid w:val="001C187E"/>
    <w:rsid w:val="001C1A37"/>
    <w:rsid w:val="001C1C49"/>
    <w:rsid w:val="001C286F"/>
    <w:rsid w:val="001C2B86"/>
    <w:rsid w:val="001C2F54"/>
    <w:rsid w:val="001C3308"/>
    <w:rsid w:val="001C331D"/>
    <w:rsid w:val="001C3BBB"/>
    <w:rsid w:val="001C40D1"/>
    <w:rsid w:val="001C468A"/>
    <w:rsid w:val="001C4A38"/>
    <w:rsid w:val="001C4A9E"/>
    <w:rsid w:val="001C5001"/>
    <w:rsid w:val="001C504C"/>
    <w:rsid w:val="001C5103"/>
    <w:rsid w:val="001C52A8"/>
    <w:rsid w:val="001C5ADF"/>
    <w:rsid w:val="001C5E8E"/>
    <w:rsid w:val="001C6120"/>
    <w:rsid w:val="001C6516"/>
    <w:rsid w:val="001C6B5C"/>
    <w:rsid w:val="001C7155"/>
    <w:rsid w:val="001C7E48"/>
    <w:rsid w:val="001D0190"/>
    <w:rsid w:val="001D039B"/>
    <w:rsid w:val="001D0849"/>
    <w:rsid w:val="001D1258"/>
    <w:rsid w:val="001D1AB8"/>
    <w:rsid w:val="001D26F5"/>
    <w:rsid w:val="001D286F"/>
    <w:rsid w:val="001D2C94"/>
    <w:rsid w:val="001D33D9"/>
    <w:rsid w:val="001D34F6"/>
    <w:rsid w:val="001D36F6"/>
    <w:rsid w:val="001D3F6E"/>
    <w:rsid w:val="001D4303"/>
    <w:rsid w:val="001D45E5"/>
    <w:rsid w:val="001D461A"/>
    <w:rsid w:val="001D4A9D"/>
    <w:rsid w:val="001D4AAD"/>
    <w:rsid w:val="001D4E16"/>
    <w:rsid w:val="001D5AFA"/>
    <w:rsid w:val="001D652D"/>
    <w:rsid w:val="001D6AE8"/>
    <w:rsid w:val="001D72D9"/>
    <w:rsid w:val="001D784A"/>
    <w:rsid w:val="001E04A4"/>
    <w:rsid w:val="001E07C5"/>
    <w:rsid w:val="001E0B45"/>
    <w:rsid w:val="001E176D"/>
    <w:rsid w:val="001E1BCE"/>
    <w:rsid w:val="001E1E05"/>
    <w:rsid w:val="001E2086"/>
    <w:rsid w:val="001E339F"/>
    <w:rsid w:val="001E3629"/>
    <w:rsid w:val="001E3E7D"/>
    <w:rsid w:val="001E40F0"/>
    <w:rsid w:val="001E4172"/>
    <w:rsid w:val="001E4F08"/>
    <w:rsid w:val="001E5490"/>
    <w:rsid w:val="001E5730"/>
    <w:rsid w:val="001E58B1"/>
    <w:rsid w:val="001E5E2E"/>
    <w:rsid w:val="001E6352"/>
    <w:rsid w:val="001E700A"/>
    <w:rsid w:val="001E70AD"/>
    <w:rsid w:val="001E7237"/>
    <w:rsid w:val="001E73E0"/>
    <w:rsid w:val="001E77BF"/>
    <w:rsid w:val="001E7AF6"/>
    <w:rsid w:val="001F01B8"/>
    <w:rsid w:val="001F0FC3"/>
    <w:rsid w:val="001F1188"/>
    <w:rsid w:val="001F1B8D"/>
    <w:rsid w:val="001F1C50"/>
    <w:rsid w:val="001F274F"/>
    <w:rsid w:val="001F289C"/>
    <w:rsid w:val="001F2BF9"/>
    <w:rsid w:val="001F3AF2"/>
    <w:rsid w:val="001F4BFC"/>
    <w:rsid w:val="001F6008"/>
    <w:rsid w:val="001F604B"/>
    <w:rsid w:val="001F62FB"/>
    <w:rsid w:val="001F641B"/>
    <w:rsid w:val="001F6D4D"/>
    <w:rsid w:val="001F78EA"/>
    <w:rsid w:val="0020125C"/>
    <w:rsid w:val="0020130D"/>
    <w:rsid w:val="00201916"/>
    <w:rsid w:val="00201D06"/>
    <w:rsid w:val="00201E9F"/>
    <w:rsid w:val="00202F25"/>
    <w:rsid w:val="002035B3"/>
    <w:rsid w:val="00203929"/>
    <w:rsid w:val="00203CD6"/>
    <w:rsid w:val="00203D01"/>
    <w:rsid w:val="0020416D"/>
    <w:rsid w:val="00204460"/>
    <w:rsid w:val="002051EA"/>
    <w:rsid w:val="00205CBC"/>
    <w:rsid w:val="00206259"/>
    <w:rsid w:val="002074B7"/>
    <w:rsid w:val="0020758D"/>
    <w:rsid w:val="00207C7B"/>
    <w:rsid w:val="002105AC"/>
    <w:rsid w:val="00211470"/>
    <w:rsid w:val="00211922"/>
    <w:rsid w:val="0021213A"/>
    <w:rsid w:val="0021265F"/>
    <w:rsid w:val="00212F0B"/>
    <w:rsid w:val="0021322F"/>
    <w:rsid w:val="00213232"/>
    <w:rsid w:val="00213817"/>
    <w:rsid w:val="00214428"/>
    <w:rsid w:val="002145EB"/>
    <w:rsid w:val="0021471A"/>
    <w:rsid w:val="00214F82"/>
    <w:rsid w:val="00214FE7"/>
    <w:rsid w:val="00215033"/>
    <w:rsid w:val="00215049"/>
    <w:rsid w:val="00215834"/>
    <w:rsid w:val="00215CC2"/>
    <w:rsid w:val="00215D95"/>
    <w:rsid w:val="00215ED8"/>
    <w:rsid w:val="00215FAF"/>
    <w:rsid w:val="0021727D"/>
    <w:rsid w:val="00217700"/>
    <w:rsid w:val="002177E2"/>
    <w:rsid w:val="0021783B"/>
    <w:rsid w:val="00217AE0"/>
    <w:rsid w:val="00217B43"/>
    <w:rsid w:val="002205F3"/>
    <w:rsid w:val="0022085B"/>
    <w:rsid w:val="00220E53"/>
    <w:rsid w:val="0022176C"/>
    <w:rsid w:val="00221BD2"/>
    <w:rsid w:val="002225D1"/>
    <w:rsid w:val="002230FA"/>
    <w:rsid w:val="002232B9"/>
    <w:rsid w:val="00223DF2"/>
    <w:rsid w:val="00223E18"/>
    <w:rsid w:val="002249A2"/>
    <w:rsid w:val="00224C0C"/>
    <w:rsid w:val="0022510D"/>
    <w:rsid w:val="002256C2"/>
    <w:rsid w:val="002256D0"/>
    <w:rsid w:val="00225C8E"/>
    <w:rsid w:val="00226428"/>
    <w:rsid w:val="002265A9"/>
    <w:rsid w:val="002266CB"/>
    <w:rsid w:val="00227052"/>
    <w:rsid w:val="002272D5"/>
    <w:rsid w:val="0022738E"/>
    <w:rsid w:val="00227906"/>
    <w:rsid w:val="00227934"/>
    <w:rsid w:val="00227E21"/>
    <w:rsid w:val="0023008A"/>
    <w:rsid w:val="0023179D"/>
    <w:rsid w:val="00231D05"/>
    <w:rsid w:val="0023241A"/>
    <w:rsid w:val="002324C4"/>
    <w:rsid w:val="00232EFA"/>
    <w:rsid w:val="002336E2"/>
    <w:rsid w:val="00233AC2"/>
    <w:rsid w:val="00233BAF"/>
    <w:rsid w:val="00233F80"/>
    <w:rsid w:val="0023423A"/>
    <w:rsid w:val="00234996"/>
    <w:rsid w:val="00235420"/>
    <w:rsid w:val="0023549A"/>
    <w:rsid w:val="00235700"/>
    <w:rsid w:val="0023788D"/>
    <w:rsid w:val="00240422"/>
    <w:rsid w:val="0024065B"/>
    <w:rsid w:val="002409A6"/>
    <w:rsid w:val="00240C63"/>
    <w:rsid w:val="00240D91"/>
    <w:rsid w:val="00240EA5"/>
    <w:rsid w:val="00241132"/>
    <w:rsid w:val="00241205"/>
    <w:rsid w:val="002418C5"/>
    <w:rsid w:val="0024261D"/>
    <w:rsid w:val="00242712"/>
    <w:rsid w:val="00242DFB"/>
    <w:rsid w:val="00243807"/>
    <w:rsid w:val="002440AC"/>
    <w:rsid w:val="0024416E"/>
    <w:rsid w:val="00244365"/>
    <w:rsid w:val="0024459A"/>
    <w:rsid w:val="002446A3"/>
    <w:rsid w:val="00244771"/>
    <w:rsid w:val="00244903"/>
    <w:rsid w:val="00244AFB"/>
    <w:rsid w:val="00244B97"/>
    <w:rsid w:val="002453DF"/>
    <w:rsid w:val="00245A81"/>
    <w:rsid w:val="002462A5"/>
    <w:rsid w:val="00246B86"/>
    <w:rsid w:val="00247335"/>
    <w:rsid w:val="002473EF"/>
    <w:rsid w:val="002477B9"/>
    <w:rsid w:val="00247B69"/>
    <w:rsid w:val="00247CBE"/>
    <w:rsid w:val="00250A1F"/>
    <w:rsid w:val="00250ADA"/>
    <w:rsid w:val="00250F1D"/>
    <w:rsid w:val="00251FF1"/>
    <w:rsid w:val="002520BA"/>
    <w:rsid w:val="00252234"/>
    <w:rsid w:val="002528E3"/>
    <w:rsid w:val="00252944"/>
    <w:rsid w:val="00252D55"/>
    <w:rsid w:val="00252D82"/>
    <w:rsid w:val="00253006"/>
    <w:rsid w:val="00253165"/>
    <w:rsid w:val="002531EA"/>
    <w:rsid w:val="002533F5"/>
    <w:rsid w:val="00253C60"/>
    <w:rsid w:val="00253F21"/>
    <w:rsid w:val="0025429D"/>
    <w:rsid w:val="002549E9"/>
    <w:rsid w:val="00254FF6"/>
    <w:rsid w:val="00255099"/>
    <w:rsid w:val="002555C6"/>
    <w:rsid w:val="0025597E"/>
    <w:rsid w:val="00255E14"/>
    <w:rsid w:val="00255E45"/>
    <w:rsid w:val="00255FC3"/>
    <w:rsid w:val="00255FF9"/>
    <w:rsid w:val="00256AD7"/>
    <w:rsid w:val="00257059"/>
    <w:rsid w:val="0025712F"/>
    <w:rsid w:val="00257395"/>
    <w:rsid w:val="00257857"/>
    <w:rsid w:val="002578DA"/>
    <w:rsid w:val="00257CBC"/>
    <w:rsid w:val="002602C2"/>
    <w:rsid w:val="002602DA"/>
    <w:rsid w:val="0026040B"/>
    <w:rsid w:val="002604F2"/>
    <w:rsid w:val="00260802"/>
    <w:rsid w:val="002609E3"/>
    <w:rsid w:val="00261223"/>
    <w:rsid w:val="00261467"/>
    <w:rsid w:val="002617AB"/>
    <w:rsid w:val="00261D08"/>
    <w:rsid w:val="00261DCC"/>
    <w:rsid w:val="002624D0"/>
    <w:rsid w:val="00263572"/>
    <w:rsid w:val="00263EC7"/>
    <w:rsid w:val="0026491B"/>
    <w:rsid w:val="00264A36"/>
    <w:rsid w:val="00264B06"/>
    <w:rsid w:val="00264C1B"/>
    <w:rsid w:val="002657FB"/>
    <w:rsid w:val="00265D10"/>
    <w:rsid w:val="00265E2E"/>
    <w:rsid w:val="002661AB"/>
    <w:rsid w:val="0026742B"/>
    <w:rsid w:val="002674FE"/>
    <w:rsid w:val="00267E59"/>
    <w:rsid w:val="002702F6"/>
    <w:rsid w:val="00270748"/>
    <w:rsid w:val="00270CAB"/>
    <w:rsid w:val="0027117F"/>
    <w:rsid w:val="002712DC"/>
    <w:rsid w:val="002716A4"/>
    <w:rsid w:val="00271875"/>
    <w:rsid w:val="002718FF"/>
    <w:rsid w:val="00271955"/>
    <w:rsid w:val="00272278"/>
    <w:rsid w:val="00272432"/>
    <w:rsid w:val="00272633"/>
    <w:rsid w:val="00272D36"/>
    <w:rsid w:val="00272E48"/>
    <w:rsid w:val="00272FBF"/>
    <w:rsid w:val="002734ED"/>
    <w:rsid w:val="00273A10"/>
    <w:rsid w:val="00273A58"/>
    <w:rsid w:val="00274C6E"/>
    <w:rsid w:val="00274CAB"/>
    <w:rsid w:val="00274E8A"/>
    <w:rsid w:val="002755A8"/>
    <w:rsid w:val="00275FCE"/>
    <w:rsid w:val="002766B8"/>
    <w:rsid w:val="0027680F"/>
    <w:rsid w:val="002777C0"/>
    <w:rsid w:val="0028076D"/>
    <w:rsid w:val="00281006"/>
    <w:rsid w:val="002815B1"/>
    <w:rsid w:val="00281893"/>
    <w:rsid w:val="00281C1F"/>
    <w:rsid w:val="00281EEA"/>
    <w:rsid w:val="00281F88"/>
    <w:rsid w:val="0028240D"/>
    <w:rsid w:val="0028288D"/>
    <w:rsid w:val="002829B7"/>
    <w:rsid w:val="00282B82"/>
    <w:rsid w:val="00282C74"/>
    <w:rsid w:val="00282E5B"/>
    <w:rsid w:val="002837D1"/>
    <w:rsid w:val="00283995"/>
    <w:rsid w:val="00283B11"/>
    <w:rsid w:val="002841A9"/>
    <w:rsid w:val="00284313"/>
    <w:rsid w:val="00284554"/>
    <w:rsid w:val="002848AD"/>
    <w:rsid w:val="00284DE4"/>
    <w:rsid w:val="00285154"/>
    <w:rsid w:val="00285BF2"/>
    <w:rsid w:val="00285C78"/>
    <w:rsid w:val="002863CE"/>
    <w:rsid w:val="00287765"/>
    <w:rsid w:val="00287E20"/>
    <w:rsid w:val="00287EB5"/>
    <w:rsid w:val="0029110F"/>
    <w:rsid w:val="00291492"/>
    <w:rsid w:val="00291527"/>
    <w:rsid w:val="002916B4"/>
    <w:rsid w:val="0029199A"/>
    <w:rsid w:val="00291BBE"/>
    <w:rsid w:val="00291FEB"/>
    <w:rsid w:val="00292E99"/>
    <w:rsid w:val="00293146"/>
    <w:rsid w:val="0029361E"/>
    <w:rsid w:val="00293D68"/>
    <w:rsid w:val="0029408A"/>
    <w:rsid w:val="00294352"/>
    <w:rsid w:val="002944A0"/>
    <w:rsid w:val="002946E4"/>
    <w:rsid w:val="0029495C"/>
    <w:rsid w:val="002957D9"/>
    <w:rsid w:val="00295B52"/>
    <w:rsid w:val="00296024"/>
    <w:rsid w:val="00296293"/>
    <w:rsid w:val="002969C7"/>
    <w:rsid w:val="00296AF7"/>
    <w:rsid w:val="00297021"/>
    <w:rsid w:val="002972F9"/>
    <w:rsid w:val="00297612"/>
    <w:rsid w:val="002977CA"/>
    <w:rsid w:val="00297ED7"/>
    <w:rsid w:val="002A0007"/>
    <w:rsid w:val="002A03AA"/>
    <w:rsid w:val="002A056D"/>
    <w:rsid w:val="002A0742"/>
    <w:rsid w:val="002A07FE"/>
    <w:rsid w:val="002A094D"/>
    <w:rsid w:val="002A0CAF"/>
    <w:rsid w:val="002A0DDB"/>
    <w:rsid w:val="002A1565"/>
    <w:rsid w:val="002A16A9"/>
    <w:rsid w:val="002A1A2A"/>
    <w:rsid w:val="002A2941"/>
    <w:rsid w:val="002A2DC4"/>
    <w:rsid w:val="002A3E69"/>
    <w:rsid w:val="002A44F9"/>
    <w:rsid w:val="002A4946"/>
    <w:rsid w:val="002A49EF"/>
    <w:rsid w:val="002A4B8B"/>
    <w:rsid w:val="002A5107"/>
    <w:rsid w:val="002A535E"/>
    <w:rsid w:val="002A5DBD"/>
    <w:rsid w:val="002A6406"/>
    <w:rsid w:val="002A6432"/>
    <w:rsid w:val="002A6CF0"/>
    <w:rsid w:val="002A6FFC"/>
    <w:rsid w:val="002A7010"/>
    <w:rsid w:val="002A70BA"/>
    <w:rsid w:val="002A7A57"/>
    <w:rsid w:val="002A7BB2"/>
    <w:rsid w:val="002A7CC1"/>
    <w:rsid w:val="002A7DCB"/>
    <w:rsid w:val="002A7F8E"/>
    <w:rsid w:val="002B0685"/>
    <w:rsid w:val="002B0B53"/>
    <w:rsid w:val="002B1617"/>
    <w:rsid w:val="002B1A90"/>
    <w:rsid w:val="002B1D11"/>
    <w:rsid w:val="002B273B"/>
    <w:rsid w:val="002B29AA"/>
    <w:rsid w:val="002B2A7E"/>
    <w:rsid w:val="002B2F1B"/>
    <w:rsid w:val="002B3332"/>
    <w:rsid w:val="002B34C7"/>
    <w:rsid w:val="002B3F25"/>
    <w:rsid w:val="002B416F"/>
    <w:rsid w:val="002B5AFB"/>
    <w:rsid w:val="002B6257"/>
    <w:rsid w:val="002B6272"/>
    <w:rsid w:val="002B6320"/>
    <w:rsid w:val="002B66AC"/>
    <w:rsid w:val="002B6852"/>
    <w:rsid w:val="002B74EF"/>
    <w:rsid w:val="002B77E1"/>
    <w:rsid w:val="002C0656"/>
    <w:rsid w:val="002C0714"/>
    <w:rsid w:val="002C0A96"/>
    <w:rsid w:val="002C13C6"/>
    <w:rsid w:val="002C1BF4"/>
    <w:rsid w:val="002C1E0D"/>
    <w:rsid w:val="002C2266"/>
    <w:rsid w:val="002C2356"/>
    <w:rsid w:val="002C238F"/>
    <w:rsid w:val="002C276F"/>
    <w:rsid w:val="002C28EB"/>
    <w:rsid w:val="002C2BE9"/>
    <w:rsid w:val="002C316C"/>
    <w:rsid w:val="002C3265"/>
    <w:rsid w:val="002C3AED"/>
    <w:rsid w:val="002C3E56"/>
    <w:rsid w:val="002C414C"/>
    <w:rsid w:val="002C4154"/>
    <w:rsid w:val="002C49F8"/>
    <w:rsid w:val="002C4C2F"/>
    <w:rsid w:val="002C5776"/>
    <w:rsid w:val="002C5EED"/>
    <w:rsid w:val="002C66DE"/>
    <w:rsid w:val="002C7193"/>
    <w:rsid w:val="002C7699"/>
    <w:rsid w:val="002C7A49"/>
    <w:rsid w:val="002D0128"/>
    <w:rsid w:val="002D02FB"/>
    <w:rsid w:val="002D0E85"/>
    <w:rsid w:val="002D0FA7"/>
    <w:rsid w:val="002D12FB"/>
    <w:rsid w:val="002D19D1"/>
    <w:rsid w:val="002D1F35"/>
    <w:rsid w:val="002D1FA3"/>
    <w:rsid w:val="002D20CD"/>
    <w:rsid w:val="002D23C6"/>
    <w:rsid w:val="002D24F0"/>
    <w:rsid w:val="002D25EB"/>
    <w:rsid w:val="002D29F3"/>
    <w:rsid w:val="002D3126"/>
    <w:rsid w:val="002D3529"/>
    <w:rsid w:val="002D3D0A"/>
    <w:rsid w:val="002D3EF0"/>
    <w:rsid w:val="002D478E"/>
    <w:rsid w:val="002D47AE"/>
    <w:rsid w:val="002D4A94"/>
    <w:rsid w:val="002D4AFE"/>
    <w:rsid w:val="002D5181"/>
    <w:rsid w:val="002D65FF"/>
    <w:rsid w:val="002D6D10"/>
    <w:rsid w:val="002D71E2"/>
    <w:rsid w:val="002D7B6A"/>
    <w:rsid w:val="002D7B76"/>
    <w:rsid w:val="002E0026"/>
    <w:rsid w:val="002E08E8"/>
    <w:rsid w:val="002E0918"/>
    <w:rsid w:val="002E0BAA"/>
    <w:rsid w:val="002E0D96"/>
    <w:rsid w:val="002E0EA5"/>
    <w:rsid w:val="002E0F1C"/>
    <w:rsid w:val="002E1E19"/>
    <w:rsid w:val="002E1FAC"/>
    <w:rsid w:val="002E283F"/>
    <w:rsid w:val="002E2854"/>
    <w:rsid w:val="002E2E74"/>
    <w:rsid w:val="002E32D2"/>
    <w:rsid w:val="002E361B"/>
    <w:rsid w:val="002E37AB"/>
    <w:rsid w:val="002E3A80"/>
    <w:rsid w:val="002E41C7"/>
    <w:rsid w:val="002E51DF"/>
    <w:rsid w:val="002E57B9"/>
    <w:rsid w:val="002E6127"/>
    <w:rsid w:val="002E6885"/>
    <w:rsid w:val="002E72E4"/>
    <w:rsid w:val="002E739D"/>
    <w:rsid w:val="002F0F36"/>
    <w:rsid w:val="002F1276"/>
    <w:rsid w:val="002F141C"/>
    <w:rsid w:val="002F1986"/>
    <w:rsid w:val="002F1E5F"/>
    <w:rsid w:val="002F29A4"/>
    <w:rsid w:val="002F2A49"/>
    <w:rsid w:val="002F3550"/>
    <w:rsid w:val="002F3B63"/>
    <w:rsid w:val="002F3C56"/>
    <w:rsid w:val="002F4156"/>
    <w:rsid w:val="002F4271"/>
    <w:rsid w:val="002F46B0"/>
    <w:rsid w:val="002F4B17"/>
    <w:rsid w:val="002F5150"/>
    <w:rsid w:val="002F5463"/>
    <w:rsid w:val="002F58C2"/>
    <w:rsid w:val="002F5932"/>
    <w:rsid w:val="002F5C85"/>
    <w:rsid w:val="002F603B"/>
    <w:rsid w:val="002F60AC"/>
    <w:rsid w:val="002F6201"/>
    <w:rsid w:val="002F6493"/>
    <w:rsid w:val="002F724B"/>
    <w:rsid w:val="002F72BA"/>
    <w:rsid w:val="00300267"/>
    <w:rsid w:val="003004D2"/>
    <w:rsid w:val="00300D6B"/>
    <w:rsid w:val="00301380"/>
    <w:rsid w:val="00301D6A"/>
    <w:rsid w:val="00301E89"/>
    <w:rsid w:val="00302052"/>
    <w:rsid w:val="00302142"/>
    <w:rsid w:val="00302169"/>
    <w:rsid w:val="00302612"/>
    <w:rsid w:val="00302963"/>
    <w:rsid w:val="00303254"/>
    <w:rsid w:val="003044D9"/>
    <w:rsid w:val="003048D1"/>
    <w:rsid w:val="00304D8A"/>
    <w:rsid w:val="00305216"/>
    <w:rsid w:val="0030555B"/>
    <w:rsid w:val="003061F5"/>
    <w:rsid w:val="00306A49"/>
    <w:rsid w:val="00306CBF"/>
    <w:rsid w:val="00306D27"/>
    <w:rsid w:val="0030739C"/>
    <w:rsid w:val="00310D51"/>
    <w:rsid w:val="00311B36"/>
    <w:rsid w:val="00311C53"/>
    <w:rsid w:val="00311C92"/>
    <w:rsid w:val="0031252E"/>
    <w:rsid w:val="00312EA0"/>
    <w:rsid w:val="00313321"/>
    <w:rsid w:val="003133AE"/>
    <w:rsid w:val="0031371B"/>
    <w:rsid w:val="00314156"/>
    <w:rsid w:val="00314CF8"/>
    <w:rsid w:val="0031535B"/>
    <w:rsid w:val="003154DD"/>
    <w:rsid w:val="00315BD6"/>
    <w:rsid w:val="00316F76"/>
    <w:rsid w:val="003170F4"/>
    <w:rsid w:val="0032035D"/>
    <w:rsid w:val="0032056F"/>
    <w:rsid w:val="003205E9"/>
    <w:rsid w:val="00320B28"/>
    <w:rsid w:val="0032123E"/>
    <w:rsid w:val="003216D5"/>
    <w:rsid w:val="003216FF"/>
    <w:rsid w:val="00321866"/>
    <w:rsid w:val="00321A83"/>
    <w:rsid w:val="00321C1A"/>
    <w:rsid w:val="00321F6B"/>
    <w:rsid w:val="00322389"/>
    <w:rsid w:val="003223CA"/>
    <w:rsid w:val="00322BE5"/>
    <w:rsid w:val="00322E87"/>
    <w:rsid w:val="00322FEA"/>
    <w:rsid w:val="0032312D"/>
    <w:rsid w:val="00323AA5"/>
    <w:rsid w:val="003242E4"/>
    <w:rsid w:val="0032468D"/>
    <w:rsid w:val="00324887"/>
    <w:rsid w:val="00324926"/>
    <w:rsid w:val="00324B25"/>
    <w:rsid w:val="0032522F"/>
    <w:rsid w:val="003253C4"/>
    <w:rsid w:val="0032550F"/>
    <w:rsid w:val="00325992"/>
    <w:rsid w:val="00325B74"/>
    <w:rsid w:val="0032638F"/>
    <w:rsid w:val="003263EA"/>
    <w:rsid w:val="00326B59"/>
    <w:rsid w:val="00326BD4"/>
    <w:rsid w:val="003272C6"/>
    <w:rsid w:val="00327752"/>
    <w:rsid w:val="00327C7C"/>
    <w:rsid w:val="00330009"/>
    <w:rsid w:val="003301E6"/>
    <w:rsid w:val="003310AB"/>
    <w:rsid w:val="003314D2"/>
    <w:rsid w:val="00331712"/>
    <w:rsid w:val="00331A3F"/>
    <w:rsid w:val="00332191"/>
    <w:rsid w:val="00332720"/>
    <w:rsid w:val="00332C55"/>
    <w:rsid w:val="00332EED"/>
    <w:rsid w:val="003331E4"/>
    <w:rsid w:val="003334A7"/>
    <w:rsid w:val="003337E8"/>
    <w:rsid w:val="00333A14"/>
    <w:rsid w:val="00333B2A"/>
    <w:rsid w:val="00333FD5"/>
    <w:rsid w:val="00334649"/>
    <w:rsid w:val="003350E9"/>
    <w:rsid w:val="003351BA"/>
    <w:rsid w:val="0033520F"/>
    <w:rsid w:val="0033596B"/>
    <w:rsid w:val="00335A93"/>
    <w:rsid w:val="00335E6B"/>
    <w:rsid w:val="0033650E"/>
    <w:rsid w:val="00336907"/>
    <w:rsid w:val="003369DF"/>
    <w:rsid w:val="00336AD1"/>
    <w:rsid w:val="00336C71"/>
    <w:rsid w:val="00336D96"/>
    <w:rsid w:val="00336DFC"/>
    <w:rsid w:val="00337230"/>
    <w:rsid w:val="003377D0"/>
    <w:rsid w:val="00337D75"/>
    <w:rsid w:val="00340020"/>
    <w:rsid w:val="00340AFD"/>
    <w:rsid w:val="00341162"/>
    <w:rsid w:val="00341866"/>
    <w:rsid w:val="00341DAF"/>
    <w:rsid w:val="00342181"/>
    <w:rsid w:val="00342B37"/>
    <w:rsid w:val="00343560"/>
    <w:rsid w:val="00343A20"/>
    <w:rsid w:val="0034402B"/>
    <w:rsid w:val="0034449E"/>
    <w:rsid w:val="003449F4"/>
    <w:rsid w:val="00344D46"/>
    <w:rsid w:val="00345337"/>
    <w:rsid w:val="003465A5"/>
    <w:rsid w:val="00346817"/>
    <w:rsid w:val="00347440"/>
    <w:rsid w:val="003475EA"/>
    <w:rsid w:val="00347A27"/>
    <w:rsid w:val="00347CD4"/>
    <w:rsid w:val="00347E2E"/>
    <w:rsid w:val="00350A55"/>
    <w:rsid w:val="00350DF8"/>
    <w:rsid w:val="00351A8A"/>
    <w:rsid w:val="0035266A"/>
    <w:rsid w:val="0035279C"/>
    <w:rsid w:val="003535D2"/>
    <w:rsid w:val="0035384D"/>
    <w:rsid w:val="00353C0B"/>
    <w:rsid w:val="00354472"/>
    <w:rsid w:val="00354AE4"/>
    <w:rsid w:val="00354B0A"/>
    <w:rsid w:val="0035551B"/>
    <w:rsid w:val="003555ED"/>
    <w:rsid w:val="00355911"/>
    <w:rsid w:val="00355BFC"/>
    <w:rsid w:val="003560EF"/>
    <w:rsid w:val="0035636B"/>
    <w:rsid w:val="0035636C"/>
    <w:rsid w:val="003564CC"/>
    <w:rsid w:val="00357424"/>
    <w:rsid w:val="00357BE9"/>
    <w:rsid w:val="0036004C"/>
    <w:rsid w:val="003601A2"/>
    <w:rsid w:val="003613EE"/>
    <w:rsid w:val="0036174F"/>
    <w:rsid w:val="00361789"/>
    <w:rsid w:val="0036196D"/>
    <w:rsid w:val="00361A18"/>
    <w:rsid w:val="00361A59"/>
    <w:rsid w:val="00362136"/>
    <w:rsid w:val="003627BD"/>
    <w:rsid w:val="00362997"/>
    <w:rsid w:val="00362B7F"/>
    <w:rsid w:val="00362C59"/>
    <w:rsid w:val="00363040"/>
    <w:rsid w:val="003630B7"/>
    <w:rsid w:val="00363786"/>
    <w:rsid w:val="003638A4"/>
    <w:rsid w:val="003639BF"/>
    <w:rsid w:val="00363E41"/>
    <w:rsid w:val="00363FD2"/>
    <w:rsid w:val="00364653"/>
    <w:rsid w:val="00364812"/>
    <w:rsid w:val="0036572E"/>
    <w:rsid w:val="0036614A"/>
    <w:rsid w:val="00366168"/>
    <w:rsid w:val="003663D9"/>
    <w:rsid w:val="003666BF"/>
    <w:rsid w:val="00366707"/>
    <w:rsid w:val="00366FA9"/>
    <w:rsid w:val="00367B19"/>
    <w:rsid w:val="00367E49"/>
    <w:rsid w:val="003700E6"/>
    <w:rsid w:val="0037017C"/>
    <w:rsid w:val="00370490"/>
    <w:rsid w:val="00371C86"/>
    <w:rsid w:val="00371EB4"/>
    <w:rsid w:val="0037236C"/>
    <w:rsid w:val="003729DE"/>
    <w:rsid w:val="00372EA2"/>
    <w:rsid w:val="003735D3"/>
    <w:rsid w:val="0037386D"/>
    <w:rsid w:val="00373956"/>
    <w:rsid w:val="00374153"/>
    <w:rsid w:val="00374671"/>
    <w:rsid w:val="003750E0"/>
    <w:rsid w:val="00375AF1"/>
    <w:rsid w:val="00375C2F"/>
    <w:rsid w:val="00375FC5"/>
    <w:rsid w:val="003768DC"/>
    <w:rsid w:val="003769BA"/>
    <w:rsid w:val="00377871"/>
    <w:rsid w:val="003778B2"/>
    <w:rsid w:val="00377E58"/>
    <w:rsid w:val="003805E3"/>
    <w:rsid w:val="00380618"/>
    <w:rsid w:val="0038062E"/>
    <w:rsid w:val="003806D7"/>
    <w:rsid w:val="003807F7"/>
    <w:rsid w:val="00381610"/>
    <w:rsid w:val="0038166B"/>
    <w:rsid w:val="00381C9E"/>
    <w:rsid w:val="00381CA8"/>
    <w:rsid w:val="00382106"/>
    <w:rsid w:val="00382657"/>
    <w:rsid w:val="00382708"/>
    <w:rsid w:val="00382B82"/>
    <w:rsid w:val="003844BF"/>
    <w:rsid w:val="00384566"/>
    <w:rsid w:val="003854D5"/>
    <w:rsid w:val="0038552A"/>
    <w:rsid w:val="003859EA"/>
    <w:rsid w:val="0038709E"/>
    <w:rsid w:val="00387978"/>
    <w:rsid w:val="00387D30"/>
    <w:rsid w:val="00390373"/>
    <w:rsid w:val="0039168C"/>
    <w:rsid w:val="00391753"/>
    <w:rsid w:val="00391C7F"/>
    <w:rsid w:val="00392454"/>
    <w:rsid w:val="00392C85"/>
    <w:rsid w:val="00392FD8"/>
    <w:rsid w:val="00393E11"/>
    <w:rsid w:val="003942F4"/>
    <w:rsid w:val="00394475"/>
    <w:rsid w:val="0039517A"/>
    <w:rsid w:val="003951DB"/>
    <w:rsid w:val="003954FE"/>
    <w:rsid w:val="00395B51"/>
    <w:rsid w:val="00396796"/>
    <w:rsid w:val="00396D9B"/>
    <w:rsid w:val="00396EC6"/>
    <w:rsid w:val="003970BA"/>
    <w:rsid w:val="0039746C"/>
    <w:rsid w:val="00397DC6"/>
    <w:rsid w:val="003A0E82"/>
    <w:rsid w:val="003A0FAC"/>
    <w:rsid w:val="003A184D"/>
    <w:rsid w:val="003A1FB7"/>
    <w:rsid w:val="003A2773"/>
    <w:rsid w:val="003A371E"/>
    <w:rsid w:val="003A3957"/>
    <w:rsid w:val="003A3E29"/>
    <w:rsid w:val="003A4103"/>
    <w:rsid w:val="003A439B"/>
    <w:rsid w:val="003A462A"/>
    <w:rsid w:val="003A595F"/>
    <w:rsid w:val="003A5EEC"/>
    <w:rsid w:val="003A6B7A"/>
    <w:rsid w:val="003A748F"/>
    <w:rsid w:val="003A79AE"/>
    <w:rsid w:val="003A7CA3"/>
    <w:rsid w:val="003B00B6"/>
    <w:rsid w:val="003B01C4"/>
    <w:rsid w:val="003B0BB0"/>
    <w:rsid w:val="003B11EE"/>
    <w:rsid w:val="003B15F8"/>
    <w:rsid w:val="003B166F"/>
    <w:rsid w:val="003B1B60"/>
    <w:rsid w:val="003B207E"/>
    <w:rsid w:val="003B230B"/>
    <w:rsid w:val="003B23BC"/>
    <w:rsid w:val="003B28BA"/>
    <w:rsid w:val="003B28F6"/>
    <w:rsid w:val="003B2DB5"/>
    <w:rsid w:val="003B2F05"/>
    <w:rsid w:val="003B3966"/>
    <w:rsid w:val="003B39B7"/>
    <w:rsid w:val="003B4754"/>
    <w:rsid w:val="003B4EB0"/>
    <w:rsid w:val="003B5094"/>
    <w:rsid w:val="003B5310"/>
    <w:rsid w:val="003B552F"/>
    <w:rsid w:val="003B5F6A"/>
    <w:rsid w:val="003B6B23"/>
    <w:rsid w:val="003B6B7F"/>
    <w:rsid w:val="003B7820"/>
    <w:rsid w:val="003C01A4"/>
    <w:rsid w:val="003C0219"/>
    <w:rsid w:val="003C0941"/>
    <w:rsid w:val="003C0C12"/>
    <w:rsid w:val="003C0E6B"/>
    <w:rsid w:val="003C16EE"/>
    <w:rsid w:val="003C1C87"/>
    <w:rsid w:val="003C1D4D"/>
    <w:rsid w:val="003C2401"/>
    <w:rsid w:val="003C2927"/>
    <w:rsid w:val="003C2C85"/>
    <w:rsid w:val="003C2F61"/>
    <w:rsid w:val="003C345E"/>
    <w:rsid w:val="003C4409"/>
    <w:rsid w:val="003C4594"/>
    <w:rsid w:val="003C4997"/>
    <w:rsid w:val="003C4DA5"/>
    <w:rsid w:val="003C502A"/>
    <w:rsid w:val="003C5206"/>
    <w:rsid w:val="003C5666"/>
    <w:rsid w:val="003C58BA"/>
    <w:rsid w:val="003C60CC"/>
    <w:rsid w:val="003C64F4"/>
    <w:rsid w:val="003C69D1"/>
    <w:rsid w:val="003C6D4E"/>
    <w:rsid w:val="003C724B"/>
    <w:rsid w:val="003C73DB"/>
    <w:rsid w:val="003D0185"/>
    <w:rsid w:val="003D02CB"/>
    <w:rsid w:val="003D0382"/>
    <w:rsid w:val="003D069C"/>
    <w:rsid w:val="003D0AA6"/>
    <w:rsid w:val="003D18F6"/>
    <w:rsid w:val="003D191E"/>
    <w:rsid w:val="003D1A19"/>
    <w:rsid w:val="003D2027"/>
    <w:rsid w:val="003D22A5"/>
    <w:rsid w:val="003D23A4"/>
    <w:rsid w:val="003D3414"/>
    <w:rsid w:val="003D3426"/>
    <w:rsid w:val="003D3654"/>
    <w:rsid w:val="003D3721"/>
    <w:rsid w:val="003D413A"/>
    <w:rsid w:val="003D6722"/>
    <w:rsid w:val="003D7428"/>
    <w:rsid w:val="003D77F2"/>
    <w:rsid w:val="003D78CC"/>
    <w:rsid w:val="003D7D01"/>
    <w:rsid w:val="003D7ED8"/>
    <w:rsid w:val="003E0003"/>
    <w:rsid w:val="003E0099"/>
    <w:rsid w:val="003E08C7"/>
    <w:rsid w:val="003E122B"/>
    <w:rsid w:val="003E1427"/>
    <w:rsid w:val="003E1A72"/>
    <w:rsid w:val="003E27B8"/>
    <w:rsid w:val="003E2880"/>
    <w:rsid w:val="003E28FB"/>
    <w:rsid w:val="003E2A00"/>
    <w:rsid w:val="003E382C"/>
    <w:rsid w:val="003E3D00"/>
    <w:rsid w:val="003E4487"/>
    <w:rsid w:val="003E4531"/>
    <w:rsid w:val="003E4771"/>
    <w:rsid w:val="003E52E3"/>
    <w:rsid w:val="003E541C"/>
    <w:rsid w:val="003E54A8"/>
    <w:rsid w:val="003E5833"/>
    <w:rsid w:val="003E5DA8"/>
    <w:rsid w:val="003E6E2C"/>
    <w:rsid w:val="003E7109"/>
    <w:rsid w:val="003E77DC"/>
    <w:rsid w:val="003E7BC1"/>
    <w:rsid w:val="003F0453"/>
    <w:rsid w:val="003F0C9F"/>
    <w:rsid w:val="003F144A"/>
    <w:rsid w:val="003F1B02"/>
    <w:rsid w:val="003F1EFE"/>
    <w:rsid w:val="003F2240"/>
    <w:rsid w:val="003F2460"/>
    <w:rsid w:val="003F2E7B"/>
    <w:rsid w:val="003F3CD5"/>
    <w:rsid w:val="003F4473"/>
    <w:rsid w:val="003F4CF5"/>
    <w:rsid w:val="003F4E31"/>
    <w:rsid w:val="003F4F09"/>
    <w:rsid w:val="003F51EE"/>
    <w:rsid w:val="003F574E"/>
    <w:rsid w:val="003F60D6"/>
    <w:rsid w:val="003F68E9"/>
    <w:rsid w:val="003F728C"/>
    <w:rsid w:val="003F7E15"/>
    <w:rsid w:val="003F7FDA"/>
    <w:rsid w:val="00400E65"/>
    <w:rsid w:val="004013AD"/>
    <w:rsid w:val="00401BCF"/>
    <w:rsid w:val="00401E20"/>
    <w:rsid w:val="004021C0"/>
    <w:rsid w:val="004024F9"/>
    <w:rsid w:val="0040268F"/>
    <w:rsid w:val="004028CE"/>
    <w:rsid w:val="0040313D"/>
    <w:rsid w:val="004043FA"/>
    <w:rsid w:val="00404970"/>
    <w:rsid w:val="00405181"/>
    <w:rsid w:val="0040567F"/>
    <w:rsid w:val="00405727"/>
    <w:rsid w:val="00405873"/>
    <w:rsid w:val="00405F09"/>
    <w:rsid w:val="004066F4"/>
    <w:rsid w:val="00406706"/>
    <w:rsid w:val="00406A32"/>
    <w:rsid w:val="0040760B"/>
    <w:rsid w:val="00410117"/>
    <w:rsid w:val="00410C32"/>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33A5"/>
    <w:rsid w:val="00413D45"/>
    <w:rsid w:val="00414197"/>
    <w:rsid w:val="004144D7"/>
    <w:rsid w:val="00414D68"/>
    <w:rsid w:val="00414FD9"/>
    <w:rsid w:val="0041503D"/>
    <w:rsid w:val="00415773"/>
    <w:rsid w:val="00415CAE"/>
    <w:rsid w:val="00415EE7"/>
    <w:rsid w:val="00415FD6"/>
    <w:rsid w:val="004160FA"/>
    <w:rsid w:val="0041669E"/>
    <w:rsid w:val="00416ACA"/>
    <w:rsid w:val="00416C56"/>
    <w:rsid w:val="00417294"/>
    <w:rsid w:val="00417416"/>
    <w:rsid w:val="004176B8"/>
    <w:rsid w:val="00417B99"/>
    <w:rsid w:val="00417CE0"/>
    <w:rsid w:val="004209D5"/>
    <w:rsid w:val="00420FAF"/>
    <w:rsid w:val="00421184"/>
    <w:rsid w:val="004212C1"/>
    <w:rsid w:val="004214B7"/>
    <w:rsid w:val="00421510"/>
    <w:rsid w:val="00421892"/>
    <w:rsid w:val="00421FB5"/>
    <w:rsid w:val="004226ED"/>
    <w:rsid w:val="00422AF4"/>
    <w:rsid w:val="004235F4"/>
    <w:rsid w:val="004236C9"/>
    <w:rsid w:val="00423CF3"/>
    <w:rsid w:val="00423E18"/>
    <w:rsid w:val="004245E4"/>
    <w:rsid w:val="00424B7C"/>
    <w:rsid w:val="0042500C"/>
    <w:rsid w:val="00425514"/>
    <w:rsid w:val="004256BD"/>
    <w:rsid w:val="00425863"/>
    <w:rsid w:val="00425D02"/>
    <w:rsid w:val="00425EDC"/>
    <w:rsid w:val="00426C3E"/>
    <w:rsid w:val="00426CF3"/>
    <w:rsid w:val="004275CD"/>
    <w:rsid w:val="00427E74"/>
    <w:rsid w:val="00427FEB"/>
    <w:rsid w:val="00427FF2"/>
    <w:rsid w:val="004305C0"/>
    <w:rsid w:val="00430B20"/>
    <w:rsid w:val="00430B6C"/>
    <w:rsid w:val="0043227C"/>
    <w:rsid w:val="004330B1"/>
    <w:rsid w:val="004335C0"/>
    <w:rsid w:val="00433B34"/>
    <w:rsid w:val="004340EC"/>
    <w:rsid w:val="00435121"/>
    <w:rsid w:val="00435715"/>
    <w:rsid w:val="0043571B"/>
    <w:rsid w:val="00435EE0"/>
    <w:rsid w:val="00435F29"/>
    <w:rsid w:val="0043610C"/>
    <w:rsid w:val="004366FF"/>
    <w:rsid w:val="004373A3"/>
    <w:rsid w:val="00437D83"/>
    <w:rsid w:val="004401DD"/>
    <w:rsid w:val="00440344"/>
    <w:rsid w:val="00441264"/>
    <w:rsid w:val="00441B0F"/>
    <w:rsid w:val="00441F06"/>
    <w:rsid w:val="004425C6"/>
    <w:rsid w:val="00443D5D"/>
    <w:rsid w:val="00445CBA"/>
    <w:rsid w:val="004463CB"/>
    <w:rsid w:val="004466F7"/>
    <w:rsid w:val="00446858"/>
    <w:rsid w:val="00447304"/>
    <w:rsid w:val="004476F6"/>
    <w:rsid w:val="00447CDD"/>
    <w:rsid w:val="00447E28"/>
    <w:rsid w:val="00450127"/>
    <w:rsid w:val="0045075F"/>
    <w:rsid w:val="004516AD"/>
    <w:rsid w:val="00451E84"/>
    <w:rsid w:val="00451EA3"/>
    <w:rsid w:val="00451F01"/>
    <w:rsid w:val="00451F2B"/>
    <w:rsid w:val="00454660"/>
    <w:rsid w:val="004546A7"/>
    <w:rsid w:val="00454831"/>
    <w:rsid w:val="004548DF"/>
    <w:rsid w:val="00456889"/>
    <w:rsid w:val="00456CC0"/>
    <w:rsid w:val="00457933"/>
    <w:rsid w:val="00457C78"/>
    <w:rsid w:val="0046068D"/>
    <w:rsid w:val="00460735"/>
    <w:rsid w:val="00460AD5"/>
    <w:rsid w:val="00460EB8"/>
    <w:rsid w:val="00461090"/>
    <w:rsid w:val="00461991"/>
    <w:rsid w:val="00461ACB"/>
    <w:rsid w:val="00461C43"/>
    <w:rsid w:val="00462125"/>
    <w:rsid w:val="00463216"/>
    <w:rsid w:val="0046334D"/>
    <w:rsid w:val="00463911"/>
    <w:rsid w:val="00463C95"/>
    <w:rsid w:val="00463E1C"/>
    <w:rsid w:val="00464052"/>
    <w:rsid w:val="00465153"/>
    <w:rsid w:val="00465602"/>
    <w:rsid w:val="004656A4"/>
    <w:rsid w:val="00466A4A"/>
    <w:rsid w:val="00466AFD"/>
    <w:rsid w:val="00470696"/>
    <w:rsid w:val="004713A5"/>
    <w:rsid w:val="0047162F"/>
    <w:rsid w:val="00472177"/>
    <w:rsid w:val="00472234"/>
    <w:rsid w:val="004724C9"/>
    <w:rsid w:val="00472585"/>
    <w:rsid w:val="00472EAC"/>
    <w:rsid w:val="00473D03"/>
    <w:rsid w:val="00474130"/>
    <w:rsid w:val="00474EDD"/>
    <w:rsid w:val="00475A6C"/>
    <w:rsid w:val="004764AF"/>
    <w:rsid w:val="00476D04"/>
    <w:rsid w:val="00476F58"/>
    <w:rsid w:val="0047775E"/>
    <w:rsid w:val="00477AAE"/>
    <w:rsid w:val="00477AF6"/>
    <w:rsid w:val="00477B3B"/>
    <w:rsid w:val="00477BCB"/>
    <w:rsid w:val="004801A7"/>
    <w:rsid w:val="00480E47"/>
    <w:rsid w:val="00481666"/>
    <w:rsid w:val="0048181B"/>
    <w:rsid w:val="00481F2B"/>
    <w:rsid w:val="004820C5"/>
    <w:rsid w:val="00482198"/>
    <w:rsid w:val="004823D8"/>
    <w:rsid w:val="00482F20"/>
    <w:rsid w:val="00483196"/>
    <w:rsid w:val="0048340F"/>
    <w:rsid w:val="0048423C"/>
    <w:rsid w:val="00484449"/>
    <w:rsid w:val="004852CE"/>
    <w:rsid w:val="0048540C"/>
    <w:rsid w:val="00485F92"/>
    <w:rsid w:val="004860BD"/>
    <w:rsid w:val="004866E1"/>
    <w:rsid w:val="00486C72"/>
    <w:rsid w:val="00487D3A"/>
    <w:rsid w:val="00490954"/>
    <w:rsid w:val="0049102F"/>
    <w:rsid w:val="0049277A"/>
    <w:rsid w:val="00492B38"/>
    <w:rsid w:val="00492FE4"/>
    <w:rsid w:val="00493035"/>
    <w:rsid w:val="0049330F"/>
    <w:rsid w:val="00493321"/>
    <w:rsid w:val="004936DE"/>
    <w:rsid w:val="004949B0"/>
    <w:rsid w:val="00494A50"/>
    <w:rsid w:val="0049544E"/>
    <w:rsid w:val="00495670"/>
    <w:rsid w:val="0049567B"/>
    <w:rsid w:val="0049594B"/>
    <w:rsid w:val="0049604B"/>
    <w:rsid w:val="004961BB"/>
    <w:rsid w:val="00496666"/>
    <w:rsid w:val="00496AC9"/>
    <w:rsid w:val="004A040E"/>
    <w:rsid w:val="004A042D"/>
    <w:rsid w:val="004A11E0"/>
    <w:rsid w:val="004A1953"/>
    <w:rsid w:val="004A1FC5"/>
    <w:rsid w:val="004A2158"/>
    <w:rsid w:val="004A2639"/>
    <w:rsid w:val="004A29A5"/>
    <w:rsid w:val="004A3225"/>
    <w:rsid w:val="004A374A"/>
    <w:rsid w:val="004A395B"/>
    <w:rsid w:val="004A3C59"/>
    <w:rsid w:val="004A3FE2"/>
    <w:rsid w:val="004A4195"/>
    <w:rsid w:val="004A480D"/>
    <w:rsid w:val="004A4D76"/>
    <w:rsid w:val="004A53C2"/>
    <w:rsid w:val="004A5851"/>
    <w:rsid w:val="004A5A91"/>
    <w:rsid w:val="004A5B0F"/>
    <w:rsid w:val="004A5CF1"/>
    <w:rsid w:val="004A66E0"/>
    <w:rsid w:val="004A7450"/>
    <w:rsid w:val="004A7AAE"/>
    <w:rsid w:val="004A7D49"/>
    <w:rsid w:val="004A7E52"/>
    <w:rsid w:val="004A7F21"/>
    <w:rsid w:val="004B08DB"/>
    <w:rsid w:val="004B1422"/>
    <w:rsid w:val="004B1DF2"/>
    <w:rsid w:val="004B24EB"/>
    <w:rsid w:val="004B29AC"/>
    <w:rsid w:val="004B3C8B"/>
    <w:rsid w:val="004B44A9"/>
    <w:rsid w:val="004B4509"/>
    <w:rsid w:val="004B452A"/>
    <w:rsid w:val="004B4871"/>
    <w:rsid w:val="004B4ADF"/>
    <w:rsid w:val="004B4C00"/>
    <w:rsid w:val="004B4E06"/>
    <w:rsid w:val="004B5493"/>
    <w:rsid w:val="004B5914"/>
    <w:rsid w:val="004B6640"/>
    <w:rsid w:val="004B6C77"/>
    <w:rsid w:val="004B6D0A"/>
    <w:rsid w:val="004B6DA4"/>
    <w:rsid w:val="004B794C"/>
    <w:rsid w:val="004B7995"/>
    <w:rsid w:val="004C02B3"/>
    <w:rsid w:val="004C098E"/>
    <w:rsid w:val="004C0BBE"/>
    <w:rsid w:val="004C0E2F"/>
    <w:rsid w:val="004C1705"/>
    <w:rsid w:val="004C1D72"/>
    <w:rsid w:val="004C222E"/>
    <w:rsid w:val="004C2561"/>
    <w:rsid w:val="004C25B4"/>
    <w:rsid w:val="004C2806"/>
    <w:rsid w:val="004C30E9"/>
    <w:rsid w:val="004C3A7A"/>
    <w:rsid w:val="004C3ADD"/>
    <w:rsid w:val="004C428E"/>
    <w:rsid w:val="004C441A"/>
    <w:rsid w:val="004C4775"/>
    <w:rsid w:val="004C483D"/>
    <w:rsid w:val="004C48A9"/>
    <w:rsid w:val="004C49B3"/>
    <w:rsid w:val="004C4D05"/>
    <w:rsid w:val="004C4FF6"/>
    <w:rsid w:val="004C56E1"/>
    <w:rsid w:val="004C590B"/>
    <w:rsid w:val="004C6017"/>
    <w:rsid w:val="004C63C7"/>
    <w:rsid w:val="004C6D39"/>
    <w:rsid w:val="004C6D98"/>
    <w:rsid w:val="004C7217"/>
    <w:rsid w:val="004C7743"/>
    <w:rsid w:val="004C77A7"/>
    <w:rsid w:val="004C7AEC"/>
    <w:rsid w:val="004D039E"/>
    <w:rsid w:val="004D04A3"/>
    <w:rsid w:val="004D0C9F"/>
    <w:rsid w:val="004D15FD"/>
    <w:rsid w:val="004D1A0A"/>
    <w:rsid w:val="004D2369"/>
    <w:rsid w:val="004D2485"/>
    <w:rsid w:val="004D25D5"/>
    <w:rsid w:val="004D3A57"/>
    <w:rsid w:val="004D47FF"/>
    <w:rsid w:val="004D4D35"/>
    <w:rsid w:val="004D518F"/>
    <w:rsid w:val="004D54D7"/>
    <w:rsid w:val="004D5BB7"/>
    <w:rsid w:val="004D6053"/>
    <w:rsid w:val="004D6FA4"/>
    <w:rsid w:val="004D7C23"/>
    <w:rsid w:val="004E01C6"/>
    <w:rsid w:val="004E0212"/>
    <w:rsid w:val="004E0ADC"/>
    <w:rsid w:val="004E0FB1"/>
    <w:rsid w:val="004E1043"/>
    <w:rsid w:val="004E1DCA"/>
    <w:rsid w:val="004E21B4"/>
    <w:rsid w:val="004E252B"/>
    <w:rsid w:val="004E2861"/>
    <w:rsid w:val="004E2A85"/>
    <w:rsid w:val="004E3F72"/>
    <w:rsid w:val="004E4A78"/>
    <w:rsid w:val="004E551E"/>
    <w:rsid w:val="004E584D"/>
    <w:rsid w:val="004E58F6"/>
    <w:rsid w:val="004E5E37"/>
    <w:rsid w:val="004E5E4C"/>
    <w:rsid w:val="004E5F79"/>
    <w:rsid w:val="004E5F8E"/>
    <w:rsid w:val="004E623E"/>
    <w:rsid w:val="004E6589"/>
    <w:rsid w:val="004E6CF9"/>
    <w:rsid w:val="004E7152"/>
    <w:rsid w:val="004E734E"/>
    <w:rsid w:val="004E7B92"/>
    <w:rsid w:val="004E7EC0"/>
    <w:rsid w:val="004E7F48"/>
    <w:rsid w:val="004F014E"/>
    <w:rsid w:val="004F023B"/>
    <w:rsid w:val="004F0BC6"/>
    <w:rsid w:val="004F1123"/>
    <w:rsid w:val="004F12D3"/>
    <w:rsid w:val="004F1715"/>
    <w:rsid w:val="004F17DA"/>
    <w:rsid w:val="004F1ECD"/>
    <w:rsid w:val="004F355B"/>
    <w:rsid w:val="004F3A2F"/>
    <w:rsid w:val="004F3BD2"/>
    <w:rsid w:val="004F4372"/>
    <w:rsid w:val="004F43E0"/>
    <w:rsid w:val="004F45EB"/>
    <w:rsid w:val="004F5079"/>
    <w:rsid w:val="004F5132"/>
    <w:rsid w:val="004F521B"/>
    <w:rsid w:val="004F52BB"/>
    <w:rsid w:val="004F5582"/>
    <w:rsid w:val="004F56B1"/>
    <w:rsid w:val="004F59B8"/>
    <w:rsid w:val="004F5AFC"/>
    <w:rsid w:val="004F62A7"/>
    <w:rsid w:val="004F62C7"/>
    <w:rsid w:val="004F62F9"/>
    <w:rsid w:val="004F66B3"/>
    <w:rsid w:val="004F6FA7"/>
    <w:rsid w:val="004F72DA"/>
    <w:rsid w:val="004F7352"/>
    <w:rsid w:val="004F7889"/>
    <w:rsid w:val="004F7E84"/>
    <w:rsid w:val="0050015C"/>
    <w:rsid w:val="00500418"/>
    <w:rsid w:val="00500CCF"/>
    <w:rsid w:val="00500E62"/>
    <w:rsid w:val="005010DE"/>
    <w:rsid w:val="005011FD"/>
    <w:rsid w:val="0050164B"/>
    <w:rsid w:val="00501AA5"/>
    <w:rsid w:val="00502958"/>
    <w:rsid w:val="00502BD2"/>
    <w:rsid w:val="00502DA4"/>
    <w:rsid w:val="00503790"/>
    <w:rsid w:val="005038F3"/>
    <w:rsid w:val="00503F83"/>
    <w:rsid w:val="0050421C"/>
    <w:rsid w:val="005048FF"/>
    <w:rsid w:val="00504A9B"/>
    <w:rsid w:val="00504E9A"/>
    <w:rsid w:val="00504F83"/>
    <w:rsid w:val="005059B9"/>
    <w:rsid w:val="00505F64"/>
    <w:rsid w:val="005067F9"/>
    <w:rsid w:val="00506DCD"/>
    <w:rsid w:val="00507325"/>
    <w:rsid w:val="00507583"/>
    <w:rsid w:val="00507C56"/>
    <w:rsid w:val="00507F13"/>
    <w:rsid w:val="005109D4"/>
    <w:rsid w:val="00510CF4"/>
    <w:rsid w:val="0051160A"/>
    <w:rsid w:val="005118BA"/>
    <w:rsid w:val="00511B37"/>
    <w:rsid w:val="00511C56"/>
    <w:rsid w:val="00512385"/>
    <w:rsid w:val="00512A4D"/>
    <w:rsid w:val="00512D87"/>
    <w:rsid w:val="005130DA"/>
    <w:rsid w:val="00513DDA"/>
    <w:rsid w:val="00513E19"/>
    <w:rsid w:val="005148B4"/>
    <w:rsid w:val="00514B29"/>
    <w:rsid w:val="00514E8C"/>
    <w:rsid w:val="005152B1"/>
    <w:rsid w:val="005152F0"/>
    <w:rsid w:val="0051532D"/>
    <w:rsid w:val="00515856"/>
    <w:rsid w:val="005163E6"/>
    <w:rsid w:val="00516D23"/>
    <w:rsid w:val="005172EC"/>
    <w:rsid w:val="0051740D"/>
    <w:rsid w:val="005178CE"/>
    <w:rsid w:val="005179C2"/>
    <w:rsid w:val="00521356"/>
    <w:rsid w:val="00521CAB"/>
    <w:rsid w:val="00521DFB"/>
    <w:rsid w:val="005224EF"/>
    <w:rsid w:val="00522654"/>
    <w:rsid w:val="00522835"/>
    <w:rsid w:val="0052293D"/>
    <w:rsid w:val="00522AF4"/>
    <w:rsid w:val="00523499"/>
    <w:rsid w:val="00523BC7"/>
    <w:rsid w:val="00523C08"/>
    <w:rsid w:val="00523C10"/>
    <w:rsid w:val="00523E23"/>
    <w:rsid w:val="005245D5"/>
    <w:rsid w:val="005247FE"/>
    <w:rsid w:val="00524889"/>
    <w:rsid w:val="00524EED"/>
    <w:rsid w:val="0052575D"/>
    <w:rsid w:val="005259FC"/>
    <w:rsid w:val="00525A53"/>
    <w:rsid w:val="005260F1"/>
    <w:rsid w:val="00526569"/>
    <w:rsid w:val="00526726"/>
    <w:rsid w:val="00526F91"/>
    <w:rsid w:val="00527256"/>
    <w:rsid w:val="00527934"/>
    <w:rsid w:val="00527B57"/>
    <w:rsid w:val="00527C8D"/>
    <w:rsid w:val="00527C9C"/>
    <w:rsid w:val="005308D1"/>
    <w:rsid w:val="00530AC4"/>
    <w:rsid w:val="00530CC6"/>
    <w:rsid w:val="00531F7B"/>
    <w:rsid w:val="00532064"/>
    <w:rsid w:val="0053268A"/>
    <w:rsid w:val="0053309E"/>
    <w:rsid w:val="00533169"/>
    <w:rsid w:val="00533194"/>
    <w:rsid w:val="005332C8"/>
    <w:rsid w:val="00534021"/>
    <w:rsid w:val="0053442D"/>
    <w:rsid w:val="0053464E"/>
    <w:rsid w:val="00534CBD"/>
    <w:rsid w:val="005352C8"/>
    <w:rsid w:val="005354C1"/>
    <w:rsid w:val="00535F99"/>
    <w:rsid w:val="005361DE"/>
    <w:rsid w:val="00536356"/>
    <w:rsid w:val="00536CBB"/>
    <w:rsid w:val="00536DDD"/>
    <w:rsid w:val="00537033"/>
    <w:rsid w:val="00537D97"/>
    <w:rsid w:val="00540A37"/>
    <w:rsid w:val="00540B49"/>
    <w:rsid w:val="005418DB"/>
    <w:rsid w:val="0054230B"/>
    <w:rsid w:val="00542515"/>
    <w:rsid w:val="00542967"/>
    <w:rsid w:val="005434EA"/>
    <w:rsid w:val="0054351E"/>
    <w:rsid w:val="00543A04"/>
    <w:rsid w:val="00544ABA"/>
    <w:rsid w:val="00545D55"/>
    <w:rsid w:val="005461AB"/>
    <w:rsid w:val="00546C6A"/>
    <w:rsid w:val="00546FBA"/>
    <w:rsid w:val="00547BEA"/>
    <w:rsid w:val="00547F04"/>
    <w:rsid w:val="00550924"/>
    <w:rsid w:val="00550D63"/>
    <w:rsid w:val="00550EF1"/>
    <w:rsid w:val="00551075"/>
    <w:rsid w:val="005513C8"/>
    <w:rsid w:val="0055236E"/>
    <w:rsid w:val="0055352C"/>
    <w:rsid w:val="005538A6"/>
    <w:rsid w:val="005538C7"/>
    <w:rsid w:val="00553A1B"/>
    <w:rsid w:val="00554E09"/>
    <w:rsid w:val="00554F94"/>
    <w:rsid w:val="00555161"/>
    <w:rsid w:val="00555A59"/>
    <w:rsid w:val="00555DE6"/>
    <w:rsid w:val="00555EB3"/>
    <w:rsid w:val="005567F6"/>
    <w:rsid w:val="00556E29"/>
    <w:rsid w:val="00557474"/>
    <w:rsid w:val="00557DAA"/>
    <w:rsid w:val="00557DAD"/>
    <w:rsid w:val="00561138"/>
    <w:rsid w:val="00561699"/>
    <w:rsid w:val="0056194F"/>
    <w:rsid w:val="005619E1"/>
    <w:rsid w:val="00562629"/>
    <w:rsid w:val="005628FE"/>
    <w:rsid w:val="0056364B"/>
    <w:rsid w:val="00563D49"/>
    <w:rsid w:val="00564191"/>
    <w:rsid w:val="00564557"/>
    <w:rsid w:val="0056458C"/>
    <w:rsid w:val="00564628"/>
    <w:rsid w:val="005648B9"/>
    <w:rsid w:val="00564A3C"/>
    <w:rsid w:val="00564F82"/>
    <w:rsid w:val="00564FF6"/>
    <w:rsid w:val="005653AF"/>
    <w:rsid w:val="00565501"/>
    <w:rsid w:val="00565523"/>
    <w:rsid w:val="00565755"/>
    <w:rsid w:val="0056601E"/>
    <w:rsid w:val="00566406"/>
    <w:rsid w:val="005664A6"/>
    <w:rsid w:val="00566538"/>
    <w:rsid w:val="00566CD2"/>
    <w:rsid w:val="0056725A"/>
    <w:rsid w:val="0056741F"/>
    <w:rsid w:val="00567647"/>
    <w:rsid w:val="0056781B"/>
    <w:rsid w:val="00567BE2"/>
    <w:rsid w:val="00570102"/>
    <w:rsid w:val="00570505"/>
    <w:rsid w:val="005712E6"/>
    <w:rsid w:val="00572942"/>
    <w:rsid w:val="005730DB"/>
    <w:rsid w:val="00573251"/>
    <w:rsid w:val="005733A8"/>
    <w:rsid w:val="005734F9"/>
    <w:rsid w:val="005736EE"/>
    <w:rsid w:val="00573B5B"/>
    <w:rsid w:val="00573F55"/>
    <w:rsid w:val="00574070"/>
    <w:rsid w:val="005743B5"/>
    <w:rsid w:val="00575148"/>
    <w:rsid w:val="0057540E"/>
    <w:rsid w:val="005757B6"/>
    <w:rsid w:val="005761E2"/>
    <w:rsid w:val="00576C7F"/>
    <w:rsid w:val="0058000F"/>
    <w:rsid w:val="00580557"/>
    <w:rsid w:val="0058074F"/>
    <w:rsid w:val="00580A76"/>
    <w:rsid w:val="00581042"/>
    <w:rsid w:val="00581703"/>
    <w:rsid w:val="00581B15"/>
    <w:rsid w:val="005821DD"/>
    <w:rsid w:val="005833B5"/>
    <w:rsid w:val="00583908"/>
    <w:rsid w:val="00583AB6"/>
    <w:rsid w:val="00583C9C"/>
    <w:rsid w:val="00584757"/>
    <w:rsid w:val="00584B00"/>
    <w:rsid w:val="00584E21"/>
    <w:rsid w:val="00585194"/>
    <w:rsid w:val="0058608B"/>
    <w:rsid w:val="005863C1"/>
    <w:rsid w:val="0058654D"/>
    <w:rsid w:val="00586786"/>
    <w:rsid w:val="005875F2"/>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6E1"/>
    <w:rsid w:val="00594B8A"/>
    <w:rsid w:val="00595009"/>
    <w:rsid w:val="005954B7"/>
    <w:rsid w:val="00595A05"/>
    <w:rsid w:val="00595F17"/>
    <w:rsid w:val="00595F3D"/>
    <w:rsid w:val="00595F89"/>
    <w:rsid w:val="005960C7"/>
    <w:rsid w:val="005963FB"/>
    <w:rsid w:val="00596873"/>
    <w:rsid w:val="00596BB3"/>
    <w:rsid w:val="00596BD4"/>
    <w:rsid w:val="00596FA8"/>
    <w:rsid w:val="005971A7"/>
    <w:rsid w:val="00597310"/>
    <w:rsid w:val="005977AB"/>
    <w:rsid w:val="005A01C5"/>
    <w:rsid w:val="005A0532"/>
    <w:rsid w:val="005A071C"/>
    <w:rsid w:val="005A07E7"/>
    <w:rsid w:val="005A0A57"/>
    <w:rsid w:val="005A0B9F"/>
    <w:rsid w:val="005A0DBB"/>
    <w:rsid w:val="005A0EBD"/>
    <w:rsid w:val="005A1246"/>
    <w:rsid w:val="005A1270"/>
    <w:rsid w:val="005A1295"/>
    <w:rsid w:val="005A1FBF"/>
    <w:rsid w:val="005A1FD5"/>
    <w:rsid w:val="005A25CA"/>
    <w:rsid w:val="005A29B1"/>
    <w:rsid w:val="005A2EBF"/>
    <w:rsid w:val="005A3750"/>
    <w:rsid w:val="005A380B"/>
    <w:rsid w:val="005A4890"/>
    <w:rsid w:val="005A49D4"/>
    <w:rsid w:val="005A4D7C"/>
    <w:rsid w:val="005A51C9"/>
    <w:rsid w:val="005A559A"/>
    <w:rsid w:val="005A59DA"/>
    <w:rsid w:val="005A5A96"/>
    <w:rsid w:val="005A5D7F"/>
    <w:rsid w:val="005A5DC0"/>
    <w:rsid w:val="005A65C3"/>
    <w:rsid w:val="005A6B6D"/>
    <w:rsid w:val="005A6ED5"/>
    <w:rsid w:val="005A6F0E"/>
    <w:rsid w:val="005A6F57"/>
    <w:rsid w:val="005A7235"/>
    <w:rsid w:val="005A795B"/>
    <w:rsid w:val="005A7BAF"/>
    <w:rsid w:val="005B00FD"/>
    <w:rsid w:val="005B05FA"/>
    <w:rsid w:val="005B0652"/>
    <w:rsid w:val="005B10AE"/>
    <w:rsid w:val="005B1213"/>
    <w:rsid w:val="005B1B2C"/>
    <w:rsid w:val="005B1B55"/>
    <w:rsid w:val="005B1DBD"/>
    <w:rsid w:val="005B26B0"/>
    <w:rsid w:val="005B3EBD"/>
    <w:rsid w:val="005B3F0C"/>
    <w:rsid w:val="005B48E8"/>
    <w:rsid w:val="005B507C"/>
    <w:rsid w:val="005B564F"/>
    <w:rsid w:val="005B56D9"/>
    <w:rsid w:val="005B5BA3"/>
    <w:rsid w:val="005B5E62"/>
    <w:rsid w:val="005B611F"/>
    <w:rsid w:val="005B6908"/>
    <w:rsid w:val="005B6DBE"/>
    <w:rsid w:val="005B7E97"/>
    <w:rsid w:val="005B7F46"/>
    <w:rsid w:val="005C059E"/>
    <w:rsid w:val="005C07D2"/>
    <w:rsid w:val="005C09A7"/>
    <w:rsid w:val="005C0EA8"/>
    <w:rsid w:val="005C102D"/>
    <w:rsid w:val="005C132C"/>
    <w:rsid w:val="005C1742"/>
    <w:rsid w:val="005C17FB"/>
    <w:rsid w:val="005C1833"/>
    <w:rsid w:val="005C1838"/>
    <w:rsid w:val="005C18C2"/>
    <w:rsid w:val="005C2063"/>
    <w:rsid w:val="005C22F5"/>
    <w:rsid w:val="005C244F"/>
    <w:rsid w:val="005C2767"/>
    <w:rsid w:val="005C2922"/>
    <w:rsid w:val="005C2C01"/>
    <w:rsid w:val="005C2F60"/>
    <w:rsid w:val="005C323D"/>
    <w:rsid w:val="005C3772"/>
    <w:rsid w:val="005C39C3"/>
    <w:rsid w:val="005C4229"/>
    <w:rsid w:val="005C4580"/>
    <w:rsid w:val="005C5065"/>
    <w:rsid w:val="005C52F3"/>
    <w:rsid w:val="005C564C"/>
    <w:rsid w:val="005C6234"/>
    <w:rsid w:val="005C64DC"/>
    <w:rsid w:val="005C6605"/>
    <w:rsid w:val="005C6CCB"/>
    <w:rsid w:val="005C71A0"/>
    <w:rsid w:val="005C7802"/>
    <w:rsid w:val="005C7B50"/>
    <w:rsid w:val="005D029E"/>
    <w:rsid w:val="005D0427"/>
    <w:rsid w:val="005D0776"/>
    <w:rsid w:val="005D07AE"/>
    <w:rsid w:val="005D08FD"/>
    <w:rsid w:val="005D0AA2"/>
    <w:rsid w:val="005D0C83"/>
    <w:rsid w:val="005D113B"/>
    <w:rsid w:val="005D14CC"/>
    <w:rsid w:val="005D1732"/>
    <w:rsid w:val="005D2D9A"/>
    <w:rsid w:val="005D3351"/>
    <w:rsid w:val="005D3A6E"/>
    <w:rsid w:val="005D3B21"/>
    <w:rsid w:val="005D4019"/>
    <w:rsid w:val="005D41DC"/>
    <w:rsid w:val="005D460F"/>
    <w:rsid w:val="005D4631"/>
    <w:rsid w:val="005D4C54"/>
    <w:rsid w:val="005D4DC5"/>
    <w:rsid w:val="005D5442"/>
    <w:rsid w:val="005D5C22"/>
    <w:rsid w:val="005D5E6C"/>
    <w:rsid w:val="005D63A9"/>
    <w:rsid w:val="005D65AF"/>
    <w:rsid w:val="005D65D5"/>
    <w:rsid w:val="005D6C56"/>
    <w:rsid w:val="005D6CED"/>
    <w:rsid w:val="005D6F49"/>
    <w:rsid w:val="005D7E8A"/>
    <w:rsid w:val="005E06FA"/>
    <w:rsid w:val="005E11A5"/>
    <w:rsid w:val="005E13D4"/>
    <w:rsid w:val="005E1435"/>
    <w:rsid w:val="005E21F3"/>
    <w:rsid w:val="005E235C"/>
    <w:rsid w:val="005E3078"/>
    <w:rsid w:val="005E34C0"/>
    <w:rsid w:val="005E45F3"/>
    <w:rsid w:val="005E49CA"/>
    <w:rsid w:val="005E5384"/>
    <w:rsid w:val="005E5427"/>
    <w:rsid w:val="005E5428"/>
    <w:rsid w:val="005E5A7C"/>
    <w:rsid w:val="005E5C33"/>
    <w:rsid w:val="005E6976"/>
    <w:rsid w:val="005E703B"/>
    <w:rsid w:val="005E721A"/>
    <w:rsid w:val="005E74EC"/>
    <w:rsid w:val="005E7917"/>
    <w:rsid w:val="005E7AB6"/>
    <w:rsid w:val="005E7B1E"/>
    <w:rsid w:val="005E7CBC"/>
    <w:rsid w:val="005E7DB0"/>
    <w:rsid w:val="005F0A62"/>
    <w:rsid w:val="005F0FA8"/>
    <w:rsid w:val="005F1282"/>
    <w:rsid w:val="005F1C5D"/>
    <w:rsid w:val="005F2317"/>
    <w:rsid w:val="005F2550"/>
    <w:rsid w:val="005F2B2D"/>
    <w:rsid w:val="005F2FD5"/>
    <w:rsid w:val="005F340A"/>
    <w:rsid w:val="005F359B"/>
    <w:rsid w:val="005F3869"/>
    <w:rsid w:val="005F3AE8"/>
    <w:rsid w:val="005F3B09"/>
    <w:rsid w:val="005F3B47"/>
    <w:rsid w:val="005F47C1"/>
    <w:rsid w:val="005F4926"/>
    <w:rsid w:val="005F4B6F"/>
    <w:rsid w:val="005F5009"/>
    <w:rsid w:val="005F5054"/>
    <w:rsid w:val="005F530F"/>
    <w:rsid w:val="005F5D2A"/>
    <w:rsid w:val="005F65D9"/>
    <w:rsid w:val="005F6768"/>
    <w:rsid w:val="005F69CF"/>
    <w:rsid w:val="005F6E39"/>
    <w:rsid w:val="005F6E58"/>
    <w:rsid w:val="005F7031"/>
    <w:rsid w:val="005F704C"/>
    <w:rsid w:val="005F7A22"/>
    <w:rsid w:val="005F7B9D"/>
    <w:rsid w:val="00600501"/>
    <w:rsid w:val="00600B0C"/>
    <w:rsid w:val="00601C87"/>
    <w:rsid w:val="00602DFA"/>
    <w:rsid w:val="006031D1"/>
    <w:rsid w:val="006033BF"/>
    <w:rsid w:val="00603702"/>
    <w:rsid w:val="00603B4B"/>
    <w:rsid w:val="00603F20"/>
    <w:rsid w:val="006046A9"/>
    <w:rsid w:val="0060471B"/>
    <w:rsid w:val="00604868"/>
    <w:rsid w:val="00604F37"/>
    <w:rsid w:val="0060508A"/>
    <w:rsid w:val="0060559A"/>
    <w:rsid w:val="006055AF"/>
    <w:rsid w:val="006056E2"/>
    <w:rsid w:val="00605942"/>
    <w:rsid w:val="00605C9F"/>
    <w:rsid w:val="006068E8"/>
    <w:rsid w:val="00606ADB"/>
    <w:rsid w:val="006072DE"/>
    <w:rsid w:val="006075F4"/>
    <w:rsid w:val="006078A8"/>
    <w:rsid w:val="00607BAD"/>
    <w:rsid w:val="00607EC7"/>
    <w:rsid w:val="006102BC"/>
    <w:rsid w:val="0061048A"/>
    <w:rsid w:val="00610AE7"/>
    <w:rsid w:val="00611178"/>
    <w:rsid w:val="0061148D"/>
    <w:rsid w:val="00611D01"/>
    <w:rsid w:val="006122EC"/>
    <w:rsid w:val="006124B3"/>
    <w:rsid w:val="00612611"/>
    <w:rsid w:val="0061279A"/>
    <w:rsid w:val="00612A10"/>
    <w:rsid w:val="00613009"/>
    <w:rsid w:val="006130D0"/>
    <w:rsid w:val="006132EA"/>
    <w:rsid w:val="00613481"/>
    <w:rsid w:val="006139E6"/>
    <w:rsid w:val="00613CA5"/>
    <w:rsid w:val="0061401C"/>
    <w:rsid w:val="0061420B"/>
    <w:rsid w:val="00614518"/>
    <w:rsid w:val="00614A59"/>
    <w:rsid w:val="00614BD4"/>
    <w:rsid w:val="00614D33"/>
    <w:rsid w:val="00614E7E"/>
    <w:rsid w:val="0061537D"/>
    <w:rsid w:val="0061537F"/>
    <w:rsid w:val="006156D7"/>
    <w:rsid w:val="00615CF1"/>
    <w:rsid w:val="00615DEA"/>
    <w:rsid w:val="006165A4"/>
    <w:rsid w:val="00616A60"/>
    <w:rsid w:val="00616D0C"/>
    <w:rsid w:val="00616EE6"/>
    <w:rsid w:val="006171FB"/>
    <w:rsid w:val="00617283"/>
    <w:rsid w:val="00617A2A"/>
    <w:rsid w:val="006206F3"/>
    <w:rsid w:val="006207F4"/>
    <w:rsid w:val="00620C67"/>
    <w:rsid w:val="00621646"/>
    <w:rsid w:val="00621803"/>
    <w:rsid w:val="00621A34"/>
    <w:rsid w:val="006220F1"/>
    <w:rsid w:val="00622E22"/>
    <w:rsid w:val="00623E46"/>
    <w:rsid w:val="00624604"/>
    <w:rsid w:val="00624D2C"/>
    <w:rsid w:val="00624F7F"/>
    <w:rsid w:val="00625142"/>
    <w:rsid w:val="00625145"/>
    <w:rsid w:val="00626768"/>
    <w:rsid w:val="00626F9D"/>
    <w:rsid w:val="00627402"/>
    <w:rsid w:val="00627403"/>
    <w:rsid w:val="00627474"/>
    <w:rsid w:val="00627A61"/>
    <w:rsid w:val="00627CEA"/>
    <w:rsid w:val="00627E37"/>
    <w:rsid w:val="00630480"/>
    <w:rsid w:val="0063058E"/>
    <w:rsid w:val="006305F8"/>
    <w:rsid w:val="0063197B"/>
    <w:rsid w:val="006319D0"/>
    <w:rsid w:val="00631DA7"/>
    <w:rsid w:val="006327BB"/>
    <w:rsid w:val="00632B9C"/>
    <w:rsid w:val="00632F18"/>
    <w:rsid w:val="006332D7"/>
    <w:rsid w:val="0063333D"/>
    <w:rsid w:val="00634225"/>
    <w:rsid w:val="00635003"/>
    <w:rsid w:val="006351CE"/>
    <w:rsid w:val="0063524A"/>
    <w:rsid w:val="006352FD"/>
    <w:rsid w:val="00635B15"/>
    <w:rsid w:val="00636037"/>
    <w:rsid w:val="006362E1"/>
    <w:rsid w:val="006367DA"/>
    <w:rsid w:val="00636F62"/>
    <w:rsid w:val="006370E1"/>
    <w:rsid w:val="00637382"/>
    <w:rsid w:val="006375B2"/>
    <w:rsid w:val="006375BB"/>
    <w:rsid w:val="006409EE"/>
    <w:rsid w:val="00640BF7"/>
    <w:rsid w:val="00640F55"/>
    <w:rsid w:val="00640FFF"/>
    <w:rsid w:val="00641761"/>
    <w:rsid w:val="006419AF"/>
    <w:rsid w:val="006425FC"/>
    <w:rsid w:val="00642631"/>
    <w:rsid w:val="00642DF5"/>
    <w:rsid w:val="0064304A"/>
    <w:rsid w:val="0064380B"/>
    <w:rsid w:val="00643A4F"/>
    <w:rsid w:val="00643FF5"/>
    <w:rsid w:val="006441FD"/>
    <w:rsid w:val="00644E5A"/>
    <w:rsid w:val="00644F2C"/>
    <w:rsid w:val="00645065"/>
    <w:rsid w:val="006450DD"/>
    <w:rsid w:val="00645141"/>
    <w:rsid w:val="00645AEE"/>
    <w:rsid w:val="00646428"/>
    <w:rsid w:val="00646AFD"/>
    <w:rsid w:val="0064707F"/>
    <w:rsid w:val="006471E8"/>
    <w:rsid w:val="00647B6D"/>
    <w:rsid w:val="00647E90"/>
    <w:rsid w:val="00647FA3"/>
    <w:rsid w:val="006500F7"/>
    <w:rsid w:val="00650769"/>
    <w:rsid w:val="00650FB3"/>
    <w:rsid w:val="0065106D"/>
    <w:rsid w:val="006516B7"/>
    <w:rsid w:val="006518E4"/>
    <w:rsid w:val="006519F4"/>
    <w:rsid w:val="00651DB3"/>
    <w:rsid w:val="00651FB8"/>
    <w:rsid w:val="0065203F"/>
    <w:rsid w:val="006520D5"/>
    <w:rsid w:val="0065239B"/>
    <w:rsid w:val="00652BA0"/>
    <w:rsid w:val="00653045"/>
    <w:rsid w:val="0065349A"/>
    <w:rsid w:val="0065350E"/>
    <w:rsid w:val="00653A25"/>
    <w:rsid w:val="00653D93"/>
    <w:rsid w:val="00653FDA"/>
    <w:rsid w:val="006541A0"/>
    <w:rsid w:val="00654E99"/>
    <w:rsid w:val="00655104"/>
    <w:rsid w:val="0065548F"/>
    <w:rsid w:val="00655633"/>
    <w:rsid w:val="006559BB"/>
    <w:rsid w:val="00655D93"/>
    <w:rsid w:val="00655E86"/>
    <w:rsid w:val="00656614"/>
    <w:rsid w:val="00656C4D"/>
    <w:rsid w:val="006577CD"/>
    <w:rsid w:val="00657CCC"/>
    <w:rsid w:val="00660162"/>
    <w:rsid w:val="0066036D"/>
    <w:rsid w:val="006604FA"/>
    <w:rsid w:val="00660879"/>
    <w:rsid w:val="00660B3F"/>
    <w:rsid w:val="006610B1"/>
    <w:rsid w:val="00661639"/>
    <w:rsid w:val="00661655"/>
    <w:rsid w:val="0066174D"/>
    <w:rsid w:val="00661E36"/>
    <w:rsid w:val="0066288A"/>
    <w:rsid w:val="0066318A"/>
    <w:rsid w:val="006631D3"/>
    <w:rsid w:val="00663C45"/>
    <w:rsid w:val="00663D0F"/>
    <w:rsid w:val="00664525"/>
    <w:rsid w:val="0066465B"/>
    <w:rsid w:val="00664C81"/>
    <w:rsid w:val="0066521A"/>
    <w:rsid w:val="0066540C"/>
    <w:rsid w:val="006656B3"/>
    <w:rsid w:val="00665EAE"/>
    <w:rsid w:val="006661EA"/>
    <w:rsid w:val="00666909"/>
    <w:rsid w:val="00666EBC"/>
    <w:rsid w:val="00667189"/>
    <w:rsid w:val="0066749E"/>
    <w:rsid w:val="00667CCB"/>
    <w:rsid w:val="00667EFD"/>
    <w:rsid w:val="00670475"/>
    <w:rsid w:val="00670B8C"/>
    <w:rsid w:val="00670C4A"/>
    <w:rsid w:val="006712FE"/>
    <w:rsid w:val="00671F3E"/>
    <w:rsid w:val="0067221D"/>
    <w:rsid w:val="00672482"/>
    <w:rsid w:val="00672A18"/>
    <w:rsid w:val="006735D0"/>
    <w:rsid w:val="00673753"/>
    <w:rsid w:val="006739E9"/>
    <w:rsid w:val="00674D52"/>
    <w:rsid w:val="00674F93"/>
    <w:rsid w:val="0067546F"/>
    <w:rsid w:val="00675A4C"/>
    <w:rsid w:val="00676287"/>
    <w:rsid w:val="0067669B"/>
    <w:rsid w:val="00676CE4"/>
    <w:rsid w:val="00676EC2"/>
    <w:rsid w:val="00676F61"/>
    <w:rsid w:val="00676FA5"/>
    <w:rsid w:val="006771A4"/>
    <w:rsid w:val="006771AD"/>
    <w:rsid w:val="006774A8"/>
    <w:rsid w:val="00677572"/>
    <w:rsid w:val="00681156"/>
    <w:rsid w:val="00681229"/>
    <w:rsid w:val="00681514"/>
    <w:rsid w:val="0068185E"/>
    <w:rsid w:val="00681BE5"/>
    <w:rsid w:val="00681E30"/>
    <w:rsid w:val="00683476"/>
    <w:rsid w:val="0068379B"/>
    <w:rsid w:val="00683D98"/>
    <w:rsid w:val="00683D99"/>
    <w:rsid w:val="00684079"/>
    <w:rsid w:val="006848EE"/>
    <w:rsid w:val="0068629B"/>
    <w:rsid w:val="00686425"/>
    <w:rsid w:val="00686C12"/>
    <w:rsid w:val="00686C73"/>
    <w:rsid w:val="00686D19"/>
    <w:rsid w:val="00686D75"/>
    <w:rsid w:val="00686E51"/>
    <w:rsid w:val="0068736A"/>
    <w:rsid w:val="00687D17"/>
    <w:rsid w:val="00690024"/>
    <w:rsid w:val="006903A4"/>
    <w:rsid w:val="00690AD8"/>
    <w:rsid w:val="00690CAA"/>
    <w:rsid w:val="00690EFB"/>
    <w:rsid w:val="0069137B"/>
    <w:rsid w:val="006913EC"/>
    <w:rsid w:val="006914B7"/>
    <w:rsid w:val="0069170C"/>
    <w:rsid w:val="00691742"/>
    <w:rsid w:val="00691DEE"/>
    <w:rsid w:val="00692242"/>
    <w:rsid w:val="0069236E"/>
    <w:rsid w:val="00692704"/>
    <w:rsid w:val="00692E67"/>
    <w:rsid w:val="00693ACF"/>
    <w:rsid w:val="00693EE5"/>
    <w:rsid w:val="00694487"/>
    <w:rsid w:val="006944C5"/>
    <w:rsid w:val="00694B8D"/>
    <w:rsid w:val="0069532F"/>
    <w:rsid w:val="0069561C"/>
    <w:rsid w:val="00695634"/>
    <w:rsid w:val="0069600D"/>
    <w:rsid w:val="006963AE"/>
    <w:rsid w:val="00697053"/>
    <w:rsid w:val="00697BBA"/>
    <w:rsid w:val="006A0320"/>
    <w:rsid w:val="006A066A"/>
    <w:rsid w:val="006A06CA"/>
    <w:rsid w:val="006A083E"/>
    <w:rsid w:val="006A0FFD"/>
    <w:rsid w:val="006A1170"/>
    <w:rsid w:val="006A14A3"/>
    <w:rsid w:val="006A159D"/>
    <w:rsid w:val="006A18BF"/>
    <w:rsid w:val="006A1F58"/>
    <w:rsid w:val="006A242E"/>
    <w:rsid w:val="006A26AB"/>
    <w:rsid w:val="006A298D"/>
    <w:rsid w:val="006A2F80"/>
    <w:rsid w:val="006A3A48"/>
    <w:rsid w:val="006A3FD6"/>
    <w:rsid w:val="006A4076"/>
    <w:rsid w:val="006A436F"/>
    <w:rsid w:val="006A4E5B"/>
    <w:rsid w:val="006A59D8"/>
    <w:rsid w:val="006A6B7B"/>
    <w:rsid w:val="006A78F8"/>
    <w:rsid w:val="006A7C26"/>
    <w:rsid w:val="006A7E27"/>
    <w:rsid w:val="006B010E"/>
    <w:rsid w:val="006B03CA"/>
    <w:rsid w:val="006B091F"/>
    <w:rsid w:val="006B0CAF"/>
    <w:rsid w:val="006B0ED0"/>
    <w:rsid w:val="006B0EED"/>
    <w:rsid w:val="006B147E"/>
    <w:rsid w:val="006B16F9"/>
    <w:rsid w:val="006B1B52"/>
    <w:rsid w:val="006B1DF6"/>
    <w:rsid w:val="006B222C"/>
    <w:rsid w:val="006B233F"/>
    <w:rsid w:val="006B275E"/>
    <w:rsid w:val="006B28EA"/>
    <w:rsid w:val="006B2DA3"/>
    <w:rsid w:val="006B2FBB"/>
    <w:rsid w:val="006B378A"/>
    <w:rsid w:val="006B3BD5"/>
    <w:rsid w:val="006B40BE"/>
    <w:rsid w:val="006B4185"/>
    <w:rsid w:val="006B4224"/>
    <w:rsid w:val="006B4493"/>
    <w:rsid w:val="006B4B62"/>
    <w:rsid w:val="006B53DC"/>
    <w:rsid w:val="006B5423"/>
    <w:rsid w:val="006B5855"/>
    <w:rsid w:val="006B5AB2"/>
    <w:rsid w:val="006B5C67"/>
    <w:rsid w:val="006B6B5D"/>
    <w:rsid w:val="006B6BF6"/>
    <w:rsid w:val="006B6C0D"/>
    <w:rsid w:val="006B7657"/>
    <w:rsid w:val="006C10B3"/>
    <w:rsid w:val="006C166D"/>
    <w:rsid w:val="006C1818"/>
    <w:rsid w:val="006C1C4F"/>
    <w:rsid w:val="006C1F8B"/>
    <w:rsid w:val="006C2721"/>
    <w:rsid w:val="006C2BE5"/>
    <w:rsid w:val="006C377A"/>
    <w:rsid w:val="006C3868"/>
    <w:rsid w:val="006C38FF"/>
    <w:rsid w:val="006C3E6E"/>
    <w:rsid w:val="006C3EEA"/>
    <w:rsid w:val="006C3F92"/>
    <w:rsid w:val="006C43A6"/>
    <w:rsid w:val="006C4A4A"/>
    <w:rsid w:val="006C4E89"/>
    <w:rsid w:val="006C53EB"/>
    <w:rsid w:val="006C5434"/>
    <w:rsid w:val="006C5D29"/>
    <w:rsid w:val="006C650D"/>
    <w:rsid w:val="006C69A5"/>
    <w:rsid w:val="006C7740"/>
    <w:rsid w:val="006D0028"/>
    <w:rsid w:val="006D0389"/>
    <w:rsid w:val="006D0848"/>
    <w:rsid w:val="006D0BA5"/>
    <w:rsid w:val="006D0C15"/>
    <w:rsid w:val="006D0D8B"/>
    <w:rsid w:val="006D0FBF"/>
    <w:rsid w:val="006D10DC"/>
    <w:rsid w:val="006D1586"/>
    <w:rsid w:val="006D19C1"/>
    <w:rsid w:val="006D2827"/>
    <w:rsid w:val="006D2848"/>
    <w:rsid w:val="006D2B19"/>
    <w:rsid w:val="006D2EC9"/>
    <w:rsid w:val="006D3A05"/>
    <w:rsid w:val="006D3B62"/>
    <w:rsid w:val="006D3FDF"/>
    <w:rsid w:val="006D4527"/>
    <w:rsid w:val="006D4B05"/>
    <w:rsid w:val="006D4F86"/>
    <w:rsid w:val="006D5F98"/>
    <w:rsid w:val="006D6665"/>
    <w:rsid w:val="006D7098"/>
    <w:rsid w:val="006D740E"/>
    <w:rsid w:val="006D7F72"/>
    <w:rsid w:val="006E00B7"/>
    <w:rsid w:val="006E0E5B"/>
    <w:rsid w:val="006E1B45"/>
    <w:rsid w:val="006E2562"/>
    <w:rsid w:val="006E3023"/>
    <w:rsid w:val="006E3369"/>
    <w:rsid w:val="006E3D12"/>
    <w:rsid w:val="006E449C"/>
    <w:rsid w:val="006E4726"/>
    <w:rsid w:val="006E4E72"/>
    <w:rsid w:val="006E50D0"/>
    <w:rsid w:val="006E663E"/>
    <w:rsid w:val="006E6EDF"/>
    <w:rsid w:val="006E7BA5"/>
    <w:rsid w:val="006F01E8"/>
    <w:rsid w:val="006F02D7"/>
    <w:rsid w:val="006F03EC"/>
    <w:rsid w:val="006F059F"/>
    <w:rsid w:val="006F0EBB"/>
    <w:rsid w:val="006F1E96"/>
    <w:rsid w:val="006F2D24"/>
    <w:rsid w:val="006F352A"/>
    <w:rsid w:val="006F37F7"/>
    <w:rsid w:val="006F3909"/>
    <w:rsid w:val="006F4036"/>
    <w:rsid w:val="006F428E"/>
    <w:rsid w:val="006F48E1"/>
    <w:rsid w:val="006F4FA0"/>
    <w:rsid w:val="006F5096"/>
    <w:rsid w:val="006F5160"/>
    <w:rsid w:val="006F5374"/>
    <w:rsid w:val="006F57D7"/>
    <w:rsid w:val="006F5ABA"/>
    <w:rsid w:val="006F5C15"/>
    <w:rsid w:val="006F60DF"/>
    <w:rsid w:val="006F64DE"/>
    <w:rsid w:val="006F6766"/>
    <w:rsid w:val="006F68C1"/>
    <w:rsid w:val="006F6CE2"/>
    <w:rsid w:val="006F6E10"/>
    <w:rsid w:val="007014F8"/>
    <w:rsid w:val="0070150D"/>
    <w:rsid w:val="007016D2"/>
    <w:rsid w:val="007018D8"/>
    <w:rsid w:val="00701979"/>
    <w:rsid w:val="00701C6E"/>
    <w:rsid w:val="007029E8"/>
    <w:rsid w:val="00703107"/>
    <w:rsid w:val="00703138"/>
    <w:rsid w:val="00703277"/>
    <w:rsid w:val="0070356D"/>
    <w:rsid w:val="00703981"/>
    <w:rsid w:val="00703CDF"/>
    <w:rsid w:val="00703D7E"/>
    <w:rsid w:val="0070495F"/>
    <w:rsid w:val="00704B6E"/>
    <w:rsid w:val="00704F73"/>
    <w:rsid w:val="0070508D"/>
    <w:rsid w:val="0070542E"/>
    <w:rsid w:val="0070604A"/>
    <w:rsid w:val="007060D4"/>
    <w:rsid w:val="0070624C"/>
    <w:rsid w:val="00706451"/>
    <w:rsid w:val="007076F6"/>
    <w:rsid w:val="00707B32"/>
    <w:rsid w:val="00707E0F"/>
    <w:rsid w:val="0071068A"/>
    <w:rsid w:val="00710E19"/>
    <w:rsid w:val="00710E52"/>
    <w:rsid w:val="00711359"/>
    <w:rsid w:val="007114C9"/>
    <w:rsid w:val="0071154B"/>
    <w:rsid w:val="0071174F"/>
    <w:rsid w:val="0071196A"/>
    <w:rsid w:val="00711B11"/>
    <w:rsid w:val="007131CF"/>
    <w:rsid w:val="007133C0"/>
    <w:rsid w:val="00713613"/>
    <w:rsid w:val="007137C6"/>
    <w:rsid w:val="007138FC"/>
    <w:rsid w:val="0071393D"/>
    <w:rsid w:val="00713E79"/>
    <w:rsid w:val="00714245"/>
    <w:rsid w:val="00714A14"/>
    <w:rsid w:val="00715441"/>
    <w:rsid w:val="00715739"/>
    <w:rsid w:val="0071576C"/>
    <w:rsid w:val="00715C94"/>
    <w:rsid w:val="007165F0"/>
    <w:rsid w:val="00716A09"/>
    <w:rsid w:val="007170DB"/>
    <w:rsid w:val="00717880"/>
    <w:rsid w:val="00717CA8"/>
    <w:rsid w:val="007205E7"/>
    <w:rsid w:val="007209C4"/>
    <w:rsid w:val="00720A9F"/>
    <w:rsid w:val="00720EC4"/>
    <w:rsid w:val="00721E9E"/>
    <w:rsid w:val="007227FE"/>
    <w:rsid w:val="007233C3"/>
    <w:rsid w:val="00723C95"/>
    <w:rsid w:val="007244E7"/>
    <w:rsid w:val="0072484E"/>
    <w:rsid w:val="0072505F"/>
    <w:rsid w:val="007251B4"/>
    <w:rsid w:val="00725B00"/>
    <w:rsid w:val="0072680C"/>
    <w:rsid w:val="00726B3D"/>
    <w:rsid w:val="00726C64"/>
    <w:rsid w:val="0072789E"/>
    <w:rsid w:val="00730776"/>
    <w:rsid w:val="007310B7"/>
    <w:rsid w:val="00731237"/>
    <w:rsid w:val="00731A22"/>
    <w:rsid w:val="0073207E"/>
    <w:rsid w:val="00732523"/>
    <w:rsid w:val="0073254B"/>
    <w:rsid w:val="00732664"/>
    <w:rsid w:val="00732BA7"/>
    <w:rsid w:val="007333EA"/>
    <w:rsid w:val="00733601"/>
    <w:rsid w:val="00733A57"/>
    <w:rsid w:val="00733E20"/>
    <w:rsid w:val="00733F36"/>
    <w:rsid w:val="007340CE"/>
    <w:rsid w:val="00734781"/>
    <w:rsid w:val="007349FC"/>
    <w:rsid w:val="00734B6F"/>
    <w:rsid w:val="007351A5"/>
    <w:rsid w:val="00735293"/>
    <w:rsid w:val="00735376"/>
    <w:rsid w:val="007363EA"/>
    <w:rsid w:val="007365BF"/>
    <w:rsid w:val="00736A02"/>
    <w:rsid w:val="00736E06"/>
    <w:rsid w:val="00736E37"/>
    <w:rsid w:val="00737286"/>
    <w:rsid w:val="007373DB"/>
    <w:rsid w:val="00737847"/>
    <w:rsid w:val="00737F27"/>
    <w:rsid w:val="00737FD3"/>
    <w:rsid w:val="00740240"/>
    <w:rsid w:val="007407DB"/>
    <w:rsid w:val="00740BFC"/>
    <w:rsid w:val="00740F76"/>
    <w:rsid w:val="00741037"/>
    <w:rsid w:val="007422B3"/>
    <w:rsid w:val="007424BF"/>
    <w:rsid w:val="007435F1"/>
    <w:rsid w:val="00743BC1"/>
    <w:rsid w:val="00743DDD"/>
    <w:rsid w:val="00744625"/>
    <w:rsid w:val="007446BB"/>
    <w:rsid w:val="00744AF1"/>
    <w:rsid w:val="00745882"/>
    <w:rsid w:val="00745A04"/>
    <w:rsid w:val="00745A0F"/>
    <w:rsid w:val="00745DFD"/>
    <w:rsid w:val="00746197"/>
    <w:rsid w:val="0074689C"/>
    <w:rsid w:val="00746B3F"/>
    <w:rsid w:val="00747117"/>
    <w:rsid w:val="007479C2"/>
    <w:rsid w:val="00747B0D"/>
    <w:rsid w:val="00751452"/>
    <w:rsid w:val="007521A5"/>
    <w:rsid w:val="00752E99"/>
    <w:rsid w:val="00753959"/>
    <w:rsid w:val="00753DD6"/>
    <w:rsid w:val="00754A4A"/>
    <w:rsid w:val="00755F9F"/>
    <w:rsid w:val="0075617D"/>
    <w:rsid w:val="007566FB"/>
    <w:rsid w:val="007567A8"/>
    <w:rsid w:val="00756D6A"/>
    <w:rsid w:val="00757861"/>
    <w:rsid w:val="00757EE2"/>
    <w:rsid w:val="0076043F"/>
    <w:rsid w:val="00760F66"/>
    <w:rsid w:val="007611F8"/>
    <w:rsid w:val="00761200"/>
    <w:rsid w:val="00761931"/>
    <w:rsid w:val="00761BD1"/>
    <w:rsid w:val="007627BA"/>
    <w:rsid w:val="0076291E"/>
    <w:rsid w:val="00762B29"/>
    <w:rsid w:val="00762C76"/>
    <w:rsid w:val="00762D81"/>
    <w:rsid w:val="0076317B"/>
    <w:rsid w:val="007643D5"/>
    <w:rsid w:val="00765366"/>
    <w:rsid w:val="00765914"/>
    <w:rsid w:val="00765AC2"/>
    <w:rsid w:val="0076614D"/>
    <w:rsid w:val="0076624C"/>
    <w:rsid w:val="0076627D"/>
    <w:rsid w:val="00766304"/>
    <w:rsid w:val="00766C2C"/>
    <w:rsid w:val="00767A28"/>
    <w:rsid w:val="00767DD2"/>
    <w:rsid w:val="00770264"/>
    <w:rsid w:val="0077082B"/>
    <w:rsid w:val="00770E60"/>
    <w:rsid w:val="00771324"/>
    <w:rsid w:val="00771C8F"/>
    <w:rsid w:val="00771E1A"/>
    <w:rsid w:val="0077266E"/>
    <w:rsid w:val="0077292E"/>
    <w:rsid w:val="007737D4"/>
    <w:rsid w:val="007737D8"/>
    <w:rsid w:val="0077391C"/>
    <w:rsid w:val="00773D24"/>
    <w:rsid w:val="00774576"/>
    <w:rsid w:val="007745DA"/>
    <w:rsid w:val="0077508A"/>
    <w:rsid w:val="00775475"/>
    <w:rsid w:val="00775567"/>
    <w:rsid w:val="00775B4E"/>
    <w:rsid w:val="00775E0D"/>
    <w:rsid w:val="00776343"/>
    <w:rsid w:val="00776416"/>
    <w:rsid w:val="00776C7B"/>
    <w:rsid w:val="00776CEF"/>
    <w:rsid w:val="0077701B"/>
    <w:rsid w:val="007774AE"/>
    <w:rsid w:val="00777E7E"/>
    <w:rsid w:val="00777EFA"/>
    <w:rsid w:val="007804DD"/>
    <w:rsid w:val="00780EBC"/>
    <w:rsid w:val="00780EC1"/>
    <w:rsid w:val="00780F3B"/>
    <w:rsid w:val="0078115B"/>
    <w:rsid w:val="007816EE"/>
    <w:rsid w:val="00781AE1"/>
    <w:rsid w:val="00782071"/>
    <w:rsid w:val="00782783"/>
    <w:rsid w:val="00782946"/>
    <w:rsid w:val="00782ECD"/>
    <w:rsid w:val="00782F44"/>
    <w:rsid w:val="0078363B"/>
    <w:rsid w:val="00783BD9"/>
    <w:rsid w:val="00783CCF"/>
    <w:rsid w:val="00783F5B"/>
    <w:rsid w:val="00784609"/>
    <w:rsid w:val="00784720"/>
    <w:rsid w:val="0078481D"/>
    <w:rsid w:val="007859FC"/>
    <w:rsid w:val="00785F1E"/>
    <w:rsid w:val="00785F4C"/>
    <w:rsid w:val="0078609C"/>
    <w:rsid w:val="00786355"/>
    <w:rsid w:val="00786869"/>
    <w:rsid w:val="00787370"/>
    <w:rsid w:val="007874AE"/>
    <w:rsid w:val="0078750B"/>
    <w:rsid w:val="00787F5E"/>
    <w:rsid w:val="0079024D"/>
    <w:rsid w:val="00791069"/>
    <w:rsid w:val="007911B8"/>
    <w:rsid w:val="00791DAE"/>
    <w:rsid w:val="007930E8"/>
    <w:rsid w:val="00793A57"/>
    <w:rsid w:val="00793A9C"/>
    <w:rsid w:val="00793B40"/>
    <w:rsid w:val="00793F28"/>
    <w:rsid w:val="007944D2"/>
    <w:rsid w:val="00794B19"/>
    <w:rsid w:val="00794FFA"/>
    <w:rsid w:val="00795B8D"/>
    <w:rsid w:val="00795E34"/>
    <w:rsid w:val="00795F0E"/>
    <w:rsid w:val="00796495"/>
    <w:rsid w:val="00797063"/>
    <w:rsid w:val="00797D8F"/>
    <w:rsid w:val="007A036E"/>
    <w:rsid w:val="007A0C00"/>
    <w:rsid w:val="007A0E15"/>
    <w:rsid w:val="007A176E"/>
    <w:rsid w:val="007A19BF"/>
    <w:rsid w:val="007A2A69"/>
    <w:rsid w:val="007A2CF1"/>
    <w:rsid w:val="007A338B"/>
    <w:rsid w:val="007A36EC"/>
    <w:rsid w:val="007A384E"/>
    <w:rsid w:val="007A41B5"/>
    <w:rsid w:val="007A4486"/>
    <w:rsid w:val="007A4682"/>
    <w:rsid w:val="007A5754"/>
    <w:rsid w:val="007A5879"/>
    <w:rsid w:val="007A58A8"/>
    <w:rsid w:val="007A5BDC"/>
    <w:rsid w:val="007A629D"/>
    <w:rsid w:val="007A6610"/>
    <w:rsid w:val="007A6AF0"/>
    <w:rsid w:val="007A6D51"/>
    <w:rsid w:val="007A6DD3"/>
    <w:rsid w:val="007A6FF3"/>
    <w:rsid w:val="007A7169"/>
    <w:rsid w:val="007A71DC"/>
    <w:rsid w:val="007A7A04"/>
    <w:rsid w:val="007B04FF"/>
    <w:rsid w:val="007B0976"/>
    <w:rsid w:val="007B0CAC"/>
    <w:rsid w:val="007B15F3"/>
    <w:rsid w:val="007B1701"/>
    <w:rsid w:val="007B1C32"/>
    <w:rsid w:val="007B1DBB"/>
    <w:rsid w:val="007B2319"/>
    <w:rsid w:val="007B2FBF"/>
    <w:rsid w:val="007B36A6"/>
    <w:rsid w:val="007B3E13"/>
    <w:rsid w:val="007B4044"/>
    <w:rsid w:val="007B4046"/>
    <w:rsid w:val="007B4300"/>
    <w:rsid w:val="007B565C"/>
    <w:rsid w:val="007B595F"/>
    <w:rsid w:val="007B5B7E"/>
    <w:rsid w:val="007B5D75"/>
    <w:rsid w:val="007B6D5E"/>
    <w:rsid w:val="007B7115"/>
    <w:rsid w:val="007B736B"/>
    <w:rsid w:val="007C012E"/>
    <w:rsid w:val="007C055A"/>
    <w:rsid w:val="007C0853"/>
    <w:rsid w:val="007C0C90"/>
    <w:rsid w:val="007C0E07"/>
    <w:rsid w:val="007C0E86"/>
    <w:rsid w:val="007C192C"/>
    <w:rsid w:val="007C249E"/>
    <w:rsid w:val="007C26CF"/>
    <w:rsid w:val="007C271B"/>
    <w:rsid w:val="007C2C14"/>
    <w:rsid w:val="007C3A55"/>
    <w:rsid w:val="007C404B"/>
    <w:rsid w:val="007C4166"/>
    <w:rsid w:val="007C44E1"/>
    <w:rsid w:val="007C46EC"/>
    <w:rsid w:val="007C48DD"/>
    <w:rsid w:val="007C4A05"/>
    <w:rsid w:val="007C5711"/>
    <w:rsid w:val="007C57B9"/>
    <w:rsid w:val="007C6325"/>
    <w:rsid w:val="007C73A3"/>
    <w:rsid w:val="007C7975"/>
    <w:rsid w:val="007C7EF5"/>
    <w:rsid w:val="007D047C"/>
    <w:rsid w:val="007D06AC"/>
    <w:rsid w:val="007D0741"/>
    <w:rsid w:val="007D0997"/>
    <w:rsid w:val="007D0A53"/>
    <w:rsid w:val="007D0FFC"/>
    <w:rsid w:val="007D1013"/>
    <w:rsid w:val="007D19EC"/>
    <w:rsid w:val="007D2608"/>
    <w:rsid w:val="007D30C3"/>
    <w:rsid w:val="007D35AC"/>
    <w:rsid w:val="007D36B1"/>
    <w:rsid w:val="007D36D7"/>
    <w:rsid w:val="007D3BA1"/>
    <w:rsid w:val="007D3EC8"/>
    <w:rsid w:val="007D40AC"/>
    <w:rsid w:val="007D4317"/>
    <w:rsid w:val="007D43C7"/>
    <w:rsid w:val="007D4C12"/>
    <w:rsid w:val="007D57E0"/>
    <w:rsid w:val="007D5946"/>
    <w:rsid w:val="007D5962"/>
    <w:rsid w:val="007D5A2B"/>
    <w:rsid w:val="007D6213"/>
    <w:rsid w:val="007D63B2"/>
    <w:rsid w:val="007D651D"/>
    <w:rsid w:val="007D71B7"/>
    <w:rsid w:val="007D7C66"/>
    <w:rsid w:val="007D7CF3"/>
    <w:rsid w:val="007E0274"/>
    <w:rsid w:val="007E02A7"/>
    <w:rsid w:val="007E0415"/>
    <w:rsid w:val="007E0991"/>
    <w:rsid w:val="007E0AFE"/>
    <w:rsid w:val="007E0B2C"/>
    <w:rsid w:val="007E0BD1"/>
    <w:rsid w:val="007E107F"/>
    <w:rsid w:val="007E2FD7"/>
    <w:rsid w:val="007E310B"/>
    <w:rsid w:val="007E38DA"/>
    <w:rsid w:val="007E3D65"/>
    <w:rsid w:val="007E3EE2"/>
    <w:rsid w:val="007E47E7"/>
    <w:rsid w:val="007E4A68"/>
    <w:rsid w:val="007E4A98"/>
    <w:rsid w:val="007E4EB6"/>
    <w:rsid w:val="007E571F"/>
    <w:rsid w:val="007E5DD7"/>
    <w:rsid w:val="007E6FB9"/>
    <w:rsid w:val="007E7139"/>
    <w:rsid w:val="007E7366"/>
    <w:rsid w:val="007E7EA1"/>
    <w:rsid w:val="007E7EA4"/>
    <w:rsid w:val="007F03CE"/>
    <w:rsid w:val="007F04D3"/>
    <w:rsid w:val="007F096F"/>
    <w:rsid w:val="007F137D"/>
    <w:rsid w:val="007F17B5"/>
    <w:rsid w:val="007F245F"/>
    <w:rsid w:val="007F2D8D"/>
    <w:rsid w:val="007F2EBF"/>
    <w:rsid w:val="007F3044"/>
    <w:rsid w:val="007F3249"/>
    <w:rsid w:val="007F3704"/>
    <w:rsid w:val="007F4657"/>
    <w:rsid w:val="007F4F50"/>
    <w:rsid w:val="007F5609"/>
    <w:rsid w:val="007F5625"/>
    <w:rsid w:val="007F568A"/>
    <w:rsid w:val="007F59F7"/>
    <w:rsid w:val="007F5E21"/>
    <w:rsid w:val="007F6413"/>
    <w:rsid w:val="007F6761"/>
    <w:rsid w:val="007F676E"/>
    <w:rsid w:val="007F6B11"/>
    <w:rsid w:val="007F6E2B"/>
    <w:rsid w:val="007F7D12"/>
    <w:rsid w:val="007F7F02"/>
    <w:rsid w:val="00800258"/>
    <w:rsid w:val="00800C97"/>
    <w:rsid w:val="008014B3"/>
    <w:rsid w:val="008014D1"/>
    <w:rsid w:val="0080153D"/>
    <w:rsid w:val="0080220F"/>
    <w:rsid w:val="00802597"/>
    <w:rsid w:val="008026A7"/>
    <w:rsid w:val="00802735"/>
    <w:rsid w:val="008028C2"/>
    <w:rsid w:val="00802DDB"/>
    <w:rsid w:val="0080379D"/>
    <w:rsid w:val="008037D8"/>
    <w:rsid w:val="00803B7E"/>
    <w:rsid w:val="00803DA6"/>
    <w:rsid w:val="008040D9"/>
    <w:rsid w:val="0080436E"/>
    <w:rsid w:val="00804937"/>
    <w:rsid w:val="00804E1E"/>
    <w:rsid w:val="00804E43"/>
    <w:rsid w:val="008050F5"/>
    <w:rsid w:val="0080519C"/>
    <w:rsid w:val="0080553F"/>
    <w:rsid w:val="00805E48"/>
    <w:rsid w:val="00807ADD"/>
    <w:rsid w:val="00810BC2"/>
    <w:rsid w:val="00811683"/>
    <w:rsid w:val="00811AFF"/>
    <w:rsid w:val="00812373"/>
    <w:rsid w:val="00812D30"/>
    <w:rsid w:val="00813B84"/>
    <w:rsid w:val="00813F3A"/>
    <w:rsid w:val="008140E8"/>
    <w:rsid w:val="00814662"/>
    <w:rsid w:val="008148D4"/>
    <w:rsid w:val="0081491F"/>
    <w:rsid w:val="00814941"/>
    <w:rsid w:val="00814A65"/>
    <w:rsid w:val="00814BD9"/>
    <w:rsid w:val="008158AC"/>
    <w:rsid w:val="00816805"/>
    <w:rsid w:val="00816BA9"/>
    <w:rsid w:val="00816BE8"/>
    <w:rsid w:val="00816CD5"/>
    <w:rsid w:val="00816DBD"/>
    <w:rsid w:val="00816FE2"/>
    <w:rsid w:val="00817062"/>
    <w:rsid w:val="00817991"/>
    <w:rsid w:val="00817F58"/>
    <w:rsid w:val="008203C5"/>
    <w:rsid w:val="0082046A"/>
    <w:rsid w:val="008204C7"/>
    <w:rsid w:val="00820B20"/>
    <w:rsid w:val="00820B84"/>
    <w:rsid w:val="0082199B"/>
    <w:rsid w:val="00821C2A"/>
    <w:rsid w:val="008226BF"/>
    <w:rsid w:val="008227B7"/>
    <w:rsid w:val="00823BA0"/>
    <w:rsid w:val="008243A8"/>
    <w:rsid w:val="00824925"/>
    <w:rsid w:val="00824C8B"/>
    <w:rsid w:val="008252E8"/>
    <w:rsid w:val="00825BA8"/>
    <w:rsid w:val="00825C14"/>
    <w:rsid w:val="0082641D"/>
    <w:rsid w:val="008267CA"/>
    <w:rsid w:val="00826E45"/>
    <w:rsid w:val="008270EE"/>
    <w:rsid w:val="0082722B"/>
    <w:rsid w:val="0082745B"/>
    <w:rsid w:val="00827C1B"/>
    <w:rsid w:val="0083016B"/>
    <w:rsid w:val="008301F1"/>
    <w:rsid w:val="00830C0E"/>
    <w:rsid w:val="008313E0"/>
    <w:rsid w:val="008317EC"/>
    <w:rsid w:val="0083195D"/>
    <w:rsid w:val="00831B7B"/>
    <w:rsid w:val="00831D90"/>
    <w:rsid w:val="00832076"/>
    <w:rsid w:val="008324F3"/>
    <w:rsid w:val="00832691"/>
    <w:rsid w:val="0083296B"/>
    <w:rsid w:val="00832B8A"/>
    <w:rsid w:val="00833547"/>
    <w:rsid w:val="00833852"/>
    <w:rsid w:val="00833AB9"/>
    <w:rsid w:val="00833B62"/>
    <w:rsid w:val="00834550"/>
    <w:rsid w:val="00834820"/>
    <w:rsid w:val="00834C82"/>
    <w:rsid w:val="00834DB6"/>
    <w:rsid w:val="00834F93"/>
    <w:rsid w:val="00835F6D"/>
    <w:rsid w:val="008374F3"/>
    <w:rsid w:val="008375DA"/>
    <w:rsid w:val="00840C4A"/>
    <w:rsid w:val="008411B9"/>
    <w:rsid w:val="0084122F"/>
    <w:rsid w:val="00841573"/>
    <w:rsid w:val="00841D08"/>
    <w:rsid w:val="00842955"/>
    <w:rsid w:val="00842D43"/>
    <w:rsid w:val="00842F64"/>
    <w:rsid w:val="0084323E"/>
    <w:rsid w:val="0084361C"/>
    <w:rsid w:val="00843D50"/>
    <w:rsid w:val="008441D9"/>
    <w:rsid w:val="0084464E"/>
    <w:rsid w:val="008455E6"/>
    <w:rsid w:val="008458BF"/>
    <w:rsid w:val="00846262"/>
    <w:rsid w:val="00846370"/>
    <w:rsid w:val="008463E8"/>
    <w:rsid w:val="00847665"/>
    <w:rsid w:val="00847BC5"/>
    <w:rsid w:val="00847F11"/>
    <w:rsid w:val="00850010"/>
    <w:rsid w:val="008503F4"/>
    <w:rsid w:val="008504A0"/>
    <w:rsid w:val="00850AC1"/>
    <w:rsid w:val="00850C2A"/>
    <w:rsid w:val="00850DFA"/>
    <w:rsid w:val="00851331"/>
    <w:rsid w:val="008516D1"/>
    <w:rsid w:val="00852003"/>
    <w:rsid w:val="0085212C"/>
    <w:rsid w:val="00852988"/>
    <w:rsid w:val="00852F9E"/>
    <w:rsid w:val="00854053"/>
    <w:rsid w:val="008543AC"/>
    <w:rsid w:val="008548B8"/>
    <w:rsid w:val="00854965"/>
    <w:rsid w:val="00855298"/>
    <w:rsid w:val="008554D1"/>
    <w:rsid w:val="008558E0"/>
    <w:rsid w:val="008569E0"/>
    <w:rsid w:val="00857AF7"/>
    <w:rsid w:val="00857BE5"/>
    <w:rsid w:val="00860109"/>
    <w:rsid w:val="008601BD"/>
    <w:rsid w:val="00860359"/>
    <w:rsid w:val="00860E43"/>
    <w:rsid w:val="00861252"/>
    <w:rsid w:val="0086171A"/>
    <w:rsid w:val="0086226C"/>
    <w:rsid w:val="00863237"/>
    <w:rsid w:val="0086361F"/>
    <w:rsid w:val="00863C07"/>
    <w:rsid w:val="008640B7"/>
    <w:rsid w:val="008644A4"/>
    <w:rsid w:val="00864A6C"/>
    <w:rsid w:val="00864BB1"/>
    <w:rsid w:val="00864DF7"/>
    <w:rsid w:val="00865278"/>
    <w:rsid w:val="008654F9"/>
    <w:rsid w:val="008658C0"/>
    <w:rsid w:val="008660F7"/>
    <w:rsid w:val="00866388"/>
    <w:rsid w:val="0086644B"/>
    <w:rsid w:val="00866BAB"/>
    <w:rsid w:val="00866FE3"/>
    <w:rsid w:val="0086722D"/>
    <w:rsid w:val="00867AD8"/>
    <w:rsid w:val="00867D56"/>
    <w:rsid w:val="00867D70"/>
    <w:rsid w:val="00870646"/>
    <w:rsid w:val="008706C3"/>
    <w:rsid w:val="00870BAA"/>
    <w:rsid w:val="00870D91"/>
    <w:rsid w:val="008710FA"/>
    <w:rsid w:val="008716D1"/>
    <w:rsid w:val="008716ED"/>
    <w:rsid w:val="008718AD"/>
    <w:rsid w:val="0087193F"/>
    <w:rsid w:val="008724E6"/>
    <w:rsid w:val="008728C8"/>
    <w:rsid w:val="00873205"/>
    <w:rsid w:val="008735E8"/>
    <w:rsid w:val="0087377E"/>
    <w:rsid w:val="00874594"/>
    <w:rsid w:val="00874776"/>
    <w:rsid w:val="0087487C"/>
    <w:rsid w:val="00874A07"/>
    <w:rsid w:val="00874B75"/>
    <w:rsid w:val="00875007"/>
    <w:rsid w:val="008750DB"/>
    <w:rsid w:val="008751B4"/>
    <w:rsid w:val="0087527F"/>
    <w:rsid w:val="008753D4"/>
    <w:rsid w:val="008754B5"/>
    <w:rsid w:val="00875837"/>
    <w:rsid w:val="00875AF3"/>
    <w:rsid w:val="008765E9"/>
    <w:rsid w:val="00876605"/>
    <w:rsid w:val="00876ABB"/>
    <w:rsid w:val="00876B13"/>
    <w:rsid w:val="00876D37"/>
    <w:rsid w:val="00880017"/>
    <w:rsid w:val="00880305"/>
    <w:rsid w:val="0088065C"/>
    <w:rsid w:val="0088088A"/>
    <w:rsid w:val="00880A3F"/>
    <w:rsid w:val="00880EE2"/>
    <w:rsid w:val="008813BC"/>
    <w:rsid w:val="00881732"/>
    <w:rsid w:val="008818A2"/>
    <w:rsid w:val="00881FF9"/>
    <w:rsid w:val="0088213D"/>
    <w:rsid w:val="008821C6"/>
    <w:rsid w:val="0088243D"/>
    <w:rsid w:val="0088251A"/>
    <w:rsid w:val="00882D28"/>
    <w:rsid w:val="00883A67"/>
    <w:rsid w:val="008848E9"/>
    <w:rsid w:val="00884FD8"/>
    <w:rsid w:val="00885244"/>
    <w:rsid w:val="008857C7"/>
    <w:rsid w:val="008858B3"/>
    <w:rsid w:val="00885BF6"/>
    <w:rsid w:val="008866CF"/>
    <w:rsid w:val="00886782"/>
    <w:rsid w:val="00886834"/>
    <w:rsid w:val="008869A1"/>
    <w:rsid w:val="00886B3F"/>
    <w:rsid w:val="0088727A"/>
    <w:rsid w:val="0089015D"/>
    <w:rsid w:val="0089021A"/>
    <w:rsid w:val="0089022E"/>
    <w:rsid w:val="00890475"/>
    <w:rsid w:val="00890A7C"/>
    <w:rsid w:val="00890D11"/>
    <w:rsid w:val="008910EE"/>
    <w:rsid w:val="00891A26"/>
    <w:rsid w:val="008923F8"/>
    <w:rsid w:val="0089287A"/>
    <w:rsid w:val="008928F1"/>
    <w:rsid w:val="00892BBF"/>
    <w:rsid w:val="00892DB5"/>
    <w:rsid w:val="00893F27"/>
    <w:rsid w:val="008942BD"/>
    <w:rsid w:val="0089478A"/>
    <w:rsid w:val="0089480A"/>
    <w:rsid w:val="00894FE5"/>
    <w:rsid w:val="00895658"/>
    <w:rsid w:val="008956DA"/>
    <w:rsid w:val="00895BA9"/>
    <w:rsid w:val="00895D79"/>
    <w:rsid w:val="0089601B"/>
    <w:rsid w:val="0089647F"/>
    <w:rsid w:val="0089655D"/>
    <w:rsid w:val="00896784"/>
    <w:rsid w:val="00896C56"/>
    <w:rsid w:val="00897051"/>
    <w:rsid w:val="00897824"/>
    <w:rsid w:val="00897BCB"/>
    <w:rsid w:val="00897C07"/>
    <w:rsid w:val="00897DBA"/>
    <w:rsid w:val="008A02FA"/>
    <w:rsid w:val="008A06A8"/>
    <w:rsid w:val="008A18BB"/>
    <w:rsid w:val="008A1AAC"/>
    <w:rsid w:val="008A20CA"/>
    <w:rsid w:val="008A239B"/>
    <w:rsid w:val="008A2505"/>
    <w:rsid w:val="008A2956"/>
    <w:rsid w:val="008A2EA1"/>
    <w:rsid w:val="008A2EF6"/>
    <w:rsid w:val="008A32CA"/>
    <w:rsid w:val="008A3480"/>
    <w:rsid w:val="008A3642"/>
    <w:rsid w:val="008A3875"/>
    <w:rsid w:val="008A4F3C"/>
    <w:rsid w:val="008A51AD"/>
    <w:rsid w:val="008A53A3"/>
    <w:rsid w:val="008A53BA"/>
    <w:rsid w:val="008A551D"/>
    <w:rsid w:val="008A56BA"/>
    <w:rsid w:val="008A570A"/>
    <w:rsid w:val="008A58E4"/>
    <w:rsid w:val="008A58E7"/>
    <w:rsid w:val="008A5C1D"/>
    <w:rsid w:val="008A615A"/>
    <w:rsid w:val="008A6357"/>
    <w:rsid w:val="008A650C"/>
    <w:rsid w:val="008A6A36"/>
    <w:rsid w:val="008A6CB9"/>
    <w:rsid w:val="008A6DC1"/>
    <w:rsid w:val="008A7083"/>
    <w:rsid w:val="008A7100"/>
    <w:rsid w:val="008A7139"/>
    <w:rsid w:val="008A776D"/>
    <w:rsid w:val="008A7A0C"/>
    <w:rsid w:val="008A7C74"/>
    <w:rsid w:val="008B03BD"/>
    <w:rsid w:val="008B04C0"/>
    <w:rsid w:val="008B09E1"/>
    <w:rsid w:val="008B0A83"/>
    <w:rsid w:val="008B0DCF"/>
    <w:rsid w:val="008B0E93"/>
    <w:rsid w:val="008B0F76"/>
    <w:rsid w:val="008B0F8D"/>
    <w:rsid w:val="008B198D"/>
    <w:rsid w:val="008B23A8"/>
    <w:rsid w:val="008B29A4"/>
    <w:rsid w:val="008B2BB4"/>
    <w:rsid w:val="008B2C30"/>
    <w:rsid w:val="008B2C99"/>
    <w:rsid w:val="008B3C2B"/>
    <w:rsid w:val="008B4679"/>
    <w:rsid w:val="008B4D00"/>
    <w:rsid w:val="008B4D13"/>
    <w:rsid w:val="008B4E78"/>
    <w:rsid w:val="008B4FE2"/>
    <w:rsid w:val="008B5C3D"/>
    <w:rsid w:val="008B61A1"/>
    <w:rsid w:val="008B66D8"/>
    <w:rsid w:val="008B66EE"/>
    <w:rsid w:val="008B6793"/>
    <w:rsid w:val="008B6E87"/>
    <w:rsid w:val="008B75C2"/>
    <w:rsid w:val="008B787A"/>
    <w:rsid w:val="008C0978"/>
    <w:rsid w:val="008C0A89"/>
    <w:rsid w:val="008C0AA9"/>
    <w:rsid w:val="008C0E71"/>
    <w:rsid w:val="008C1852"/>
    <w:rsid w:val="008C1CD2"/>
    <w:rsid w:val="008C2CFF"/>
    <w:rsid w:val="008C2E1E"/>
    <w:rsid w:val="008C2E22"/>
    <w:rsid w:val="008C2ED2"/>
    <w:rsid w:val="008C3612"/>
    <w:rsid w:val="008C3D4D"/>
    <w:rsid w:val="008C4026"/>
    <w:rsid w:val="008C417E"/>
    <w:rsid w:val="008C4296"/>
    <w:rsid w:val="008C4E31"/>
    <w:rsid w:val="008C5B51"/>
    <w:rsid w:val="008C5F0A"/>
    <w:rsid w:val="008C6105"/>
    <w:rsid w:val="008C6124"/>
    <w:rsid w:val="008C6334"/>
    <w:rsid w:val="008C66BD"/>
    <w:rsid w:val="008C6968"/>
    <w:rsid w:val="008C742A"/>
    <w:rsid w:val="008C74C7"/>
    <w:rsid w:val="008C7714"/>
    <w:rsid w:val="008C7F4F"/>
    <w:rsid w:val="008D00F3"/>
    <w:rsid w:val="008D0241"/>
    <w:rsid w:val="008D0B34"/>
    <w:rsid w:val="008D0F27"/>
    <w:rsid w:val="008D11F0"/>
    <w:rsid w:val="008D15A2"/>
    <w:rsid w:val="008D18CD"/>
    <w:rsid w:val="008D1C80"/>
    <w:rsid w:val="008D1F86"/>
    <w:rsid w:val="008D20E0"/>
    <w:rsid w:val="008D2B6E"/>
    <w:rsid w:val="008D335C"/>
    <w:rsid w:val="008D35B7"/>
    <w:rsid w:val="008D4007"/>
    <w:rsid w:val="008D436A"/>
    <w:rsid w:val="008D461C"/>
    <w:rsid w:val="008D4C72"/>
    <w:rsid w:val="008D4CF8"/>
    <w:rsid w:val="008D5054"/>
    <w:rsid w:val="008D5246"/>
    <w:rsid w:val="008D5291"/>
    <w:rsid w:val="008D5368"/>
    <w:rsid w:val="008D561B"/>
    <w:rsid w:val="008D582B"/>
    <w:rsid w:val="008D5CF9"/>
    <w:rsid w:val="008D5D0A"/>
    <w:rsid w:val="008D6199"/>
    <w:rsid w:val="008D64B9"/>
    <w:rsid w:val="008D6794"/>
    <w:rsid w:val="008D7F65"/>
    <w:rsid w:val="008E0178"/>
    <w:rsid w:val="008E02F8"/>
    <w:rsid w:val="008E12AF"/>
    <w:rsid w:val="008E1342"/>
    <w:rsid w:val="008E1DC9"/>
    <w:rsid w:val="008E211C"/>
    <w:rsid w:val="008E28EC"/>
    <w:rsid w:val="008E2BB3"/>
    <w:rsid w:val="008E2BC5"/>
    <w:rsid w:val="008E2C79"/>
    <w:rsid w:val="008E3176"/>
    <w:rsid w:val="008E3564"/>
    <w:rsid w:val="008E3A0B"/>
    <w:rsid w:val="008E3A90"/>
    <w:rsid w:val="008E3AAB"/>
    <w:rsid w:val="008E3F34"/>
    <w:rsid w:val="008E4043"/>
    <w:rsid w:val="008E4520"/>
    <w:rsid w:val="008E54E8"/>
    <w:rsid w:val="008E5740"/>
    <w:rsid w:val="008E5868"/>
    <w:rsid w:val="008E59EE"/>
    <w:rsid w:val="008E5ADB"/>
    <w:rsid w:val="008E5DC8"/>
    <w:rsid w:val="008E6465"/>
    <w:rsid w:val="008E6C57"/>
    <w:rsid w:val="008E7082"/>
    <w:rsid w:val="008E72AF"/>
    <w:rsid w:val="008F0952"/>
    <w:rsid w:val="008F1154"/>
    <w:rsid w:val="008F1B84"/>
    <w:rsid w:val="008F1B9D"/>
    <w:rsid w:val="008F1DB6"/>
    <w:rsid w:val="008F3151"/>
    <w:rsid w:val="008F337C"/>
    <w:rsid w:val="008F39C0"/>
    <w:rsid w:val="008F39E4"/>
    <w:rsid w:val="008F4001"/>
    <w:rsid w:val="008F51F0"/>
    <w:rsid w:val="008F5633"/>
    <w:rsid w:val="008F57CD"/>
    <w:rsid w:val="008F5960"/>
    <w:rsid w:val="008F5CD0"/>
    <w:rsid w:val="008F629A"/>
    <w:rsid w:val="008F62B4"/>
    <w:rsid w:val="008F667F"/>
    <w:rsid w:val="008F6A9B"/>
    <w:rsid w:val="008F6F03"/>
    <w:rsid w:val="008F7603"/>
    <w:rsid w:val="008F769D"/>
    <w:rsid w:val="008F76B7"/>
    <w:rsid w:val="008F76DC"/>
    <w:rsid w:val="008F7D2F"/>
    <w:rsid w:val="008F7E68"/>
    <w:rsid w:val="009013C5"/>
    <w:rsid w:val="0090147B"/>
    <w:rsid w:val="00901649"/>
    <w:rsid w:val="00901CBA"/>
    <w:rsid w:val="00901DC6"/>
    <w:rsid w:val="009021DC"/>
    <w:rsid w:val="0090228B"/>
    <w:rsid w:val="00902EFD"/>
    <w:rsid w:val="00903026"/>
    <w:rsid w:val="0090357B"/>
    <w:rsid w:val="00903832"/>
    <w:rsid w:val="009042D0"/>
    <w:rsid w:val="009044BE"/>
    <w:rsid w:val="009048EB"/>
    <w:rsid w:val="00904913"/>
    <w:rsid w:val="00904C15"/>
    <w:rsid w:val="009050B3"/>
    <w:rsid w:val="00905298"/>
    <w:rsid w:val="00905945"/>
    <w:rsid w:val="00905FEB"/>
    <w:rsid w:val="00906164"/>
    <w:rsid w:val="00906252"/>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C09"/>
    <w:rsid w:val="00911D1C"/>
    <w:rsid w:val="00912336"/>
    <w:rsid w:val="00912F0B"/>
    <w:rsid w:val="00912F38"/>
    <w:rsid w:val="0091340D"/>
    <w:rsid w:val="00913C58"/>
    <w:rsid w:val="009140B4"/>
    <w:rsid w:val="00914174"/>
    <w:rsid w:val="0091428A"/>
    <w:rsid w:val="00914733"/>
    <w:rsid w:val="0091495E"/>
    <w:rsid w:val="00914AA5"/>
    <w:rsid w:val="00914EAF"/>
    <w:rsid w:val="00915428"/>
    <w:rsid w:val="009162DD"/>
    <w:rsid w:val="009163E7"/>
    <w:rsid w:val="0091670A"/>
    <w:rsid w:val="0091671A"/>
    <w:rsid w:val="009169F6"/>
    <w:rsid w:val="0091719D"/>
    <w:rsid w:val="00917903"/>
    <w:rsid w:val="00917BEA"/>
    <w:rsid w:val="00920189"/>
    <w:rsid w:val="00920203"/>
    <w:rsid w:val="00920997"/>
    <w:rsid w:val="00920B1E"/>
    <w:rsid w:val="00920DD5"/>
    <w:rsid w:val="00920E91"/>
    <w:rsid w:val="00921161"/>
    <w:rsid w:val="00922492"/>
    <w:rsid w:val="009224EB"/>
    <w:rsid w:val="0092272F"/>
    <w:rsid w:val="00922BE2"/>
    <w:rsid w:val="00922EDE"/>
    <w:rsid w:val="00923772"/>
    <w:rsid w:val="009237D9"/>
    <w:rsid w:val="0092406C"/>
    <w:rsid w:val="00924096"/>
    <w:rsid w:val="0092411C"/>
    <w:rsid w:val="009243BC"/>
    <w:rsid w:val="009244D5"/>
    <w:rsid w:val="0092523A"/>
    <w:rsid w:val="009252F1"/>
    <w:rsid w:val="00925588"/>
    <w:rsid w:val="00925733"/>
    <w:rsid w:val="00925AF5"/>
    <w:rsid w:val="00926268"/>
    <w:rsid w:val="009264A2"/>
    <w:rsid w:val="00926F0A"/>
    <w:rsid w:val="0092715D"/>
    <w:rsid w:val="00927299"/>
    <w:rsid w:val="00930632"/>
    <w:rsid w:val="009310BC"/>
    <w:rsid w:val="00931D3F"/>
    <w:rsid w:val="00931E52"/>
    <w:rsid w:val="009324C4"/>
    <w:rsid w:val="00932671"/>
    <w:rsid w:val="00932A7A"/>
    <w:rsid w:val="00932D26"/>
    <w:rsid w:val="009330BF"/>
    <w:rsid w:val="00933817"/>
    <w:rsid w:val="009340EB"/>
    <w:rsid w:val="009344B8"/>
    <w:rsid w:val="00934510"/>
    <w:rsid w:val="0093476C"/>
    <w:rsid w:val="00935A1E"/>
    <w:rsid w:val="00935AA3"/>
    <w:rsid w:val="00935B7C"/>
    <w:rsid w:val="00935E3A"/>
    <w:rsid w:val="00936005"/>
    <w:rsid w:val="0093607C"/>
    <w:rsid w:val="00940008"/>
    <w:rsid w:val="0094071C"/>
    <w:rsid w:val="00940FFA"/>
    <w:rsid w:val="00941010"/>
    <w:rsid w:val="0094143B"/>
    <w:rsid w:val="00941503"/>
    <w:rsid w:val="0094187D"/>
    <w:rsid w:val="009423ED"/>
    <w:rsid w:val="00942C90"/>
    <w:rsid w:val="00942F29"/>
    <w:rsid w:val="00942FB6"/>
    <w:rsid w:val="009430E1"/>
    <w:rsid w:val="009434EB"/>
    <w:rsid w:val="00943EA6"/>
    <w:rsid w:val="009443F2"/>
    <w:rsid w:val="009448F2"/>
    <w:rsid w:val="00944E81"/>
    <w:rsid w:val="009451E0"/>
    <w:rsid w:val="0094524B"/>
    <w:rsid w:val="00945591"/>
    <w:rsid w:val="009456E3"/>
    <w:rsid w:val="00945759"/>
    <w:rsid w:val="00945925"/>
    <w:rsid w:val="009466E9"/>
    <w:rsid w:val="00946CB3"/>
    <w:rsid w:val="00946D20"/>
    <w:rsid w:val="00946E51"/>
    <w:rsid w:val="0094732E"/>
    <w:rsid w:val="009473F4"/>
    <w:rsid w:val="0094767D"/>
    <w:rsid w:val="00950231"/>
    <w:rsid w:val="00950794"/>
    <w:rsid w:val="009507AA"/>
    <w:rsid w:val="009509EF"/>
    <w:rsid w:val="009515CA"/>
    <w:rsid w:val="00951691"/>
    <w:rsid w:val="00951FCE"/>
    <w:rsid w:val="009521CC"/>
    <w:rsid w:val="0095226C"/>
    <w:rsid w:val="0095269B"/>
    <w:rsid w:val="00952C05"/>
    <w:rsid w:val="00952D52"/>
    <w:rsid w:val="009533BB"/>
    <w:rsid w:val="009540B7"/>
    <w:rsid w:val="009543D0"/>
    <w:rsid w:val="0095462A"/>
    <w:rsid w:val="00954AF9"/>
    <w:rsid w:val="00954DAE"/>
    <w:rsid w:val="00955410"/>
    <w:rsid w:val="009558EE"/>
    <w:rsid w:val="009559D5"/>
    <w:rsid w:val="00955C17"/>
    <w:rsid w:val="00955C1F"/>
    <w:rsid w:val="00955FFA"/>
    <w:rsid w:val="00956170"/>
    <w:rsid w:val="009561F8"/>
    <w:rsid w:val="00956BA1"/>
    <w:rsid w:val="00956D42"/>
    <w:rsid w:val="00956F0F"/>
    <w:rsid w:val="0095727F"/>
    <w:rsid w:val="009572AF"/>
    <w:rsid w:val="00957E41"/>
    <w:rsid w:val="0096016E"/>
    <w:rsid w:val="0096023A"/>
    <w:rsid w:val="009607AB"/>
    <w:rsid w:val="00960B95"/>
    <w:rsid w:val="00961154"/>
    <w:rsid w:val="009615DB"/>
    <w:rsid w:val="00962683"/>
    <w:rsid w:val="00962ADC"/>
    <w:rsid w:val="00962E23"/>
    <w:rsid w:val="0096487C"/>
    <w:rsid w:val="00964BC2"/>
    <w:rsid w:val="00964D4A"/>
    <w:rsid w:val="00964EAE"/>
    <w:rsid w:val="00965023"/>
    <w:rsid w:val="009650B7"/>
    <w:rsid w:val="0096515D"/>
    <w:rsid w:val="0096554B"/>
    <w:rsid w:val="00965841"/>
    <w:rsid w:val="00966623"/>
    <w:rsid w:val="009678DB"/>
    <w:rsid w:val="00970728"/>
    <w:rsid w:val="009707C9"/>
    <w:rsid w:val="00971303"/>
    <w:rsid w:val="00971E0B"/>
    <w:rsid w:val="00972101"/>
    <w:rsid w:val="00972285"/>
    <w:rsid w:val="00972FB5"/>
    <w:rsid w:val="00973607"/>
    <w:rsid w:val="009736FE"/>
    <w:rsid w:val="00973B96"/>
    <w:rsid w:val="00973E3C"/>
    <w:rsid w:val="0097453A"/>
    <w:rsid w:val="00974763"/>
    <w:rsid w:val="00974766"/>
    <w:rsid w:val="009757CA"/>
    <w:rsid w:val="00976E76"/>
    <w:rsid w:val="00977A14"/>
    <w:rsid w:val="00977E9B"/>
    <w:rsid w:val="0098012C"/>
    <w:rsid w:val="009807BF"/>
    <w:rsid w:val="009809CE"/>
    <w:rsid w:val="0098131F"/>
    <w:rsid w:val="00981479"/>
    <w:rsid w:val="00981F74"/>
    <w:rsid w:val="0098237C"/>
    <w:rsid w:val="0098269D"/>
    <w:rsid w:val="009829B3"/>
    <w:rsid w:val="00982C31"/>
    <w:rsid w:val="00982D45"/>
    <w:rsid w:val="00983165"/>
    <w:rsid w:val="00983343"/>
    <w:rsid w:val="009833C4"/>
    <w:rsid w:val="009834E0"/>
    <w:rsid w:val="009838FF"/>
    <w:rsid w:val="00984149"/>
    <w:rsid w:val="00984788"/>
    <w:rsid w:val="00984909"/>
    <w:rsid w:val="00984FF3"/>
    <w:rsid w:val="00984FF9"/>
    <w:rsid w:val="009850C5"/>
    <w:rsid w:val="0098516C"/>
    <w:rsid w:val="00986326"/>
    <w:rsid w:val="00986849"/>
    <w:rsid w:val="00986BB7"/>
    <w:rsid w:val="00986D4B"/>
    <w:rsid w:val="00986F6D"/>
    <w:rsid w:val="0098727C"/>
    <w:rsid w:val="00987708"/>
    <w:rsid w:val="00987DF0"/>
    <w:rsid w:val="00987E2E"/>
    <w:rsid w:val="0099008B"/>
    <w:rsid w:val="00990387"/>
    <w:rsid w:val="0099177B"/>
    <w:rsid w:val="00991B8C"/>
    <w:rsid w:val="0099367E"/>
    <w:rsid w:val="00993FE4"/>
    <w:rsid w:val="0099425E"/>
    <w:rsid w:val="00994CDC"/>
    <w:rsid w:val="009969CD"/>
    <w:rsid w:val="0099770A"/>
    <w:rsid w:val="00997769"/>
    <w:rsid w:val="00997A2E"/>
    <w:rsid w:val="009A0204"/>
    <w:rsid w:val="009A048E"/>
    <w:rsid w:val="009A119F"/>
    <w:rsid w:val="009A1609"/>
    <w:rsid w:val="009A16A3"/>
    <w:rsid w:val="009A1A7E"/>
    <w:rsid w:val="009A3480"/>
    <w:rsid w:val="009A3DB8"/>
    <w:rsid w:val="009A43B3"/>
    <w:rsid w:val="009A464D"/>
    <w:rsid w:val="009A496F"/>
    <w:rsid w:val="009A4B78"/>
    <w:rsid w:val="009A4D73"/>
    <w:rsid w:val="009A4E41"/>
    <w:rsid w:val="009A5297"/>
    <w:rsid w:val="009A5438"/>
    <w:rsid w:val="009A5851"/>
    <w:rsid w:val="009A5C0C"/>
    <w:rsid w:val="009A5D40"/>
    <w:rsid w:val="009A5E10"/>
    <w:rsid w:val="009A6665"/>
    <w:rsid w:val="009A743F"/>
    <w:rsid w:val="009A74F7"/>
    <w:rsid w:val="009B00F2"/>
    <w:rsid w:val="009B0E67"/>
    <w:rsid w:val="009B0FB2"/>
    <w:rsid w:val="009B1113"/>
    <w:rsid w:val="009B1C34"/>
    <w:rsid w:val="009B1D22"/>
    <w:rsid w:val="009B1E86"/>
    <w:rsid w:val="009B1EB2"/>
    <w:rsid w:val="009B25FB"/>
    <w:rsid w:val="009B27C4"/>
    <w:rsid w:val="009B2BE6"/>
    <w:rsid w:val="009B2D92"/>
    <w:rsid w:val="009B31DE"/>
    <w:rsid w:val="009B3250"/>
    <w:rsid w:val="009B35A6"/>
    <w:rsid w:val="009B42A4"/>
    <w:rsid w:val="009B42D2"/>
    <w:rsid w:val="009B44D0"/>
    <w:rsid w:val="009B4A06"/>
    <w:rsid w:val="009B5FD5"/>
    <w:rsid w:val="009B60EA"/>
    <w:rsid w:val="009B70C8"/>
    <w:rsid w:val="009B737C"/>
    <w:rsid w:val="009B742E"/>
    <w:rsid w:val="009C090B"/>
    <w:rsid w:val="009C0AC6"/>
    <w:rsid w:val="009C11B2"/>
    <w:rsid w:val="009C1456"/>
    <w:rsid w:val="009C164F"/>
    <w:rsid w:val="009C1C30"/>
    <w:rsid w:val="009C22DD"/>
    <w:rsid w:val="009C29D5"/>
    <w:rsid w:val="009C30A0"/>
    <w:rsid w:val="009C359E"/>
    <w:rsid w:val="009C37FE"/>
    <w:rsid w:val="009C4082"/>
    <w:rsid w:val="009C4A38"/>
    <w:rsid w:val="009C4A72"/>
    <w:rsid w:val="009C4AD8"/>
    <w:rsid w:val="009C4D3D"/>
    <w:rsid w:val="009C529D"/>
    <w:rsid w:val="009C55E2"/>
    <w:rsid w:val="009C5767"/>
    <w:rsid w:val="009C5A4E"/>
    <w:rsid w:val="009C5EE5"/>
    <w:rsid w:val="009C61E3"/>
    <w:rsid w:val="009C6B56"/>
    <w:rsid w:val="009C6C52"/>
    <w:rsid w:val="009C7DB8"/>
    <w:rsid w:val="009C7FF0"/>
    <w:rsid w:val="009D010D"/>
    <w:rsid w:val="009D0244"/>
    <w:rsid w:val="009D0F71"/>
    <w:rsid w:val="009D1039"/>
    <w:rsid w:val="009D111C"/>
    <w:rsid w:val="009D17A0"/>
    <w:rsid w:val="009D1F7A"/>
    <w:rsid w:val="009D2873"/>
    <w:rsid w:val="009D2942"/>
    <w:rsid w:val="009D2BB8"/>
    <w:rsid w:val="009D3A1A"/>
    <w:rsid w:val="009D426A"/>
    <w:rsid w:val="009D4DDF"/>
    <w:rsid w:val="009D5BDB"/>
    <w:rsid w:val="009D6B03"/>
    <w:rsid w:val="009D6B3D"/>
    <w:rsid w:val="009D7422"/>
    <w:rsid w:val="009D78E7"/>
    <w:rsid w:val="009D7DBD"/>
    <w:rsid w:val="009E0742"/>
    <w:rsid w:val="009E0B29"/>
    <w:rsid w:val="009E1291"/>
    <w:rsid w:val="009E12BC"/>
    <w:rsid w:val="009E139D"/>
    <w:rsid w:val="009E224D"/>
    <w:rsid w:val="009E26D5"/>
    <w:rsid w:val="009E2A07"/>
    <w:rsid w:val="009E3398"/>
    <w:rsid w:val="009E3577"/>
    <w:rsid w:val="009E37A5"/>
    <w:rsid w:val="009E395B"/>
    <w:rsid w:val="009E3D2B"/>
    <w:rsid w:val="009E3DC2"/>
    <w:rsid w:val="009E3E84"/>
    <w:rsid w:val="009E4053"/>
    <w:rsid w:val="009E4097"/>
    <w:rsid w:val="009E4186"/>
    <w:rsid w:val="009E4664"/>
    <w:rsid w:val="009E4D8E"/>
    <w:rsid w:val="009E4E90"/>
    <w:rsid w:val="009E4EB7"/>
    <w:rsid w:val="009E57C1"/>
    <w:rsid w:val="009E624A"/>
    <w:rsid w:val="009E6B32"/>
    <w:rsid w:val="009E7039"/>
    <w:rsid w:val="009E70F3"/>
    <w:rsid w:val="009E7E98"/>
    <w:rsid w:val="009F00EE"/>
    <w:rsid w:val="009F0827"/>
    <w:rsid w:val="009F0BED"/>
    <w:rsid w:val="009F1673"/>
    <w:rsid w:val="009F3255"/>
    <w:rsid w:val="009F341D"/>
    <w:rsid w:val="009F34AA"/>
    <w:rsid w:val="009F3DCE"/>
    <w:rsid w:val="009F44FF"/>
    <w:rsid w:val="009F46E8"/>
    <w:rsid w:val="009F472D"/>
    <w:rsid w:val="009F4CF0"/>
    <w:rsid w:val="009F4E88"/>
    <w:rsid w:val="009F50D1"/>
    <w:rsid w:val="009F573B"/>
    <w:rsid w:val="009F5918"/>
    <w:rsid w:val="009F596D"/>
    <w:rsid w:val="009F60CA"/>
    <w:rsid w:val="009F6A91"/>
    <w:rsid w:val="009F71A6"/>
    <w:rsid w:val="009F71AA"/>
    <w:rsid w:val="009F754A"/>
    <w:rsid w:val="009F791F"/>
    <w:rsid w:val="009F7F86"/>
    <w:rsid w:val="00A0034D"/>
    <w:rsid w:val="00A00BFB"/>
    <w:rsid w:val="00A00DCF"/>
    <w:rsid w:val="00A0126C"/>
    <w:rsid w:val="00A012DA"/>
    <w:rsid w:val="00A0187E"/>
    <w:rsid w:val="00A026F0"/>
    <w:rsid w:val="00A02F2D"/>
    <w:rsid w:val="00A02F61"/>
    <w:rsid w:val="00A0333A"/>
    <w:rsid w:val="00A03529"/>
    <w:rsid w:val="00A03E0E"/>
    <w:rsid w:val="00A03F6E"/>
    <w:rsid w:val="00A040D1"/>
    <w:rsid w:val="00A044B7"/>
    <w:rsid w:val="00A04A0A"/>
    <w:rsid w:val="00A050A8"/>
    <w:rsid w:val="00A056A3"/>
    <w:rsid w:val="00A059AF"/>
    <w:rsid w:val="00A05B51"/>
    <w:rsid w:val="00A06286"/>
    <w:rsid w:val="00A06318"/>
    <w:rsid w:val="00A063BC"/>
    <w:rsid w:val="00A068E1"/>
    <w:rsid w:val="00A06A80"/>
    <w:rsid w:val="00A06CAC"/>
    <w:rsid w:val="00A06D8A"/>
    <w:rsid w:val="00A0711F"/>
    <w:rsid w:val="00A07B0B"/>
    <w:rsid w:val="00A100E4"/>
    <w:rsid w:val="00A102A0"/>
    <w:rsid w:val="00A10860"/>
    <w:rsid w:val="00A114FA"/>
    <w:rsid w:val="00A11AF3"/>
    <w:rsid w:val="00A12ACF"/>
    <w:rsid w:val="00A12B42"/>
    <w:rsid w:val="00A12BD4"/>
    <w:rsid w:val="00A12C09"/>
    <w:rsid w:val="00A13084"/>
    <w:rsid w:val="00A1327F"/>
    <w:rsid w:val="00A13817"/>
    <w:rsid w:val="00A138D3"/>
    <w:rsid w:val="00A13E0F"/>
    <w:rsid w:val="00A144B7"/>
    <w:rsid w:val="00A14535"/>
    <w:rsid w:val="00A149B4"/>
    <w:rsid w:val="00A14BA0"/>
    <w:rsid w:val="00A14FF0"/>
    <w:rsid w:val="00A152D3"/>
    <w:rsid w:val="00A15F4F"/>
    <w:rsid w:val="00A160AB"/>
    <w:rsid w:val="00A1611C"/>
    <w:rsid w:val="00A16745"/>
    <w:rsid w:val="00A16747"/>
    <w:rsid w:val="00A17E93"/>
    <w:rsid w:val="00A17F7F"/>
    <w:rsid w:val="00A20013"/>
    <w:rsid w:val="00A2056F"/>
    <w:rsid w:val="00A20582"/>
    <w:rsid w:val="00A20C65"/>
    <w:rsid w:val="00A21767"/>
    <w:rsid w:val="00A21FD5"/>
    <w:rsid w:val="00A22751"/>
    <w:rsid w:val="00A22940"/>
    <w:rsid w:val="00A23102"/>
    <w:rsid w:val="00A233D8"/>
    <w:rsid w:val="00A2343F"/>
    <w:rsid w:val="00A23505"/>
    <w:rsid w:val="00A23A42"/>
    <w:rsid w:val="00A2428B"/>
    <w:rsid w:val="00A247E5"/>
    <w:rsid w:val="00A248BD"/>
    <w:rsid w:val="00A24D81"/>
    <w:rsid w:val="00A24EA5"/>
    <w:rsid w:val="00A25173"/>
    <w:rsid w:val="00A252F0"/>
    <w:rsid w:val="00A259F2"/>
    <w:rsid w:val="00A26463"/>
    <w:rsid w:val="00A2660E"/>
    <w:rsid w:val="00A26916"/>
    <w:rsid w:val="00A26B47"/>
    <w:rsid w:val="00A26FF1"/>
    <w:rsid w:val="00A27547"/>
    <w:rsid w:val="00A2770B"/>
    <w:rsid w:val="00A27806"/>
    <w:rsid w:val="00A30181"/>
    <w:rsid w:val="00A305A3"/>
    <w:rsid w:val="00A3068C"/>
    <w:rsid w:val="00A306A2"/>
    <w:rsid w:val="00A3127F"/>
    <w:rsid w:val="00A31498"/>
    <w:rsid w:val="00A315BC"/>
    <w:rsid w:val="00A31922"/>
    <w:rsid w:val="00A31BCC"/>
    <w:rsid w:val="00A31C70"/>
    <w:rsid w:val="00A31C87"/>
    <w:rsid w:val="00A325BB"/>
    <w:rsid w:val="00A3297A"/>
    <w:rsid w:val="00A32A58"/>
    <w:rsid w:val="00A32EEC"/>
    <w:rsid w:val="00A336C5"/>
    <w:rsid w:val="00A33782"/>
    <w:rsid w:val="00A339D9"/>
    <w:rsid w:val="00A33BD6"/>
    <w:rsid w:val="00A34A06"/>
    <w:rsid w:val="00A3510A"/>
    <w:rsid w:val="00A3515F"/>
    <w:rsid w:val="00A35751"/>
    <w:rsid w:val="00A3577F"/>
    <w:rsid w:val="00A35BBC"/>
    <w:rsid w:val="00A35DAB"/>
    <w:rsid w:val="00A360E2"/>
    <w:rsid w:val="00A36724"/>
    <w:rsid w:val="00A367AF"/>
    <w:rsid w:val="00A36C13"/>
    <w:rsid w:val="00A377C2"/>
    <w:rsid w:val="00A37A31"/>
    <w:rsid w:val="00A37C56"/>
    <w:rsid w:val="00A40B1F"/>
    <w:rsid w:val="00A40B4D"/>
    <w:rsid w:val="00A40C0C"/>
    <w:rsid w:val="00A411E2"/>
    <w:rsid w:val="00A41373"/>
    <w:rsid w:val="00A41638"/>
    <w:rsid w:val="00A41B15"/>
    <w:rsid w:val="00A4224E"/>
    <w:rsid w:val="00A4229F"/>
    <w:rsid w:val="00A428A9"/>
    <w:rsid w:val="00A42ACA"/>
    <w:rsid w:val="00A4327C"/>
    <w:rsid w:val="00A43496"/>
    <w:rsid w:val="00A43665"/>
    <w:rsid w:val="00A4399A"/>
    <w:rsid w:val="00A43AAB"/>
    <w:rsid w:val="00A43AFE"/>
    <w:rsid w:val="00A441CC"/>
    <w:rsid w:val="00A447E3"/>
    <w:rsid w:val="00A44AAD"/>
    <w:rsid w:val="00A44D3B"/>
    <w:rsid w:val="00A45241"/>
    <w:rsid w:val="00A45280"/>
    <w:rsid w:val="00A452B8"/>
    <w:rsid w:val="00A45BF7"/>
    <w:rsid w:val="00A463B5"/>
    <w:rsid w:val="00A463BA"/>
    <w:rsid w:val="00A46675"/>
    <w:rsid w:val="00A46A5F"/>
    <w:rsid w:val="00A471A3"/>
    <w:rsid w:val="00A47597"/>
    <w:rsid w:val="00A47E44"/>
    <w:rsid w:val="00A47F91"/>
    <w:rsid w:val="00A5009D"/>
    <w:rsid w:val="00A507D7"/>
    <w:rsid w:val="00A50A5C"/>
    <w:rsid w:val="00A50BE2"/>
    <w:rsid w:val="00A50CC6"/>
    <w:rsid w:val="00A50E40"/>
    <w:rsid w:val="00A51462"/>
    <w:rsid w:val="00A51869"/>
    <w:rsid w:val="00A51946"/>
    <w:rsid w:val="00A51FF7"/>
    <w:rsid w:val="00A52079"/>
    <w:rsid w:val="00A52143"/>
    <w:rsid w:val="00A521E9"/>
    <w:rsid w:val="00A5298E"/>
    <w:rsid w:val="00A52B3E"/>
    <w:rsid w:val="00A5313B"/>
    <w:rsid w:val="00A5320E"/>
    <w:rsid w:val="00A53F7B"/>
    <w:rsid w:val="00A54090"/>
    <w:rsid w:val="00A541F3"/>
    <w:rsid w:val="00A54282"/>
    <w:rsid w:val="00A549D3"/>
    <w:rsid w:val="00A54DF0"/>
    <w:rsid w:val="00A568E9"/>
    <w:rsid w:val="00A57E98"/>
    <w:rsid w:val="00A60017"/>
    <w:rsid w:val="00A60849"/>
    <w:rsid w:val="00A6105B"/>
    <w:rsid w:val="00A61355"/>
    <w:rsid w:val="00A61668"/>
    <w:rsid w:val="00A621D3"/>
    <w:rsid w:val="00A628F8"/>
    <w:rsid w:val="00A62B7A"/>
    <w:rsid w:val="00A631A1"/>
    <w:rsid w:val="00A632EA"/>
    <w:rsid w:val="00A6339D"/>
    <w:rsid w:val="00A634BE"/>
    <w:rsid w:val="00A63AD7"/>
    <w:rsid w:val="00A63BFD"/>
    <w:rsid w:val="00A63E61"/>
    <w:rsid w:val="00A6491F"/>
    <w:rsid w:val="00A64A9E"/>
    <w:rsid w:val="00A64C72"/>
    <w:rsid w:val="00A64D1A"/>
    <w:rsid w:val="00A65320"/>
    <w:rsid w:val="00A65BA5"/>
    <w:rsid w:val="00A66354"/>
    <w:rsid w:val="00A66E37"/>
    <w:rsid w:val="00A66ECF"/>
    <w:rsid w:val="00A67681"/>
    <w:rsid w:val="00A67E38"/>
    <w:rsid w:val="00A703E4"/>
    <w:rsid w:val="00A704C9"/>
    <w:rsid w:val="00A70DC6"/>
    <w:rsid w:val="00A71080"/>
    <w:rsid w:val="00A71986"/>
    <w:rsid w:val="00A71E3D"/>
    <w:rsid w:val="00A71E73"/>
    <w:rsid w:val="00A72740"/>
    <w:rsid w:val="00A73A64"/>
    <w:rsid w:val="00A742AD"/>
    <w:rsid w:val="00A746D7"/>
    <w:rsid w:val="00A74AB2"/>
    <w:rsid w:val="00A74E25"/>
    <w:rsid w:val="00A75A27"/>
    <w:rsid w:val="00A75A46"/>
    <w:rsid w:val="00A75B36"/>
    <w:rsid w:val="00A7623B"/>
    <w:rsid w:val="00A7660A"/>
    <w:rsid w:val="00A7663A"/>
    <w:rsid w:val="00A7696B"/>
    <w:rsid w:val="00A769D4"/>
    <w:rsid w:val="00A76A9C"/>
    <w:rsid w:val="00A777AE"/>
    <w:rsid w:val="00A8008F"/>
    <w:rsid w:val="00A804C7"/>
    <w:rsid w:val="00A80857"/>
    <w:rsid w:val="00A80A39"/>
    <w:rsid w:val="00A80DF0"/>
    <w:rsid w:val="00A80E64"/>
    <w:rsid w:val="00A81A16"/>
    <w:rsid w:val="00A823A7"/>
    <w:rsid w:val="00A824D4"/>
    <w:rsid w:val="00A825C8"/>
    <w:rsid w:val="00A82742"/>
    <w:rsid w:val="00A82A29"/>
    <w:rsid w:val="00A83984"/>
    <w:rsid w:val="00A83A1E"/>
    <w:rsid w:val="00A84198"/>
    <w:rsid w:val="00A841AB"/>
    <w:rsid w:val="00A84FFD"/>
    <w:rsid w:val="00A86104"/>
    <w:rsid w:val="00A8655A"/>
    <w:rsid w:val="00A86B5D"/>
    <w:rsid w:val="00A87203"/>
    <w:rsid w:val="00A87744"/>
    <w:rsid w:val="00A87AE6"/>
    <w:rsid w:val="00A87B09"/>
    <w:rsid w:val="00A87C22"/>
    <w:rsid w:val="00A90590"/>
    <w:rsid w:val="00A90A97"/>
    <w:rsid w:val="00A90CB4"/>
    <w:rsid w:val="00A910DA"/>
    <w:rsid w:val="00A920E1"/>
    <w:rsid w:val="00A92998"/>
    <w:rsid w:val="00A933AE"/>
    <w:rsid w:val="00A93863"/>
    <w:rsid w:val="00A93928"/>
    <w:rsid w:val="00A93F73"/>
    <w:rsid w:val="00A9415E"/>
    <w:rsid w:val="00A9423F"/>
    <w:rsid w:val="00A94EBD"/>
    <w:rsid w:val="00A9510D"/>
    <w:rsid w:val="00A95580"/>
    <w:rsid w:val="00A956AC"/>
    <w:rsid w:val="00A95D2A"/>
    <w:rsid w:val="00A961D6"/>
    <w:rsid w:val="00A96214"/>
    <w:rsid w:val="00A967E8"/>
    <w:rsid w:val="00A97F4B"/>
    <w:rsid w:val="00AA04C5"/>
    <w:rsid w:val="00AA10B1"/>
    <w:rsid w:val="00AA2657"/>
    <w:rsid w:val="00AA2803"/>
    <w:rsid w:val="00AA2BF2"/>
    <w:rsid w:val="00AA2D68"/>
    <w:rsid w:val="00AA2D6F"/>
    <w:rsid w:val="00AA2E92"/>
    <w:rsid w:val="00AA3987"/>
    <w:rsid w:val="00AA3B68"/>
    <w:rsid w:val="00AA3E79"/>
    <w:rsid w:val="00AA4E59"/>
    <w:rsid w:val="00AA4FB4"/>
    <w:rsid w:val="00AA5C0B"/>
    <w:rsid w:val="00AA5E3B"/>
    <w:rsid w:val="00AA6225"/>
    <w:rsid w:val="00AA63AD"/>
    <w:rsid w:val="00AA65B4"/>
    <w:rsid w:val="00AA6A75"/>
    <w:rsid w:val="00AA745E"/>
    <w:rsid w:val="00AB04AB"/>
    <w:rsid w:val="00AB0733"/>
    <w:rsid w:val="00AB09D2"/>
    <w:rsid w:val="00AB0B64"/>
    <w:rsid w:val="00AB0C30"/>
    <w:rsid w:val="00AB176B"/>
    <w:rsid w:val="00AB2C5F"/>
    <w:rsid w:val="00AB37E6"/>
    <w:rsid w:val="00AB3DBA"/>
    <w:rsid w:val="00AB431C"/>
    <w:rsid w:val="00AB470E"/>
    <w:rsid w:val="00AB4C80"/>
    <w:rsid w:val="00AB506B"/>
    <w:rsid w:val="00AB5467"/>
    <w:rsid w:val="00AB5883"/>
    <w:rsid w:val="00AB5A7E"/>
    <w:rsid w:val="00AB7538"/>
    <w:rsid w:val="00AB77F3"/>
    <w:rsid w:val="00AC0256"/>
    <w:rsid w:val="00AC0AAD"/>
    <w:rsid w:val="00AC0FA5"/>
    <w:rsid w:val="00AC1231"/>
    <w:rsid w:val="00AC1992"/>
    <w:rsid w:val="00AC1E14"/>
    <w:rsid w:val="00AC2CFA"/>
    <w:rsid w:val="00AC3263"/>
    <w:rsid w:val="00AC337E"/>
    <w:rsid w:val="00AC3E12"/>
    <w:rsid w:val="00AC406E"/>
    <w:rsid w:val="00AC417C"/>
    <w:rsid w:val="00AC430C"/>
    <w:rsid w:val="00AC4951"/>
    <w:rsid w:val="00AC4985"/>
    <w:rsid w:val="00AC49C9"/>
    <w:rsid w:val="00AC4A6B"/>
    <w:rsid w:val="00AC5C19"/>
    <w:rsid w:val="00AC60F0"/>
    <w:rsid w:val="00AC63C7"/>
    <w:rsid w:val="00AC6657"/>
    <w:rsid w:val="00AC6D7A"/>
    <w:rsid w:val="00AC7363"/>
    <w:rsid w:val="00AC7401"/>
    <w:rsid w:val="00AC7901"/>
    <w:rsid w:val="00AC79F3"/>
    <w:rsid w:val="00AC7FDD"/>
    <w:rsid w:val="00AD0949"/>
    <w:rsid w:val="00AD0F1D"/>
    <w:rsid w:val="00AD1179"/>
    <w:rsid w:val="00AD1359"/>
    <w:rsid w:val="00AD1516"/>
    <w:rsid w:val="00AD19F0"/>
    <w:rsid w:val="00AD1FCE"/>
    <w:rsid w:val="00AD26E1"/>
    <w:rsid w:val="00AD29CC"/>
    <w:rsid w:val="00AD3268"/>
    <w:rsid w:val="00AD3652"/>
    <w:rsid w:val="00AD3DE2"/>
    <w:rsid w:val="00AD4261"/>
    <w:rsid w:val="00AD46F5"/>
    <w:rsid w:val="00AD51A3"/>
    <w:rsid w:val="00AD598B"/>
    <w:rsid w:val="00AD5AC5"/>
    <w:rsid w:val="00AD7154"/>
    <w:rsid w:val="00AD71A6"/>
    <w:rsid w:val="00AD797D"/>
    <w:rsid w:val="00AD7E02"/>
    <w:rsid w:val="00AE0034"/>
    <w:rsid w:val="00AE02F4"/>
    <w:rsid w:val="00AE0483"/>
    <w:rsid w:val="00AE08DD"/>
    <w:rsid w:val="00AE10B3"/>
    <w:rsid w:val="00AE124F"/>
    <w:rsid w:val="00AE13BD"/>
    <w:rsid w:val="00AE1ABF"/>
    <w:rsid w:val="00AE1AF9"/>
    <w:rsid w:val="00AE1E60"/>
    <w:rsid w:val="00AE2068"/>
    <w:rsid w:val="00AE2258"/>
    <w:rsid w:val="00AE277E"/>
    <w:rsid w:val="00AE2A36"/>
    <w:rsid w:val="00AE2BC6"/>
    <w:rsid w:val="00AE3251"/>
    <w:rsid w:val="00AE33DA"/>
    <w:rsid w:val="00AE3FE0"/>
    <w:rsid w:val="00AE5058"/>
    <w:rsid w:val="00AE51CD"/>
    <w:rsid w:val="00AE5471"/>
    <w:rsid w:val="00AE54AA"/>
    <w:rsid w:val="00AE60E4"/>
    <w:rsid w:val="00AE6872"/>
    <w:rsid w:val="00AE6C58"/>
    <w:rsid w:val="00AE72C4"/>
    <w:rsid w:val="00AE7F05"/>
    <w:rsid w:val="00AE7F38"/>
    <w:rsid w:val="00AF054D"/>
    <w:rsid w:val="00AF0939"/>
    <w:rsid w:val="00AF0981"/>
    <w:rsid w:val="00AF0F9C"/>
    <w:rsid w:val="00AF10F0"/>
    <w:rsid w:val="00AF18E2"/>
    <w:rsid w:val="00AF24E7"/>
    <w:rsid w:val="00AF272B"/>
    <w:rsid w:val="00AF291B"/>
    <w:rsid w:val="00AF2DAA"/>
    <w:rsid w:val="00AF2EBD"/>
    <w:rsid w:val="00AF33AE"/>
    <w:rsid w:val="00AF3CDC"/>
    <w:rsid w:val="00AF44B1"/>
    <w:rsid w:val="00AF5800"/>
    <w:rsid w:val="00AF5C18"/>
    <w:rsid w:val="00AF6986"/>
    <w:rsid w:val="00AF69FE"/>
    <w:rsid w:val="00AF6A77"/>
    <w:rsid w:val="00AF6D1B"/>
    <w:rsid w:val="00AF73ED"/>
    <w:rsid w:val="00AF7D69"/>
    <w:rsid w:val="00AF7ED2"/>
    <w:rsid w:val="00B004D8"/>
    <w:rsid w:val="00B007D8"/>
    <w:rsid w:val="00B00830"/>
    <w:rsid w:val="00B00CC5"/>
    <w:rsid w:val="00B016D2"/>
    <w:rsid w:val="00B02091"/>
    <w:rsid w:val="00B0250E"/>
    <w:rsid w:val="00B02B43"/>
    <w:rsid w:val="00B03697"/>
    <w:rsid w:val="00B03D36"/>
    <w:rsid w:val="00B04540"/>
    <w:rsid w:val="00B046F1"/>
    <w:rsid w:val="00B05116"/>
    <w:rsid w:val="00B051A7"/>
    <w:rsid w:val="00B05F1A"/>
    <w:rsid w:val="00B07B33"/>
    <w:rsid w:val="00B07BB0"/>
    <w:rsid w:val="00B07FA2"/>
    <w:rsid w:val="00B100CF"/>
    <w:rsid w:val="00B1074F"/>
    <w:rsid w:val="00B10E82"/>
    <w:rsid w:val="00B111A6"/>
    <w:rsid w:val="00B115E5"/>
    <w:rsid w:val="00B118EE"/>
    <w:rsid w:val="00B11B03"/>
    <w:rsid w:val="00B11C5B"/>
    <w:rsid w:val="00B121CD"/>
    <w:rsid w:val="00B12343"/>
    <w:rsid w:val="00B12529"/>
    <w:rsid w:val="00B128C5"/>
    <w:rsid w:val="00B12B11"/>
    <w:rsid w:val="00B12C94"/>
    <w:rsid w:val="00B1313C"/>
    <w:rsid w:val="00B135AB"/>
    <w:rsid w:val="00B13797"/>
    <w:rsid w:val="00B137BF"/>
    <w:rsid w:val="00B13A1B"/>
    <w:rsid w:val="00B13A76"/>
    <w:rsid w:val="00B142D9"/>
    <w:rsid w:val="00B145D5"/>
    <w:rsid w:val="00B14BC4"/>
    <w:rsid w:val="00B158A3"/>
    <w:rsid w:val="00B15B25"/>
    <w:rsid w:val="00B15C36"/>
    <w:rsid w:val="00B15EA0"/>
    <w:rsid w:val="00B16069"/>
    <w:rsid w:val="00B16940"/>
    <w:rsid w:val="00B1745A"/>
    <w:rsid w:val="00B17785"/>
    <w:rsid w:val="00B17A4E"/>
    <w:rsid w:val="00B17B30"/>
    <w:rsid w:val="00B17C2F"/>
    <w:rsid w:val="00B2153E"/>
    <w:rsid w:val="00B218CB"/>
    <w:rsid w:val="00B21FA7"/>
    <w:rsid w:val="00B22022"/>
    <w:rsid w:val="00B225E4"/>
    <w:rsid w:val="00B23223"/>
    <w:rsid w:val="00B2335B"/>
    <w:rsid w:val="00B23F7A"/>
    <w:rsid w:val="00B240B1"/>
    <w:rsid w:val="00B24208"/>
    <w:rsid w:val="00B24374"/>
    <w:rsid w:val="00B24728"/>
    <w:rsid w:val="00B248A9"/>
    <w:rsid w:val="00B2490A"/>
    <w:rsid w:val="00B24BE3"/>
    <w:rsid w:val="00B24D28"/>
    <w:rsid w:val="00B24F1C"/>
    <w:rsid w:val="00B25D76"/>
    <w:rsid w:val="00B27032"/>
    <w:rsid w:val="00B27085"/>
    <w:rsid w:val="00B27583"/>
    <w:rsid w:val="00B30003"/>
    <w:rsid w:val="00B3015C"/>
    <w:rsid w:val="00B30642"/>
    <w:rsid w:val="00B31201"/>
    <w:rsid w:val="00B315D2"/>
    <w:rsid w:val="00B31B4B"/>
    <w:rsid w:val="00B31E36"/>
    <w:rsid w:val="00B3258F"/>
    <w:rsid w:val="00B32E26"/>
    <w:rsid w:val="00B338B7"/>
    <w:rsid w:val="00B33E98"/>
    <w:rsid w:val="00B34061"/>
    <w:rsid w:val="00B34376"/>
    <w:rsid w:val="00B3440A"/>
    <w:rsid w:val="00B34441"/>
    <w:rsid w:val="00B35533"/>
    <w:rsid w:val="00B35534"/>
    <w:rsid w:val="00B35A87"/>
    <w:rsid w:val="00B35AFD"/>
    <w:rsid w:val="00B35F9A"/>
    <w:rsid w:val="00B3609C"/>
    <w:rsid w:val="00B36236"/>
    <w:rsid w:val="00B3662E"/>
    <w:rsid w:val="00B36645"/>
    <w:rsid w:val="00B366D2"/>
    <w:rsid w:val="00B366FA"/>
    <w:rsid w:val="00B36E86"/>
    <w:rsid w:val="00B379BA"/>
    <w:rsid w:val="00B408FC"/>
    <w:rsid w:val="00B40B30"/>
    <w:rsid w:val="00B40E47"/>
    <w:rsid w:val="00B412FD"/>
    <w:rsid w:val="00B41E1C"/>
    <w:rsid w:val="00B422BE"/>
    <w:rsid w:val="00B4241D"/>
    <w:rsid w:val="00B426BB"/>
    <w:rsid w:val="00B42EB9"/>
    <w:rsid w:val="00B436F0"/>
    <w:rsid w:val="00B441FE"/>
    <w:rsid w:val="00B44821"/>
    <w:rsid w:val="00B44AD3"/>
    <w:rsid w:val="00B44B82"/>
    <w:rsid w:val="00B450EB"/>
    <w:rsid w:val="00B45152"/>
    <w:rsid w:val="00B454DD"/>
    <w:rsid w:val="00B45E54"/>
    <w:rsid w:val="00B460B8"/>
    <w:rsid w:val="00B464E4"/>
    <w:rsid w:val="00B4689A"/>
    <w:rsid w:val="00B46D5F"/>
    <w:rsid w:val="00B46E7B"/>
    <w:rsid w:val="00B47006"/>
    <w:rsid w:val="00B47DC5"/>
    <w:rsid w:val="00B50395"/>
    <w:rsid w:val="00B505B3"/>
    <w:rsid w:val="00B50882"/>
    <w:rsid w:val="00B50A74"/>
    <w:rsid w:val="00B5199C"/>
    <w:rsid w:val="00B520A0"/>
    <w:rsid w:val="00B5257E"/>
    <w:rsid w:val="00B525CE"/>
    <w:rsid w:val="00B52CFD"/>
    <w:rsid w:val="00B545A8"/>
    <w:rsid w:val="00B54CAE"/>
    <w:rsid w:val="00B55782"/>
    <w:rsid w:val="00B55AD4"/>
    <w:rsid w:val="00B56527"/>
    <w:rsid w:val="00B56706"/>
    <w:rsid w:val="00B57019"/>
    <w:rsid w:val="00B576DA"/>
    <w:rsid w:val="00B57710"/>
    <w:rsid w:val="00B601C9"/>
    <w:rsid w:val="00B60D04"/>
    <w:rsid w:val="00B6158F"/>
    <w:rsid w:val="00B61EE8"/>
    <w:rsid w:val="00B633A3"/>
    <w:rsid w:val="00B63533"/>
    <w:rsid w:val="00B63BDB"/>
    <w:rsid w:val="00B64A0E"/>
    <w:rsid w:val="00B64DDF"/>
    <w:rsid w:val="00B6558F"/>
    <w:rsid w:val="00B6601E"/>
    <w:rsid w:val="00B663AA"/>
    <w:rsid w:val="00B66DD5"/>
    <w:rsid w:val="00B67722"/>
    <w:rsid w:val="00B67B97"/>
    <w:rsid w:val="00B67F01"/>
    <w:rsid w:val="00B70329"/>
    <w:rsid w:val="00B711AB"/>
    <w:rsid w:val="00B714F0"/>
    <w:rsid w:val="00B71A40"/>
    <w:rsid w:val="00B71C8C"/>
    <w:rsid w:val="00B71CB4"/>
    <w:rsid w:val="00B71FD7"/>
    <w:rsid w:val="00B725E7"/>
    <w:rsid w:val="00B72C07"/>
    <w:rsid w:val="00B72DF7"/>
    <w:rsid w:val="00B72F42"/>
    <w:rsid w:val="00B72F96"/>
    <w:rsid w:val="00B732C9"/>
    <w:rsid w:val="00B73E44"/>
    <w:rsid w:val="00B74290"/>
    <w:rsid w:val="00B74510"/>
    <w:rsid w:val="00B74BD4"/>
    <w:rsid w:val="00B74BF7"/>
    <w:rsid w:val="00B760FD"/>
    <w:rsid w:val="00B76185"/>
    <w:rsid w:val="00B7674F"/>
    <w:rsid w:val="00B76BCD"/>
    <w:rsid w:val="00B779E6"/>
    <w:rsid w:val="00B804E2"/>
    <w:rsid w:val="00B811B2"/>
    <w:rsid w:val="00B81BA3"/>
    <w:rsid w:val="00B82213"/>
    <w:rsid w:val="00B8276E"/>
    <w:rsid w:val="00B82912"/>
    <w:rsid w:val="00B839A9"/>
    <w:rsid w:val="00B83A62"/>
    <w:rsid w:val="00B83B59"/>
    <w:rsid w:val="00B84252"/>
    <w:rsid w:val="00B8468F"/>
    <w:rsid w:val="00B849BE"/>
    <w:rsid w:val="00B849F1"/>
    <w:rsid w:val="00B84FC6"/>
    <w:rsid w:val="00B857F5"/>
    <w:rsid w:val="00B86D6C"/>
    <w:rsid w:val="00B86EB5"/>
    <w:rsid w:val="00B86F47"/>
    <w:rsid w:val="00B874A3"/>
    <w:rsid w:val="00B874B4"/>
    <w:rsid w:val="00B8787A"/>
    <w:rsid w:val="00B87887"/>
    <w:rsid w:val="00B90123"/>
    <w:rsid w:val="00B90196"/>
    <w:rsid w:val="00B911C1"/>
    <w:rsid w:val="00B91374"/>
    <w:rsid w:val="00B9216A"/>
    <w:rsid w:val="00B922C3"/>
    <w:rsid w:val="00B9272E"/>
    <w:rsid w:val="00B927A7"/>
    <w:rsid w:val="00B92B9E"/>
    <w:rsid w:val="00B93315"/>
    <w:rsid w:val="00B93519"/>
    <w:rsid w:val="00B9372A"/>
    <w:rsid w:val="00B9425C"/>
    <w:rsid w:val="00B94AAF"/>
    <w:rsid w:val="00B953FF"/>
    <w:rsid w:val="00B9622D"/>
    <w:rsid w:val="00B96263"/>
    <w:rsid w:val="00B968A5"/>
    <w:rsid w:val="00B972CD"/>
    <w:rsid w:val="00B97D02"/>
    <w:rsid w:val="00BA0304"/>
    <w:rsid w:val="00BA0557"/>
    <w:rsid w:val="00BA19C4"/>
    <w:rsid w:val="00BA3038"/>
    <w:rsid w:val="00BA370A"/>
    <w:rsid w:val="00BA48BC"/>
    <w:rsid w:val="00BA4A29"/>
    <w:rsid w:val="00BA4BE7"/>
    <w:rsid w:val="00BA5F20"/>
    <w:rsid w:val="00BA5F44"/>
    <w:rsid w:val="00BA68D9"/>
    <w:rsid w:val="00BA695F"/>
    <w:rsid w:val="00BA6FD8"/>
    <w:rsid w:val="00BA7172"/>
    <w:rsid w:val="00BA7B01"/>
    <w:rsid w:val="00BB02D7"/>
    <w:rsid w:val="00BB0D9F"/>
    <w:rsid w:val="00BB0DEE"/>
    <w:rsid w:val="00BB0F93"/>
    <w:rsid w:val="00BB1031"/>
    <w:rsid w:val="00BB12F2"/>
    <w:rsid w:val="00BB1B33"/>
    <w:rsid w:val="00BB2480"/>
    <w:rsid w:val="00BB27FD"/>
    <w:rsid w:val="00BB2C4E"/>
    <w:rsid w:val="00BB2E29"/>
    <w:rsid w:val="00BB2F74"/>
    <w:rsid w:val="00BB3206"/>
    <w:rsid w:val="00BB3277"/>
    <w:rsid w:val="00BB32C2"/>
    <w:rsid w:val="00BB39BF"/>
    <w:rsid w:val="00BB3B0D"/>
    <w:rsid w:val="00BB4A38"/>
    <w:rsid w:val="00BB524C"/>
    <w:rsid w:val="00BB5DAB"/>
    <w:rsid w:val="00BB6006"/>
    <w:rsid w:val="00BB6195"/>
    <w:rsid w:val="00BB61A3"/>
    <w:rsid w:val="00BB67EA"/>
    <w:rsid w:val="00BB707E"/>
    <w:rsid w:val="00BB7568"/>
    <w:rsid w:val="00BC007C"/>
    <w:rsid w:val="00BC0986"/>
    <w:rsid w:val="00BC0A66"/>
    <w:rsid w:val="00BC0AB2"/>
    <w:rsid w:val="00BC1308"/>
    <w:rsid w:val="00BC1A83"/>
    <w:rsid w:val="00BC1BF4"/>
    <w:rsid w:val="00BC2600"/>
    <w:rsid w:val="00BC2F24"/>
    <w:rsid w:val="00BC33BE"/>
    <w:rsid w:val="00BC3A47"/>
    <w:rsid w:val="00BC3EEB"/>
    <w:rsid w:val="00BC4780"/>
    <w:rsid w:val="00BC52C8"/>
    <w:rsid w:val="00BC5485"/>
    <w:rsid w:val="00BC549C"/>
    <w:rsid w:val="00BC570E"/>
    <w:rsid w:val="00BC5A6C"/>
    <w:rsid w:val="00BC5AF6"/>
    <w:rsid w:val="00BC5B4B"/>
    <w:rsid w:val="00BC5E93"/>
    <w:rsid w:val="00BC5EDB"/>
    <w:rsid w:val="00BC63B7"/>
    <w:rsid w:val="00BC69A2"/>
    <w:rsid w:val="00BC6ED6"/>
    <w:rsid w:val="00BC6F03"/>
    <w:rsid w:val="00BC6FA1"/>
    <w:rsid w:val="00BC7487"/>
    <w:rsid w:val="00BD0570"/>
    <w:rsid w:val="00BD0853"/>
    <w:rsid w:val="00BD0EA8"/>
    <w:rsid w:val="00BD112D"/>
    <w:rsid w:val="00BD214E"/>
    <w:rsid w:val="00BD2395"/>
    <w:rsid w:val="00BD25B8"/>
    <w:rsid w:val="00BD2842"/>
    <w:rsid w:val="00BD3120"/>
    <w:rsid w:val="00BD3354"/>
    <w:rsid w:val="00BD384E"/>
    <w:rsid w:val="00BD3E76"/>
    <w:rsid w:val="00BD3EE2"/>
    <w:rsid w:val="00BD3FCF"/>
    <w:rsid w:val="00BD42D2"/>
    <w:rsid w:val="00BD47D7"/>
    <w:rsid w:val="00BD4EFB"/>
    <w:rsid w:val="00BD5076"/>
    <w:rsid w:val="00BD5551"/>
    <w:rsid w:val="00BD5596"/>
    <w:rsid w:val="00BD5EF8"/>
    <w:rsid w:val="00BD5F6D"/>
    <w:rsid w:val="00BD6C5E"/>
    <w:rsid w:val="00BD6D43"/>
    <w:rsid w:val="00BD7090"/>
    <w:rsid w:val="00BD7490"/>
    <w:rsid w:val="00BD767F"/>
    <w:rsid w:val="00BD7DA0"/>
    <w:rsid w:val="00BE096B"/>
    <w:rsid w:val="00BE09C3"/>
    <w:rsid w:val="00BE0C27"/>
    <w:rsid w:val="00BE0F9B"/>
    <w:rsid w:val="00BE15BB"/>
    <w:rsid w:val="00BE198F"/>
    <w:rsid w:val="00BE22F4"/>
    <w:rsid w:val="00BE3225"/>
    <w:rsid w:val="00BE4875"/>
    <w:rsid w:val="00BE4CCF"/>
    <w:rsid w:val="00BE5964"/>
    <w:rsid w:val="00BE660B"/>
    <w:rsid w:val="00BE6AFE"/>
    <w:rsid w:val="00BE6BBE"/>
    <w:rsid w:val="00BE7021"/>
    <w:rsid w:val="00BE7300"/>
    <w:rsid w:val="00BE76F7"/>
    <w:rsid w:val="00BE784F"/>
    <w:rsid w:val="00BE79C6"/>
    <w:rsid w:val="00BF0238"/>
    <w:rsid w:val="00BF0717"/>
    <w:rsid w:val="00BF0C91"/>
    <w:rsid w:val="00BF1750"/>
    <w:rsid w:val="00BF178E"/>
    <w:rsid w:val="00BF189F"/>
    <w:rsid w:val="00BF1910"/>
    <w:rsid w:val="00BF1B44"/>
    <w:rsid w:val="00BF1D88"/>
    <w:rsid w:val="00BF1F01"/>
    <w:rsid w:val="00BF1FC2"/>
    <w:rsid w:val="00BF23CC"/>
    <w:rsid w:val="00BF243F"/>
    <w:rsid w:val="00BF2708"/>
    <w:rsid w:val="00BF3284"/>
    <w:rsid w:val="00BF3F14"/>
    <w:rsid w:val="00BF4C2B"/>
    <w:rsid w:val="00BF507A"/>
    <w:rsid w:val="00BF507C"/>
    <w:rsid w:val="00BF53F1"/>
    <w:rsid w:val="00BF5426"/>
    <w:rsid w:val="00BF5717"/>
    <w:rsid w:val="00BF5B9D"/>
    <w:rsid w:val="00BF5C45"/>
    <w:rsid w:val="00BF5FA3"/>
    <w:rsid w:val="00BF62F2"/>
    <w:rsid w:val="00BF63A5"/>
    <w:rsid w:val="00BF72A7"/>
    <w:rsid w:val="00BF7558"/>
    <w:rsid w:val="00BF7DD2"/>
    <w:rsid w:val="00C0111E"/>
    <w:rsid w:val="00C02676"/>
    <w:rsid w:val="00C029AB"/>
    <w:rsid w:val="00C02D74"/>
    <w:rsid w:val="00C03BD5"/>
    <w:rsid w:val="00C03C8B"/>
    <w:rsid w:val="00C03F3C"/>
    <w:rsid w:val="00C0425C"/>
    <w:rsid w:val="00C049BE"/>
    <w:rsid w:val="00C04A71"/>
    <w:rsid w:val="00C04DF0"/>
    <w:rsid w:val="00C05A4C"/>
    <w:rsid w:val="00C05A67"/>
    <w:rsid w:val="00C05D54"/>
    <w:rsid w:val="00C05DD2"/>
    <w:rsid w:val="00C0632D"/>
    <w:rsid w:val="00C0641F"/>
    <w:rsid w:val="00C06C9A"/>
    <w:rsid w:val="00C06E6F"/>
    <w:rsid w:val="00C075DB"/>
    <w:rsid w:val="00C07EBA"/>
    <w:rsid w:val="00C07FBC"/>
    <w:rsid w:val="00C100E2"/>
    <w:rsid w:val="00C100E7"/>
    <w:rsid w:val="00C11113"/>
    <w:rsid w:val="00C11687"/>
    <w:rsid w:val="00C11697"/>
    <w:rsid w:val="00C11E28"/>
    <w:rsid w:val="00C11F66"/>
    <w:rsid w:val="00C1225B"/>
    <w:rsid w:val="00C122F9"/>
    <w:rsid w:val="00C1253A"/>
    <w:rsid w:val="00C128C9"/>
    <w:rsid w:val="00C12CF3"/>
    <w:rsid w:val="00C12F88"/>
    <w:rsid w:val="00C131A8"/>
    <w:rsid w:val="00C1322D"/>
    <w:rsid w:val="00C135A3"/>
    <w:rsid w:val="00C1477A"/>
    <w:rsid w:val="00C14A62"/>
    <w:rsid w:val="00C158EB"/>
    <w:rsid w:val="00C159B1"/>
    <w:rsid w:val="00C15D51"/>
    <w:rsid w:val="00C161F5"/>
    <w:rsid w:val="00C16B90"/>
    <w:rsid w:val="00C16C92"/>
    <w:rsid w:val="00C16ED6"/>
    <w:rsid w:val="00C1706B"/>
    <w:rsid w:val="00C17DB7"/>
    <w:rsid w:val="00C17E48"/>
    <w:rsid w:val="00C17F0B"/>
    <w:rsid w:val="00C2016A"/>
    <w:rsid w:val="00C201E7"/>
    <w:rsid w:val="00C20506"/>
    <w:rsid w:val="00C20AA2"/>
    <w:rsid w:val="00C20B91"/>
    <w:rsid w:val="00C21155"/>
    <w:rsid w:val="00C2146C"/>
    <w:rsid w:val="00C214D7"/>
    <w:rsid w:val="00C21561"/>
    <w:rsid w:val="00C21576"/>
    <w:rsid w:val="00C217EE"/>
    <w:rsid w:val="00C22784"/>
    <w:rsid w:val="00C22FAA"/>
    <w:rsid w:val="00C23A4C"/>
    <w:rsid w:val="00C2419D"/>
    <w:rsid w:val="00C243A4"/>
    <w:rsid w:val="00C24416"/>
    <w:rsid w:val="00C248DB"/>
    <w:rsid w:val="00C25036"/>
    <w:rsid w:val="00C26170"/>
    <w:rsid w:val="00C26B5A"/>
    <w:rsid w:val="00C26BB1"/>
    <w:rsid w:val="00C26D52"/>
    <w:rsid w:val="00C303E4"/>
    <w:rsid w:val="00C30775"/>
    <w:rsid w:val="00C30B8D"/>
    <w:rsid w:val="00C30DBE"/>
    <w:rsid w:val="00C3134E"/>
    <w:rsid w:val="00C315D8"/>
    <w:rsid w:val="00C31C4A"/>
    <w:rsid w:val="00C31D2D"/>
    <w:rsid w:val="00C32079"/>
    <w:rsid w:val="00C3209A"/>
    <w:rsid w:val="00C32639"/>
    <w:rsid w:val="00C32808"/>
    <w:rsid w:val="00C32AD2"/>
    <w:rsid w:val="00C33114"/>
    <w:rsid w:val="00C3415E"/>
    <w:rsid w:val="00C34193"/>
    <w:rsid w:val="00C347FD"/>
    <w:rsid w:val="00C34DAE"/>
    <w:rsid w:val="00C34E1E"/>
    <w:rsid w:val="00C34E5A"/>
    <w:rsid w:val="00C3510D"/>
    <w:rsid w:val="00C35553"/>
    <w:rsid w:val="00C35D9C"/>
    <w:rsid w:val="00C36219"/>
    <w:rsid w:val="00C36656"/>
    <w:rsid w:val="00C3698E"/>
    <w:rsid w:val="00C36CCA"/>
    <w:rsid w:val="00C36E1C"/>
    <w:rsid w:val="00C36F42"/>
    <w:rsid w:val="00C3718A"/>
    <w:rsid w:val="00C379C5"/>
    <w:rsid w:val="00C37EEE"/>
    <w:rsid w:val="00C40453"/>
    <w:rsid w:val="00C404A7"/>
    <w:rsid w:val="00C40E71"/>
    <w:rsid w:val="00C41879"/>
    <w:rsid w:val="00C41A7C"/>
    <w:rsid w:val="00C42CC0"/>
    <w:rsid w:val="00C42CEF"/>
    <w:rsid w:val="00C42D55"/>
    <w:rsid w:val="00C43080"/>
    <w:rsid w:val="00C4370E"/>
    <w:rsid w:val="00C43823"/>
    <w:rsid w:val="00C4384B"/>
    <w:rsid w:val="00C4393C"/>
    <w:rsid w:val="00C43F2D"/>
    <w:rsid w:val="00C44068"/>
    <w:rsid w:val="00C442AE"/>
    <w:rsid w:val="00C44C2B"/>
    <w:rsid w:val="00C4518B"/>
    <w:rsid w:val="00C45780"/>
    <w:rsid w:val="00C458D6"/>
    <w:rsid w:val="00C45919"/>
    <w:rsid w:val="00C4655A"/>
    <w:rsid w:val="00C466BF"/>
    <w:rsid w:val="00C47385"/>
    <w:rsid w:val="00C47555"/>
    <w:rsid w:val="00C476AC"/>
    <w:rsid w:val="00C47E67"/>
    <w:rsid w:val="00C47FD9"/>
    <w:rsid w:val="00C50C1A"/>
    <w:rsid w:val="00C50E1E"/>
    <w:rsid w:val="00C51132"/>
    <w:rsid w:val="00C51508"/>
    <w:rsid w:val="00C51D73"/>
    <w:rsid w:val="00C52A05"/>
    <w:rsid w:val="00C52E97"/>
    <w:rsid w:val="00C52EAF"/>
    <w:rsid w:val="00C52FBA"/>
    <w:rsid w:val="00C53189"/>
    <w:rsid w:val="00C534E5"/>
    <w:rsid w:val="00C534F4"/>
    <w:rsid w:val="00C5375B"/>
    <w:rsid w:val="00C53AD3"/>
    <w:rsid w:val="00C53B15"/>
    <w:rsid w:val="00C53DA9"/>
    <w:rsid w:val="00C53EF7"/>
    <w:rsid w:val="00C54280"/>
    <w:rsid w:val="00C545FC"/>
    <w:rsid w:val="00C54929"/>
    <w:rsid w:val="00C550B6"/>
    <w:rsid w:val="00C556B1"/>
    <w:rsid w:val="00C55A05"/>
    <w:rsid w:val="00C55F8D"/>
    <w:rsid w:val="00C56101"/>
    <w:rsid w:val="00C565F2"/>
    <w:rsid w:val="00C567E3"/>
    <w:rsid w:val="00C56C45"/>
    <w:rsid w:val="00C573CC"/>
    <w:rsid w:val="00C57B81"/>
    <w:rsid w:val="00C57DBE"/>
    <w:rsid w:val="00C57FB9"/>
    <w:rsid w:val="00C6077B"/>
    <w:rsid w:val="00C60950"/>
    <w:rsid w:val="00C60DD1"/>
    <w:rsid w:val="00C61565"/>
    <w:rsid w:val="00C61574"/>
    <w:rsid w:val="00C615B4"/>
    <w:rsid w:val="00C6184A"/>
    <w:rsid w:val="00C618B6"/>
    <w:rsid w:val="00C61AC6"/>
    <w:rsid w:val="00C61ACF"/>
    <w:rsid w:val="00C61D9D"/>
    <w:rsid w:val="00C6211D"/>
    <w:rsid w:val="00C62B32"/>
    <w:rsid w:val="00C63DED"/>
    <w:rsid w:val="00C63E88"/>
    <w:rsid w:val="00C6436D"/>
    <w:rsid w:val="00C64F97"/>
    <w:rsid w:val="00C65585"/>
    <w:rsid w:val="00C656EB"/>
    <w:rsid w:val="00C65DF4"/>
    <w:rsid w:val="00C667F0"/>
    <w:rsid w:val="00C66AC8"/>
    <w:rsid w:val="00C675A7"/>
    <w:rsid w:val="00C679FE"/>
    <w:rsid w:val="00C67B49"/>
    <w:rsid w:val="00C67D20"/>
    <w:rsid w:val="00C711F5"/>
    <w:rsid w:val="00C713A1"/>
    <w:rsid w:val="00C71828"/>
    <w:rsid w:val="00C72105"/>
    <w:rsid w:val="00C74520"/>
    <w:rsid w:val="00C74954"/>
    <w:rsid w:val="00C7557A"/>
    <w:rsid w:val="00C75765"/>
    <w:rsid w:val="00C76028"/>
    <w:rsid w:val="00C76184"/>
    <w:rsid w:val="00C76462"/>
    <w:rsid w:val="00C7673D"/>
    <w:rsid w:val="00C76A80"/>
    <w:rsid w:val="00C76C27"/>
    <w:rsid w:val="00C76E09"/>
    <w:rsid w:val="00C76F07"/>
    <w:rsid w:val="00C770D3"/>
    <w:rsid w:val="00C77DBE"/>
    <w:rsid w:val="00C77EF6"/>
    <w:rsid w:val="00C80A5B"/>
    <w:rsid w:val="00C80B4B"/>
    <w:rsid w:val="00C80D63"/>
    <w:rsid w:val="00C80E85"/>
    <w:rsid w:val="00C8129D"/>
    <w:rsid w:val="00C812D5"/>
    <w:rsid w:val="00C81536"/>
    <w:rsid w:val="00C81BEA"/>
    <w:rsid w:val="00C81DF5"/>
    <w:rsid w:val="00C82188"/>
    <w:rsid w:val="00C8242B"/>
    <w:rsid w:val="00C82A50"/>
    <w:rsid w:val="00C8322A"/>
    <w:rsid w:val="00C83240"/>
    <w:rsid w:val="00C83381"/>
    <w:rsid w:val="00C83607"/>
    <w:rsid w:val="00C83768"/>
    <w:rsid w:val="00C83B18"/>
    <w:rsid w:val="00C840C3"/>
    <w:rsid w:val="00C841B4"/>
    <w:rsid w:val="00C84266"/>
    <w:rsid w:val="00C8466F"/>
    <w:rsid w:val="00C8489E"/>
    <w:rsid w:val="00C849E0"/>
    <w:rsid w:val="00C84B74"/>
    <w:rsid w:val="00C8512A"/>
    <w:rsid w:val="00C85378"/>
    <w:rsid w:val="00C85970"/>
    <w:rsid w:val="00C85E9B"/>
    <w:rsid w:val="00C866CC"/>
    <w:rsid w:val="00C874C8"/>
    <w:rsid w:val="00C90165"/>
    <w:rsid w:val="00C902DA"/>
    <w:rsid w:val="00C90733"/>
    <w:rsid w:val="00C9103C"/>
    <w:rsid w:val="00C921C4"/>
    <w:rsid w:val="00C9235F"/>
    <w:rsid w:val="00C9257F"/>
    <w:rsid w:val="00C9319C"/>
    <w:rsid w:val="00C9330C"/>
    <w:rsid w:val="00C934F6"/>
    <w:rsid w:val="00C93874"/>
    <w:rsid w:val="00C93A4C"/>
    <w:rsid w:val="00C944EB"/>
    <w:rsid w:val="00C94FD2"/>
    <w:rsid w:val="00C95341"/>
    <w:rsid w:val="00C95B76"/>
    <w:rsid w:val="00C964C3"/>
    <w:rsid w:val="00C964D6"/>
    <w:rsid w:val="00C96635"/>
    <w:rsid w:val="00C966B7"/>
    <w:rsid w:val="00C969DB"/>
    <w:rsid w:val="00C96A6E"/>
    <w:rsid w:val="00C97A4A"/>
    <w:rsid w:val="00C97DC9"/>
    <w:rsid w:val="00C97EE3"/>
    <w:rsid w:val="00CA042A"/>
    <w:rsid w:val="00CA1033"/>
    <w:rsid w:val="00CA12BA"/>
    <w:rsid w:val="00CA165C"/>
    <w:rsid w:val="00CA1C0D"/>
    <w:rsid w:val="00CA1DAE"/>
    <w:rsid w:val="00CA1E62"/>
    <w:rsid w:val="00CA2267"/>
    <w:rsid w:val="00CA38AD"/>
    <w:rsid w:val="00CA3EEE"/>
    <w:rsid w:val="00CA4403"/>
    <w:rsid w:val="00CA5098"/>
    <w:rsid w:val="00CA5503"/>
    <w:rsid w:val="00CA612D"/>
    <w:rsid w:val="00CA66C3"/>
    <w:rsid w:val="00CA6CAD"/>
    <w:rsid w:val="00CA70A8"/>
    <w:rsid w:val="00CA70D0"/>
    <w:rsid w:val="00CA74A4"/>
    <w:rsid w:val="00CA75FD"/>
    <w:rsid w:val="00CA7683"/>
    <w:rsid w:val="00CA77AE"/>
    <w:rsid w:val="00CA7EA1"/>
    <w:rsid w:val="00CA7EEB"/>
    <w:rsid w:val="00CB009B"/>
    <w:rsid w:val="00CB0231"/>
    <w:rsid w:val="00CB0838"/>
    <w:rsid w:val="00CB092E"/>
    <w:rsid w:val="00CB1AFD"/>
    <w:rsid w:val="00CB1EB3"/>
    <w:rsid w:val="00CB2126"/>
    <w:rsid w:val="00CB2308"/>
    <w:rsid w:val="00CB24AD"/>
    <w:rsid w:val="00CB2C59"/>
    <w:rsid w:val="00CB2D9C"/>
    <w:rsid w:val="00CB34AB"/>
    <w:rsid w:val="00CB3529"/>
    <w:rsid w:val="00CB38A9"/>
    <w:rsid w:val="00CB4728"/>
    <w:rsid w:val="00CB59E7"/>
    <w:rsid w:val="00CB5D27"/>
    <w:rsid w:val="00CB5E4A"/>
    <w:rsid w:val="00CB6B57"/>
    <w:rsid w:val="00CB6ED6"/>
    <w:rsid w:val="00CB6FCA"/>
    <w:rsid w:val="00CB724D"/>
    <w:rsid w:val="00CB73EA"/>
    <w:rsid w:val="00CB76E3"/>
    <w:rsid w:val="00CB7D4E"/>
    <w:rsid w:val="00CB7F1F"/>
    <w:rsid w:val="00CC002B"/>
    <w:rsid w:val="00CC07E5"/>
    <w:rsid w:val="00CC09F0"/>
    <w:rsid w:val="00CC0C11"/>
    <w:rsid w:val="00CC1F52"/>
    <w:rsid w:val="00CC233F"/>
    <w:rsid w:val="00CC27FD"/>
    <w:rsid w:val="00CC2920"/>
    <w:rsid w:val="00CC29A4"/>
    <w:rsid w:val="00CC31E8"/>
    <w:rsid w:val="00CC3AB9"/>
    <w:rsid w:val="00CC3C9E"/>
    <w:rsid w:val="00CC45E0"/>
    <w:rsid w:val="00CC4BBE"/>
    <w:rsid w:val="00CC4BC3"/>
    <w:rsid w:val="00CC50C7"/>
    <w:rsid w:val="00CC55AC"/>
    <w:rsid w:val="00CC5859"/>
    <w:rsid w:val="00CC66CB"/>
    <w:rsid w:val="00CC6D1C"/>
    <w:rsid w:val="00CC71DD"/>
    <w:rsid w:val="00CC71F3"/>
    <w:rsid w:val="00CC72C0"/>
    <w:rsid w:val="00CC757D"/>
    <w:rsid w:val="00CC7C74"/>
    <w:rsid w:val="00CD00DB"/>
    <w:rsid w:val="00CD0119"/>
    <w:rsid w:val="00CD07FD"/>
    <w:rsid w:val="00CD0866"/>
    <w:rsid w:val="00CD0B6B"/>
    <w:rsid w:val="00CD1169"/>
    <w:rsid w:val="00CD15F1"/>
    <w:rsid w:val="00CD16C7"/>
    <w:rsid w:val="00CD1A40"/>
    <w:rsid w:val="00CD1B33"/>
    <w:rsid w:val="00CD25F3"/>
    <w:rsid w:val="00CD27FF"/>
    <w:rsid w:val="00CD2875"/>
    <w:rsid w:val="00CD2DF3"/>
    <w:rsid w:val="00CD305C"/>
    <w:rsid w:val="00CD3A6D"/>
    <w:rsid w:val="00CD3E5A"/>
    <w:rsid w:val="00CD3E63"/>
    <w:rsid w:val="00CD40A3"/>
    <w:rsid w:val="00CD4353"/>
    <w:rsid w:val="00CD457E"/>
    <w:rsid w:val="00CD4CD3"/>
    <w:rsid w:val="00CD589F"/>
    <w:rsid w:val="00CD60C9"/>
    <w:rsid w:val="00CD6345"/>
    <w:rsid w:val="00CD6835"/>
    <w:rsid w:val="00CD6BBB"/>
    <w:rsid w:val="00CD706C"/>
    <w:rsid w:val="00CD7482"/>
    <w:rsid w:val="00CD7C66"/>
    <w:rsid w:val="00CE05BD"/>
    <w:rsid w:val="00CE07C1"/>
    <w:rsid w:val="00CE1567"/>
    <w:rsid w:val="00CE1859"/>
    <w:rsid w:val="00CE186F"/>
    <w:rsid w:val="00CE20E3"/>
    <w:rsid w:val="00CE273A"/>
    <w:rsid w:val="00CE321C"/>
    <w:rsid w:val="00CE32D4"/>
    <w:rsid w:val="00CE32E8"/>
    <w:rsid w:val="00CE353C"/>
    <w:rsid w:val="00CE3700"/>
    <w:rsid w:val="00CE3B69"/>
    <w:rsid w:val="00CE4559"/>
    <w:rsid w:val="00CE4B49"/>
    <w:rsid w:val="00CE5118"/>
    <w:rsid w:val="00CE5487"/>
    <w:rsid w:val="00CE59B5"/>
    <w:rsid w:val="00CE59DB"/>
    <w:rsid w:val="00CE5D3A"/>
    <w:rsid w:val="00CE67D8"/>
    <w:rsid w:val="00CE68EA"/>
    <w:rsid w:val="00CE7381"/>
    <w:rsid w:val="00CE7447"/>
    <w:rsid w:val="00CE74CE"/>
    <w:rsid w:val="00CE7510"/>
    <w:rsid w:val="00CF0829"/>
    <w:rsid w:val="00CF0E74"/>
    <w:rsid w:val="00CF1833"/>
    <w:rsid w:val="00CF1AEA"/>
    <w:rsid w:val="00CF2091"/>
    <w:rsid w:val="00CF21F6"/>
    <w:rsid w:val="00CF2278"/>
    <w:rsid w:val="00CF2C62"/>
    <w:rsid w:val="00CF2F66"/>
    <w:rsid w:val="00CF337B"/>
    <w:rsid w:val="00CF3FE7"/>
    <w:rsid w:val="00CF420F"/>
    <w:rsid w:val="00CF4416"/>
    <w:rsid w:val="00CF5762"/>
    <w:rsid w:val="00CF64F6"/>
    <w:rsid w:val="00CF65B4"/>
    <w:rsid w:val="00CF6806"/>
    <w:rsid w:val="00CF69B0"/>
    <w:rsid w:val="00CF6C05"/>
    <w:rsid w:val="00CF709F"/>
    <w:rsid w:val="00CF7485"/>
    <w:rsid w:val="00CF7E56"/>
    <w:rsid w:val="00D01744"/>
    <w:rsid w:val="00D01C03"/>
    <w:rsid w:val="00D025CE"/>
    <w:rsid w:val="00D026A3"/>
    <w:rsid w:val="00D02A0F"/>
    <w:rsid w:val="00D02CA6"/>
    <w:rsid w:val="00D02DF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07B44"/>
    <w:rsid w:val="00D10076"/>
    <w:rsid w:val="00D1033B"/>
    <w:rsid w:val="00D10477"/>
    <w:rsid w:val="00D107E2"/>
    <w:rsid w:val="00D11D76"/>
    <w:rsid w:val="00D121F5"/>
    <w:rsid w:val="00D126E4"/>
    <w:rsid w:val="00D131BF"/>
    <w:rsid w:val="00D13A90"/>
    <w:rsid w:val="00D140E6"/>
    <w:rsid w:val="00D14C7E"/>
    <w:rsid w:val="00D158EF"/>
    <w:rsid w:val="00D15B5F"/>
    <w:rsid w:val="00D15C14"/>
    <w:rsid w:val="00D15E74"/>
    <w:rsid w:val="00D15FAA"/>
    <w:rsid w:val="00D16ECB"/>
    <w:rsid w:val="00D16EEE"/>
    <w:rsid w:val="00D17167"/>
    <w:rsid w:val="00D17BA5"/>
    <w:rsid w:val="00D2058D"/>
    <w:rsid w:val="00D2176E"/>
    <w:rsid w:val="00D2182A"/>
    <w:rsid w:val="00D218BC"/>
    <w:rsid w:val="00D2193D"/>
    <w:rsid w:val="00D22105"/>
    <w:rsid w:val="00D2211C"/>
    <w:rsid w:val="00D22B55"/>
    <w:rsid w:val="00D22C81"/>
    <w:rsid w:val="00D23055"/>
    <w:rsid w:val="00D230AD"/>
    <w:rsid w:val="00D2320E"/>
    <w:rsid w:val="00D2327A"/>
    <w:rsid w:val="00D249E1"/>
    <w:rsid w:val="00D251AB"/>
    <w:rsid w:val="00D25240"/>
    <w:rsid w:val="00D25AC6"/>
    <w:rsid w:val="00D25BF1"/>
    <w:rsid w:val="00D261D3"/>
    <w:rsid w:val="00D27086"/>
    <w:rsid w:val="00D2775C"/>
    <w:rsid w:val="00D27A4C"/>
    <w:rsid w:val="00D319DF"/>
    <w:rsid w:val="00D31C02"/>
    <w:rsid w:val="00D3225E"/>
    <w:rsid w:val="00D324BC"/>
    <w:rsid w:val="00D32B9F"/>
    <w:rsid w:val="00D331A5"/>
    <w:rsid w:val="00D33565"/>
    <w:rsid w:val="00D33761"/>
    <w:rsid w:val="00D33762"/>
    <w:rsid w:val="00D34BD1"/>
    <w:rsid w:val="00D35177"/>
    <w:rsid w:val="00D35340"/>
    <w:rsid w:val="00D3538E"/>
    <w:rsid w:val="00D356E1"/>
    <w:rsid w:val="00D40609"/>
    <w:rsid w:val="00D40983"/>
    <w:rsid w:val="00D40B3B"/>
    <w:rsid w:val="00D41188"/>
    <w:rsid w:val="00D417D3"/>
    <w:rsid w:val="00D418D5"/>
    <w:rsid w:val="00D41DB1"/>
    <w:rsid w:val="00D4276D"/>
    <w:rsid w:val="00D42798"/>
    <w:rsid w:val="00D42970"/>
    <w:rsid w:val="00D43468"/>
    <w:rsid w:val="00D43AED"/>
    <w:rsid w:val="00D44916"/>
    <w:rsid w:val="00D45AE4"/>
    <w:rsid w:val="00D45CA4"/>
    <w:rsid w:val="00D45EA7"/>
    <w:rsid w:val="00D45F22"/>
    <w:rsid w:val="00D4628C"/>
    <w:rsid w:val="00D463B6"/>
    <w:rsid w:val="00D47178"/>
    <w:rsid w:val="00D4752E"/>
    <w:rsid w:val="00D47842"/>
    <w:rsid w:val="00D47BEF"/>
    <w:rsid w:val="00D50826"/>
    <w:rsid w:val="00D51675"/>
    <w:rsid w:val="00D51F73"/>
    <w:rsid w:val="00D526C3"/>
    <w:rsid w:val="00D52827"/>
    <w:rsid w:val="00D529BE"/>
    <w:rsid w:val="00D52CF6"/>
    <w:rsid w:val="00D53D3E"/>
    <w:rsid w:val="00D547E0"/>
    <w:rsid w:val="00D54992"/>
    <w:rsid w:val="00D55291"/>
    <w:rsid w:val="00D55829"/>
    <w:rsid w:val="00D55C48"/>
    <w:rsid w:val="00D55E47"/>
    <w:rsid w:val="00D56392"/>
    <w:rsid w:val="00D56997"/>
    <w:rsid w:val="00D56BF7"/>
    <w:rsid w:val="00D570E6"/>
    <w:rsid w:val="00D5730F"/>
    <w:rsid w:val="00D5774F"/>
    <w:rsid w:val="00D60809"/>
    <w:rsid w:val="00D60D7F"/>
    <w:rsid w:val="00D61066"/>
    <w:rsid w:val="00D61C9C"/>
    <w:rsid w:val="00D61E7B"/>
    <w:rsid w:val="00D62111"/>
    <w:rsid w:val="00D62229"/>
    <w:rsid w:val="00D625B8"/>
    <w:rsid w:val="00D626F8"/>
    <w:rsid w:val="00D636DC"/>
    <w:rsid w:val="00D63F4C"/>
    <w:rsid w:val="00D64613"/>
    <w:rsid w:val="00D64702"/>
    <w:rsid w:val="00D6474A"/>
    <w:rsid w:val="00D649DC"/>
    <w:rsid w:val="00D65A6A"/>
    <w:rsid w:val="00D66008"/>
    <w:rsid w:val="00D66BFD"/>
    <w:rsid w:val="00D66C91"/>
    <w:rsid w:val="00D674EE"/>
    <w:rsid w:val="00D67535"/>
    <w:rsid w:val="00D67BC9"/>
    <w:rsid w:val="00D67DBC"/>
    <w:rsid w:val="00D704D9"/>
    <w:rsid w:val="00D70612"/>
    <w:rsid w:val="00D70934"/>
    <w:rsid w:val="00D70BD2"/>
    <w:rsid w:val="00D70C54"/>
    <w:rsid w:val="00D713F2"/>
    <w:rsid w:val="00D71B6E"/>
    <w:rsid w:val="00D721B1"/>
    <w:rsid w:val="00D72705"/>
    <w:rsid w:val="00D7317B"/>
    <w:rsid w:val="00D738BF"/>
    <w:rsid w:val="00D73B93"/>
    <w:rsid w:val="00D73C52"/>
    <w:rsid w:val="00D73C95"/>
    <w:rsid w:val="00D73D17"/>
    <w:rsid w:val="00D7400F"/>
    <w:rsid w:val="00D745C1"/>
    <w:rsid w:val="00D74784"/>
    <w:rsid w:val="00D756F6"/>
    <w:rsid w:val="00D75731"/>
    <w:rsid w:val="00D75B45"/>
    <w:rsid w:val="00D75B5C"/>
    <w:rsid w:val="00D75F8C"/>
    <w:rsid w:val="00D76050"/>
    <w:rsid w:val="00D76210"/>
    <w:rsid w:val="00D76309"/>
    <w:rsid w:val="00D76423"/>
    <w:rsid w:val="00D767BF"/>
    <w:rsid w:val="00D77278"/>
    <w:rsid w:val="00D775B5"/>
    <w:rsid w:val="00D77961"/>
    <w:rsid w:val="00D77A47"/>
    <w:rsid w:val="00D77B20"/>
    <w:rsid w:val="00D77B3B"/>
    <w:rsid w:val="00D8007C"/>
    <w:rsid w:val="00D8079F"/>
    <w:rsid w:val="00D81036"/>
    <w:rsid w:val="00D8103B"/>
    <w:rsid w:val="00D8111B"/>
    <w:rsid w:val="00D81242"/>
    <w:rsid w:val="00D812D2"/>
    <w:rsid w:val="00D81C87"/>
    <w:rsid w:val="00D81CC2"/>
    <w:rsid w:val="00D82C80"/>
    <w:rsid w:val="00D82D02"/>
    <w:rsid w:val="00D82D0F"/>
    <w:rsid w:val="00D834A5"/>
    <w:rsid w:val="00D83A5A"/>
    <w:rsid w:val="00D84157"/>
    <w:rsid w:val="00D84AB8"/>
    <w:rsid w:val="00D84BD7"/>
    <w:rsid w:val="00D84DCA"/>
    <w:rsid w:val="00D85114"/>
    <w:rsid w:val="00D857BC"/>
    <w:rsid w:val="00D85CC6"/>
    <w:rsid w:val="00D86A92"/>
    <w:rsid w:val="00D871B6"/>
    <w:rsid w:val="00D873F3"/>
    <w:rsid w:val="00D875E1"/>
    <w:rsid w:val="00D90275"/>
    <w:rsid w:val="00D902F5"/>
    <w:rsid w:val="00D9075D"/>
    <w:rsid w:val="00D90959"/>
    <w:rsid w:val="00D91410"/>
    <w:rsid w:val="00D91438"/>
    <w:rsid w:val="00D91594"/>
    <w:rsid w:val="00D91ABE"/>
    <w:rsid w:val="00D91DFB"/>
    <w:rsid w:val="00D921DA"/>
    <w:rsid w:val="00D92A4A"/>
    <w:rsid w:val="00D92C2F"/>
    <w:rsid w:val="00D92F7F"/>
    <w:rsid w:val="00D930AC"/>
    <w:rsid w:val="00D93623"/>
    <w:rsid w:val="00D9459D"/>
    <w:rsid w:val="00D94730"/>
    <w:rsid w:val="00D94858"/>
    <w:rsid w:val="00D9487D"/>
    <w:rsid w:val="00D94972"/>
    <w:rsid w:val="00D954A1"/>
    <w:rsid w:val="00D95519"/>
    <w:rsid w:val="00D95744"/>
    <w:rsid w:val="00D958FC"/>
    <w:rsid w:val="00D959AE"/>
    <w:rsid w:val="00D95DC2"/>
    <w:rsid w:val="00D96678"/>
    <w:rsid w:val="00D9673A"/>
    <w:rsid w:val="00D96C73"/>
    <w:rsid w:val="00D96D46"/>
    <w:rsid w:val="00D97C27"/>
    <w:rsid w:val="00DA032C"/>
    <w:rsid w:val="00DA0526"/>
    <w:rsid w:val="00DA0639"/>
    <w:rsid w:val="00DA0B8C"/>
    <w:rsid w:val="00DA0CF7"/>
    <w:rsid w:val="00DA0E96"/>
    <w:rsid w:val="00DA1203"/>
    <w:rsid w:val="00DA14A0"/>
    <w:rsid w:val="00DA15AC"/>
    <w:rsid w:val="00DA15EB"/>
    <w:rsid w:val="00DA18DA"/>
    <w:rsid w:val="00DA1F0C"/>
    <w:rsid w:val="00DA2B06"/>
    <w:rsid w:val="00DA2B20"/>
    <w:rsid w:val="00DA3565"/>
    <w:rsid w:val="00DA3A5B"/>
    <w:rsid w:val="00DA3D0B"/>
    <w:rsid w:val="00DA3F51"/>
    <w:rsid w:val="00DA45A0"/>
    <w:rsid w:val="00DA45DB"/>
    <w:rsid w:val="00DA48D9"/>
    <w:rsid w:val="00DA49F8"/>
    <w:rsid w:val="00DA4AAE"/>
    <w:rsid w:val="00DA5572"/>
    <w:rsid w:val="00DA5D5D"/>
    <w:rsid w:val="00DA6A15"/>
    <w:rsid w:val="00DA6B3A"/>
    <w:rsid w:val="00DA6CC2"/>
    <w:rsid w:val="00DA7029"/>
    <w:rsid w:val="00DA77A0"/>
    <w:rsid w:val="00DB09A2"/>
    <w:rsid w:val="00DB103D"/>
    <w:rsid w:val="00DB1448"/>
    <w:rsid w:val="00DB1907"/>
    <w:rsid w:val="00DB1998"/>
    <w:rsid w:val="00DB1FC4"/>
    <w:rsid w:val="00DB21F0"/>
    <w:rsid w:val="00DB2C5F"/>
    <w:rsid w:val="00DB3A58"/>
    <w:rsid w:val="00DB3BDF"/>
    <w:rsid w:val="00DB3C58"/>
    <w:rsid w:val="00DB3C72"/>
    <w:rsid w:val="00DB3D46"/>
    <w:rsid w:val="00DB401C"/>
    <w:rsid w:val="00DB46C8"/>
    <w:rsid w:val="00DB52F0"/>
    <w:rsid w:val="00DB540E"/>
    <w:rsid w:val="00DB5899"/>
    <w:rsid w:val="00DB5A63"/>
    <w:rsid w:val="00DB6166"/>
    <w:rsid w:val="00DB6520"/>
    <w:rsid w:val="00DB656B"/>
    <w:rsid w:val="00DB6803"/>
    <w:rsid w:val="00DB691E"/>
    <w:rsid w:val="00DB6C99"/>
    <w:rsid w:val="00DB75A3"/>
    <w:rsid w:val="00DC02F5"/>
    <w:rsid w:val="00DC0574"/>
    <w:rsid w:val="00DC0C65"/>
    <w:rsid w:val="00DC10E5"/>
    <w:rsid w:val="00DC16BF"/>
    <w:rsid w:val="00DC16E1"/>
    <w:rsid w:val="00DC16FC"/>
    <w:rsid w:val="00DC1881"/>
    <w:rsid w:val="00DC1ED7"/>
    <w:rsid w:val="00DC294E"/>
    <w:rsid w:val="00DC3A6F"/>
    <w:rsid w:val="00DC3D1C"/>
    <w:rsid w:val="00DC43E1"/>
    <w:rsid w:val="00DC5199"/>
    <w:rsid w:val="00DC5A32"/>
    <w:rsid w:val="00DC5E4E"/>
    <w:rsid w:val="00DC651B"/>
    <w:rsid w:val="00DC662F"/>
    <w:rsid w:val="00DC6961"/>
    <w:rsid w:val="00DC6E78"/>
    <w:rsid w:val="00DC707F"/>
    <w:rsid w:val="00DC729A"/>
    <w:rsid w:val="00DC73B1"/>
    <w:rsid w:val="00DC7519"/>
    <w:rsid w:val="00DC7630"/>
    <w:rsid w:val="00DC7EB5"/>
    <w:rsid w:val="00DD04AC"/>
    <w:rsid w:val="00DD04DD"/>
    <w:rsid w:val="00DD0891"/>
    <w:rsid w:val="00DD0B35"/>
    <w:rsid w:val="00DD0C4D"/>
    <w:rsid w:val="00DD0F9F"/>
    <w:rsid w:val="00DD11A7"/>
    <w:rsid w:val="00DD1298"/>
    <w:rsid w:val="00DD2300"/>
    <w:rsid w:val="00DD2309"/>
    <w:rsid w:val="00DD28B3"/>
    <w:rsid w:val="00DD2DE3"/>
    <w:rsid w:val="00DD2DE8"/>
    <w:rsid w:val="00DD316F"/>
    <w:rsid w:val="00DD357C"/>
    <w:rsid w:val="00DD37CA"/>
    <w:rsid w:val="00DD3D55"/>
    <w:rsid w:val="00DD3DF7"/>
    <w:rsid w:val="00DD4AE2"/>
    <w:rsid w:val="00DD4B12"/>
    <w:rsid w:val="00DD4BFA"/>
    <w:rsid w:val="00DD51F8"/>
    <w:rsid w:val="00DD5829"/>
    <w:rsid w:val="00DD6388"/>
    <w:rsid w:val="00DD6C53"/>
    <w:rsid w:val="00DD7198"/>
    <w:rsid w:val="00DD7752"/>
    <w:rsid w:val="00DD7CB6"/>
    <w:rsid w:val="00DE0077"/>
    <w:rsid w:val="00DE0137"/>
    <w:rsid w:val="00DE01BA"/>
    <w:rsid w:val="00DE061F"/>
    <w:rsid w:val="00DE0DCF"/>
    <w:rsid w:val="00DE137B"/>
    <w:rsid w:val="00DE19D9"/>
    <w:rsid w:val="00DE1DC6"/>
    <w:rsid w:val="00DE1F77"/>
    <w:rsid w:val="00DE21C6"/>
    <w:rsid w:val="00DE21E0"/>
    <w:rsid w:val="00DE22AA"/>
    <w:rsid w:val="00DE288F"/>
    <w:rsid w:val="00DE2C45"/>
    <w:rsid w:val="00DE2D49"/>
    <w:rsid w:val="00DE2ED5"/>
    <w:rsid w:val="00DE2F4E"/>
    <w:rsid w:val="00DE3E66"/>
    <w:rsid w:val="00DE3F75"/>
    <w:rsid w:val="00DE41FC"/>
    <w:rsid w:val="00DE45F5"/>
    <w:rsid w:val="00DE4AAD"/>
    <w:rsid w:val="00DE4C0C"/>
    <w:rsid w:val="00DE4FC8"/>
    <w:rsid w:val="00DE53B5"/>
    <w:rsid w:val="00DE5A50"/>
    <w:rsid w:val="00DE60C5"/>
    <w:rsid w:val="00DE7323"/>
    <w:rsid w:val="00DE75F0"/>
    <w:rsid w:val="00DE77CB"/>
    <w:rsid w:val="00DE7EBA"/>
    <w:rsid w:val="00DF04BD"/>
    <w:rsid w:val="00DF050A"/>
    <w:rsid w:val="00DF068D"/>
    <w:rsid w:val="00DF0D3A"/>
    <w:rsid w:val="00DF140A"/>
    <w:rsid w:val="00DF1A9A"/>
    <w:rsid w:val="00DF1C2D"/>
    <w:rsid w:val="00DF1F8A"/>
    <w:rsid w:val="00DF2209"/>
    <w:rsid w:val="00DF248E"/>
    <w:rsid w:val="00DF2715"/>
    <w:rsid w:val="00DF3577"/>
    <w:rsid w:val="00DF4063"/>
    <w:rsid w:val="00DF44F4"/>
    <w:rsid w:val="00DF5F13"/>
    <w:rsid w:val="00DF63DD"/>
    <w:rsid w:val="00DF6544"/>
    <w:rsid w:val="00DF6B62"/>
    <w:rsid w:val="00DF7BD0"/>
    <w:rsid w:val="00DF7BDF"/>
    <w:rsid w:val="00E00303"/>
    <w:rsid w:val="00E005D1"/>
    <w:rsid w:val="00E00A62"/>
    <w:rsid w:val="00E010A0"/>
    <w:rsid w:val="00E0125E"/>
    <w:rsid w:val="00E01668"/>
    <w:rsid w:val="00E0173A"/>
    <w:rsid w:val="00E01849"/>
    <w:rsid w:val="00E020D1"/>
    <w:rsid w:val="00E02B64"/>
    <w:rsid w:val="00E02EAD"/>
    <w:rsid w:val="00E03453"/>
    <w:rsid w:val="00E03D3F"/>
    <w:rsid w:val="00E03DED"/>
    <w:rsid w:val="00E0437C"/>
    <w:rsid w:val="00E0452C"/>
    <w:rsid w:val="00E04D61"/>
    <w:rsid w:val="00E0504C"/>
    <w:rsid w:val="00E05074"/>
    <w:rsid w:val="00E052DA"/>
    <w:rsid w:val="00E05489"/>
    <w:rsid w:val="00E054EC"/>
    <w:rsid w:val="00E05741"/>
    <w:rsid w:val="00E05F7F"/>
    <w:rsid w:val="00E06549"/>
    <w:rsid w:val="00E06930"/>
    <w:rsid w:val="00E06971"/>
    <w:rsid w:val="00E07D90"/>
    <w:rsid w:val="00E105B3"/>
    <w:rsid w:val="00E10846"/>
    <w:rsid w:val="00E10883"/>
    <w:rsid w:val="00E108F4"/>
    <w:rsid w:val="00E10D4E"/>
    <w:rsid w:val="00E1100C"/>
    <w:rsid w:val="00E11489"/>
    <w:rsid w:val="00E11711"/>
    <w:rsid w:val="00E11E63"/>
    <w:rsid w:val="00E11F94"/>
    <w:rsid w:val="00E12696"/>
    <w:rsid w:val="00E1310D"/>
    <w:rsid w:val="00E13359"/>
    <w:rsid w:val="00E138BF"/>
    <w:rsid w:val="00E14EFA"/>
    <w:rsid w:val="00E151B9"/>
    <w:rsid w:val="00E158C4"/>
    <w:rsid w:val="00E15CC4"/>
    <w:rsid w:val="00E15DA3"/>
    <w:rsid w:val="00E161E6"/>
    <w:rsid w:val="00E162B6"/>
    <w:rsid w:val="00E167C9"/>
    <w:rsid w:val="00E1698C"/>
    <w:rsid w:val="00E16BDB"/>
    <w:rsid w:val="00E172BE"/>
    <w:rsid w:val="00E17CF7"/>
    <w:rsid w:val="00E205D6"/>
    <w:rsid w:val="00E209AB"/>
    <w:rsid w:val="00E216EC"/>
    <w:rsid w:val="00E2189A"/>
    <w:rsid w:val="00E21A60"/>
    <w:rsid w:val="00E22B5A"/>
    <w:rsid w:val="00E22B68"/>
    <w:rsid w:val="00E231C9"/>
    <w:rsid w:val="00E23EBF"/>
    <w:rsid w:val="00E23FD5"/>
    <w:rsid w:val="00E24669"/>
    <w:rsid w:val="00E24A70"/>
    <w:rsid w:val="00E24C48"/>
    <w:rsid w:val="00E24EE4"/>
    <w:rsid w:val="00E25981"/>
    <w:rsid w:val="00E26056"/>
    <w:rsid w:val="00E26141"/>
    <w:rsid w:val="00E266F5"/>
    <w:rsid w:val="00E2673E"/>
    <w:rsid w:val="00E270D3"/>
    <w:rsid w:val="00E27FC7"/>
    <w:rsid w:val="00E3050B"/>
    <w:rsid w:val="00E30700"/>
    <w:rsid w:val="00E31115"/>
    <w:rsid w:val="00E31360"/>
    <w:rsid w:val="00E31D28"/>
    <w:rsid w:val="00E32425"/>
    <w:rsid w:val="00E3252C"/>
    <w:rsid w:val="00E325FF"/>
    <w:rsid w:val="00E32CB8"/>
    <w:rsid w:val="00E32F67"/>
    <w:rsid w:val="00E3440F"/>
    <w:rsid w:val="00E34F3A"/>
    <w:rsid w:val="00E35F99"/>
    <w:rsid w:val="00E35F9A"/>
    <w:rsid w:val="00E3637F"/>
    <w:rsid w:val="00E364B6"/>
    <w:rsid w:val="00E36723"/>
    <w:rsid w:val="00E36CB7"/>
    <w:rsid w:val="00E370F8"/>
    <w:rsid w:val="00E3713C"/>
    <w:rsid w:val="00E37362"/>
    <w:rsid w:val="00E3767B"/>
    <w:rsid w:val="00E37E1C"/>
    <w:rsid w:val="00E40079"/>
    <w:rsid w:val="00E40126"/>
    <w:rsid w:val="00E4013B"/>
    <w:rsid w:val="00E40C85"/>
    <w:rsid w:val="00E40CBF"/>
    <w:rsid w:val="00E40E7D"/>
    <w:rsid w:val="00E40EE4"/>
    <w:rsid w:val="00E413C6"/>
    <w:rsid w:val="00E41F9E"/>
    <w:rsid w:val="00E420D5"/>
    <w:rsid w:val="00E42517"/>
    <w:rsid w:val="00E42948"/>
    <w:rsid w:val="00E42D55"/>
    <w:rsid w:val="00E42FFE"/>
    <w:rsid w:val="00E4316E"/>
    <w:rsid w:val="00E435AB"/>
    <w:rsid w:val="00E44275"/>
    <w:rsid w:val="00E44705"/>
    <w:rsid w:val="00E44777"/>
    <w:rsid w:val="00E44F67"/>
    <w:rsid w:val="00E4535F"/>
    <w:rsid w:val="00E455E3"/>
    <w:rsid w:val="00E4562B"/>
    <w:rsid w:val="00E466BC"/>
    <w:rsid w:val="00E4686A"/>
    <w:rsid w:val="00E46889"/>
    <w:rsid w:val="00E475EB"/>
    <w:rsid w:val="00E479FD"/>
    <w:rsid w:val="00E47A76"/>
    <w:rsid w:val="00E504D6"/>
    <w:rsid w:val="00E50B6F"/>
    <w:rsid w:val="00E50EBE"/>
    <w:rsid w:val="00E50F69"/>
    <w:rsid w:val="00E50FC6"/>
    <w:rsid w:val="00E52372"/>
    <w:rsid w:val="00E5272D"/>
    <w:rsid w:val="00E52786"/>
    <w:rsid w:val="00E52987"/>
    <w:rsid w:val="00E52F05"/>
    <w:rsid w:val="00E540CA"/>
    <w:rsid w:val="00E54C83"/>
    <w:rsid w:val="00E54CF5"/>
    <w:rsid w:val="00E55460"/>
    <w:rsid w:val="00E55B28"/>
    <w:rsid w:val="00E56020"/>
    <w:rsid w:val="00E56D4A"/>
    <w:rsid w:val="00E57119"/>
    <w:rsid w:val="00E5719E"/>
    <w:rsid w:val="00E57D7B"/>
    <w:rsid w:val="00E57F4B"/>
    <w:rsid w:val="00E600A6"/>
    <w:rsid w:val="00E602E5"/>
    <w:rsid w:val="00E602F8"/>
    <w:rsid w:val="00E6085B"/>
    <w:rsid w:val="00E60FBA"/>
    <w:rsid w:val="00E60FBF"/>
    <w:rsid w:val="00E611AE"/>
    <w:rsid w:val="00E616F9"/>
    <w:rsid w:val="00E61852"/>
    <w:rsid w:val="00E61A0C"/>
    <w:rsid w:val="00E61D22"/>
    <w:rsid w:val="00E61D96"/>
    <w:rsid w:val="00E61E4B"/>
    <w:rsid w:val="00E61E57"/>
    <w:rsid w:val="00E62F6E"/>
    <w:rsid w:val="00E63DA2"/>
    <w:rsid w:val="00E641E8"/>
    <w:rsid w:val="00E642AF"/>
    <w:rsid w:val="00E644C6"/>
    <w:rsid w:val="00E64555"/>
    <w:rsid w:val="00E64595"/>
    <w:rsid w:val="00E646BB"/>
    <w:rsid w:val="00E64B83"/>
    <w:rsid w:val="00E64D24"/>
    <w:rsid w:val="00E64FAF"/>
    <w:rsid w:val="00E653A6"/>
    <w:rsid w:val="00E6549C"/>
    <w:rsid w:val="00E654B9"/>
    <w:rsid w:val="00E6589D"/>
    <w:rsid w:val="00E65E8C"/>
    <w:rsid w:val="00E665E7"/>
    <w:rsid w:val="00E6661C"/>
    <w:rsid w:val="00E66C96"/>
    <w:rsid w:val="00E70130"/>
    <w:rsid w:val="00E706DE"/>
    <w:rsid w:val="00E71063"/>
    <w:rsid w:val="00E715FC"/>
    <w:rsid w:val="00E7199E"/>
    <w:rsid w:val="00E71A45"/>
    <w:rsid w:val="00E71C21"/>
    <w:rsid w:val="00E727A4"/>
    <w:rsid w:val="00E72F23"/>
    <w:rsid w:val="00E730FC"/>
    <w:rsid w:val="00E73481"/>
    <w:rsid w:val="00E7385A"/>
    <w:rsid w:val="00E7391F"/>
    <w:rsid w:val="00E73CE6"/>
    <w:rsid w:val="00E74780"/>
    <w:rsid w:val="00E74956"/>
    <w:rsid w:val="00E74F7C"/>
    <w:rsid w:val="00E75061"/>
    <w:rsid w:val="00E752F7"/>
    <w:rsid w:val="00E75848"/>
    <w:rsid w:val="00E759D4"/>
    <w:rsid w:val="00E76A3C"/>
    <w:rsid w:val="00E76F9B"/>
    <w:rsid w:val="00E771FC"/>
    <w:rsid w:val="00E773E5"/>
    <w:rsid w:val="00E77BDD"/>
    <w:rsid w:val="00E806D3"/>
    <w:rsid w:val="00E8104D"/>
    <w:rsid w:val="00E81C34"/>
    <w:rsid w:val="00E81D83"/>
    <w:rsid w:val="00E821BB"/>
    <w:rsid w:val="00E822E9"/>
    <w:rsid w:val="00E826FE"/>
    <w:rsid w:val="00E8275E"/>
    <w:rsid w:val="00E827AF"/>
    <w:rsid w:val="00E82DE9"/>
    <w:rsid w:val="00E83253"/>
    <w:rsid w:val="00E83714"/>
    <w:rsid w:val="00E83831"/>
    <w:rsid w:val="00E84218"/>
    <w:rsid w:val="00E844AB"/>
    <w:rsid w:val="00E84C97"/>
    <w:rsid w:val="00E85005"/>
    <w:rsid w:val="00E85296"/>
    <w:rsid w:val="00E8533B"/>
    <w:rsid w:val="00E85E4E"/>
    <w:rsid w:val="00E86327"/>
    <w:rsid w:val="00E86DF0"/>
    <w:rsid w:val="00E87BD2"/>
    <w:rsid w:val="00E87CDC"/>
    <w:rsid w:val="00E90B33"/>
    <w:rsid w:val="00E910E4"/>
    <w:rsid w:val="00E911E0"/>
    <w:rsid w:val="00E9163E"/>
    <w:rsid w:val="00E92115"/>
    <w:rsid w:val="00E93407"/>
    <w:rsid w:val="00E935E9"/>
    <w:rsid w:val="00E940A8"/>
    <w:rsid w:val="00E94307"/>
    <w:rsid w:val="00E947E8"/>
    <w:rsid w:val="00E94B0F"/>
    <w:rsid w:val="00E9503F"/>
    <w:rsid w:val="00E956F3"/>
    <w:rsid w:val="00E95AA7"/>
    <w:rsid w:val="00E9662E"/>
    <w:rsid w:val="00E96E68"/>
    <w:rsid w:val="00E97013"/>
    <w:rsid w:val="00E97EA1"/>
    <w:rsid w:val="00EA0BBE"/>
    <w:rsid w:val="00EA18B9"/>
    <w:rsid w:val="00EA1FBC"/>
    <w:rsid w:val="00EA20A1"/>
    <w:rsid w:val="00EA212B"/>
    <w:rsid w:val="00EA24B5"/>
    <w:rsid w:val="00EA2AAA"/>
    <w:rsid w:val="00EA2D44"/>
    <w:rsid w:val="00EA3A1D"/>
    <w:rsid w:val="00EA3CD7"/>
    <w:rsid w:val="00EA3D04"/>
    <w:rsid w:val="00EA3E2D"/>
    <w:rsid w:val="00EA4010"/>
    <w:rsid w:val="00EA429D"/>
    <w:rsid w:val="00EA43AF"/>
    <w:rsid w:val="00EA4676"/>
    <w:rsid w:val="00EA47FB"/>
    <w:rsid w:val="00EA4C7C"/>
    <w:rsid w:val="00EA4D4C"/>
    <w:rsid w:val="00EA554F"/>
    <w:rsid w:val="00EA6250"/>
    <w:rsid w:val="00EA66A4"/>
    <w:rsid w:val="00EA6819"/>
    <w:rsid w:val="00EA6A1E"/>
    <w:rsid w:val="00EA6CAC"/>
    <w:rsid w:val="00EA75BD"/>
    <w:rsid w:val="00EA7C47"/>
    <w:rsid w:val="00EB0F0F"/>
    <w:rsid w:val="00EB11EC"/>
    <w:rsid w:val="00EB12A5"/>
    <w:rsid w:val="00EB24D8"/>
    <w:rsid w:val="00EB277B"/>
    <w:rsid w:val="00EB2F20"/>
    <w:rsid w:val="00EB2F35"/>
    <w:rsid w:val="00EB31DB"/>
    <w:rsid w:val="00EB3422"/>
    <w:rsid w:val="00EB3A31"/>
    <w:rsid w:val="00EB4EAF"/>
    <w:rsid w:val="00EB548E"/>
    <w:rsid w:val="00EB5C41"/>
    <w:rsid w:val="00EB5F5A"/>
    <w:rsid w:val="00EB656C"/>
    <w:rsid w:val="00EB657E"/>
    <w:rsid w:val="00EB695E"/>
    <w:rsid w:val="00EB69D1"/>
    <w:rsid w:val="00EB69D4"/>
    <w:rsid w:val="00EB6FE9"/>
    <w:rsid w:val="00EB72FF"/>
    <w:rsid w:val="00EB753E"/>
    <w:rsid w:val="00EB756F"/>
    <w:rsid w:val="00EB79C8"/>
    <w:rsid w:val="00EB7E3F"/>
    <w:rsid w:val="00EB7E78"/>
    <w:rsid w:val="00EC0301"/>
    <w:rsid w:val="00EC08B5"/>
    <w:rsid w:val="00EC09C6"/>
    <w:rsid w:val="00EC0EA5"/>
    <w:rsid w:val="00EC1056"/>
    <w:rsid w:val="00EC1470"/>
    <w:rsid w:val="00EC222E"/>
    <w:rsid w:val="00EC252B"/>
    <w:rsid w:val="00EC2716"/>
    <w:rsid w:val="00EC2DBB"/>
    <w:rsid w:val="00EC358E"/>
    <w:rsid w:val="00EC3FD2"/>
    <w:rsid w:val="00EC4095"/>
    <w:rsid w:val="00EC43B5"/>
    <w:rsid w:val="00EC4537"/>
    <w:rsid w:val="00EC472C"/>
    <w:rsid w:val="00EC4960"/>
    <w:rsid w:val="00EC4AE3"/>
    <w:rsid w:val="00EC5414"/>
    <w:rsid w:val="00EC54EE"/>
    <w:rsid w:val="00EC59B2"/>
    <w:rsid w:val="00EC5A3B"/>
    <w:rsid w:val="00EC6424"/>
    <w:rsid w:val="00EC786C"/>
    <w:rsid w:val="00EC7ADD"/>
    <w:rsid w:val="00EC7C26"/>
    <w:rsid w:val="00ED015C"/>
    <w:rsid w:val="00ED04FE"/>
    <w:rsid w:val="00ED0DD0"/>
    <w:rsid w:val="00ED1122"/>
    <w:rsid w:val="00ED1989"/>
    <w:rsid w:val="00ED28F2"/>
    <w:rsid w:val="00ED2F3E"/>
    <w:rsid w:val="00ED3145"/>
    <w:rsid w:val="00ED3309"/>
    <w:rsid w:val="00ED356E"/>
    <w:rsid w:val="00ED3792"/>
    <w:rsid w:val="00ED3BDA"/>
    <w:rsid w:val="00ED5A3B"/>
    <w:rsid w:val="00ED5C30"/>
    <w:rsid w:val="00ED5E02"/>
    <w:rsid w:val="00ED5E19"/>
    <w:rsid w:val="00ED5EED"/>
    <w:rsid w:val="00ED612A"/>
    <w:rsid w:val="00ED6B1C"/>
    <w:rsid w:val="00ED6CF7"/>
    <w:rsid w:val="00ED6F33"/>
    <w:rsid w:val="00ED70A5"/>
    <w:rsid w:val="00ED7716"/>
    <w:rsid w:val="00ED7737"/>
    <w:rsid w:val="00ED7747"/>
    <w:rsid w:val="00ED7CF4"/>
    <w:rsid w:val="00ED7FA2"/>
    <w:rsid w:val="00EE0786"/>
    <w:rsid w:val="00EE1B0E"/>
    <w:rsid w:val="00EE22FB"/>
    <w:rsid w:val="00EE2407"/>
    <w:rsid w:val="00EE26AE"/>
    <w:rsid w:val="00EE29C8"/>
    <w:rsid w:val="00EE2A54"/>
    <w:rsid w:val="00EE2FC2"/>
    <w:rsid w:val="00EE3B6B"/>
    <w:rsid w:val="00EE3B88"/>
    <w:rsid w:val="00EE4B75"/>
    <w:rsid w:val="00EE4D34"/>
    <w:rsid w:val="00EE4DBD"/>
    <w:rsid w:val="00EE6AC6"/>
    <w:rsid w:val="00EE6E26"/>
    <w:rsid w:val="00EE784F"/>
    <w:rsid w:val="00EE7A1D"/>
    <w:rsid w:val="00EE7BA1"/>
    <w:rsid w:val="00EE7DBD"/>
    <w:rsid w:val="00EF0500"/>
    <w:rsid w:val="00EF0808"/>
    <w:rsid w:val="00EF1002"/>
    <w:rsid w:val="00EF143F"/>
    <w:rsid w:val="00EF1D3B"/>
    <w:rsid w:val="00EF23D8"/>
    <w:rsid w:val="00EF2A5A"/>
    <w:rsid w:val="00EF2A87"/>
    <w:rsid w:val="00EF3A74"/>
    <w:rsid w:val="00EF3AE9"/>
    <w:rsid w:val="00EF3EA5"/>
    <w:rsid w:val="00EF49FB"/>
    <w:rsid w:val="00EF541C"/>
    <w:rsid w:val="00EF55D6"/>
    <w:rsid w:val="00EF644D"/>
    <w:rsid w:val="00EF6BAD"/>
    <w:rsid w:val="00EF6D29"/>
    <w:rsid w:val="00EF6E79"/>
    <w:rsid w:val="00EF7138"/>
    <w:rsid w:val="00EF7E0B"/>
    <w:rsid w:val="00F006AD"/>
    <w:rsid w:val="00F00881"/>
    <w:rsid w:val="00F00917"/>
    <w:rsid w:val="00F00B65"/>
    <w:rsid w:val="00F010BB"/>
    <w:rsid w:val="00F012C1"/>
    <w:rsid w:val="00F0175F"/>
    <w:rsid w:val="00F01A41"/>
    <w:rsid w:val="00F03280"/>
    <w:rsid w:val="00F0362A"/>
    <w:rsid w:val="00F0385C"/>
    <w:rsid w:val="00F03ABE"/>
    <w:rsid w:val="00F03B69"/>
    <w:rsid w:val="00F04345"/>
    <w:rsid w:val="00F047A4"/>
    <w:rsid w:val="00F04F52"/>
    <w:rsid w:val="00F0502D"/>
    <w:rsid w:val="00F0510F"/>
    <w:rsid w:val="00F0563F"/>
    <w:rsid w:val="00F05973"/>
    <w:rsid w:val="00F064EF"/>
    <w:rsid w:val="00F06558"/>
    <w:rsid w:val="00F06F42"/>
    <w:rsid w:val="00F07122"/>
    <w:rsid w:val="00F074C9"/>
    <w:rsid w:val="00F07588"/>
    <w:rsid w:val="00F07C82"/>
    <w:rsid w:val="00F07F5E"/>
    <w:rsid w:val="00F1001E"/>
    <w:rsid w:val="00F1055F"/>
    <w:rsid w:val="00F106BB"/>
    <w:rsid w:val="00F10BA6"/>
    <w:rsid w:val="00F11027"/>
    <w:rsid w:val="00F111BA"/>
    <w:rsid w:val="00F1155D"/>
    <w:rsid w:val="00F116DD"/>
    <w:rsid w:val="00F11D9F"/>
    <w:rsid w:val="00F11E31"/>
    <w:rsid w:val="00F12C53"/>
    <w:rsid w:val="00F1360C"/>
    <w:rsid w:val="00F13858"/>
    <w:rsid w:val="00F13AA1"/>
    <w:rsid w:val="00F13F2A"/>
    <w:rsid w:val="00F14D9E"/>
    <w:rsid w:val="00F15097"/>
    <w:rsid w:val="00F153F8"/>
    <w:rsid w:val="00F15671"/>
    <w:rsid w:val="00F1643E"/>
    <w:rsid w:val="00F16695"/>
    <w:rsid w:val="00F17159"/>
    <w:rsid w:val="00F1733F"/>
    <w:rsid w:val="00F202E3"/>
    <w:rsid w:val="00F20C6E"/>
    <w:rsid w:val="00F20D6C"/>
    <w:rsid w:val="00F20F03"/>
    <w:rsid w:val="00F211AF"/>
    <w:rsid w:val="00F2255F"/>
    <w:rsid w:val="00F225CF"/>
    <w:rsid w:val="00F22712"/>
    <w:rsid w:val="00F2279B"/>
    <w:rsid w:val="00F22882"/>
    <w:rsid w:val="00F22985"/>
    <w:rsid w:val="00F22AEF"/>
    <w:rsid w:val="00F22F7A"/>
    <w:rsid w:val="00F2343C"/>
    <w:rsid w:val="00F23506"/>
    <w:rsid w:val="00F23CFC"/>
    <w:rsid w:val="00F24076"/>
    <w:rsid w:val="00F240CB"/>
    <w:rsid w:val="00F2492F"/>
    <w:rsid w:val="00F2500D"/>
    <w:rsid w:val="00F251B2"/>
    <w:rsid w:val="00F2596D"/>
    <w:rsid w:val="00F25CAA"/>
    <w:rsid w:val="00F26AD6"/>
    <w:rsid w:val="00F2711C"/>
    <w:rsid w:val="00F2720E"/>
    <w:rsid w:val="00F27253"/>
    <w:rsid w:val="00F277E8"/>
    <w:rsid w:val="00F27B04"/>
    <w:rsid w:val="00F27E3D"/>
    <w:rsid w:val="00F27EB2"/>
    <w:rsid w:val="00F301D0"/>
    <w:rsid w:val="00F3069F"/>
    <w:rsid w:val="00F30A02"/>
    <w:rsid w:val="00F30C3F"/>
    <w:rsid w:val="00F30C60"/>
    <w:rsid w:val="00F30F38"/>
    <w:rsid w:val="00F311D1"/>
    <w:rsid w:val="00F3158A"/>
    <w:rsid w:val="00F318DB"/>
    <w:rsid w:val="00F3199C"/>
    <w:rsid w:val="00F31F7D"/>
    <w:rsid w:val="00F31FB9"/>
    <w:rsid w:val="00F325E1"/>
    <w:rsid w:val="00F326F6"/>
    <w:rsid w:val="00F32AFF"/>
    <w:rsid w:val="00F33825"/>
    <w:rsid w:val="00F33A8B"/>
    <w:rsid w:val="00F33D3B"/>
    <w:rsid w:val="00F34A96"/>
    <w:rsid w:val="00F34EBF"/>
    <w:rsid w:val="00F34F05"/>
    <w:rsid w:val="00F356D5"/>
    <w:rsid w:val="00F359A5"/>
    <w:rsid w:val="00F361AE"/>
    <w:rsid w:val="00F36240"/>
    <w:rsid w:val="00F363EB"/>
    <w:rsid w:val="00F365DE"/>
    <w:rsid w:val="00F366DA"/>
    <w:rsid w:val="00F367CF"/>
    <w:rsid w:val="00F36D37"/>
    <w:rsid w:val="00F3719A"/>
    <w:rsid w:val="00F379BF"/>
    <w:rsid w:val="00F37EA7"/>
    <w:rsid w:val="00F405C7"/>
    <w:rsid w:val="00F40805"/>
    <w:rsid w:val="00F40B93"/>
    <w:rsid w:val="00F40C5E"/>
    <w:rsid w:val="00F40E3E"/>
    <w:rsid w:val="00F4163A"/>
    <w:rsid w:val="00F41873"/>
    <w:rsid w:val="00F419C3"/>
    <w:rsid w:val="00F41D91"/>
    <w:rsid w:val="00F41E2B"/>
    <w:rsid w:val="00F421DA"/>
    <w:rsid w:val="00F423BE"/>
    <w:rsid w:val="00F424A5"/>
    <w:rsid w:val="00F425EF"/>
    <w:rsid w:val="00F428AC"/>
    <w:rsid w:val="00F42AAD"/>
    <w:rsid w:val="00F42EE3"/>
    <w:rsid w:val="00F43149"/>
    <w:rsid w:val="00F43660"/>
    <w:rsid w:val="00F43B91"/>
    <w:rsid w:val="00F44542"/>
    <w:rsid w:val="00F448DD"/>
    <w:rsid w:val="00F44D6A"/>
    <w:rsid w:val="00F44DB8"/>
    <w:rsid w:val="00F455C0"/>
    <w:rsid w:val="00F45760"/>
    <w:rsid w:val="00F45925"/>
    <w:rsid w:val="00F46BA6"/>
    <w:rsid w:val="00F46C97"/>
    <w:rsid w:val="00F46FFE"/>
    <w:rsid w:val="00F4703E"/>
    <w:rsid w:val="00F4775F"/>
    <w:rsid w:val="00F47824"/>
    <w:rsid w:val="00F50781"/>
    <w:rsid w:val="00F50CA3"/>
    <w:rsid w:val="00F517ED"/>
    <w:rsid w:val="00F51F3F"/>
    <w:rsid w:val="00F528B5"/>
    <w:rsid w:val="00F528E7"/>
    <w:rsid w:val="00F52C8A"/>
    <w:rsid w:val="00F5352D"/>
    <w:rsid w:val="00F53615"/>
    <w:rsid w:val="00F53A91"/>
    <w:rsid w:val="00F54466"/>
    <w:rsid w:val="00F54783"/>
    <w:rsid w:val="00F547E9"/>
    <w:rsid w:val="00F5494E"/>
    <w:rsid w:val="00F54ABE"/>
    <w:rsid w:val="00F55385"/>
    <w:rsid w:val="00F55804"/>
    <w:rsid w:val="00F55F1A"/>
    <w:rsid w:val="00F56310"/>
    <w:rsid w:val="00F5684C"/>
    <w:rsid w:val="00F570D4"/>
    <w:rsid w:val="00F57210"/>
    <w:rsid w:val="00F577FC"/>
    <w:rsid w:val="00F602F0"/>
    <w:rsid w:val="00F60C90"/>
    <w:rsid w:val="00F619EE"/>
    <w:rsid w:val="00F61CF5"/>
    <w:rsid w:val="00F61FF9"/>
    <w:rsid w:val="00F62069"/>
    <w:rsid w:val="00F62159"/>
    <w:rsid w:val="00F62A7C"/>
    <w:rsid w:val="00F62A7D"/>
    <w:rsid w:val="00F62B93"/>
    <w:rsid w:val="00F633CC"/>
    <w:rsid w:val="00F633E5"/>
    <w:rsid w:val="00F63C89"/>
    <w:rsid w:val="00F647EC"/>
    <w:rsid w:val="00F64FAB"/>
    <w:rsid w:val="00F65AC8"/>
    <w:rsid w:val="00F65CEA"/>
    <w:rsid w:val="00F65F15"/>
    <w:rsid w:val="00F66443"/>
    <w:rsid w:val="00F675EA"/>
    <w:rsid w:val="00F7073B"/>
    <w:rsid w:val="00F7074A"/>
    <w:rsid w:val="00F70AD6"/>
    <w:rsid w:val="00F71687"/>
    <w:rsid w:val="00F71708"/>
    <w:rsid w:val="00F717C1"/>
    <w:rsid w:val="00F71AAE"/>
    <w:rsid w:val="00F71CDB"/>
    <w:rsid w:val="00F725D3"/>
    <w:rsid w:val="00F7281E"/>
    <w:rsid w:val="00F72C1A"/>
    <w:rsid w:val="00F72C3D"/>
    <w:rsid w:val="00F737AB"/>
    <w:rsid w:val="00F74216"/>
    <w:rsid w:val="00F74F0F"/>
    <w:rsid w:val="00F75731"/>
    <w:rsid w:val="00F75841"/>
    <w:rsid w:val="00F76333"/>
    <w:rsid w:val="00F770C6"/>
    <w:rsid w:val="00F77100"/>
    <w:rsid w:val="00F80550"/>
    <w:rsid w:val="00F8090F"/>
    <w:rsid w:val="00F80A8A"/>
    <w:rsid w:val="00F8119A"/>
    <w:rsid w:val="00F8139A"/>
    <w:rsid w:val="00F82AAE"/>
    <w:rsid w:val="00F834BE"/>
    <w:rsid w:val="00F838A9"/>
    <w:rsid w:val="00F849E3"/>
    <w:rsid w:val="00F84B4E"/>
    <w:rsid w:val="00F84C44"/>
    <w:rsid w:val="00F84F30"/>
    <w:rsid w:val="00F851B7"/>
    <w:rsid w:val="00F8566C"/>
    <w:rsid w:val="00F858D4"/>
    <w:rsid w:val="00F85C65"/>
    <w:rsid w:val="00F860EB"/>
    <w:rsid w:val="00F868B6"/>
    <w:rsid w:val="00F86968"/>
    <w:rsid w:val="00F86E42"/>
    <w:rsid w:val="00F876E6"/>
    <w:rsid w:val="00F87825"/>
    <w:rsid w:val="00F87838"/>
    <w:rsid w:val="00F879E8"/>
    <w:rsid w:val="00F87FCE"/>
    <w:rsid w:val="00F9008B"/>
    <w:rsid w:val="00F909C7"/>
    <w:rsid w:val="00F91669"/>
    <w:rsid w:val="00F916DE"/>
    <w:rsid w:val="00F9184F"/>
    <w:rsid w:val="00F91943"/>
    <w:rsid w:val="00F9231D"/>
    <w:rsid w:val="00F92A66"/>
    <w:rsid w:val="00F931CF"/>
    <w:rsid w:val="00F93A31"/>
    <w:rsid w:val="00F93D6E"/>
    <w:rsid w:val="00F9423D"/>
    <w:rsid w:val="00F942C2"/>
    <w:rsid w:val="00F9449D"/>
    <w:rsid w:val="00F94609"/>
    <w:rsid w:val="00F94F16"/>
    <w:rsid w:val="00F95182"/>
    <w:rsid w:val="00F957D2"/>
    <w:rsid w:val="00F95D94"/>
    <w:rsid w:val="00F96F86"/>
    <w:rsid w:val="00FA02B8"/>
    <w:rsid w:val="00FA07CB"/>
    <w:rsid w:val="00FA0980"/>
    <w:rsid w:val="00FA1028"/>
    <w:rsid w:val="00FA157E"/>
    <w:rsid w:val="00FA181F"/>
    <w:rsid w:val="00FA1C1F"/>
    <w:rsid w:val="00FA1E82"/>
    <w:rsid w:val="00FA2137"/>
    <w:rsid w:val="00FA272D"/>
    <w:rsid w:val="00FA338D"/>
    <w:rsid w:val="00FA34A2"/>
    <w:rsid w:val="00FA3742"/>
    <w:rsid w:val="00FA3837"/>
    <w:rsid w:val="00FA39FC"/>
    <w:rsid w:val="00FA44B4"/>
    <w:rsid w:val="00FA4538"/>
    <w:rsid w:val="00FA4998"/>
    <w:rsid w:val="00FA4DC2"/>
    <w:rsid w:val="00FA57D1"/>
    <w:rsid w:val="00FA67E3"/>
    <w:rsid w:val="00FA6A25"/>
    <w:rsid w:val="00FA7157"/>
    <w:rsid w:val="00FA73A6"/>
    <w:rsid w:val="00FA7698"/>
    <w:rsid w:val="00FA78C2"/>
    <w:rsid w:val="00FA7A2D"/>
    <w:rsid w:val="00FA7B4F"/>
    <w:rsid w:val="00FA7DA6"/>
    <w:rsid w:val="00FB02F8"/>
    <w:rsid w:val="00FB06E7"/>
    <w:rsid w:val="00FB0822"/>
    <w:rsid w:val="00FB0AC3"/>
    <w:rsid w:val="00FB1093"/>
    <w:rsid w:val="00FB13A0"/>
    <w:rsid w:val="00FB2142"/>
    <w:rsid w:val="00FB227E"/>
    <w:rsid w:val="00FB25DA"/>
    <w:rsid w:val="00FB267D"/>
    <w:rsid w:val="00FB2A18"/>
    <w:rsid w:val="00FB2BF4"/>
    <w:rsid w:val="00FB2C8D"/>
    <w:rsid w:val="00FB2DC6"/>
    <w:rsid w:val="00FB4267"/>
    <w:rsid w:val="00FB4CEE"/>
    <w:rsid w:val="00FB59D4"/>
    <w:rsid w:val="00FB5E81"/>
    <w:rsid w:val="00FB6E6C"/>
    <w:rsid w:val="00FB714B"/>
    <w:rsid w:val="00FB71B0"/>
    <w:rsid w:val="00FB7ABA"/>
    <w:rsid w:val="00FB7C21"/>
    <w:rsid w:val="00FB7C46"/>
    <w:rsid w:val="00FC04E0"/>
    <w:rsid w:val="00FC06CE"/>
    <w:rsid w:val="00FC0D98"/>
    <w:rsid w:val="00FC0E2F"/>
    <w:rsid w:val="00FC1042"/>
    <w:rsid w:val="00FC11C6"/>
    <w:rsid w:val="00FC17D8"/>
    <w:rsid w:val="00FC279A"/>
    <w:rsid w:val="00FC324D"/>
    <w:rsid w:val="00FC39A1"/>
    <w:rsid w:val="00FC3BC3"/>
    <w:rsid w:val="00FC3E47"/>
    <w:rsid w:val="00FC4B53"/>
    <w:rsid w:val="00FC4BAE"/>
    <w:rsid w:val="00FC4F75"/>
    <w:rsid w:val="00FC5160"/>
    <w:rsid w:val="00FC5A36"/>
    <w:rsid w:val="00FC6353"/>
    <w:rsid w:val="00FC6638"/>
    <w:rsid w:val="00FC69CF"/>
    <w:rsid w:val="00FC6B0B"/>
    <w:rsid w:val="00FC713B"/>
    <w:rsid w:val="00FC7862"/>
    <w:rsid w:val="00FC79D5"/>
    <w:rsid w:val="00FC7B35"/>
    <w:rsid w:val="00FC7B53"/>
    <w:rsid w:val="00FC7BD8"/>
    <w:rsid w:val="00FD0177"/>
    <w:rsid w:val="00FD0AE7"/>
    <w:rsid w:val="00FD0B44"/>
    <w:rsid w:val="00FD0F70"/>
    <w:rsid w:val="00FD103C"/>
    <w:rsid w:val="00FD15C2"/>
    <w:rsid w:val="00FD2315"/>
    <w:rsid w:val="00FD29A7"/>
    <w:rsid w:val="00FD2B15"/>
    <w:rsid w:val="00FD3092"/>
    <w:rsid w:val="00FD3D48"/>
    <w:rsid w:val="00FD412E"/>
    <w:rsid w:val="00FD420F"/>
    <w:rsid w:val="00FD4339"/>
    <w:rsid w:val="00FD4B0C"/>
    <w:rsid w:val="00FD4E61"/>
    <w:rsid w:val="00FD4F2F"/>
    <w:rsid w:val="00FD51F7"/>
    <w:rsid w:val="00FD5258"/>
    <w:rsid w:val="00FD52E0"/>
    <w:rsid w:val="00FD5602"/>
    <w:rsid w:val="00FD5661"/>
    <w:rsid w:val="00FD5A2A"/>
    <w:rsid w:val="00FD5AE2"/>
    <w:rsid w:val="00FD5F79"/>
    <w:rsid w:val="00FD6163"/>
    <w:rsid w:val="00FD62B4"/>
    <w:rsid w:val="00FD7142"/>
    <w:rsid w:val="00FD750F"/>
    <w:rsid w:val="00FE011C"/>
    <w:rsid w:val="00FE0458"/>
    <w:rsid w:val="00FE07DC"/>
    <w:rsid w:val="00FE08FB"/>
    <w:rsid w:val="00FE1116"/>
    <w:rsid w:val="00FE2075"/>
    <w:rsid w:val="00FE2080"/>
    <w:rsid w:val="00FE2112"/>
    <w:rsid w:val="00FE27B9"/>
    <w:rsid w:val="00FE2BA7"/>
    <w:rsid w:val="00FE2E37"/>
    <w:rsid w:val="00FE30EF"/>
    <w:rsid w:val="00FE3640"/>
    <w:rsid w:val="00FE36B6"/>
    <w:rsid w:val="00FE3780"/>
    <w:rsid w:val="00FE3954"/>
    <w:rsid w:val="00FE3AE5"/>
    <w:rsid w:val="00FE3CF7"/>
    <w:rsid w:val="00FE4071"/>
    <w:rsid w:val="00FE42E3"/>
    <w:rsid w:val="00FE4ECD"/>
    <w:rsid w:val="00FE52B7"/>
    <w:rsid w:val="00FE53C5"/>
    <w:rsid w:val="00FE56A8"/>
    <w:rsid w:val="00FE5807"/>
    <w:rsid w:val="00FE5C39"/>
    <w:rsid w:val="00FE5C57"/>
    <w:rsid w:val="00FE5F98"/>
    <w:rsid w:val="00FE624E"/>
    <w:rsid w:val="00FE6415"/>
    <w:rsid w:val="00FE69E7"/>
    <w:rsid w:val="00FE6BB8"/>
    <w:rsid w:val="00FE6E76"/>
    <w:rsid w:val="00FF027B"/>
    <w:rsid w:val="00FF1174"/>
    <w:rsid w:val="00FF165A"/>
    <w:rsid w:val="00FF1B72"/>
    <w:rsid w:val="00FF1CF1"/>
    <w:rsid w:val="00FF1F4C"/>
    <w:rsid w:val="00FF1F90"/>
    <w:rsid w:val="00FF228F"/>
    <w:rsid w:val="00FF35DC"/>
    <w:rsid w:val="00FF3A6A"/>
    <w:rsid w:val="00FF3C7A"/>
    <w:rsid w:val="00FF3E09"/>
    <w:rsid w:val="00FF411C"/>
    <w:rsid w:val="00FF44C6"/>
    <w:rsid w:val="00FF4B2E"/>
    <w:rsid w:val="00FF4E4B"/>
    <w:rsid w:val="00FF4E4E"/>
    <w:rsid w:val="00FF5049"/>
    <w:rsid w:val="00FF519C"/>
    <w:rsid w:val="00FF5D1F"/>
    <w:rsid w:val="00FF5F95"/>
    <w:rsid w:val="00FF6126"/>
    <w:rsid w:val="00FF61F5"/>
    <w:rsid w:val="00FF62AA"/>
    <w:rsid w:val="00FF64D7"/>
    <w:rsid w:val="00FF678B"/>
    <w:rsid w:val="00FF6B6C"/>
    <w:rsid w:val="00FF6DD4"/>
    <w:rsid w:val="011A30DE"/>
    <w:rsid w:val="01243B92"/>
    <w:rsid w:val="015E0F15"/>
    <w:rsid w:val="01663906"/>
    <w:rsid w:val="01714ECB"/>
    <w:rsid w:val="01901FEF"/>
    <w:rsid w:val="01AA2C10"/>
    <w:rsid w:val="01BD420B"/>
    <w:rsid w:val="02181D74"/>
    <w:rsid w:val="0225605B"/>
    <w:rsid w:val="02DB1E86"/>
    <w:rsid w:val="037738D8"/>
    <w:rsid w:val="03CF7116"/>
    <w:rsid w:val="04272850"/>
    <w:rsid w:val="047B2AA8"/>
    <w:rsid w:val="048B5909"/>
    <w:rsid w:val="0586173D"/>
    <w:rsid w:val="06197F7E"/>
    <w:rsid w:val="062804A3"/>
    <w:rsid w:val="068955F4"/>
    <w:rsid w:val="075A5BC6"/>
    <w:rsid w:val="075F0692"/>
    <w:rsid w:val="078D7936"/>
    <w:rsid w:val="07935DE5"/>
    <w:rsid w:val="07DB054A"/>
    <w:rsid w:val="081172DC"/>
    <w:rsid w:val="083D2AF4"/>
    <w:rsid w:val="08D2254A"/>
    <w:rsid w:val="08F53B23"/>
    <w:rsid w:val="099A1CEE"/>
    <w:rsid w:val="0A053C89"/>
    <w:rsid w:val="0A070656"/>
    <w:rsid w:val="0A105B38"/>
    <w:rsid w:val="0A913ED8"/>
    <w:rsid w:val="0B1D5DDF"/>
    <w:rsid w:val="0B2034AD"/>
    <w:rsid w:val="0B24171E"/>
    <w:rsid w:val="0B5C3243"/>
    <w:rsid w:val="0B5E59FA"/>
    <w:rsid w:val="0B860C00"/>
    <w:rsid w:val="0B9D4521"/>
    <w:rsid w:val="0BAD59A4"/>
    <w:rsid w:val="0BCF1224"/>
    <w:rsid w:val="0C274EF7"/>
    <w:rsid w:val="0C2769AC"/>
    <w:rsid w:val="0C357211"/>
    <w:rsid w:val="0C466B45"/>
    <w:rsid w:val="0CB06A85"/>
    <w:rsid w:val="0CD26D67"/>
    <w:rsid w:val="0D584403"/>
    <w:rsid w:val="0D9D0734"/>
    <w:rsid w:val="0DC23CB8"/>
    <w:rsid w:val="0DE30DD2"/>
    <w:rsid w:val="0DEE7765"/>
    <w:rsid w:val="0E237B3C"/>
    <w:rsid w:val="0E652045"/>
    <w:rsid w:val="0F204221"/>
    <w:rsid w:val="0F2B5D1F"/>
    <w:rsid w:val="0F6053AB"/>
    <w:rsid w:val="0FB70618"/>
    <w:rsid w:val="0FD22848"/>
    <w:rsid w:val="0FE4691A"/>
    <w:rsid w:val="0FF24F15"/>
    <w:rsid w:val="10050347"/>
    <w:rsid w:val="101C0A97"/>
    <w:rsid w:val="102A66C8"/>
    <w:rsid w:val="10505595"/>
    <w:rsid w:val="10674DD9"/>
    <w:rsid w:val="10E50428"/>
    <w:rsid w:val="10F67974"/>
    <w:rsid w:val="12026A19"/>
    <w:rsid w:val="12685FCD"/>
    <w:rsid w:val="128D191E"/>
    <w:rsid w:val="136256DC"/>
    <w:rsid w:val="13810255"/>
    <w:rsid w:val="13EF0479"/>
    <w:rsid w:val="145324A8"/>
    <w:rsid w:val="14695EAA"/>
    <w:rsid w:val="146F2C7A"/>
    <w:rsid w:val="149E4992"/>
    <w:rsid w:val="150E5397"/>
    <w:rsid w:val="15B50326"/>
    <w:rsid w:val="15E207A3"/>
    <w:rsid w:val="16170BEA"/>
    <w:rsid w:val="16962C7A"/>
    <w:rsid w:val="16A3101D"/>
    <w:rsid w:val="16CC05DF"/>
    <w:rsid w:val="170E5D26"/>
    <w:rsid w:val="175233D3"/>
    <w:rsid w:val="17694B12"/>
    <w:rsid w:val="178F6048"/>
    <w:rsid w:val="17BE59A2"/>
    <w:rsid w:val="18185849"/>
    <w:rsid w:val="187C781B"/>
    <w:rsid w:val="19924F1D"/>
    <w:rsid w:val="199B6134"/>
    <w:rsid w:val="19DC60C6"/>
    <w:rsid w:val="1A20795E"/>
    <w:rsid w:val="1A442DE9"/>
    <w:rsid w:val="1A4605E5"/>
    <w:rsid w:val="1AB23A71"/>
    <w:rsid w:val="1AFB2E83"/>
    <w:rsid w:val="1B020FD9"/>
    <w:rsid w:val="1B3121E7"/>
    <w:rsid w:val="1BC305D3"/>
    <w:rsid w:val="1BF679EE"/>
    <w:rsid w:val="1BFD01D5"/>
    <w:rsid w:val="1C155B9F"/>
    <w:rsid w:val="1CD55680"/>
    <w:rsid w:val="1D15446A"/>
    <w:rsid w:val="1D321E13"/>
    <w:rsid w:val="1DA717A4"/>
    <w:rsid w:val="1DBC044E"/>
    <w:rsid w:val="1DE70498"/>
    <w:rsid w:val="1F1A3993"/>
    <w:rsid w:val="1F4849CA"/>
    <w:rsid w:val="1F4A101C"/>
    <w:rsid w:val="1F873477"/>
    <w:rsid w:val="1FE25B40"/>
    <w:rsid w:val="20143B6E"/>
    <w:rsid w:val="201E0997"/>
    <w:rsid w:val="20511755"/>
    <w:rsid w:val="206862BD"/>
    <w:rsid w:val="209B100E"/>
    <w:rsid w:val="20A9456C"/>
    <w:rsid w:val="20B00655"/>
    <w:rsid w:val="21455F84"/>
    <w:rsid w:val="217D4EBE"/>
    <w:rsid w:val="219C51F6"/>
    <w:rsid w:val="21B10E65"/>
    <w:rsid w:val="22447D7B"/>
    <w:rsid w:val="22552F34"/>
    <w:rsid w:val="232A6D75"/>
    <w:rsid w:val="24131ED5"/>
    <w:rsid w:val="244A0014"/>
    <w:rsid w:val="24977600"/>
    <w:rsid w:val="24B831E2"/>
    <w:rsid w:val="24D74796"/>
    <w:rsid w:val="24F54377"/>
    <w:rsid w:val="250B120F"/>
    <w:rsid w:val="250F34CF"/>
    <w:rsid w:val="25114D14"/>
    <w:rsid w:val="252C7220"/>
    <w:rsid w:val="256C2A6E"/>
    <w:rsid w:val="25B95C6E"/>
    <w:rsid w:val="25F67E5A"/>
    <w:rsid w:val="26152EB1"/>
    <w:rsid w:val="2668592C"/>
    <w:rsid w:val="26813D30"/>
    <w:rsid w:val="26A50560"/>
    <w:rsid w:val="26EA021A"/>
    <w:rsid w:val="270F55EE"/>
    <w:rsid w:val="272F1A96"/>
    <w:rsid w:val="27366201"/>
    <w:rsid w:val="276E48E5"/>
    <w:rsid w:val="27E6663B"/>
    <w:rsid w:val="27F52753"/>
    <w:rsid w:val="282312C7"/>
    <w:rsid w:val="284035F2"/>
    <w:rsid w:val="28553930"/>
    <w:rsid w:val="28A96DE5"/>
    <w:rsid w:val="28CD67FB"/>
    <w:rsid w:val="292F5620"/>
    <w:rsid w:val="297B0CF7"/>
    <w:rsid w:val="29BD4974"/>
    <w:rsid w:val="2B1B3318"/>
    <w:rsid w:val="2B303A78"/>
    <w:rsid w:val="2B822DA1"/>
    <w:rsid w:val="2BE13903"/>
    <w:rsid w:val="2C3D6859"/>
    <w:rsid w:val="2C6E08C2"/>
    <w:rsid w:val="2E606C4B"/>
    <w:rsid w:val="2EA133AF"/>
    <w:rsid w:val="2EDD2DD9"/>
    <w:rsid w:val="2F723467"/>
    <w:rsid w:val="2F922149"/>
    <w:rsid w:val="30002B75"/>
    <w:rsid w:val="30405CA0"/>
    <w:rsid w:val="306835D0"/>
    <w:rsid w:val="30F62005"/>
    <w:rsid w:val="313E0DD8"/>
    <w:rsid w:val="31920EFC"/>
    <w:rsid w:val="32153FA4"/>
    <w:rsid w:val="32A0292F"/>
    <w:rsid w:val="32A02B99"/>
    <w:rsid w:val="330F2BAA"/>
    <w:rsid w:val="331D4DE9"/>
    <w:rsid w:val="335450AB"/>
    <w:rsid w:val="337D5F7B"/>
    <w:rsid w:val="338502F0"/>
    <w:rsid w:val="33D414D0"/>
    <w:rsid w:val="33DA5945"/>
    <w:rsid w:val="3411197D"/>
    <w:rsid w:val="341344FC"/>
    <w:rsid w:val="34603E67"/>
    <w:rsid w:val="34AD26E7"/>
    <w:rsid w:val="34FD2D40"/>
    <w:rsid w:val="354E19EB"/>
    <w:rsid w:val="35CD358A"/>
    <w:rsid w:val="35E23642"/>
    <w:rsid w:val="36232DB0"/>
    <w:rsid w:val="362C0BAC"/>
    <w:rsid w:val="36464CCC"/>
    <w:rsid w:val="371F01BC"/>
    <w:rsid w:val="37457E46"/>
    <w:rsid w:val="37AA4C4E"/>
    <w:rsid w:val="3800212F"/>
    <w:rsid w:val="385F359C"/>
    <w:rsid w:val="388123BB"/>
    <w:rsid w:val="399135F9"/>
    <w:rsid w:val="3B223262"/>
    <w:rsid w:val="3B266C42"/>
    <w:rsid w:val="3BA80B19"/>
    <w:rsid w:val="3BE848C4"/>
    <w:rsid w:val="3C3B15E2"/>
    <w:rsid w:val="3C4240EC"/>
    <w:rsid w:val="3C707C6B"/>
    <w:rsid w:val="3CFA1BCE"/>
    <w:rsid w:val="3D1D5E69"/>
    <w:rsid w:val="3D711B40"/>
    <w:rsid w:val="3DC348D3"/>
    <w:rsid w:val="3DF0138D"/>
    <w:rsid w:val="3E571340"/>
    <w:rsid w:val="3E800AA6"/>
    <w:rsid w:val="3E845569"/>
    <w:rsid w:val="3EF4725F"/>
    <w:rsid w:val="3F3A1FEB"/>
    <w:rsid w:val="3F40086D"/>
    <w:rsid w:val="3F6A726A"/>
    <w:rsid w:val="402D7572"/>
    <w:rsid w:val="40607038"/>
    <w:rsid w:val="40A67243"/>
    <w:rsid w:val="40D97C2D"/>
    <w:rsid w:val="41F11750"/>
    <w:rsid w:val="42253D73"/>
    <w:rsid w:val="422C7D41"/>
    <w:rsid w:val="42F827BF"/>
    <w:rsid w:val="445A645C"/>
    <w:rsid w:val="44E4602A"/>
    <w:rsid w:val="45247770"/>
    <w:rsid w:val="45B80788"/>
    <w:rsid w:val="46181376"/>
    <w:rsid w:val="4635166A"/>
    <w:rsid w:val="467D1647"/>
    <w:rsid w:val="477115AD"/>
    <w:rsid w:val="47D400B1"/>
    <w:rsid w:val="47E9061B"/>
    <w:rsid w:val="48022E9C"/>
    <w:rsid w:val="484245C7"/>
    <w:rsid w:val="48646DDE"/>
    <w:rsid w:val="48883BF9"/>
    <w:rsid w:val="488D7CFE"/>
    <w:rsid w:val="491133E8"/>
    <w:rsid w:val="49323FD7"/>
    <w:rsid w:val="495B5688"/>
    <w:rsid w:val="4A0B5D5F"/>
    <w:rsid w:val="4ACA5183"/>
    <w:rsid w:val="4AD04C95"/>
    <w:rsid w:val="4B116E5C"/>
    <w:rsid w:val="4B5C05B0"/>
    <w:rsid w:val="4B8F3EAC"/>
    <w:rsid w:val="4C12409B"/>
    <w:rsid w:val="4CF22F6C"/>
    <w:rsid w:val="4D130C62"/>
    <w:rsid w:val="4D5137E5"/>
    <w:rsid w:val="4D5601C7"/>
    <w:rsid w:val="4D774028"/>
    <w:rsid w:val="4D84279B"/>
    <w:rsid w:val="4E34228F"/>
    <w:rsid w:val="4E9B5FEF"/>
    <w:rsid w:val="4EAC5711"/>
    <w:rsid w:val="4EB40E5E"/>
    <w:rsid w:val="4EBA57DB"/>
    <w:rsid w:val="4F4E6379"/>
    <w:rsid w:val="4FA87897"/>
    <w:rsid w:val="4FBD3D43"/>
    <w:rsid w:val="506C74F2"/>
    <w:rsid w:val="50AC1958"/>
    <w:rsid w:val="51034F63"/>
    <w:rsid w:val="519F01FA"/>
    <w:rsid w:val="51B2004B"/>
    <w:rsid w:val="51BD7D15"/>
    <w:rsid w:val="51FB6FE0"/>
    <w:rsid w:val="52BF6E89"/>
    <w:rsid w:val="533D7674"/>
    <w:rsid w:val="539834E7"/>
    <w:rsid w:val="53B80B00"/>
    <w:rsid w:val="53D67233"/>
    <w:rsid w:val="54556AEA"/>
    <w:rsid w:val="55131A57"/>
    <w:rsid w:val="55622629"/>
    <w:rsid w:val="557958E4"/>
    <w:rsid w:val="55CE626F"/>
    <w:rsid w:val="563B4C0B"/>
    <w:rsid w:val="568E4DA2"/>
    <w:rsid w:val="5691234E"/>
    <w:rsid w:val="57572471"/>
    <w:rsid w:val="57593CE3"/>
    <w:rsid w:val="577D71D5"/>
    <w:rsid w:val="57E44E66"/>
    <w:rsid w:val="58633BA2"/>
    <w:rsid w:val="5A3A2DDD"/>
    <w:rsid w:val="5A45526D"/>
    <w:rsid w:val="5A8A233D"/>
    <w:rsid w:val="5ABB7A77"/>
    <w:rsid w:val="5AC16060"/>
    <w:rsid w:val="5B3031CA"/>
    <w:rsid w:val="5BD3526B"/>
    <w:rsid w:val="5BE62B50"/>
    <w:rsid w:val="5BF918A2"/>
    <w:rsid w:val="5C37020C"/>
    <w:rsid w:val="5C805DFE"/>
    <w:rsid w:val="5C9155E0"/>
    <w:rsid w:val="5CFF7C8F"/>
    <w:rsid w:val="5D4452E4"/>
    <w:rsid w:val="5DA25CF6"/>
    <w:rsid w:val="5DE10EE3"/>
    <w:rsid w:val="5E176F0D"/>
    <w:rsid w:val="5E3D2B73"/>
    <w:rsid w:val="5EAC049C"/>
    <w:rsid w:val="5F7C65D0"/>
    <w:rsid w:val="5FAA6024"/>
    <w:rsid w:val="5FCB7293"/>
    <w:rsid w:val="600452D7"/>
    <w:rsid w:val="60113A80"/>
    <w:rsid w:val="606478FC"/>
    <w:rsid w:val="60FC6105"/>
    <w:rsid w:val="611F4733"/>
    <w:rsid w:val="617B2CF6"/>
    <w:rsid w:val="619556DE"/>
    <w:rsid w:val="61FD5876"/>
    <w:rsid w:val="62093465"/>
    <w:rsid w:val="62315204"/>
    <w:rsid w:val="62920206"/>
    <w:rsid w:val="62B8336A"/>
    <w:rsid w:val="633F114F"/>
    <w:rsid w:val="6362713E"/>
    <w:rsid w:val="63BD2EF1"/>
    <w:rsid w:val="64337579"/>
    <w:rsid w:val="643A6F91"/>
    <w:rsid w:val="64441196"/>
    <w:rsid w:val="64487C27"/>
    <w:rsid w:val="64D766B5"/>
    <w:rsid w:val="65077E41"/>
    <w:rsid w:val="65091B75"/>
    <w:rsid w:val="652A1A23"/>
    <w:rsid w:val="65A67D23"/>
    <w:rsid w:val="65BC6440"/>
    <w:rsid w:val="65C36E7F"/>
    <w:rsid w:val="65D21A26"/>
    <w:rsid w:val="6612052E"/>
    <w:rsid w:val="66247356"/>
    <w:rsid w:val="663033C6"/>
    <w:rsid w:val="663B7430"/>
    <w:rsid w:val="669636B4"/>
    <w:rsid w:val="672A0BC3"/>
    <w:rsid w:val="67AF7FBD"/>
    <w:rsid w:val="67B339ED"/>
    <w:rsid w:val="687775B2"/>
    <w:rsid w:val="69392B0D"/>
    <w:rsid w:val="697A2199"/>
    <w:rsid w:val="69B57A6A"/>
    <w:rsid w:val="6A1B14A7"/>
    <w:rsid w:val="6AD32BB4"/>
    <w:rsid w:val="6AE5012B"/>
    <w:rsid w:val="6AF40D47"/>
    <w:rsid w:val="6AF56EAC"/>
    <w:rsid w:val="6B241A17"/>
    <w:rsid w:val="6B7636D8"/>
    <w:rsid w:val="6D2D0302"/>
    <w:rsid w:val="6DF30B28"/>
    <w:rsid w:val="6E1148C4"/>
    <w:rsid w:val="6E297EE8"/>
    <w:rsid w:val="6E713CCA"/>
    <w:rsid w:val="6E81596A"/>
    <w:rsid w:val="6E912EA1"/>
    <w:rsid w:val="6E914282"/>
    <w:rsid w:val="6E9C0F6F"/>
    <w:rsid w:val="6EAB5982"/>
    <w:rsid w:val="6F0E4EC3"/>
    <w:rsid w:val="6F205032"/>
    <w:rsid w:val="6FCB013A"/>
    <w:rsid w:val="6FE518A1"/>
    <w:rsid w:val="70557737"/>
    <w:rsid w:val="70DD65B6"/>
    <w:rsid w:val="71737474"/>
    <w:rsid w:val="718B174B"/>
    <w:rsid w:val="71AD7318"/>
    <w:rsid w:val="71B95A25"/>
    <w:rsid w:val="71C37A53"/>
    <w:rsid w:val="71EA5EF0"/>
    <w:rsid w:val="71F9581F"/>
    <w:rsid w:val="72290019"/>
    <w:rsid w:val="72553376"/>
    <w:rsid w:val="726D70E7"/>
    <w:rsid w:val="726E2F4F"/>
    <w:rsid w:val="72A63D8F"/>
    <w:rsid w:val="72BC394B"/>
    <w:rsid w:val="72D134E1"/>
    <w:rsid w:val="72E32735"/>
    <w:rsid w:val="741753BE"/>
    <w:rsid w:val="7427011F"/>
    <w:rsid w:val="747D74F0"/>
    <w:rsid w:val="74837D23"/>
    <w:rsid w:val="74C31ECB"/>
    <w:rsid w:val="74E134D0"/>
    <w:rsid w:val="74F72F88"/>
    <w:rsid w:val="7561323F"/>
    <w:rsid w:val="75942919"/>
    <w:rsid w:val="75A24683"/>
    <w:rsid w:val="75DE10F7"/>
    <w:rsid w:val="75E55000"/>
    <w:rsid w:val="76325392"/>
    <w:rsid w:val="76A53F24"/>
    <w:rsid w:val="772207AC"/>
    <w:rsid w:val="77540081"/>
    <w:rsid w:val="77AA57AB"/>
    <w:rsid w:val="781A799C"/>
    <w:rsid w:val="78322C70"/>
    <w:rsid w:val="784B4C85"/>
    <w:rsid w:val="784C2397"/>
    <w:rsid w:val="793623C2"/>
    <w:rsid w:val="79723BD2"/>
    <w:rsid w:val="79AC21E9"/>
    <w:rsid w:val="79E537AF"/>
    <w:rsid w:val="7A473AC7"/>
    <w:rsid w:val="7AAA36FF"/>
    <w:rsid w:val="7B1538AF"/>
    <w:rsid w:val="7C9C4E59"/>
    <w:rsid w:val="7CBC0D5A"/>
    <w:rsid w:val="7CF16C56"/>
    <w:rsid w:val="7D1A5E32"/>
    <w:rsid w:val="7D327E74"/>
    <w:rsid w:val="7D391B9A"/>
    <w:rsid w:val="7DF94A90"/>
    <w:rsid w:val="7DFA765C"/>
    <w:rsid w:val="7E2F1D63"/>
    <w:rsid w:val="7E513541"/>
    <w:rsid w:val="7F2E3D76"/>
    <w:rsid w:val="FD36D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4"/>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75"/>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76"/>
    <w:autoRedefine/>
    <w:qFormat/>
    <w:uiPriority w:val="0"/>
    <w:pPr>
      <w:keepNext/>
      <w:keepLines/>
      <w:spacing w:before="260" w:after="260" w:line="416" w:lineRule="auto"/>
      <w:outlineLvl w:val="2"/>
    </w:pPr>
    <w:rPr>
      <w:b/>
      <w:bCs/>
      <w:kern w:val="0"/>
      <w:sz w:val="32"/>
      <w:szCs w:val="32"/>
    </w:rPr>
  </w:style>
  <w:style w:type="paragraph" w:styleId="7">
    <w:name w:val="heading 4"/>
    <w:basedOn w:val="1"/>
    <w:next w:val="1"/>
    <w:autoRedefine/>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8">
    <w:name w:val="heading 5"/>
    <w:basedOn w:val="1"/>
    <w:next w:val="9"/>
    <w:link w:val="77"/>
    <w:autoRedefine/>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link w:val="78"/>
    <w:autoRedefine/>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link w:val="79"/>
    <w:autoRedefine/>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link w:val="80"/>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link w:val="81"/>
    <w:autoRedefine/>
    <w:qFormat/>
    <w:uiPriority w:val="0"/>
    <w:pPr>
      <w:keepNext/>
      <w:keepLines/>
      <w:numPr>
        <w:ilvl w:val="8"/>
        <w:numId w:val="1"/>
      </w:numPr>
      <w:spacing w:before="240" w:after="64" w:line="320" w:lineRule="auto"/>
      <w:outlineLvl w:val="8"/>
    </w:pPr>
    <w:rPr>
      <w:rFonts w:ascii="Arial" w:hAnsi="Arial" w:eastAsia="黑体"/>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after="120" w:line="240" w:lineRule="auto"/>
      <w:ind w:firstLine="420" w:firstLineChars="100"/>
    </w:pPr>
    <w:rPr>
      <w:sz w:val="21"/>
    </w:rPr>
  </w:style>
  <w:style w:type="paragraph" w:styleId="3">
    <w:name w:val="Body Text"/>
    <w:basedOn w:val="1"/>
    <w:link w:val="85"/>
    <w:autoRedefine/>
    <w:qFormat/>
    <w:uiPriority w:val="99"/>
    <w:pPr>
      <w:spacing w:line="360" w:lineRule="auto"/>
      <w:ind w:firstLine="480" w:firstLineChars="200"/>
    </w:pPr>
    <w:rPr>
      <w:kern w:val="0"/>
      <w:sz w:val="24"/>
    </w:rPr>
  </w:style>
  <w:style w:type="paragraph" w:styleId="9">
    <w:name w:val="Normal Indent"/>
    <w:basedOn w:val="1"/>
    <w:autoRedefine/>
    <w:qFormat/>
    <w:uiPriority w:val="0"/>
    <w:pPr>
      <w:ind w:firstLine="420"/>
    </w:pPr>
    <w:rPr>
      <w:szCs w:val="20"/>
    </w:rPr>
  </w:style>
  <w:style w:type="paragraph" w:styleId="14">
    <w:name w:val="toc 7"/>
    <w:basedOn w:val="1"/>
    <w:next w:val="1"/>
    <w:autoRedefine/>
    <w:unhideWhenUsed/>
    <w:qFormat/>
    <w:uiPriority w:val="39"/>
    <w:pPr>
      <w:ind w:left="2520" w:leftChars="1200"/>
    </w:pPr>
    <w:rPr>
      <w:rFonts w:ascii="Calibri" w:hAnsi="Calibri"/>
      <w:szCs w:val="22"/>
    </w:rPr>
  </w:style>
  <w:style w:type="paragraph" w:styleId="15">
    <w:name w:val="List Number"/>
    <w:basedOn w:val="1"/>
    <w:autoRedefine/>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6">
    <w:name w:val="caption"/>
    <w:basedOn w:val="1"/>
    <w:next w:val="1"/>
    <w:autoRedefine/>
    <w:qFormat/>
    <w:uiPriority w:val="0"/>
    <w:pPr>
      <w:spacing w:before="152" w:after="160"/>
    </w:pPr>
    <w:rPr>
      <w:rFonts w:ascii="Arial" w:hAnsi="Arial" w:eastAsia="黑体" w:cs="Arial"/>
      <w:sz w:val="20"/>
      <w:szCs w:val="20"/>
    </w:rPr>
  </w:style>
  <w:style w:type="paragraph" w:styleId="17">
    <w:name w:val="Document Map"/>
    <w:basedOn w:val="1"/>
    <w:link w:val="82"/>
    <w:autoRedefine/>
    <w:unhideWhenUsed/>
    <w:qFormat/>
    <w:uiPriority w:val="0"/>
    <w:pPr>
      <w:shd w:val="clear" w:color="auto" w:fill="000080"/>
    </w:pPr>
    <w:rPr>
      <w:rFonts w:hint="eastAsia" w:ascii="宋体" w:hAnsi="宋体"/>
      <w:kern w:val="0"/>
      <w:sz w:val="20"/>
      <w:szCs w:val="20"/>
    </w:rPr>
  </w:style>
  <w:style w:type="paragraph" w:styleId="18">
    <w:name w:val="annotation text"/>
    <w:basedOn w:val="1"/>
    <w:link w:val="83"/>
    <w:autoRedefine/>
    <w:unhideWhenUsed/>
    <w:qFormat/>
    <w:uiPriority w:val="0"/>
    <w:pPr>
      <w:jc w:val="left"/>
    </w:pPr>
  </w:style>
  <w:style w:type="paragraph" w:styleId="19">
    <w:name w:val="Body Text 3"/>
    <w:basedOn w:val="1"/>
    <w:link w:val="84"/>
    <w:autoRedefine/>
    <w:qFormat/>
    <w:uiPriority w:val="0"/>
    <w:pPr>
      <w:spacing w:line="500" w:lineRule="exact"/>
    </w:pPr>
    <w:rPr>
      <w:b/>
      <w:bCs/>
      <w:kern w:val="0"/>
      <w:sz w:val="24"/>
    </w:rPr>
  </w:style>
  <w:style w:type="paragraph" w:styleId="20">
    <w:name w:val="Body Text Indent"/>
    <w:basedOn w:val="1"/>
    <w:link w:val="86"/>
    <w:autoRedefine/>
    <w:qFormat/>
    <w:uiPriority w:val="0"/>
    <w:pPr>
      <w:ind w:firstLine="830" w:firstLineChars="352"/>
    </w:pPr>
    <w:rPr>
      <w:rFonts w:ascii="仿宋_GB2312" w:eastAsia="仿宋_GB2312"/>
      <w:kern w:val="0"/>
      <w:sz w:val="32"/>
      <w:szCs w:val="20"/>
    </w:rPr>
  </w:style>
  <w:style w:type="paragraph" w:styleId="21">
    <w:name w:val="List Number 3"/>
    <w:basedOn w:val="1"/>
    <w:autoRedefine/>
    <w:qFormat/>
    <w:uiPriority w:val="0"/>
    <w:pPr>
      <w:numPr>
        <w:ilvl w:val="0"/>
        <w:numId w:val="2"/>
      </w:numPr>
    </w:pPr>
  </w:style>
  <w:style w:type="paragraph" w:styleId="22">
    <w:name w:val="List 2"/>
    <w:basedOn w:val="1"/>
    <w:autoRedefine/>
    <w:qFormat/>
    <w:uiPriority w:val="0"/>
    <w:pPr>
      <w:ind w:left="100" w:leftChars="200" w:hanging="200" w:hangingChars="200"/>
    </w:pPr>
    <w:rPr>
      <w:sz w:val="28"/>
    </w:rPr>
  </w:style>
  <w:style w:type="paragraph" w:styleId="23">
    <w:name w:val="toc 5"/>
    <w:basedOn w:val="1"/>
    <w:next w:val="1"/>
    <w:autoRedefine/>
    <w:unhideWhenUsed/>
    <w:qFormat/>
    <w:uiPriority w:val="39"/>
    <w:pPr>
      <w:ind w:left="1680" w:leftChars="800"/>
    </w:pPr>
    <w:rPr>
      <w:rFonts w:ascii="Calibri" w:hAnsi="Calibri"/>
      <w:szCs w:val="22"/>
    </w:rPr>
  </w:style>
  <w:style w:type="paragraph" w:styleId="24">
    <w:name w:val="toc 3"/>
    <w:basedOn w:val="1"/>
    <w:next w:val="1"/>
    <w:autoRedefine/>
    <w:unhideWhenUsed/>
    <w:qFormat/>
    <w:uiPriority w:val="39"/>
    <w:pPr>
      <w:ind w:left="840" w:leftChars="400"/>
    </w:pPr>
    <w:rPr>
      <w:rFonts w:ascii="Calibri" w:hAnsi="Calibri"/>
      <w:szCs w:val="22"/>
    </w:rPr>
  </w:style>
  <w:style w:type="paragraph" w:styleId="25">
    <w:name w:val="Plain Text"/>
    <w:basedOn w:val="1"/>
    <w:next w:val="7"/>
    <w:link w:val="87"/>
    <w:autoRedefine/>
    <w:qFormat/>
    <w:uiPriority w:val="0"/>
    <w:rPr>
      <w:rFonts w:ascii="宋体" w:hAnsi="Courier New"/>
      <w:kern w:val="0"/>
      <w:sz w:val="20"/>
      <w:szCs w:val="21"/>
    </w:rPr>
  </w:style>
  <w:style w:type="paragraph" w:styleId="26">
    <w:name w:val="toc 8"/>
    <w:basedOn w:val="1"/>
    <w:next w:val="1"/>
    <w:autoRedefine/>
    <w:unhideWhenUsed/>
    <w:qFormat/>
    <w:uiPriority w:val="39"/>
    <w:pPr>
      <w:ind w:left="2940" w:leftChars="1400"/>
    </w:pPr>
    <w:rPr>
      <w:rFonts w:ascii="Calibri" w:hAnsi="Calibri"/>
      <w:szCs w:val="22"/>
    </w:rPr>
  </w:style>
  <w:style w:type="paragraph" w:styleId="27">
    <w:name w:val="Date"/>
    <w:basedOn w:val="1"/>
    <w:next w:val="1"/>
    <w:link w:val="88"/>
    <w:autoRedefine/>
    <w:qFormat/>
    <w:uiPriority w:val="0"/>
    <w:pPr>
      <w:ind w:left="100" w:leftChars="2500"/>
    </w:pPr>
    <w:rPr>
      <w:rFonts w:ascii="宋体" w:hAnsi="Courier New"/>
      <w:kern w:val="0"/>
      <w:sz w:val="20"/>
      <w:szCs w:val="21"/>
    </w:rPr>
  </w:style>
  <w:style w:type="paragraph" w:styleId="28">
    <w:name w:val="Body Text Indent 2"/>
    <w:basedOn w:val="1"/>
    <w:link w:val="89"/>
    <w:autoRedefine/>
    <w:qFormat/>
    <w:uiPriority w:val="0"/>
    <w:pPr>
      <w:ind w:firstLine="630"/>
    </w:pPr>
    <w:rPr>
      <w:kern w:val="0"/>
      <w:sz w:val="32"/>
      <w:szCs w:val="20"/>
    </w:rPr>
  </w:style>
  <w:style w:type="paragraph" w:styleId="29">
    <w:name w:val="endnote text"/>
    <w:basedOn w:val="1"/>
    <w:link w:val="90"/>
    <w:autoRedefine/>
    <w:unhideWhenUsed/>
    <w:qFormat/>
    <w:uiPriority w:val="99"/>
    <w:pPr>
      <w:snapToGrid w:val="0"/>
      <w:jc w:val="left"/>
    </w:pPr>
  </w:style>
  <w:style w:type="paragraph" w:styleId="30">
    <w:name w:val="Balloon Text"/>
    <w:basedOn w:val="1"/>
    <w:link w:val="91"/>
    <w:autoRedefine/>
    <w:semiHidden/>
    <w:qFormat/>
    <w:uiPriority w:val="0"/>
    <w:rPr>
      <w:kern w:val="0"/>
      <w:sz w:val="18"/>
      <w:szCs w:val="18"/>
    </w:rPr>
  </w:style>
  <w:style w:type="paragraph" w:styleId="31">
    <w:name w:val="footer"/>
    <w:basedOn w:val="1"/>
    <w:link w:val="92"/>
    <w:autoRedefine/>
    <w:unhideWhenUsed/>
    <w:qFormat/>
    <w:uiPriority w:val="99"/>
    <w:pPr>
      <w:tabs>
        <w:tab w:val="center" w:pos="4153"/>
        <w:tab w:val="right" w:pos="8306"/>
      </w:tabs>
      <w:snapToGrid w:val="0"/>
      <w:jc w:val="left"/>
    </w:pPr>
    <w:rPr>
      <w:kern w:val="0"/>
      <w:sz w:val="18"/>
      <w:szCs w:val="18"/>
    </w:rPr>
  </w:style>
  <w:style w:type="paragraph" w:styleId="32">
    <w:name w:val="header"/>
    <w:basedOn w:val="1"/>
    <w:link w:val="93"/>
    <w:autoRedefine/>
    <w:unhideWhenUsed/>
    <w:qFormat/>
    <w:uiPriority w:val="99"/>
    <w:pPr>
      <w:pBdr>
        <w:bottom w:val="single" w:color="auto" w:sz="6" w:space="1"/>
      </w:pBdr>
      <w:tabs>
        <w:tab w:val="center" w:pos="0"/>
        <w:tab w:val="left" w:pos="8306"/>
      </w:tabs>
      <w:snapToGrid w:val="0"/>
      <w:jc w:val="center"/>
    </w:pPr>
    <w:rPr>
      <w:sz w:val="18"/>
      <w:szCs w:val="18"/>
    </w:rPr>
  </w:style>
  <w:style w:type="paragraph" w:styleId="33">
    <w:name w:val="toc 1"/>
    <w:basedOn w:val="1"/>
    <w:next w:val="1"/>
    <w:autoRedefine/>
    <w:qFormat/>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autoRedefine/>
    <w:unhideWhenUsed/>
    <w:qFormat/>
    <w:uiPriority w:val="39"/>
    <w:pPr>
      <w:ind w:left="1260" w:leftChars="600"/>
    </w:pPr>
    <w:rPr>
      <w:rFonts w:ascii="Calibri" w:hAnsi="Calibri"/>
      <w:szCs w:val="22"/>
    </w:rPr>
  </w:style>
  <w:style w:type="paragraph" w:styleId="35">
    <w:name w:val="List"/>
    <w:basedOn w:val="1"/>
    <w:autoRedefine/>
    <w:qFormat/>
    <w:uiPriority w:val="0"/>
    <w:pPr>
      <w:ind w:left="200" w:hanging="200" w:hangingChars="200"/>
    </w:pPr>
    <w:rPr>
      <w:sz w:val="28"/>
    </w:rPr>
  </w:style>
  <w:style w:type="paragraph" w:styleId="36">
    <w:name w:val="footnote text"/>
    <w:basedOn w:val="1"/>
    <w:link w:val="94"/>
    <w:autoRedefine/>
    <w:unhideWhenUsed/>
    <w:qFormat/>
    <w:uiPriority w:val="99"/>
    <w:pPr>
      <w:snapToGrid w:val="0"/>
      <w:jc w:val="left"/>
    </w:pPr>
    <w:rPr>
      <w:sz w:val="18"/>
      <w:szCs w:val="18"/>
    </w:rPr>
  </w:style>
  <w:style w:type="paragraph" w:styleId="37">
    <w:name w:val="toc 6"/>
    <w:basedOn w:val="1"/>
    <w:next w:val="1"/>
    <w:autoRedefine/>
    <w:unhideWhenUsed/>
    <w:qFormat/>
    <w:uiPriority w:val="39"/>
    <w:pPr>
      <w:ind w:left="2100" w:leftChars="1000"/>
    </w:pPr>
    <w:rPr>
      <w:rFonts w:ascii="Calibri" w:hAnsi="Calibri"/>
      <w:szCs w:val="22"/>
    </w:rPr>
  </w:style>
  <w:style w:type="paragraph" w:styleId="38">
    <w:name w:val="Body Text Indent 3"/>
    <w:basedOn w:val="1"/>
    <w:link w:val="95"/>
    <w:autoRedefine/>
    <w:qFormat/>
    <w:uiPriority w:val="0"/>
    <w:pPr>
      <w:spacing w:after="120"/>
      <w:ind w:left="420" w:leftChars="200"/>
    </w:pPr>
    <w:rPr>
      <w:kern w:val="0"/>
      <w:sz w:val="16"/>
      <w:szCs w:val="16"/>
    </w:rPr>
  </w:style>
  <w:style w:type="paragraph" w:styleId="39">
    <w:name w:val="toc 2"/>
    <w:basedOn w:val="1"/>
    <w:next w:val="1"/>
    <w:autoRedefine/>
    <w:unhideWhenUsed/>
    <w:qFormat/>
    <w:uiPriority w:val="39"/>
    <w:pPr>
      <w:ind w:left="420" w:leftChars="200"/>
    </w:pPr>
  </w:style>
  <w:style w:type="paragraph" w:styleId="40">
    <w:name w:val="toc 9"/>
    <w:basedOn w:val="1"/>
    <w:next w:val="1"/>
    <w:autoRedefine/>
    <w:unhideWhenUsed/>
    <w:qFormat/>
    <w:uiPriority w:val="39"/>
    <w:pPr>
      <w:ind w:left="3360" w:leftChars="1600"/>
    </w:pPr>
    <w:rPr>
      <w:rFonts w:ascii="Calibri" w:hAnsi="Calibri"/>
      <w:szCs w:val="22"/>
    </w:rPr>
  </w:style>
  <w:style w:type="paragraph" w:styleId="41">
    <w:name w:val="Body Text 2"/>
    <w:basedOn w:val="1"/>
    <w:link w:val="96"/>
    <w:autoRedefine/>
    <w:qFormat/>
    <w:uiPriority w:val="0"/>
    <w:pPr>
      <w:spacing w:after="120" w:line="480" w:lineRule="auto"/>
    </w:pPr>
    <w:rPr>
      <w:kern w:val="0"/>
      <w:sz w:val="20"/>
    </w:rPr>
  </w:style>
  <w:style w:type="paragraph" w:styleId="42">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43">
    <w:name w:val="index 1"/>
    <w:basedOn w:val="1"/>
    <w:next w:val="1"/>
    <w:autoRedefine/>
    <w:semiHidden/>
    <w:qFormat/>
    <w:uiPriority w:val="0"/>
    <w:pPr>
      <w:spacing w:line="400" w:lineRule="exact"/>
      <w:ind w:firstLine="420" w:firstLineChars="200"/>
    </w:pPr>
    <w:rPr>
      <w:rFonts w:ascii="宋体" w:hAnsi="Courier New"/>
      <w:b/>
      <w:szCs w:val="20"/>
    </w:rPr>
  </w:style>
  <w:style w:type="paragraph" w:styleId="44">
    <w:name w:val="Title"/>
    <w:basedOn w:val="1"/>
    <w:next w:val="1"/>
    <w:link w:val="97"/>
    <w:autoRedefine/>
    <w:qFormat/>
    <w:uiPriority w:val="10"/>
    <w:pPr>
      <w:spacing w:before="240" w:after="60"/>
      <w:jc w:val="center"/>
      <w:outlineLvl w:val="0"/>
    </w:pPr>
    <w:rPr>
      <w:rFonts w:ascii="Cambria" w:hAnsi="Cambria"/>
      <w:b/>
      <w:bCs/>
      <w:sz w:val="32"/>
      <w:szCs w:val="32"/>
    </w:rPr>
  </w:style>
  <w:style w:type="paragraph" w:styleId="45">
    <w:name w:val="annotation subject"/>
    <w:basedOn w:val="18"/>
    <w:next w:val="18"/>
    <w:link w:val="98"/>
    <w:autoRedefine/>
    <w:unhideWhenUsed/>
    <w:qFormat/>
    <w:uiPriority w:val="99"/>
    <w:rPr>
      <w:b/>
      <w:bCs/>
    </w:rPr>
  </w:style>
  <w:style w:type="paragraph" w:styleId="46">
    <w:name w:val="Body Text First Indent 2"/>
    <w:basedOn w:val="20"/>
    <w:next w:val="1"/>
    <w:autoRedefine/>
    <w:qFormat/>
    <w:uiPriority w:val="0"/>
    <w:pPr>
      <w:spacing w:after="120"/>
      <w:ind w:left="420" w:leftChars="200" w:firstLine="420" w:firstLineChars="200"/>
    </w:pPr>
    <w:rPr>
      <w:szCs w:val="24"/>
    </w:rPr>
  </w:style>
  <w:style w:type="table" w:styleId="48">
    <w:name w:val="Table Grid"/>
    <w:basedOn w:val="4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endnote reference"/>
    <w:autoRedefine/>
    <w:unhideWhenUsed/>
    <w:qFormat/>
    <w:uiPriority w:val="99"/>
    <w:rPr>
      <w:vertAlign w:val="superscript"/>
    </w:rPr>
  </w:style>
  <w:style w:type="character" w:styleId="51">
    <w:name w:val="page number"/>
    <w:autoRedefine/>
    <w:qFormat/>
    <w:uiPriority w:val="0"/>
  </w:style>
  <w:style w:type="character" w:styleId="52">
    <w:name w:val="FollowedHyperlink"/>
    <w:autoRedefine/>
    <w:qFormat/>
    <w:uiPriority w:val="0"/>
    <w:rPr>
      <w:color w:val="000000"/>
      <w:u w:val="none"/>
    </w:rPr>
  </w:style>
  <w:style w:type="character" w:styleId="53">
    <w:name w:val="Hyperlink"/>
    <w:basedOn w:val="49"/>
    <w:autoRedefine/>
    <w:qFormat/>
    <w:uiPriority w:val="99"/>
    <w:rPr>
      <w:color w:val="000000"/>
      <w:u w:val="none"/>
    </w:rPr>
  </w:style>
  <w:style w:type="character" w:styleId="54">
    <w:name w:val="annotation reference"/>
    <w:autoRedefine/>
    <w:unhideWhenUsed/>
    <w:qFormat/>
    <w:uiPriority w:val="0"/>
    <w:rPr>
      <w:sz w:val="21"/>
      <w:szCs w:val="21"/>
    </w:rPr>
  </w:style>
  <w:style w:type="character" w:styleId="55">
    <w:name w:val="footnote reference"/>
    <w:autoRedefine/>
    <w:unhideWhenUsed/>
    <w:qFormat/>
    <w:uiPriority w:val="99"/>
    <w:rPr>
      <w:vertAlign w:val="superscript"/>
    </w:rPr>
  </w:style>
  <w:style w:type="paragraph" w:customStyle="1" w:styleId="56">
    <w:name w:val="Title1"/>
    <w:basedOn w:val="1"/>
    <w:next w:val="1"/>
    <w:autoRedefine/>
    <w:qFormat/>
    <w:uiPriority w:val="0"/>
    <w:pPr>
      <w:jc w:val="center"/>
      <w:outlineLvl w:val="0"/>
    </w:pPr>
    <w:rPr>
      <w:rFonts w:ascii="Calibri Light" w:hAnsi="Calibri Light" w:eastAsia="Arial Unicode MS"/>
      <w:b/>
    </w:rPr>
  </w:style>
  <w:style w:type="paragraph" w:customStyle="1" w:styleId="57">
    <w:name w:val="无间隔1"/>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8">
    <w:name w:val="Char1"/>
    <w:basedOn w:val="1"/>
    <w:autoRedefine/>
    <w:qFormat/>
    <w:uiPriority w:val="0"/>
    <w:rPr>
      <w:szCs w:val="21"/>
    </w:rPr>
  </w:style>
  <w:style w:type="paragraph" w:customStyle="1" w:styleId="59">
    <w:name w:val="_Style 56"/>
    <w:basedOn w:val="1"/>
    <w:autoRedefine/>
    <w:qFormat/>
    <w:uiPriority w:val="34"/>
    <w:pPr>
      <w:ind w:firstLine="420" w:firstLineChars="200"/>
    </w:pPr>
  </w:style>
  <w:style w:type="paragraph" w:customStyle="1" w:styleId="60">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cs="宋体"/>
      <w:b w:val="0"/>
      <w:bCs w:val="0"/>
      <w:sz w:val="28"/>
      <w:szCs w:val="20"/>
    </w:rPr>
  </w:style>
  <w:style w:type="paragraph" w:customStyle="1" w:styleId="61">
    <w:name w:val="默认段落字体 Para Char Char Char Char Char Char Char Char Char1 Char Char Char Char"/>
    <w:basedOn w:val="1"/>
    <w:autoRedefine/>
    <w:qFormat/>
    <w:uiPriority w:val="0"/>
    <w:rPr>
      <w:rFonts w:ascii="Tahoma" w:hAnsi="Tahoma"/>
      <w:sz w:val="24"/>
      <w:szCs w:val="20"/>
    </w:rPr>
  </w:style>
  <w:style w:type="paragraph" w:customStyle="1" w:styleId="62">
    <w:name w:val="样式"/>
    <w:autoRedefine/>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63">
    <w:name w:val="纯文本1"/>
    <w:basedOn w:val="1"/>
    <w:autoRedefine/>
    <w:qFormat/>
    <w:uiPriority w:val="0"/>
    <w:rPr>
      <w:rFonts w:ascii="宋体" w:hAnsi="Courier New" w:cs="Century"/>
      <w:szCs w:val="21"/>
    </w:rPr>
  </w:style>
  <w:style w:type="paragraph" w:customStyle="1" w:styleId="64">
    <w:name w:val="Table Paragraph"/>
    <w:basedOn w:val="1"/>
    <w:autoRedefine/>
    <w:qFormat/>
    <w:uiPriority w:val="1"/>
    <w:pPr>
      <w:jc w:val="left"/>
    </w:pPr>
    <w:rPr>
      <w:rFonts w:ascii="Calibri" w:hAnsi="Calibri"/>
      <w:kern w:val="0"/>
      <w:sz w:val="22"/>
      <w:szCs w:val="22"/>
      <w:lang w:eastAsia="en-US"/>
    </w:rPr>
  </w:style>
  <w:style w:type="paragraph" w:customStyle="1" w:styleId="65">
    <w:name w:val="表内文字"/>
    <w:basedOn w:val="1"/>
    <w:autoRedefine/>
    <w:qFormat/>
    <w:uiPriority w:val="0"/>
    <w:pPr>
      <w:snapToGrid w:val="0"/>
      <w:spacing w:before="50" w:after="50"/>
      <w:jc w:val="center"/>
    </w:pPr>
    <w:rPr>
      <w:rFonts w:ascii="仿宋_GB2312" w:hAnsi="宋体" w:eastAsia="仿宋_GB2312"/>
      <w:b/>
      <w:color w:val="000000"/>
      <w:sz w:val="32"/>
      <w:szCs w:val="32"/>
    </w:rPr>
  </w:style>
  <w:style w:type="paragraph" w:customStyle="1" w:styleId="66">
    <w:name w:val="表格"/>
    <w:basedOn w:val="1"/>
    <w:autoRedefine/>
    <w:qFormat/>
    <w:uiPriority w:val="0"/>
    <w:pPr>
      <w:spacing w:line="400" w:lineRule="exact"/>
    </w:pPr>
    <w:rPr>
      <w:sz w:val="24"/>
    </w:rPr>
  </w:style>
  <w:style w:type="paragraph" w:customStyle="1" w:styleId="67">
    <w:name w:val="样式 首行缩进:  2 字符"/>
    <w:basedOn w:val="1"/>
    <w:autoRedefine/>
    <w:qFormat/>
    <w:uiPriority w:val="0"/>
    <w:pPr>
      <w:spacing w:line="400" w:lineRule="exact"/>
      <w:ind w:firstLine="200" w:firstLineChars="200"/>
    </w:pPr>
    <w:rPr>
      <w:rFonts w:cs="宋体"/>
      <w:sz w:val="24"/>
    </w:rPr>
  </w:style>
  <w:style w:type="paragraph" w:customStyle="1" w:styleId="68">
    <w:name w:val="xl22"/>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9">
    <w:name w:val="样式 标题 3 + (中文) 黑体 小四 非加粗 段前: 7.8 磅 段后: 0 磅 行距: 固定值 20 磅"/>
    <w:basedOn w:val="6"/>
    <w:autoRedefine/>
    <w:qFormat/>
    <w:uiPriority w:val="0"/>
    <w:pPr>
      <w:spacing w:before="0" w:after="0" w:line="400" w:lineRule="exact"/>
    </w:pPr>
    <w:rPr>
      <w:rFonts w:eastAsia="黑体" w:cs="宋体"/>
      <w:b w:val="0"/>
      <w:bCs w:val="0"/>
      <w:sz w:val="24"/>
      <w:szCs w:val="20"/>
    </w:rPr>
  </w:style>
  <w:style w:type="paragraph" w:customStyle="1" w:styleId="70">
    <w:name w:val="正文首行缩进两字符"/>
    <w:basedOn w:val="1"/>
    <w:autoRedefine/>
    <w:qFormat/>
    <w:uiPriority w:val="0"/>
    <w:pPr>
      <w:spacing w:line="360" w:lineRule="auto"/>
      <w:ind w:firstLine="200" w:firstLineChars="200"/>
    </w:pPr>
  </w:style>
  <w:style w:type="paragraph" w:customStyle="1" w:styleId="71">
    <w:name w:val="正文段"/>
    <w:basedOn w:val="1"/>
    <w:autoRedefine/>
    <w:qFormat/>
    <w:uiPriority w:val="0"/>
    <w:pPr>
      <w:widowControl/>
      <w:snapToGrid w:val="0"/>
      <w:spacing w:after="50" w:afterLines="50"/>
      <w:ind w:firstLine="200" w:firstLineChars="200"/>
    </w:pPr>
    <w:rPr>
      <w:kern w:val="0"/>
      <w:sz w:val="24"/>
      <w:szCs w:val="20"/>
    </w:rPr>
  </w:style>
  <w:style w:type="paragraph" w:customStyle="1" w:styleId="72">
    <w:name w:val="列表段落1"/>
    <w:basedOn w:val="1"/>
    <w:autoRedefine/>
    <w:qFormat/>
    <w:uiPriority w:val="34"/>
    <w:pPr>
      <w:ind w:firstLine="420" w:firstLineChars="200"/>
    </w:pPr>
  </w:style>
  <w:style w:type="paragraph" w:customStyle="1" w:styleId="7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74">
    <w:name w:val="标题 1 Char"/>
    <w:link w:val="4"/>
    <w:autoRedefine/>
    <w:qFormat/>
    <w:uiPriority w:val="0"/>
    <w:rPr>
      <w:rFonts w:ascii="Times New Roman" w:hAnsi="Times New Roman" w:eastAsia="宋体" w:cs="Times New Roman"/>
      <w:b/>
      <w:bCs/>
      <w:kern w:val="44"/>
      <w:sz w:val="44"/>
      <w:szCs w:val="44"/>
    </w:rPr>
  </w:style>
  <w:style w:type="character" w:customStyle="1" w:styleId="75">
    <w:name w:val="标题 2 Char"/>
    <w:link w:val="5"/>
    <w:autoRedefine/>
    <w:qFormat/>
    <w:uiPriority w:val="0"/>
    <w:rPr>
      <w:rFonts w:ascii="Arial" w:hAnsi="Arial" w:eastAsia="黑体" w:cs="Times New Roman"/>
      <w:b/>
      <w:bCs/>
      <w:sz w:val="32"/>
      <w:szCs w:val="32"/>
    </w:rPr>
  </w:style>
  <w:style w:type="character" w:customStyle="1" w:styleId="76">
    <w:name w:val="标题 3 Char"/>
    <w:link w:val="6"/>
    <w:autoRedefine/>
    <w:qFormat/>
    <w:uiPriority w:val="0"/>
    <w:rPr>
      <w:rFonts w:ascii="Times New Roman" w:hAnsi="Times New Roman" w:eastAsia="宋体" w:cs="Times New Roman"/>
      <w:b/>
      <w:bCs/>
      <w:sz w:val="32"/>
      <w:szCs w:val="32"/>
    </w:rPr>
  </w:style>
  <w:style w:type="character" w:customStyle="1" w:styleId="77">
    <w:name w:val="标题 5 Char1"/>
    <w:link w:val="8"/>
    <w:autoRedefine/>
    <w:qFormat/>
    <w:uiPriority w:val="0"/>
    <w:rPr>
      <w:b/>
      <w:kern w:val="2"/>
      <w:sz w:val="28"/>
      <w:szCs w:val="24"/>
    </w:rPr>
  </w:style>
  <w:style w:type="character" w:customStyle="1" w:styleId="78">
    <w:name w:val="标题 6 Char"/>
    <w:link w:val="10"/>
    <w:autoRedefine/>
    <w:qFormat/>
    <w:uiPriority w:val="0"/>
    <w:rPr>
      <w:rFonts w:ascii="Arial" w:hAnsi="Arial" w:eastAsia="黑体"/>
      <w:b/>
      <w:kern w:val="2"/>
      <w:sz w:val="24"/>
      <w:szCs w:val="24"/>
    </w:rPr>
  </w:style>
  <w:style w:type="character" w:customStyle="1" w:styleId="79">
    <w:name w:val="标题 7 Char"/>
    <w:link w:val="11"/>
    <w:autoRedefine/>
    <w:qFormat/>
    <w:uiPriority w:val="0"/>
    <w:rPr>
      <w:rFonts w:ascii="Times New Roman" w:hAnsi="Times New Roman"/>
      <w:b/>
      <w:kern w:val="2"/>
      <w:sz w:val="24"/>
      <w:szCs w:val="24"/>
    </w:rPr>
  </w:style>
  <w:style w:type="character" w:customStyle="1" w:styleId="80">
    <w:name w:val="标题 8 Char"/>
    <w:link w:val="12"/>
    <w:autoRedefine/>
    <w:qFormat/>
    <w:uiPriority w:val="0"/>
    <w:rPr>
      <w:rFonts w:ascii="Arial" w:hAnsi="Arial" w:eastAsia="黑体"/>
      <w:kern w:val="2"/>
      <w:sz w:val="24"/>
      <w:szCs w:val="24"/>
    </w:rPr>
  </w:style>
  <w:style w:type="character" w:customStyle="1" w:styleId="81">
    <w:name w:val="标题 9 Char"/>
    <w:link w:val="13"/>
    <w:autoRedefine/>
    <w:qFormat/>
    <w:uiPriority w:val="0"/>
    <w:rPr>
      <w:rFonts w:ascii="Arial" w:hAnsi="Arial" w:eastAsia="黑体"/>
      <w:kern w:val="2"/>
      <w:sz w:val="21"/>
      <w:szCs w:val="24"/>
    </w:rPr>
  </w:style>
  <w:style w:type="character" w:customStyle="1" w:styleId="82">
    <w:name w:val="文档结构图 Char"/>
    <w:link w:val="17"/>
    <w:autoRedefine/>
    <w:qFormat/>
    <w:uiPriority w:val="0"/>
    <w:rPr>
      <w:rFonts w:hint="eastAsia" w:ascii="宋体" w:hAnsi="宋体" w:eastAsia="宋体" w:cs="宋体"/>
    </w:rPr>
  </w:style>
  <w:style w:type="character" w:customStyle="1" w:styleId="83">
    <w:name w:val="批注文字 Char2"/>
    <w:link w:val="18"/>
    <w:autoRedefine/>
    <w:qFormat/>
    <w:uiPriority w:val="0"/>
    <w:rPr>
      <w:rFonts w:ascii="Times New Roman" w:hAnsi="Times New Roman"/>
      <w:kern w:val="2"/>
      <w:sz w:val="21"/>
      <w:szCs w:val="24"/>
    </w:rPr>
  </w:style>
  <w:style w:type="character" w:customStyle="1" w:styleId="84">
    <w:name w:val="正文文本 3 Char"/>
    <w:link w:val="19"/>
    <w:autoRedefine/>
    <w:qFormat/>
    <w:uiPriority w:val="0"/>
    <w:rPr>
      <w:rFonts w:ascii="Times New Roman" w:hAnsi="Times New Roman" w:eastAsia="宋体" w:cs="Times New Roman"/>
      <w:b/>
      <w:bCs/>
      <w:sz w:val="24"/>
      <w:szCs w:val="24"/>
    </w:rPr>
  </w:style>
  <w:style w:type="character" w:customStyle="1" w:styleId="85">
    <w:name w:val="正文文本 Char"/>
    <w:link w:val="3"/>
    <w:autoRedefine/>
    <w:qFormat/>
    <w:uiPriority w:val="99"/>
    <w:rPr>
      <w:sz w:val="24"/>
      <w:szCs w:val="24"/>
    </w:rPr>
  </w:style>
  <w:style w:type="character" w:customStyle="1" w:styleId="86">
    <w:name w:val="正文文本缩进 Char"/>
    <w:link w:val="20"/>
    <w:autoRedefine/>
    <w:qFormat/>
    <w:uiPriority w:val="0"/>
    <w:rPr>
      <w:rFonts w:ascii="仿宋_GB2312" w:hAnsi="Times New Roman" w:eastAsia="仿宋_GB2312" w:cs="Times New Roman"/>
      <w:sz w:val="32"/>
      <w:szCs w:val="20"/>
    </w:rPr>
  </w:style>
  <w:style w:type="character" w:customStyle="1" w:styleId="87">
    <w:name w:val="纯文本 Char1"/>
    <w:link w:val="25"/>
    <w:autoRedefine/>
    <w:qFormat/>
    <w:uiPriority w:val="0"/>
    <w:rPr>
      <w:rFonts w:ascii="宋体" w:hAnsi="Courier New" w:eastAsia="宋体" w:cs="Courier New"/>
      <w:szCs w:val="21"/>
    </w:rPr>
  </w:style>
  <w:style w:type="character" w:customStyle="1" w:styleId="88">
    <w:name w:val="日期 Char"/>
    <w:link w:val="27"/>
    <w:autoRedefine/>
    <w:qFormat/>
    <w:uiPriority w:val="0"/>
    <w:rPr>
      <w:rFonts w:ascii="宋体" w:hAnsi="Courier New" w:eastAsia="宋体" w:cs="Courier New"/>
      <w:szCs w:val="21"/>
    </w:rPr>
  </w:style>
  <w:style w:type="character" w:customStyle="1" w:styleId="89">
    <w:name w:val="正文文本缩进 2 Char"/>
    <w:link w:val="28"/>
    <w:autoRedefine/>
    <w:qFormat/>
    <w:uiPriority w:val="0"/>
    <w:rPr>
      <w:rFonts w:ascii="Times New Roman" w:hAnsi="Times New Roman" w:eastAsia="宋体" w:cs="Times New Roman"/>
      <w:sz w:val="32"/>
      <w:szCs w:val="20"/>
    </w:rPr>
  </w:style>
  <w:style w:type="character" w:customStyle="1" w:styleId="90">
    <w:name w:val="尾注文本 Char"/>
    <w:link w:val="29"/>
    <w:autoRedefine/>
    <w:semiHidden/>
    <w:qFormat/>
    <w:uiPriority w:val="99"/>
    <w:rPr>
      <w:rFonts w:ascii="Times New Roman" w:hAnsi="Times New Roman"/>
      <w:kern w:val="2"/>
      <w:sz w:val="21"/>
      <w:szCs w:val="24"/>
    </w:rPr>
  </w:style>
  <w:style w:type="character" w:customStyle="1" w:styleId="91">
    <w:name w:val="批注框文本 Char"/>
    <w:link w:val="30"/>
    <w:autoRedefine/>
    <w:semiHidden/>
    <w:qFormat/>
    <w:uiPriority w:val="0"/>
    <w:rPr>
      <w:rFonts w:ascii="Times New Roman" w:hAnsi="Times New Roman" w:eastAsia="宋体" w:cs="Times New Roman"/>
      <w:sz w:val="18"/>
      <w:szCs w:val="18"/>
    </w:rPr>
  </w:style>
  <w:style w:type="character" w:customStyle="1" w:styleId="92">
    <w:name w:val="页脚 Char"/>
    <w:link w:val="31"/>
    <w:autoRedefine/>
    <w:qFormat/>
    <w:uiPriority w:val="99"/>
    <w:rPr>
      <w:sz w:val="18"/>
      <w:szCs w:val="18"/>
    </w:rPr>
  </w:style>
  <w:style w:type="character" w:customStyle="1" w:styleId="93">
    <w:name w:val="页眉 Char"/>
    <w:link w:val="32"/>
    <w:autoRedefine/>
    <w:qFormat/>
    <w:uiPriority w:val="99"/>
    <w:rPr>
      <w:rFonts w:ascii="Times New Roman" w:hAnsi="Times New Roman"/>
      <w:kern w:val="2"/>
      <w:sz w:val="18"/>
      <w:szCs w:val="18"/>
    </w:rPr>
  </w:style>
  <w:style w:type="character" w:customStyle="1" w:styleId="94">
    <w:name w:val="脚注文本 Char"/>
    <w:link w:val="36"/>
    <w:autoRedefine/>
    <w:semiHidden/>
    <w:qFormat/>
    <w:uiPriority w:val="99"/>
    <w:rPr>
      <w:rFonts w:ascii="Times New Roman" w:hAnsi="Times New Roman"/>
      <w:kern w:val="2"/>
      <w:sz w:val="18"/>
      <w:szCs w:val="18"/>
    </w:rPr>
  </w:style>
  <w:style w:type="character" w:customStyle="1" w:styleId="95">
    <w:name w:val="正文文本缩进 3 Char"/>
    <w:link w:val="38"/>
    <w:autoRedefine/>
    <w:qFormat/>
    <w:uiPriority w:val="0"/>
    <w:rPr>
      <w:rFonts w:ascii="Times New Roman" w:hAnsi="Times New Roman" w:eastAsia="宋体" w:cs="Times New Roman"/>
      <w:sz w:val="16"/>
      <w:szCs w:val="16"/>
    </w:rPr>
  </w:style>
  <w:style w:type="character" w:customStyle="1" w:styleId="96">
    <w:name w:val="正文文本 2 Char"/>
    <w:link w:val="41"/>
    <w:autoRedefine/>
    <w:qFormat/>
    <w:uiPriority w:val="0"/>
    <w:rPr>
      <w:rFonts w:ascii="Times New Roman" w:hAnsi="Times New Roman" w:eastAsia="宋体" w:cs="Times New Roman"/>
      <w:szCs w:val="24"/>
    </w:rPr>
  </w:style>
  <w:style w:type="character" w:customStyle="1" w:styleId="97">
    <w:name w:val="标题 Char"/>
    <w:link w:val="44"/>
    <w:autoRedefine/>
    <w:qFormat/>
    <w:uiPriority w:val="10"/>
    <w:rPr>
      <w:rFonts w:ascii="Cambria" w:hAnsi="Cambria" w:cs="Times New Roman"/>
      <w:b/>
      <w:bCs/>
      <w:kern w:val="2"/>
      <w:sz w:val="32"/>
      <w:szCs w:val="32"/>
    </w:rPr>
  </w:style>
  <w:style w:type="character" w:customStyle="1" w:styleId="98">
    <w:name w:val="批注主题 Char"/>
    <w:link w:val="45"/>
    <w:autoRedefine/>
    <w:semiHidden/>
    <w:qFormat/>
    <w:uiPriority w:val="99"/>
    <w:rPr>
      <w:rFonts w:ascii="Times New Roman" w:hAnsi="Times New Roman"/>
      <w:b/>
      <w:bCs/>
      <w:kern w:val="2"/>
      <w:sz w:val="21"/>
      <w:szCs w:val="24"/>
    </w:rPr>
  </w:style>
  <w:style w:type="character" w:customStyle="1" w:styleId="99">
    <w:name w:val="批注文字 Char1"/>
    <w:autoRedefine/>
    <w:qFormat/>
    <w:locked/>
    <w:uiPriority w:val="0"/>
    <w:rPr>
      <w:rFonts w:ascii="Times New Roman" w:hAnsi="Times New Roman"/>
      <w:kern w:val="2"/>
      <w:sz w:val="21"/>
      <w:szCs w:val="24"/>
    </w:rPr>
  </w:style>
  <w:style w:type="character" w:customStyle="1" w:styleId="100">
    <w:name w:val="case31"/>
    <w:autoRedefine/>
    <w:qFormat/>
    <w:uiPriority w:val="0"/>
    <w:rPr>
      <w:rFonts w:hint="default" w:ascii="_x000B__x000C_" w:hAnsi="_x000B__x000C_"/>
      <w:sz w:val="21"/>
      <w:szCs w:val="21"/>
    </w:rPr>
  </w:style>
  <w:style w:type="character" w:customStyle="1" w:styleId="101">
    <w:name w:val="批注文字 Char"/>
    <w:autoRedefine/>
    <w:qFormat/>
    <w:uiPriority w:val="0"/>
    <w:rPr>
      <w:rFonts w:ascii="Times New Roman" w:hAnsi="Times New Roman"/>
      <w:kern w:val="2"/>
      <w:sz w:val="21"/>
      <w:szCs w:val="24"/>
    </w:rPr>
  </w:style>
  <w:style w:type="character" w:customStyle="1" w:styleId="102">
    <w:name w:val="纯文本 Char"/>
    <w:autoRedefine/>
    <w:qFormat/>
    <w:uiPriority w:val="0"/>
    <w:rPr>
      <w:rFonts w:ascii="宋体" w:hAnsi="Courier New" w:eastAsia="宋体"/>
      <w:kern w:val="2"/>
      <w:sz w:val="21"/>
      <w:lang w:val="en-US" w:eastAsia="zh-CN" w:bidi="ar-SA"/>
    </w:rPr>
  </w:style>
  <w:style w:type="character" w:customStyle="1" w:styleId="103">
    <w:name w:val="纯文本 字符1"/>
    <w:autoRedefine/>
    <w:qFormat/>
    <w:uiPriority w:val="0"/>
    <w:rPr>
      <w:rFonts w:ascii="宋体" w:hAnsi="Courier New"/>
    </w:rPr>
  </w:style>
  <w:style w:type="character" w:customStyle="1" w:styleId="104">
    <w:name w:val="批注文字 字符1"/>
    <w:autoRedefine/>
    <w:qFormat/>
    <w:uiPriority w:val="0"/>
    <w:rPr>
      <w:rFonts w:ascii="Times New Roman" w:hAnsi="Times New Roman"/>
      <w:kern w:val="2"/>
      <w:sz w:val="21"/>
      <w:szCs w:val="24"/>
    </w:rPr>
  </w:style>
  <w:style w:type="character" w:customStyle="1" w:styleId="105">
    <w:name w:val="正文文本 Char1"/>
    <w:autoRedefine/>
    <w:semiHidden/>
    <w:qFormat/>
    <w:locked/>
    <w:uiPriority w:val="99"/>
    <w:rPr>
      <w:sz w:val="24"/>
      <w:szCs w:val="24"/>
    </w:rPr>
  </w:style>
  <w:style w:type="character" w:customStyle="1" w:styleId="106">
    <w:name w:val="apple-style-span"/>
    <w:autoRedefine/>
    <w:qFormat/>
    <w:uiPriority w:val="0"/>
  </w:style>
  <w:style w:type="character" w:customStyle="1" w:styleId="107">
    <w:name w:val="textcontents"/>
    <w:autoRedefine/>
    <w:qFormat/>
    <w:uiPriority w:val="0"/>
  </w:style>
  <w:style w:type="character" w:customStyle="1" w:styleId="108">
    <w:name w:val="普通文字 Char Char2"/>
    <w:autoRedefine/>
    <w:qFormat/>
    <w:uiPriority w:val="0"/>
    <w:rPr>
      <w:rFonts w:ascii="宋体" w:hAnsi="Courier New" w:eastAsia="宋体"/>
      <w:kern w:val="2"/>
      <w:sz w:val="21"/>
      <w:lang w:val="en-US" w:eastAsia="zh-CN" w:bidi="ar-SA"/>
    </w:rPr>
  </w:style>
  <w:style w:type="character" w:customStyle="1" w:styleId="109">
    <w:name w:val="标题 5 Char"/>
    <w:autoRedefine/>
    <w:qFormat/>
    <w:uiPriority w:val="9"/>
    <w:rPr>
      <w:b/>
      <w:kern w:val="2"/>
      <w:sz w:val="28"/>
      <w:szCs w:val="24"/>
    </w:rPr>
  </w:style>
  <w:style w:type="character" w:customStyle="1" w:styleId="110">
    <w:name w:val="批注文字 字符"/>
    <w:autoRedefine/>
    <w:qFormat/>
    <w:uiPriority w:val="0"/>
    <w:rPr>
      <w:rFonts w:ascii="Times New Roman" w:hAnsi="Times New Roman"/>
      <w:kern w:val="2"/>
      <w:sz w:val="21"/>
      <w:szCs w:val="24"/>
    </w:rPr>
  </w:style>
  <w:style w:type="character" w:customStyle="1" w:styleId="111">
    <w:name w:val="标题 1 字符"/>
    <w:autoRedefine/>
    <w:qFormat/>
    <w:uiPriority w:val="9"/>
    <w:rPr>
      <w:rFonts w:ascii="Times New Roman" w:hAnsi="Times New Roman" w:eastAsia="宋体" w:cs="Times New Roman"/>
      <w:b/>
      <w:bCs/>
      <w:kern w:val="44"/>
      <w:sz w:val="44"/>
      <w:szCs w:val="44"/>
    </w:rPr>
  </w:style>
  <w:style w:type="character" w:customStyle="1" w:styleId="112">
    <w:name w:val="纯文本 字符"/>
    <w:autoRedefine/>
    <w:qFormat/>
    <w:uiPriority w:val="0"/>
    <w:rPr>
      <w:rFonts w:ascii="宋体" w:hAnsi="Courier New" w:eastAsia="宋体" w:cs="Courier New"/>
      <w:szCs w:val="21"/>
    </w:rPr>
  </w:style>
  <w:style w:type="character" w:customStyle="1" w:styleId="113">
    <w:name w:val="headline-content4"/>
    <w:autoRedefine/>
    <w:qFormat/>
    <w:uiPriority w:val="0"/>
  </w:style>
  <w:style w:type="character" w:customStyle="1" w:styleId="114">
    <w:name w:val="正文文本 (26) + 间距 0 pt"/>
    <w:autoRedefine/>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115">
    <w:name w:val="正文文本缩进 字符"/>
    <w:autoRedefine/>
    <w:qFormat/>
    <w:uiPriority w:val="0"/>
    <w:rPr>
      <w:rFonts w:ascii="仿宋_GB2312" w:hAnsi="Times New Roman" w:eastAsia="仿宋_GB2312" w:cs="Times New Roman"/>
      <w:sz w:val="32"/>
      <w:szCs w:val="20"/>
    </w:rPr>
  </w:style>
  <w:style w:type="character" w:customStyle="1" w:styleId="116">
    <w:name w:val="页脚 字符"/>
    <w:autoRedefine/>
    <w:qFormat/>
    <w:uiPriority w:val="99"/>
  </w:style>
  <w:style w:type="character" w:customStyle="1" w:styleId="117">
    <w:name w:val="标题 1 Char1"/>
    <w:autoRedefine/>
    <w:qFormat/>
    <w:uiPriority w:val="0"/>
    <w:rPr>
      <w:rFonts w:eastAsia="宋体"/>
      <w:b/>
      <w:bCs/>
      <w:kern w:val="44"/>
      <w:sz w:val="44"/>
      <w:szCs w:val="44"/>
      <w:lang w:val="en-US" w:eastAsia="zh-CN" w:bidi="ar-SA"/>
    </w:rPr>
  </w:style>
  <w:style w:type="character" w:customStyle="1" w:styleId="118">
    <w:name w:val="font31"/>
    <w:autoRedefine/>
    <w:qFormat/>
    <w:uiPriority w:val="0"/>
    <w:rPr>
      <w:rFonts w:ascii="方正书宋_GBK" w:hAnsi="方正书宋_GBK" w:eastAsia="方正书宋_GBK" w:cs="方正书宋_GBK"/>
      <w:color w:val="000000"/>
      <w:sz w:val="21"/>
      <w:szCs w:val="21"/>
      <w:u w:val="none"/>
    </w:rPr>
  </w:style>
  <w:style w:type="character" w:customStyle="1" w:styleId="119">
    <w:name w:val="font61"/>
    <w:autoRedefine/>
    <w:qFormat/>
    <w:uiPriority w:val="0"/>
    <w:rPr>
      <w:rFonts w:hint="default" w:ascii="Times New Roman" w:hAnsi="Times New Roman" w:cs="Times New Roman"/>
      <w:color w:val="000000"/>
      <w:sz w:val="21"/>
      <w:szCs w:val="21"/>
      <w:u w:val="none"/>
    </w:rPr>
  </w:style>
  <w:style w:type="character" w:customStyle="1" w:styleId="120">
    <w:name w:val="font11"/>
    <w:autoRedefine/>
    <w:qFormat/>
    <w:uiPriority w:val="0"/>
    <w:rPr>
      <w:rFonts w:hint="eastAsia" w:ascii="宋体" w:hAnsi="宋体" w:eastAsia="宋体" w:cs="宋体"/>
      <w:color w:val="000000"/>
      <w:sz w:val="21"/>
      <w:szCs w:val="21"/>
      <w:u w:val="none"/>
    </w:rPr>
  </w:style>
  <w:style w:type="table" w:customStyle="1" w:styleId="121">
    <w:name w:val="Table Normal"/>
    <w:autoRedefine/>
    <w:semiHidden/>
    <w:qFormat/>
    <w:uiPriority w:val="2"/>
    <w:pPr>
      <w:widowControl w:val="0"/>
    </w:pPr>
    <w:rPr>
      <w:rFonts w:ascii="Calibri" w:hAnsi="Calibri" w:eastAsia="Times New Roman"/>
      <w:sz w:val="22"/>
      <w:szCs w:val="22"/>
      <w:lang w:eastAsia="en-US"/>
    </w:rPr>
    <w:tblPr>
      <w:tblCellMar>
        <w:top w:w="0" w:type="dxa"/>
        <w:left w:w="0" w:type="dxa"/>
        <w:bottom w:w="0" w:type="dxa"/>
        <w:right w:w="0" w:type="dxa"/>
      </w:tblCellMar>
    </w:tblPr>
  </w:style>
  <w:style w:type="paragraph" w:styleId="122">
    <w:name w:val="List Paragraph"/>
    <w:basedOn w:val="1"/>
    <w:autoRedefine/>
    <w:qFormat/>
    <w:uiPriority w:val="34"/>
    <w:pPr>
      <w:ind w:firstLine="420" w:firstLineChars="200"/>
    </w:pPr>
    <w:rPr>
      <w:szCs w:val="22"/>
    </w:rPr>
  </w:style>
  <w:style w:type="character" w:customStyle="1" w:styleId="123">
    <w:name w:val="font51"/>
    <w:autoRedefine/>
    <w:qFormat/>
    <w:uiPriority w:val="0"/>
    <w:rPr>
      <w:rFonts w:hint="default" w:ascii="Times New Roman" w:hAnsi="Times New Roman" w:cs="Times New Roman"/>
      <w:b/>
      <w:color w:val="000000"/>
      <w:sz w:val="18"/>
      <w:szCs w:val="18"/>
      <w:u w:val="none"/>
    </w:rPr>
  </w:style>
  <w:style w:type="paragraph" w:customStyle="1" w:styleId="124">
    <w:name w:val="列表段落2"/>
    <w:basedOn w:val="1"/>
    <w:autoRedefine/>
    <w:qFormat/>
    <w:uiPriority w:val="0"/>
    <w:pPr>
      <w:ind w:firstLine="420" w:firstLineChars="200"/>
    </w:pPr>
    <w:rPr>
      <w:rFonts w:ascii="Calibri" w:hAnsi="Calibri"/>
      <w:szCs w:val="22"/>
    </w:rPr>
  </w:style>
  <w:style w:type="character" w:customStyle="1" w:styleId="125">
    <w:name w:val="font21"/>
    <w:autoRedefine/>
    <w:qFormat/>
    <w:uiPriority w:val="0"/>
    <w:rPr>
      <w:rFonts w:hint="eastAsia" w:ascii="Courier New" w:hAnsi="Courier New" w:eastAsia="Courier New" w:cs="Courier New"/>
      <w:color w:val="000000"/>
      <w:sz w:val="28"/>
      <w:szCs w:val="28"/>
      <w:u w:val="none"/>
    </w:rPr>
  </w:style>
  <w:style w:type="character" w:customStyle="1" w:styleId="126">
    <w:name w:val="font41"/>
    <w:autoRedefine/>
    <w:qFormat/>
    <w:uiPriority w:val="0"/>
    <w:rPr>
      <w:rFonts w:hint="eastAsia" w:ascii="黑体" w:hAnsi="宋体" w:eastAsia="黑体" w:cs="黑体"/>
      <w:color w:val="000000"/>
      <w:sz w:val="18"/>
      <w:szCs w:val="18"/>
      <w:u w:val="none"/>
    </w:rPr>
  </w:style>
  <w:style w:type="paragraph" w:customStyle="1" w:styleId="127">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28">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29">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30">
    <w:name w:val="纯文本 Char2"/>
    <w:autoRedefine/>
    <w:qFormat/>
    <w:uiPriority w:val="0"/>
    <w:rPr>
      <w:rFonts w:ascii="宋体" w:hAnsi="Courier New" w:eastAsia="宋体" w:cs="Courier New"/>
      <w:szCs w:val="21"/>
    </w:rPr>
  </w:style>
  <w:style w:type="paragraph" w:customStyle="1" w:styleId="131">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132">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33">
    <w:name w:val="AONormal"/>
    <w:autoRedefine/>
    <w:qFormat/>
    <w:uiPriority w:val="0"/>
    <w:pPr>
      <w:autoSpaceDE w:val="0"/>
      <w:autoSpaceDN w:val="0"/>
      <w:adjustRightInd w:val="0"/>
      <w:spacing w:line="400" w:lineRule="exact"/>
      <w:ind w:firstLine="440" w:firstLineChars="200"/>
    </w:pPr>
    <w:rPr>
      <w:rFonts w:ascii="华文楷体" w:hAnsi="华文楷体" w:eastAsia="华文楷体" w:cs="华文楷体"/>
      <w:sz w:val="2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KWZB;</Company>
  <Pages>137</Pages>
  <Words>63810</Words>
  <Characters>71089</Characters>
  <Lines>581</Lines>
  <Paragraphs>163</Paragraphs>
  <TotalTime>48</TotalTime>
  <ScaleCrop>false</ScaleCrop>
  <LinksUpToDate>false</LinksUpToDate>
  <CharactersWithSpaces>77557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2023-07-26T02:59:00Z</dcterms:created>
  <dc:creator>KWZB</dc:creator>
  <cp:lastModifiedBy>FROM</cp:lastModifiedBy>
  <cp:lastPrinted>2022-09-05T02:15:00Z</cp:lastPrinted>
  <dcterms:modified xsi:type="dcterms:W3CDTF">2024-06-28T06:36:53Z</dcterms:modified>
  <dc:title>公开招标采购文件范本</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CA021F389F144A04B8A333933237D1A5_13</vt:lpwstr>
  </property>
  <property fmtid="{D5CDD505-2E9C-101B-9397-08002B2CF9AE}" pid="4" name="commondata">
    <vt:lpwstr>eyJoZGlkIjoiZDBiOGZhYWQ5NWI3MDgyYTM5NWU2ZGE3NmNjNDlmOGQifQ==</vt:lpwstr>
  </property>
</Properties>
</file>