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7E474">
      <w:pPr>
        <w:spacing w:line="360" w:lineRule="auto"/>
        <w:rPr>
          <w:rFonts w:ascii="宋体" w:hAnsi="宋体" w:cs="宋体"/>
          <w:color w:val="auto"/>
          <w:sz w:val="66"/>
          <w:szCs w:val="66"/>
          <w:highlight w:val="none"/>
          <w:u w:val="double"/>
        </w:rPr>
      </w:pPr>
      <w:r>
        <w:rPr>
          <w:rFonts w:hint="eastAsia" w:ascii="方正小标宋简体" w:hAnsi="方正小标宋简体" w:eastAsia="方正小标宋简体" w:cs="方正小标宋简体"/>
          <w:color w:val="auto"/>
          <w:sz w:val="72"/>
          <w:szCs w:val="72"/>
          <w:highlight w:val="none"/>
          <w:lang w:val="en-US" w:eastAsia="zh-CN"/>
        </w:rPr>
        <w:drawing>
          <wp:inline distT="0" distB="0" distL="114300" distR="114300">
            <wp:extent cx="6120765" cy="1266190"/>
            <wp:effectExtent l="0" t="0" r="0" b="0"/>
            <wp:docPr id="5" name="图片 5" descr="0d529a017487267233e4305831c5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d529a017487267233e4305831c57c3"/>
                    <pic:cNvPicPr>
                      <a:picLocks noChangeAspect="1"/>
                    </pic:cNvPicPr>
                  </pic:nvPicPr>
                  <pic:blipFill>
                    <a:blip r:embed="rId8"/>
                    <a:stretch>
                      <a:fillRect/>
                    </a:stretch>
                  </pic:blipFill>
                  <pic:spPr>
                    <a:xfrm>
                      <a:off x="0" y="0"/>
                      <a:ext cx="6120765" cy="1266190"/>
                    </a:xfrm>
                    <a:prstGeom prst="rect">
                      <a:avLst/>
                    </a:prstGeom>
                  </pic:spPr>
                </pic:pic>
              </a:graphicData>
            </a:graphic>
          </wp:inline>
        </w:drawing>
      </w:r>
    </w:p>
    <w:p w14:paraId="6D2DA797">
      <w:pPr>
        <w:spacing w:line="360" w:lineRule="auto"/>
        <w:rPr>
          <w:rFonts w:ascii="宋体" w:hAnsi="宋体" w:cs="宋体"/>
          <w:color w:val="auto"/>
          <w:sz w:val="66"/>
          <w:szCs w:val="66"/>
          <w:highlight w:val="none"/>
          <w:u w:val="double"/>
        </w:rPr>
      </w:pPr>
    </w:p>
    <w:p w14:paraId="73634A83">
      <w:pPr>
        <w:spacing w:line="360" w:lineRule="auto"/>
        <w:rPr>
          <w:rFonts w:ascii="宋体" w:hAnsi="宋体" w:cs="宋体"/>
          <w:color w:val="auto"/>
          <w:sz w:val="66"/>
          <w:szCs w:val="66"/>
          <w:highlight w:val="none"/>
          <w:u w:val="double"/>
        </w:rPr>
      </w:pPr>
    </w:p>
    <w:p w14:paraId="3FF62C72">
      <w:pPr>
        <w:pStyle w:val="20"/>
        <w:rPr>
          <w:color w:val="auto"/>
          <w:highlight w:val="none"/>
        </w:rPr>
      </w:pPr>
    </w:p>
    <w:p w14:paraId="3B076299">
      <w:pPr>
        <w:rPr>
          <w:color w:val="auto"/>
          <w:highlight w:val="none"/>
        </w:rPr>
      </w:pPr>
    </w:p>
    <w:p w14:paraId="4A963C1A">
      <w:pPr>
        <w:spacing w:line="360" w:lineRule="auto"/>
        <w:rPr>
          <w:rFonts w:ascii="宋体" w:hAnsi="宋体" w:cs="宋体"/>
          <w:color w:val="auto"/>
          <w:sz w:val="66"/>
          <w:szCs w:val="66"/>
          <w:highlight w:val="none"/>
          <w:u w:val="double"/>
        </w:rPr>
      </w:pPr>
    </w:p>
    <w:p w14:paraId="4C8BE163">
      <w:pPr>
        <w:spacing w:line="360" w:lineRule="auto"/>
        <w:jc w:val="center"/>
        <w:rPr>
          <w:rFonts w:ascii="宋体" w:hAnsi="宋体" w:cs="宋体"/>
          <w:b/>
          <w:bCs/>
          <w:color w:val="auto"/>
          <w:sz w:val="76"/>
          <w:szCs w:val="76"/>
          <w:highlight w:val="none"/>
        </w:rPr>
      </w:pPr>
      <w:r>
        <w:rPr>
          <w:rFonts w:hint="eastAsia" w:ascii="宋体" w:hAnsi="宋体" w:cs="宋体"/>
          <w:b/>
          <w:bCs/>
          <w:color w:val="auto"/>
          <w:sz w:val="76"/>
          <w:szCs w:val="76"/>
          <w:highlight w:val="none"/>
        </w:rPr>
        <w:t>竞争性磋商采购文件</w:t>
      </w:r>
    </w:p>
    <w:p w14:paraId="4CBB0B71">
      <w:pPr>
        <w:pStyle w:val="22"/>
        <w:spacing w:line="360" w:lineRule="auto"/>
        <w:ind w:firstLine="1680" w:firstLineChars="600"/>
        <w:rPr>
          <w:rFonts w:hAnsi="宋体" w:cs="宋体"/>
          <w:color w:val="auto"/>
          <w:sz w:val="28"/>
          <w:szCs w:val="28"/>
          <w:highlight w:val="none"/>
        </w:rPr>
      </w:pPr>
      <w:r>
        <w:rPr>
          <w:rFonts w:hint="eastAsia" w:hAnsi="宋体" w:cs="宋体"/>
          <w:color w:val="auto"/>
          <w:sz w:val="28"/>
          <w:szCs w:val="28"/>
          <w:highlight w:val="none"/>
        </w:rPr>
        <w:t xml:space="preserve">项目名称：大新县2024年度国土变更调查工作 </w:t>
      </w:r>
    </w:p>
    <w:p w14:paraId="56C71767">
      <w:pPr>
        <w:pStyle w:val="22"/>
        <w:spacing w:line="360" w:lineRule="auto"/>
        <w:ind w:firstLine="1680" w:firstLineChars="600"/>
        <w:rPr>
          <w:rFonts w:hint="eastAsia" w:hAnsi="宋体" w:eastAsia="宋体" w:cs="宋体"/>
          <w:color w:val="auto"/>
          <w:sz w:val="28"/>
          <w:szCs w:val="28"/>
          <w:highlight w:val="none"/>
          <w:lang w:eastAsia="zh-CN"/>
        </w:rPr>
      </w:pPr>
      <w:r>
        <w:rPr>
          <w:rFonts w:hint="eastAsia" w:hAnsi="宋体" w:cs="宋体"/>
          <w:color w:val="auto"/>
          <w:sz w:val="28"/>
          <w:szCs w:val="28"/>
          <w:highlight w:val="none"/>
        </w:rPr>
        <w:t>项目编号：</w:t>
      </w:r>
      <w:r>
        <w:rPr>
          <w:rFonts w:hint="eastAsia" w:hAnsi="宋体" w:cs="宋体"/>
          <w:color w:val="auto"/>
          <w:sz w:val="28"/>
          <w:szCs w:val="28"/>
          <w:highlight w:val="none"/>
          <w:lang w:eastAsia="zh-CN"/>
        </w:rPr>
        <w:t>CZZC2025-C3-240013-GXYL</w:t>
      </w:r>
    </w:p>
    <w:p w14:paraId="1EFC4A58">
      <w:pPr>
        <w:spacing w:line="360" w:lineRule="auto"/>
        <w:rPr>
          <w:rFonts w:ascii="宋体" w:hAnsi="宋体" w:cs="宋体"/>
          <w:b/>
          <w:bCs/>
          <w:color w:val="auto"/>
          <w:sz w:val="40"/>
          <w:szCs w:val="40"/>
          <w:highlight w:val="none"/>
        </w:rPr>
      </w:pPr>
    </w:p>
    <w:p w14:paraId="0B56A9FC">
      <w:pPr>
        <w:spacing w:line="360" w:lineRule="auto"/>
        <w:rPr>
          <w:rFonts w:ascii="宋体" w:hAnsi="宋体" w:cs="宋体"/>
          <w:b/>
          <w:bCs/>
          <w:color w:val="auto"/>
          <w:sz w:val="36"/>
          <w:szCs w:val="36"/>
          <w:highlight w:val="none"/>
        </w:rPr>
      </w:pPr>
    </w:p>
    <w:p w14:paraId="7CF76C3A">
      <w:pPr>
        <w:spacing w:line="360" w:lineRule="auto"/>
        <w:rPr>
          <w:rFonts w:ascii="宋体" w:hAnsi="宋体" w:cs="宋体"/>
          <w:b/>
          <w:bCs/>
          <w:color w:val="auto"/>
          <w:sz w:val="36"/>
          <w:szCs w:val="36"/>
          <w:highlight w:val="none"/>
        </w:rPr>
      </w:pPr>
    </w:p>
    <w:p w14:paraId="536A1A0E">
      <w:pPr>
        <w:pStyle w:val="60"/>
        <w:spacing w:line="360" w:lineRule="auto"/>
        <w:ind w:firstLine="915"/>
        <w:rPr>
          <w:color w:val="auto"/>
          <w:highlight w:val="none"/>
        </w:rPr>
      </w:pPr>
    </w:p>
    <w:p w14:paraId="72B6E4F3">
      <w:pPr>
        <w:spacing w:line="360" w:lineRule="auto"/>
        <w:jc w:val="center"/>
        <w:rPr>
          <w:rFonts w:ascii="宋体" w:hAnsi="宋体" w:cs="宋体"/>
          <w:b/>
          <w:bCs/>
          <w:color w:val="auto"/>
          <w:sz w:val="32"/>
          <w:szCs w:val="32"/>
          <w:highlight w:val="none"/>
        </w:rPr>
      </w:pPr>
    </w:p>
    <w:p w14:paraId="31360E14">
      <w:pPr>
        <w:pStyle w:val="60"/>
        <w:ind w:firstLine="915"/>
        <w:rPr>
          <w:color w:val="auto"/>
          <w:highlight w:val="none"/>
        </w:rPr>
      </w:pPr>
    </w:p>
    <w:p w14:paraId="150CFCC6">
      <w:pPr>
        <w:spacing w:line="360" w:lineRule="auto"/>
        <w:rPr>
          <w:rFonts w:ascii="宋体" w:hAnsi="宋体" w:cs="宋体"/>
          <w:b/>
          <w:bCs/>
          <w:color w:val="auto"/>
          <w:sz w:val="32"/>
          <w:szCs w:val="32"/>
          <w:highlight w:val="none"/>
        </w:rPr>
      </w:pPr>
      <w:r>
        <w:rPr>
          <w:rFonts w:hint="eastAsia" w:ascii="宋体" w:hAnsi="宋体" w:cs="宋体"/>
          <w:b/>
          <w:bCs/>
          <w:color w:val="auto"/>
          <w:sz w:val="36"/>
          <w:szCs w:val="36"/>
          <w:highlight w:val="none"/>
        </w:rPr>
        <w:t xml:space="preserve">     </w:t>
      </w:r>
      <w:r>
        <w:rPr>
          <w:rFonts w:hint="eastAsia" w:ascii="宋体" w:hAnsi="宋体" w:cs="宋体"/>
          <w:b/>
          <w:bCs/>
          <w:color w:val="auto"/>
          <w:sz w:val="32"/>
          <w:szCs w:val="32"/>
          <w:highlight w:val="none"/>
        </w:rPr>
        <w:t xml:space="preserve"> </w:t>
      </w:r>
      <w:r>
        <w:rPr>
          <w:rFonts w:hint="eastAsia" w:ascii="宋体" w:hAnsi="宋体" w:cs="宋体"/>
          <w:b/>
          <w:bCs/>
          <w:color w:val="auto"/>
          <w:sz w:val="32"/>
          <w:szCs w:val="32"/>
          <w:highlight w:val="none"/>
          <w:lang w:val="en-US" w:eastAsia="zh-CN"/>
        </w:rPr>
        <w:t xml:space="preserve">     </w:t>
      </w:r>
      <w:r>
        <w:rPr>
          <w:rFonts w:hint="eastAsia" w:ascii="宋体" w:hAnsi="宋体" w:cs="宋体"/>
          <w:b/>
          <w:bCs/>
          <w:color w:val="auto"/>
          <w:sz w:val="32"/>
          <w:szCs w:val="32"/>
          <w:highlight w:val="none"/>
        </w:rPr>
        <w:t>采购单位：大新县自然资源局</w:t>
      </w:r>
    </w:p>
    <w:p w14:paraId="383C7975">
      <w:pPr>
        <w:spacing w:line="360" w:lineRule="auto"/>
        <w:jc w:val="center"/>
        <w:rPr>
          <w:rFonts w:hint="eastAsia" w:ascii="宋体" w:hAnsi="宋体" w:cs="宋体"/>
          <w:b/>
          <w:bCs/>
          <w:color w:val="auto"/>
          <w:sz w:val="32"/>
          <w:szCs w:val="32"/>
          <w:highlight w:val="none"/>
          <w:lang w:eastAsia="zh-CN"/>
        </w:rPr>
      </w:pPr>
      <w:r>
        <w:rPr>
          <w:rFonts w:hint="eastAsia" w:ascii="宋体" w:hAnsi="宋体" w:cs="宋体"/>
          <w:b/>
          <w:bCs/>
          <w:color w:val="auto"/>
          <w:sz w:val="32"/>
          <w:szCs w:val="32"/>
          <w:highlight w:val="none"/>
        </w:rPr>
        <w:t>采购代理机构：</w:t>
      </w:r>
      <w:r>
        <w:rPr>
          <w:rFonts w:hint="eastAsia" w:ascii="宋体" w:hAnsi="宋体" w:cs="宋体"/>
          <w:b/>
          <w:bCs/>
          <w:color w:val="auto"/>
          <w:sz w:val="32"/>
          <w:szCs w:val="32"/>
          <w:highlight w:val="none"/>
          <w:lang w:eastAsia="zh-CN"/>
        </w:rPr>
        <w:t>广西亿隆项目管理有限公司</w:t>
      </w:r>
    </w:p>
    <w:p w14:paraId="18F49C7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2025年3月</w:t>
      </w:r>
    </w:p>
    <w:p w14:paraId="5C4CB289">
      <w:pPr>
        <w:spacing w:line="360" w:lineRule="auto"/>
        <w:ind w:firstLine="643" w:firstLineChars="200"/>
        <w:jc w:val="center"/>
        <w:rPr>
          <w:rFonts w:ascii="宋体" w:hAnsi="宋体" w:cs="宋体"/>
          <w:b/>
          <w:color w:val="auto"/>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目   录</w:t>
      </w:r>
    </w:p>
    <w:p w14:paraId="58345DD8">
      <w:pPr>
        <w:spacing w:line="360" w:lineRule="auto"/>
        <w:jc w:val="center"/>
        <w:rPr>
          <w:rFonts w:ascii="宋体" w:hAnsi="宋体" w:cs="宋体"/>
          <w:b/>
          <w:color w:val="auto"/>
          <w:sz w:val="44"/>
          <w:szCs w:val="44"/>
          <w:highlight w:val="none"/>
        </w:rPr>
      </w:pPr>
    </w:p>
    <w:p w14:paraId="2E1D118A">
      <w:pPr>
        <w:pStyle w:val="33"/>
        <w:tabs>
          <w:tab w:val="right" w:leader="dot" w:pos="9660"/>
        </w:tabs>
        <w:rPr>
          <w:color w:val="auto"/>
          <w:sz w:val="24"/>
          <w:szCs w:val="32"/>
          <w:highlight w:val="none"/>
        </w:rPr>
      </w:pPr>
      <w:r>
        <w:rPr>
          <w:rFonts w:hint="eastAsia" w:ascii="宋体" w:hAnsi="宋体" w:cs="宋体"/>
          <w:b/>
          <w:color w:val="auto"/>
          <w:sz w:val="36"/>
          <w:szCs w:val="36"/>
          <w:highlight w:val="none"/>
        </w:rPr>
        <w:fldChar w:fldCharType="begin"/>
      </w:r>
      <w:r>
        <w:rPr>
          <w:rFonts w:hint="eastAsia" w:ascii="宋体" w:hAnsi="宋体" w:cs="宋体"/>
          <w:b/>
          <w:color w:val="auto"/>
          <w:sz w:val="36"/>
          <w:szCs w:val="36"/>
          <w:highlight w:val="none"/>
        </w:rPr>
        <w:instrText xml:space="preserve"> TOC \o "1-3" \h \z \u </w:instrText>
      </w:r>
      <w:r>
        <w:rPr>
          <w:rFonts w:hint="eastAsia" w:ascii="宋体" w:hAnsi="宋体" w:cs="宋体"/>
          <w:b/>
          <w:color w:val="auto"/>
          <w:sz w:val="36"/>
          <w:szCs w:val="36"/>
          <w:highlight w:val="none"/>
        </w:rPr>
        <w:fldChar w:fldCharType="separate"/>
      </w:r>
      <w:r>
        <w:rPr>
          <w:color w:val="auto"/>
          <w:highlight w:val="none"/>
        </w:rPr>
        <w:fldChar w:fldCharType="begin"/>
      </w:r>
      <w:r>
        <w:rPr>
          <w:color w:val="auto"/>
          <w:highlight w:val="none"/>
        </w:rPr>
        <w:instrText xml:space="preserve"> HYPERLINK \l "_Toc19434" </w:instrText>
      </w:r>
      <w:r>
        <w:rPr>
          <w:color w:val="auto"/>
          <w:highlight w:val="none"/>
        </w:rPr>
        <w:fldChar w:fldCharType="separate"/>
      </w:r>
      <w:r>
        <w:rPr>
          <w:rFonts w:hint="eastAsia"/>
          <w:color w:val="auto"/>
          <w:sz w:val="24"/>
          <w:szCs w:val="32"/>
          <w:highlight w:val="none"/>
        </w:rPr>
        <w:t>第一章 竞争性磋商公告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_Toc19434 \h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color w:val="auto"/>
          <w:sz w:val="24"/>
          <w:szCs w:val="32"/>
          <w:highlight w:val="none"/>
        </w:rPr>
        <w:fldChar w:fldCharType="end"/>
      </w:r>
    </w:p>
    <w:p w14:paraId="5EDF0CCD">
      <w:pPr>
        <w:pStyle w:val="33"/>
        <w:tabs>
          <w:tab w:val="right" w:leader="dot" w:pos="9660"/>
        </w:tabs>
        <w:rPr>
          <w:rFonts w:ascii="宋体" w:hAnsi="宋体" w:cs="宋体"/>
          <w:color w:val="auto"/>
          <w:sz w:val="24"/>
          <w:szCs w:val="36"/>
          <w:highlight w:val="none"/>
        </w:rPr>
      </w:pPr>
    </w:p>
    <w:p w14:paraId="78BE7970">
      <w:pPr>
        <w:pStyle w:val="33"/>
        <w:tabs>
          <w:tab w:val="right" w:leader="dot" w:pos="9660"/>
        </w:tabs>
        <w:rPr>
          <w:color w:val="auto"/>
          <w:sz w:val="24"/>
          <w:szCs w:val="32"/>
          <w:highlight w:val="none"/>
        </w:rPr>
      </w:pPr>
      <w:r>
        <w:rPr>
          <w:color w:val="auto"/>
          <w:highlight w:val="none"/>
        </w:rPr>
        <w:fldChar w:fldCharType="begin"/>
      </w:r>
      <w:r>
        <w:rPr>
          <w:color w:val="auto"/>
          <w:highlight w:val="none"/>
        </w:rPr>
        <w:instrText xml:space="preserve"> HYPERLINK \l "_Toc27532" </w:instrText>
      </w:r>
      <w:r>
        <w:rPr>
          <w:color w:val="auto"/>
          <w:highlight w:val="none"/>
        </w:rPr>
        <w:fldChar w:fldCharType="separate"/>
      </w:r>
      <w:r>
        <w:rPr>
          <w:rFonts w:hint="eastAsia"/>
          <w:color w:val="auto"/>
          <w:sz w:val="24"/>
          <w:szCs w:val="40"/>
          <w:highlight w:val="none"/>
        </w:rPr>
        <w:t>第二章 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_Toc27532 \h </w:instrText>
      </w:r>
      <w:r>
        <w:rPr>
          <w:color w:val="auto"/>
          <w:sz w:val="24"/>
          <w:szCs w:val="32"/>
          <w:highlight w:val="none"/>
        </w:rPr>
        <w:fldChar w:fldCharType="separate"/>
      </w:r>
      <w:r>
        <w:rPr>
          <w:color w:val="auto"/>
          <w:sz w:val="24"/>
          <w:szCs w:val="32"/>
          <w:highlight w:val="none"/>
        </w:rPr>
        <w:t>3</w:t>
      </w:r>
      <w:r>
        <w:rPr>
          <w:color w:val="auto"/>
          <w:sz w:val="24"/>
          <w:szCs w:val="32"/>
          <w:highlight w:val="none"/>
        </w:rPr>
        <w:fldChar w:fldCharType="end"/>
      </w:r>
      <w:r>
        <w:rPr>
          <w:color w:val="auto"/>
          <w:sz w:val="24"/>
          <w:szCs w:val="32"/>
          <w:highlight w:val="none"/>
        </w:rPr>
        <w:fldChar w:fldCharType="end"/>
      </w:r>
    </w:p>
    <w:p w14:paraId="6FEB198D">
      <w:pPr>
        <w:pStyle w:val="33"/>
        <w:rPr>
          <w:rFonts w:ascii="宋体" w:hAnsi="宋体" w:cs="宋体"/>
          <w:color w:val="auto"/>
          <w:sz w:val="24"/>
          <w:szCs w:val="36"/>
          <w:highlight w:val="none"/>
        </w:rPr>
      </w:pPr>
    </w:p>
    <w:p w14:paraId="4A51FBA4">
      <w:pPr>
        <w:pStyle w:val="33"/>
        <w:rPr>
          <w:color w:val="auto"/>
          <w:sz w:val="24"/>
          <w:szCs w:val="32"/>
          <w:highlight w:val="none"/>
        </w:rPr>
      </w:pPr>
      <w:r>
        <w:rPr>
          <w:color w:val="auto"/>
          <w:highlight w:val="none"/>
        </w:rPr>
        <w:fldChar w:fldCharType="begin"/>
      </w:r>
      <w:r>
        <w:rPr>
          <w:color w:val="auto"/>
          <w:highlight w:val="none"/>
        </w:rPr>
        <w:instrText xml:space="preserve"> HYPERLINK \l "_Toc3974" </w:instrText>
      </w:r>
      <w:r>
        <w:rPr>
          <w:color w:val="auto"/>
          <w:highlight w:val="none"/>
        </w:rPr>
        <w:fldChar w:fldCharType="separate"/>
      </w:r>
      <w:r>
        <w:rPr>
          <w:rFonts w:hint="eastAsia"/>
          <w:color w:val="auto"/>
          <w:sz w:val="24"/>
          <w:szCs w:val="32"/>
          <w:highlight w:val="none"/>
        </w:rPr>
        <w:t>第三章 采购需求...............................................................................................................................</w:t>
      </w:r>
      <w:r>
        <w:rPr>
          <w:color w:val="auto"/>
          <w:sz w:val="24"/>
          <w:szCs w:val="32"/>
          <w:highlight w:val="none"/>
        </w:rPr>
        <w:fldChar w:fldCharType="begin"/>
      </w:r>
      <w:r>
        <w:rPr>
          <w:color w:val="auto"/>
          <w:sz w:val="24"/>
          <w:szCs w:val="32"/>
          <w:highlight w:val="none"/>
        </w:rPr>
        <w:instrText xml:space="preserve"> PAGEREF _Toc3974 \h </w:instrText>
      </w:r>
      <w:r>
        <w:rPr>
          <w:color w:val="auto"/>
          <w:sz w:val="24"/>
          <w:szCs w:val="32"/>
          <w:highlight w:val="none"/>
        </w:rPr>
        <w:fldChar w:fldCharType="separate"/>
      </w:r>
      <w:r>
        <w:rPr>
          <w:color w:val="auto"/>
          <w:sz w:val="24"/>
          <w:szCs w:val="32"/>
          <w:highlight w:val="none"/>
        </w:rPr>
        <w:t>30</w:t>
      </w:r>
      <w:r>
        <w:rPr>
          <w:color w:val="auto"/>
          <w:sz w:val="24"/>
          <w:szCs w:val="32"/>
          <w:highlight w:val="none"/>
        </w:rPr>
        <w:fldChar w:fldCharType="end"/>
      </w:r>
      <w:r>
        <w:rPr>
          <w:color w:val="auto"/>
          <w:sz w:val="24"/>
          <w:szCs w:val="32"/>
          <w:highlight w:val="none"/>
        </w:rPr>
        <w:fldChar w:fldCharType="end"/>
      </w:r>
    </w:p>
    <w:p w14:paraId="12A617F3">
      <w:pPr>
        <w:pStyle w:val="33"/>
        <w:tabs>
          <w:tab w:val="right" w:leader="dot" w:pos="9660"/>
        </w:tabs>
        <w:rPr>
          <w:rFonts w:ascii="宋体" w:hAnsi="宋体" w:cs="宋体"/>
          <w:color w:val="auto"/>
          <w:sz w:val="24"/>
          <w:szCs w:val="36"/>
          <w:highlight w:val="none"/>
        </w:rPr>
      </w:pPr>
    </w:p>
    <w:p w14:paraId="486F543B">
      <w:pPr>
        <w:pStyle w:val="33"/>
        <w:tabs>
          <w:tab w:val="right" w:leader="dot" w:pos="9660"/>
        </w:tabs>
        <w:rPr>
          <w:color w:val="auto"/>
          <w:sz w:val="24"/>
          <w:szCs w:val="32"/>
          <w:highlight w:val="none"/>
        </w:rPr>
      </w:pPr>
      <w:r>
        <w:rPr>
          <w:color w:val="auto"/>
          <w:highlight w:val="none"/>
        </w:rPr>
        <w:fldChar w:fldCharType="begin"/>
      </w:r>
      <w:r>
        <w:rPr>
          <w:color w:val="auto"/>
          <w:highlight w:val="none"/>
        </w:rPr>
        <w:instrText xml:space="preserve"> HYPERLINK \l "_Toc9877" </w:instrText>
      </w:r>
      <w:r>
        <w:rPr>
          <w:color w:val="auto"/>
          <w:highlight w:val="none"/>
        </w:rPr>
        <w:fldChar w:fldCharType="separate"/>
      </w:r>
      <w:r>
        <w:rPr>
          <w:rFonts w:hint="eastAsia"/>
          <w:color w:val="auto"/>
          <w:sz w:val="24"/>
          <w:szCs w:val="32"/>
          <w:highlight w:val="none"/>
        </w:rPr>
        <w:t>第四章 评审程序、评审方法和评审标准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_Toc9877 \h </w:instrText>
      </w:r>
      <w:r>
        <w:rPr>
          <w:color w:val="auto"/>
          <w:sz w:val="24"/>
          <w:szCs w:val="32"/>
          <w:highlight w:val="none"/>
        </w:rPr>
        <w:fldChar w:fldCharType="separate"/>
      </w:r>
      <w:r>
        <w:rPr>
          <w:color w:val="auto"/>
          <w:sz w:val="24"/>
          <w:szCs w:val="32"/>
          <w:highlight w:val="none"/>
        </w:rPr>
        <w:t>34</w:t>
      </w:r>
      <w:r>
        <w:rPr>
          <w:color w:val="auto"/>
          <w:sz w:val="24"/>
          <w:szCs w:val="32"/>
          <w:highlight w:val="none"/>
        </w:rPr>
        <w:fldChar w:fldCharType="end"/>
      </w:r>
      <w:r>
        <w:rPr>
          <w:color w:val="auto"/>
          <w:sz w:val="24"/>
          <w:szCs w:val="32"/>
          <w:highlight w:val="none"/>
        </w:rPr>
        <w:fldChar w:fldCharType="end"/>
      </w:r>
    </w:p>
    <w:p w14:paraId="6BBF7C76">
      <w:pPr>
        <w:pStyle w:val="41"/>
        <w:tabs>
          <w:tab w:val="right" w:leader="dot" w:pos="9660"/>
          <w:tab w:val="clear" w:pos="8296"/>
        </w:tabs>
        <w:ind w:left="0" w:leftChars="0"/>
        <w:rPr>
          <w:color w:val="auto"/>
          <w:sz w:val="24"/>
          <w:szCs w:val="32"/>
          <w:highlight w:val="none"/>
        </w:rPr>
      </w:pPr>
    </w:p>
    <w:p w14:paraId="42C06253">
      <w:pPr>
        <w:pStyle w:val="41"/>
        <w:tabs>
          <w:tab w:val="right" w:leader="dot" w:pos="9660"/>
          <w:tab w:val="clear" w:pos="8296"/>
        </w:tabs>
        <w:ind w:left="0" w:leftChars="0"/>
        <w:rPr>
          <w:color w:val="auto"/>
          <w:sz w:val="24"/>
          <w:szCs w:val="32"/>
          <w:highlight w:val="none"/>
        </w:rPr>
      </w:pPr>
      <w:r>
        <w:rPr>
          <w:color w:val="auto"/>
          <w:highlight w:val="none"/>
        </w:rPr>
        <w:fldChar w:fldCharType="begin"/>
      </w:r>
      <w:r>
        <w:rPr>
          <w:color w:val="auto"/>
          <w:highlight w:val="none"/>
        </w:rPr>
        <w:instrText xml:space="preserve"> HYPERLINK \l "_Toc29846" </w:instrText>
      </w:r>
      <w:r>
        <w:rPr>
          <w:color w:val="auto"/>
          <w:highlight w:val="none"/>
        </w:rPr>
        <w:fldChar w:fldCharType="separate"/>
      </w:r>
      <w:r>
        <w:rPr>
          <w:rFonts w:hint="eastAsia" w:ascii="宋体" w:hAnsi="宋体" w:cs="宋体"/>
          <w:color w:val="auto"/>
          <w:sz w:val="24"/>
          <w:szCs w:val="32"/>
          <w:highlight w:val="none"/>
        </w:rPr>
        <w:t>第五章 响应文件格式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_Toc29846 \h </w:instrText>
      </w:r>
      <w:r>
        <w:rPr>
          <w:color w:val="auto"/>
          <w:sz w:val="24"/>
          <w:szCs w:val="32"/>
          <w:highlight w:val="none"/>
        </w:rPr>
        <w:fldChar w:fldCharType="separate"/>
      </w:r>
      <w:r>
        <w:rPr>
          <w:color w:val="auto"/>
          <w:sz w:val="24"/>
          <w:szCs w:val="32"/>
          <w:highlight w:val="none"/>
        </w:rPr>
        <w:t>45</w:t>
      </w:r>
      <w:r>
        <w:rPr>
          <w:color w:val="auto"/>
          <w:sz w:val="24"/>
          <w:szCs w:val="32"/>
          <w:highlight w:val="none"/>
        </w:rPr>
        <w:fldChar w:fldCharType="end"/>
      </w:r>
      <w:r>
        <w:rPr>
          <w:color w:val="auto"/>
          <w:sz w:val="24"/>
          <w:szCs w:val="32"/>
          <w:highlight w:val="none"/>
        </w:rPr>
        <w:fldChar w:fldCharType="end"/>
      </w:r>
    </w:p>
    <w:p w14:paraId="7430C9C9">
      <w:pPr>
        <w:pStyle w:val="41"/>
        <w:tabs>
          <w:tab w:val="right" w:leader="dot" w:pos="9660"/>
          <w:tab w:val="clear" w:pos="8296"/>
        </w:tabs>
        <w:ind w:left="0" w:leftChars="0"/>
        <w:rPr>
          <w:color w:val="auto"/>
          <w:sz w:val="24"/>
          <w:szCs w:val="32"/>
          <w:highlight w:val="none"/>
        </w:rPr>
      </w:pPr>
    </w:p>
    <w:p w14:paraId="256F958B">
      <w:pPr>
        <w:pStyle w:val="41"/>
        <w:tabs>
          <w:tab w:val="right" w:leader="dot" w:pos="9660"/>
          <w:tab w:val="clear" w:pos="8296"/>
        </w:tabs>
        <w:ind w:left="0" w:leftChars="0"/>
        <w:rPr>
          <w:color w:val="auto"/>
          <w:sz w:val="24"/>
          <w:szCs w:val="32"/>
          <w:highlight w:val="none"/>
        </w:rPr>
      </w:pPr>
      <w:r>
        <w:rPr>
          <w:color w:val="auto"/>
          <w:highlight w:val="none"/>
        </w:rPr>
        <w:fldChar w:fldCharType="begin"/>
      </w:r>
      <w:r>
        <w:rPr>
          <w:color w:val="auto"/>
          <w:highlight w:val="none"/>
        </w:rPr>
        <w:instrText xml:space="preserve"> HYPERLINK \l "_Toc31094" </w:instrText>
      </w:r>
      <w:r>
        <w:rPr>
          <w:color w:val="auto"/>
          <w:highlight w:val="none"/>
        </w:rPr>
        <w:fldChar w:fldCharType="separate"/>
      </w:r>
      <w:r>
        <w:rPr>
          <w:rFonts w:hint="eastAsia" w:ascii="宋体" w:hAnsi="宋体" w:cs="宋体"/>
          <w:color w:val="auto"/>
          <w:sz w:val="24"/>
          <w:szCs w:val="32"/>
          <w:highlight w:val="none"/>
        </w:rPr>
        <w:t>第六章 合同文本</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_Toc31094 \h </w:instrText>
      </w:r>
      <w:r>
        <w:rPr>
          <w:color w:val="auto"/>
          <w:sz w:val="24"/>
          <w:szCs w:val="32"/>
          <w:highlight w:val="none"/>
        </w:rPr>
        <w:fldChar w:fldCharType="separate"/>
      </w:r>
      <w:r>
        <w:rPr>
          <w:color w:val="auto"/>
          <w:sz w:val="24"/>
          <w:szCs w:val="32"/>
          <w:highlight w:val="none"/>
        </w:rPr>
        <w:t>70</w:t>
      </w:r>
      <w:r>
        <w:rPr>
          <w:color w:val="auto"/>
          <w:sz w:val="24"/>
          <w:szCs w:val="32"/>
          <w:highlight w:val="none"/>
        </w:rPr>
        <w:fldChar w:fldCharType="end"/>
      </w:r>
      <w:r>
        <w:rPr>
          <w:color w:val="auto"/>
          <w:sz w:val="24"/>
          <w:szCs w:val="32"/>
          <w:highlight w:val="none"/>
        </w:rPr>
        <w:fldChar w:fldCharType="end"/>
      </w:r>
    </w:p>
    <w:p w14:paraId="507E7639">
      <w:pPr>
        <w:pStyle w:val="41"/>
        <w:tabs>
          <w:tab w:val="left" w:pos="3938"/>
          <w:tab w:val="clear" w:pos="8296"/>
        </w:tabs>
        <w:spacing w:line="600" w:lineRule="auto"/>
        <w:rPr>
          <w:rFonts w:ascii="宋体" w:hAnsi="宋体" w:cs="宋体"/>
          <w:color w:val="auto"/>
          <w:sz w:val="28"/>
          <w:szCs w:val="28"/>
          <w:highlight w:val="none"/>
        </w:rPr>
      </w:pPr>
      <w:r>
        <w:rPr>
          <w:rFonts w:hint="eastAsia" w:ascii="宋体" w:hAnsi="宋体" w:cs="宋体"/>
          <w:b/>
          <w:color w:val="auto"/>
          <w:sz w:val="36"/>
          <w:szCs w:val="36"/>
          <w:highlight w:val="none"/>
        </w:rPr>
        <w:fldChar w:fldCharType="end"/>
      </w:r>
      <w:r>
        <w:rPr>
          <w:rFonts w:hint="eastAsia" w:ascii="宋体" w:hAnsi="宋体" w:cs="宋体"/>
          <w:b/>
          <w:color w:val="auto"/>
          <w:sz w:val="28"/>
          <w:szCs w:val="28"/>
          <w:highlight w:val="none"/>
        </w:rPr>
        <w:tab/>
      </w:r>
    </w:p>
    <w:p w14:paraId="0C142CBA">
      <w:pPr>
        <w:spacing w:line="360" w:lineRule="auto"/>
        <w:jc w:val="left"/>
        <w:rPr>
          <w:rFonts w:ascii="宋体" w:hAnsi="宋体" w:cs="宋体"/>
          <w:b/>
          <w:color w:val="auto"/>
          <w:sz w:val="32"/>
          <w:szCs w:val="32"/>
          <w:highlight w:val="none"/>
        </w:rPr>
      </w:pPr>
    </w:p>
    <w:p w14:paraId="5E132418">
      <w:pPr>
        <w:spacing w:line="360" w:lineRule="auto"/>
        <w:jc w:val="center"/>
        <w:rPr>
          <w:rFonts w:ascii="宋体" w:hAnsi="宋体" w:cs="宋体"/>
          <w:b/>
          <w:color w:val="auto"/>
          <w:sz w:val="32"/>
          <w:szCs w:val="32"/>
          <w:highlight w:val="none"/>
        </w:rPr>
      </w:pPr>
    </w:p>
    <w:p w14:paraId="4C3A9828">
      <w:pPr>
        <w:spacing w:line="360" w:lineRule="auto"/>
        <w:jc w:val="center"/>
        <w:rPr>
          <w:rFonts w:ascii="宋体" w:hAnsi="宋体" w:cs="宋体"/>
          <w:b/>
          <w:color w:val="auto"/>
          <w:sz w:val="32"/>
          <w:szCs w:val="32"/>
          <w:highlight w:val="none"/>
        </w:rPr>
      </w:pPr>
    </w:p>
    <w:p w14:paraId="35DB0BD0">
      <w:pPr>
        <w:spacing w:line="360" w:lineRule="auto"/>
        <w:jc w:val="center"/>
        <w:rPr>
          <w:rFonts w:ascii="宋体" w:hAnsi="宋体" w:cs="宋体"/>
          <w:b/>
          <w:color w:val="auto"/>
          <w:sz w:val="32"/>
          <w:szCs w:val="32"/>
          <w:highlight w:val="none"/>
        </w:rPr>
      </w:pPr>
    </w:p>
    <w:p w14:paraId="0F97327F">
      <w:pPr>
        <w:spacing w:line="360" w:lineRule="auto"/>
        <w:jc w:val="center"/>
        <w:rPr>
          <w:rFonts w:ascii="宋体" w:hAnsi="宋体" w:cs="宋体"/>
          <w:b/>
          <w:color w:val="auto"/>
          <w:sz w:val="32"/>
          <w:szCs w:val="32"/>
          <w:highlight w:val="none"/>
        </w:rPr>
      </w:pPr>
    </w:p>
    <w:p w14:paraId="222FD3CC">
      <w:pPr>
        <w:spacing w:line="360" w:lineRule="auto"/>
        <w:rPr>
          <w:rFonts w:ascii="宋体" w:hAnsi="宋体" w:cs="宋体"/>
          <w:b/>
          <w:color w:val="auto"/>
          <w:sz w:val="32"/>
          <w:szCs w:val="32"/>
          <w:highlight w:val="none"/>
        </w:rPr>
        <w:sectPr>
          <w:headerReference r:id="rId3" w:type="default"/>
          <w:pgSz w:w="11906" w:h="16838"/>
          <w:pgMar w:top="1440" w:right="1079" w:bottom="1440" w:left="1167" w:header="1271" w:footer="992" w:gutter="0"/>
          <w:cols w:space="720" w:num="1"/>
          <w:titlePg/>
          <w:docGrid w:type="lines" w:linePitch="312" w:charSpace="0"/>
        </w:sectPr>
      </w:pPr>
    </w:p>
    <w:p w14:paraId="654A4F13">
      <w:pPr>
        <w:pStyle w:val="2"/>
        <w:rPr>
          <w:color w:val="auto"/>
          <w:highlight w:val="none"/>
        </w:rPr>
      </w:pPr>
      <w:bookmarkStart w:id="0" w:name="_Toc22158"/>
      <w:bookmarkStart w:id="1" w:name="_Toc44229877"/>
      <w:bookmarkStart w:id="2" w:name="_Toc13216"/>
      <w:bookmarkStart w:id="3" w:name="_Toc9956"/>
      <w:bookmarkStart w:id="4" w:name="_Toc19434"/>
      <w:r>
        <w:rPr>
          <w:rFonts w:hint="eastAsia"/>
          <w:color w:val="auto"/>
          <w:highlight w:val="none"/>
        </w:rPr>
        <w:t>第一章 竞争性磋商公告</w:t>
      </w:r>
      <w:bookmarkEnd w:id="0"/>
      <w:bookmarkEnd w:id="1"/>
      <w:bookmarkEnd w:id="2"/>
      <w:bookmarkEnd w:id="3"/>
      <w:bookmarkEnd w:id="4"/>
    </w:p>
    <w:p w14:paraId="466AD495">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广西亿隆项目管理有限公司</w:t>
      </w:r>
      <w:r>
        <w:rPr>
          <w:rFonts w:hint="eastAsia" w:ascii="宋体" w:hAnsi="宋体" w:cs="宋体"/>
          <w:b/>
          <w:color w:val="auto"/>
          <w:sz w:val="24"/>
          <w:highlight w:val="none"/>
        </w:rPr>
        <w:t>关于大新县2024年度国土变更调查工作</w:t>
      </w:r>
    </w:p>
    <w:p w14:paraId="0B7CB31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（项目编号：</w:t>
      </w:r>
      <w:r>
        <w:rPr>
          <w:rFonts w:hint="eastAsia" w:ascii="宋体" w:hAnsi="宋体" w:cs="宋体"/>
          <w:b/>
          <w:color w:val="auto"/>
          <w:sz w:val="24"/>
          <w:highlight w:val="none"/>
          <w:lang w:eastAsia="zh-CN"/>
        </w:rPr>
        <w:t>CZZC2025-C3-240013-GXYL</w:t>
      </w:r>
      <w:r>
        <w:rPr>
          <w:rFonts w:hint="eastAsia" w:ascii="宋体" w:hAnsi="宋体" w:cs="宋体"/>
          <w:b/>
          <w:color w:val="auto"/>
          <w:sz w:val="24"/>
          <w:highlight w:val="none"/>
        </w:rPr>
        <w:t>）竞争性磋商公告</w:t>
      </w:r>
    </w:p>
    <w:p w14:paraId="75585178">
      <w:pPr>
        <w:pBdr>
          <w:top w:val="single" w:color="auto" w:sz="4" w:space="1"/>
          <w:left w:val="single" w:color="auto" w:sz="4" w:space="4"/>
          <w:bottom w:val="single" w:color="auto" w:sz="4" w:space="1"/>
          <w:right w:val="single" w:color="auto" w:sz="4" w:space="4"/>
        </w:pBdr>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174BA373">
      <w:pPr>
        <w:pBdr>
          <w:top w:val="single" w:color="auto" w:sz="4" w:space="1"/>
          <w:left w:val="single" w:color="auto" w:sz="4" w:space="4"/>
          <w:bottom w:val="single" w:color="auto" w:sz="4" w:space="1"/>
          <w:right w:val="single" w:color="auto" w:sz="4" w:space="4"/>
        </w:pBdr>
        <w:spacing w:line="360" w:lineRule="auto"/>
        <w:ind w:left="19" w:leftChars="9" w:firstLine="388" w:firstLineChars="185"/>
        <w:rPr>
          <w:rFonts w:ascii="宋体" w:hAnsi="宋体" w:cs="宋体"/>
          <w:color w:val="auto"/>
          <w:szCs w:val="21"/>
          <w:highlight w:val="none"/>
        </w:rPr>
      </w:pPr>
      <w:r>
        <w:rPr>
          <w:rFonts w:hint="eastAsia" w:ascii="宋体" w:hAnsi="宋体" w:cs="宋体"/>
          <w:color w:val="auto"/>
          <w:szCs w:val="21"/>
          <w:highlight w:val="none"/>
          <w:u w:val="single"/>
        </w:rPr>
        <w:t>大新县2024年度国土变更调查工作</w:t>
      </w:r>
      <w:r>
        <w:rPr>
          <w:rFonts w:hint="eastAsia" w:ascii="宋体" w:hAnsi="宋体" w:cs="宋体"/>
          <w:color w:val="auto"/>
          <w:szCs w:val="21"/>
          <w:highlight w:val="none"/>
        </w:rPr>
        <w:t>应登录</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 xml:space="preserve">广西政府采购云平台线上 </w:t>
      </w:r>
      <w:r>
        <w:rPr>
          <w:rFonts w:hint="eastAsia" w:ascii="宋体" w:hAnsi="宋体" w:cs="宋体"/>
          <w:color w:val="auto"/>
          <w:szCs w:val="21"/>
          <w:highlight w:val="none"/>
        </w:rPr>
        <w:t>获取采购文件，并于2025年3月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时00分（北京时间）前提交响应文件。</w:t>
      </w:r>
    </w:p>
    <w:p w14:paraId="3E998856">
      <w:pPr>
        <w:spacing w:line="360" w:lineRule="auto"/>
        <w:outlineLvl w:val="0"/>
        <w:rPr>
          <w:rFonts w:ascii="宋体" w:hAnsi="宋体" w:cs="宋体"/>
          <w:b/>
          <w:bCs/>
          <w:color w:val="auto"/>
          <w:highlight w:val="none"/>
        </w:rPr>
      </w:pPr>
      <w:bookmarkStart w:id="5" w:name="_Toc28359012"/>
      <w:bookmarkStart w:id="6" w:name="_Toc35393798"/>
      <w:bookmarkStart w:id="7" w:name="_Toc28359089"/>
      <w:bookmarkStart w:id="8" w:name="_Toc35393629"/>
      <w:bookmarkStart w:id="9" w:name="_Toc23382"/>
      <w:bookmarkStart w:id="10" w:name="_Toc20509"/>
      <w:bookmarkStart w:id="11" w:name="_Toc16728"/>
      <w:bookmarkStart w:id="12" w:name="_Toc14203"/>
      <w:bookmarkStart w:id="13" w:name="_Toc21897"/>
      <w:r>
        <w:rPr>
          <w:rFonts w:hint="eastAsia" w:ascii="宋体" w:hAnsi="宋体" w:cs="宋体"/>
          <w:b/>
          <w:bCs/>
          <w:color w:val="auto"/>
          <w:szCs w:val="21"/>
          <w:highlight w:val="none"/>
        </w:rPr>
        <w:t>一</w:t>
      </w:r>
      <w:r>
        <w:rPr>
          <w:rFonts w:hint="eastAsia" w:ascii="宋体" w:hAnsi="宋体" w:cs="宋体"/>
          <w:b/>
          <w:bCs/>
          <w:color w:val="auto"/>
          <w:highlight w:val="none"/>
        </w:rPr>
        <w:t>、项目基本情况</w:t>
      </w:r>
      <w:bookmarkEnd w:id="5"/>
      <w:bookmarkEnd w:id="6"/>
      <w:bookmarkEnd w:id="7"/>
      <w:bookmarkEnd w:id="8"/>
      <w:r>
        <w:rPr>
          <w:rFonts w:hint="eastAsia" w:ascii="宋体" w:hAnsi="宋体" w:cs="宋体"/>
          <w:b/>
          <w:bCs/>
          <w:color w:val="auto"/>
          <w:highlight w:val="none"/>
        </w:rPr>
        <w:t>：</w:t>
      </w:r>
      <w:bookmarkEnd w:id="9"/>
      <w:bookmarkEnd w:id="10"/>
      <w:bookmarkEnd w:id="11"/>
      <w:bookmarkEnd w:id="12"/>
      <w:bookmarkEnd w:id="13"/>
    </w:p>
    <w:p w14:paraId="2E22AA6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1.项目编号：</w:t>
      </w:r>
      <w:r>
        <w:rPr>
          <w:rFonts w:hint="eastAsia" w:ascii="宋体" w:hAnsi="宋体" w:cs="宋体"/>
          <w:color w:val="auto"/>
          <w:highlight w:val="none"/>
          <w:lang w:eastAsia="zh-CN"/>
        </w:rPr>
        <w:t>CZZC2025-C3-240013-GXYL</w:t>
      </w:r>
      <w:r>
        <w:rPr>
          <w:rFonts w:hint="eastAsia" w:ascii="宋体" w:hAnsi="宋体" w:cs="宋体"/>
          <w:color w:val="auto"/>
          <w:highlight w:val="none"/>
        </w:rPr>
        <w:t>。</w:t>
      </w:r>
    </w:p>
    <w:p w14:paraId="3F19547A">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2.项目名称：大新县2024年度国土变更调查工作。 </w:t>
      </w:r>
    </w:p>
    <w:p w14:paraId="22F7E79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3.采购方式：竞争性磋商。</w:t>
      </w:r>
    </w:p>
    <w:p w14:paraId="0CD267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4.预算金额：人民币贰佰贰拾柒万捌仟柒佰元整（¥2278700.00）。   </w:t>
      </w:r>
    </w:p>
    <w:p w14:paraId="7089ED3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5.最高限价：人民币贰佰贰拾柒万捌仟柒佰元整（¥2278700.00）。 </w:t>
      </w:r>
    </w:p>
    <w:p w14:paraId="3082E2B5">
      <w:pPr>
        <w:spacing w:line="360" w:lineRule="auto"/>
        <w:ind w:firstLine="420" w:firstLineChars="200"/>
        <w:rPr>
          <w:rFonts w:ascii="宋体" w:hAnsi="宋体" w:cs="宋体"/>
          <w:color w:val="auto"/>
          <w:highlight w:val="none"/>
        </w:rPr>
      </w:pPr>
      <w:r>
        <w:rPr>
          <w:rFonts w:ascii="宋体" w:hAnsi="宋体" w:cs="宋体"/>
          <w:color w:val="auto"/>
          <w:highlight w:val="none"/>
        </w:rPr>
        <w:t>6.采购需求：</w:t>
      </w:r>
      <w:r>
        <w:rPr>
          <w:rFonts w:hint="eastAsia" w:ascii="宋体" w:hAnsi="宋体" w:cs="宋体"/>
          <w:color w:val="auto"/>
          <w:kern w:val="0"/>
          <w:szCs w:val="21"/>
          <w:highlight w:val="none"/>
        </w:rPr>
        <w:t>大新县2024年度日常变更调查和国土变更调查，主要目标是：通过开展</w:t>
      </w:r>
      <w:r>
        <w:rPr>
          <w:rFonts w:ascii="宋体" w:hAnsi="宋体" w:cs="宋体"/>
          <w:color w:val="auto"/>
          <w:kern w:val="0"/>
          <w:szCs w:val="21"/>
          <w:highlight w:val="none"/>
        </w:rPr>
        <w:t>2024</w:t>
      </w:r>
      <w:r>
        <w:rPr>
          <w:rFonts w:hint="eastAsia" w:ascii="宋体" w:hAnsi="宋体" w:cs="宋体"/>
          <w:color w:val="auto"/>
          <w:kern w:val="0"/>
          <w:szCs w:val="21"/>
          <w:highlight w:val="none"/>
        </w:rPr>
        <w:t>年度</w:t>
      </w:r>
      <w:r>
        <w:rPr>
          <w:rFonts w:hint="eastAsia" w:ascii="宋体" w:hAnsi="宋体" w:cs="宋体" w:eastAsiaTheme="minorEastAsia"/>
          <w:color w:val="auto"/>
          <w:kern w:val="0"/>
          <w:szCs w:val="21"/>
          <w:highlight w:val="none"/>
        </w:rPr>
        <w:t>日常变更调查</w:t>
      </w:r>
      <w:r>
        <w:rPr>
          <w:rFonts w:hint="eastAsia" w:ascii="宋体" w:hAnsi="宋体" w:cs="宋体"/>
          <w:color w:val="auto"/>
          <w:kern w:val="0"/>
          <w:szCs w:val="21"/>
          <w:highlight w:val="none"/>
        </w:rPr>
        <w:t>和国土变更调查工作，及时调查举证各类专项监测和业务管理工作中涉及国土利用变化的图斑，同时在</w:t>
      </w:r>
      <w:r>
        <w:rPr>
          <w:rFonts w:ascii="宋体" w:hAnsi="宋体" w:cs="宋体"/>
          <w:color w:val="auto"/>
          <w:kern w:val="0"/>
          <w:szCs w:val="21"/>
          <w:highlight w:val="none"/>
        </w:rPr>
        <w:t>2023</w:t>
      </w:r>
      <w:r>
        <w:rPr>
          <w:rFonts w:hint="eastAsia" w:ascii="宋体" w:hAnsi="宋体" w:cs="宋体"/>
          <w:color w:val="auto"/>
          <w:kern w:val="0"/>
          <w:szCs w:val="21"/>
          <w:highlight w:val="none"/>
        </w:rPr>
        <w:t>年度国土变更调查成果基础上，利用最新遥感影像，通过实地调查举证，掌握县</w:t>
      </w:r>
      <w:r>
        <w:rPr>
          <w:rFonts w:ascii="宋体" w:hAnsi="宋体" w:cs="宋体"/>
          <w:color w:val="auto"/>
          <w:kern w:val="0"/>
          <w:szCs w:val="21"/>
          <w:highlight w:val="none"/>
        </w:rPr>
        <w:t>2024</w:t>
      </w:r>
      <w:r>
        <w:rPr>
          <w:rFonts w:hint="eastAsia" w:ascii="宋体" w:hAnsi="宋体" w:cs="宋体"/>
          <w:color w:val="auto"/>
          <w:kern w:val="0"/>
          <w:szCs w:val="21"/>
          <w:highlight w:val="none"/>
        </w:rPr>
        <w:t>年度国土利用变化情况，更新国土调查数据库，切实保障县国土调查成果的现势性和准确性</w:t>
      </w:r>
      <w:r>
        <w:rPr>
          <w:rFonts w:hint="eastAsia" w:ascii="宋体" w:hAnsi="宋体" w:cs="宋体"/>
          <w:color w:val="auto"/>
          <w:highlight w:val="none"/>
        </w:rPr>
        <w:t>，如需进一步了解详细内容，详见采购文件。</w:t>
      </w:r>
    </w:p>
    <w:p w14:paraId="3036300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7.合同履行期限：</w:t>
      </w:r>
      <w:r>
        <w:rPr>
          <w:rFonts w:hint="eastAsia" w:ascii="宋体" w:hAnsi="宋体"/>
          <w:color w:val="auto"/>
          <w:szCs w:val="21"/>
          <w:highlight w:val="none"/>
        </w:rPr>
        <w:t>按照自然资源部和自治区自然资源厅最新的时间要求完成</w:t>
      </w:r>
      <w:r>
        <w:rPr>
          <w:rFonts w:hint="eastAsia" w:ascii="宋体" w:hAnsi="宋体" w:cs="宋体"/>
          <w:color w:val="auto"/>
          <w:highlight w:val="none"/>
        </w:rPr>
        <w:t>。</w:t>
      </w:r>
    </w:p>
    <w:p w14:paraId="36ED383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8.本项目不接受联合体。</w:t>
      </w:r>
    </w:p>
    <w:p w14:paraId="5300FDBA">
      <w:pPr>
        <w:spacing w:line="360" w:lineRule="auto"/>
        <w:outlineLvl w:val="0"/>
        <w:rPr>
          <w:rFonts w:ascii="宋体" w:hAnsi="宋体" w:cs="宋体"/>
          <w:b/>
          <w:bCs/>
          <w:color w:val="auto"/>
          <w:highlight w:val="none"/>
        </w:rPr>
      </w:pPr>
      <w:bookmarkStart w:id="14" w:name="_Toc25754"/>
      <w:bookmarkStart w:id="15" w:name="_Toc28359013"/>
      <w:bookmarkStart w:id="16" w:name="_Toc31376"/>
      <w:bookmarkStart w:id="17" w:name="_Toc35393630"/>
      <w:bookmarkStart w:id="18" w:name="_Toc35393799"/>
      <w:bookmarkStart w:id="19" w:name="_Toc4489"/>
      <w:bookmarkStart w:id="20" w:name="_Toc8790"/>
      <w:bookmarkStart w:id="21" w:name="_Toc28359090"/>
      <w:bookmarkStart w:id="22" w:name="_Toc10073"/>
      <w:r>
        <w:rPr>
          <w:rFonts w:hint="eastAsia" w:ascii="宋体" w:hAnsi="宋体" w:cs="宋体"/>
          <w:b/>
          <w:bCs/>
          <w:color w:val="auto"/>
          <w:highlight w:val="none"/>
        </w:rPr>
        <w:t>二、申请人的资格要求：</w:t>
      </w:r>
      <w:bookmarkEnd w:id="14"/>
      <w:bookmarkEnd w:id="15"/>
      <w:bookmarkEnd w:id="16"/>
      <w:bookmarkEnd w:id="17"/>
      <w:bookmarkEnd w:id="18"/>
      <w:bookmarkEnd w:id="19"/>
      <w:bookmarkEnd w:id="20"/>
      <w:bookmarkEnd w:id="21"/>
      <w:bookmarkEnd w:id="22"/>
    </w:p>
    <w:p w14:paraId="10466C6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1.满足《中华人民共和国政府采购法》第二十二条规定。</w:t>
      </w:r>
    </w:p>
    <w:p w14:paraId="25498E2A">
      <w:pPr>
        <w:spacing w:line="360" w:lineRule="auto"/>
        <w:ind w:firstLine="420" w:firstLineChars="200"/>
        <w:rPr>
          <w:rFonts w:ascii="宋体" w:hAnsi="宋体" w:cs="宋体"/>
          <w:color w:val="auto"/>
          <w:highlight w:val="none"/>
        </w:rPr>
      </w:pPr>
      <w:bookmarkStart w:id="23" w:name="_Toc28359091"/>
      <w:bookmarkStart w:id="24" w:name="_Toc28359014"/>
      <w:r>
        <w:rPr>
          <w:rFonts w:hint="eastAsia" w:ascii="宋体" w:hAnsi="宋体" w:cs="宋体"/>
          <w:color w:val="auto"/>
          <w:highlight w:val="none"/>
        </w:rPr>
        <w:t>2.落实政府采购政策需满足的资格要求：</w:t>
      </w:r>
      <w:r>
        <w:rPr>
          <w:rFonts w:hint="eastAsia" w:ascii="宋体" w:hAnsi="宋体" w:cs="宋体"/>
          <w:color w:val="auto"/>
          <w:szCs w:val="21"/>
          <w:highlight w:val="none"/>
        </w:rPr>
        <w:t>无</w:t>
      </w:r>
      <w:r>
        <w:rPr>
          <w:rFonts w:hint="eastAsia" w:ascii="宋体" w:hAnsi="宋体" w:cs="宋体"/>
          <w:color w:val="auto"/>
          <w:highlight w:val="none"/>
        </w:rPr>
        <w:t>。</w:t>
      </w:r>
    </w:p>
    <w:p w14:paraId="72E6EFD8">
      <w:pPr>
        <w:snapToGrid w:val="0"/>
        <w:spacing w:line="360" w:lineRule="auto"/>
        <w:ind w:firstLine="420" w:firstLineChars="200"/>
        <w:rPr>
          <w:rFonts w:ascii="宋体" w:hAnsi="宋体" w:cs="宋体"/>
          <w:color w:val="auto"/>
          <w:highlight w:val="none"/>
        </w:rPr>
      </w:pPr>
      <w:r>
        <w:rPr>
          <w:rFonts w:hint="eastAsia" w:ascii="宋体" w:hAnsi="宋体" w:cs="宋体"/>
          <w:color w:val="auto"/>
          <w:highlight w:val="none"/>
        </w:rPr>
        <w:t>3.本项目的特定资格要求：</w:t>
      </w:r>
      <w:bookmarkStart w:id="25" w:name="_Toc35393800"/>
      <w:bookmarkStart w:id="26" w:name="_Toc35393631"/>
      <w:r>
        <w:rPr>
          <w:rFonts w:hint="eastAsia" w:ascii="宋体" w:hAnsi="宋体"/>
          <w:color w:val="auto"/>
          <w:szCs w:val="21"/>
          <w:highlight w:val="none"/>
        </w:rPr>
        <w:t>具备测绘行政管理部门颁发有效的测绘乙级及以上资质,</w:t>
      </w:r>
      <w:r>
        <w:rPr>
          <w:rFonts w:hint="eastAsia"/>
          <w:color w:val="auto"/>
          <w:highlight w:val="none"/>
        </w:rPr>
        <w:t xml:space="preserve"> </w:t>
      </w:r>
      <w:r>
        <w:rPr>
          <w:rFonts w:hint="eastAsia" w:ascii="宋体" w:hAnsi="宋体"/>
          <w:color w:val="auto"/>
          <w:szCs w:val="21"/>
          <w:highlight w:val="none"/>
        </w:rPr>
        <w:t>并在人员、设备、资金等方面具有相应的能力</w:t>
      </w:r>
      <w:r>
        <w:rPr>
          <w:rFonts w:hint="eastAsia" w:ascii="宋体" w:hAnsi="宋体" w:cs="宋体"/>
          <w:color w:val="auto"/>
          <w:highlight w:val="none"/>
        </w:rPr>
        <w:t>。</w:t>
      </w:r>
    </w:p>
    <w:p w14:paraId="6D587009">
      <w:pPr>
        <w:spacing w:line="360" w:lineRule="auto"/>
        <w:rPr>
          <w:rFonts w:ascii="宋体" w:hAnsi="宋体" w:cs="宋体"/>
          <w:b/>
          <w:bCs/>
          <w:color w:val="auto"/>
          <w:highlight w:val="none"/>
        </w:rPr>
      </w:pPr>
      <w:bookmarkStart w:id="27" w:name="_Toc2626"/>
      <w:r>
        <w:rPr>
          <w:rFonts w:hint="eastAsia" w:ascii="宋体" w:hAnsi="宋体" w:cs="宋体"/>
          <w:b/>
          <w:bCs/>
          <w:color w:val="auto"/>
          <w:highlight w:val="none"/>
        </w:rPr>
        <w:t>三、获取采购文件</w:t>
      </w:r>
      <w:bookmarkEnd w:id="23"/>
      <w:bookmarkEnd w:id="24"/>
      <w:bookmarkEnd w:id="25"/>
      <w:bookmarkEnd w:id="26"/>
      <w:bookmarkEnd w:id="27"/>
    </w:p>
    <w:p w14:paraId="210B531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1.时间：2025年3月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日至2025年3月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w:t>
      </w:r>
    </w:p>
    <w:p w14:paraId="347BDF02">
      <w:pPr>
        <w:spacing w:line="336" w:lineRule="auto"/>
        <w:ind w:firstLine="420" w:firstLineChars="200"/>
        <w:rPr>
          <w:color w:val="auto"/>
          <w:szCs w:val="21"/>
          <w:highlight w:val="none"/>
        </w:rPr>
      </w:pPr>
      <w:r>
        <w:rPr>
          <w:rFonts w:hint="eastAsia"/>
          <w:color w:val="auto"/>
          <w:szCs w:val="21"/>
          <w:highlight w:val="none"/>
        </w:rPr>
        <w:t>2. 地点：</w:t>
      </w:r>
      <w:r>
        <w:rPr>
          <w:rFonts w:hint="eastAsia" w:ascii="宋体" w:hAnsi="宋体" w:cs="宋体"/>
          <w:color w:val="auto"/>
          <w:szCs w:val="21"/>
          <w:highlight w:val="none"/>
        </w:rPr>
        <w:t>广西政府采购云平台线上获取</w:t>
      </w:r>
      <w:r>
        <w:rPr>
          <w:rFonts w:ascii="宋体" w:hAnsi="宋体" w:cs="宋体"/>
          <w:color w:val="auto"/>
          <w:szCs w:val="21"/>
          <w:highlight w:val="none"/>
        </w:rPr>
        <w:t>。</w:t>
      </w:r>
    </w:p>
    <w:p w14:paraId="56F60E3C">
      <w:pPr>
        <w:spacing w:line="327" w:lineRule="auto"/>
        <w:ind w:firstLine="420" w:firstLineChars="200"/>
        <w:rPr>
          <w:color w:val="auto"/>
          <w:szCs w:val="21"/>
          <w:highlight w:val="none"/>
        </w:rPr>
      </w:pPr>
      <w:r>
        <w:rPr>
          <w:rFonts w:hint="eastAsia"/>
          <w:color w:val="auto"/>
          <w:szCs w:val="21"/>
          <w:highlight w:val="none"/>
        </w:rPr>
        <w:t>3. 方式：</w:t>
      </w:r>
      <w:bookmarkStart w:id="28" w:name="_Toc28359092"/>
      <w:bookmarkStart w:id="29" w:name="_Toc35393801"/>
      <w:bookmarkStart w:id="30" w:name="_Toc35393632"/>
      <w:bookmarkStart w:id="31" w:name="_Toc20727"/>
      <w:bookmarkStart w:id="32" w:name="_Toc28359015"/>
      <w:r>
        <w:rPr>
          <w:rFonts w:hint="eastAsia" w:ascii="宋体" w:hAnsi="宋体" w:cs="宋体"/>
          <w:color w:val="auto"/>
          <w:szCs w:val="21"/>
          <w:highlight w:val="none"/>
        </w:rPr>
        <w:t>供应商登录广西政府采购云平台https://www.zcygov.cn/在线申请获取采购文件（进入“项目采购”应用，在获取采购文件菜单中选择项目，申请获取采购文件）</w:t>
      </w:r>
      <w:r>
        <w:rPr>
          <w:rFonts w:hint="eastAsia"/>
          <w:color w:val="auto"/>
          <w:szCs w:val="21"/>
          <w:highlight w:val="none"/>
        </w:rPr>
        <w:t>。</w:t>
      </w:r>
    </w:p>
    <w:p w14:paraId="3B5E3001">
      <w:pPr>
        <w:spacing w:line="327" w:lineRule="auto"/>
        <w:ind w:firstLine="422" w:firstLineChars="200"/>
        <w:rPr>
          <w:rFonts w:ascii="宋体" w:hAnsi="宋体" w:cs="宋体"/>
          <w:b/>
          <w:bCs/>
          <w:color w:val="auto"/>
          <w:highlight w:val="none"/>
        </w:rPr>
      </w:pPr>
      <w:r>
        <w:rPr>
          <w:rFonts w:hint="eastAsia" w:ascii="宋体" w:hAnsi="宋体" w:cs="宋体"/>
          <w:b/>
          <w:bCs/>
          <w:color w:val="auto"/>
          <w:highlight w:val="none"/>
        </w:rPr>
        <w:t>四、响应文件提交</w:t>
      </w:r>
      <w:bookmarkEnd w:id="28"/>
      <w:bookmarkEnd w:id="29"/>
      <w:bookmarkEnd w:id="30"/>
      <w:bookmarkEnd w:id="31"/>
      <w:bookmarkEnd w:id="32"/>
    </w:p>
    <w:p w14:paraId="17A186B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截止时间：</w:t>
      </w:r>
      <w:r>
        <w:rPr>
          <w:rFonts w:hint="eastAsia" w:ascii="宋体" w:hAnsi="宋体" w:cs="宋体"/>
          <w:color w:val="auto"/>
          <w:szCs w:val="21"/>
          <w:highlight w:val="none"/>
        </w:rPr>
        <w:t>2025年3月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时00分</w:t>
      </w:r>
      <w:r>
        <w:rPr>
          <w:rFonts w:hint="eastAsia" w:ascii="宋体" w:hAnsi="宋体" w:cs="宋体"/>
          <w:color w:val="auto"/>
          <w:highlight w:val="none"/>
        </w:rPr>
        <w:t>（北京时间）前。</w:t>
      </w:r>
    </w:p>
    <w:p w14:paraId="0418DB4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地点：</w:t>
      </w:r>
      <w:bookmarkStart w:id="33" w:name="_Toc28359016"/>
      <w:bookmarkStart w:id="34" w:name="_Toc35393633"/>
      <w:bookmarkStart w:id="35" w:name="_Toc22943"/>
      <w:bookmarkStart w:id="36" w:name="_Toc28359093"/>
      <w:bookmarkStart w:id="37" w:name="_Toc35393802"/>
      <w:r>
        <w:rPr>
          <w:rFonts w:hint="eastAsia"/>
          <w:color w:val="auto"/>
          <w:szCs w:val="21"/>
          <w:highlight w:val="none"/>
        </w:rPr>
        <w:t>请登录广西政府采购云平台投标客户端投标</w:t>
      </w:r>
      <w:r>
        <w:rPr>
          <w:rFonts w:hint="eastAsia" w:ascii="宋体" w:hAnsi="宋体" w:cs="宋体"/>
          <w:color w:val="auto"/>
          <w:highlight w:val="none"/>
        </w:rPr>
        <w:t>。</w:t>
      </w:r>
    </w:p>
    <w:p w14:paraId="2DE6B5A8">
      <w:pPr>
        <w:spacing w:line="360" w:lineRule="auto"/>
        <w:rPr>
          <w:rFonts w:ascii="宋体" w:hAnsi="宋体" w:cs="宋体"/>
          <w:b/>
          <w:bCs/>
          <w:color w:val="auto"/>
          <w:highlight w:val="none"/>
        </w:rPr>
      </w:pPr>
      <w:r>
        <w:rPr>
          <w:rFonts w:hint="eastAsia" w:ascii="宋体" w:hAnsi="宋体" w:cs="宋体"/>
          <w:b/>
          <w:bCs/>
          <w:color w:val="auto"/>
          <w:highlight w:val="none"/>
        </w:rPr>
        <w:t>五、开启</w:t>
      </w:r>
      <w:bookmarkEnd w:id="33"/>
      <w:bookmarkEnd w:id="34"/>
      <w:bookmarkEnd w:id="35"/>
      <w:bookmarkEnd w:id="36"/>
      <w:bookmarkEnd w:id="37"/>
    </w:p>
    <w:p w14:paraId="6F4424A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时间：</w:t>
      </w:r>
      <w:r>
        <w:rPr>
          <w:rFonts w:hint="eastAsia" w:ascii="宋体" w:hAnsi="宋体" w:cs="宋体"/>
          <w:color w:val="auto"/>
          <w:szCs w:val="21"/>
          <w:highlight w:val="none"/>
        </w:rPr>
        <w:t>2025年3月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15</w:t>
      </w:r>
      <w:r>
        <w:rPr>
          <w:rFonts w:hint="eastAsia" w:ascii="宋体" w:hAnsi="宋体" w:cs="宋体"/>
          <w:color w:val="auto"/>
          <w:szCs w:val="21"/>
          <w:highlight w:val="none"/>
        </w:rPr>
        <w:t>时00分</w:t>
      </w:r>
      <w:r>
        <w:rPr>
          <w:rFonts w:hint="eastAsia" w:ascii="宋体" w:hAnsi="宋体" w:cs="宋体"/>
          <w:color w:val="auto"/>
          <w:highlight w:val="none"/>
        </w:rPr>
        <w:t>（北京时间）后。</w:t>
      </w:r>
    </w:p>
    <w:p w14:paraId="5BEA147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地点：本项目采用远程异地评审，主会场在</w:t>
      </w:r>
      <w:r>
        <w:rPr>
          <w:rFonts w:hint="eastAsia" w:ascii="宋体" w:hAnsi="宋体" w:cs="宋体"/>
          <w:color w:val="auto"/>
          <w:highlight w:val="none"/>
          <w:lang w:eastAsia="zh-CN"/>
        </w:rPr>
        <w:t>广西亿隆项目管理有限公司</w:t>
      </w:r>
      <w:r>
        <w:rPr>
          <w:rFonts w:hint="eastAsia" w:ascii="宋体" w:hAnsi="宋体" w:cs="宋体"/>
          <w:color w:val="auto"/>
          <w:highlight w:val="none"/>
        </w:rPr>
        <w:t>【崇左市友谊大道东源名城D区9栋三单元20</w:t>
      </w:r>
      <w:r>
        <w:rPr>
          <w:rFonts w:hint="eastAsia" w:ascii="宋体" w:hAnsi="宋体" w:cs="宋体"/>
          <w:color w:val="auto"/>
          <w:highlight w:val="none"/>
          <w:lang w:val="en-US" w:eastAsia="zh-CN"/>
        </w:rPr>
        <w:t>2</w:t>
      </w:r>
      <w:r>
        <w:rPr>
          <w:rFonts w:hint="eastAsia" w:ascii="宋体" w:hAnsi="宋体" w:cs="宋体"/>
          <w:color w:val="auto"/>
          <w:highlight w:val="none"/>
        </w:rPr>
        <w:t>号】通过广西政府采购云平台实行在线解密开启，副会场在</w:t>
      </w:r>
      <w:r>
        <w:rPr>
          <w:rFonts w:hint="eastAsia" w:ascii="宋体" w:hAnsi="宋体" w:cs="宋体"/>
          <w:color w:val="auto"/>
          <w:highlight w:val="none"/>
          <w:lang w:eastAsia="zh-CN"/>
        </w:rPr>
        <w:t>广西亿隆项目管理有限公司</w:t>
      </w:r>
      <w:r>
        <w:rPr>
          <w:rFonts w:hint="eastAsia" w:ascii="宋体" w:hAnsi="宋体" w:cs="宋体"/>
          <w:color w:val="auto"/>
          <w:highlight w:val="none"/>
        </w:rPr>
        <w:t>南宁办事处【在南宁市西乡塘区科园大道27号湖南大厦615号房】</w:t>
      </w:r>
      <w:r>
        <w:rPr>
          <w:rFonts w:hint="eastAsia"/>
          <w:color w:val="auto"/>
          <w:highlight w:val="none"/>
        </w:rPr>
        <w:t> </w:t>
      </w:r>
      <w:r>
        <w:rPr>
          <w:rFonts w:hint="eastAsia" w:ascii="宋体" w:hAnsi="宋体" w:cs="宋体"/>
          <w:color w:val="auto"/>
          <w:highlight w:val="none"/>
        </w:rPr>
        <w:t>。</w:t>
      </w:r>
    </w:p>
    <w:p w14:paraId="155A8D9A">
      <w:pPr>
        <w:spacing w:line="360" w:lineRule="auto"/>
        <w:outlineLvl w:val="0"/>
        <w:rPr>
          <w:rFonts w:ascii="宋体" w:hAnsi="宋体" w:cs="宋体"/>
          <w:color w:val="auto"/>
          <w:highlight w:val="none"/>
        </w:rPr>
      </w:pPr>
      <w:bookmarkStart w:id="38" w:name="_Toc28359094"/>
      <w:bookmarkStart w:id="39" w:name="_Toc35393634"/>
      <w:bookmarkStart w:id="40" w:name="_Toc28359017"/>
      <w:bookmarkStart w:id="41" w:name="_Toc35393803"/>
      <w:bookmarkStart w:id="42" w:name="_Toc24769"/>
      <w:bookmarkStart w:id="43" w:name="_Toc1732"/>
      <w:bookmarkStart w:id="44" w:name="_Toc30663"/>
      <w:bookmarkStart w:id="45" w:name="_Toc1407"/>
      <w:bookmarkStart w:id="46" w:name="_Toc3928"/>
      <w:r>
        <w:rPr>
          <w:rFonts w:hint="eastAsia" w:ascii="宋体" w:hAnsi="宋体" w:cs="宋体"/>
          <w:b/>
          <w:bCs/>
          <w:color w:val="auto"/>
          <w:highlight w:val="none"/>
        </w:rPr>
        <w:t>六、公告期限</w:t>
      </w:r>
      <w:bookmarkEnd w:id="38"/>
      <w:bookmarkEnd w:id="39"/>
      <w:bookmarkEnd w:id="40"/>
      <w:bookmarkEnd w:id="41"/>
      <w:r>
        <w:rPr>
          <w:rFonts w:hint="eastAsia" w:ascii="宋体" w:hAnsi="宋体" w:cs="宋体"/>
          <w:b/>
          <w:bCs/>
          <w:color w:val="auto"/>
          <w:highlight w:val="none"/>
        </w:rPr>
        <w:t>：</w:t>
      </w:r>
      <w:r>
        <w:rPr>
          <w:rFonts w:hint="eastAsia" w:ascii="宋体" w:hAnsi="宋体" w:cs="宋体"/>
          <w:color w:val="auto"/>
          <w:highlight w:val="none"/>
        </w:rPr>
        <w:t>自本公告发布之日起5个工作日。</w:t>
      </w:r>
      <w:bookmarkEnd w:id="42"/>
      <w:bookmarkEnd w:id="43"/>
      <w:bookmarkEnd w:id="44"/>
      <w:bookmarkEnd w:id="45"/>
      <w:bookmarkEnd w:id="46"/>
    </w:p>
    <w:p w14:paraId="7BB55671">
      <w:pPr>
        <w:widowControl/>
        <w:spacing w:line="360" w:lineRule="auto"/>
        <w:jc w:val="left"/>
        <w:outlineLvl w:val="0"/>
        <w:rPr>
          <w:rFonts w:ascii="宋体" w:hAnsi="宋体" w:cs="宋体"/>
          <w:b/>
          <w:bCs/>
          <w:color w:val="auto"/>
          <w:highlight w:val="none"/>
        </w:rPr>
      </w:pPr>
      <w:bookmarkStart w:id="47" w:name="_Toc35393804"/>
      <w:bookmarkStart w:id="48" w:name="_Toc35393635"/>
      <w:bookmarkStart w:id="49" w:name="_Toc691"/>
      <w:bookmarkStart w:id="50" w:name="_Toc32169"/>
      <w:bookmarkStart w:id="51" w:name="_Toc26853"/>
      <w:bookmarkStart w:id="52" w:name="_Toc444"/>
      <w:bookmarkStart w:id="53" w:name="_Toc31074"/>
      <w:r>
        <w:rPr>
          <w:rFonts w:hint="eastAsia" w:ascii="宋体" w:hAnsi="宋体" w:cs="宋体"/>
          <w:b/>
          <w:bCs/>
          <w:color w:val="auto"/>
          <w:highlight w:val="none"/>
        </w:rPr>
        <w:t>七、其他补充事宜</w:t>
      </w:r>
      <w:bookmarkEnd w:id="47"/>
      <w:bookmarkEnd w:id="48"/>
      <w:r>
        <w:rPr>
          <w:rFonts w:hint="eastAsia" w:ascii="宋体" w:hAnsi="宋体" w:cs="宋体"/>
          <w:b/>
          <w:bCs/>
          <w:color w:val="auto"/>
          <w:highlight w:val="none"/>
        </w:rPr>
        <w:t>：</w:t>
      </w:r>
      <w:bookmarkEnd w:id="49"/>
      <w:bookmarkEnd w:id="50"/>
      <w:bookmarkEnd w:id="51"/>
      <w:bookmarkEnd w:id="52"/>
      <w:bookmarkEnd w:id="53"/>
    </w:p>
    <w:p w14:paraId="79545FFE">
      <w:pPr>
        <w:spacing w:line="360" w:lineRule="auto"/>
        <w:ind w:firstLine="420" w:firstLineChars="200"/>
        <w:rPr>
          <w:color w:val="auto"/>
          <w:szCs w:val="21"/>
          <w:highlight w:val="none"/>
        </w:rPr>
      </w:pPr>
      <w:r>
        <w:rPr>
          <w:rFonts w:hint="eastAsia"/>
          <w:color w:val="auto"/>
          <w:szCs w:val="21"/>
          <w:highlight w:val="none"/>
        </w:rPr>
        <w:t>1.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62D39DD0">
      <w:pPr>
        <w:spacing w:line="360" w:lineRule="auto"/>
        <w:ind w:firstLine="420" w:firstLineChars="200"/>
        <w:rPr>
          <w:color w:val="auto"/>
          <w:szCs w:val="21"/>
          <w:highlight w:val="none"/>
        </w:rPr>
      </w:pPr>
      <w:r>
        <w:rPr>
          <w:rFonts w:hint="eastAsia"/>
          <w:color w:val="auto"/>
          <w:szCs w:val="21"/>
          <w:highlight w:val="none"/>
        </w:rPr>
        <w:t>2.</w:t>
      </w:r>
      <w:r>
        <w:rPr>
          <w:rFonts w:hint="eastAsia" w:ascii="宋体" w:hAnsi="宋体" w:cs="宋体"/>
          <w:color w:val="auto"/>
          <w:szCs w:val="21"/>
          <w:highlight w:val="none"/>
        </w:rPr>
        <w:t>对在“信用中国”网站</w:t>
      </w:r>
      <w:r>
        <w:rPr>
          <w:rFonts w:ascii="宋体" w:hAnsi="宋体" w:cs="宋体"/>
          <w:color w:val="auto"/>
          <w:szCs w:val="21"/>
          <w:highlight w:val="none"/>
        </w:rPr>
        <w:t>(www.creditchina.gov.cn)</w:t>
      </w:r>
      <w:r>
        <w:rPr>
          <w:rFonts w:hint="eastAsia" w:ascii="宋体" w:hAnsi="宋体" w:cs="宋体"/>
          <w:color w:val="auto"/>
          <w:szCs w:val="21"/>
          <w:highlight w:val="none"/>
        </w:rPr>
        <w:t>、中国政府采购网</w:t>
      </w:r>
      <w:r>
        <w:rPr>
          <w:rFonts w:ascii="宋体" w:hAnsi="宋体" w:cs="宋体"/>
          <w:color w:val="auto"/>
          <w:szCs w:val="21"/>
          <w:highlight w:val="none"/>
        </w:rPr>
        <w:t>(www.ccgp.gov.cn)</w:t>
      </w:r>
      <w:r>
        <w:rPr>
          <w:rFonts w:hint="eastAsia" w:ascii="宋体" w:hAnsi="宋体" w:cs="宋体"/>
          <w:color w:val="auto"/>
          <w:szCs w:val="21"/>
          <w:highlight w:val="none"/>
        </w:rPr>
        <w:t>等渠道列入失信被执行人、重大税收违法案件当事人名单、政府采购严重违法失信行为记录名单及其他不符合《中华人民共和国政府采购法》第二十二条规定条件的供应商，不得参与采购活动</w:t>
      </w:r>
      <w:r>
        <w:rPr>
          <w:rFonts w:hint="eastAsia"/>
          <w:color w:val="auto"/>
          <w:szCs w:val="21"/>
          <w:highlight w:val="none"/>
        </w:rPr>
        <w:t>。</w:t>
      </w:r>
    </w:p>
    <w:p w14:paraId="3E315AC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w:t>
      </w:r>
      <w:r>
        <w:rPr>
          <w:rFonts w:hint="eastAsia"/>
          <w:color w:val="auto"/>
          <w:szCs w:val="21"/>
          <w:highlight w:val="none"/>
        </w:rPr>
        <w:t>落实政府采购政策：</w:t>
      </w:r>
      <w:r>
        <w:rPr>
          <w:rFonts w:hint="eastAsia" w:ascii="宋体" w:hAnsi="宋体" w:cs="宋体"/>
          <w:color w:val="auto"/>
          <w:szCs w:val="21"/>
          <w:highlight w:val="none"/>
        </w:rPr>
        <w:t>政府采购促进中小企业发展；政府采购支持采用本国产品的政策；强制采购、优先采购环境标志产品、节能产品；政府采购促进残疾人就业政策；政府采购支持监狱企业发展；扶持不发达地区和少数民族地区政策。</w:t>
      </w:r>
    </w:p>
    <w:p w14:paraId="2E54E075">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4.本次招标公告同时在中国政府采购网（http://pub.ccgp.gov.cn/）、广西壮族自治区政府采购网（http://www.ccgp-guangxi.gov.cn/）上发布。  </w:t>
      </w:r>
    </w:p>
    <w:p w14:paraId="759382CF">
      <w:pPr>
        <w:wordWrap w:val="0"/>
        <w:spacing w:line="360" w:lineRule="auto"/>
        <w:ind w:firstLine="420" w:firstLineChars="200"/>
        <w:rPr>
          <w:rFonts w:ascii="宋体" w:hAnsi="宋体" w:cs="宋体"/>
          <w:color w:val="auto"/>
          <w:kern w:val="0"/>
          <w:szCs w:val="21"/>
          <w:highlight w:val="none"/>
        </w:rPr>
      </w:pPr>
      <w:r>
        <w:rPr>
          <w:rFonts w:hint="eastAsia" w:ascii="宋体" w:hAnsi="宋体"/>
          <w:color w:val="auto"/>
          <w:szCs w:val="21"/>
          <w:highlight w:val="none"/>
        </w:rPr>
        <w:t>5.</w:t>
      </w:r>
      <w:r>
        <w:rPr>
          <w:rFonts w:hint="eastAsia" w:ascii="宋体" w:hAnsi="宋体" w:cs="宋体"/>
          <w:color w:val="auto"/>
          <w:kern w:val="0"/>
          <w:szCs w:val="21"/>
          <w:highlight w:val="none"/>
        </w:rPr>
        <w:t>在线投标响应（电子投标）说明：本项目通过广西政府采购云平台实行在线投标响应（电子投标），供应商需要先安装“广西政府采购云平台电子交易客户端”，并按照本采购文件和广西政府采购云平台的要求，通过“广西政府采购云平台电子交易客户端”编制并加密投标文件。供应商未按规定编制并加密的投标文件，广西政府采购云平台将予以拒收。</w:t>
      </w:r>
    </w:p>
    <w:p w14:paraId="131C6D66">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6.为加大政府采购支持中小企业力度，帮助政府采购成交供应商解决融资难、融资贵的问题，进一步做好线上“政采贷”融资业务工作，如供应商有需要的，详见采购文件中附件3《崇左市线上“政采贷”政策告知函》、附件4《崇左市线上“政采贷”业务流程图》、附件5《崇左市金融机构线上“政采贷”业务办理联络表》。</w:t>
      </w:r>
    </w:p>
    <w:p w14:paraId="3C12E29A">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7.本项目不收取磋商保证金。</w:t>
      </w:r>
    </w:p>
    <w:p w14:paraId="79655F75">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8.本项目按照崇左市财政局关于推行政府采购领域信用承诺制度的通知的要求，供应商在参与崇左市政府采购活动时，供应商只需以书面形式提供《崇左市政府采购供应商信用承诺函》，即可替代《中华人民共和国政府采购法实施条例》第十七条第一款第（一）项至第（四）项所规定的基本资格条件相关材料，具体不再提供的资质材料有：法人或者他组织的营业执照等证明文件，自然人的身份证明、财务状况报告、依法缴纳税收和社会保障资金相关证明材料、有履行合同所必需的设备和专业技术能力相关证明材料、参加政府采购活动前3年内在经营活动中没有重大违法记录相关证明材料。</w:t>
      </w:r>
    </w:p>
    <w:p w14:paraId="20AEB892">
      <w:pPr>
        <w:wordWrap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9.</w:t>
      </w:r>
      <w:r>
        <w:rPr>
          <w:rFonts w:hint="eastAsia" w:ascii="宋体" w:hAnsi="宋体" w:cs="宋体"/>
          <w:color w:val="auto"/>
          <w:szCs w:val="21"/>
          <w:highlight w:val="none"/>
        </w:rPr>
        <w:t>本项目采用远程异地评审，主会场在</w:t>
      </w:r>
      <w:r>
        <w:rPr>
          <w:rFonts w:hint="eastAsia" w:ascii="宋体" w:hAnsi="宋体" w:cs="宋体"/>
          <w:color w:val="auto"/>
          <w:szCs w:val="21"/>
          <w:highlight w:val="none"/>
          <w:lang w:eastAsia="zh-CN"/>
        </w:rPr>
        <w:t>广西亿隆项目管理有限公司</w:t>
      </w:r>
      <w:r>
        <w:rPr>
          <w:rFonts w:hint="eastAsia" w:ascii="宋体" w:hAnsi="宋体" w:cs="宋体"/>
          <w:color w:val="auto"/>
          <w:szCs w:val="21"/>
          <w:highlight w:val="none"/>
        </w:rPr>
        <w:t>【崇左市友谊大道东源名城D区9栋三单元20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号】，副会场在</w:t>
      </w:r>
      <w:r>
        <w:rPr>
          <w:rFonts w:hint="eastAsia" w:ascii="宋体" w:hAnsi="宋体" w:cs="宋体"/>
          <w:color w:val="auto"/>
          <w:szCs w:val="21"/>
          <w:highlight w:val="none"/>
          <w:lang w:eastAsia="zh-CN"/>
        </w:rPr>
        <w:t>广西亿隆项目管理有限公司</w:t>
      </w:r>
      <w:r>
        <w:rPr>
          <w:rFonts w:hint="eastAsia" w:ascii="宋体" w:hAnsi="宋体" w:cs="宋体"/>
          <w:color w:val="auto"/>
          <w:szCs w:val="21"/>
          <w:highlight w:val="none"/>
        </w:rPr>
        <w:t>南宁办事处【在南宁市西乡塘区科园大道27号湖南大厦615号房】。</w:t>
      </w:r>
    </w:p>
    <w:p w14:paraId="61AB22E9">
      <w:pPr>
        <w:spacing w:line="360" w:lineRule="auto"/>
        <w:outlineLvl w:val="0"/>
        <w:rPr>
          <w:rFonts w:ascii="宋体" w:hAnsi="宋体" w:cs="宋体"/>
          <w:b/>
          <w:bCs/>
          <w:color w:val="auto"/>
          <w:highlight w:val="none"/>
        </w:rPr>
      </w:pPr>
      <w:bookmarkStart w:id="54" w:name="_Toc35393805"/>
      <w:bookmarkStart w:id="55" w:name="_Toc25429"/>
      <w:bookmarkStart w:id="56" w:name="_Toc13334"/>
      <w:bookmarkStart w:id="57" w:name="_Toc28315"/>
      <w:bookmarkStart w:id="58" w:name="_Toc28359018"/>
      <w:bookmarkStart w:id="59" w:name="_Toc35393636"/>
      <w:bookmarkStart w:id="60" w:name="_Toc2375"/>
      <w:bookmarkStart w:id="61" w:name="_Toc28359095"/>
      <w:bookmarkStart w:id="62" w:name="_Toc27681"/>
      <w:r>
        <w:rPr>
          <w:rFonts w:hint="eastAsia" w:ascii="宋体" w:hAnsi="宋体" w:cs="宋体"/>
          <w:b/>
          <w:bCs/>
          <w:color w:val="auto"/>
          <w:highlight w:val="none"/>
        </w:rPr>
        <w:t>八、凡对本次采购提出询问，请按以下方式联系。</w:t>
      </w:r>
      <w:bookmarkEnd w:id="54"/>
      <w:bookmarkEnd w:id="55"/>
      <w:bookmarkEnd w:id="56"/>
      <w:bookmarkEnd w:id="57"/>
      <w:bookmarkEnd w:id="58"/>
      <w:bookmarkEnd w:id="59"/>
      <w:bookmarkEnd w:id="60"/>
      <w:bookmarkEnd w:id="61"/>
      <w:bookmarkEnd w:id="62"/>
    </w:p>
    <w:p w14:paraId="6B812BB7">
      <w:pPr>
        <w:spacing w:line="360" w:lineRule="auto"/>
        <w:ind w:firstLine="420" w:firstLineChars="200"/>
        <w:rPr>
          <w:color w:val="auto"/>
          <w:szCs w:val="21"/>
          <w:highlight w:val="none"/>
        </w:rPr>
      </w:pPr>
      <w:bookmarkStart w:id="63" w:name="_Toc28812_WPSOffice_Level1"/>
      <w:bookmarkStart w:id="64" w:name="_Toc2920_WPSOffice_Level1"/>
      <w:r>
        <w:rPr>
          <w:rFonts w:hint="eastAsia"/>
          <w:color w:val="auto"/>
          <w:szCs w:val="21"/>
          <w:highlight w:val="none"/>
        </w:rPr>
        <w:t>1. 采购人信息</w:t>
      </w:r>
    </w:p>
    <w:p w14:paraId="249F8C83">
      <w:pPr>
        <w:spacing w:line="360" w:lineRule="auto"/>
        <w:ind w:firstLine="420" w:firstLineChars="200"/>
        <w:rPr>
          <w:color w:val="auto"/>
          <w:szCs w:val="21"/>
          <w:highlight w:val="none"/>
        </w:rPr>
      </w:pPr>
      <w:r>
        <w:rPr>
          <w:rFonts w:hint="eastAsia"/>
          <w:color w:val="auto"/>
          <w:szCs w:val="21"/>
          <w:highlight w:val="none"/>
        </w:rPr>
        <w:t>名 称：大新县自然资源局</w:t>
      </w:r>
    </w:p>
    <w:p w14:paraId="06421779">
      <w:pPr>
        <w:widowControl/>
        <w:spacing w:line="360" w:lineRule="auto"/>
        <w:ind w:firstLine="420" w:firstLineChars="200"/>
        <w:rPr>
          <w:color w:val="auto"/>
          <w:szCs w:val="21"/>
          <w:highlight w:val="none"/>
        </w:rPr>
      </w:pPr>
      <w:r>
        <w:rPr>
          <w:rFonts w:hint="eastAsia"/>
          <w:color w:val="auto"/>
          <w:szCs w:val="21"/>
          <w:highlight w:val="none"/>
        </w:rPr>
        <w:t>地址：大新县桃城镇富康路96号</w:t>
      </w:r>
    </w:p>
    <w:p w14:paraId="2D704E14">
      <w:pPr>
        <w:spacing w:line="360" w:lineRule="auto"/>
        <w:ind w:firstLine="420" w:firstLineChars="200"/>
        <w:rPr>
          <w:color w:val="auto"/>
          <w:szCs w:val="21"/>
          <w:highlight w:val="none"/>
        </w:rPr>
      </w:pPr>
      <w:r>
        <w:rPr>
          <w:rFonts w:hint="eastAsia"/>
          <w:color w:val="auto"/>
          <w:szCs w:val="21"/>
          <w:highlight w:val="none"/>
        </w:rPr>
        <w:t xml:space="preserve">项目联系人：蒙桂荣   </w:t>
      </w:r>
    </w:p>
    <w:p w14:paraId="4290E4E1">
      <w:pPr>
        <w:widowControl/>
        <w:spacing w:line="360" w:lineRule="auto"/>
        <w:ind w:firstLine="420" w:firstLineChars="200"/>
        <w:rPr>
          <w:color w:val="auto"/>
          <w:szCs w:val="21"/>
          <w:highlight w:val="none"/>
        </w:rPr>
      </w:pPr>
      <w:r>
        <w:rPr>
          <w:rFonts w:hint="eastAsia"/>
          <w:color w:val="auto"/>
          <w:szCs w:val="21"/>
          <w:highlight w:val="none"/>
        </w:rPr>
        <w:t>联系方式：0771 -3628900    </w:t>
      </w:r>
    </w:p>
    <w:p w14:paraId="4DB60A36">
      <w:pPr>
        <w:spacing w:line="360" w:lineRule="auto"/>
        <w:ind w:firstLine="420" w:firstLineChars="200"/>
        <w:rPr>
          <w:color w:val="auto"/>
          <w:szCs w:val="21"/>
          <w:highlight w:val="none"/>
        </w:rPr>
      </w:pPr>
      <w:r>
        <w:rPr>
          <w:rFonts w:hint="eastAsia"/>
          <w:color w:val="auto"/>
          <w:szCs w:val="21"/>
          <w:highlight w:val="none"/>
        </w:rPr>
        <w:t>2. 采购代理机构信息</w:t>
      </w:r>
    </w:p>
    <w:p w14:paraId="4CD6CF6C">
      <w:pPr>
        <w:spacing w:line="360" w:lineRule="auto"/>
        <w:ind w:firstLine="420" w:firstLineChars="200"/>
        <w:rPr>
          <w:rFonts w:hint="eastAsia"/>
          <w:color w:val="auto"/>
          <w:szCs w:val="21"/>
          <w:highlight w:val="none"/>
          <w:lang w:eastAsia="zh-CN"/>
        </w:rPr>
      </w:pPr>
      <w:r>
        <w:rPr>
          <w:rFonts w:hint="eastAsia"/>
          <w:color w:val="auto"/>
          <w:szCs w:val="21"/>
          <w:highlight w:val="none"/>
        </w:rPr>
        <w:t>名 称：</w:t>
      </w:r>
      <w:r>
        <w:rPr>
          <w:rFonts w:hint="eastAsia"/>
          <w:color w:val="auto"/>
          <w:szCs w:val="21"/>
          <w:highlight w:val="none"/>
          <w:lang w:eastAsia="zh-CN"/>
        </w:rPr>
        <w:t>广西亿隆项目管理有限公司</w:t>
      </w:r>
    </w:p>
    <w:p w14:paraId="744D70D5">
      <w:pPr>
        <w:spacing w:line="360" w:lineRule="auto"/>
        <w:ind w:firstLine="420" w:firstLineChars="200"/>
        <w:rPr>
          <w:color w:val="auto"/>
          <w:szCs w:val="21"/>
          <w:highlight w:val="none"/>
        </w:rPr>
      </w:pPr>
      <w:r>
        <w:rPr>
          <w:rFonts w:hint="eastAsia"/>
          <w:color w:val="auto"/>
          <w:szCs w:val="21"/>
          <w:highlight w:val="none"/>
        </w:rPr>
        <w:t>地址：崇左市友谊大道东源名城D区9栋三单元20</w:t>
      </w:r>
      <w:r>
        <w:rPr>
          <w:rFonts w:hint="eastAsia"/>
          <w:color w:val="auto"/>
          <w:szCs w:val="21"/>
          <w:highlight w:val="none"/>
          <w:lang w:val="en-US" w:eastAsia="zh-CN"/>
        </w:rPr>
        <w:t>2</w:t>
      </w:r>
      <w:r>
        <w:rPr>
          <w:rFonts w:hint="eastAsia"/>
          <w:color w:val="auto"/>
          <w:szCs w:val="21"/>
          <w:highlight w:val="none"/>
        </w:rPr>
        <w:t>号</w:t>
      </w:r>
    </w:p>
    <w:p w14:paraId="631CB265">
      <w:pPr>
        <w:spacing w:line="360" w:lineRule="auto"/>
        <w:ind w:firstLine="420" w:firstLineChars="200"/>
        <w:rPr>
          <w:color w:val="auto"/>
          <w:szCs w:val="21"/>
          <w:highlight w:val="none"/>
        </w:rPr>
      </w:pPr>
      <w:r>
        <w:rPr>
          <w:rFonts w:hint="eastAsia"/>
          <w:color w:val="auto"/>
          <w:szCs w:val="21"/>
          <w:highlight w:val="none"/>
        </w:rPr>
        <w:t>项目联系人：</w:t>
      </w:r>
      <w:r>
        <w:rPr>
          <w:rFonts w:hint="eastAsia"/>
          <w:color w:val="auto"/>
          <w:szCs w:val="21"/>
          <w:highlight w:val="none"/>
          <w:lang w:eastAsia="zh-CN"/>
        </w:rPr>
        <w:t>李工</w:t>
      </w:r>
    </w:p>
    <w:p w14:paraId="1F637CBA">
      <w:pPr>
        <w:spacing w:line="360" w:lineRule="auto"/>
        <w:ind w:firstLine="420" w:firstLineChars="200"/>
        <w:rPr>
          <w:color w:val="auto"/>
          <w:szCs w:val="21"/>
          <w:highlight w:val="none"/>
        </w:rPr>
      </w:pPr>
      <w:r>
        <w:rPr>
          <w:rFonts w:hint="eastAsia"/>
          <w:color w:val="auto"/>
          <w:szCs w:val="21"/>
          <w:highlight w:val="none"/>
        </w:rPr>
        <w:t>项目联系方式：0771-79</w:t>
      </w:r>
      <w:r>
        <w:rPr>
          <w:rFonts w:hint="eastAsia"/>
          <w:color w:val="auto"/>
          <w:szCs w:val="21"/>
          <w:highlight w:val="none"/>
          <w:lang w:val="en-US" w:eastAsia="zh-CN"/>
        </w:rPr>
        <w:t>11372</w:t>
      </w:r>
    </w:p>
    <w:p w14:paraId="35A98EC7">
      <w:pPr>
        <w:spacing w:line="360" w:lineRule="auto"/>
        <w:ind w:firstLine="420" w:firstLineChars="200"/>
        <w:rPr>
          <w:color w:val="auto"/>
          <w:szCs w:val="21"/>
          <w:highlight w:val="none"/>
        </w:rPr>
      </w:pPr>
      <w:r>
        <w:rPr>
          <w:rFonts w:hint="eastAsia"/>
          <w:color w:val="auto"/>
          <w:szCs w:val="21"/>
          <w:highlight w:val="none"/>
        </w:rPr>
        <w:t>3. 项目联系方式</w:t>
      </w:r>
    </w:p>
    <w:p w14:paraId="148750D4">
      <w:pPr>
        <w:spacing w:line="360" w:lineRule="auto"/>
        <w:ind w:firstLine="420" w:firstLineChars="200"/>
        <w:rPr>
          <w:color w:val="auto"/>
          <w:szCs w:val="21"/>
          <w:highlight w:val="none"/>
        </w:rPr>
      </w:pPr>
      <w:r>
        <w:rPr>
          <w:rFonts w:hint="eastAsia"/>
          <w:color w:val="auto"/>
          <w:szCs w:val="21"/>
          <w:highlight w:val="none"/>
        </w:rPr>
        <w:t>项目联系人：</w:t>
      </w:r>
      <w:r>
        <w:rPr>
          <w:rFonts w:hint="eastAsia"/>
          <w:color w:val="auto"/>
          <w:szCs w:val="21"/>
          <w:highlight w:val="none"/>
          <w:lang w:eastAsia="zh-CN"/>
        </w:rPr>
        <w:t>李工</w:t>
      </w:r>
    </w:p>
    <w:p w14:paraId="264CDB33">
      <w:pPr>
        <w:spacing w:line="360" w:lineRule="auto"/>
        <w:ind w:firstLine="420" w:firstLineChars="200"/>
        <w:rPr>
          <w:color w:val="auto"/>
          <w:szCs w:val="21"/>
          <w:highlight w:val="none"/>
        </w:rPr>
      </w:pPr>
      <w:r>
        <w:rPr>
          <w:rFonts w:hint="eastAsia"/>
          <w:color w:val="auto"/>
          <w:szCs w:val="21"/>
          <w:highlight w:val="none"/>
        </w:rPr>
        <w:t>项目联系方式：0771-79</w:t>
      </w:r>
      <w:r>
        <w:rPr>
          <w:rFonts w:hint="eastAsia"/>
          <w:color w:val="auto"/>
          <w:szCs w:val="21"/>
          <w:highlight w:val="none"/>
          <w:lang w:val="en-US" w:eastAsia="zh-CN"/>
        </w:rPr>
        <w:t>11372</w:t>
      </w:r>
    </w:p>
    <w:p w14:paraId="5354F1AE">
      <w:pPr>
        <w:spacing w:line="360" w:lineRule="auto"/>
        <w:ind w:firstLine="420" w:firstLineChars="200"/>
        <w:rPr>
          <w:rFonts w:hint="eastAsia"/>
          <w:color w:val="auto"/>
          <w:szCs w:val="21"/>
          <w:highlight w:val="none"/>
        </w:rPr>
      </w:pPr>
      <w:r>
        <w:rPr>
          <w:rFonts w:hint="eastAsia"/>
          <w:color w:val="auto"/>
          <w:szCs w:val="21"/>
          <w:highlight w:val="none"/>
        </w:rPr>
        <w:t>4. 监督部门：大新县财政局采购监督管理股  电话：0771-3626646</w:t>
      </w:r>
    </w:p>
    <w:bookmarkEnd w:id="63"/>
    <w:bookmarkEnd w:id="64"/>
    <w:p w14:paraId="49BDFC65">
      <w:pPr>
        <w:pStyle w:val="60"/>
        <w:ind w:firstLine="915"/>
        <w:rPr>
          <w:rFonts w:ascii="宋体" w:hAnsi="宋体" w:cs="宋体"/>
          <w:color w:val="auto"/>
          <w:szCs w:val="21"/>
          <w:highlight w:val="none"/>
        </w:rPr>
      </w:pPr>
    </w:p>
    <w:p w14:paraId="27D98F59">
      <w:pPr>
        <w:pStyle w:val="60"/>
        <w:ind w:firstLine="915"/>
        <w:rPr>
          <w:rFonts w:ascii="宋体" w:hAnsi="宋体" w:cs="宋体"/>
          <w:color w:val="auto"/>
          <w:szCs w:val="21"/>
          <w:highlight w:val="none"/>
        </w:rPr>
      </w:pPr>
    </w:p>
    <w:p w14:paraId="00C712B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采购单位：大新县自然资源局</w:t>
      </w:r>
    </w:p>
    <w:p w14:paraId="10A6346C">
      <w:pPr>
        <w:spacing w:line="360" w:lineRule="auto"/>
        <w:ind w:firstLine="3150" w:firstLineChars="1500"/>
        <w:jc w:val="both"/>
        <w:rPr>
          <w:rFonts w:hint="eastAsia" w:ascii="宋体" w:hAnsi="宋体" w:cs="宋体"/>
          <w:color w:val="auto"/>
          <w:szCs w:val="21"/>
          <w:highlight w:val="none"/>
          <w:lang w:eastAsia="zh-CN"/>
        </w:rPr>
      </w:pPr>
      <w:r>
        <w:rPr>
          <w:rFonts w:hint="eastAsia" w:ascii="宋体" w:hAnsi="宋体" w:cs="宋体"/>
          <w:color w:val="auto"/>
          <w:szCs w:val="21"/>
          <w:highlight w:val="none"/>
        </w:rPr>
        <w:t>采购代理机构：</w:t>
      </w:r>
      <w:bookmarkStart w:id="65" w:name="_Toc27532"/>
      <w:r>
        <w:rPr>
          <w:rFonts w:hint="eastAsia" w:ascii="宋体" w:hAnsi="宋体" w:cs="宋体"/>
          <w:color w:val="auto"/>
          <w:szCs w:val="21"/>
          <w:highlight w:val="none"/>
          <w:lang w:eastAsia="zh-CN"/>
        </w:rPr>
        <w:t>广西亿隆项目管理有限公司</w:t>
      </w:r>
    </w:p>
    <w:p w14:paraId="7F9B7DE2">
      <w:pPr>
        <w:spacing w:line="360" w:lineRule="auto"/>
        <w:ind w:firstLine="4200" w:firstLineChars="2000"/>
        <w:jc w:val="both"/>
        <w:rPr>
          <w:b/>
          <w:color w:val="auto"/>
          <w:sz w:val="28"/>
          <w:szCs w:val="20"/>
          <w:highlight w:val="none"/>
        </w:rPr>
      </w:pPr>
      <w:r>
        <w:rPr>
          <w:rFonts w:hint="eastAsia" w:ascii="宋体" w:hAnsi="宋体" w:cs="宋体"/>
          <w:color w:val="auto"/>
          <w:szCs w:val="21"/>
          <w:highlight w:val="none"/>
        </w:rPr>
        <w:t>2025年3月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w:t>
      </w:r>
      <w:r>
        <w:rPr>
          <w:rFonts w:hint="eastAsia" w:ascii="宋体" w:hAnsi="宋体" w:cs="宋体"/>
          <w:color w:val="auto"/>
          <w:szCs w:val="21"/>
          <w:highlight w:val="none"/>
        </w:rPr>
        <w:br w:type="page"/>
      </w:r>
      <w:bookmarkStart w:id="66" w:name="_Toc44229894"/>
      <w:r>
        <w:rPr>
          <w:rFonts w:hint="eastAsia"/>
          <w:b/>
          <w:color w:val="auto"/>
          <w:sz w:val="32"/>
          <w:szCs w:val="32"/>
          <w:highlight w:val="none"/>
        </w:rPr>
        <w:t>第二章 供应商须知</w:t>
      </w:r>
      <w:bookmarkEnd w:id="65"/>
      <w:bookmarkEnd w:id="66"/>
    </w:p>
    <w:p w14:paraId="2D870941">
      <w:pPr>
        <w:pStyle w:val="2"/>
        <w:rPr>
          <w:color w:val="auto"/>
          <w:highlight w:val="none"/>
        </w:rPr>
      </w:pPr>
      <w:bookmarkStart w:id="67" w:name="_Toc23278"/>
      <w:r>
        <w:rPr>
          <w:rFonts w:hint="eastAsia"/>
          <w:color w:val="auto"/>
          <w:highlight w:val="none"/>
        </w:rPr>
        <w:t>供应商须知前附表</w:t>
      </w:r>
      <w:bookmarkEnd w:id="67"/>
    </w:p>
    <w:tbl>
      <w:tblPr>
        <w:tblStyle w:val="50"/>
        <w:tblW w:w="89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92"/>
        <w:gridCol w:w="7912"/>
      </w:tblGrid>
      <w:tr w14:paraId="67AE4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tcPr>
          <w:p w14:paraId="391A1C38">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条款号</w:t>
            </w:r>
          </w:p>
        </w:tc>
        <w:tc>
          <w:tcPr>
            <w:tcW w:w="7912" w:type="dxa"/>
          </w:tcPr>
          <w:p w14:paraId="7BC96FA1">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    容</w:t>
            </w:r>
          </w:p>
        </w:tc>
      </w:tr>
      <w:tr w14:paraId="631D67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ABBAF6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7912" w:type="dxa"/>
            <w:vAlign w:val="center"/>
          </w:tcPr>
          <w:p w14:paraId="10781B3D">
            <w:pPr>
              <w:spacing w:line="360" w:lineRule="auto"/>
              <w:rPr>
                <w:rFonts w:ascii="宋体" w:hAnsi="宋体" w:cs="宋体"/>
                <w:color w:val="auto"/>
                <w:szCs w:val="21"/>
                <w:highlight w:val="none"/>
              </w:rPr>
            </w:pPr>
            <w:r>
              <w:rPr>
                <w:rFonts w:hint="eastAsia" w:ascii="宋体" w:hAnsi="宋体" w:cs="宋体"/>
                <w:bCs/>
                <w:color w:val="auto"/>
                <w:szCs w:val="21"/>
                <w:highlight w:val="none"/>
              </w:rPr>
              <w:t>供应商的资格条件</w:t>
            </w:r>
            <w:r>
              <w:rPr>
                <w:rFonts w:hint="eastAsia" w:ascii="宋体" w:hAnsi="宋体" w:cs="宋体"/>
                <w:color w:val="auto"/>
                <w:szCs w:val="21"/>
                <w:highlight w:val="none"/>
              </w:rPr>
              <w:t>：详见竞争性磋商公告</w:t>
            </w:r>
          </w:p>
        </w:tc>
      </w:tr>
      <w:tr w14:paraId="0DA8F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1FA925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7912" w:type="dxa"/>
            <w:vAlign w:val="center"/>
          </w:tcPr>
          <w:p w14:paraId="7EBDCCB6">
            <w:pPr>
              <w:spacing w:line="360" w:lineRule="auto"/>
              <w:rPr>
                <w:rFonts w:ascii="宋体" w:hAnsi="宋体" w:cs="宋体"/>
                <w:color w:val="auto"/>
                <w:szCs w:val="21"/>
                <w:highlight w:val="none"/>
              </w:rPr>
            </w:pPr>
            <w:r>
              <w:rPr>
                <w:rFonts w:hint="eastAsia" w:ascii="宋体" w:hAnsi="宋体" w:cs="宋体"/>
                <w:color w:val="auto"/>
                <w:szCs w:val="21"/>
                <w:highlight w:val="none"/>
              </w:rPr>
              <w:t>是否接受联合体竞标: 详见竞争性磋商公告</w:t>
            </w:r>
          </w:p>
        </w:tc>
      </w:tr>
      <w:tr w14:paraId="5E566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6EE65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6.2</w:t>
            </w:r>
          </w:p>
        </w:tc>
        <w:tc>
          <w:tcPr>
            <w:tcW w:w="7912" w:type="dxa"/>
            <w:vAlign w:val="center"/>
          </w:tcPr>
          <w:p w14:paraId="15D15D90">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☑不允许分包</w:t>
            </w:r>
          </w:p>
          <w:p w14:paraId="5ABF8CC7">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□允许分包</w:t>
            </w:r>
          </w:p>
          <w:p w14:paraId="314E6E13">
            <w:pPr>
              <w:pStyle w:val="18"/>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分包内容：</w:t>
            </w:r>
            <w:r>
              <w:rPr>
                <w:rFonts w:hint="eastAsia" w:ascii="宋体" w:hAnsi="宋体" w:cs="宋体"/>
                <w:color w:val="auto"/>
                <w:szCs w:val="21"/>
                <w:highlight w:val="none"/>
                <w:u w:val="single"/>
              </w:rPr>
              <w:t xml:space="preserve">                 /                    。</w:t>
            </w:r>
          </w:p>
          <w:p w14:paraId="3754B824">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分包金额或者比例：</w:t>
            </w:r>
            <w:r>
              <w:rPr>
                <w:rFonts w:hint="eastAsia" w:ascii="宋体" w:hAnsi="宋体" w:cs="宋体"/>
                <w:color w:val="auto"/>
                <w:szCs w:val="21"/>
                <w:highlight w:val="none"/>
                <w:u w:val="single"/>
              </w:rPr>
              <w:t xml:space="preserve">        /                             。</w:t>
            </w:r>
          </w:p>
        </w:tc>
      </w:tr>
      <w:tr w14:paraId="33353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7A09A6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12.1.1</w:t>
            </w:r>
          </w:p>
        </w:tc>
        <w:tc>
          <w:tcPr>
            <w:tcW w:w="7912" w:type="dxa"/>
            <w:vAlign w:val="center"/>
          </w:tcPr>
          <w:p w14:paraId="442B4113">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资格证明文件</w:t>
            </w:r>
          </w:p>
          <w:p w14:paraId="72E4BFF8">
            <w:pPr>
              <w:pStyle w:val="181"/>
              <w:ind w:firstLine="420" w:firstLineChars="200"/>
              <w:rPr>
                <w:rFonts w:ascii="宋体" w:hAnsi="宋体" w:cs="宋体"/>
                <w:b/>
                <w:bCs/>
                <w:color w:val="auto"/>
                <w:szCs w:val="21"/>
                <w:highlight w:val="none"/>
              </w:rPr>
            </w:pPr>
            <w:r>
              <w:rPr>
                <w:rFonts w:hint="eastAsia" w:ascii="宋体" w:hAnsi="宋体" w:cs="宋体"/>
                <w:color w:val="auto"/>
                <w:szCs w:val="21"/>
                <w:highlight w:val="none"/>
              </w:rPr>
              <w:t>1.</w:t>
            </w:r>
            <w:r>
              <w:rPr>
                <w:rFonts w:hint="eastAsia" w:ascii="宋体" w:hAnsi="宋体"/>
                <w:color w:val="auto"/>
                <w:szCs w:val="21"/>
                <w:highlight w:val="none"/>
              </w:rPr>
              <w:t>崇左市政府采购供应商信用承诺函</w:t>
            </w:r>
            <w:r>
              <w:rPr>
                <w:rFonts w:ascii="宋体" w:hAnsi="宋体"/>
                <w:color w:val="auto"/>
                <w:szCs w:val="21"/>
                <w:highlight w:val="none"/>
              </w:rPr>
              <w:t>；</w:t>
            </w:r>
            <w:r>
              <w:rPr>
                <w:rFonts w:hint="eastAsia" w:ascii="宋体" w:hAnsi="宋体"/>
                <w:b/>
                <w:bCs/>
                <w:color w:val="auto"/>
                <w:szCs w:val="21"/>
                <w:highlight w:val="none"/>
              </w:rPr>
              <w:t>（格式</w:t>
            </w:r>
            <w:r>
              <w:rPr>
                <w:rFonts w:hint="eastAsia" w:ascii="宋体" w:hAnsi="宋体" w:cs="宋体"/>
                <w:b/>
                <w:bCs/>
                <w:color w:val="auto"/>
                <w:szCs w:val="21"/>
                <w:highlight w:val="none"/>
              </w:rPr>
              <w:t>后附，必须提供，否则响应文件按无效响应处理）</w:t>
            </w:r>
          </w:p>
          <w:p w14:paraId="044B8B33">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2.有效的资质证书副本复印件；（</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6A16D52B">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3.供应商直接控股、管理关系信息表</w:t>
            </w:r>
            <w:r>
              <w:rPr>
                <w:rFonts w:hint="eastAsia" w:ascii="宋体" w:hAnsi="宋体" w:cs="宋体"/>
                <w:b/>
                <w:bCs/>
                <w:color w:val="auto"/>
                <w:szCs w:val="21"/>
                <w:highlight w:val="none"/>
              </w:rPr>
              <w:t>（格式后附）；（必须提供，</w:t>
            </w:r>
            <w:r>
              <w:rPr>
                <w:rFonts w:hint="eastAsia" w:ascii="宋体" w:hAnsi="宋体" w:cs="宋体"/>
                <w:b/>
                <w:color w:val="auto"/>
                <w:szCs w:val="21"/>
                <w:highlight w:val="none"/>
              </w:rPr>
              <w:t>否则响应文件按无效响应处理</w:t>
            </w:r>
            <w:r>
              <w:rPr>
                <w:rFonts w:hint="eastAsia" w:ascii="宋体" w:hAnsi="宋体" w:cs="宋体"/>
                <w:color w:val="auto"/>
                <w:szCs w:val="21"/>
                <w:highlight w:val="none"/>
              </w:rPr>
              <w:t>）</w:t>
            </w:r>
          </w:p>
          <w:p w14:paraId="325DA37A">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4.竞标声明（格式后附）；（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73285D2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5.中小企业声明函；</w:t>
            </w:r>
            <w:r>
              <w:rPr>
                <w:rFonts w:hint="eastAsia" w:ascii="宋体" w:hAnsi="宋体" w:cs="宋体"/>
                <w:b/>
                <w:color w:val="auto"/>
                <w:szCs w:val="21"/>
                <w:highlight w:val="none"/>
              </w:rPr>
              <w:t>（如是，请提供</w:t>
            </w:r>
            <w:r>
              <w:rPr>
                <w:rFonts w:hint="eastAsia" w:ascii="宋体" w:hAnsi="宋体" w:cs="宋体"/>
                <w:color w:val="auto"/>
                <w:szCs w:val="21"/>
                <w:highlight w:val="none"/>
              </w:rPr>
              <w:t>）</w:t>
            </w:r>
          </w:p>
          <w:p w14:paraId="3DFDF585">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6.除磋商文件规定必须提供以外，供应商认为需要提供的其他证明材料；</w:t>
            </w:r>
          </w:p>
          <w:p w14:paraId="0B7734A0">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注：</w:t>
            </w:r>
          </w:p>
          <w:p w14:paraId="0641C4E4">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1.以上标明“必须提供”的材料属于复印件的，必须加盖供应商公章，否则响应文件按无效响应处理。</w:t>
            </w:r>
          </w:p>
          <w:p w14:paraId="47A2C768">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2.竞标声明必须由法定代表人在规定签章处签字或盖章并加盖供应商公章，否则响应文件按无效响应处理。</w:t>
            </w:r>
          </w:p>
          <w:p w14:paraId="54FEE862">
            <w:pPr>
              <w:snapToGrid w:val="0"/>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3.供应商直接控股、管理关系信息表必须由法定代表人或者委托代理人在规定签章处签字并加盖供应商公章，否则响应文件按无效响应处理。</w:t>
            </w:r>
          </w:p>
        </w:tc>
      </w:tr>
      <w:tr w14:paraId="08050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EC760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12.1.2</w:t>
            </w:r>
          </w:p>
        </w:tc>
        <w:tc>
          <w:tcPr>
            <w:tcW w:w="7912" w:type="dxa"/>
            <w:vAlign w:val="center"/>
          </w:tcPr>
          <w:p w14:paraId="528D4FA6">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商务报价文件</w:t>
            </w:r>
          </w:p>
          <w:p w14:paraId="3CECEF01">
            <w:pPr>
              <w:spacing w:line="360" w:lineRule="auto"/>
              <w:rPr>
                <w:rFonts w:ascii="宋体" w:hAnsi="宋体" w:cs="宋体"/>
                <w:color w:val="auto"/>
                <w:szCs w:val="21"/>
                <w:highlight w:val="none"/>
              </w:rPr>
            </w:pPr>
            <w:r>
              <w:rPr>
                <w:rFonts w:hint="eastAsia" w:ascii="宋体" w:hAnsi="宋体" w:cs="宋体"/>
                <w:color w:val="auto"/>
                <w:szCs w:val="21"/>
                <w:highlight w:val="none"/>
              </w:rPr>
              <w:t>1.无串通竞标行为的承诺函（格式后附）；（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45F87F2B">
            <w:pPr>
              <w:spacing w:line="360" w:lineRule="auto"/>
              <w:rPr>
                <w:rFonts w:ascii="宋体" w:hAnsi="宋体" w:cs="宋体"/>
                <w:color w:val="auto"/>
                <w:szCs w:val="21"/>
                <w:highlight w:val="none"/>
              </w:rPr>
            </w:pPr>
            <w:r>
              <w:rPr>
                <w:rFonts w:hint="eastAsia" w:ascii="宋体" w:hAnsi="宋体" w:cs="宋体"/>
                <w:color w:val="auto"/>
                <w:szCs w:val="21"/>
                <w:highlight w:val="none"/>
              </w:rPr>
              <w:t>2.竞标报价表（格式后附）；（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5B669E2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3.法定代表人身份证明书及法定代表人有效身份证正反面复印件（格式后附）；（</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11F7A84">
            <w:pPr>
              <w:spacing w:line="360" w:lineRule="auto"/>
              <w:rPr>
                <w:rFonts w:ascii="宋体" w:hAnsi="宋体" w:cs="宋体"/>
                <w:b/>
                <w:color w:val="auto"/>
                <w:szCs w:val="21"/>
                <w:highlight w:val="none"/>
              </w:rPr>
            </w:pPr>
            <w:r>
              <w:rPr>
                <w:rFonts w:hint="eastAsia" w:ascii="宋体" w:hAnsi="宋体" w:cs="宋体"/>
                <w:color w:val="auto"/>
                <w:szCs w:val="21"/>
                <w:highlight w:val="none"/>
              </w:rPr>
              <w:t>4.法定代表人授权委托书及委托代理人有效身份证正反面复印件（格式后附）；（</w:t>
            </w:r>
            <w:r>
              <w:rPr>
                <w:rFonts w:hint="eastAsia" w:ascii="宋体" w:hAnsi="宋体" w:cs="宋体"/>
                <w:b/>
                <w:color w:val="auto"/>
                <w:szCs w:val="21"/>
                <w:highlight w:val="none"/>
              </w:rPr>
              <w:t>委托时必须提供，否则响应文件按无效响应处理</w:t>
            </w:r>
            <w:r>
              <w:rPr>
                <w:rFonts w:hint="eastAsia" w:ascii="宋体" w:hAnsi="宋体" w:cs="宋体"/>
                <w:color w:val="auto"/>
                <w:szCs w:val="21"/>
                <w:highlight w:val="none"/>
              </w:rPr>
              <w:t>）</w:t>
            </w:r>
          </w:p>
          <w:p w14:paraId="127C7A80">
            <w:pPr>
              <w:spacing w:line="360" w:lineRule="auto"/>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C77BB06">
            <w:pPr>
              <w:spacing w:line="360" w:lineRule="auto"/>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.供应商认为需要提供的其他有关资料。</w:t>
            </w:r>
          </w:p>
          <w:p w14:paraId="50F1F0E1">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709590AB">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6813E605">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14:paraId="2C5666D0">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3.以上材料未附格式的，由供应商自行拟定。</w:t>
            </w:r>
          </w:p>
        </w:tc>
      </w:tr>
      <w:tr w14:paraId="27EF9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DCEC35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12.1.3</w:t>
            </w:r>
          </w:p>
        </w:tc>
        <w:tc>
          <w:tcPr>
            <w:tcW w:w="7912" w:type="dxa"/>
            <w:vAlign w:val="center"/>
          </w:tcPr>
          <w:p w14:paraId="59952265">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技术文件</w:t>
            </w:r>
          </w:p>
          <w:p w14:paraId="15ABE94C">
            <w:pPr>
              <w:spacing w:line="360" w:lineRule="auto"/>
              <w:rPr>
                <w:rFonts w:ascii="宋体" w:hAnsi="宋体" w:cs="宋体"/>
                <w:color w:val="auto"/>
                <w:szCs w:val="21"/>
                <w:highlight w:val="none"/>
              </w:rPr>
            </w:pPr>
            <w:r>
              <w:rPr>
                <w:rFonts w:hint="eastAsia" w:ascii="宋体" w:hAnsi="宋体" w:cs="宋体"/>
                <w:color w:val="auto"/>
                <w:szCs w:val="21"/>
                <w:highlight w:val="none"/>
              </w:rPr>
              <w:t>1.服务方案；（</w:t>
            </w:r>
            <w:r>
              <w:rPr>
                <w:rFonts w:hint="eastAsia" w:ascii="宋体" w:hAnsi="宋体" w:cs="宋体"/>
                <w:b/>
                <w:color w:val="auto"/>
                <w:szCs w:val="21"/>
                <w:highlight w:val="none"/>
              </w:rPr>
              <w:t>格式自拟</w:t>
            </w:r>
            <w:r>
              <w:rPr>
                <w:rFonts w:hint="eastAsia" w:ascii="宋体" w:hAnsi="宋体" w:cs="宋体"/>
                <w:color w:val="auto"/>
                <w:szCs w:val="21"/>
                <w:highlight w:val="none"/>
              </w:rPr>
              <w:t>）</w:t>
            </w:r>
          </w:p>
          <w:p w14:paraId="577B2A53">
            <w:pPr>
              <w:spacing w:line="360" w:lineRule="auto"/>
              <w:rPr>
                <w:rFonts w:ascii="宋体" w:hAnsi="宋体" w:cs="宋体"/>
                <w:color w:val="auto"/>
                <w:szCs w:val="21"/>
                <w:highlight w:val="none"/>
              </w:rPr>
            </w:pPr>
            <w:r>
              <w:rPr>
                <w:rFonts w:hint="eastAsia" w:ascii="宋体" w:hAnsi="宋体" w:cs="宋体"/>
                <w:color w:val="auto"/>
                <w:szCs w:val="21"/>
                <w:highlight w:val="none"/>
              </w:rPr>
              <w:t>2.技术需求偏离表（格式后附）；（</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14:paraId="06091507">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3.项目实施人员一览表（格式自拟）； </w:t>
            </w:r>
          </w:p>
          <w:p w14:paraId="6A2E3D0C">
            <w:pPr>
              <w:spacing w:line="360" w:lineRule="auto"/>
              <w:rPr>
                <w:rFonts w:ascii="宋体" w:hAnsi="宋体" w:cs="宋体"/>
                <w:color w:val="auto"/>
                <w:szCs w:val="21"/>
                <w:highlight w:val="none"/>
              </w:rPr>
            </w:pPr>
            <w:r>
              <w:rPr>
                <w:rFonts w:hint="eastAsia" w:ascii="宋体" w:hAnsi="宋体" w:cs="宋体"/>
                <w:color w:val="auto"/>
                <w:szCs w:val="21"/>
                <w:highlight w:val="none"/>
              </w:rPr>
              <w:t>4.对应采购需求的技术需求、商务条款提供的其他文件资料；</w:t>
            </w:r>
          </w:p>
          <w:p w14:paraId="5DC22368">
            <w:pPr>
              <w:spacing w:line="360" w:lineRule="auto"/>
              <w:rPr>
                <w:rFonts w:ascii="宋体" w:hAnsi="宋体" w:cs="宋体"/>
                <w:color w:val="auto"/>
                <w:szCs w:val="21"/>
                <w:highlight w:val="none"/>
              </w:rPr>
            </w:pPr>
            <w:r>
              <w:rPr>
                <w:rFonts w:hint="eastAsia" w:ascii="宋体" w:hAnsi="宋体" w:cs="宋体"/>
                <w:color w:val="auto"/>
                <w:szCs w:val="21"/>
                <w:highlight w:val="none"/>
              </w:rPr>
              <w:t>5.供应商认为需要提供的其他有关资料。</w:t>
            </w:r>
          </w:p>
          <w:p w14:paraId="45B95473">
            <w:pPr>
              <w:snapToGrid w:val="0"/>
              <w:spacing w:line="360" w:lineRule="auto"/>
              <w:jc w:val="left"/>
              <w:rPr>
                <w:rFonts w:ascii="宋体" w:hAnsi="宋体" w:cs="宋体"/>
                <w:b/>
                <w:color w:val="auto"/>
                <w:szCs w:val="21"/>
                <w:highlight w:val="none"/>
              </w:rPr>
            </w:pPr>
            <w:r>
              <w:rPr>
                <w:rFonts w:hint="eastAsia" w:ascii="宋体" w:hAnsi="宋体" w:cs="宋体"/>
                <w:b/>
                <w:color w:val="auto"/>
                <w:szCs w:val="21"/>
                <w:highlight w:val="none"/>
              </w:rPr>
              <w:t xml:space="preserve">注： </w:t>
            </w:r>
          </w:p>
          <w:p w14:paraId="1C252818">
            <w:pPr>
              <w:snapToGrid w:val="0"/>
              <w:spacing w:line="360" w:lineRule="auto"/>
              <w:ind w:firstLine="413" w:firstLineChars="196"/>
              <w:jc w:val="left"/>
              <w:rPr>
                <w:rFonts w:ascii="宋体" w:hAnsi="宋体" w:cs="宋体"/>
                <w:b/>
                <w:color w:val="auto"/>
                <w:szCs w:val="21"/>
                <w:highlight w:val="none"/>
              </w:rPr>
            </w:pPr>
            <w:r>
              <w:rPr>
                <w:rFonts w:hint="eastAsia" w:ascii="宋体" w:hAnsi="宋体" w:cs="宋体"/>
                <w:b/>
                <w:color w:val="auto"/>
                <w:szCs w:val="21"/>
                <w:highlight w:val="none"/>
              </w:rPr>
              <w:t>1.法定代表人授权委托书必须由法定代表人及委托代理人签字，并加盖供应商公章，否则响应文件按无效响应处理。</w:t>
            </w:r>
          </w:p>
          <w:p w14:paraId="680590BE">
            <w:pP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2.以上标明“必须提供”的材料属于复印件的，必须加盖供应商公章，否则响应文件按无效响应处理。</w:t>
            </w:r>
          </w:p>
          <w:p w14:paraId="4EE3C174">
            <w:pPr>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3.以上材料未附格式的，由供应商自行拟定。</w:t>
            </w:r>
          </w:p>
        </w:tc>
      </w:tr>
      <w:tr w14:paraId="09709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6A202A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12.2</w:t>
            </w:r>
          </w:p>
        </w:tc>
        <w:tc>
          <w:tcPr>
            <w:tcW w:w="7912" w:type="dxa"/>
            <w:vAlign w:val="center"/>
          </w:tcPr>
          <w:p w14:paraId="7314A812">
            <w:pPr>
              <w:snapToGrid w:val="0"/>
              <w:spacing w:line="360" w:lineRule="auto"/>
              <w:jc w:val="left"/>
              <w:rPr>
                <w:rFonts w:ascii="宋体" w:hAnsi="宋体" w:cs="宋体"/>
                <w:color w:val="auto"/>
                <w:szCs w:val="21"/>
                <w:highlight w:val="none"/>
              </w:rPr>
            </w:pPr>
            <w:r>
              <w:rPr>
                <w:rFonts w:hint="eastAsia" w:ascii="宋体" w:hAnsi="宋体" w:cs="宋体"/>
                <w:b/>
                <w:color w:val="auto"/>
                <w:szCs w:val="21"/>
                <w:highlight w:val="none"/>
              </w:rPr>
              <w:t>□</w:t>
            </w:r>
            <w:r>
              <w:rPr>
                <w:rFonts w:hint="eastAsia" w:ascii="宋体" w:hAnsi="宋体" w:cs="宋体"/>
                <w:color w:val="auto"/>
                <w:szCs w:val="21"/>
                <w:highlight w:val="none"/>
              </w:rPr>
              <w:t>提供响应文件电子版。供应商在递交响应文件时，同时递交响应文件电子版。</w:t>
            </w:r>
          </w:p>
          <w:p w14:paraId="09704C9E">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1.响应文件电子版内容：与纸质响应文件全部内容一致。</w:t>
            </w:r>
          </w:p>
          <w:p w14:paraId="696A0FA3">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2.响应文件电子版形式： 1份（word版或pdf版）</w:t>
            </w:r>
          </w:p>
          <w:p w14:paraId="04E8CEE8">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3.响应文件电子版密封方式：响应文件电子版光盘（或者U盘）与纸质版响应文件一并装入响应文件袋中。</w:t>
            </w:r>
          </w:p>
          <w:p w14:paraId="39E4114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sym w:font="Wingdings" w:char="00FE"/>
            </w:r>
            <w:r>
              <w:rPr>
                <w:rFonts w:hint="eastAsia" w:ascii="宋体" w:hAnsi="宋体" w:cs="宋体"/>
                <w:color w:val="auto"/>
                <w:szCs w:val="21"/>
                <w:highlight w:val="none"/>
              </w:rPr>
              <w:t>不提供响应文件电子版。</w:t>
            </w:r>
          </w:p>
        </w:tc>
      </w:tr>
      <w:tr w14:paraId="14E7F1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6FF311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15.2</w:t>
            </w:r>
          </w:p>
        </w:tc>
        <w:tc>
          <w:tcPr>
            <w:tcW w:w="7912" w:type="dxa"/>
            <w:vAlign w:val="center"/>
          </w:tcPr>
          <w:p w14:paraId="62B9F28E">
            <w:pPr>
              <w:snapToGrid w:val="0"/>
              <w:spacing w:line="360" w:lineRule="auto"/>
              <w:jc w:val="left"/>
              <w:rPr>
                <w:rFonts w:ascii="宋体" w:hAnsi="宋体" w:cs="宋体"/>
                <w:color w:val="auto"/>
                <w:szCs w:val="21"/>
                <w:highlight w:val="none"/>
              </w:rPr>
            </w:pPr>
            <w:r>
              <w:rPr>
                <w:rFonts w:hint="eastAsia" w:hAnsi="宋体" w:cs="宋体"/>
                <w:color w:val="auto"/>
                <w:szCs w:val="21"/>
                <w:highlight w:val="none"/>
              </w:rPr>
              <w:t>供应商可就第三章《采购需求》中的全部服务内容作完整唯一报价，</w:t>
            </w:r>
            <w:r>
              <w:rPr>
                <w:rFonts w:hint="eastAsia" w:ascii="宋体" w:hAnsi="宋体" w:cs="宋体"/>
                <w:color w:val="auto"/>
                <w:szCs w:val="21"/>
                <w:highlight w:val="none"/>
              </w:rPr>
              <w:t>竞标报价必须包含满足本次竞标全部采购需求所应提供的服务，以及伴随的货物和工程（如有）的价格；包含竞标服务、货物、工程的成本、运输（含保险）、安装（如有）、调试、检验、技术服务、咨询、评审、培训、税费等所有费用，</w:t>
            </w:r>
            <w:r>
              <w:rPr>
                <w:rFonts w:hint="eastAsia" w:hAnsi="宋体" w:cs="宋体"/>
                <w:color w:val="auto"/>
                <w:szCs w:val="21"/>
                <w:highlight w:val="none"/>
              </w:rPr>
              <w:t>任何有选择的报价将不被接受。</w:t>
            </w:r>
          </w:p>
          <w:p w14:paraId="4C7AA579">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☑竞标报价包含验收、评审、咨询等相关费用</w:t>
            </w:r>
          </w:p>
          <w:p w14:paraId="06F7CA36">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□竞标报价不包含验收、评审、咨询等相关费用</w:t>
            </w:r>
          </w:p>
        </w:tc>
      </w:tr>
      <w:tr w14:paraId="48E88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4653047">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16.2</w:t>
            </w:r>
          </w:p>
        </w:tc>
        <w:tc>
          <w:tcPr>
            <w:tcW w:w="7912" w:type="dxa"/>
            <w:vAlign w:val="center"/>
          </w:tcPr>
          <w:p w14:paraId="62CA88A9">
            <w:pPr>
              <w:pStyle w:val="14"/>
              <w:widowControl w:val="0"/>
              <w:tabs>
                <w:tab w:val="clear" w:pos="454"/>
              </w:tabs>
              <w:snapToGrid w:val="0"/>
              <w:spacing w:afterLines="0" w:line="360" w:lineRule="auto"/>
              <w:ind w:left="283" w:hanging="283" w:hangingChars="135"/>
              <w:rPr>
                <w:rFonts w:ascii="宋体" w:hAnsi="宋体" w:cs="宋体"/>
                <w:color w:val="auto"/>
                <w:kern w:val="2"/>
                <w:sz w:val="21"/>
                <w:szCs w:val="21"/>
                <w:highlight w:val="none"/>
              </w:rPr>
            </w:pPr>
            <w:r>
              <w:rPr>
                <w:rFonts w:hint="eastAsia" w:ascii="宋体" w:hAnsi="宋体" w:cs="宋体"/>
                <w:color w:val="auto"/>
                <w:kern w:val="2"/>
                <w:sz w:val="21"/>
                <w:szCs w:val="21"/>
                <w:highlight w:val="none"/>
              </w:rPr>
              <w:t>竞标有效期：自首次响应文件提交截止之日起</w:t>
            </w:r>
            <w:r>
              <w:rPr>
                <w:rFonts w:hint="eastAsia" w:ascii="宋体" w:hAnsi="宋体" w:cs="宋体"/>
                <w:color w:val="auto"/>
                <w:kern w:val="2"/>
                <w:sz w:val="21"/>
                <w:szCs w:val="21"/>
                <w:highlight w:val="none"/>
                <w:u w:val="single"/>
              </w:rPr>
              <w:t>45</w:t>
            </w:r>
            <w:r>
              <w:rPr>
                <w:rFonts w:hint="eastAsia" w:ascii="宋体" w:hAnsi="宋体" w:cs="宋体"/>
                <w:color w:val="auto"/>
                <w:kern w:val="2"/>
                <w:sz w:val="21"/>
                <w:szCs w:val="21"/>
                <w:highlight w:val="none"/>
              </w:rPr>
              <w:t>日。</w:t>
            </w:r>
          </w:p>
        </w:tc>
      </w:tr>
      <w:tr w14:paraId="5F2FC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5602F60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17.1</w:t>
            </w:r>
          </w:p>
        </w:tc>
        <w:tc>
          <w:tcPr>
            <w:tcW w:w="7912" w:type="dxa"/>
            <w:vAlign w:val="center"/>
          </w:tcPr>
          <w:p w14:paraId="0D6BE25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本项目不收取</w:t>
            </w:r>
            <w:r>
              <w:rPr>
                <w:rFonts w:hint="eastAsia" w:ascii="宋体" w:hAnsi="宋体" w:cs="宋体"/>
                <w:color w:val="auto"/>
                <w:szCs w:val="21"/>
                <w:highlight w:val="none"/>
              </w:rPr>
              <w:t>磋商保证金</w:t>
            </w:r>
            <w:r>
              <w:rPr>
                <w:rFonts w:hint="eastAsia" w:ascii="宋体" w:hAnsi="宋体" w:cs="宋体"/>
                <w:color w:val="auto"/>
                <w:szCs w:val="21"/>
                <w:highlight w:val="none"/>
                <w:lang w:eastAsia="zh-CN"/>
              </w:rPr>
              <w:t>。</w:t>
            </w:r>
          </w:p>
        </w:tc>
      </w:tr>
      <w:tr w14:paraId="032DF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C085C54">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18.2</w:t>
            </w:r>
          </w:p>
        </w:tc>
        <w:tc>
          <w:tcPr>
            <w:tcW w:w="7912" w:type="dxa"/>
            <w:vAlign w:val="center"/>
          </w:tcPr>
          <w:p w14:paraId="6B137065">
            <w:pPr>
              <w:widowControl/>
              <w:spacing w:line="360" w:lineRule="auto"/>
              <w:jc w:val="left"/>
              <w:rPr>
                <w:color w:val="auto"/>
                <w:highlight w:val="none"/>
              </w:rPr>
            </w:pPr>
            <w:r>
              <w:rPr>
                <w:rFonts w:hint="eastAsia" w:ascii="宋体" w:hAnsi="宋体" w:cs="宋体"/>
                <w:color w:val="auto"/>
                <w:szCs w:val="21"/>
                <w:highlight w:val="none"/>
              </w:rPr>
              <w:t>响应文件份数：</w:t>
            </w:r>
            <w:r>
              <w:rPr>
                <w:rFonts w:hint="eastAsia" w:ascii="宋体" w:hAnsi="宋体" w:cs="宋体"/>
                <w:color w:val="auto"/>
                <w:kern w:val="0"/>
                <w:szCs w:val="21"/>
                <w:highlight w:val="none"/>
                <w:lang w:bidi="ar"/>
              </w:rPr>
              <w:t xml:space="preserve">1.电子响应文件，电子响应文件按广西政府采购云平台要求及本竞争性磋商文件要求制作、加密并递交。 </w:t>
            </w:r>
          </w:p>
          <w:p w14:paraId="3850CF45">
            <w:pPr>
              <w:widowControl/>
              <w:spacing w:line="360" w:lineRule="auto"/>
              <w:jc w:val="left"/>
              <w:rPr>
                <w:color w:val="auto"/>
                <w:highlight w:val="none"/>
              </w:rPr>
            </w:pPr>
            <w:r>
              <w:rPr>
                <w:rFonts w:hint="eastAsia" w:ascii="宋体" w:hAnsi="宋体" w:cs="宋体"/>
                <w:color w:val="auto"/>
                <w:kern w:val="0"/>
                <w:szCs w:val="21"/>
                <w:highlight w:val="none"/>
                <w:lang w:bidi="ar"/>
              </w:rPr>
              <w:t xml:space="preserve">2.以介质存储的数据电文形式的电子备份响应文件，按广西政府采购云平台项目采购-电子招投标操作指南中上传的电子响应文件格式，以DVD光盘或者U盘等形式提供。数量为1份。 </w:t>
            </w:r>
          </w:p>
          <w:p w14:paraId="46C7C1D9">
            <w:pPr>
              <w:widowControl/>
              <w:spacing w:line="360" w:lineRule="auto"/>
              <w:jc w:val="left"/>
              <w:rPr>
                <w:color w:val="auto"/>
                <w:highlight w:val="none"/>
              </w:rPr>
            </w:pPr>
            <w:r>
              <w:rPr>
                <w:rFonts w:hint="eastAsia" w:ascii="宋体" w:hAnsi="宋体" w:cs="宋体"/>
                <w:color w:val="auto"/>
                <w:kern w:val="0"/>
                <w:szCs w:val="21"/>
                <w:highlight w:val="none"/>
                <w:lang w:bidi="ar"/>
              </w:rPr>
              <w:t xml:space="preserve">3.响应文件启用顺序和效力：响应文件的启用，按先后顺位分别为电子响应文件、以介质存储的数据电文形式的电子备份响应文件。顺位在先的响应文件已按时解密的，下一顺位响应文件自动失效。在下一顺位的响应文件启用时，前一顺位的响应文件自动失效。 </w:t>
            </w:r>
          </w:p>
          <w:p w14:paraId="54E3DF27">
            <w:pPr>
              <w:widowControl/>
              <w:spacing w:line="360" w:lineRule="auto"/>
              <w:jc w:val="left"/>
              <w:rPr>
                <w:color w:val="auto"/>
                <w:highlight w:val="none"/>
              </w:rPr>
            </w:pPr>
            <w:r>
              <w:rPr>
                <w:rFonts w:hint="eastAsia" w:ascii="宋体" w:hAnsi="宋体" w:cs="宋体"/>
                <w:color w:val="auto"/>
                <w:kern w:val="0"/>
                <w:szCs w:val="21"/>
                <w:highlight w:val="none"/>
                <w:lang w:bidi="ar"/>
              </w:rPr>
              <w:t xml:space="preserve">▲未传输递交电子响应文件的，竞标无效。 </w:t>
            </w:r>
          </w:p>
          <w:p w14:paraId="5DE397F5">
            <w:pPr>
              <w:spacing w:line="360" w:lineRule="auto"/>
              <w:rPr>
                <w:rFonts w:ascii="宋体" w:hAnsi="宋体" w:cs="宋体"/>
                <w:color w:val="auto"/>
                <w:szCs w:val="21"/>
                <w:highlight w:val="none"/>
              </w:rPr>
            </w:pPr>
            <w:r>
              <w:rPr>
                <w:rFonts w:hint="eastAsia" w:ascii="宋体" w:hAnsi="宋体" w:cs="宋体"/>
                <w:color w:val="auto"/>
                <w:kern w:val="0"/>
                <w:szCs w:val="21"/>
                <w:highlight w:val="none"/>
                <w:lang w:bidi="ar"/>
              </w:rPr>
              <w:t xml:space="preserve">▲未按规定提供相应的备份响应文件，造成项目开评标活动无法进行下去的，竞标无效。 </w:t>
            </w:r>
          </w:p>
        </w:tc>
      </w:tr>
      <w:tr w14:paraId="60B4D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6AC0A1F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20.1</w:t>
            </w:r>
          </w:p>
        </w:tc>
        <w:tc>
          <w:tcPr>
            <w:tcW w:w="7912" w:type="dxa"/>
            <w:vAlign w:val="center"/>
          </w:tcPr>
          <w:p w14:paraId="340F7EFC">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首次响应文件提交起止时间：从公告发布之日起至投标截止时间止。</w:t>
            </w:r>
          </w:p>
          <w:p w14:paraId="2E9E6F69">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首次响应文件提交截止时间：详见竞争性磋商公告。</w:t>
            </w:r>
          </w:p>
          <w:p w14:paraId="589E3B78">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首次响应文件提交地点：详见竞争性磋商公告。</w:t>
            </w:r>
          </w:p>
          <w:p w14:paraId="34B4F1B6">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电子响应文件解密时间：截标时间后30分钟内，供应商必须在此时间段内登录广西政府采购云平台，用“项目采购-开标评标”功能完成电子响应文件的解密。若供应商在规定时间内未按时解密的，视为响应文件撤回。</w:t>
            </w:r>
          </w:p>
          <w:p w14:paraId="48FE5F6B">
            <w:pPr>
              <w:widowControl/>
              <w:spacing w:line="360" w:lineRule="auto"/>
              <w:jc w:val="left"/>
              <w:rPr>
                <w:rFonts w:ascii="宋体" w:hAnsi="宋体" w:cs="宋体"/>
                <w:color w:val="auto"/>
                <w:highlight w:val="none"/>
              </w:rPr>
            </w:pPr>
            <w:r>
              <w:rPr>
                <w:rFonts w:hint="eastAsia" w:ascii="宋体" w:hAnsi="宋体" w:cs="宋体"/>
                <w:color w:val="auto"/>
                <w:highlight w:val="none"/>
              </w:rPr>
              <w:t>备注：</w:t>
            </w:r>
          </w:p>
          <w:p w14:paraId="6440E8F2">
            <w:pPr>
              <w:widowControl/>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t>1、本项目通过广西政府采购云平台实行在线投标响应（电子投标），供应商需要先安装“广西政府采购云平台电子交易客户端”，并按照本采购文件和广西政府采购云平台的要求，通过“广西政府采购云平台电子交易客户端”编制并加密响应文件。供应商未按规定编制并加密的响应文件，广西政府采购云平台将予以拒收。</w:t>
            </w:r>
          </w:p>
          <w:p w14:paraId="53A8FA4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2、“广西政府采购云平台电子交易客户端”请自行前往广西政府采购网下载并安装；电子投标具体操作流程如有问题请通过广西政府采购云平台参与在线投标时如遇平台技术问题详询957630。</w:t>
            </w:r>
          </w:p>
          <w:p w14:paraId="239C38B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为确保网上操作合法、有效和安全，供应商应当在投标截止时间前完成在“政府采购云平台”的身份认证，确保在电子投标过程中能够对相关数据电文进行加密和使用电子签章。使用“广西政府采购云平台电子交易客户端”需要提前申领CA数字证书，申领流程请自行前往广西政府采购云平台下载查阅。</w:t>
            </w:r>
          </w:p>
          <w:p w14:paraId="682DC58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供应商应当在投标截止时间前，将生成的“电子加密响应文件”上传递交至广西政府采购云平台。投标截止时间前可以补充、修改或者撤回电子响应文件。补充或者修改电子响应文件的，应当先行撤回原文件，补充、修改后重新传输递交，投标截止时间前未完成传输的，视为撤回响应文件。</w:t>
            </w:r>
          </w:p>
          <w:p w14:paraId="1A6BC1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可以视情况提供以介质（U盘或光盘等）存储的数据电文形成的电子备份响应文件，电子备份响应文件应当在投标截止时间前按要求密封并送达开标地址，逾期送达或未按要求密封将被拒收。电子备份响应文件应当密封包装并在包装上标注投标项目名称、投标单位名称并加盖公章。</w:t>
            </w:r>
          </w:p>
          <w:p w14:paraId="492033D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邮寄地址：（详见公告）。拒收到付邮件，通过邮寄方式送达的，请合理安排邮寄时间，因邮寄原因未能在规定时间内送达的后果由供应商自行承担。</w:t>
            </w:r>
          </w:p>
          <w:p w14:paraId="0AFF81BE">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6、通过“政府采购云平台”上传递交的“电子加密响应文件”无法按时解密，供应商递交了电子备份响应文件的，以电子备份响应文件为依据，否则视为响应文件撤回。通过广西政府采购云平台上传递交的电子加密响应文件已按时解密的，电子备份响应文件自动失效。供应商仅递交电子备份响应文件的，投标无效。</w:t>
            </w:r>
          </w:p>
        </w:tc>
      </w:tr>
      <w:tr w14:paraId="007F7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3BA5F2">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24.1</w:t>
            </w:r>
          </w:p>
        </w:tc>
        <w:tc>
          <w:tcPr>
            <w:tcW w:w="7912" w:type="dxa"/>
            <w:vAlign w:val="center"/>
          </w:tcPr>
          <w:p w14:paraId="167DA768">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rPr>
              <w:t>磋商小组的人数：</w:t>
            </w:r>
            <w:r>
              <w:rPr>
                <w:rFonts w:hint="eastAsia" w:ascii="宋体" w:hAnsi="宋体" w:cs="宋体"/>
                <w:color w:val="auto"/>
                <w:szCs w:val="21"/>
                <w:highlight w:val="none"/>
                <w:u w:val="single"/>
              </w:rPr>
              <w:t xml:space="preserve"> 3</w:t>
            </w:r>
            <w:r>
              <w:rPr>
                <w:rFonts w:hint="eastAsia" w:ascii="宋体" w:hAnsi="宋体" w:cs="宋体"/>
                <w:color w:val="auto"/>
                <w:szCs w:val="21"/>
                <w:highlight w:val="none"/>
              </w:rPr>
              <w:t>人。在政府采购监督部门规定的专家库中上随机抽取政府采购评审专家与采购人代表共3人及以上组成竞争性磋商小组。</w:t>
            </w:r>
          </w:p>
        </w:tc>
      </w:tr>
      <w:tr w14:paraId="7C23D6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92" w:type="dxa"/>
            <w:vMerge w:val="restart"/>
            <w:vAlign w:val="center"/>
          </w:tcPr>
          <w:p w14:paraId="17BAF6A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26.2</w:t>
            </w:r>
          </w:p>
        </w:tc>
        <w:tc>
          <w:tcPr>
            <w:tcW w:w="7912" w:type="dxa"/>
            <w:vAlign w:val="center"/>
          </w:tcPr>
          <w:p w14:paraId="06FC056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项。</w:t>
            </w:r>
          </w:p>
          <w:p w14:paraId="5BE8AA16">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75B1A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Merge w:val="continue"/>
            <w:vAlign w:val="center"/>
          </w:tcPr>
          <w:p w14:paraId="41435641">
            <w:pPr>
              <w:spacing w:line="360" w:lineRule="auto"/>
              <w:jc w:val="center"/>
              <w:rPr>
                <w:rFonts w:ascii="宋体" w:hAnsi="宋体" w:cs="宋体"/>
                <w:color w:val="auto"/>
                <w:szCs w:val="21"/>
                <w:highlight w:val="none"/>
              </w:rPr>
            </w:pPr>
          </w:p>
        </w:tc>
        <w:tc>
          <w:tcPr>
            <w:tcW w:w="7912" w:type="dxa"/>
            <w:vAlign w:val="center"/>
          </w:tcPr>
          <w:p w14:paraId="276BF93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磋商的顺序：</w:t>
            </w:r>
          </w:p>
          <w:p w14:paraId="1E88D450">
            <w:pPr>
              <w:pStyle w:val="18"/>
              <w:spacing w:line="360" w:lineRule="auto"/>
              <w:rPr>
                <w:rFonts w:ascii="宋体" w:hAnsi="宋体" w:cs="宋体"/>
                <w:color w:val="auto"/>
                <w:szCs w:val="21"/>
                <w:highlight w:val="none"/>
              </w:rPr>
            </w:pPr>
            <w:r>
              <w:rPr>
                <w:rFonts w:hint="eastAsia" w:ascii="宋体" w:hAnsi="宋体" w:cs="宋体"/>
                <w:color w:val="auto"/>
                <w:szCs w:val="21"/>
                <w:highlight w:val="none"/>
              </w:rPr>
              <w:t>□按照提交首次响应文件的顺序，通知磋商时，若某供应商不在通知现场时（该供应商排序到最后磋商），按照签到的顺序由其下一位供应商先参与磋商。</w:t>
            </w:r>
          </w:p>
          <w:p w14:paraId="7CC01CB7">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☑随机排序。</w:t>
            </w:r>
          </w:p>
          <w:p w14:paraId="2335021E">
            <w:pPr>
              <w:pStyle w:val="18"/>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按照首次响应文件的解密顺序，如出现某供应商不能按时参加磋商的情形，则该供应商的磋商次序往后延，具体由磋商小组确定。</w:t>
            </w:r>
          </w:p>
        </w:tc>
      </w:tr>
      <w:tr w14:paraId="372A0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8DD685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28.1</w:t>
            </w:r>
          </w:p>
        </w:tc>
        <w:tc>
          <w:tcPr>
            <w:tcW w:w="7912" w:type="dxa"/>
            <w:vAlign w:val="center"/>
          </w:tcPr>
          <w:p w14:paraId="436F07DA">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☑不需要缴纳履约保证金。</w:t>
            </w:r>
          </w:p>
          <w:p w14:paraId="48F3D3A0">
            <w:pPr>
              <w:snapToGrid w:val="0"/>
              <w:spacing w:line="360" w:lineRule="auto"/>
              <w:rPr>
                <w:rFonts w:ascii="宋体" w:hAnsi="宋体" w:cs="宋体"/>
                <w:color w:val="auto"/>
                <w:szCs w:val="21"/>
                <w:highlight w:val="none"/>
              </w:rPr>
            </w:pPr>
            <w:r>
              <w:rPr>
                <w:rFonts w:hint="eastAsia" w:ascii="MS Mincho" w:hAnsi="MS Mincho" w:cs="MS Mincho"/>
                <w:color w:val="auto"/>
                <w:szCs w:val="21"/>
                <w:highlight w:val="none"/>
              </w:rPr>
              <w:t>□</w:t>
            </w:r>
            <w:r>
              <w:rPr>
                <w:rFonts w:hint="eastAsia" w:ascii="宋体" w:hAnsi="宋体" w:cs="宋体"/>
                <w:color w:val="auto"/>
                <w:szCs w:val="21"/>
                <w:highlight w:val="none"/>
              </w:rPr>
              <w:t>需要缴纳履约保证金，履约保证金金额：按成交金额的</w:t>
            </w:r>
            <w:r>
              <w:rPr>
                <w:rFonts w:hint="eastAsia" w:ascii="宋体" w:hAnsi="宋体" w:cs="宋体"/>
                <w:color w:val="auto"/>
                <w:szCs w:val="21"/>
                <w:highlight w:val="none"/>
                <w:u w:val="single"/>
              </w:rPr>
              <w:t xml:space="preserve">5 </w:t>
            </w:r>
            <w:r>
              <w:rPr>
                <w:rFonts w:hint="eastAsia" w:ascii="宋体" w:hAnsi="宋体" w:cs="宋体"/>
                <w:color w:val="auto"/>
                <w:szCs w:val="21"/>
                <w:highlight w:val="none"/>
              </w:rPr>
              <w:t>%（注：履约保证金不超过成交金额的5%）。</w:t>
            </w:r>
          </w:p>
          <w:p w14:paraId="43F6D32B">
            <w:pPr>
              <w:rPr>
                <w:rFonts w:ascii="宋体" w:hAnsi="宋体" w:cs="宋体"/>
                <w:color w:val="auto"/>
                <w:szCs w:val="21"/>
                <w:highlight w:val="none"/>
              </w:rPr>
            </w:pPr>
            <w:r>
              <w:rPr>
                <w:rFonts w:hint="eastAsia" w:ascii="宋体" w:hAnsi="宋体" w:cs="宋体"/>
                <w:color w:val="auto"/>
                <w:szCs w:val="21"/>
                <w:highlight w:val="none"/>
              </w:rPr>
              <w:t>履约保证金缴纳时间和方式：在签订合同前，成交人以银行转账、支票、汇票、本票、银行出具的保函或保险机构出具的保函、保险单的方式。</w:t>
            </w:r>
          </w:p>
          <w:p w14:paraId="7BE2AEC6">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履约保证金退付方式、时间及条件：</w:t>
            </w:r>
            <w:r>
              <w:rPr>
                <w:rFonts w:hint="eastAsia" w:ascii="宋体" w:hAnsi="宋体" w:cs="宋体"/>
                <w:color w:val="auto"/>
                <w:szCs w:val="21"/>
                <w:highlight w:val="none"/>
                <w:u w:val="single"/>
              </w:rPr>
              <w:t xml:space="preserve">  验收合格后28内无息退还   。</w:t>
            </w:r>
          </w:p>
          <w:p w14:paraId="2A073DF0">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如：由成交供应商向履约保证金收取单位提供《广西壮族自治区政府采购项目合同验收书》（详见附件1）及《政府采购项目履约保证金退付意见书》（详见附件2），保证金收取单位在收到合格材料后5个工作日内办理退还手续（不计利息）。</w:t>
            </w:r>
          </w:p>
          <w:p w14:paraId="663FCD2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履约保证金指定账户：</w:t>
            </w:r>
          </w:p>
          <w:p w14:paraId="2BB3E401">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备注：</w:t>
            </w:r>
          </w:p>
          <w:p w14:paraId="078705EE">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 xml:space="preserve">1. </w:t>
            </w:r>
            <w:bookmarkStart w:id="68" w:name="_Hlk54170335"/>
            <w:r>
              <w:rPr>
                <w:rFonts w:hint="eastAsia" w:ascii="宋体" w:hAnsi="宋体" w:cs="宋体"/>
                <w:b/>
                <w:color w:val="auto"/>
                <w:szCs w:val="21"/>
                <w:highlight w:val="none"/>
              </w:rPr>
              <w:t>根据《广西壮族自治区财政厅关于贯彻落实政府采购优化营商环境百日攻坚行动方案的通知》（桂财采〔2020〕49号）规定，采购人在与中小微企业签订政府采购合同时，免于收取履约保证金。</w:t>
            </w:r>
            <w:bookmarkEnd w:id="68"/>
          </w:p>
          <w:p w14:paraId="57247204">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的（即合同中规定的当事人履行自己的义务，如交付标的物、价款或者报酬，履行劳务、完成工作的时间界限）的，视为未按规定提交履约保证金。</w:t>
            </w:r>
          </w:p>
          <w:p w14:paraId="1BD7D698">
            <w:pPr>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3.</w:t>
            </w:r>
            <w:r>
              <w:rPr>
                <w:rFonts w:hint="eastAsia"/>
                <w:color w:val="auto"/>
                <w:highlight w:val="none"/>
              </w:rPr>
              <w:t xml:space="preserve"> </w:t>
            </w:r>
            <w:r>
              <w:rPr>
                <w:rFonts w:hint="eastAsia" w:ascii="宋体" w:hAnsi="宋体" w:cs="宋体"/>
                <w:b/>
                <w:color w:val="auto"/>
                <w:szCs w:val="21"/>
                <w:highlight w:val="none"/>
              </w:rPr>
              <w:t>采用银行出具的保函或保险机构出具的保函的，必须为无条件保函，否则视为未按规定提交履约保证金。</w:t>
            </w:r>
          </w:p>
        </w:tc>
      </w:tr>
      <w:tr w14:paraId="332A98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DCBC8C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29.1</w:t>
            </w:r>
          </w:p>
        </w:tc>
        <w:tc>
          <w:tcPr>
            <w:tcW w:w="7912" w:type="dxa"/>
            <w:vAlign w:val="center"/>
          </w:tcPr>
          <w:p w14:paraId="6E79E96F">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签订合同携带的证明材料： 委托代理人负责签订合同的，须携带授权委托书及委托代理人身份证原件等其他资格证件。法定代表人负责签订合同的，须携带法定代表人身份证明原件及身份证原件等其他证明材料。</w:t>
            </w:r>
          </w:p>
        </w:tc>
      </w:tr>
      <w:tr w14:paraId="289872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04CBB3DE">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31.2</w:t>
            </w:r>
          </w:p>
        </w:tc>
        <w:tc>
          <w:tcPr>
            <w:tcW w:w="7912" w:type="dxa"/>
            <w:vAlign w:val="center"/>
          </w:tcPr>
          <w:p w14:paraId="22665AA2">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接收质疑函方式：以书面形式。</w:t>
            </w:r>
          </w:p>
          <w:p w14:paraId="3BCE72AF">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质疑联系部门及联系方式：详见竞争性磋商公告</w:t>
            </w:r>
          </w:p>
          <w:p w14:paraId="0D2A04CA">
            <w:pPr>
              <w:autoSpaceDE w:val="0"/>
              <w:autoSpaceDN w:val="0"/>
              <w:snapToGrid w:val="0"/>
              <w:spacing w:line="360" w:lineRule="auto"/>
              <w:textAlignment w:val="bottom"/>
              <w:rPr>
                <w:rFonts w:ascii="宋体" w:hAnsi="宋体" w:cs="宋体"/>
                <w:color w:val="auto"/>
                <w:szCs w:val="21"/>
                <w:highlight w:val="none"/>
              </w:rPr>
            </w:pPr>
            <w:r>
              <w:rPr>
                <w:rFonts w:hint="eastAsia" w:ascii="宋体" w:hAnsi="宋体" w:cs="宋体"/>
                <w:color w:val="auto"/>
                <w:szCs w:val="21"/>
                <w:highlight w:val="none"/>
              </w:rPr>
              <w:t>业务时间：上午8时00分到12时00分，下午3时00分到6时00分，业务时间以外、双休日和法定节假日不办理业务。</w:t>
            </w:r>
          </w:p>
        </w:tc>
      </w:tr>
      <w:tr w14:paraId="787AF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B7663F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32.1</w:t>
            </w:r>
          </w:p>
        </w:tc>
        <w:tc>
          <w:tcPr>
            <w:tcW w:w="7912" w:type="dxa"/>
            <w:vAlign w:val="center"/>
          </w:tcPr>
          <w:p w14:paraId="6CBD9906">
            <w:pPr>
              <w:pStyle w:val="22"/>
              <w:snapToGrid w:val="0"/>
              <w:spacing w:line="360" w:lineRule="auto"/>
              <w:rPr>
                <w:rFonts w:hAnsi="宋体" w:cs="宋体"/>
                <w:color w:val="auto"/>
                <w:sz w:val="21"/>
                <w:highlight w:val="none"/>
              </w:rPr>
            </w:pPr>
            <w:r>
              <w:rPr>
                <w:rFonts w:hint="eastAsia" w:hAnsi="宋体" w:cs="宋体"/>
                <w:color w:val="auto"/>
                <w:sz w:val="21"/>
                <w:highlight w:val="none"/>
              </w:rPr>
              <w:t>1.采购代理费支付方式：</w:t>
            </w:r>
          </w:p>
          <w:p w14:paraId="3E8178F8">
            <w:pPr>
              <w:pStyle w:val="22"/>
              <w:snapToGrid w:val="0"/>
              <w:spacing w:line="360" w:lineRule="auto"/>
              <w:rPr>
                <w:rFonts w:hAnsi="宋体" w:cs="宋体"/>
                <w:color w:val="auto"/>
                <w:sz w:val="21"/>
                <w:highlight w:val="none"/>
              </w:rPr>
            </w:pPr>
            <w:r>
              <w:rPr>
                <w:rFonts w:hint="eastAsia" w:hAnsi="宋体" w:cs="宋体"/>
                <w:color w:val="auto"/>
                <w:sz w:val="21"/>
                <w:highlight w:val="none"/>
              </w:rPr>
              <w:t>☑本项目代理服务费由成交供应商领取成交通知书前，一次性向采购代理机构支付。</w:t>
            </w:r>
          </w:p>
          <w:p w14:paraId="4F1803FA">
            <w:pPr>
              <w:pStyle w:val="22"/>
              <w:snapToGrid w:val="0"/>
              <w:spacing w:line="360" w:lineRule="auto"/>
              <w:rPr>
                <w:rFonts w:hAnsi="宋体" w:cs="宋体"/>
                <w:color w:val="auto"/>
                <w:sz w:val="21"/>
                <w:highlight w:val="none"/>
              </w:rPr>
            </w:pPr>
            <w:r>
              <w:rPr>
                <w:rFonts w:hint="eastAsia" w:hAnsi="宋体" w:cs="宋体"/>
                <w:color w:val="auto"/>
                <w:sz w:val="21"/>
                <w:highlight w:val="none"/>
              </w:rPr>
              <w:t>2.采购代理费收取标准：参照原国家发展计划委员会计价格[2002]1980号《招标代理服务费管理管理办法》、原发改办价格[2003]857号、原发改价格[2011]534号规定按差额定率累进法计取标准计取。</w:t>
            </w:r>
          </w:p>
        </w:tc>
      </w:tr>
      <w:tr w14:paraId="16C59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35A94A9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33.1</w:t>
            </w:r>
          </w:p>
        </w:tc>
        <w:tc>
          <w:tcPr>
            <w:tcW w:w="7912" w:type="dxa"/>
            <w:vAlign w:val="center"/>
          </w:tcPr>
          <w:p w14:paraId="4030756B">
            <w:pPr>
              <w:pStyle w:val="22"/>
              <w:snapToGrid w:val="0"/>
              <w:spacing w:line="360" w:lineRule="auto"/>
              <w:rPr>
                <w:rFonts w:hAnsi="宋体" w:cs="宋体"/>
                <w:color w:val="auto"/>
                <w:kern w:val="2"/>
                <w:sz w:val="21"/>
                <w:highlight w:val="none"/>
              </w:rPr>
            </w:pPr>
            <w:r>
              <w:rPr>
                <w:rFonts w:hint="eastAsia" w:hAnsi="宋体" w:cs="宋体"/>
                <w:color w:val="auto"/>
                <w:sz w:val="21"/>
                <w:highlight w:val="none"/>
              </w:rPr>
              <w:t>解释：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由采购人或者采购代理机构负责解释。</w:t>
            </w:r>
          </w:p>
        </w:tc>
      </w:tr>
      <w:tr w14:paraId="01539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4950704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33.2</w:t>
            </w:r>
          </w:p>
        </w:tc>
        <w:tc>
          <w:tcPr>
            <w:tcW w:w="7912" w:type="dxa"/>
            <w:vAlign w:val="center"/>
          </w:tcPr>
          <w:p w14:paraId="04D0352E">
            <w:pPr>
              <w:snapToGrid w:val="0"/>
              <w:spacing w:line="360" w:lineRule="auto"/>
              <w:ind w:firstLine="420" w:firstLineChars="200"/>
              <w:jc w:val="left"/>
              <w:rPr>
                <w:rFonts w:ascii="Calibri" w:hAnsi="Calibri"/>
                <w:color w:val="auto"/>
                <w:szCs w:val="21"/>
                <w:highlight w:val="none"/>
              </w:rPr>
            </w:pPr>
            <w:r>
              <w:rPr>
                <w:rFonts w:hint="eastAsia" w:ascii="Calibri" w:hAnsi="Calibri"/>
                <w:color w:val="auto"/>
                <w:szCs w:val="21"/>
                <w:highlight w:val="none"/>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注：本项目实行电子化投标采购文件中描述供应商的“公章”是指供应商通过指定电子化政府采购平台办理数字证书（CA认证证书）获得的以法定主体行为名称制作的电子印章。文件中要求供应商对其电子响应文件的相关内容加盖公章的，均指采用CA证书签章。）</w:t>
            </w:r>
          </w:p>
          <w:p w14:paraId="18F2EEE0">
            <w:pPr>
              <w:pStyle w:val="22"/>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3AA22590">
            <w:pPr>
              <w:pStyle w:val="22"/>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3.本磋商文件中描述供应商的“签字”是指供应商的法定代表人或者委托代理人亲自在文件规定签署处亲笔写上个人的名字的行为，私章、签字章、印鉴、影印等其他形式均不能代替亲笔签字。（注：本项目实行电子化投标，文件中描述供应商的“签字”是指供应商通过指定电子化政府采购平台办理数字证书（个人CA认证证书签字章）获得的以供应商法定代表人（负责人、自然人）或者委托代理人姓名制作的个人电子印章或手写签字。没有办理个人CA认证证书签字章的，可以为手写签字的形式。）</w:t>
            </w:r>
          </w:p>
          <w:p w14:paraId="56575F48">
            <w:pPr>
              <w:pStyle w:val="22"/>
              <w:snapToGrid w:val="0"/>
              <w:spacing w:line="360" w:lineRule="auto"/>
              <w:ind w:firstLine="420" w:firstLineChars="200"/>
              <w:rPr>
                <w:rFonts w:ascii="Calibri" w:hAnsi="Calibri"/>
                <w:color w:val="auto"/>
                <w:kern w:val="2"/>
                <w:sz w:val="21"/>
                <w:highlight w:val="none"/>
              </w:rPr>
            </w:pPr>
            <w:r>
              <w:rPr>
                <w:rFonts w:hint="eastAsia" w:ascii="Calibri" w:hAnsi="Calibri"/>
                <w:color w:val="auto"/>
                <w:kern w:val="2"/>
                <w:sz w:val="21"/>
                <w:highlight w:val="none"/>
              </w:rPr>
              <w:t>4.自然人竞标的，磋商文件规定盖公章处由自然人摁手指指印。</w:t>
            </w:r>
          </w:p>
          <w:p w14:paraId="05B475BF">
            <w:pPr>
              <w:wordWrap w:val="0"/>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5.本磋商文件所称的“以上”“以下”“以内”“届满”，包括本数；所称的“不满”“超过”“以外”，不包括本数。</w:t>
            </w:r>
          </w:p>
          <w:p w14:paraId="4E2C2170">
            <w:pPr>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 xml:space="preserve">6.电子响应文件中根据“政府采购项目电子交易管理操作指南-供应商”及本竞争性磋商文件规定的格式和顺序编制电子响应文件并进行关联定位，以便磋商小组在评审时，点击评分项可直接定位到该评分项内容。如对竞争性磋商文件的某项要求，供应商的电子响应文件未能关联定位提供相应的内容与其对应，则磋商小组在评审时如做出对供应商不利的评审由供应商自行承担。电子响应文件如内容不完整、编排混乱导致响应文件被误读、漏读，或者在按采购文件规定的部位查找不到相关内容的，由供应商自行承担。 </w:t>
            </w:r>
          </w:p>
        </w:tc>
      </w:tr>
      <w:tr w14:paraId="14845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92" w:type="dxa"/>
            <w:vAlign w:val="center"/>
          </w:tcPr>
          <w:p w14:paraId="217A67A8">
            <w:pPr>
              <w:spacing w:line="360" w:lineRule="auto"/>
              <w:jc w:val="center"/>
              <w:rPr>
                <w:rFonts w:ascii="宋体" w:hAnsi="宋体" w:cs="宋体"/>
                <w:color w:val="auto"/>
                <w:szCs w:val="21"/>
                <w:highlight w:val="none"/>
              </w:rPr>
            </w:pPr>
          </w:p>
        </w:tc>
        <w:tc>
          <w:tcPr>
            <w:tcW w:w="7912" w:type="dxa"/>
            <w:vAlign w:val="center"/>
          </w:tcPr>
          <w:p w14:paraId="6E7021EB">
            <w:pPr>
              <w:spacing w:line="360" w:lineRule="auto"/>
              <w:ind w:firstLine="420" w:firstLineChars="200"/>
              <w:rPr>
                <w:rFonts w:ascii="Calibri" w:hAnsi="Calibri"/>
                <w:color w:val="auto"/>
                <w:szCs w:val="21"/>
                <w:highlight w:val="none"/>
              </w:rPr>
            </w:pPr>
            <w:r>
              <w:rPr>
                <w:rFonts w:hint="eastAsia" w:ascii="Calibri" w:hAnsi="Calibri"/>
                <w:color w:val="auto"/>
                <w:szCs w:val="21"/>
                <w:highlight w:val="none"/>
              </w:rPr>
              <w:t>本项目非专门面向中小企业采购。</w:t>
            </w:r>
          </w:p>
          <w:p w14:paraId="2B7EAE45">
            <w:pPr>
              <w:pStyle w:val="31"/>
              <w:rPr>
                <w:color w:val="auto"/>
                <w:highlight w:val="none"/>
              </w:rPr>
            </w:pPr>
            <w:r>
              <w:rPr>
                <w:rFonts w:hint="eastAsia" w:ascii="Calibri" w:hAnsi="Calibri"/>
                <w:color w:val="auto"/>
                <w:szCs w:val="21"/>
                <w:highlight w:val="none"/>
              </w:rPr>
              <w:t xml:space="preserve">     行业划分：其他未列明行业</w:t>
            </w:r>
          </w:p>
        </w:tc>
      </w:tr>
    </w:tbl>
    <w:p w14:paraId="6BA524F0">
      <w:pPr>
        <w:spacing w:line="360" w:lineRule="auto"/>
        <w:jc w:val="center"/>
        <w:rPr>
          <w:rFonts w:ascii="宋体" w:hAnsi="宋体" w:cs="宋体"/>
          <w:b/>
          <w:color w:val="auto"/>
          <w:sz w:val="32"/>
          <w:szCs w:val="32"/>
          <w:highlight w:val="none"/>
        </w:rPr>
      </w:pPr>
    </w:p>
    <w:p w14:paraId="753D1328">
      <w:pPr>
        <w:pStyle w:val="31"/>
        <w:rPr>
          <w:rFonts w:ascii="宋体" w:hAnsi="宋体" w:cs="宋体"/>
          <w:b/>
          <w:color w:val="auto"/>
          <w:sz w:val="32"/>
          <w:szCs w:val="32"/>
          <w:highlight w:val="none"/>
        </w:rPr>
      </w:pPr>
    </w:p>
    <w:p w14:paraId="3659D8C1">
      <w:pPr>
        <w:rPr>
          <w:rFonts w:ascii="宋体" w:hAnsi="宋体" w:cs="宋体"/>
          <w:b/>
          <w:color w:val="auto"/>
          <w:sz w:val="32"/>
          <w:szCs w:val="32"/>
          <w:highlight w:val="none"/>
        </w:rPr>
      </w:pPr>
    </w:p>
    <w:p w14:paraId="6D4EA399">
      <w:pPr>
        <w:pStyle w:val="31"/>
        <w:rPr>
          <w:rFonts w:ascii="宋体" w:hAnsi="宋体" w:cs="宋体"/>
          <w:b/>
          <w:color w:val="auto"/>
          <w:sz w:val="32"/>
          <w:szCs w:val="32"/>
          <w:highlight w:val="none"/>
        </w:rPr>
      </w:pPr>
    </w:p>
    <w:p w14:paraId="710337E2">
      <w:pPr>
        <w:rPr>
          <w:rFonts w:ascii="宋体" w:hAnsi="宋体" w:cs="宋体"/>
          <w:b/>
          <w:color w:val="auto"/>
          <w:sz w:val="32"/>
          <w:szCs w:val="32"/>
          <w:highlight w:val="none"/>
        </w:rPr>
      </w:pPr>
    </w:p>
    <w:p w14:paraId="6685ABCC">
      <w:pPr>
        <w:pStyle w:val="31"/>
        <w:rPr>
          <w:rFonts w:ascii="宋体" w:hAnsi="宋体" w:cs="宋体"/>
          <w:b/>
          <w:color w:val="auto"/>
          <w:sz w:val="32"/>
          <w:szCs w:val="32"/>
          <w:highlight w:val="none"/>
        </w:rPr>
      </w:pPr>
    </w:p>
    <w:p w14:paraId="5C58E412">
      <w:pPr>
        <w:rPr>
          <w:rFonts w:ascii="宋体" w:hAnsi="宋体" w:cs="宋体"/>
          <w:b/>
          <w:color w:val="auto"/>
          <w:sz w:val="32"/>
          <w:szCs w:val="32"/>
          <w:highlight w:val="none"/>
        </w:rPr>
      </w:pPr>
    </w:p>
    <w:p w14:paraId="16448553">
      <w:pPr>
        <w:pStyle w:val="31"/>
        <w:rPr>
          <w:rFonts w:ascii="宋体" w:hAnsi="宋体" w:cs="宋体"/>
          <w:b/>
          <w:color w:val="auto"/>
          <w:sz w:val="32"/>
          <w:szCs w:val="32"/>
          <w:highlight w:val="none"/>
        </w:rPr>
      </w:pPr>
    </w:p>
    <w:p w14:paraId="2DB1EAAD">
      <w:pPr>
        <w:rPr>
          <w:rFonts w:ascii="宋体" w:hAnsi="宋体" w:cs="宋体"/>
          <w:b/>
          <w:color w:val="auto"/>
          <w:sz w:val="32"/>
          <w:szCs w:val="32"/>
          <w:highlight w:val="none"/>
        </w:rPr>
      </w:pPr>
    </w:p>
    <w:p w14:paraId="1BEB9C9B">
      <w:pPr>
        <w:pStyle w:val="31"/>
        <w:rPr>
          <w:rFonts w:ascii="宋体" w:hAnsi="宋体" w:cs="宋体"/>
          <w:b/>
          <w:color w:val="auto"/>
          <w:sz w:val="32"/>
          <w:szCs w:val="32"/>
          <w:highlight w:val="none"/>
        </w:rPr>
      </w:pPr>
    </w:p>
    <w:p w14:paraId="77970003">
      <w:pPr>
        <w:rPr>
          <w:rFonts w:ascii="宋体" w:hAnsi="宋体" w:cs="宋体"/>
          <w:b/>
          <w:color w:val="auto"/>
          <w:sz w:val="32"/>
          <w:szCs w:val="32"/>
          <w:highlight w:val="none"/>
        </w:rPr>
      </w:pPr>
    </w:p>
    <w:p w14:paraId="01F03C71">
      <w:pPr>
        <w:pStyle w:val="31"/>
        <w:rPr>
          <w:rFonts w:ascii="宋体" w:hAnsi="宋体" w:cs="宋体"/>
          <w:b/>
          <w:color w:val="auto"/>
          <w:sz w:val="32"/>
          <w:szCs w:val="32"/>
          <w:highlight w:val="none"/>
        </w:rPr>
      </w:pPr>
    </w:p>
    <w:p w14:paraId="5A36C673">
      <w:pPr>
        <w:rPr>
          <w:color w:val="auto"/>
          <w:highlight w:val="none"/>
        </w:rPr>
      </w:pPr>
    </w:p>
    <w:p w14:paraId="77F7CBDF">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供应商须知正文</w:t>
      </w:r>
    </w:p>
    <w:p w14:paraId="228A9576">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t>一、总则</w:t>
      </w:r>
    </w:p>
    <w:p w14:paraId="108176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1.适用范围</w:t>
      </w:r>
    </w:p>
    <w:p w14:paraId="432393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管理办法》《财政部关于政府采购竞争性磋商采购方式管理管理办法有关问题的补充通知》及本项目本级和上级财政部门政府采购有关规定的约束和保护。</w:t>
      </w:r>
    </w:p>
    <w:p w14:paraId="5647897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color w:val="auto"/>
          <w:spacing w:val="-6"/>
          <w:szCs w:val="21"/>
          <w:highlight w:val="none"/>
        </w:rPr>
        <w:t>本竞争性磋商文件（以下简称磋商文件）适用于本项目的所有采购程序和环节（法律、法规另有规定的，从其规定）。</w:t>
      </w:r>
    </w:p>
    <w:p w14:paraId="4F7CACC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2.定义</w:t>
      </w:r>
    </w:p>
    <w:p w14:paraId="1A785E2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2.1“采购人”是指依法进行政府采购的国家机关、事业单位、团体组织。</w:t>
      </w:r>
    </w:p>
    <w:p w14:paraId="72BED566">
      <w:pP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2.2“采购代理机构”是指政府采购代理机构（以下简称采购代理机构）是指集中采购机构以外、受采购人委托从事政府采购代理业务的社会中介机构。</w:t>
      </w:r>
    </w:p>
    <w:p w14:paraId="2C3C5B7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2.3“供应商”是指向采购人提供货物、工程或者服务的法人、其他组织或者自然人。</w:t>
      </w:r>
    </w:p>
    <w:p w14:paraId="1D1B31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2.4“服务”是指除货物和工程以外的其他政府采购对象。</w:t>
      </w:r>
    </w:p>
    <w:p w14:paraId="1FF645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2.5“竞标”是指供应商按照本项目竞争性磋商公告或者邀请函规定的方式获取磋商文件、提交响应文件并希望获得标的的行为。</w:t>
      </w:r>
    </w:p>
    <w:p w14:paraId="5603BB5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2.6“响应文件”</w:t>
      </w:r>
      <w:r>
        <w:rPr>
          <w:rFonts w:hint="eastAsia" w:ascii="宋体" w:hAnsi="宋体" w:cs="宋体"/>
          <w:color w:val="auto"/>
          <w:spacing w:val="-6"/>
          <w:szCs w:val="21"/>
          <w:highlight w:val="none"/>
        </w:rPr>
        <w:t>是指：供应商根据本磋商文件要求，编制包含资格证明、报价、商务技术和服务等所有内容的文件。</w:t>
      </w:r>
    </w:p>
    <w:p w14:paraId="358FAA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2.7“实质性要求”是指磋商文件中已经指明不满足则响应文件按无效响应处理的条款，或者不能负偏离的条款，或者采购需求中带“▲”的条款。</w:t>
      </w:r>
    </w:p>
    <w:p w14:paraId="7F9EB0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2.8“正偏离”，是指响应文件对磋商文件“采购需求”中有关条款作出的响应优于条款要求并有利于采购人的情形。</w:t>
      </w:r>
    </w:p>
    <w:p w14:paraId="17A0821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2.9“负偏离”，是指响应文件对磋商文件“采购需求”中有关条款作出的响应不满足条款要求，导致采购人要求不能得到满足的情形。</w:t>
      </w:r>
    </w:p>
    <w:p w14:paraId="2FD1256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p>
    <w:p w14:paraId="5B0BF3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2.11“书面形式”是指合同书、信件和数据电文（包括电报、电传、传真、电子数据交换和电子邮件）等可以有形地表现所载内容的形式。</w:t>
      </w:r>
    </w:p>
    <w:p w14:paraId="0057668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2.12“首次报价”是指供应商提交的首次响应文件中的报价。</w:t>
      </w:r>
    </w:p>
    <w:p w14:paraId="7EC90DD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2.13“评审价”是指供应商提交的最后报价并经修正（如有）和政策功能价格扣除（如有）后的价格。</w:t>
      </w:r>
    </w:p>
    <w:p w14:paraId="095FB4E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2.14“供应商公章”详见供应商须知前附表</w:t>
      </w:r>
    </w:p>
    <w:p w14:paraId="03DC68E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3.供应商的资格条件</w:t>
      </w:r>
    </w:p>
    <w:p w14:paraId="44B3832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供应商的资格条件详见“供应商须知前附表”。</w:t>
      </w:r>
    </w:p>
    <w:p w14:paraId="1A6C796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4.竞标费用</w:t>
      </w:r>
    </w:p>
    <w:p w14:paraId="611025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供应商应承担参与本次采购活动有关的所有费用，包括但不限于获取磋商文件、勘查现场、编制和提交响应文件、参加磋商与应答、签订合同等，不论竞标结果如何，均应自行承担。</w:t>
      </w:r>
    </w:p>
    <w:p w14:paraId="2CD558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5.联合体竞标</w:t>
      </w:r>
    </w:p>
    <w:p w14:paraId="3879E0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5.1本项目不接受联合体竞标，详见“供应商须知前附表”。</w:t>
      </w:r>
    </w:p>
    <w:p w14:paraId="5BCD5EC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6.转包与分包             </w:t>
      </w:r>
    </w:p>
    <w:p w14:paraId="69AD9A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6.1本项目不允许转包。</w:t>
      </w:r>
    </w:p>
    <w:p w14:paraId="09ABFA9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6.2本项目是否允许分包详见“供应商须知前附表”，本项目不允许违法分包。</w:t>
      </w:r>
    </w:p>
    <w:p w14:paraId="6011F948">
      <w:pPr>
        <w:spacing w:line="360" w:lineRule="auto"/>
        <w:ind w:firstLine="482" w:firstLineChars="200"/>
        <w:rPr>
          <w:rFonts w:ascii="宋体" w:hAnsi="宋体" w:cs="宋体"/>
          <w:b/>
          <w:bCs/>
          <w:color w:val="auto"/>
          <w:sz w:val="24"/>
          <w:highlight w:val="none"/>
        </w:rPr>
      </w:pPr>
      <w:bookmarkStart w:id="69" w:name="_Toc254970532"/>
      <w:bookmarkStart w:id="70" w:name="_Toc254970673"/>
      <w:r>
        <w:rPr>
          <w:rFonts w:hint="eastAsia" w:ascii="宋体" w:hAnsi="宋体" w:cs="宋体"/>
          <w:b/>
          <w:bCs/>
          <w:color w:val="auto"/>
          <w:sz w:val="24"/>
          <w:highlight w:val="none"/>
        </w:rPr>
        <w:t>7.特别说明</w:t>
      </w:r>
      <w:bookmarkEnd w:id="69"/>
      <w:bookmarkEnd w:id="70"/>
    </w:p>
    <w:p w14:paraId="27376598">
      <w:pPr>
        <w:spacing w:line="360" w:lineRule="auto"/>
        <w:ind w:firstLine="420" w:firstLineChars="200"/>
        <w:rPr>
          <w:rFonts w:ascii="宋体" w:hAnsi="宋体" w:cs="宋体"/>
          <w:color w:val="auto"/>
          <w:szCs w:val="21"/>
          <w:highlight w:val="none"/>
        </w:rPr>
      </w:pPr>
      <w:bookmarkStart w:id="71" w:name="_8.1提供相同品牌产品且通过资格审查、符合性审查的不同投标人参加同一合"/>
      <w:bookmarkEnd w:id="71"/>
      <w:r>
        <w:rPr>
          <w:rFonts w:hint="eastAsia" w:ascii="宋体" w:hAnsi="宋体" w:cs="宋体"/>
          <w:color w:val="auto"/>
          <w:szCs w:val="21"/>
          <w:highlight w:val="none"/>
        </w:rPr>
        <w:t>7.1如果本磋商文件要求供应商提供资格、信誉、荣誉、业绩与企业认证等材料的，则供应商所提供的以上材料必须为供应商所拥有。</w:t>
      </w:r>
    </w:p>
    <w:p w14:paraId="68999C2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7.2供应商应仔细阅读磋商文件的所有内容，按照磋商文件的要求提交响应文件，并对所提供的全部资料的真实性承担法律责任。</w:t>
      </w:r>
    </w:p>
    <w:p w14:paraId="46BC45F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14:paraId="0C25D6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7.4在政府采购活动中，采购人员及相关人员与供应商有下列利害关系之一的，应当回避：</w:t>
      </w:r>
    </w:p>
    <w:p w14:paraId="3C640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（1）参加采购活动前3年内与供应商存在劳动关系；</w:t>
      </w:r>
    </w:p>
    <w:p w14:paraId="7CC6E8A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（2）参加采购活动前3年内担任供应商的董事、监事；</w:t>
      </w:r>
    </w:p>
    <w:p w14:paraId="5A90543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（3）参加采购活动前3年内是供应商的控股股东或者实际控制人；</w:t>
      </w:r>
    </w:p>
    <w:p w14:paraId="498ECB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（4）与供应商的法定代表人或者负责人有夫妻、直系血亲、三代以内旁系血亲或者近姻亲关系；</w:t>
      </w:r>
    </w:p>
    <w:p w14:paraId="12F7A1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（5）与供应商有其他可能影响政府采购活动公平、公正进行的关系。</w:t>
      </w:r>
    </w:p>
    <w:p w14:paraId="062F58E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0AD314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7.5有下列情形之一的视为供应商相互串通竞标，响应文件将被视为无效：</w:t>
      </w:r>
    </w:p>
    <w:p w14:paraId="09B4B8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716D573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00F51F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（3）不同的供应商的响应文件载明的项目管理员为同一个人；</w:t>
      </w:r>
    </w:p>
    <w:p w14:paraId="173E76E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（4）不同供应商的响应文件异常一致或者报价呈规律性差异；</w:t>
      </w:r>
    </w:p>
    <w:p w14:paraId="4C90EAE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58A11950">
      <w:pPr>
        <w:tabs>
          <w:tab w:val="left" w:pos="6931"/>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r>
        <w:rPr>
          <w:rFonts w:hint="eastAsia" w:ascii="宋体" w:hAnsi="宋体" w:cs="宋体"/>
          <w:color w:val="auto"/>
          <w:szCs w:val="21"/>
          <w:highlight w:val="none"/>
        </w:rPr>
        <w:tab/>
      </w:r>
    </w:p>
    <w:p w14:paraId="63F46B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7.6供应商有下列情形之一的，属于恶意串通行为，将报同级监督管理部门：</w:t>
      </w:r>
    </w:p>
    <w:p w14:paraId="69827EA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458F9CD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5374999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（3）供应商之间协商报价、技术方案等响应文件或者响应文件的实质性内容；</w:t>
      </w:r>
    </w:p>
    <w:p w14:paraId="1509DA0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5004E54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14:paraId="1915B52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7B3838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（7）供应商与采购人或者采购代理机构之间、供应商相互之间，为谋求特定供应商成交或者排斥其他供应商的其他串通行为。</w:t>
      </w:r>
    </w:p>
    <w:p w14:paraId="2E0B6861">
      <w:pPr>
        <w:spacing w:line="360" w:lineRule="auto"/>
        <w:jc w:val="center"/>
        <w:rPr>
          <w:rFonts w:ascii="宋体" w:hAnsi="宋体" w:cs="宋体"/>
          <w:color w:val="auto"/>
          <w:sz w:val="20"/>
          <w:szCs w:val="20"/>
          <w:highlight w:val="none"/>
        </w:rPr>
      </w:pPr>
      <w:bookmarkStart w:id="72" w:name="_Toc254970675"/>
      <w:bookmarkStart w:id="73" w:name="_Toc254970534"/>
      <w:r>
        <w:rPr>
          <w:rFonts w:hint="eastAsia" w:ascii="宋体" w:hAnsi="宋体" w:cs="宋体"/>
          <w:b/>
          <w:bCs/>
          <w:color w:val="auto"/>
          <w:sz w:val="28"/>
          <w:szCs w:val="28"/>
          <w:highlight w:val="none"/>
        </w:rPr>
        <w:t>二、磋商文件</w:t>
      </w:r>
      <w:bookmarkEnd w:id="72"/>
      <w:bookmarkEnd w:id="73"/>
    </w:p>
    <w:p w14:paraId="7A6807B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8.磋商文件的构成</w:t>
      </w:r>
    </w:p>
    <w:p w14:paraId="3F3C562E">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（1）竞争性磋商公告或者邀请函；</w:t>
      </w:r>
    </w:p>
    <w:p w14:paraId="7983587F">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（2）供应商须知； </w:t>
      </w:r>
    </w:p>
    <w:p w14:paraId="27B85C7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（3）采购需求；</w:t>
      </w:r>
    </w:p>
    <w:p w14:paraId="1A7E5C6B">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（4）评审程序、评审方法和评审标准；</w:t>
      </w:r>
    </w:p>
    <w:p w14:paraId="61A902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（5）响应文件格式；</w:t>
      </w:r>
    </w:p>
    <w:p w14:paraId="3B37EFF5">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（6）合同文本。</w:t>
      </w:r>
    </w:p>
    <w:p w14:paraId="7C7471B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9.供应商的询问</w:t>
      </w:r>
    </w:p>
    <w:p w14:paraId="6BFE40B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供应商应认真阅读磋商文件的采购需求，如供应商对磋商文件有疑问的，如要求采购人作出澄清或者修改的，供应商尽可能在提交首次响应文件截止之日前，以书面形式向采购人、采购代理机构提出。</w:t>
      </w:r>
    </w:p>
    <w:p w14:paraId="387DEF5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10.磋商文件的澄清和修改</w:t>
      </w:r>
    </w:p>
    <w:p w14:paraId="0D35E2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以书面形式通知所有获取磋商文件的供应商;不足5日的，采购人、采购代理机构应当顺延提交首次响应文件截止时间。</w:t>
      </w:r>
    </w:p>
    <w:p w14:paraId="685EFD4E">
      <w:pPr>
        <w:spacing w:line="360" w:lineRule="auto"/>
        <w:jc w:val="center"/>
        <w:rPr>
          <w:rFonts w:ascii="宋体" w:hAnsi="宋体" w:cs="宋体"/>
          <w:b/>
          <w:bCs/>
          <w:color w:val="auto"/>
          <w:sz w:val="20"/>
          <w:szCs w:val="20"/>
          <w:highlight w:val="none"/>
        </w:rPr>
      </w:pPr>
      <w:r>
        <w:rPr>
          <w:rFonts w:hint="eastAsia" w:ascii="宋体" w:hAnsi="宋体" w:cs="宋体"/>
          <w:b/>
          <w:bCs/>
          <w:color w:val="auto"/>
          <w:sz w:val="28"/>
          <w:szCs w:val="28"/>
          <w:highlight w:val="none"/>
        </w:rPr>
        <w:t>三、响应文件的编制</w:t>
      </w:r>
    </w:p>
    <w:p w14:paraId="4D73DB8F">
      <w:pPr>
        <w:spacing w:line="360" w:lineRule="auto"/>
        <w:rPr>
          <w:rFonts w:ascii="宋体" w:hAnsi="宋体" w:cs="宋体"/>
          <w:color w:val="auto"/>
          <w:szCs w:val="21"/>
          <w:highlight w:val="none"/>
        </w:rPr>
      </w:pPr>
    </w:p>
    <w:p w14:paraId="0FB4BA0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11.响应文件的编制原则</w:t>
      </w:r>
    </w:p>
    <w:p w14:paraId="287F6F3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供应商必须按照磋商文件的要求编制响应文件，并对其提交的响应文件的真实性、合法性承担法律责任。响应文件必须对磋商文件作出实质性响应。</w:t>
      </w:r>
    </w:p>
    <w:p w14:paraId="6C4F408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12.响应文件的组成</w:t>
      </w:r>
    </w:p>
    <w:p w14:paraId="34C629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12.1响应文件由资格证明文件、商务报价文件和技术文件组成。</w:t>
      </w:r>
    </w:p>
    <w:p w14:paraId="6B0977A3">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12.1.1资格证明文件：详见须知前附表</w:t>
      </w:r>
    </w:p>
    <w:p w14:paraId="03DC24E8">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12.1.2商务报价文件：详见须知前附表</w:t>
      </w:r>
    </w:p>
    <w:p w14:paraId="4FF373D6">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12.1.3技术文件:详见须知前附表</w:t>
      </w:r>
    </w:p>
    <w:p w14:paraId="2E0403D0">
      <w:pPr>
        <w:spacing w:line="360" w:lineRule="auto"/>
        <w:ind w:left="840" w:leftChars="200" w:hanging="420" w:hangingChars="200"/>
        <w:rPr>
          <w:rFonts w:ascii="宋体" w:hAnsi="宋体" w:cs="宋体"/>
          <w:color w:val="auto"/>
          <w:szCs w:val="21"/>
          <w:highlight w:val="none"/>
        </w:rPr>
      </w:pPr>
      <w:r>
        <w:rPr>
          <w:rFonts w:hint="eastAsia" w:ascii="宋体" w:hAnsi="宋体" w:cs="宋体"/>
          <w:color w:val="auto"/>
          <w:szCs w:val="21"/>
          <w:highlight w:val="none"/>
        </w:rPr>
        <w:t>12.2响应文件电子版：详见须知前附表</w:t>
      </w:r>
    </w:p>
    <w:p w14:paraId="7B139F2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13.计量单位</w:t>
      </w:r>
    </w:p>
    <w:p w14:paraId="51FFAA9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磋商文件已有明确规定的，使用磋商文件规定的计量单位；磋商文件没有规定的，应采用中华人民共和国法定计量单位，货币种类为人民币，否则视同未响应。</w:t>
      </w:r>
    </w:p>
    <w:p w14:paraId="15BE2F4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14.竞标的风险</w:t>
      </w:r>
    </w:p>
    <w:p w14:paraId="0AC1D71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供应商没有按照磋商文件要求提供全部资料，或者供应商没有对磋商文件在各方面作出实质性响应可能导致其响应无效，是供应商应当考虑的风险。</w:t>
      </w:r>
    </w:p>
    <w:p w14:paraId="5DA3A18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15.竞标报价要求和构成</w:t>
      </w:r>
    </w:p>
    <w:p w14:paraId="3A3FE044">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15.1竞标报价应按磋商文件中“竞标报价表”格式填写。</w:t>
      </w:r>
    </w:p>
    <w:p w14:paraId="7CB78EAB">
      <w:pPr>
        <w:tabs>
          <w:tab w:val="left" w:pos="2492"/>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15.2竞标报价的价格构成见“供应商须知前附表”。</w:t>
      </w:r>
    </w:p>
    <w:p w14:paraId="064EF080">
      <w:pPr>
        <w:spacing w:line="360" w:lineRule="auto"/>
        <w:ind w:left="426" w:leftChars="203"/>
        <w:rPr>
          <w:rFonts w:ascii="宋体" w:hAnsi="宋体" w:cs="宋体"/>
          <w:color w:val="auto"/>
          <w:szCs w:val="21"/>
          <w:highlight w:val="none"/>
        </w:rPr>
      </w:pPr>
      <w:r>
        <w:rPr>
          <w:rFonts w:hint="eastAsia" w:ascii="宋体" w:hAnsi="宋体" w:cs="宋体"/>
          <w:color w:val="auto"/>
          <w:szCs w:val="21"/>
          <w:highlight w:val="none"/>
        </w:rPr>
        <w:t>15.3竞标报价要求</w:t>
      </w:r>
    </w:p>
    <w:p w14:paraId="51E799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15.3.1供应商的竞标报价应符合以下要求，否则响应文件按无效响应处理：</w:t>
      </w:r>
    </w:p>
    <w:p w14:paraId="3AEF09C4">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（1）供应商必须就“采购需求”中所竞标的每个分标的全部内容分别作完整唯一总价报价，不得存在漏项报价；</w:t>
      </w:r>
    </w:p>
    <w:p w14:paraId="71F7AE3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（2）供应商必须就所竞标的分标的单项内容作唯一报价。</w:t>
      </w:r>
    </w:p>
    <w:p w14:paraId="4D21331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15.3.2竞标报价（包含首次报价、最后报价）超过所竞标分标规定的采购预算金额或者最高限价的，其响应文件将作无效处理。</w:t>
      </w:r>
    </w:p>
    <w:p w14:paraId="3A9B6FC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15.3.3</w:t>
      </w:r>
      <w:bookmarkStart w:id="74" w:name="_Hlk42592874"/>
      <w:r>
        <w:rPr>
          <w:rFonts w:hint="eastAsia" w:ascii="宋体" w:hAnsi="宋体" w:cs="宋体"/>
          <w:color w:val="auto"/>
          <w:szCs w:val="21"/>
          <w:highlight w:val="none"/>
        </w:rPr>
        <w:t>竞标报价（包含首次报价、最后报价）超过分项采购预算金额或者最高限价的，其响应文件将作无效处理。</w:t>
      </w:r>
    </w:p>
    <w:bookmarkEnd w:id="74"/>
    <w:p w14:paraId="558CFA3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16.竞标有效期</w:t>
      </w:r>
    </w:p>
    <w:p w14:paraId="0369ECB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14:paraId="521C78E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 竞标有效期应由供应商按“供应商须知前附表”规定的期限作出响应。</w:t>
      </w:r>
    </w:p>
    <w:p w14:paraId="3DF1A77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16.3供应商的响应文件在竞标有效期内均保持有效。</w:t>
      </w:r>
    </w:p>
    <w:p w14:paraId="56CEC1A2">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17.磋商保证金</w:t>
      </w:r>
    </w:p>
    <w:p w14:paraId="39FF111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17.1供应商须按“供应商须知前附表”的规定提交磋商保证金。</w:t>
      </w:r>
    </w:p>
    <w:p w14:paraId="18747C8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17.2磋商保证金的退还</w:t>
      </w:r>
    </w:p>
    <w:p w14:paraId="570C16E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17.2.1未</w:t>
      </w:r>
      <w:r>
        <w:rPr>
          <w:rFonts w:hint="eastAsia" w:ascii="宋体" w:hAnsi="宋体" w:cs="宋体"/>
          <w:color w:val="auto"/>
          <w:spacing w:val="-6"/>
          <w:szCs w:val="21"/>
          <w:highlight w:val="none"/>
        </w:rPr>
        <w:t>成交供应商的磋商保证金自成交通知书发出之日起5个工作日内退还，退还方式如下：</w:t>
      </w:r>
    </w:p>
    <w:p w14:paraId="6E11AED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（1）采用银行转账方式的，以转账方式退回到供应商银行账户。</w:t>
      </w:r>
    </w:p>
    <w:p w14:paraId="4028A4C6">
      <w:pPr>
        <w:pStyle w:val="7"/>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2）采用支票、汇票、本票、银行出具的保函或保险机构出具的保函、保险单的方式的，由供应商代表持相关授权证明材料至采购人或者采购代理机构办理支票、汇票、本票、银行出具的保函或保险机构出具的保函、保险单原件退还手续。</w:t>
      </w:r>
    </w:p>
    <w:p w14:paraId="0D2845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17.2.2成交供应商的磋商保证金自签订合同之日起5个工作日内退还，退还方式同未成交供应商的磋商保证金的退还方式。 </w:t>
      </w:r>
    </w:p>
    <w:p w14:paraId="0BFCB44E">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17.3磋商保证金不计息。</w:t>
      </w:r>
    </w:p>
    <w:p w14:paraId="51589B36">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 xml:space="preserve">17.4供应商有下列情形之一的，磋商保证金将不予退还： </w:t>
      </w:r>
    </w:p>
    <w:p w14:paraId="48F8C44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（1）供应商在提交响应文件截止时间后撤回响应文件的；</w:t>
      </w:r>
    </w:p>
    <w:p w14:paraId="4113B7D8">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（2）供应商在响应文件中提供虚假材料的；</w:t>
      </w:r>
    </w:p>
    <w:p w14:paraId="4E307E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（3）除因不可抗力或者磋商文件认可的情形以外，成交供应商不与采购人签订合同的；</w:t>
      </w:r>
    </w:p>
    <w:p w14:paraId="075B42E9">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（4）供应商与采购人、其他供应商或者采购代理机构恶意串通的；</w:t>
      </w:r>
    </w:p>
    <w:p w14:paraId="6A479F3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（5）磋商文件规定的其他情形。</w:t>
      </w:r>
    </w:p>
    <w:p w14:paraId="6995E60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18.响应文件编制的要求</w:t>
      </w:r>
    </w:p>
    <w:p w14:paraId="6DBE24FC">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18.1本项目实行电子投标响应：</w:t>
      </w:r>
    </w:p>
    <w:p w14:paraId="1DA1DEFA">
      <w:pPr>
        <w:numPr>
          <w:ilvl w:val="0"/>
          <w:numId w:val="2"/>
        </w:num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电子响应文件按广西政府采购云平台要求及本竞争性磋商文件要求制作、加密并递交。具体操作流程</w:t>
      </w:r>
    </w:p>
    <w:p w14:paraId="24843214">
      <w:pPr>
        <w:spacing w:line="360" w:lineRule="auto"/>
        <w:rPr>
          <w:rFonts w:ascii="宋体" w:hAnsi="宋体" w:cs="宋体"/>
          <w:color w:val="auto"/>
          <w:szCs w:val="21"/>
          <w:highlight w:val="none"/>
        </w:rPr>
      </w:pPr>
      <w:r>
        <w:rPr>
          <w:rFonts w:hint="eastAsia" w:ascii="宋体" w:hAnsi="宋体" w:cs="宋体"/>
          <w:color w:val="auto"/>
          <w:szCs w:val="21"/>
          <w:highlight w:val="none"/>
        </w:rPr>
        <w:t>可参考《政府采购项目电子交易管理操作指南-供应商》。</w:t>
      </w:r>
    </w:p>
    <w:p w14:paraId="3C44D1FB">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（2）电子备份响应文件系上传广西政府采购云平台的响应文件电子版，按照本竞争性磋商文件要求制作。</w:t>
      </w:r>
    </w:p>
    <w:p w14:paraId="08A8D22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（3）响应文件启用顺序和效力：响应文件的启用，按先后顺位分别为电子响应文件、以介质存储</w:t>
      </w:r>
    </w:p>
    <w:p w14:paraId="7E035C7B">
      <w:pPr>
        <w:spacing w:line="360" w:lineRule="auto"/>
        <w:rPr>
          <w:rFonts w:ascii="宋体" w:hAnsi="宋体" w:cs="宋体"/>
          <w:color w:val="auto"/>
          <w:szCs w:val="21"/>
          <w:highlight w:val="none"/>
        </w:rPr>
      </w:pPr>
      <w:r>
        <w:rPr>
          <w:rFonts w:hint="eastAsia" w:ascii="宋体" w:hAnsi="宋体" w:cs="宋体"/>
          <w:color w:val="auto"/>
          <w:szCs w:val="21"/>
          <w:highlight w:val="none"/>
        </w:rPr>
        <w:t>的数据电文形式的电子备份响应文件。全部供应商的电子响应文件均已按时解密的，以介质存储的数据电文形式的电子备份响应文件自动失效。如果某位供应商的电子响应文件无法按时解密的，其电子响应文件为无效，启用以介质存储的数据电文形式的电子备份响应文件。供应商仅递交电子备份响应文件的，磋商无效。</w:t>
      </w:r>
    </w:p>
    <w:p w14:paraId="2B6EA4AA">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18.2供应商提交的竞争性磋商响应文件以及供应商与采购代理机构和采购人就有关磋商的所有</w:t>
      </w:r>
    </w:p>
    <w:p w14:paraId="3AE415BF">
      <w:pPr>
        <w:spacing w:line="360" w:lineRule="auto"/>
        <w:rPr>
          <w:rFonts w:ascii="宋体" w:hAnsi="宋体" w:cs="宋体"/>
          <w:color w:val="auto"/>
          <w:szCs w:val="21"/>
          <w:highlight w:val="none"/>
        </w:rPr>
      </w:pPr>
      <w:r>
        <w:rPr>
          <w:rFonts w:hint="eastAsia" w:ascii="宋体" w:hAnsi="宋体" w:cs="宋体"/>
          <w:color w:val="auto"/>
          <w:szCs w:val="21"/>
          <w:highlight w:val="none"/>
        </w:rPr>
        <w:t>来往函电均应使用中文。供应商提交的支持文件和印刷的文献可以使用别的语言，但其相应内容必须附有中文翻译文本，在解释竞争性磋商响应文件时以翻译文本为主。</w:t>
      </w:r>
    </w:p>
    <w:p w14:paraId="4ABAAFD0">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18.3供应商应认真阅读、并充分理解本文件的全部内容（包括所有的澄清、更改、补充、答疑等</w:t>
      </w:r>
    </w:p>
    <w:p w14:paraId="40395128">
      <w:pPr>
        <w:spacing w:line="360" w:lineRule="auto"/>
        <w:rPr>
          <w:rFonts w:ascii="宋体" w:hAnsi="宋体" w:cs="宋体"/>
          <w:color w:val="auto"/>
          <w:szCs w:val="21"/>
          <w:highlight w:val="none"/>
        </w:rPr>
      </w:pPr>
      <w:r>
        <w:rPr>
          <w:rFonts w:hint="eastAsia" w:ascii="宋体" w:hAnsi="宋体" w:cs="宋体"/>
          <w:color w:val="auto"/>
          <w:szCs w:val="21"/>
          <w:highlight w:val="none"/>
        </w:rPr>
        <w:t>内容），承诺并履行本文件中各项条款规定及要求。</w:t>
      </w:r>
    </w:p>
    <w:p w14:paraId="00281FD2">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18.4竞争性磋商响应文件必须按本文件的全部内容，包括所有的澄清、更改、补充、答疑等内容</w:t>
      </w:r>
    </w:p>
    <w:p w14:paraId="4DF630BA">
      <w:pPr>
        <w:spacing w:line="360" w:lineRule="auto"/>
        <w:rPr>
          <w:rFonts w:ascii="宋体" w:hAnsi="宋体" w:cs="宋体"/>
          <w:color w:val="auto"/>
          <w:szCs w:val="21"/>
          <w:highlight w:val="none"/>
        </w:rPr>
      </w:pPr>
      <w:r>
        <w:rPr>
          <w:rFonts w:hint="eastAsia" w:ascii="宋体" w:hAnsi="宋体" w:cs="宋体"/>
          <w:color w:val="auto"/>
          <w:szCs w:val="21"/>
          <w:highlight w:val="none"/>
        </w:rPr>
        <w:t>及附件进行编制。</w:t>
      </w:r>
    </w:p>
    <w:p w14:paraId="29F7BE95">
      <w:pPr>
        <w:spacing w:line="360" w:lineRule="auto"/>
        <w:ind w:left="420" w:leftChars="200"/>
        <w:rPr>
          <w:rFonts w:ascii="宋体" w:hAnsi="宋体" w:cs="宋体"/>
          <w:color w:val="auto"/>
          <w:szCs w:val="21"/>
          <w:highlight w:val="none"/>
        </w:rPr>
      </w:pPr>
      <w:r>
        <w:rPr>
          <w:rFonts w:hint="eastAsia" w:ascii="宋体" w:hAnsi="宋体" w:cs="宋体"/>
          <w:color w:val="auto"/>
          <w:szCs w:val="21"/>
          <w:highlight w:val="none"/>
        </w:rPr>
        <w:t>18.5如因供应商只填写和提供了本文件要求的部分内容和附件，而给磋商小组评审造成困难，其</w:t>
      </w:r>
    </w:p>
    <w:p w14:paraId="44A1F36E">
      <w:pPr>
        <w:spacing w:line="360" w:lineRule="auto"/>
        <w:rPr>
          <w:rFonts w:ascii="宋体" w:hAnsi="宋体" w:cs="宋体"/>
          <w:color w:val="auto"/>
          <w:szCs w:val="21"/>
          <w:highlight w:val="none"/>
        </w:rPr>
      </w:pPr>
      <w:r>
        <w:rPr>
          <w:rFonts w:hint="eastAsia" w:ascii="宋体" w:hAnsi="宋体" w:cs="宋体"/>
          <w:color w:val="auto"/>
          <w:szCs w:val="21"/>
          <w:highlight w:val="none"/>
        </w:rPr>
        <w:t>可能导致的结果和责任由供应商自行承担。</w:t>
      </w:r>
    </w:p>
    <w:p w14:paraId="18EAC5F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19.响应文件的密封和标记</w:t>
      </w:r>
    </w:p>
    <w:p w14:paraId="32622A78">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19.1电子磋商响应文件中须加盖供应商公章部分均采用 CA 签章，并根据“政府采购项目电子交易管理操作指南-供应商” 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 漏读，或者在按采购文件规定的部位查找不到相关内容的，由供应商自行承担。</w:t>
      </w:r>
    </w:p>
    <w:p w14:paraId="154ADB09">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19.2 CA签章上目前没有法人（负责人）或授权代表签字信息，供应商在磋商响应文件中涉及到签字的位置线下签好字然后扫描或者拍照做成PDF的格式即可。</w:t>
      </w:r>
    </w:p>
    <w:p w14:paraId="5251129C">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19.3磋商响应文件不得涂改，若有修改错漏处，须法定代表人（负责人）或授权委托人签字。磋商响应文件因字迹潦草或表达不清所引起的后果由供应商负责。</w:t>
      </w:r>
    </w:p>
    <w:p w14:paraId="5FAE3B2D">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19.4供应商应将电子备份响应文件装入到一个响应文件袋内加以密封（要求文件袋无明显缝隙露出袋内文件）；电子备份响应文件袋在每一封贴处密封签章【公章、密封章、法定代表人（负责人）、委托代理人签字等均可】。</w:t>
      </w:r>
    </w:p>
    <w:p w14:paraId="3EA4B08E">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电子备份响应文件袋的包装封面上应注明供应商名称、供应商地址、响应文件名称（电子备份响应文件）、竞标项目名称、项目编号、并加盖供应商公章，并注明“截标时才能启封”。</w:t>
      </w:r>
    </w:p>
    <w:p w14:paraId="4CE33064">
      <w:pPr>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19.5逾期送达或者未按照竞争性磋商文件要求密封的电子备份响应文件将被拒绝，由此造成电子备份响应文件被误投或提前拆封的风险由供应商承担。</w:t>
      </w:r>
    </w:p>
    <w:p w14:paraId="139EAD9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20.响应文件的提交</w:t>
      </w:r>
    </w:p>
    <w:p w14:paraId="5D6D7DB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20.1供应商必须在“供应商须知前附表”规定的时间和地点提交响应文件，本项目采用电子标进行竞标，有关事项详见“供应商须知前附表”。</w:t>
      </w:r>
    </w:p>
    <w:p w14:paraId="3821E7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20.2采购代理机构工作人员收到响应文件后，应当如实记载响应文件的密封情况。</w:t>
      </w:r>
    </w:p>
    <w:p w14:paraId="2C26BCC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20.3在首次响应文件提交截止时间后送达的或者不符合本须知正文第19.3条的响应文件为无效文件，采购人或者采购代理机构应当拒收。</w:t>
      </w:r>
    </w:p>
    <w:p w14:paraId="7D8C960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20.4电子投标文件的相关说明</w:t>
      </w:r>
    </w:p>
    <w:p w14:paraId="0CFB5E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进行电子投标应安装客户端软件，并按照采购文件和电子交易平台的要求编制并加密磋商响应文件。供应商未按规定加密的磋商响应文件，电子交易平台将拒收。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磋商截止时间后递交的磋商响应文件，电子交易平台将拒收。</w:t>
      </w:r>
    </w:p>
    <w:p w14:paraId="52C4DF0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（2）供应商在电子交易平台传输递交响应文件后，还可以在响应文件递交截止时间前提交电子备份响应文件，若供应商未提交电子备份响应文件，其后果由供应商自行承担。</w:t>
      </w:r>
    </w:p>
    <w:p w14:paraId="584AE97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（3）如有特殊情况，采购代理机构延长截止时间和开标时间，采购代理机构和供应商的权利和义务将受到新的截止时间和开标时间的约束。</w:t>
      </w:r>
    </w:p>
    <w:p w14:paraId="4CA7B2A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21.首次响应文件的补充、修改与撤回</w:t>
      </w:r>
    </w:p>
    <w:p w14:paraId="03E1EE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供应商在首次响应文件提交截止时间前，可以对所提交的响应文件进行补充、修改或者撤回，并书面通知采购人、采购代理机构。补充、修改的内容作为响应文件的组成部分。补充、修改的内容与响应文件不一致的，以补充、修改的内容为准。</w:t>
      </w:r>
    </w:p>
    <w:p w14:paraId="1062DC00">
      <w:pPr>
        <w:spacing w:line="360" w:lineRule="auto"/>
        <w:ind w:firstLine="482" w:firstLineChars="200"/>
        <w:rPr>
          <w:rFonts w:ascii="宋体" w:hAnsi="宋体" w:cs="宋体"/>
          <w:b/>
          <w:bCs/>
          <w:color w:val="auto"/>
          <w:sz w:val="24"/>
          <w:highlight w:val="none"/>
        </w:rPr>
      </w:pPr>
      <w:bookmarkStart w:id="75" w:name="_Hlk45702405"/>
      <w:r>
        <w:rPr>
          <w:rFonts w:hint="eastAsia" w:ascii="宋体" w:hAnsi="宋体" w:cs="宋体"/>
          <w:b/>
          <w:bCs/>
          <w:color w:val="auto"/>
          <w:sz w:val="24"/>
          <w:highlight w:val="none"/>
        </w:rPr>
        <w:t>22. 首次响应文件的退回</w:t>
      </w:r>
    </w:p>
    <w:p w14:paraId="74340B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在首次响应文件提交截止时间止提交响应文件的供应商不足3家时，应当由供应商签字领回响应文件，除此之外采购人和采购代理机构对已提交的响应文件概不退回。</w:t>
      </w:r>
    </w:p>
    <w:bookmarkEnd w:id="75"/>
    <w:p w14:paraId="397A4174">
      <w:pPr>
        <w:spacing w:line="360" w:lineRule="auto"/>
        <w:ind w:firstLine="482" w:firstLineChars="200"/>
        <w:rPr>
          <w:rFonts w:ascii="宋体" w:hAnsi="宋体" w:cs="宋体"/>
          <w:b/>
          <w:bCs/>
          <w:color w:val="auto"/>
          <w:sz w:val="24"/>
          <w:highlight w:val="none"/>
        </w:rPr>
      </w:pPr>
      <w:bookmarkStart w:id="76" w:name="_Toc74156212"/>
      <w:r>
        <w:rPr>
          <w:rFonts w:hint="eastAsia" w:ascii="宋体" w:hAnsi="宋体" w:cs="宋体"/>
          <w:b/>
          <w:bCs/>
          <w:color w:val="auto"/>
          <w:sz w:val="24"/>
          <w:highlight w:val="none"/>
        </w:rPr>
        <w:t>23.开标</w:t>
      </w:r>
    </w:p>
    <w:p w14:paraId="26F3BFC9">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23.1采购人将于规定的时间和地点举行开标会议。</w:t>
      </w:r>
    </w:p>
    <w:p w14:paraId="3125A024">
      <w:pPr>
        <w:autoSpaceDE w:val="0"/>
        <w:autoSpaceDN w:val="0"/>
        <w:adjustRightInd w:val="0"/>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.2  </w:t>
      </w:r>
      <w:r>
        <w:rPr>
          <w:rFonts w:hint="eastAsia" w:ascii="宋体" w:hAnsi="宋体" w:cs="宋体"/>
          <w:color w:val="auto"/>
          <w:kern w:val="0"/>
          <w:szCs w:val="21"/>
          <w:highlight w:val="none"/>
        </w:rPr>
        <w:t>开标会议在采购管理机构的监督下，由采购代理机构组织并主持。</w:t>
      </w:r>
    </w:p>
    <w:p w14:paraId="41790F09">
      <w:pPr>
        <w:autoSpaceDE w:val="0"/>
        <w:autoSpaceDN w:val="0"/>
        <w:adjustRightInd w:val="0"/>
        <w:spacing w:line="360" w:lineRule="auto"/>
        <w:ind w:firstLine="420" w:firstLineChars="200"/>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3</w:t>
      </w:r>
      <w:r>
        <w:rPr>
          <w:rFonts w:ascii="宋体" w:hAnsi="宋体" w:cs="宋体"/>
          <w:color w:val="auto"/>
          <w:kern w:val="0"/>
          <w:szCs w:val="21"/>
          <w:highlight w:val="none"/>
        </w:rPr>
        <w:t xml:space="preserve">.3  </w:t>
      </w:r>
      <w:r>
        <w:rPr>
          <w:rFonts w:hint="eastAsia" w:ascii="宋体" w:hAnsi="宋体" w:cs="宋体"/>
          <w:color w:val="auto"/>
          <w:kern w:val="0"/>
          <w:szCs w:val="21"/>
          <w:highlight w:val="none"/>
        </w:rPr>
        <w:t>开标会议程序。</w:t>
      </w:r>
    </w:p>
    <w:p w14:paraId="79E38885">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（1）宣布开标会议开始和会场纪律。</w:t>
      </w:r>
    </w:p>
    <w:p w14:paraId="0CA5CD51">
      <w:pPr>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(2)宣布采购人、唱标人、记录人、监标人等有关人员姓名；</w:t>
      </w:r>
    </w:p>
    <w:p w14:paraId="631B534B">
      <w:pPr>
        <w:autoSpaceDE w:val="0"/>
        <w:autoSpaceDN w:val="0"/>
        <w:adjustRightInd w:val="0"/>
        <w:spacing w:line="360" w:lineRule="auto"/>
        <w:ind w:firstLine="420" w:firstLineChars="200"/>
        <w:jc w:val="left"/>
        <w:outlineLvl w:val="0"/>
        <w:rPr>
          <w:rFonts w:ascii="宋体" w:cs="宋体"/>
          <w:color w:val="auto"/>
          <w:kern w:val="0"/>
          <w:szCs w:val="21"/>
          <w:highlight w:val="none"/>
        </w:rPr>
      </w:pPr>
      <w:bookmarkStart w:id="77" w:name="_Toc243584261"/>
      <w:bookmarkStart w:id="78" w:name="_Toc30290"/>
      <w:bookmarkStart w:id="79" w:name="_Toc8617"/>
      <w:bookmarkStart w:id="80" w:name="_Toc28622"/>
      <w:bookmarkStart w:id="81" w:name="_Toc24957"/>
      <w:r>
        <w:rPr>
          <w:rFonts w:hint="eastAsia" w:ascii="宋体" w:hAnsi="宋体" w:cs="宋体"/>
          <w:color w:val="auto"/>
          <w:kern w:val="0"/>
          <w:szCs w:val="21"/>
          <w:highlight w:val="none"/>
        </w:rPr>
        <w:t>(3)公布在投标截止时间前递交投标文件的磋商单位名称。</w:t>
      </w:r>
      <w:bookmarkEnd w:id="77"/>
      <w:bookmarkEnd w:id="78"/>
      <w:bookmarkEnd w:id="79"/>
      <w:bookmarkEnd w:id="80"/>
      <w:bookmarkEnd w:id="81"/>
    </w:p>
    <w:p w14:paraId="3D385CA1">
      <w:pPr>
        <w:autoSpaceDE w:val="0"/>
        <w:autoSpaceDN w:val="0"/>
        <w:adjustRightInd w:val="0"/>
        <w:spacing w:line="360" w:lineRule="auto"/>
        <w:ind w:firstLine="420" w:firstLineChars="200"/>
        <w:outlineLvl w:val="0"/>
        <w:rPr>
          <w:rFonts w:ascii="宋体" w:cs="宋体"/>
          <w:color w:val="auto"/>
          <w:kern w:val="0"/>
          <w:szCs w:val="21"/>
          <w:highlight w:val="none"/>
        </w:rPr>
      </w:pPr>
      <w:bookmarkStart w:id="82" w:name="_Toc28370"/>
      <w:bookmarkStart w:id="83" w:name="_Toc18561"/>
      <w:bookmarkStart w:id="84" w:name="_Toc11358"/>
      <w:bookmarkStart w:id="85" w:name="_Toc5409"/>
      <w:r>
        <w:rPr>
          <w:rFonts w:hint="eastAsia" w:ascii="宋体" w:hAnsi="宋体" w:cs="宋体"/>
          <w:color w:val="auto"/>
          <w:kern w:val="0"/>
          <w:szCs w:val="21"/>
          <w:highlight w:val="none"/>
        </w:rPr>
        <w:t>(4)各磋商单位代表检验各响应文件的密封情况，并签字确认。</w:t>
      </w:r>
      <w:bookmarkEnd w:id="82"/>
      <w:bookmarkEnd w:id="83"/>
      <w:bookmarkEnd w:id="84"/>
      <w:bookmarkEnd w:id="85"/>
    </w:p>
    <w:p w14:paraId="2E12527A">
      <w:pPr>
        <w:autoSpaceDE w:val="0"/>
        <w:autoSpaceDN w:val="0"/>
        <w:adjustRightInd w:val="0"/>
        <w:spacing w:line="360" w:lineRule="auto"/>
        <w:ind w:firstLine="420" w:firstLineChars="200"/>
        <w:outlineLvl w:val="0"/>
        <w:rPr>
          <w:rFonts w:ascii="宋体" w:cs="宋体"/>
          <w:color w:val="auto"/>
          <w:kern w:val="0"/>
          <w:szCs w:val="21"/>
          <w:highlight w:val="none"/>
        </w:rPr>
      </w:pPr>
      <w:bookmarkStart w:id="86" w:name="_Toc19960"/>
      <w:bookmarkStart w:id="87" w:name="_Toc30162"/>
      <w:bookmarkStart w:id="88" w:name="_Toc1534"/>
      <w:bookmarkStart w:id="89" w:name="_Toc32475"/>
      <w:r>
        <w:rPr>
          <w:rFonts w:hint="eastAsia" w:ascii="宋体" w:hAnsi="宋体" w:cs="宋体"/>
          <w:color w:val="auto"/>
          <w:kern w:val="0"/>
          <w:szCs w:val="21"/>
          <w:highlight w:val="none"/>
        </w:rPr>
        <w:t>(5)宣布评标期间的有关事项。</w:t>
      </w:r>
      <w:bookmarkEnd w:id="86"/>
      <w:bookmarkEnd w:id="87"/>
      <w:bookmarkEnd w:id="88"/>
      <w:bookmarkEnd w:id="89"/>
    </w:p>
    <w:p w14:paraId="3CE149A3">
      <w:pPr>
        <w:autoSpaceDE w:val="0"/>
        <w:autoSpaceDN w:val="0"/>
        <w:adjustRightInd w:val="0"/>
        <w:spacing w:line="360" w:lineRule="auto"/>
        <w:ind w:firstLine="420" w:firstLineChars="200"/>
        <w:rPr>
          <w:rFonts w:ascii="宋体" w:cs="宋体"/>
          <w:color w:val="auto"/>
          <w:kern w:val="0"/>
          <w:szCs w:val="21"/>
          <w:highlight w:val="none"/>
        </w:rPr>
      </w:pPr>
      <w:r>
        <w:rPr>
          <w:rFonts w:hint="eastAsia" w:ascii="宋体" w:hAnsi="宋体" w:cs="宋体"/>
          <w:color w:val="auto"/>
          <w:kern w:val="0"/>
          <w:szCs w:val="21"/>
          <w:highlight w:val="none"/>
        </w:rPr>
        <w:t>(6)开标会议结束。</w:t>
      </w:r>
    </w:p>
    <w:p w14:paraId="20097CEC">
      <w:pPr>
        <w:autoSpaceDE w:val="0"/>
        <w:autoSpaceDN w:val="0"/>
        <w:adjustRightInd w:val="0"/>
        <w:spacing w:line="360" w:lineRule="auto"/>
        <w:ind w:firstLine="420" w:firstLineChars="200"/>
        <w:jc w:val="left"/>
        <w:rPr>
          <w:rFonts w:ascii="宋体" w:cs="宋体"/>
          <w:color w:val="auto"/>
          <w:kern w:val="0"/>
          <w:szCs w:val="21"/>
          <w:highlight w:val="none"/>
        </w:rPr>
      </w:pPr>
      <w:r>
        <w:rPr>
          <w:rFonts w:hint="eastAsia" w:ascii="宋体" w:hAnsi="宋体" w:cs="宋体"/>
          <w:color w:val="auto"/>
          <w:kern w:val="0"/>
          <w:szCs w:val="21"/>
          <w:highlight w:val="none"/>
        </w:rPr>
        <w:t>(7)采购代理机构对开标过程进行记录，并存档备查。</w:t>
      </w:r>
    </w:p>
    <w:bookmarkEnd w:id="76"/>
    <w:p w14:paraId="33FB9017">
      <w:pPr>
        <w:spacing w:line="360" w:lineRule="auto"/>
        <w:ind w:left="420" w:firstLine="42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四、评审及磋商</w:t>
      </w:r>
    </w:p>
    <w:p w14:paraId="3E0D088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24.磋商小组成立</w:t>
      </w:r>
    </w:p>
    <w:p w14:paraId="0CE4BEB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磋商小组由采购人代表和评审专家共3人以上单数组成，具体人数见“供应商须知前附表”，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14:paraId="3FA7ED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62B3BD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25.首次响应文件的开启</w:t>
      </w:r>
    </w:p>
    <w:p w14:paraId="47DC8DF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首次响应文件由磋商小组或者采购代理机构在“供应商须知前附表”规定的时间开启。</w:t>
      </w:r>
    </w:p>
    <w:p w14:paraId="75C14C4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26.评审程序、评审方法和评审标准</w:t>
      </w:r>
    </w:p>
    <w:p w14:paraId="020514D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26.1本项目的评审方法为综合评分法。</w:t>
      </w:r>
    </w:p>
    <w:p w14:paraId="469867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26.2磋商小组按照“第四章 评审程序、评审方法和评审标准”规定的方法、评审因素、标准和程序对响应文件进行评审。</w:t>
      </w:r>
    </w:p>
    <w:p w14:paraId="1F63F70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27.确定成交供应商及结果公告</w:t>
      </w:r>
    </w:p>
    <w:p w14:paraId="74CF40A5">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27.1</w:t>
      </w:r>
      <w:r>
        <w:rPr>
          <w:rFonts w:hint="eastAsia" w:ascii="宋体" w:hAnsi="宋体" w:cs="宋体"/>
          <w:b/>
          <w:bCs/>
          <w:color w:val="auto"/>
          <w:kern w:val="0"/>
          <w:szCs w:val="21"/>
          <w:highlight w:val="none"/>
        </w:rPr>
        <w:t xml:space="preserve"> </w:t>
      </w:r>
      <w:r>
        <w:rPr>
          <w:rFonts w:hint="eastAsia" w:ascii="宋体" w:hAnsi="宋体" w:cs="宋体"/>
          <w:b/>
          <w:bCs/>
          <w:color w:val="auto"/>
          <w:szCs w:val="21"/>
          <w:highlight w:val="none"/>
        </w:rPr>
        <w:t>采购代理机构应当在评审结束后2个工作日内将评审报告送采购人确认。采购人应当在收到评审报告后2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683C5F1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27.2采购代理机构应当在</w:t>
      </w:r>
      <w:r>
        <w:rPr>
          <w:rFonts w:hint="eastAsia" w:ascii="宋体" w:hAnsi="宋体" w:cs="宋体"/>
          <w:color w:val="auto"/>
          <w:kern w:val="0"/>
          <w:szCs w:val="21"/>
          <w:highlight w:val="none"/>
        </w:rPr>
        <w:t>成交</w:t>
      </w:r>
      <w:r>
        <w:rPr>
          <w:rFonts w:hint="eastAsia" w:ascii="宋体" w:hAnsi="宋体" w:cs="宋体"/>
          <w:color w:val="auto"/>
          <w:szCs w:val="21"/>
          <w:highlight w:val="none"/>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56526A8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54EB0DD">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27.4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243EBF1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28.履约保证金</w:t>
      </w:r>
    </w:p>
    <w:p w14:paraId="4EE943F7">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28.1 履约保证金的金额、提交方式、退付的时间和条件详见 “供应商须知前附表”。成交供应商未按规定提交履约保证金的，视为拒绝</w:t>
      </w:r>
      <w:r>
        <w:rPr>
          <w:rFonts w:hint="eastAsia" w:ascii="宋体" w:hAnsi="宋体" w:cs="宋体"/>
          <w:color w:val="auto"/>
          <w:highlight w:val="none"/>
        </w:rPr>
        <w:t>与采购人</w:t>
      </w:r>
      <w:r>
        <w:rPr>
          <w:rFonts w:hint="eastAsia" w:ascii="宋体" w:hAnsi="宋体" w:cs="宋体"/>
          <w:color w:val="auto"/>
          <w:szCs w:val="21"/>
          <w:highlight w:val="none"/>
        </w:rPr>
        <w:t>签订合同，采购人可以按照评审报告推荐的成交候选人名单排序，确定下一候选人为成交供应商，也可以重新开展政府采购活动。</w:t>
      </w:r>
    </w:p>
    <w:p w14:paraId="4AD2352A">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28.2签订合同后，如成交供应商不按双方签订的合同规定履约，则没收其全部履约保证金，履约保证金不足以赔偿损失的，按实际损失赔偿。</w:t>
      </w:r>
    </w:p>
    <w:p w14:paraId="5A702CC0">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28.3在履约保证金退还日期前，若成交供应商的开户名称、开户银行、帐号有变动的，请以书面形式通知履约保证金收取单位，否则由此产生的后果由成交供应商自行承担。</w:t>
      </w:r>
    </w:p>
    <w:p w14:paraId="050EF79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29.签订合同</w:t>
      </w:r>
    </w:p>
    <w:p w14:paraId="7CF33747">
      <w:pPr>
        <w:spacing w:line="360" w:lineRule="auto"/>
        <w:ind w:firstLine="426" w:firstLineChars="202"/>
        <w:rPr>
          <w:rFonts w:ascii="宋体" w:hAnsi="宋体" w:cs="宋体"/>
          <w:b/>
          <w:bCs/>
          <w:color w:val="auto"/>
          <w:szCs w:val="21"/>
          <w:highlight w:val="none"/>
        </w:rPr>
      </w:pPr>
      <w:r>
        <w:rPr>
          <w:rFonts w:hint="eastAsia" w:ascii="宋体" w:hAnsi="宋体" w:cs="宋体"/>
          <w:b/>
          <w:bCs/>
          <w:color w:val="auto"/>
          <w:szCs w:val="21"/>
          <w:highlight w:val="none"/>
        </w:rPr>
        <w:t>29.1成交供应商必须在成交通知书发布之日起15日内和采购人签订合同（因不可抗力原因延迟签订合同的，自不可抗力事由消除之日起5个工作日内完成合同签订事宜），签订合同时向采购人出示相关证明材料，具体内容详见 “供应商须知前附表”，经采购人核验合格后方可签订合同。</w:t>
      </w:r>
    </w:p>
    <w:p w14:paraId="7A2DDAF2">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29.2 签订合同时间：按成交通知书规定的时间与采购人签订政府采购合同。</w:t>
      </w:r>
    </w:p>
    <w:p w14:paraId="302DDF3E">
      <w:pPr>
        <w:spacing w:line="360" w:lineRule="auto"/>
        <w:ind w:firstLine="424" w:firstLineChars="202"/>
        <w:rPr>
          <w:rFonts w:ascii="宋体" w:hAnsi="宋体" w:cs="宋体"/>
          <w:color w:val="auto"/>
          <w:szCs w:val="21"/>
          <w:highlight w:val="none"/>
        </w:rPr>
      </w:pPr>
      <w:r>
        <w:rPr>
          <w:rFonts w:hint="eastAsia" w:ascii="宋体" w:hAnsi="宋体" w:cs="宋体"/>
          <w:color w:val="auto"/>
          <w:szCs w:val="21"/>
          <w:highlight w:val="none"/>
        </w:rPr>
        <w:t>29.3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764799A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30.政府采购合同公告</w:t>
      </w:r>
    </w:p>
    <w:p w14:paraId="038CED1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w:t>
      </w:r>
    </w:p>
    <w:p w14:paraId="1918302C">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31. 询问、质疑和投诉</w:t>
      </w:r>
    </w:p>
    <w:p w14:paraId="02E0C8D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31.1供应商对政府采购活动事项有疑问的，可以向采购人、采购代理机构提出询问，采购人或者采购代理机构应当在3个工作日内对供应商依法提出的询问作出答复。</w:t>
      </w:r>
    </w:p>
    <w:p w14:paraId="4E5C07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cs="宋体"/>
          <w:color w:val="auto"/>
          <w:highlight w:val="none"/>
          <w:shd w:val="clear" w:color="auto" w:fill="FFFFFF"/>
        </w:rPr>
        <w:t>接收质疑函的方式、联系部门、联系电话和通讯地址等信息详见</w:t>
      </w:r>
      <w:r>
        <w:rPr>
          <w:rFonts w:hint="eastAsia" w:ascii="宋体" w:hAnsi="宋体" w:cs="宋体"/>
          <w:color w:val="auto"/>
          <w:szCs w:val="21"/>
          <w:highlight w:val="none"/>
        </w:rPr>
        <w:t>“供应商须知前附表”</w:t>
      </w:r>
      <w:r>
        <w:rPr>
          <w:rFonts w:hint="eastAsia" w:ascii="宋体" w:hAnsi="宋体" w:cs="宋体"/>
          <w:color w:val="auto"/>
          <w:highlight w:val="none"/>
        </w:rPr>
        <w:t>。具体质疑起算时间如下：</w:t>
      </w:r>
    </w:p>
    <w:p w14:paraId="4F1B1D3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（1）对可以质疑的磋商文件提出质疑的，为收到磋商文件之日或者竞争性磋商公告期限届满之日；</w:t>
      </w:r>
    </w:p>
    <w:p w14:paraId="7D317F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（2）对采购过程提出质疑的，为各采购程序环节结束之日；</w:t>
      </w:r>
    </w:p>
    <w:p w14:paraId="0003AAD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（3）对成交结果提出质疑的，为成交结果公告期限届满之日。</w:t>
      </w:r>
    </w:p>
    <w:p w14:paraId="75A6635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14:paraId="2283163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cs="宋体"/>
          <w:bCs/>
          <w:color w:val="auto"/>
          <w:highlight w:val="none"/>
        </w:rPr>
        <w:t>（质疑函格式后附）</w:t>
      </w:r>
      <w:r>
        <w:rPr>
          <w:rFonts w:hint="eastAsia" w:ascii="宋体" w:hAnsi="宋体" w:cs="宋体"/>
          <w:color w:val="auto"/>
          <w:highlight w:val="none"/>
        </w:rPr>
        <w:t>：</w:t>
      </w:r>
    </w:p>
    <w:p w14:paraId="425968E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（1）供应商的姓名或者名称、地址、邮编、联系人及联系电话；</w:t>
      </w:r>
    </w:p>
    <w:p w14:paraId="497360D3">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（2）质疑项目的名称、编号；</w:t>
      </w:r>
    </w:p>
    <w:p w14:paraId="4DCC3D2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（3）具体、明确的质疑事项和与质疑事项相关的请求；</w:t>
      </w:r>
    </w:p>
    <w:p w14:paraId="6E054D2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7B7FED6E">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（5）必要的法律依据；</w:t>
      </w:r>
    </w:p>
    <w:p w14:paraId="5741648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（6）提出质疑的日期。</w:t>
      </w:r>
    </w:p>
    <w:p w14:paraId="6144F357">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供应商为自然人的，应当由本人签字；供应商为法人或者其他组织的，应当由法定代表人、主要负责人，或者其委托代理人签字或者盖章，并加盖公章。</w:t>
      </w:r>
    </w:p>
    <w:p w14:paraId="77AC64CD">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14:paraId="35E7690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14:paraId="67FC3E5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14:paraId="747A93F9">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质疑答复导致成交结果改变的，采购人或者采购代理机构应当将有关情况书面报告本级财政部门。</w:t>
      </w:r>
    </w:p>
    <w:p w14:paraId="5A3AD947">
      <w:pPr>
        <w:spacing w:line="360" w:lineRule="auto"/>
        <w:ind w:firstLine="420" w:firstLineChars="200"/>
        <w:rPr>
          <w:rFonts w:ascii="宋体" w:hAnsi="宋体" w:cs="宋体"/>
          <w:color w:val="auto"/>
          <w:szCs w:val="21"/>
          <w:highlight w:val="none"/>
        </w:rPr>
      </w:pPr>
      <w:r>
        <w:rPr>
          <w:rFonts w:hint="eastAsia" w:ascii="宋体" w:hAnsi="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1209870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32.其他内容</w:t>
      </w:r>
    </w:p>
    <w:p w14:paraId="569A5AC7">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32.1代理服务收费标准及缴费账户详见“供应商须知前附表”。</w:t>
      </w:r>
    </w:p>
    <w:p w14:paraId="3A28335C">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32.2代理服务费收费计算标准：</w:t>
      </w:r>
    </w:p>
    <w:tbl>
      <w:tblPr>
        <w:tblStyle w:val="50"/>
        <w:tblW w:w="8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532"/>
        <w:gridCol w:w="1546"/>
      </w:tblGrid>
      <w:tr w14:paraId="556E5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1DEFCB98">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713BCC1E">
            <w:pPr>
              <w:spacing w:line="360" w:lineRule="auto"/>
              <w:rPr>
                <w:rFonts w:ascii="宋体" w:hAnsi="宋体" w:cs="宋体"/>
                <w:color w:val="auto"/>
                <w:szCs w:val="21"/>
                <w:highlight w:val="none"/>
              </w:rPr>
            </w:pPr>
            <w:r>
              <w:rPr>
                <w:rFonts w:hint="eastAsia" w:ascii="宋体" w:hAnsi="宋体" w:cs="宋体"/>
                <w:color w:val="auto"/>
                <w:szCs w:val="21"/>
                <w:highlight w:val="none"/>
              </w:rPr>
              <w:t>金额</w:t>
            </w:r>
          </w:p>
        </w:tc>
        <w:tc>
          <w:tcPr>
            <w:tcW w:w="1659" w:type="dxa"/>
            <w:vAlign w:val="center"/>
          </w:tcPr>
          <w:p w14:paraId="0F154DCF">
            <w:pPr>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货物类</w:t>
            </w:r>
          </w:p>
        </w:tc>
        <w:tc>
          <w:tcPr>
            <w:tcW w:w="1532" w:type="dxa"/>
            <w:vAlign w:val="center"/>
          </w:tcPr>
          <w:p w14:paraId="3BC53D2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服务类</w:t>
            </w:r>
          </w:p>
        </w:tc>
        <w:tc>
          <w:tcPr>
            <w:tcW w:w="1546" w:type="dxa"/>
            <w:vAlign w:val="center"/>
          </w:tcPr>
          <w:p w14:paraId="1F6EFF56">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工程类</w:t>
            </w:r>
          </w:p>
        </w:tc>
      </w:tr>
      <w:tr w14:paraId="2089A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35407CAE">
            <w:pPr>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37E26B9B">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532" w:type="dxa"/>
          </w:tcPr>
          <w:p w14:paraId="28CFDBD0">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546" w:type="dxa"/>
          </w:tcPr>
          <w:p w14:paraId="24E8C4F7">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6CB78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6ABDE7">
            <w:pPr>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5EBDAA51">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532" w:type="dxa"/>
          </w:tcPr>
          <w:p w14:paraId="0BA1259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546" w:type="dxa"/>
          </w:tcPr>
          <w:p w14:paraId="7F3F5C15">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808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D3C2373">
            <w:pPr>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6D127C8F">
            <w:pPr>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532" w:type="dxa"/>
          </w:tcPr>
          <w:p w14:paraId="2247031A">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546" w:type="dxa"/>
          </w:tcPr>
          <w:p w14:paraId="4F3BB9CF">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40D92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1419BDAD">
            <w:pPr>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A310146">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532" w:type="dxa"/>
          </w:tcPr>
          <w:p w14:paraId="624A335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546" w:type="dxa"/>
          </w:tcPr>
          <w:p w14:paraId="3672066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0C14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450B114">
            <w:pPr>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50AA0CCE">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532" w:type="dxa"/>
          </w:tcPr>
          <w:p w14:paraId="2F8BBA12">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546" w:type="dxa"/>
          </w:tcPr>
          <w:p w14:paraId="159FCDEB">
            <w:pPr>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61D41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FFEFE2A">
            <w:pPr>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17A01FC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532" w:type="dxa"/>
          </w:tcPr>
          <w:p w14:paraId="4E669F1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546" w:type="dxa"/>
          </w:tcPr>
          <w:p w14:paraId="301B091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525BB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0F93B97">
            <w:pPr>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34B0B6DB">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532" w:type="dxa"/>
          </w:tcPr>
          <w:p w14:paraId="36BFC6C1">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546" w:type="dxa"/>
          </w:tcPr>
          <w:p w14:paraId="70C72BF7">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253E9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75D6391">
            <w:pPr>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468381B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532" w:type="dxa"/>
          </w:tcPr>
          <w:p w14:paraId="5BFB5CC1">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546" w:type="dxa"/>
          </w:tcPr>
          <w:p w14:paraId="28381AF2">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3BDF4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77BE8A5B">
            <w:pPr>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12C3CE4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532" w:type="dxa"/>
          </w:tcPr>
          <w:p w14:paraId="1723E172">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546" w:type="dxa"/>
          </w:tcPr>
          <w:p w14:paraId="16A7C136">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2224C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E26DCFA">
            <w:pPr>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7BA920FA">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532" w:type="dxa"/>
          </w:tcPr>
          <w:p w14:paraId="5CE8A2F4">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546" w:type="dxa"/>
          </w:tcPr>
          <w:p w14:paraId="6B5C5631">
            <w:pPr>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07F74960">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注：</w:t>
      </w:r>
    </w:p>
    <w:p w14:paraId="5510741F">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（1）按本表费率计算的收费为采购代理的收费基准价格；</w:t>
      </w:r>
    </w:p>
    <w:p w14:paraId="65E3C7F1">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（2）采购代理收费按差额定率累进法计算。</w:t>
      </w:r>
    </w:p>
    <w:p w14:paraId="0324845B">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例如：某服务采购代理业务成交金额或者暂定价为150万元，计算采购代理收费额如下：</w:t>
      </w:r>
    </w:p>
    <w:p w14:paraId="38C26AF4">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100 万元 ×l.5 ％＝ 1.5 万元</w:t>
      </w:r>
    </w:p>
    <w:p w14:paraId="2881D206">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 150 － 100 ）万元 ×0.8％＝ 0.4万元</w:t>
      </w:r>
    </w:p>
    <w:p w14:paraId="595259AC">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 ＋ 0.4＝ 1.9 万元</w:t>
      </w:r>
    </w:p>
    <w:p w14:paraId="2187853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33.需要补充的其他内容</w:t>
      </w:r>
    </w:p>
    <w:p w14:paraId="618ED095">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33.1本磋商文件解释规则详见“供应商须知前附表”。</w:t>
      </w:r>
    </w:p>
    <w:p w14:paraId="012FAF32">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33.2 其他事项详见“供应商须知前附表”。</w:t>
      </w:r>
      <w:r>
        <w:rPr>
          <w:rFonts w:hint="eastAsia" w:ascii="宋体" w:hAnsi="宋体" w:cs="宋体"/>
          <w:b/>
          <w:color w:val="auto"/>
          <w:highlight w:val="none"/>
        </w:rPr>
        <w:br w:type="page"/>
      </w:r>
      <w:r>
        <w:rPr>
          <w:rFonts w:hint="eastAsia" w:ascii="宋体" w:hAnsi="宋体" w:cs="宋体"/>
          <w:bCs/>
          <w:color w:val="auto"/>
          <w:sz w:val="32"/>
          <w:szCs w:val="32"/>
          <w:highlight w:val="none"/>
        </w:rPr>
        <w:t xml:space="preserve">附件1：  </w:t>
      </w:r>
    </w:p>
    <w:p w14:paraId="73567E57">
      <w:pPr>
        <w:widowControl/>
        <w:shd w:val="clear" w:color="auto" w:fill="FFFFFF"/>
        <w:spacing w:line="360" w:lineRule="auto"/>
        <w:jc w:val="center"/>
        <w:rPr>
          <w:rFonts w:ascii="宋体" w:hAnsi="宋体" w:cs="宋体"/>
          <w:color w:val="auto"/>
          <w:kern w:val="0"/>
          <w:sz w:val="32"/>
          <w:szCs w:val="32"/>
          <w:highlight w:val="none"/>
        </w:rPr>
      </w:pPr>
      <w:r>
        <w:rPr>
          <w:rFonts w:hint="eastAsia" w:ascii="宋体" w:hAnsi="宋体" w:cs="宋体"/>
          <w:b/>
          <w:bCs/>
          <w:color w:val="auto"/>
          <w:kern w:val="0"/>
          <w:sz w:val="32"/>
          <w:szCs w:val="32"/>
          <w:highlight w:val="none"/>
        </w:rPr>
        <w:t>广西壮族自治区政府采购项目合同验收书（格式）</w:t>
      </w:r>
    </w:p>
    <w:p w14:paraId="73BAE4D2">
      <w:pPr>
        <w:widowControl/>
        <w:shd w:val="clear" w:color="auto" w:fill="FFFFFF"/>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根据政府采购项目（</w:t>
      </w:r>
      <w:r>
        <w:rPr>
          <w:rFonts w:hint="eastAsia" w:ascii="宋体" w:hAnsi="宋体" w:cs="宋体"/>
          <w:color w:val="auto"/>
          <w:kern w:val="0"/>
          <w:szCs w:val="21"/>
          <w:highlight w:val="none"/>
          <w:u w:val="single"/>
        </w:rPr>
        <w:t>采购合同编号：</w:t>
      </w:r>
      <w:r>
        <w:rPr>
          <w:rFonts w:hint="eastAsia" w:ascii="宋体" w:hAnsi="宋体" w:cs="宋体"/>
          <w:color w:val="auto"/>
          <w:kern w:val="0"/>
          <w:szCs w:val="21"/>
          <w:highlight w:val="none"/>
          <w:u w:val="single"/>
        </w:rPr>
        <w:softHyphen/>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）的约定，我单位对（</w:t>
      </w:r>
      <w:r>
        <w:rPr>
          <w:rFonts w:hint="eastAsia" w:ascii="宋体" w:hAnsi="宋体" w:cs="宋体"/>
          <w:color w:val="auto"/>
          <w:kern w:val="0"/>
          <w:szCs w:val="21"/>
          <w:highlight w:val="none"/>
          <w:u w:val="single"/>
        </w:rPr>
        <w:t xml:space="preserve"> 项目名称 </w:t>
      </w:r>
      <w:r>
        <w:rPr>
          <w:rFonts w:hint="eastAsia" w:ascii="宋体" w:hAnsi="宋体" w:cs="宋体"/>
          <w:color w:val="auto"/>
          <w:kern w:val="0"/>
          <w:szCs w:val="21"/>
          <w:highlight w:val="none"/>
        </w:rPr>
        <w:t>） 政府采购项目成交供应商（</w:t>
      </w:r>
      <w:r>
        <w:rPr>
          <w:rFonts w:hint="eastAsia" w:ascii="宋体" w:hAnsi="宋体" w:cs="宋体"/>
          <w:color w:val="auto"/>
          <w:kern w:val="0"/>
          <w:szCs w:val="21"/>
          <w:highlight w:val="none"/>
          <w:u w:val="single"/>
        </w:rPr>
        <w:t xml:space="preserve"> 公司名称 </w:t>
      </w:r>
      <w:r>
        <w:rPr>
          <w:rFonts w:hint="eastAsia" w:ascii="宋体" w:hAnsi="宋体" w:cs="宋体"/>
          <w:color w:val="auto"/>
          <w:kern w:val="0"/>
          <w:szCs w:val="21"/>
          <w:highlight w:val="none"/>
        </w:rPr>
        <w:t>） 提供的货物（或者工程、服务）进行了验收，验收情况如下：</w:t>
      </w:r>
    </w:p>
    <w:tbl>
      <w:tblPr>
        <w:tblStyle w:val="50"/>
        <w:tblW w:w="8445" w:type="dxa"/>
        <w:jc w:val="center"/>
        <w:tblLayout w:type="fixed"/>
        <w:tblCellMar>
          <w:top w:w="0" w:type="dxa"/>
          <w:left w:w="0" w:type="dxa"/>
          <w:bottom w:w="0" w:type="dxa"/>
          <w:right w:w="0" w:type="dxa"/>
        </w:tblCellMar>
      </w:tblPr>
      <w:tblGrid>
        <w:gridCol w:w="804"/>
        <w:gridCol w:w="825"/>
        <w:gridCol w:w="1623"/>
        <w:gridCol w:w="798"/>
        <w:gridCol w:w="102"/>
        <w:gridCol w:w="2002"/>
        <w:gridCol w:w="178"/>
        <w:gridCol w:w="685"/>
        <w:gridCol w:w="1428"/>
      </w:tblGrid>
      <w:tr w14:paraId="38AEC888">
        <w:tblPrEx>
          <w:tblCellMar>
            <w:top w:w="0" w:type="dxa"/>
            <w:left w:w="0" w:type="dxa"/>
            <w:bottom w:w="0" w:type="dxa"/>
            <w:right w:w="0" w:type="dxa"/>
          </w:tblCellMar>
        </w:tblPrEx>
        <w:trPr>
          <w:trHeight w:val="497" w:hRule="atLeast"/>
          <w:jc w:val="center"/>
        </w:trPr>
        <w:tc>
          <w:tcPr>
            <w:tcW w:w="3252" w:type="dxa"/>
            <w:gridSpan w:val="3"/>
            <w:tcBorders>
              <w:top w:val="single" w:color="auto" w:sz="8" w:space="0"/>
              <w:left w:val="single" w:color="auto" w:sz="8" w:space="0"/>
              <w:bottom w:val="single" w:color="auto" w:sz="8" w:space="0"/>
              <w:right w:val="single" w:color="auto" w:sz="8" w:space="0"/>
            </w:tcBorders>
            <w:vAlign w:val="center"/>
          </w:tcPr>
          <w:p w14:paraId="0CA3699C">
            <w:pPr>
              <w:widowControl/>
              <w:snapToGrid w:val="0"/>
              <w:spacing w:before="100" w:beforeAutospacing="1" w:after="100" w:afterAutospacing="1" w:line="360" w:lineRule="auto"/>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验收方式：</w:t>
            </w:r>
          </w:p>
        </w:tc>
        <w:tc>
          <w:tcPr>
            <w:tcW w:w="5193" w:type="dxa"/>
            <w:gridSpan w:val="6"/>
            <w:tcBorders>
              <w:top w:val="single" w:color="auto" w:sz="8" w:space="0"/>
              <w:left w:val="nil"/>
              <w:bottom w:val="single" w:color="auto" w:sz="8" w:space="0"/>
              <w:right w:val="single" w:color="auto" w:sz="8" w:space="0"/>
            </w:tcBorders>
            <w:vAlign w:val="center"/>
          </w:tcPr>
          <w:p w14:paraId="31074F56">
            <w:pPr>
              <w:widowControl/>
              <w:snapToGrid w:val="0"/>
              <w:spacing w:before="100" w:beforeAutospacing="1" w:after="100" w:afterAutospacing="1"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 xml:space="preserve">自行验收 </w:t>
            </w:r>
            <w:r>
              <w:rPr>
                <w:rFonts w:hint="eastAsia" w:ascii="宋体" w:hAnsi="宋体" w:cs="宋体"/>
                <w:color w:val="auto"/>
                <w:kern w:val="0"/>
                <w:szCs w:val="21"/>
                <w:highlight w:val="none"/>
              </w:rPr>
              <w:sym w:font="Wingdings 2" w:char="00A3"/>
            </w:r>
            <w:r>
              <w:rPr>
                <w:rFonts w:hint="eastAsia" w:ascii="宋体" w:hAnsi="宋体" w:cs="宋体"/>
                <w:color w:val="auto"/>
                <w:kern w:val="0"/>
                <w:szCs w:val="21"/>
                <w:highlight w:val="none"/>
              </w:rPr>
              <w:t>委托验收</w:t>
            </w:r>
          </w:p>
        </w:tc>
      </w:tr>
      <w:tr w14:paraId="547D48FA">
        <w:tblPrEx>
          <w:tblCellMar>
            <w:top w:w="0" w:type="dxa"/>
            <w:left w:w="0" w:type="dxa"/>
            <w:bottom w:w="0" w:type="dxa"/>
            <w:right w:w="0" w:type="dxa"/>
          </w:tblCellMar>
        </w:tblPrEx>
        <w:trPr>
          <w:trHeight w:val="622" w:hRule="atLeast"/>
          <w:jc w:val="center"/>
        </w:trPr>
        <w:tc>
          <w:tcPr>
            <w:tcW w:w="804" w:type="dxa"/>
            <w:tcBorders>
              <w:top w:val="nil"/>
              <w:left w:val="single" w:color="auto" w:sz="8" w:space="0"/>
              <w:bottom w:val="single" w:color="auto" w:sz="8" w:space="0"/>
              <w:right w:val="single" w:color="auto" w:sz="8" w:space="0"/>
            </w:tcBorders>
            <w:vAlign w:val="center"/>
          </w:tcPr>
          <w:p w14:paraId="504E1048">
            <w:pPr>
              <w:widowControl/>
              <w:snapToGrid w:val="0"/>
              <w:spacing w:before="100" w:beforeAutospacing="1" w:after="100" w:afterAutospacing="1"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2448" w:type="dxa"/>
            <w:gridSpan w:val="2"/>
            <w:tcBorders>
              <w:top w:val="nil"/>
              <w:left w:val="nil"/>
              <w:bottom w:val="single" w:color="auto" w:sz="8" w:space="0"/>
              <w:right w:val="single" w:color="auto" w:sz="8" w:space="0"/>
            </w:tcBorders>
            <w:vAlign w:val="center"/>
          </w:tcPr>
          <w:p w14:paraId="0A83F119">
            <w:pPr>
              <w:widowControl/>
              <w:snapToGrid w:val="0"/>
              <w:spacing w:before="100" w:beforeAutospacing="1" w:after="100" w:afterAutospacing="1"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名称</w:t>
            </w:r>
          </w:p>
        </w:tc>
        <w:tc>
          <w:tcPr>
            <w:tcW w:w="2902" w:type="dxa"/>
            <w:gridSpan w:val="3"/>
            <w:tcBorders>
              <w:top w:val="nil"/>
              <w:left w:val="nil"/>
              <w:bottom w:val="single" w:color="auto" w:sz="8" w:space="0"/>
              <w:right w:val="single" w:color="auto" w:sz="8" w:space="0"/>
            </w:tcBorders>
            <w:vAlign w:val="center"/>
          </w:tcPr>
          <w:p w14:paraId="6E450189">
            <w:pPr>
              <w:widowControl/>
              <w:snapToGrid w:val="0"/>
              <w:spacing w:before="100" w:beforeAutospacing="1" w:after="100" w:afterAutospacing="1"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4F00EAA2">
            <w:pPr>
              <w:widowControl/>
              <w:snapToGrid w:val="0"/>
              <w:spacing w:before="100" w:beforeAutospacing="1" w:after="100" w:afterAutospacing="1"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数量</w:t>
            </w:r>
          </w:p>
        </w:tc>
        <w:tc>
          <w:tcPr>
            <w:tcW w:w="1428" w:type="dxa"/>
            <w:tcBorders>
              <w:top w:val="nil"/>
              <w:left w:val="nil"/>
              <w:bottom w:val="single" w:color="auto" w:sz="8" w:space="0"/>
              <w:right w:val="single" w:color="auto" w:sz="8" w:space="0"/>
            </w:tcBorders>
            <w:vAlign w:val="center"/>
          </w:tcPr>
          <w:p w14:paraId="05CDD4CD">
            <w:pPr>
              <w:widowControl/>
              <w:snapToGrid w:val="0"/>
              <w:spacing w:before="100" w:beforeAutospacing="1" w:after="100" w:afterAutospacing="1"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金额</w:t>
            </w:r>
          </w:p>
        </w:tc>
      </w:tr>
      <w:tr w14:paraId="5A3C93EC">
        <w:tblPrEx>
          <w:tblCellMar>
            <w:top w:w="0" w:type="dxa"/>
            <w:left w:w="0" w:type="dxa"/>
            <w:bottom w:w="0" w:type="dxa"/>
            <w:right w:w="0" w:type="dxa"/>
          </w:tblCellMar>
        </w:tblPrEx>
        <w:trPr>
          <w:trHeight w:val="487" w:hRule="atLeast"/>
          <w:jc w:val="center"/>
        </w:trPr>
        <w:tc>
          <w:tcPr>
            <w:tcW w:w="804" w:type="dxa"/>
            <w:tcBorders>
              <w:top w:val="nil"/>
              <w:left w:val="single" w:color="auto" w:sz="8" w:space="0"/>
              <w:bottom w:val="single" w:color="auto" w:sz="8" w:space="0"/>
              <w:right w:val="single" w:color="auto" w:sz="8" w:space="0"/>
            </w:tcBorders>
            <w:vAlign w:val="center"/>
          </w:tcPr>
          <w:p w14:paraId="55694238">
            <w:pPr>
              <w:widowControl/>
              <w:spacing w:before="100" w:beforeAutospacing="1" w:after="100" w:afterAutospacing="1" w:line="360" w:lineRule="auto"/>
              <w:jc w:val="center"/>
              <w:rPr>
                <w:rFonts w:ascii="宋体" w:hAnsi="宋体" w:cs="宋体"/>
                <w:color w:val="auto"/>
                <w:kern w:val="0"/>
                <w:szCs w:val="21"/>
                <w:highlight w:val="none"/>
              </w:rPr>
            </w:pPr>
          </w:p>
        </w:tc>
        <w:tc>
          <w:tcPr>
            <w:tcW w:w="2448" w:type="dxa"/>
            <w:gridSpan w:val="2"/>
            <w:tcBorders>
              <w:top w:val="nil"/>
              <w:left w:val="nil"/>
              <w:bottom w:val="single" w:color="auto" w:sz="8" w:space="0"/>
              <w:right w:val="single" w:color="auto" w:sz="8" w:space="0"/>
            </w:tcBorders>
            <w:vAlign w:val="center"/>
          </w:tcPr>
          <w:p w14:paraId="6BF66C1B">
            <w:pPr>
              <w:widowControl/>
              <w:spacing w:before="100" w:beforeAutospacing="1" w:after="100" w:afterAutospacing="1" w:line="360" w:lineRule="auto"/>
              <w:jc w:val="center"/>
              <w:rPr>
                <w:rFonts w:ascii="宋体" w:hAnsi="宋体" w:cs="宋体"/>
                <w:color w:val="auto"/>
                <w:kern w:val="0"/>
                <w:szCs w:val="21"/>
                <w:highlight w:val="none"/>
              </w:rPr>
            </w:pPr>
          </w:p>
        </w:tc>
        <w:tc>
          <w:tcPr>
            <w:tcW w:w="2902" w:type="dxa"/>
            <w:gridSpan w:val="3"/>
            <w:tcBorders>
              <w:top w:val="nil"/>
              <w:left w:val="nil"/>
              <w:bottom w:val="single" w:color="auto" w:sz="8" w:space="0"/>
              <w:right w:val="single" w:color="auto" w:sz="8" w:space="0"/>
            </w:tcBorders>
            <w:vAlign w:val="center"/>
          </w:tcPr>
          <w:p w14:paraId="3DBD3AD8">
            <w:pPr>
              <w:widowControl/>
              <w:spacing w:before="100" w:beforeAutospacing="1" w:after="100" w:afterAutospacing="1" w:line="360" w:lineRule="auto"/>
              <w:jc w:val="center"/>
              <w:rPr>
                <w:rFonts w:ascii="宋体" w:hAnsi="宋体" w:cs="宋体"/>
                <w:color w:val="auto"/>
                <w:kern w:val="0"/>
                <w:szCs w:val="21"/>
                <w:highlight w:val="none"/>
              </w:rPr>
            </w:pPr>
          </w:p>
        </w:tc>
        <w:tc>
          <w:tcPr>
            <w:tcW w:w="863" w:type="dxa"/>
            <w:gridSpan w:val="2"/>
            <w:tcBorders>
              <w:top w:val="nil"/>
              <w:left w:val="nil"/>
              <w:bottom w:val="single" w:color="auto" w:sz="8" w:space="0"/>
              <w:right w:val="single" w:color="auto" w:sz="8" w:space="0"/>
            </w:tcBorders>
            <w:vAlign w:val="center"/>
          </w:tcPr>
          <w:p w14:paraId="0BDE924C">
            <w:pPr>
              <w:widowControl/>
              <w:spacing w:before="100" w:beforeAutospacing="1" w:after="100" w:afterAutospacing="1"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48C5EE0D">
            <w:pPr>
              <w:widowControl/>
              <w:spacing w:before="100" w:beforeAutospacing="1" w:after="100" w:afterAutospacing="1" w:line="360" w:lineRule="auto"/>
              <w:jc w:val="center"/>
              <w:rPr>
                <w:rFonts w:ascii="宋体" w:hAnsi="宋体" w:cs="宋体"/>
                <w:color w:val="auto"/>
                <w:kern w:val="0"/>
                <w:szCs w:val="21"/>
                <w:highlight w:val="none"/>
              </w:rPr>
            </w:pPr>
          </w:p>
        </w:tc>
      </w:tr>
      <w:tr w14:paraId="79F3A60C">
        <w:tblPrEx>
          <w:tblCellMar>
            <w:top w:w="0" w:type="dxa"/>
            <w:left w:w="0" w:type="dxa"/>
            <w:bottom w:w="0" w:type="dxa"/>
            <w:right w:w="0" w:type="dxa"/>
          </w:tblCellMar>
        </w:tblPrEx>
        <w:trPr>
          <w:trHeight w:val="487" w:hRule="atLeast"/>
          <w:jc w:val="center"/>
        </w:trPr>
        <w:tc>
          <w:tcPr>
            <w:tcW w:w="6154" w:type="dxa"/>
            <w:gridSpan w:val="6"/>
            <w:tcBorders>
              <w:top w:val="nil"/>
              <w:left w:val="single" w:color="auto" w:sz="8" w:space="0"/>
              <w:bottom w:val="single" w:color="auto" w:sz="8" w:space="0"/>
              <w:right w:val="single" w:color="auto" w:sz="8" w:space="0"/>
            </w:tcBorders>
            <w:vAlign w:val="center"/>
          </w:tcPr>
          <w:p w14:paraId="75262855">
            <w:pPr>
              <w:widowControl/>
              <w:snapToGrid w:val="0"/>
              <w:spacing w:before="100" w:beforeAutospacing="1" w:after="100" w:afterAutospacing="1" w:line="360" w:lineRule="auto"/>
              <w:ind w:firstLine="5"/>
              <w:jc w:val="center"/>
              <w:rPr>
                <w:rFonts w:ascii="宋体" w:hAnsi="宋体" w:cs="宋体"/>
                <w:color w:val="auto"/>
                <w:kern w:val="0"/>
                <w:szCs w:val="21"/>
                <w:highlight w:val="none"/>
              </w:rPr>
            </w:pPr>
            <w:r>
              <w:rPr>
                <w:rFonts w:hint="eastAsia" w:ascii="宋体" w:hAnsi="宋体" w:cs="宋体"/>
                <w:color w:val="auto"/>
                <w:kern w:val="0"/>
                <w:szCs w:val="21"/>
                <w:highlight w:val="none"/>
              </w:rPr>
              <w:t>合 计</w:t>
            </w:r>
          </w:p>
        </w:tc>
        <w:tc>
          <w:tcPr>
            <w:tcW w:w="863" w:type="dxa"/>
            <w:gridSpan w:val="2"/>
            <w:tcBorders>
              <w:top w:val="nil"/>
              <w:left w:val="nil"/>
              <w:bottom w:val="single" w:color="auto" w:sz="8" w:space="0"/>
              <w:right w:val="single" w:color="auto" w:sz="8" w:space="0"/>
            </w:tcBorders>
            <w:vAlign w:val="center"/>
          </w:tcPr>
          <w:p w14:paraId="1E797869">
            <w:pPr>
              <w:widowControl/>
              <w:spacing w:before="100" w:beforeAutospacing="1" w:after="100" w:afterAutospacing="1" w:line="360" w:lineRule="auto"/>
              <w:jc w:val="center"/>
              <w:rPr>
                <w:rFonts w:ascii="宋体" w:hAnsi="宋体" w:cs="宋体"/>
                <w:color w:val="auto"/>
                <w:kern w:val="0"/>
                <w:szCs w:val="21"/>
                <w:highlight w:val="none"/>
              </w:rPr>
            </w:pPr>
          </w:p>
        </w:tc>
        <w:tc>
          <w:tcPr>
            <w:tcW w:w="1428" w:type="dxa"/>
            <w:tcBorders>
              <w:top w:val="nil"/>
              <w:left w:val="nil"/>
              <w:bottom w:val="single" w:color="auto" w:sz="8" w:space="0"/>
              <w:right w:val="single" w:color="auto" w:sz="8" w:space="0"/>
            </w:tcBorders>
            <w:vAlign w:val="center"/>
          </w:tcPr>
          <w:p w14:paraId="236C8D25">
            <w:pPr>
              <w:widowControl/>
              <w:spacing w:before="100" w:beforeAutospacing="1" w:after="100" w:afterAutospacing="1" w:line="360" w:lineRule="auto"/>
              <w:jc w:val="center"/>
              <w:rPr>
                <w:rFonts w:ascii="宋体" w:hAnsi="宋体" w:cs="宋体"/>
                <w:color w:val="auto"/>
                <w:kern w:val="0"/>
                <w:szCs w:val="21"/>
                <w:highlight w:val="none"/>
              </w:rPr>
            </w:pPr>
          </w:p>
        </w:tc>
      </w:tr>
      <w:tr w14:paraId="0CCBAB56">
        <w:tblPrEx>
          <w:tblCellMar>
            <w:top w:w="0" w:type="dxa"/>
            <w:left w:w="0" w:type="dxa"/>
            <w:bottom w:w="0" w:type="dxa"/>
            <w:right w:w="0" w:type="dxa"/>
          </w:tblCellMar>
        </w:tblPrEx>
        <w:trPr>
          <w:trHeight w:val="641" w:hRule="atLeast"/>
          <w:jc w:val="center"/>
        </w:trPr>
        <w:tc>
          <w:tcPr>
            <w:tcW w:w="8445" w:type="dxa"/>
            <w:gridSpan w:val="9"/>
            <w:tcBorders>
              <w:top w:val="nil"/>
              <w:left w:val="single" w:color="auto" w:sz="8" w:space="0"/>
              <w:bottom w:val="single" w:color="auto" w:sz="8" w:space="0"/>
              <w:right w:val="single" w:color="auto" w:sz="8" w:space="0"/>
            </w:tcBorders>
            <w:vAlign w:val="center"/>
          </w:tcPr>
          <w:p w14:paraId="1C0F3178">
            <w:pPr>
              <w:widowControl/>
              <w:snapToGrid w:val="0"/>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合计大写金额：  仟  佰  拾  万  仟  佰  拾  元</w:t>
            </w:r>
          </w:p>
        </w:tc>
      </w:tr>
      <w:tr w14:paraId="6E610155">
        <w:tblPrEx>
          <w:tblCellMar>
            <w:top w:w="0" w:type="dxa"/>
            <w:left w:w="0" w:type="dxa"/>
            <w:bottom w:w="0" w:type="dxa"/>
            <w:right w:w="0" w:type="dxa"/>
          </w:tblCellMar>
        </w:tblPrEx>
        <w:trPr>
          <w:trHeight w:val="641" w:hRule="atLeast"/>
          <w:jc w:val="center"/>
        </w:trPr>
        <w:tc>
          <w:tcPr>
            <w:tcW w:w="1629" w:type="dxa"/>
            <w:gridSpan w:val="2"/>
            <w:tcBorders>
              <w:top w:val="nil"/>
              <w:left w:val="single" w:color="auto" w:sz="8" w:space="0"/>
              <w:bottom w:val="single" w:color="auto" w:sz="8" w:space="0"/>
              <w:right w:val="single" w:color="auto" w:sz="8" w:space="0"/>
            </w:tcBorders>
            <w:vAlign w:val="center"/>
          </w:tcPr>
          <w:p w14:paraId="007CEF53">
            <w:pPr>
              <w:widowControl/>
              <w:snapToGrid w:val="0"/>
              <w:spacing w:before="100" w:beforeAutospacing="1" w:after="100" w:afterAutospacing="1" w:line="360" w:lineRule="auto"/>
              <w:ind w:firstLine="2"/>
              <w:jc w:val="center"/>
              <w:rPr>
                <w:rFonts w:ascii="宋体" w:hAnsi="宋体" w:cs="宋体"/>
                <w:color w:val="auto"/>
                <w:kern w:val="0"/>
                <w:szCs w:val="21"/>
                <w:highlight w:val="none"/>
              </w:rPr>
            </w:pPr>
            <w:r>
              <w:rPr>
                <w:rFonts w:hint="eastAsia" w:ascii="宋体" w:hAnsi="宋体" w:cs="宋体"/>
                <w:color w:val="auto"/>
                <w:kern w:val="0"/>
                <w:szCs w:val="21"/>
                <w:highlight w:val="none"/>
              </w:rPr>
              <w:t>实际供货日期</w:t>
            </w:r>
          </w:p>
        </w:tc>
        <w:tc>
          <w:tcPr>
            <w:tcW w:w="2421" w:type="dxa"/>
            <w:gridSpan w:val="2"/>
            <w:tcBorders>
              <w:top w:val="nil"/>
              <w:left w:val="nil"/>
              <w:bottom w:val="single" w:color="auto" w:sz="8" w:space="0"/>
              <w:right w:val="single" w:color="auto" w:sz="8" w:space="0"/>
            </w:tcBorders>
            <w:vAlign w:val="center"/>
          </w:tcPr>
          <w:p w14:paraId="465DDF63">
            <w:pPr>
              <w:widowControl/>
              <w:spacing w:before="100" w:beforeAutospacing="1" w:after="100" w:afterAutospacing="1" w:line="360" w:lineRule="auto"/>
              <w:jc w:val="center"/>
              <w:rPr>
                <w:rFonts w:ascii="宋体" w:hAnsi="宋体" w:cs="宋体"/>
                <w:color w:val="auto"/>
                <w:kern w:val="0"/>
                <w:szCs w:val="21"/>
                <w:highlight w:val="none"/>
              </w:rPr>
            </w:pPr>
          </w:p>
        </w:tc>
        <w:tc>
          <w:tcPr>
            <w:tcW w:w="2282" w:type="dxa"/>
            <w:gridSpan w:val="3"/>
            <w:tcBorders>
              <w:top w:val="nil"/>
              <w:left w:val="nil"/>
              <w:bottom w:val="single" w:color="auto" w:sz="8" w:space="0"/>
              <w:right w:val="single" w:color="auto" w:sz="8" w:space="0"/>
            </w:tcBorders>
            <w:vAlign w:val="center"/>
          </w:tcPr>
          <w:p w14:paraId="1C96D00B">
            <w:pPr>
              <w:widowControl/>
              <w:snapToGrid w:val="0"/>
              <w:spacing w:before="100" w:beforeAutospacing="1" w:after="100" w:afterAutospacing="1" w:line="360" w:lineRule="auto"/>
              <w:ind w:firstLine="46"/>
              <w:jc w:val="center"/>
              <w:rPr>
                <w:rFonts w:ascii="宋体" w:hAnsi="宋体" w:cs="宋体"/>
                <w:color w:val="auto"/>
                <w:kern w:val="0"/>
                <w:szCs w:val="21"/>
                <w:highlight w:val="none"/>
              </w:rPr>
            </w:pPr>
            <w:r>
              <w:rPr>
                <w:rFonts w:hint="eastAsia" w:ascii="宋体" w:hAnsi="宋体" w:cs="宋体"/>
                <w:color w:val="auto"/>
                <w:kern w:val="0"/>
                <w:szCs w:val="21"/>
                <w:highlight w:val="none"/>
              </w:rPr>
              <w:t>合同交货验收日期</w:t>
            </w:r>
          </w:p>
        </w:tc>
        <w:tc>
          <w:tcPr>
            <w:tcW w:w="2113" w:type="dxa"/>
            <w:gridSpan w:val="2"/>
            <w:tcBorders>
              <w:top w:val="nil"/>
              <w:left w:val="nil"/>
              <w:bottom w:val="single" w:color="auto" w:sz="8" w:space="0"/>
              <w:right w:val="single" w:color="auto" w:sz="8" w:space="0"/>
            </w:tcBorders>
            <w:vAlign w:val="center"/>
          </w:tcPr>
          <w:p w14:paraId="4207CBB1">
            <w:pPr>
              <w:widowControl/>
              <w:spacing w:before="100" w:beforeAutospacing="1" w:after="100" w:afterAutospacing="1" w:line="360" w:lineRule="auto"/>
              <w:jc w:val="center"/>
              <w:rPr>
                <w:rFonts w:ascii="宋体" w:hAnsi="宋体" w:cs="宋体"/>
                <w:color w:val="auto"/>
                <w:kern w:val="0"/>
                <w:szCs w:val="21"/>
                <w:highlight w:val="none"/>
              </w:rPr>
            </w:pPr>
          </w:p>
        </w:tc>
      </w:tr>
      <w:tr w14:paraId="50A2179E">
        <w:tblPrEx>
          <w:tblCellMar>
            <w:top w:w="0" w:type="dxa"/>
            <w:left w:w="0" w:type="dxa"/>
            <w:bottom w:w="0" w:type="dxa"/>
            <w:right w:w="0" w:type="dxa"/>
          </w:tblCellMar>
        </w:tblPrEx>
        <w:trPr>
          <w:trHeight w:val="693" w:hRule="atLeast"/>
          <w:jc w:val="center"/>
        </w:trPr>
        <w:tc>
          <w:tcPr>
            <w:tcW w:w="1629"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6EB40D">
            <w:pPr>
              <w:widowControl/>
              <w:snapToGrid w:val="0"/>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验收具体内容</w:t>
            </w:r>
          </w:p>
        </w:tc>
        <w:tc>
          <w:tcPr>
            <w:tcW w:w="6816"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50101625">
            <w:pPr>
              <w:widowControl/>
              <w:snapToGrid w:val="0"/>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应按采购合同、磋商文件、竞标响应文件及验收方案等进行验收；并核对成交供应商在安装调试等方面是否违反合同约定或者服务规范要求、提供的质量保证证明材料是否齐全、应有的配件及附件是否达到合同约定等。可附件)</w:t>
            </w:r>
          </w:p>
        </w:tc>
      </w:tr>
      <w:tr w14:paraId="43A6491E">
        <w:tblPrEx>
          <w:tblCellMar>
            <w:top w:w="0" w:type="dxa"/>
            <w:left w:w="0" w:type="dxa"/>
            <w:bottom w:w="0" w:type="dxa"/>
            <w:right w:w="0" w:type="dxa"/>
          </w:tblCellMar>
        </w:tblPrEx>
        <w:trPr>
          <w:trHeight w:val="844" w:hRule="atLeast"/>
          <w:jc w:val="center"/>
        </w:trPr>
        <w:tc>
          <w:tcPr>
            <w:tcW w:w="1629" w:type="dxa"/>
            <w:gridSpan w:val="2"/>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4EDAAB5">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验收小组意见</w:t>
            </w:r>
          </w:p>
        </w:tc>
        <w:tc>
          <w:tcPr>
            <w:tcW w:w="6816" w:type="dxa"/>
            <w:gridSpan w:val="7"/>
            <w:tcBorders>
              <w:top w:val="nil"/>
              <w:left w:val="nil"/>
              <w:bottom w:val="single" w:color="auto" w:sz="8" w:space="0"/>
              <w:right w:val="single" w:color="auto" w:sz="8" w:space="0"/>
            </w:tcBorders>
            <w:vAlign w:val="center"/>
          </w:tcPr>
          <w:p w14:paraId="50CFBC16">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验收结论性意见：</w:t>
            </w:r>
          </w:p>
        </w:tc>
      </w:tr>
      <w:tr w14:paraId="7A22F85B">
        <w:tblPrEx>
          <w:tblCellMar>
            <w:top w:w="0" w:type="dxa"/>
            <w:left w:w="0" w:type="dxa"/>
            <w:bottom w:w="0" w:type="dxa"/>
            <w:right w:w="0" w:type="dxa"/>
          </w:tblCellMar>
        </w:tblPrEx>
        <w:trPr>
          <w:trHeight w:val="607" w:hRule="atLeast"/>
          <w:jc w:val="center"/>
        </w:trPr>
        <w:tc>
          <w:tcPr>
            <w:tcW w:w="1629" w:type="dxa"/>
            <w:gridSpan w:val="2"/>
            <w:vMerge w:val="continue"/>
            <w:tcBorders>
              <w:top w:val="nil"/>
              <w:left w:val="single" w:color="auto" w:sz="8" w:space="0"/>
              <w:bottom w:val="single" w:color="auto" w:sz="8" w:space="0"/>
              <w:right w:val="single" w:color="auto" w:sz="8" w:space="0"/>
            </w:tcBorders>
            <w:vAlign w:val="center"/>
          </w:tcPr>
          <w:p w14:paraId="41E1AEE2">
            <w:pPr>
              <w:widowControl/>
              <w:spacing w:line="360" w:lineRule="auto"/>
              <w:jc w:val="left"/>
              <w:rPr>
                <w:rFonts w:ascii="宋体" w:hAnsi="宋体" w:cs="宋体"/>
                <w:color w:val="auto"/>
                <w:kern w:val="0"/>
                <w:szCs w:val="21"/>
                <w:highlight w:val="none"/>
              </w:rPr>
            </w:pPr>
          </w:p>
        </w:tc>
        <w:tc>
          <w:tcPr>
            <w:tcW w:w="6816" w:type="dxa"/>
            <w:gridSpan w:val="7"/>
            <w:tcBorders>
              <w:top w:val="nil"/>
              <w:left w:val="nil"/>
              <w:bottom w:val="single" w:color="auto" w:sz="8" w:space="0"/>
              <w:right w:val="single" w:color="auto" w:sz="8" w:space="0"/>
            </w:tcBorders>
            <w:vAlign w:val="center"/>
          </w:tcPr>
          <w:p w14:paraId="6E0EC38D">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有异议的意见和说明理由：</w:t>
            </w:r>
          </w:p>
          <w:p w14:paraId="6E6F8CA1">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签字：</w:t>
            </w:r>
          </w:p>
        </w:tc>
      </w:tr>
      <w:tr w14:paraId="38B66E88">
        <w:tblPrEx>
          <w:tblCellMar>
            <w:top w:w="0" w:type="dxa"/>
            <w:left w:w="0" w:type="dxa"/>
            <w:bottom w:w="0" w:type="dxa"/>
            <w:right w:w="0" w:type="dxa"/>
          </w:tblCellMar>
        </w:tblPrEx>
        <w:trPr>
          <w:trHeight w:val="507" w:hRule="atLeast"/>
          <w:jc w:val="center"/>
        </w:trPr>
        <w:tc>
          <w:tcPr>
            <w:tcW w:w="8445" w:type="dxa"/>
            <w:gridSpan w:val="9"/>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00F3FD">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验收小组成员签字：</w:t>
            </w:r>
          </w:p>
        </w:tc>
      </w:tr>
      <w:tr w14:paraId="50F7CB29">
        <w:tblPrEx>
          <w:tblCellMar>
            <w:top w:w="0" w:type="dxa"/>
            <w:left w:w="0" w:type="dxa"/>
            <w:bottom w:w="0" w:type="dxa"/>
            <w:right w:w="0" w:type="dxa"/>
          </w:tblCellMar>
        </w:tblPrEx>
        <w:trPr>
          <w:trHeight w:val="736" w:hRule="atLeast"/>
          <w:jc w:val="center"/>
        </w:trPr>
        <w:tc>
          <w:tcPr>
            <w:tcW w:w="8445" w:type="dxa"/>
            <w:gridSpan w:val="9"/>
            <w:tcBorders>
              <w:top w:val="nil"/>
              <w:left w:val="single" w:color="auto" w:sz="8" w:space="0"/>
              <w:bottom w:val="single" w:color="auto" w:sz="4" w:space="0"/>
              <w:right w:val="single" w:color="auto" w:sz="8" w:space="0"/>
            </w:tcBorders>
            <w:tcMar>
              <w:top w:w="0" w:type="dxa"/>
              <w:left w:w="108" w:type="dxa"/>
              <w:bottom w:w="0" w:type="dxa"/>
              <w:right w:w="108" w:type="dxa"/>
            </w:tcMar>
            <w:vAlign w:val="center"/>
          </w:tcPr>
          <w:p w14:paraId="2477E2F3">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监督人员或者其他相关人员签字：</w:t>
            </w:r>
          </w:p>
          <w:p w14:paraId="5ACE6411">
            <w:pPr>
              <w:widowControl/>
              <w:spacing w:before="100" w:beforeAutospacing="1" w:after="100" w:afterAutospacing="1" w:line="360" w:lineRule="auto"/>
              <w:ind w:firstLine="74"/>
              <w:jc w:val="left"/>
              <w:rPr>
                <w:rFonts w:ascii="宋体" w:hAnsi="宋体" w:cs="宋体"/>
                <w:color w:val="auto"/>
                <w:kern w:val="0"/>
                <w:szCs w:val="21"/>
                <w:highlight w:val="none"/>
              </w:rPr>
            </w:pPr>
            <w:r>
              <w:rPr>
                <w:rFonts w:hint="eastAsia" w:ascii="宋体" w:hAnsi="宋体" w:cs="宋体"/>
                <w:color w:val="auto"/>
                <w:kern w:val="0"/>
                <w:szCs w:val="21"/>
                <w:highlight w:val="none"/>
              </w:rPr>
              <w:t>或者受邀机构的意见（盖章）：</w:t>
            </w:r>
          </w:p>
        </w:tc>
      </w:tr>
      <w:tr w14:paraId="7036802F">
        <w:tblPrEx>
          <w:tblCellMar>
            <w:top w:w="0" w:type="dxa"/>
            <w:left w:w="0" w:type="dxa"/>
            <w:bottom w:w="0" w:type="dxa"/>
            <w:right w:w="0" w:type="dxa"/>
          </w:tblCellMar>
        </w:tblPrEx>
        <w:trPr>
          <w:trHeight w:val="758" w:hRule="atLeast"/>
          <w:jc w:val="center"/>
        </w:trPr>
        <w:tc>
          <w:tcPr>
            <w:tcW w:w="4152" w:type="dxa"/>
            <w:gridSpan w:val="5"/>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D59E79C">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成交供应商负责人签字或者盖章：</w:t>
            </w:r>
          </w:p>
          <w:p w14:paraId="6BE9C9A2">
            <w:pPr>
              <w:widowControl/>
              <w:spacing w:before="100" w:beforeAutospacing="1" w:after="100" w:afterAutospacing="1" w:line="360" w:lineRule="auto"/>
              <w:jc w:val="left"/>
              <w:rPr>
                <w:rFonts w:ascii="宋体" w:hAnsi="宋体" w:cs="宋体"/>
                <w:color w:val="auto"/>
                <w:kern w:val="0"/>
                <w:szCs w:val="21"/>
                <w:highlight w:val="none"/>
              </w:rPr>
            </w:pPr>
          </w:p>
          <w:p w14:paraId="30D74EEE">
            <w:pPr>
              <w:widowControl/>
              <w:spacing w:before="100" w:beforeAutospacing="1" w:after="100" w:afterAutospacing="1"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c>
          <w:tcPr>
            <w:tcW w:w="4293" w:type="dxa"/>
            <w:gridSpan w:val="4"/>
            <w:tcBorders>
              <w:top w:val="single" w:color="auto" w:sz="4" w:space="0"/>
              <w:left w:val="single" w:color="auto" w:sz="4" w:space="0"/>
              <w:bottom w:val="single" w:color="auto" w:sz="4" w:space="0"/>
              <w:right w:val="single" w:color="auto" w:sz="4" w:space="0"/>
            </w:tcBorders>
            <w:vAlign w:val="center"/>
          </w:tcPr>
          <w:p w14:paraId="3257FCAC">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采购人或者受托机构的意见（盖章）：</w:t>
            </w:r>
          </w:p>
          <w:p w14:paraId="404C851B">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p>
          <w:p w14:paraId="35D51B23">
            <w:pPr>
              <w:widowControl/>
              <w:spacing w:before="100" w:beforeAutospacing="1" w:after="100" w:afterAutospacing="1" w:line="360" w:lineRule="auto"/>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联系电话：                  年  月  日</w:t>
            </w:r>
          </w:p>
        </w:tc>
      </w:tr>
    </w:tbl>
    <w:p w14:paraId="6C453470">
      <w:pPr>
        <w:pStyle w:val="22"/>
        <w:snapToGrid w:val="0"/>
        <w:spacing w:line="360" w:lineRule="auto"/>
        <w:rPr>
          <w:rFonts w:hAnsi="宋体" w:cs="宋体"/>
          <w:color w:val="auto"/>
          <w:sz w:val="32"/>
          <w:szCs w:val="32"/>
          <w:highlight w:val="none"/>
        </w:rPr>
      </w:pPr>
      <w:r>
        <w:rPr>
          <w:rFonts w:hint="eastAsia" w:hAnsi="宋体" w:cs="宋体"/>
          <w:color w:val="auto"/>
          <w:highlight w:val="none"/>
        </w:rPr>
        <w:br w:type="page"/>
      </w:r>
      <w:r>
        <w:rPr>
          <w:rFonts w:hint="eastAsia" w:hAnsi="宋体" w:cs="宋体"/>
          <w:color w:val="auto"/>
          <w:sz w:val="32"/>
          <w:szCs w:val="32"/>
          <w:highlight w:val="none"/>
        </w:rPr>
        <w:t>附件2：</w:t>
      </w:r>
    </w:p>
    <w:p w14:paraId="3F2B4B05">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政府采购项目履约保证金退付意见书</w:t>
      </w:r>
    </w:p>
    <w:p w14:paraId="18D88E15">
      <w:pPr>
        <w:spacing w:line="360" w:lineRule="auto"/>
        <w:jc w:val="center"/>
        <w:rPr>
          <w:rFonts w:ascii="宋体" w:hAnsi="宋体" w:cs="宋体"/>
          <w:color w:val="auto"/>
          <w:sz w:val="36"/>
          <w:szCs w:val="36"/>
          <w:highlight w:val="none"/>
        </w:rPr>
      </w:pPr>
    </w:p>
    <w:tbl>
      <w:tblPr>
        <w:tblStyle w:val="50"/>
        <w:tblW w:w="8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009"/>
      </w:tblGrid>
      <w:tr w14:paraId="6BE1A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817" w:type="dxa"/>
            <w:vMerge w:val="restart"/>
            <w:vAlign w:val="center"/>
          </w:tcPr>
          <w:p w14:paraId="54A0352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供</w:t>
            </w:r>
          </w:p>
          <w:p w14:paraId="00F2EFFB">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应</w:t>
            </w:r>
          </w:p>
          <w:p w14:paraId="02A13A6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w:t>
            </w:r>
          </w:p>
          <w:p w14:paraId="7687EA98">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申</w:t>
            </w:r>
          </w:p>
          <w:p w14:paraId="25141D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请</w:t>
            </w:r>
          </w:p>
        </w:tc>
        <w:tc>
          <w:tcPr>
            <w:tcW w:w="8009" w:type="dxa"/>
            <w:vAlign w:val="center"/>
          </w:tcPr>
          <w:p w14:paraId="646ABB20">
            <w:pPr>
              <w:spacing w:line="360" w:lineRule="auto"/>
              <w:rPr>
                <w:rFonts w:ascii="宋体" w:hAnsi="宋体" w:cs="宋体"/>
                <w:color w:val="auto"/>
                <w:szCs w:val="21"/>
                <w:highlight w:val="none"/>
              </w:rPr>
            </w:pPr>
            <w:r>
              <w:rPr>
                <w:rFonts w:hint="eastAsia" w:ascii="宋体" w:hAnsi="宋体" w:cs="宋体"/>
                <w:color w:val="auto"/>
                <w:szCs w:val="21"/>
                <w:highlight w:val="none"/>
              </w:rPr>
              <w:t>项目编号：</w:t>
            </w:r>
          </w:p>
        </w:tc>
      </w:tr>
      <w:tr w14:paraId="218D9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jc w:val="center"/>
        </w:trPr>
        <w:tc>
          <w:tcPr>
            <w:tcW w:w="817" w:type="dxa"/>
            <w:vMerge w:val="continue"/>
            <w:vAlign w:val="center"/>
          </w:tcPr>
          <w:p w14:paraId="3B83D75D">
            <w:pPr>
              <w:spacing w:line="360" w:lineRule="auto"/>
              <w:rPr>
                <w:rFonts w:ascii="宋体" w:hAnsi="宋体" w:cs="宋体"/>
                <w:color w:val="auto"/>
                <w:szCs w:val="21"/>
                <w:highlight w:val="none"/>
              </w:rPr>
            </w:pPr>
          </w:p>
        </w:tc>
        <w:tc>
          <w:tcPr>
            <w:tcW w:w="8009" w:type="dxa"/>
            <w:vAlign w:val="center"/>
          </w:tcPr>
          <w:p w14:paraId="58081D18">
            <w:pPr>
              <w:spacing w:line="360" w:lineRule="auto"/>
              <w:rPr>
                <w:rFonts w:ascii="宋体" w:hAnsi="宋体" w:cs="宋体"/>
                <w:color w:val="auto"/>
                <w:szCs w:val="21"/>
                <w:highlight w:val="none"/>
              </w:rPr>
            </w:pPr>
            <w:r>
              <w:rPr>
                <w:rFonts w:hint="eastAsia" w:ascii="宋体" w:hAnsi="宋体" w:cs="宋体"/>
                <w:color w:val="auto"/>
                <w:szCs w:val="21"/>
                <w:highlight w:val="none"/>
              </w:rPr>
              <w:t>项目名称：</w:t>
            </w:r>
          </w:p>
        </w:tc>
      </w:tr>
      <w:tr w14:paraId="67E0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7" w:type="dxa"/>
            <w:vMerge w:val="continue"/>
          </w:tcPr>
          <w:p w14:paraId="646D5702">
            <w:pPr>
              <w:spacing w:line="360" w:lineRule="auto"/>
              <w:rPr>
                <w:rFonts w:ascii="宋体" w:hAnsi="宋体" w:cs="宋体"/>
                <w:color w:val="auto"/>
                <w:szCs w:val="21"/>
                <w:highlight w:val="none"/>
              </w:rPr>
            </w:pPr>
          </w:p>
        </w:tc>
        <w:tc>
          <w:tcPr>
            <w:tcW w:w="8009" w:type="dxa"/>
          </w:tcPr>
          <w:p w14:paraId="695F640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6ED445B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该项目已于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日验收并交付使用。根据合同规定，该项目的履约保证金期限于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日已满，请将履约保证金</w:t>
            </w:r>
          </w:p>
          <w:p w14:paraId="2A0B0745">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（小写）退付到达以下帐户。</w:t>
            </w:r>
          </w:p>
          <w:p w14:paraId="507E21E2">
            <w:pPr>
              <w:spacing w:line="360" w:lineRule="auto"/>
              <w:rPr>
                <w:rFonts w:ascii="宋体" w:hAnsi="宋体" w:cs="宋体"/>
                <w:color w:val="auto"/>
                <w:szCs w:val="21"/>
                <w:highlight w:val="none"/>
              </w:rPr>
            </w:pPr>
            <w:r>
              <w:rPr>
                <w:rFonts w:hint="eastAsia" w:ascii="宋体" w:hAnsi="宋体" w:cs="宋体"/>
                <w:color w:val="auto"/>
                <w:szCs w:val="21"/>
                <w:highlight w:val="none"/>
              </w:rPr>
              <w:t>单位名称：</w:t>
            </w:r>
          </w:p>
          <w:p w14:paraId="4BF01942">
            <w:pPr>
              <w:spacing w:line="360" w:lineRule="auto"/>
              <w:rPr>
                <w:rFonts w:ascii="宋体" w:hAnsi="宋体" w:cs="宋体"/>
                <w:color w:val="auto"/>
                <w:szCs w:val="21"/>
                <w:highlight w:val="none"/>
              </w:rPr>
            </w:pPr>
            <w:r>
              <w:rPr>
                <w:rFonts w:hint="eastAsia" w:ascii="宋体" w:hAnsi="宋体" w:cs="宋体"/>
                <w:color w:val="auto"/>
                <w:szCs w:val="21"/>
                <w:highlight w:val="none"/>
              </w:rPr>
              <w:t>开户银行：</w:t>
            </w:r>
          </w:p>
          <w:p w14:paraId="57CBC305">
            <w:pPr>
              <w:spacing w:line="360" w:lineRule="auto"/>
              <w:rPr>
                <w:rFonts w:ascii="宋体" w:hAnsi="宋体" w:cs="宋体"/>
                <w:color w:val="auto"/>
                <w:szCs w:val="21"/>
                <w:highlight w:val="none"/>
              </w:rPr>
            </w:pPr>
            <w:r>
              <w:rPr>
                <w:rFonts w:hint="eastAsia" w:ascii="宋体" w:hAnsi="宋体" w:cs="宋体"/>
                <w:color w:val="auto"/>
                <w:szCs w:val="21"/>
                <w:highlight w:val="none"/>
              </w:rPr>
              <w:t>帐    号：</w:t>
            </w:r>
          </w:p>
          <w:p w14:paraId="1C7D5E7D">
            <w:pPr>
              <w:spacing w:line="360" w:lineRule="auto"/>
              <w:rPr>
                <w:rFonts w:ascii="宋体" w:hAnsi="宋体" w:cs="宋体"/>
                <w:color w:val="auto"/>
                <w:szCs w:val="21"/>
                <w:highlight w:val="none"/>
              </w:rPr>
            </w:pPr>
            <w:r>
              <w:rPr>
                <w:rFonts w:hint="eastAsia" w:ascii="宋体" w:hAnsi="宋体" w:cs="宋体"/>
                <w:color w:val="auto"/>
                <w:szCs w:val="21"/>
                <w:highlight w:val="none"/>
              </w:rPr>
              <w:t>联系人及电话：</w:t>
            </w:r>
          </w:p>
          <w:p w14:paraId="3AABB9F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供应商签章：</w:t>
            </w:r>
          </w:p>
          <w:p w14:paraId="77AA26EC">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19E3A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atLeast"/>
          <w:jc w:val="center"/>
        </w:trPr>
        <w:tc>
          <w:tcPr>
            <w:tcW w:w="817" w:type="dxa"/>
            <w:vAlign w:val="center"/>
          </w:tcPr>
          <w:p w14:paraId="15928013">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采</w:t>
            </w:r>
          </w:p>
          <w:p w14:paraId="36F2656D">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购</w:t>
            </w:r>
          </w:p>
          <w:p w14:paraId="4CFA8A25">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单</w:t>
            </w:r>
          </w:p>
          <w:p w14:paraId="665B33D9">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位</w:t>
            </w:r>
          </w:p>
          <w:p w14:paraId="0040ADB1">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意</w:t>
            </w:r>
          </w:p>
          <w:p w14:paraId="05AA237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见</w:t>
            </w:r>
          </w:p>
        </w:tc>
        <w:tc>
          <w:tcPr>
            <w:tcW w:w="8009" w:type="dxa"/>
          </w:tcPr>
          <w:p w14:paraId="5CA04A7E">
            <w:pPr>
              <w:spacing w:line="360" w:lineRule="auto"/>
              <w:rPr>
                <w:rFonts w:ascii="宋体" w:hAnsi="宋体" w:cs="宋体"/>
                <w:color w:val="auto"/>
                <w:szCs w:val="21"/>
                <w:highlight w:val="none"/>
              </w:rPr>
            </w:pPr>
          </w:p>
          <w:p w14:paraId="032EAC5A">
            <w:pPr>
              <w:spacing w:line="360" w:lineRule="auto"/>
              <w:rPr>
                <w:rFonts w:ascii="宋体" w:hAnsi="宋体" w:cs="宋体"/>
                <w:color w:val="auto"/>
                <w:szCs w:val="21"/>
                <w:highlight w:val="none"/>
              </w:rPr>
            </w:pPr>
            <w:r>
              <w:rPr>
                <w:rFonts w:hint="eastAsia" w:ascii="宋体" w:hAnsi="宋体" w:cs="宋体"/>
                <w:color w:val="auto"/>
                <w:szCs w:val="21"/>
                <w:highlight w:val="none"/>
              </w:rPr>
              <w:t>退付意见：是否同意退付履约保证金及退付金额：</w:t>
            </w:r>
          </w:p>
          <w:p w14:paraId="15F1074F">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联系人及电话：                                </w:t>
            </w:r>
          </w:p>
          <w:p w14:paraId="572A9DF5">
            <w:pPr>
              <w:spacing w:line="360" w:lineRule="auto"/>
              <w:rPr>
                <w:rFonts w:ascii="宋体" w:hAnsi="宋体" w:cs="宋体"/>
                <w:color w:val="auto"/>
                <w:szCs w:val="21"/>
                <w:highlight w:val="none"/>
              </w:rPr>
            </w:pPr>
          </w:p>
          <w:p w14:paraId="174147B6">
            <w:pPr>
              <w:spacing w:line="360" w:lineRule="auto"/>
              <w:ind w:firstLine="3990" w:firstLineChars="1900"/>
              <w:rPr>
                <w:rFonts w:ascii="宋体" w:hAnsi="宋体" w:cs="宋体"/>
                <w:color w:val="auto"/>
                <w:szCs w:val="21"/>
                <w:highlight w:val="none"/>
              </w:rPr>
            </w:pPr>
            <w:r>
              <w:rPr>
                <w:rFonts w:hint="eastAsia" w:ascii="宋体" w:hAnsi="宋体" w:cs="宋体"/>
                <w:color w:val="auto"/>
                <w:szCs w:val="21"/>
                <w:highlight w:val="none"/>
              </w:rPr>
              <w:t xml:space="preserve"> 采购人签章：</w:t>
            </w:r>
          </w:p>
          <w:p w14:paraId="3A30CE4F">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tc>
      </w:tr>
      <w:tr w14:paraId="5E963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817" w:type="dxa"/>
            <w:vAlign w:val="center"/>
          </w:tcPr>
          <w:p w14:paraId="2375D710">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备注</w:t>
            </w:r>
          </w:p>
        </w:tc>
        <w:tc>
          <w:tcPr>
            <w:tcW w:w="8009" w:type="dxa"/>
          </w:tcPr>
          <w:p w14:paraId="2D646325">
            <w:pPr>
              <w:spacing w:line="360" w:lineRule="auto"/>
              <w:rPr>
                <w:rFonts w:ascii="宋体" w:hAnsi="宋体" w:cs="宋体"/>
                <w:color w:val="auto"/>
                <w:szCs w:val="21"/>
                <w:highlight w:val="none"/>
              </w:rPr>
            </w:pPr>
          </w:p>
        </w:tc>
      </w:tr>
    </w:tbl>
    <w:p w14:paraId="74AA437A">
      <w:pPr>
        <w:pStyle w:val="20"/>
        <w:spacing w:line="360" w:lineRule="auto"/>
        <w:ind w:left="1" w:firstLine="2" w:firstLineChars="1"/>
        <w:rPr>
          <w:rFonts w:ascii="宋体" w:hAnsi="宋体" w:cs="宋体"/>
          <w:b/>
          <w:bCs/>
          <w:color w:val="auto"/>
          <w:sz w:val="18"/>
          <w:szCs w:val="18"/>
          <w:highlight w:val="none"/>
        </w:rPr>
      </w:pPr>
      <w:r>
        <w:rPr>
          <w:rFonts w:hint="eastAsia" w:ascii="宋体" w:hAnsi="宋体" w:cs="宋体"/>
          <w:b/>
          <w:bCs/>
          <w:color w:val="auto"/>
          <w:sz w:val="18"/>
          <w:szCs w:val="18"/>
          <w:highlight w:val="none"/>
        </w:rPr>
        <w:t>注：供应商凭经采购人审批的退付意见书到履约保证金收取单位财务部门办理履约保证金退付事宜。</w:t>
      </w:r>
    </w:p>
    <w:p w14:paraId="218907CB">
      <w:pPr>
        <w:spacing w:line="360" w:lineRule="auto"/>
        <w:jc w:val="left"/>
        <w:rPr>
          <w:rFonts w:ascii="宋体" w:hAnsi="宋体" w:cs="宋体"/>
          <w:b/>
          <w:bCs/>
          <w:color w:val="auto"/>
          <w:sz w:val="28"/>
          <w:szCs w:val="28"/>
          <w:highlight w:val="none"/>
          <w:lang w:val="zh-CN"/>
        </w:rPr>
      </w:pPr>
    </w:p>
    <w:p w14:paraId="153097D2">
      <w:pPr>
        <w:spacing w:line="360" w:lineRule="auto"/>
        <w:jc w:val="left"/>
        <w:rPr>
          <w:rFonts w:ascii="宋体" w:hAnsi="宋体" w:cs="宋体"/>
          <w:b/>
          <w:bCs/>
          <w:color w:val="auto"/>
          <w:sz w:val="28"/>
          <w:szCs w:val="28"/>
          <w:highlight w:val="none"/>
          <w:lang w:val="zh-CN"/>
        </w:rPr>
      </w:pPr>
    </w:p>
    <w:p w14:paraId="77581DA8">
      <w:pPr>
        <w:spacing w:line="360" w:lineRule="auto"/>
        <w:jc w:val="left"/>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3</w:t>
      </w:r>
    </w:p>
    <w:p w14:paraId="2692F48C">
      <w:pPr>
        <w:pStyle w:val="178"/>
        <w:ind w:firstLine="480"/>
        <w:rPr>
          <w:color w:val="auto"/>
          <w:highlight w:val="none"/>
        </w:rPr>
      </w:pPr>
    </w:p>
    <w:p w14:paraId="2E2B85BE">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崇左市线上“政采贷”政策告知函</w:t>
      </w:r>
    </w:p>
    <w:p w14:paraId="0E79677C">
      <w:pPr>
        <w:spacing w:line="360" w:lineRule="auto"/>
        <w:ind w:firstLine="420" w:firstLineChars="200"/>
        <w:rPr>
          <w:rFonts w:ascii="宋体" w:hAnsi="宋体" w:cs="宋体"/>
          <w:color w:val="auto"/>
          <w:szCs w:val="21"/>
          <w:highlight w:val="none"/>
        </w:rPr>
      </w:pPr>
    </w:p>
    <w:p w14:paraId="6F6D8B47">
      <w:pPr>
        <w:spacing w:line="360" w:lineRule="auto"/>
        <w:rPr>
          <w:rFonts w:ascii="宋体" w:hAnsi="宋体" w:cs="宋体"/>
          <w:color w:val="auto"/>
          <w:szCs w:val="21"/>
          <w:highlight w:val="none"/>
        </w:rPr>
      </w:pPr>
      <w:r>
        <w:rPr>
          <w:rFonts w:hint="eastAsia" w:ascii="宋体" w:hAnsi="宋体" w:cs="宋体"/>
          <w:color w:val="auto"/>
          <w:szCs w:val="21"/>
          <w:highlight w:val="none"/>
        </w:rPr>
        <w:t>各供应商：</w:t>
      </w:r>
    </w:p>
    <w:p w14:paraId="3E5F6B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欢迎贵公司参与崇左市政府采购活动！</w:t>
      </w:r>
    </w:p>
    <w:p w14:paraId="672512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2CA1CE6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56"/>
          <w:rFonts w:hint="eastAsia" w:ascii="宋体" w:hAnsi="宋体" w:cs="宋体"/>
          <w:color w:val="auto"/>
          <w:szCs w:val="21"/>
          <w:highlight w:val="none"/>
        </w:rPr>
        <w:t>https://www.crcrfsp.com/</w:t>
      </w:r>
      <w:r>
        <w:rPr>
          <w:rStyle w:val="56"/>
          <w:rFonts w:hint="eastAsia" w:ascii="宋体" w:hAnsi="宋体" w:cs="宋体"/>
          <w:color w:val="auto"/>
          <w:szCs w:val="21"/>
          <w:highlight w:val="none"/>
        </w:rPr>
        <w:fldChar w:fldCharType="end"/>
      </w:r>
      <w:r>
        <w:rPr>
          <w:rFonts w:hint="eastAsia" w:ascii="宋体" w:hAnsi="宋体" w:cs="宋体"/>
          <w:color w:val="auto"/>
          <w:szCs w:val="21"/>
          <w:highlight w:val="none"/>
        </w:rPr>
        <w:t>，客服电话：400-009-0001）。</w:t>
      </w:r>
    </w:p>
    <w:p w14:paraId="15BCEF40">
      <w:pPr>
        <w:pStyle w:val="178"/>
        <w:ind w:firstLine="420"/>
        <w:rPr>
          <w:rFonts w:ascii="宋体" w:hAnsi="宋体" w:cs="宋体"/>
          <w:color w:val="auto"/>
          <w:sz w:val="21"/>
          <w:szCs w:val="21"/>
          <w:highlight w:val="none"/>
        </w:rPr>
      </w:pPr>
    </w:p>
    <w:p w14:paraId="70F34BFD">
      <w:pPr>
        <w:spacing w:line="360" w:lineRule="auto"/>
        <w:rPr>
          <w:rFonts w:ascii="宋体" w:hAnsi="宋体" w:cs="宋体"/>
          <w:color w:val="auto"/>
          <w:szCs w:val="21"/>
          <w:highlight w:val="none"/>
        </w:rPr>
      </w:pPr>
    </w:p>
    <w:p w14:paraId="5475CF15">
      <w:pPr>
        <w:pStyle w:val="178"/>
        <w:ind w:firstLine="420"/>
        <w:rPr>
          <w:rFonts w:ascii="宋体" w:hAnsi="宋体" w:cs="宋体"/>
          <w:color w:val="auto"/>
          <w:sz w:val="21"/>
          <w:szCs w:val="21"/>
          <w:highlight w:val="none"/>
        </w:rPr>
      </w:pPr>
    </w:p>
    <w:p w14:paraId="47EEB3EB">
      <w:pPr>
        <w:spacing w:line="360" w:lineRule="auto"/>
        <w:rPr>
          <w:rFonts w:ascii="宋体" w:hAnsi="宋体" w:cs="宋体"/>
          <w:color w:val="auto"/>
          <w:szCs w:val="21"/>
          <w:highlight w:val="none"/>
        </w:rPr>
      </w:pPr>
    </w:p>
    <w:p w14:paraId="57E7A99A">
      <w:pPr>
        <w:spacing w:line="360" w:lineRule="auto"/>
        <w:rPr>
          <w:rFonts w:ascii="宋体" w:hAnsi="宋体" w:cs="宋体"/>
          <w:color w:val="auto"/>
          <w:szCs w:val="21"/>
          <w:highlight w:val="none"/>
        </w:rPr>
      </w:pPr>
    </w:p>
    <w:p w14:paraId="414EA5F1">
      <w:pPr>
        <w:pStyle w:val="178"/>
        <w:ind w:firstLine="420"/>
        <w:rPr>
          <w:rFonts w:ascii="宋体" w:hAnsi="宋体" w:cs="宋体"/>
          <w:color w:val="auto"/>
          <w:sz w:val="21"/>
          <w:szCs w:val="21"/>
          <w:highlight w:val="none"/>
        </w:rPr>
      </w:pPr>
    </w:p>
    <w:p w14:paraId="6CBEA3A5">
      <w:pPr>
        <w:spacing w:line="360" w:lineRule="auto"/>
        <w:rPr>
          <w:rFonts w:ascii="宋体" w:hAnsi="宋体" w:cs="宋体"/>
          <w:color w:val="auto"/>
          <w:szCs w:val="21"/>
          <w:highlight w:val="none"/>
        </w:rPr>
      </w:pPr>
    </w:p>
    <w:p w14:paraId="259EC4B6">
      <w:pPr>
        <w:spacing w:line="360" w:lineRule="auto"/>
        <w:rPr>
          <w:rFonts w:ascii="宋体" w:hAnsi="宋体" w:cs="宋体"/>
          <w:color w:val="auto"/>
          <w:szCs w:val="21"/>
          <w:highlight w:val="none"/>
        </w:rPr>
      </w:pPr>
    </w:p>
    <w:p w14:paraId="17C18AEC">
      <w:pPr>
        <w:pStyle w:val="178"/>
        <w:ind w:firstLine="420"/>
        <w:rPr>
          <w:rFonts w:ascii="宋体" w:hAnsi="宋体" w:cs="宋体"/>
          <w:color w:val="auto"/>
          <w:sz w:val="21"/>
          <w:szCs w:val="21"/>
          <w:highlight w:val="none"/>
        </w:rPr>
      </w:pPr>
    </w:p>
    <w:p w14:paraId="1720459E">
      <w:pPr>
        <w:spacing w:line="360" w:lineRule="auto"/>
        <w:rPr>
          <w:rFonts w:ascii="宋体" w:hAnsi="宋体" w:cs="宋体"/>
          <w:color w:val="auto"/>
          <w:szCs w:val="21"/>
          <w:highlight w:val="none"/>
        </w:rPr>
      </w:pPr>
    </w:p>
    <w:p w14:paraId="211AA673">
      <w:pPr>
        <w:pStyle w:val="178"/>
        <w:ind w:firstLine="420"/>
        <w:rPr>
          <w:rFonts w:ascii="宋体" w:hAnsi="宋体" w:cs="宋体"/>
          <w:color w:val="auto"/>
          <w:sz w:val="21"/>
          <w:szCs w:val="21"/>
          <w:highlight w:val="none"/>
        </w:rPr>
      </w:pPr>
    </w:p>
    <w:p w14:paraId="564E02AA">
      <w:pPr>
        <w:rPr>
          <w:rFonts w:ascii="黑体" w:hAnsi="黑体" w:eastAsia="黑体" w:cs="黑体"/>
          <w:color w:val="auto"/>
          <w:szCs w:val="32"/>
          <w:highlight w:val="none"/>
        </w:rPr>
      </w:pPr>
    </w:p>
    <w:p w14:paraId="30123315">
      <w:pPr>
        <w:spacing w:line="540" w:lineRule="exact"/>
        <w:rPr>
          <w:rFonts w:ascii="黑体" w:hAnsi="黑体" w:eastAsia="黑体" w:cs="黑体"/>
          <w:b/>
          <w:bCs/>
          <w:color w:val="auto"/>
          <w:sz w:val="28"/>
          <w:szCs w:val="44"/>
          <w:highlight w:val="none"/>
        </w:rPr>
      </w:pPr>
    </w:p>
    <w:p w14:paraId="0DD2D0D5">
      <w:pPr>
        <w:spacing w:line="540" w:lineRule="exact"/>
        <w:rPr>
          <w:rFonts w:ascii="黑体" w:hAnsi="黑体" w:eastAsia="黑体" w:cs="黑体"/>
          <w:b/>
          <w:bCs/>
          <w:color w:val="auto"/>
          <w:sz w:val="28"/>
          <w:szCs w:val="44"/>
          <w:highlight w:val="none"/>
        </w:rPr>
      </w:pPr>
      <w:r>
        <w:rPr>
          <w:rFonts w:hint="eastAsia" w:ascii="黑体" w:hAnsi="黑体" w:eastAsia="黑体" w:cs="黑体"/>
          <w:b/>
          <w:bCs/>
          <w:color w:val="auto"/>
          <w:sz w:val="28"/>
          <w:szCs w:val="44"/>
          <w:highlight w:val="none"/>
        </w:rPr>
        <w:t>附件4</w:t>
      </w:r>
    </w:p>
    <w:p w14:paraId="2B97359C">
      <w:pPr>
        <w:pStyle w:val="178"/>
        <w:ind w:firstLine="480"/>
        <w:rPr>
          <w:color w:val="auto"/>
          <w:highlight w:val="none"/>
        </w:rPr>
      </w:pPr>
    </w:p>
    <w:p w14:paraId="38176860">
      <w:pPr>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崇左市线上“政采贷”业务流程图</w:t>
      </w:r>
    </w:p>
    <w:p w14:paraId="0AB0738B">
      <w:pPr>
        <w:rPr>
          <w:color w:val="auto"/>
          <w:highlight w:val="none"/>
        </w:rPr>
      </w:pPr>
      <w:r>
        <w:rPr>
          <w:rFonts w:hint="eastAsia" w:eastAsia="仿宋_GB2312"/>
          <w:color w:val="auto"/>
          <w:highlight w:val="none"/>
        </w:rPr>
        <w:drawing>
          <wp:inline distT="0" distB="0" distL="114300" distR="114300">
            <wp:extent cx="4926965" cy="7002780"/>
            <wp:effectExtent l="0" t="0" r="10795" b="7620"/>
            <wp:docPr id="1" name="图片 1" descr="流程图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流程图1011"/>
                    <pic:cNvPicPr>
                      <a:picLocks noChangeAspect="1"/>
                    </pic:cNvPicPr>
                  </pic:nvPicPr>
                  <pic:blipFill>
                    <a:blip r:embed="rId9"/>
                    <a:stretch>
                      <a:fillRect/>
                    </a:stretch>
                  </pic:blipFill>
                  <pic:spPr>
                    <a:xfrm>
                      <a:off x="0" y="0"/>
                      <a:ext cx="4926965" cy="7002780"/>
                    </a:xfrm>
                    <a:prstGeom prst="rect">
                      <a:avLst/>
                    </a:prstGeom>
                    <a:noFill/>
                    <a:ln>
                      <a:noFill/>
                    </a:ln>
                  </pic:spPr>
                </pic:pic>
              </a:graphicData>
            </a:graphic>
          </wp:inline>
        </w:drawing>
      </w:r>
    </w:p>
    <w:p w14:paraId="4356C1CB">
      <w:pPr>
        <w:widowControl/>
        <w:ind w:firstLine="420" w:firstLineChars="200"/>
        <w:rPr>
          <w:color w:val="auto"/>
          <w:highlight w:val="none"/>
        </w:rPr>
      </w:pPr>
    </w:p>
    <w:p w14:paraId="059C42C9">
      <w:pPr>
        <w:pStyle w:val="178"/>
        <w:ind w:firstLine="480"/>
        <w:rPr>
          <w:color w:val="auto"/>
          <w:highlight w:val="none"/>
        </w:rPr>
      </w:pPr>
    </w:p>
    <w:p w14:paraId="5B5CA12D">
      <w:pPr>
        <w:rPr>
          <w:color w:val="auto"/>
          <w:highlight w:val="none"/>
        </w:rPr>
      </w:pPr>
    </w:p>
    <w:p w14:paraId="06F276B8">
      <w:pPr>
        <w:rPr>
          <w:color w:val="auto"/>
          <w:highlight w:val="none"/>
        </w:rPr>
      </w:pPr>
    </w:p>
    <w:p w14:paraId="19C3D714">
      <w:pPr>
        <w:widowControl/>
        <w:spacing w:line="720" w:lineRule="exact"/>
        <w:jc w:val="left"/>
        <w:rPr>
          <w:rFonts w:ascii="宋体" w:hAnsi="宋体" w:cs="宋体"/>
          <w:b/>
          <w:bCs/>
          <w:color w:val="auto"/>
          <w:sz w:val="28"/>
          <w:szCs w:val="28"/>
          <w:highlight w:val="none"/>
        </w:rPr>
      </w:pPr>
      <w:r>
        <w:rPr>
          <w:rFonts w:hint="eastAsia" w:ascii="宋体" w:hAnsi="宋体" w:cs="宋体"/>
          <w:b/>
          <w:bCs/>
          <w:color w:val="auto"/>
          <w:sz w:val="28"/>
          <w:szCs w:val="28"/>
          <w:highlight w:val="none"/>
          <w:lang w:val="zh-CN"/>
        </w:rPr>
        <w:t>附件</w:t>
      </w:r>
      <w:r>
        <w:rPr>
          <w:rFonts w:hint="eastAsia" w:ascii="宋体" w:hAnsi="宋体" w:cs="宋体"/>
          <w:b/>
          <w:bCs/>
          <w:color w:val="auto"/>
          <w:sz w:val="28"/>
          <w:szCs w:val="28"/>
          <w:highlight w:val="none"/>
        </w:rPr>
        <w:t>5</w:t>
      </w:r>
    </w:p>
    <w:p w14:paraId="2AC84812">
      <w:pPr>
        <w:pStyle w:val="178"/>
        <w:ind w:firstLine="480"/>
        <w:rPr>
          <w:color w:val="auto"/>
          <w:highlight w:val="none"/>
        </w:rPr>
      </w:pPr>
    </w:p>
    <w:p w14:paraId="16380AB6">
      <w:pPr>
        <w:pStyle w:val="178"/>
        <w:ind w:firstLine="562"/>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崇左市金融机构线上“政采贷”业务办理联络表</w:t>
      </w:r>
    </w:p>
    <w:tbl>
      <w:tblPr>
        <w:tblStyle w:val="50"/>
        <w:tblW w:w="8314" w:type="dxa"/>
        <w:tblInd w:w="96" w:type="dxa"/>
        <w:tblLayout w:type="fixed"/>
        <w:tblCellMar>
          <w:top w:w="0" w:type="dxa"/>
          <w:left w:w="108" w:type="dxa"/>
          <w:bottom w:w="0" w:type="dxa"/>
          <w:right w:w="108" w:type="dxa"/>
        </w:tblCellMar>
      </w:tblPr>
      <w:tblGrid>
        <w:gridCol w:w="2674"/>
        <w:gridCol w:w="3515"/>
        <w:gridCol w:w="2125"/>
      </w:tblGrid>
      <w:tr w14:paraId="280040C6">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vAlign w:val="center"/>
          </w:tcPr>
          <w:p w14:paraId="59300513">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金融机构名称</w:t>
            </w:r>
          </w:p>
        </w:tc>
        <w:tc>
          <w:tcPr>
            <w:tcW w:w="3515" w:type="dxa"/>
            <w:tcBorders>
              <w:top w:val="single" w:color="000000" w:sz="4" w:space="0"/>
              <w:left w:val="single" w:color="000000" w:sz="4" w:space="0"/>
              <w:bottom w:val="single" w:color="000000" w:sz="4" w:space="0"/>
              <w:right w:val="single" w:color="000000" w:sz="4" w:space="0"/>
            </w:tcBorders>
            <w:vAlign w:val="center"/>
          </w:tcPr>
          <w:p w14:paraId="42999BB8">
            <w:pPr>
              <w:widowControl/>
              <w:spacing w:line="400" w:lineRule="exact"/>
              <w:jc w:val="center"/>
              <w:textAlignment w:val="center"/>
              <w:rPr>
                <w:rFonts w:ascii="宋体" w:hAnsi="宋体" w:cs="宋体"/>
                <w:b/>
                <w:bCs/>
                <w:color w:val="auto"/>
                <w:sz w:val="28"/>
                <w:szCs w:val="28"/>
                <w:highlight w:val="none"/>
              </w:rPr>
            </w:pPr>
            <w:r>
              <w:rPr>
                <w:rFonts w:hint="eastAsia" w:ascii="宋体" w:hAnsi="宋体" w:cs="宋体"/>
                <w:b/>
                <w:bCs/>
                <w:color w:val="auto"/>
                <w:kern w:val="0"/>
                <w:sz w:val="28"/>
                <w:szCs w:val="28"/>
                <w:highlight w:val="none"/>
                <w:lang w:bidi="ar"/>
              </w:rPr>
              <w:t>地址</w:t>
            </w:r>
          </w:p>
        </w:tc>
        <w:tc>
          <w:tcPr>
            <w:tcW w:w="2125" w:type="dxa"/>
            <w:tcBorders>
              <w:top w:val="single" w:color="000000" w:sz="4" w:space="0"/>
              <w:left w:val="single" w:color="000000" w:sz="4" w:space="0"/>
              <w:bottom w:val="single" w:color="000000" w:sz="4" w:space="0"/>
              <w:right w:val="single" w:color="000000" w:sz="4" w:space="0"/>
            </w:tcBorders>
            <w:vAlign w:val="center"/>
          </w:tcPr>
          <w:p w14:paraId="7B5A0094">
            <w:pPr>
              <w:widowControl/>
              <w:spacing w:line="400" w:lineRule="exact"/>
              <w:jc w:val="center"/>
              <w:textAlignment w:val="center"/>
              <w:rPr>
                <w:rFonts w:ascii="宋体" w:hAnsi="宋体" w:cs="宋体"/>
                <w:b/>
                <w:bCs/>
                <w:color w:val="auto"/>
                <w:sz w:val="28"/>
                <w:szCs w:val="28"/>
                <w:highlight w:val="none"/>
              </w:rPr>
            </w:pPr>
            <w:r>
              <w:rPr>
                <w:rFonts w:hint="eastAsia" w:cs="宋体"/>
                <w:b/>
                <w:bCs/>
                <w:color w:val="auto"/>
                <w:kern w:val="0"/>
                <w:sz w:val="28"/>
                <w:szCs w:val="28"/>
                <w:highlight w:val="none"/>
                <w:lang w:bidi="ar"/>
              </w:rPr>
              <w:t>业务</w:t>
            </w:r>
            <w:r>
              <w:rPr>
                <w:rFonts w:hint="eastAsia" w:ascii="宋体" w:hAnsi="宋体" w:cs="宋体"/>
                <w:b/>
                <w:bCs/>
                <w:color w:val="auto"/>
                <w:kern w:val="0"/>
                <w:sz w:val="28"/>
                <w:szCs w:val="28"/>
                <w:highlight w:val="none"/>
                <w:lang w:bidi="ar"/>
              </w:rPr>
              <w:t>咨询电话</w:t>
            </w:r>
          </w:p>
        </w:tc>
      </w:tr>
      <w:tr w14:paraId="622617D4">
        <w:tblPrEx>
          <w:tblCellMar>
            <w:top w:w="0" w:type="dxa"/>
            <w:left w:w="108" w:type="dxa"/>
            <w:bottom w:w="0" w:type="dxa"/>
            <w:right w:w="108" w:type="dxa"/>
          </w:tblCellMar>
        </w:tblPrEx>
        <w:trPr>
          <w:trHeight w:val="36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64ECEDF3">
            <w:pPr>
              <w:widowControl/>
              <w:jc w:val="left"/>
              <w:textAlignment w:val="center"/>
              <w:rPr>
                <w:rFonts w:cs="宋体"/>
                <w:color w:val="auto"/>
                <w:szCs w:val="21"/>
                <w:highlight w:val="none"/>
              </w:rPr>
            </w:pPr>
            <w:r>
              <w:rPr>
                <w:rFonts w:hint="eastAsia" w:cs="宋体"/>
                <w:b/>
                <w:bCs/>
                <w:color w:val="auto"/>
                <w:szCs w:val="21"/>
                <w:highlight w:val="none"/>
              </w:rPr>
              <w:t>崇左市本级及江州区</w:t>
            </w:r>
          </w:p>
        </w:tc>
      </w:tr>
      <w:tr w14:paraId="60A8967C">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FB08E9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708EE1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崇左市骆越大道6号（东盟国际城）裙楼2号楼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68C13B6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0771-7820436 0771-7820439</w:t>
            </w:r>
          </w:p>
        </w:tc>
      </w:tr>
      <w:tr w14:paraId="1E43AD94">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06C1E9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BDF784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江州区友谊大道26号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D7CDB7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0771-7917212</w:t>
            </w:r>
          </w:p>
        </w:tc>
      </w:tr>
      <w:tr w14:paraId="2C91136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2E6F6F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5397A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江州区江南路48号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B0D172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0771-7917054</w:t>
            </w:r>
          </w:p>
        </w:tc>
      </w:tr>
      <w:tr w14:paraId="792C3E5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8C7E55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0E3906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崇左市江州区江南路73号建行大厦</w:t>
            </w:r>
          </w:p>
        </w:tc>
        <w:tc>
          <w:tcPr>
            <w:tcW w:w="2125" w:type="dxa"/>
            <w:tcBorders>
              <w:top w:val="single" w:color="000000" w:sz="4" w:space="0"/>
              <w:left w:val="single" w:color="000000" w:sz="4" w:space="0"/>
              <w:bottom w:val="single" w:color="000000" w:sz="4" w:space="0"/>
              <w:right w:val="single" w:color="000000" w:sz="4" w:space="0"/>
            </w:tcBorders>
            <w:vAlign w:val="center"/>
          </w:tcPr>
          <w:p w14:paraId="17A9C2C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0771-7831103</w:t>
            </w:r>
          </w:p>
        </w:tc>
      </w:tr>
      <w:tr w14:paraId="3112FDEC">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F9EAFB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F09195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崇左市江州区龙胤大厦五楼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1247FB54">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0771-7928650 0771-7920613</w:t>
            </w:r>
          </w:p>
        </w:tc>
      </w:tr>
      <w:tr w14:paraId="7235664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7842E1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崇左农商行授信审批部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4C028A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崇左市城西路109号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06E7DB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0771-7925660</w:t>
            </w:r>
          </w:p>
        </w:tc>
      </w:tr>
      <w:tr w14:paraId="361888C7">
        <w:tblPrEx>
          <w:tblCellMar>
            <w:top w:w="0" w:type="dxa"/>
            <w:left w:w="108" w:type="dxa"/>
            <w:bottom w:w="0" w:type="dxa"/>
            <w:right w:w="108" w:type="dxa"/>
          </w:tblCellMar>
        </w:tblPrEx>
        <w:trPr>
          <w:trHeight w:val="9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9B8B70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中国邮政储蓄银行崇左市分行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7F50E6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崇左市江州区骆越大道2号中国邮政储蓄银行崇左市分行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693976F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0771-7968699</w:t>
            </w:r>
          </w:p>
        </w:tc>
      </w:tr>
      <w:tr w14:paraId="3D260E39">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23CF11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桂林银行崇左分行营业部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412BBF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广西壮族自治区崇左市江州区友谊大道中段龙胤·财富广场101商铺（龙胤大厦六楼营业部）</w:t>
            </w:r>
          </w:p>
        </w:tc>
        <w:tc>
          <w:tcPr>
            <w:tcW w:w="2125" w:type="dxa"/>
            <w:tcBorders>
              <w:top w:val="single" w:color="000000" w:sz="4" w:space="0"/>
              <w:left w:val="single" w:color="000000" w:sz="4" w:space="0"/>
              <w:bottom w:val="single" w:color="000000" w:sz="4" w:space="0"/>
              <w:right w:val="single" w:color="000000" w:sz="4" w:space="0"/>
            </w:tcBorders>
            <w:vAlign w:val="center"/>
          </w:tcPr>
          <w:p w14:paraId="6821085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0771-7916636</w:t>
            </w:r>
          </w:p>
        </w:tc>
      </w:tr>
      <w:tr w14:paraId="49B3D575">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F75FD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桂林银行江州支行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F6EE0F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崇左市江州区建设路41号桂林银行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1BD6E32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0771-7988895</w:t>
            </w:r>
          </w:p>
        </w:tc>
      </w:tr>
      <w:tr w14:paraId="6245B13D">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1EEA9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A5F3A9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崇左市友谊大道中段西侧龙胤财富广场三期财富中心122号商铺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7695A53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0771-7960855</w:t>
            </w:r>
          </w:p>
        </w:tc>
      </w:tr>
      <w:tr w14:paraId="20F7AB62">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E2B0B8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广西北部湾银行崇左市中泰产业园支行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6BE0B9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广西壮族自治区崇左市江州区中泰产业园企业总部基地企业服务中心一楼</w:t>
            </w:r>
          </w:p>
        </w:tc>
        <w:tc>
          <w:tcPr>
            <w:tcW w:w="2125" w:type="dxa"/>
            <w:tcBorders>
              <w:top w:val="single" w:color="000000" w:sz="4" w:space="0"/>
              <w:left w:val="single" w:color="000000" w:sz="4" w:space="0"/>
              <w:bottom w:val="single" w:color="000000" w:sz="4" w:space="0"/>
              <w:right w:val="single" w:color="000000" w:sz="4" w:space="0"/>
            </w:tcBorders>
            <w:vAlign w:val="center"/>
          </w:tcPr>
          <w:p w14:paraId="39D3A22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0771-7821126</w:t>
            </w:r>
          </w:p>
        </w:tc>
      </w:tr>
      <w:tr w14:paraId="37A77B9A">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A884A3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广西北部湾银行崇左市丽江支行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B0E46C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崇左市江州区丽江路丽江明珠滨江花苑三期106-109号商铺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5F035F2A">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0771-7831866</w:t>
            </w:r>
          </w:p>
        </w:tc>
      </w:tr>
      <w:tr w14:paraId="0B6F7B1E">
        <w:tblPrEx>
          <w:tblCellMar>
            <w:top w:w="0" w:type="dxa"/>
            <w:left w:w="108" w:type="dxa"/>
            <w:bottom w:w="0" w:type="dxa"/>
            <w:right w:w="108" w:type="dxa"/>
          </w:tblCellMar>
        </w:tblPrEx>
        <w:trPr>
          <w:trHeight w:val="350"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22599A1C">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6AA8A46A">
        <w:tblPrEx>
          <w:tblCellMar>
            <w:top w:w="0" w:type="dxa"/>
            <w:left w:w="108" w:type="dxa"/>
            <w:bottom w:w="0" w:type="dxa"/>
            <w:right w:w="108" w:type="dxa"/>
          </w:tblCellMar>
        </w:tblPrEx>
        <w:trPr>
          <w:trHeight w:val="38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20015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475380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扶绥县新宁镇同正大道94号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954C5A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0771-7535612</w:t>
            </w:r>
          </w:p>
        </w:tc>
      </w:tr>
      <w:tr w14:paraId="534F2566">
        <w:tblPrEx>
          <w:tblCellMar>
            <w:top w:w="0" w:type="dxa"/>
            <w:left w:w="108" w:type="dxa"/>
            <w:bottom w:w="0" w:type="dxa"/>
            <w:right w:w="108" w:type="dxa"/>
          </w:tblCellMar>
        </w:tblPrEx>
        <w:trPr>
          <w:trHeight w:val="44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262A7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B1C95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扶绥县新宁镇新华路126号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520440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0771-7917330</w:t>
            </w:r>
          </w:p>
        </w:tc>
      </w:tr>
      <w:tr w14:paraId="2E2051A2">
        <w:tblPrEx>
          <w:tblCellMar>
            <w:top w:w="0" w:type="dxa"/>
            <w:left w:w="108" w:type="dxa"/>
            <w:bottom w:w="0" w:type="dxa"/>
            <w:right w:w="108" w:type="dxa"/>
          </w:tblCellMar>
        </w:tblPrEx>
        <w:trPr>
          <w:trHeight w:val="74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B11A98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A87218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扶绥县南密路6号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96BAA4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0771-7516511 0771-7531157</w:t>
            </w:r>
          </w:p>
        </w:tc>
      </w:tr>
      <w:tr w14:paraId="7F20696D">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B0205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建行扶绥空港支行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37E60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扶绥县双拥路3号东信华府18号楼一层</w:t>
            </w:r>
          </w:p>
        </w:tc>
        <w:tc>
          <w:tcPr>
            <w:tcW w:w="2125" w:type="dxa"/>
            <w:tcBorders>
              <w:top w:val="single" w:color="000000" w:sz="4" w:space="0"/>
              <w:left w:val="single" w:color="000000" w:sz="4" w:space="0"/>
              <w:bottom w:val="single" w:color="000000" w:sz="4" w:space="0"/>
              <w:right w:val="single" w:color="000000" w:sz="4" w:space="0"/>
            </w:tcBorders>
            <w:vAlign w:val="center"/>
          </w:tcPr>
          <w:p w14:paraId="249A897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0771-7525822</w:t>
            </w:r>
          </w:p>
        </w:tc>
      </w:tr>
      <w:tr w14:paraId="6ACE15FF">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417C56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F9E6B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扶绥县-扶绥大道16号山水城市广场一层商铺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023670F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0771-5025887</w:t>
            </w:r>
          </w:p>
        </w:tc>
      </w:tr>
      <w:tr w14:paraId="711A860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A5D1EA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62E369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扶绥县新宁镇永宁路2-1号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885835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0771-7533041</w:t>
            </w:r>
          </w:p>
        </w:tc>
      </w:tr>
      <w:tr w14:paraId="2F38D3CB">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A910B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中国邮政储蓄银行扶绥县支行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DB774A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扶绥县松江路138号中国邮政储蓄银行扶绥县支行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75F86BF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0771-7536178 0771-7536177</w:t>
            </w:r>
          </w:p>
        </w:tc>
      </w:tr>
      <w:tr w14:paraId="437D9BA9">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CF87D2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A9B720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广西崇左市扶绥县新宁镇松江路20号（桂林银行崇左扶绥支行）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36877F6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0771-7661101</w:t>
            </w:r>
          </w:p>
        </w:tc>
      </w:tr>
      <w:tr w14:paraId="06B4755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10F333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CBF9B7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崇左市扶绥县新宁镇同正大道333号碧园·未来城商业综合体13号楼一楼1050、1051号商铺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2345D48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0771-7500768</w:t>
            </w:r>
          </w:p>
        </w:tc>
      </w:tr>
      <w:tr w14:paraId="07B2EE72">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92F22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扶绥深通村镇银行业发部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87C307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扶绥县大景城1号楼正门旁</w:t>
            </w:r>
          </w:p>
        </w:tc>
        <w:tc>
          <w:tcPr>
            <w:tcW w:w="2125" w:type="dxa"/>
            <w:tcBorders>
              <w:top w:val="single" w:color="000000" w:sz="4" w:space="0"/>
              <w:left w:val="single" w:color="000000" w:sz="4" w:space="0"/>
              <w:bottom w:val="single" w:color="000000" w:sz="4" w:space="0"/>
              <w:right w:val="single" w:color="000000" w:sz="4" w:space="0"/>
            </w:tcBorders>
            <w:vAlign w:val="center"/>
          </w:tcPr>
          <w:p w14:paraId="7157968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0771-7525678</w:t>
            </w:r>
          </w:p>
        </w:tc>
      </w:tr>
      <w:tr w14:paraId="0783226D">
        <w:tblPrEx>
          <w:tblCellMar>
            <w:top w:w="0" w:type="dxa"/>
            <w:left w:w="108" w:type="dxa"/>
            <w:bottom w:w="0" w:type="dxa"/>
            <w:right w:w="108" w:type="dxa"/>
          </w:tblCellMar>
        </w:tblPrEx>
        <w:trPr>
          <w:trHeight w:val="47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3F8B69A">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宁明县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2F51488">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2C1A6436">
            <w:pPr>
              <w:widowControl/>
              <w:jc w:val="center"/>
              <w:textAlignment w:val="center"/>
              <w:rPr>
                <w:rFonts w:ascii="宋体" w:hAnsi="宋体" w:cs="宋体"/>
                <w:color w:val="auto"/>
                <w:szCs w:val="21"/>
                <w:highlight w:val="none"/>
              </w:rPr>
            </w:pPr>
          </w:p>
        </w:tc>
      </w:tr>
      <w:tr w14:paraId="7B56997A">
        <w:tblPrEx>
          <w:tblCellMar>
            <w:top w:w="0" w:type="dxa"/>
            <w:left w:w="108" w:type="dxa"/>
            <w:bottom w:w="0" w:type="dxa"/>
            <w:right w:w="108" w:type="dxa"/>
          </w:tblCellMar>
        </w:tblPrEx>
        <w:trPr>
          <w:trHeight w:val="36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F85A40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14E1E5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宁明县城中镇兴远街70号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E0423C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0771-8620729</w:t>
            </w:r>
          </w:p>
        </w:tc>
      </w:tr>
      <w:tr w14:paraId="592A38DA">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FBFE3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农业银行宁明县支行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BFDEF8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宁明县城中镇明阳街11号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415CC9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0771-7917093</w:t>
            </w:r>
          </w:p>
        </w:tc>
      </w:tr>
      <w:tr w14:paraId="5474C2F5">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DA4ECF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2558509">
            <w:pPr>
              <w:widowControl/>
              <w:spacing w:after="90" w:line="23" w:lineRule="atLeast"/>
              <w:jc w:val="left"/>
              <w:rPr>
                <w:rFonts w:ascii="宋体" w:hAnsi="宋体" w:cs="宋体"/>
                <w:color w:val="auto"/>
                <w:szCs w:val="21"/>
                <w:highlight w:val="none"/>
              </w:rPr>
            </w:pPr>
            <w:r>
              <w:rPr>
                <w:rFonts w:hint="eastAsia" w:ascii="宋体" w:hAnsi="宋体" w:cs="宋体"/>
                <w:color w:val="auto"/>
                <w:kern w:val="0"/>
                <w:szCs w:val="21"/>
                <w:highlight w:val="none"/>
                <w:lang w:bidi="ar"/>
              </w:rPr>
              <w:t>宁明县城中镇兴宁大道77号明江财富广场一层1-13号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5491B0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0771-8629006</w:t>
            </w:r>
          </w:p>
        </w:tc>
      </w:tr>
      <w:tr w14:paraId="72B8C4D1">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802C27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2FD55B4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宁明县城中镇明阳街3号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DB09E37">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0771-8628166</w:t>
            </w:r>
          </w:p>
        </w:tc>
      </w:tr>
      <w:tr w14:paraId="7F6EBAB9">
        <w:tblPrEx>
          <w:tblCellMar>
            <w:top w:w="0" w:type="dxa"/>
            <w:left w:w="108" w:type="dxa"/>
            <w:bottom w:w="0" w:type="dxa"/>
            <w:right w:w="108" w:type="dxa"/>
          </w:tblCellMar>
        </w:tblPrEx>
        <w:trPr>
          <w:trHeight w:val="439"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BB43D5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463B952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宁明县城中镇兴宁大道中70号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6511D3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0771-8630787</w:t>
            </w:r>
          </w:p>
        </w:tc>
      </w:tr>
      <w:tr w14:paraId="04386D1B">
        <w:tblPrEx>
          <w:tblCellMar>
            <w:top w:w="0" w:type="dxa"/>
            <w:left w:w="108" w:type="dxa"/>
            <w:bottom w:w="0" w:type="dxa"/>
            <w:right w:w="108" w:type="dxa"/>
          </w:tblCellMar>
        </w:tblPrEx>
        <w:trPr>
          <w:trHeight w:val="32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1B4063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广西北部湾银行宁明支行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D02908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崇左市宁明县城中镇兴宁大道中79号（明都大酒店）A幢楼1楼铺面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5A0C36CC">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0771-8622237</w:t>
            </w:r>
          </w:p>
        </w:tc>
      </w:tr>
      <w:tr w14:paraId="02242AB7">
        <w:tblPrEx>
          <w:tblCellMar>
            <w:top w:w="0" w:type="dxa"/>
            <w:left w:w="108" w:type="dxa"/>
            <w:bottom w:w="0" w:type="dxa"/>
            <w:right w:w="108" w:type="dxa"/>
          </w:tblCellMar>
        </w:tblPrEx>
        <w:trPr>
          <w:trHeight w:val="377"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1579A08D">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扶绥县</w:t>
            </w:r>
          </w:p>
        </w:tc>
      </w:tr>
      <w:tr w14:paraId="6B597617">
        <w:tblPrEx>
          <w:tblCellMar>
            <w:top w:w="0" w:type="dxa"/>
            <w:left w:w="108" w:type="dxa"/>
            <w:bottom w:w="0" w:type="dxa"/>
            <w:right w:w="108" w:type="dxa"/>
          </w:tblCellMar>
        </w:tblPrEx>
        <w:trPr>
          <w:trHeight w:val="391"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D59671">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工商银行扶绥县支行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FD8091F">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扶绥县桃城镇民生街98号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E4776F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0771-3628078</w:t>
            </w:r>
          </w:p>
        </w:tc>
      </w:tr>
      <w:tr w14:paraId="0F93D15F">
        <w:tblPrEx>
          <w:tblCellMar>
            <w:top w:w="0" w:type="dxa"/>
            <w:left w:w="108" w:type="dxa"/>
            <w:bottom w:w="0" w:type="dxa"/>
            <w:right w:w="108" w:type="dxa"/>
          </w:tblCellMar>
        </w:tblPrEx>
        <w:trPr>
          <w:trHeight w:val="45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D27A0D">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农业银行扶绥县支行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4786DD5">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扶绥县桃城镇伦理路223号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30C972C">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w:t>
            </w:r>
            <w:r>
              <w:rPr>
                <w:rFonts w:hint="eastAsia" w:ascii="宋体" w:hAnsi="宋体" w:cs="宋体"/>
                <w:color w:val="auto"/>
                <w:szCs w:val="21"/>
                <w:highlight w:val="none"/>
              </w:rPr>
              <w:t>7917015</w:t>
            </w:r>
          </w:p>
        </w:tc>
      </w:tr>
      <w:tr w14:paraId="7C0D34D6">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D4F0960">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建行扶绥支行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8E76DD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扶绥县民生街7号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2134FB86">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0771-3689766</w:t>
            </w:r>
          </w:p>
        </w:tc>
      </w:tr>
      <w:tr w14:paraId="431270E2">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756F16">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扶绥农商行三农零售与乡村振兴金融部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50FF83D">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扶绥县城养利路131号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D3CD785">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0771-3623887</w:t>
            </w:r>
          </w:p>
        </w:tc>
      </w:tr>
      <w:tr w14:paraId="6FAD6EDF">
        <w:tblPrEx>
          <w:tblCellMar>
            <w:top w:w="0" w:type="dxa"/>
            <w:left w:w="108" w:type="dxa"/>
            <w:bottom w:w="0" w:type="dxa"/>
            <w:right w:w="108" w:type="dxa"/>
          </w:tblCellMar>
        </w:tblPrEx>
        <w:trPr>
          <w:trHeight w:val="6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E9D4320">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桂林银行崇左扶绥支行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5D2EB88">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崇左市扶绥县桃城镇民生街7号东盟商业广场1楼桂林银行</w:t>
            </w:r>
          </w:p>
        </w:tc>
        <w:tc>
          <w:tcPr>
            <w:tcW w:w="2125" w:type="dxa"/>
            <w:tcBorders>
              <w:top w:val="single" w:color="000000" w:sz="4" w:space="0"/>
              <w:left w:val="single" w:color="000000" w:sz="4" w:space="0"/>
              <w:bottom w:val="single" w:color="000000" w:sz="4" w:space="0"/>
              <w:right w:val="single" w:color="000000" w:sz="4" w:space="0"/>
            </w:tcBorders>
            <w:vAlign w:val="center"/>
          </w:tcPr>
          <w:p w14:paraId="06D8144F">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0771-3621996</w:t>
            </w:r>
          </w:p>
        </w:tc>
      </w:tr>
      <w:tr w14:paraId="711169FF">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BAED059">
            <w:pPr>
              <w:widowControl/>
              <w:jc w:val="left"/>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广西北部湾银行扶绥支行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3E77B74">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崇左市扶绥县桃城镇伦理路230号1楼铺面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2C35DAA4">
            <w:pPr>
              <w:widowControl/>
              <w:jc w:val="center"/>
              <w:textAlignment w:val="center"/>
              <w:rPr>
                <w:rFonts w:ascii="宋体" w:hAnsi="宋体" w:cs="宋体"/>
                <w:color w:val="auto"/>
                <w:kern w:val="0"/>
                <w:szCs w:val="21"/>
                <w:highlight w:val="none"/>
                <w:lang w:bidi="ar"/>
              </w:rPr>
            </w:pPr>
            <w:r>
              <w:rPr>
                <w:rFonts w:hint="eastAsia" w:ascii="宋体" w:hAnsi="宋体" w:cs="宋体"/>
                <w:color w:val="auto"/>
                <w:szCs w:val="21"/>
                <w:highlight w:val="none"/>
              </w:rPr>
              <w:t>0771-3628366</w:t>
            </w:r>
          </w:p>
        </w:tc>
      </w:tr>
      <w:tr w14:paraId="19253ADE">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D0375F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崇左扶绥长江村镇银行营业部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7AF25199">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扶绥县桃城镇德天大道74-1号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411BAC7">
            <w:pPr>
              <w:widowControl/>
              <w:jc w:val="center"/>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0771-3698002</w:t>
            </w:r>
          </w:p>
        </w:tc>
      </w:tr>
      <w:tr w14:paraId="56FE8C9D">
        <w:tblPrEx>
          <w:tblCellMar>
            <w:top w:w="0" w:type="dxa"/>
            <w:left w:w="108" w:type="dxa"/>
            <w:bottom w:w="0" w:type="dxa"/>
            <w:right w:w="108" w:type="dxa"/>
          </w:tblCellMar>
        </w:tblPrEx>
        <w:trPr>
          <w:trHeight w:val="42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99EC3E7">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崇左扶绥长江村镇银行百汇支行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ED55FDC">
            <w:pPr>
              <w:widowControl/>
              <w:jc w:val="left"/>
              <w:textAlignment w:val="center"/>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扶绥县桃城镇伦那路8号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C5F792D">
            <w:pPr>
              <w:widowControl/>
              <w:jc w:val="center"/>
              <w:textAlignment w:val="center"/>
              <w:rPr>
                <w:rFonts w:ascii="宋体" w:hAnsi="宋体" w:cs="宋体"/>
                <w:color w:val="auto"/>
                <w:szCs w:val="21"/>
                <w:highlight w:val="none"/>
              </w:rPr>
            </w:pPr>
            <w:r>
              <w:rPr>
                <w:rFonts w:hint="eastAsia" w:ascii="宋体" w:hAnsi="宋体" w:cs="宋体"/>
                <w:color w:val="auto"/>
                <w:kern w:val="0"/>
                <w:szCs w:val="21"/>
                <w:highlight w:val="none"/>
                <w:lang w:bidi="ar"/>
              </w:rPr>
              <w:t>0771-3626199</w:t>
            </w:r>
          </w:p>
        </w:tc>
      </w:tr>
      <w:tr w14:paraId="7627E0FD">
        <w:tblPrEx>
          <w:tblCellMar>
            <w:top w:w="0" w:type="dxa"/>
            <w:left w:w="108" w:type="dxa"/>
            <w:bottom w:w="0" w:type="dxa"/>
            <w:right w:w="108" w:type="dxa"/>
          </w:tblCellMar>
        </w:tblPrEx>
        <w:trPr>
          <w:trHeight w:val="35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06F7395">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大新县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74E32EF2">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E769C6E">
            <w:pPr>
              <w:widowControl/>
              <w:jc w:val="center"/>
              <w:textAlignment w:val="center"/>
              <w:rPr>
                <w:rFonts w:ascii="宋体" w:hAnsi="宋体" w:cs="宋体"/>
                <w:color w:val="auto"/>
                <w:szCs w:val="21"/>
                <w:highlight w:val="none"/>
              </w:rPr>
            </w:pPr>
          </w:p>
        </w:tc>
      </w:tr>
      <w:tr w14:paraId="48B865F9">
        <w:tblPrEx>
          <w:tblCellMar>
            <w:top w:w="0" w:type="dxa"/>
            <w:left w:w="108" w:type="dxa"/>
            <w:bottom w:w="0" w:type="dxa"/>
            <w:right w:w="108" w:type="dxa"/>
          </w:tblCellMar>
        </w:tblPrEx>
        <w:trPr>
          <w:trHeight w:val="428"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233C850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6B456F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大新县龙江街60号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FF5272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0771-8868619</w:t>
            </w:r>
          </w:p>
        </w:tc>
      </w:tr>
      <w:tr w14:paraId="1431259C">
        <w:tblPrEx>
          <w:tblCellMar>
            <w:top w:w="0" w:type="dxa"/>
            <w:left w:w="108" w:type="dxa"/>
            <w:bottom w:w="0" w:type="dxa"/>
            <w:right w:w="108" w:type="dxa"/>
          </w:tblCellMar>
        </w:tblPrEx>
        <w:trPr>
          <w:trHeight w:val="544"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F855F7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农业银行大新县支行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48DE742">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大新县龙州镇康平街26号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D24B56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0771-8812504</w:t>
            </w:r>
          </w:p>
        </w:tc>
      </w:tr>
      <w:tr w14:paraId="7E074251">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6769A41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5CD01B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大新县龙夏路2号龙州商业广场D栋1号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EED6202">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0771-8820525</w:t>
            </w:r>
          </w:p>
        </w:tc>
      </w:tr>
      <w:tr w14:paraId="6B67DCBE">
        <w:tblPrEx>
          <w:tblCellMar>
            <w:top w:w="0" w:type="dxa"/>
            <w:left w:w="108" w:type="dxa"/>
            <w:bottom w:w="0" w:type="dxa"/>
            <w:right w:w="108" w:type="dxa"/>
          </w:tblCellMar>
        </w:tblPrEx>
        <w:trPr>
          <w:trHeight w:val="41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7A3123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龙州农商行公司机构金融</w:t>
            </w:r>
            <w:r>
              <w:rPr>
                <w:rFonts w:hint="eastAsia" w:cs="宋体"/>
                <w:color w:val="auto"/>
                <w:szCs w:val="21"/>
                <w:highlight w:val="none"/>
              </w:rPr>
              <w:t>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0A0160C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大新县龙州镇独山路172号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677E7D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0771-8813013</w:t>
            </w:r>
          </w:p>
        </w:tc>
      </w:tr>
      <w:tr w14:paraId="61BF86F3">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3F408AF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F29A39">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大新县龙州镇同顾大道1号同顾·中央公园20栋10号—13号房</w:t>
            </w:r>
          </w:p>
        </w:tc>
        <w:tc>
          <w:tcPr>
            <w:tcW w:w="2125" w:type="dxa"/>
            <w:tcBorders>
              <w:top w:val="single" w:color="000000" w:sz="4" w:space="0"/>
              <w:left w:val="single" w:color="000000" w:sz="4" w:space="0"/>
              <w:bottom w:val="single" w:color="000000" w:sz="4" w:space="0"/>
              <w:right w:val="single" w:color="000000" w:sz="4" w:space="0"/>
            </w:tcBorders>
            <w:vAlign w:val="center"/>
          </w:tcPr>
          <w:p w14:paraId="0CDD1E8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0771-8871021</w:t>
            </w:r>
          </w:p>
        </w:tc>
      </w:tr>
      <w:tr w14:paraId="71617844">
        <w:tblPrEx>
          <w:tblCellMar>
            <w:top w:w="0" w:type="dxa"/>
            <w:left w:w="108" w:type="dxa"/>
            <w:bottom w:w="0" w:type="dxa"/>
            <w:right w:w="108" w:type="dxa"/>
          </w:tblCellMar>
        </w:tblPrEx>
        <w:trPr>
          <w:trHeight w:val="33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23AAC5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广西北部湾银行龙州支行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73A09F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崇左市大新县龙州镇龙夏路1号、3号、5号（南湖商务酒店）一楼铺面</w:t>
            </w:r>
          </w:p>
        </w:tc>
        <w:tc>
          <w:tcPr>
            <w:tcW w:w="2125" w:type="dxa"/>
            <w:tcBorders>
              <w:top w:val="single" w:color="000000" w:sz="4" w:space="0"/>
              <w:left w:val="single" w:color="000000" w:sz="4" w:space="0"/>
              <w:bottom w:val="single" w:color="000000" w:sz="4" w:space="0"/>
              <w:right w:val="single" w:color="000000" w:sz="4" w:space="0"/>
            </w:tcBorders>
            <w:vAlign w:val="center"/>
          </w:tcPr>
          <w:p w14:paraId="463F545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0771-8811533</w:t>
            </w:r>
          </w:p>
        </w:tc>
      </w:tr>
      <w:tr w14:paraId="1994942E">
        <w:tblPrEx>
          <w:tblCellMar>
            <w:top w:w="0" w:type="dxa"/>
            <w:left w:w="108" w:type="dxa"/>
            <w:bottom w:w="0" w:type="dxa"/>
            <w:right w:w="108" w:type="dxa"/>
          </w:tblCellMar>
        </w:tblPrEx>
        <w:trPr>
          <w:trHeight w:val="48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038AA6C">
            <w:pPr>
              <w:widowControl/>
              <w:textAlignment w:val="center"/>
              <w:rPr>
                <w:rFonts w:ascii="宋体" w:hAnsi="宋体" w:cs="宋体"/>
                <w:color w:val="auto"/>
                <w:szCs w:val="21"/>
                <w:highlight w:val="none"/>
              </w:rPr>
            </w:pPr>
            <w:r>
              <w:rPr>
                <w:rFonts w:hint="eastAsia" w:ascii="宋体" w:hAnsi="宋体" w:cs="宋体"/>
                <w:b/>
                <w:bCs/>
                <w:color w:val="auto"/>
                <w:szCs w:val="21"/>
                <w:highlight w:val="none"/>
              </w:rPr>
              <w:t>天等县</w:t>
            </w:r>
          </w:p>
        </w:tc>
        <w:tc>
          <w:tcPr>
            <w:tcW w:w="3515" w:type="dxa"/>
            <w:tcBorders>
              <w:top w:val="single" w:color="000000" w:sz="4" w:space="0"/>
              <w:left w:val="single" w:color="000000" w:sz="4" w:space="0"/>
              <w:bottom w:val="single" w:color="000000" w:sz="4" w:space="0"/>
              <w:right w:val="single" w:color="000000" w:sz="4" w:space="0"/>
            </w:tcBorders>
            <w:vAlign w:val="center"/>
          </w:tcPr>
          <w:p w14:paraId="2439787C">
            <w:pPr>
              <w:widowControl/>
              <w:jc w:val="left"/>
              <w:textAlignment w:val="center"/>
              <w:rPr>
                <w:rFonts w:ascii="宋体" w:hAnsi="宋体" w:cs="宋体"/>
                <w:color w:val="auto"/>
                <w:szCs w:val="21"/>
                <w:highlight w:val="none"/>
              </w:rPr>
            </w:pPr>
          </w:p>
        </w:tc>
        <w:tc>
          <w:tcPr>
            <w:tcW w:w="2125" w:type="dxa"/>
            <w:tcBorders>
              <w:top w:val="single" w:color="000000" w:sz="4" w:space="0"/>
              <w:left w:val="single" w:color="000000" w:sz="4" w:space="0"/>
              <w:bottom w:val="single" w:color="000000" w:sz="4" w:space="0"/>
              <w:right w:val="single" w:color="000000" w:sz="4" w:space="0"/>
            </w:tcBorders>
            <w:vAlign w:val="center"/>
          </w:tcPr>
          <w:p w14:paraId="5D7F301E">
            <w:pPr>
              <w:widowControl/>
              <w:jc w:val="center"/>
              <w:textAlignment w:val="center"/>
              <w:rPr>
                <w:rFonts w:ascii="宋体" w:hAnsi="宋体" w:cs="宋体"/>
                <w:color w:val="auto"/>
                <w:szCs w:val="21"/>
                <w:highlight w:val="none"/>
              </w:rPr>
            </w:pPr>
          </w:p>
        </w:tc>
      </w:tr>
      <w:tr w14:paraId="6C3307E1">
        <w:tblPrEx>
          <w:tblCellMar>
            <w:top w:w="0" w:type="dxa"/>
            <w:left w:w="108" w:type="dxa"/>
            <w:bottom w:w="0" w:type="dxa"/>
            <w:right w:w="108" w:type="dxa"/>
          </w:tblCellMar>
        </w:tblPrEx>
        <w:trPr>
          <w:trHeight w:val="27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750F07A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3649B06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天等县天等镇朝阳东路054号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B25FFDD">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0771-3532211</w:t>
            </w:r>
          </w:p>
        </w:tc>
      </w:tr>
      <w:tr w14:paraId="30EDDC56">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D1544A">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农业银行天等县支行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298DAFF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 xml:space="preserve"> 天等县天等镇天宝北路007号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91261CE">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0771-7917046</w:t>
            </w:r>
          </w:p>
        </w:tc>
      </w:tr>
      <w:tr w14:paraId="2180389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7AA376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天等农商行公司机构金融部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3E87790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天等县天等镇仕民路48号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0466E43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0771-3521361</w:t>
            </w:r>
          </w:p>
        </w:tc>
      </w:tr>
      <w:tr w14:paraId="1DD87905">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633ED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桂林银行崇左天等支行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A13654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广西崇左市天等县天等镇天宝北路天府中央城5号楼115号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04F43A0">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0771-3522157</w:t>
            </w:r>
          </w:p>
        </w:tc>
      </w:tr>
      <w:tr w14:paraId="6179ADFF">
        <w:tblPrEx>
          <w:tblCellMar>
            <w:top w:w="0" w:type="dxa"/>
            <w:left w:w="108" w:type="dxa"/>
            <w:bottom w:w="0" w:type="dxa"/>
            <w:right w:w="108" w:type="dxa"/>
          </w:tblCellMar>
        </w:tblPrEx>
        <w:trPr>
          <w:trHeight w:val="39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3636955">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广西北部湾银行天等支行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72F93CA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崇左市天等县天宝南路002号天富商业广场28栋一层商铺6-17号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374645F">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0771-3528688</w:t>
            </w:r>
          </w:p>
        </w:tc>
      </w:tr>
      <w:tr w14:paraId="57011757">
        <w:tblPrEx>
          <w:tblCellMar>
            <w:top w:w="0" w:type="dxa"/>
            <w:left w:w="108" w:type="dxa"/>
            <w:bottom w:w="0" w:type="dxa"/>
            <w:right w:w="108" w:type="dxa"/>
          </w:tblCellMar>
        </w:tblPrEx>
        <w:trPr>
          <w:trHeight w:val="335" w:hRule="atLeast"/>
        </w:trPr>
        <w:tc>
          <w:tcPr>
            <w:tcW w:w="8314" w:type="dxa"/>
            <w:gridSpan w:val="3"/>
            <w:tcBorders>
              <w:top w:val="single" w:color="000000" w:sz="4" w:space="0"/>
              <w:left w:val="single" w:color="000000" w:sz="4" w:space="0"/>
              <w:bottom w:val="single" w:color="000000" w:sz="4" w:space="0"/>
              <w:right w:val="single" w:color="000000" w:sz="4" w:space="0"/>
            </w:tcBorders>
            <w:noWrap/>
            <w:vAlign w:val="center"/>
          </w:tcPr>
          <w:p w14:paraId="503E3EF5">
            <w:pPr>
              <w:widowControl/>
              <w:jc w:val="left"/>
              <w:textAlignment w:val="center"/>
              <w:rPr>
                <w:rFonts w:ascii="宋体" w:hAnsi="宋体" w:cs="宋体"/>
                <w:color w:val="auto"/>
                <w:szCs w:val="21"/>
                <w:highlight w:val="none"/>
              </w:rPr>
            </w:pPr>
            <w:r>
              <w:rPr>
                <w:rFonts w:hint="eastAsia" w:ascii="宋体" w:hAnsi="宋体" w:cs="宋体"/>
                <w:b/>
                <w:bCs/>
                <w:color w:val="auto"/>
                <w:szCs w:val="21"/>
                <w:highlight w:val="none"/>
              </w:rPr>
              <w:t>凭祥市</w:t>
            </w:r>
          </w:p>
        </w:tc>
      </w:tr>
      <w:tr w14:paraId="6860C99D">
        <w:tblPrEx>
          <w:tblCellMar>
            <w:top w:w="0" w:type="dxa"/>
            <w:left w:w="108" w:type="dxa"/>
            <w:bottom w:w="0" w:type="dxa"/>
            <w:right w:w="108" w:type="dxa"/>
          </w:tblCellMar>
        </w:tblPrEx>
        <w:trPr>
          <w:trHeight w:val="440"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4F5207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工商银行凭祥分行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D0B192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凭祥市新华路5号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49622BE9">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0771-8529259</w:t>
            </w:r>
          </w:p>
        </w:tc>
      </w:tr>
      <w:tr w14:paraId="349BFB5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8AD8420">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农业银行凭祥支行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057EF9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凭祥市北大路216号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38ECC89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0771-7917258</w:t>
            </w:r>
          </w:p>
        </w:tc>
      </w:tr>
      <w:tr w14:paraId="10772667">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B14D9F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D1DAF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凭祥市屏山路138号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1DDA1BF8">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0771-8525068</w:t>
            </w:r>
            <w:r>
              <w:rPr>
                <w:rFonts w:hint="eastAsia" w:cs="宋体"/>
                <w:color w:val="auto"/>
                <w:szCs w:val="21"/>
                <w:highlight w:val="none"/>
              </w:rPr>
              <w:t xml:space="preserve"> </w:t>
            </w:r>
            <w:r>
              <w:rPr>
                <w:rFonts w:hint="eastAsia" w:ascii="宋体" w:hAnsi="宋体" w:cs="宋体"/>
                <w:color w:val="auto"/>
                <w:szCs w:val="21"/>
                <w:highlight w:val="none"/>
              </w:rPr>
              <w:t>0771-8536852</w:t>
            </w:r>
          </w:p>
        </w:tc>
      </w:tr>
      <w:tr w14:paraId="3A5069B8">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45FFA3B7">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建行凭祥中区支行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5D44A491">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凭祥市金象大道香格里拉3幢3-01至3-03号商铺</w:t>
            </w:r>
          </w:p>
        </w:tc>
        <w:tc>
          <w:tcPr>
            <w:tcW w:w="2125" w:type="dxa"/>
            <w:tcBorders>
              <w:top w:val="single" w:color="000000" w:sz="4" w:space="0"/>
              <w:left w:val="single" w:color="000000" w:sz="4" w:space="0"/>
              <w:bottom w:val="single" w:color="000000" w:sz="4" w:space="0"/>
              <w:right w:val="single" w:color="000000" w:sz="4" w:space="0"/>
            </w:tcBorders>
            <w:vAlign w:val="center"/>
          </w:tcPr>
          <w:p w14:paraId="3E570FE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0771-8551161</w:t>
            </w:r>
          </w:p>
        </w:tc>
      </w:tr>
      <w:tr w14:paraId="4C81DCB3">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FB40CBD">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建行凭祥浦寨支行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5E9F614">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凭祥市浦寨商业城万泰一楼8-9号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783ED7DB">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0771-8561665</w:t>
            </w:r>
          </w:p>
        </w:tc>
      </w:tr>
      <w:tr w14:paraId="168C8D46">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1D287BC3">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中国银行凭祥支行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0A2C1D2E">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凭祥市-北环路112号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797A8F5">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0771-8520356</w:t>
            </w:r>
          </w:p>
        </w:tc>
      </w:tr>
      <w:tr w14:paraId="3BF07CD0">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C3C5326">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凭祥农商行业务拓展部</w:t>
            </w:r>
          </w:p>
        </w:tc>
        <w:tc>
          <w:tcPr>
            <w:tcW w:w="3515" w:type="dxa"/>
            <w:tcBorders>
              <w:top w:val="single" w:color="000000" w:sz="4" w:space="0"/>
              <w:left w:val="single" w:color="000000" w:sz="4" w:space="0"/>
              <w:bottom w:val="single" w:color="000000" w:sz="4" w:space="0"/>
              <w:right w:val="single" w:color="000000" w:sz="4" w:space="0"/>
            </w:tcBorders>
            <w:vAlign w:val="center"/>
          </w:tcPr>
          <w:p w14:paraId="610F56A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凭祥市友谊关大道13号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7C36E91">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0771-8535667</w:t>
            </w:r>
          </w:p>
        </w:tc>
      </w:tr>
      <w:tr w14:paraId="3AE9120F">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50C0D08B">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桂林银行广西自贸试验区崇左片区凭祥支行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6F0D5F6F">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凭祥市北大路一支40号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60E0C2A3">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0771-8520550</w:t>
            </w:r>
          </w:p>
        </w:tc>
      </w:tr>
      <w:tr w14:paraId="0EAA68A9">
        <w:tblPrEx>
          <w:tblCellMar>
            <w:top w:w="0" w:type="dxa"/>
            <w:left w:w="108" w:type="dxa"/>
            <w:bottom w:w="0" w:type="dxa"/>
            <w:right w:w="108" w:type="dxa"/>
          </w:tblCellMar>
        </w:tblPrEx>
        <w:trPr>
          <w:trHeight w:val="215" w:hRule="atLeast"/>
        </w:trPr>
        <w:tc>
          <w:tcPr>
            <w:tcW w:w="2674" w:type="dxa"/>
            <w:tcBorders>
              <w:top w:val="single" w:color="000000" w:sz="4" w:space="0"/>
              <w:left w:val="single" w:color="000000" w:sz="4" w:space="0"/>
              <w:bottom w:val="single" w:color="000000" w:sz="4" w:space="0"/>
              <w:right w:val="single" w:color="000000" w:sz="4" w:space="0"/>
            </w:tcBorders>
            <w:noWrap/>
            <w:vAlign w:val="center"/>
          </w:tcPr>
          <w:p w14:paraId="0186BBB8">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广西北部湾银行广西自贸试验区崇左片区凭祥支行</w:t>
            </w:r>
          </w:p>
        </w:tc>
        <w:tc>
          <w:tcPr>
            <w:tcW w:w="3515" w:type="dxa"/>
            <w:tcBorders>
              <w:top w:val="single" w:color="000000" w:sz="4" w:space="0"/>
              <w:left w:val="single" w:color="000000" w:sz="4" w:space="0"/>
              <w:bottom w:val="single" w:color="000000" w:sz="4" w:space="0"/>
              <w:right w:val="single" w:color="000000" w:sz="4" w:space="0"/>
            </w:tcBorders>
            <w:vAlign w:val="center"/>
          </w:tcPr>
          <w:p w14:paraId="13CF8E4C">
            <w:pPr>
              <w:widowControl/>
              <w:jc w:val="left"/>
              <w:textAlignment w:val="center"/>
              <w:rPr>
                <w:rFonts w:ascii="宋体" w:hAnsi="宋体" w:cs="宋体"/>
                <w:color w:val="auto"/>
                <w:szCs w:val="21"/>
                <w:highlight w:val="none"/>
              </w:rPr>
            </w:pPr>
            <w:r>
              <w:rPr>
                <w:rFonts w:hint="eastAsia" w:ascii="宋体" w:hAnsi="宋体" w:cs="宋体"/>
                <w:color w:val="auto"/>
                <w:szCs w:val="21"/>
                <w:highlight w:val="none"/>
              </w:rPr>
              <w:t>凭祥市北大路一支60-1号</w:t>
            </w:r>
          </w:p>
        </w:tc>
        <w:tc>
          <w:tcPr>
            <w:tcW w:w="2125" w:type="dxa"/>
            <w:tcBorders>
              <w:top w:val="single" w:color="000000" w:sz="4" w:space="0"/>
              <w:left w:val="single" w:color="000000" w:sz="4" w:space="0"/>
              <w:bottom w:val="single" w:color="000000" w:sz="4" w:space="0"/>
              <w:right w:val="single" w:color="000000" w:sz="4" w:space="0"/>
            </w:tcBorders>
            <w:vAlign w:val="center"/>
          </w:tcPr>
          <w:p w14:paraId="5967A026">
            <w:pPr>
              <w:widowControl/>
              <w:jc w:val="center"/>
              <w:textAlignment w:val="center"/>
              <w:rPr>
                <w:rFonts w:ascii="宋体" w:hAnsi="宋体" w:cs="宋体"/>
                <w:color w:val="auto"/>
                <w:szCs w:val="21"/>
                <w:highlight w:val="none"/>
              </w:rPr>
            </w:pPr>
            <w:r>
              <w:rPr>
                <w:rFonts w:hint="eastAsia" w:ascii="宋体" w:hAnsi="宋体" w:cs="宋体"/>
                <w:color w:val="auto"/>
                <w:szCs w:val="21"/>
                <w:highlight w:val="none"/>
              </w:rPr>
              <w:t>0771-8556667</w:t>
            </w:r>
          </w:p>
        </w:tc>
      </w:tr>
    </w:tbl>
    <w:p w14:paraId="156DE31A">
      <w:pPr>
        <w:pStyle w:val="180"/>
        <w:rPr>
          <w:color w:val="auto"/>
          <w:highlight w:val="none"/>
        </w:rPr>
      </w:pPr>
    </w:p>
    <w:p w14:paraId="1E3B8349">
      <w:pPr>
        <w:pStyle w:val="181"/>
        <w:rPr>
          <w:color w:val="auto"/>
          <w:highlight w:val="none"/>
        </w:rPr>
      </w:pPr>
    </w:p>
    <w:p w14:paraId="7DC5D126">
      <w:pPr>
        <w:pStyle w:val="180"/>
        <w:rPr>
          <w:color w:val="auto"/>
          <w:highlight w:val="none"/>
        </w:rPr>
      </w:pPr>
    </w:p>
    <w:p w14:paraId="781884C9">
      <w:pPr>
        <w:pStyle w:val="181"/>
        <w:rPr>
          <w:color w:val="auto"/>
          <w:highlight w:val="none"/>
        </w:rPr>
      </w:pPr>
    </w:p>
    <w:p w14:paraId="2A71E8AD">
      <w:pPr>
        <w:pStyle w:val="180"/>
        <w:rPr>
          <w:color w:val="auto"/>
          <w:highlight w:val="none"/>
        </w:rPr>
      </w:pPr>
    </w:p>
    <w:p w14:paraId="60780018">
      <w:pPr>
        <w:pStyle w:val="181"/>
        <w:rPr>
          <w:color w:val="auto"/>
          <w:highlight w:val="none"/>
        </w:rPr>
      </w:pPr>
    </w:p>
    <w:p w14:paraId="354ACEDA">
      <w:pPr>
        <w:pStyle w:val="180"/>
        <w:rPr>
          <w:color w:val="auto"/>
          <w:highlight w:val="none"/>
        </w:rPr>
      </w:pPr>
    </w:p>
    <w:p w14:paraId="1E678D7B">
      <w:pPr>
        <w:pStyle w:val="181"/>
        <w:rPr>
          <w:color w:val="auto"/>
          <w:highlight w:val="none"/>
        </w:rPr>
      </w:pPr>
    </w:p>
    <w:p w14:paraId="6CCFE74F">
      <w:pPr>
        <w:pStyle w:val="180"/>
        <w:rPr>
          <w:color w:val="auto"/>
          <w:highlight w:val="none"/>
        </w:rPr>
      </w:pPr>
    </w:p>
    <w:p w14:paraId="7E566469">
      <w:pPr>
        <w:pStyle w:val="2"/>
        <w:rPr>
          <w:color w:val="auto"/>
          <w:highlight w:val="none"/>
        </w:rPr>
      </w:pPr>
      <w:bookmarkStart w:id="90" w:name="_Toc12281"/>
      <w:bookmarkStart w:id="91" w:name="_Toc44229895"/>
      <w:bookmarkStart w:id="92" w:name="_Toc30806"/>
      <w:bookmarkStart w:id="93" w:name="_Toc31551"/>
      <w:bookmarkStart w:id="94" w:name="_Toc3974"/>
      <w:r>
        <w:rPr>
          <w:rFonts w:hint="eastAsia"/>
          <w:color w:val="auto"/>
          <w:highlight w:val="none"/>
        </w:rPr>
        <w:t>第三章 采购需求</w:t>
      </w:r>
      <w:bookmarkEnd w:id="90"/>
      <w:bookmarkEnd w:id="91"/>
      <w:bookmarkEnd w:id="92"/>
      <w:bookmarkEnd w:id="93"/>
      <w:bookmarkEnd w:id="94"/>
    </w:p>
    <w:p w14:paraId="18A484A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采购项目技术规格、参数及要求</w:t>
      </w:r>
    </w:p>
    <w:p w14:paraId="5B3FAA0B">
      <w:pPr>
        <w:spacing w:line="360" w:lineRule="auto"/>
        <w:jc w:val="left"/>
        <w:rPr>
          <w:rFonts w:ascii="宋体" w:hAnsi="宋体" w:cs="宋体"/>
          <w:color w:val="auto"/>
          <w:szCs w:val="21"/>
          <w:highlight w:val="none"/>
        </w:rPr>
      </w:pPr>
      <w:r>
        <w:rPr>
          <w:rFonts w:hint="eastAsia" w:ascii="宋体" w:hAnsi="宋体" w:cs="宋体"/>
          <w:color w:val="auto"/>
          <w:szCs w:val="21"/>
          <w:highlight w:val="none"/>
        </w:rPr>
        <w:t>说明：</w:t>
      </w:r>
    </w:p>
    <w:p w14:paraId="28E47055">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1.根据《财政部 发展改革委 生态环境部 市场监管总局关于调整优化节能产品、环境标志产品政府采购执行机制的通知》（财库〔2019〕9号）和《关于印发节能产品政府采购品目清单的通知》（财库〔2019〕19号）的规定，节能产品政府采购品目清单内标注“★”的品目属于政府强制采购节能产品，如本项目包含的配套货物属于品目清单内标注“★”的产品时，供应商的竞标货物必须使用政府强制采购的节能产品，供应商必须在响应文件中提供所竞标产品的节能产品认证证书复印件（加盖供应商公章），否则响应文件按无效响应处理。如本项目包含的配套货物属于品目清单内非标注“★”的产品时，应优先采购，具体详见“第四章 评审程序、评审方法和评审标准”。</w:t>
      </w:r>
    </w:p>
    <w:p w14:paraId="3EDC5983">
      <w:pPr>
        <w:spacing w:line="276" w:lineRule="auto"/>
        <w:ind w:left="424" w:leftChars="202"/>
        <w:jc w:val="left"/>
        <w:rPr>
          <w:rFonts w:hAnsi="宋体"/>
          <w:bCs/>
          <w:color w:val="auto"/>
          <w:spacing w:val="10"/>
          <w:kern w:val="0"/>
          <w:szCs w:val="21"/>
          <w:highlight w:val="none"/>
        </w:rPr>
      </w:pPr>
      <w:r>
        <w:rPr>
          <w:rFonts w:hint="eastAsia" w:ascii="宋体" w:hAnsi="宋体" w:cs="宋体"/>
          <w:color w:val="auto"/>
          <w:szCs w:val="21"/>
          <w:highlight w:val="none"/>
        </w:rPr>
        <w:t>2.“实质性要求”是指磋商文件中已经指明不满足则响应文件按无效响应处理的条款，或者不能负偏离的条款，或者采购需求中带“▲”的条款。</w:t>
      </w:r>
      <w:r>
        <w:rPr>
          <w:rFonts w:hint="eastAsia" w:hAnsi="宋体"/>
          <w:bCs/>
          <w:color w:val="auto"/>
          <w:spacing w:val="10"/>
          <w:kern w:val="0"/>
          <w:szCs w:val="21"/>
          <w:highlight w:val="none"/>
        </w:rPr>
        <w:t>本项目标记“▲”号的条款为实质性要求和条件，要求必须满足或优于，否则磋商响应无效。</w:t>
      </w:r>
    </w:p>
    <w:p w14:paraId="7C995F7B">
      <w:pPr>
        <w:spacing w:line="360" w:lineRule="auto"/>
        <w:ind w:firstLine="424" w:firstLineChars="202"/>
        <w:jc w:val="left"/>
        <w:rPr>
          <w:rFonts w:ascii="宋体" w:hAnsi="宋体" w:cs="宋体"/>
          <w:color w:val="auto"/>
          <w:szCs w:val="21"/>
          <w:highlight w:val="none"/>
        </w:rPr>
      </w:pPr>
      <w:r>
        <w:rPr>
          <w:rFonts w:hint="eastAsia" w:ascii="宋体" w:hAnsi="宋体" w:cs="宋体"/>
          <w:color w:val="auto"/>
          <w:szCs w:val="21"/>
          <w:highlight w:val="none"/>
        </w:rPr>
        <w:t>3. 服务项目中伴随货物的，采购需求中出现的品牌、型号或者生产供应商仅起参考作用，不属于指定品牌、型号或者生产供应商的情形。供应商可参照或者选用其他相当的品牌、型号或者生产供应商替代。</w:t>
      </w:r>
      <w:r>
        <w:rPr>
          <w:rFonts w:hint="eastAsia" w:hAnsi="宋体"/>
          <w:bCs/>
          <w:color w:val="auto"/>
          <w:spacing w:val="10"/>
          <w:kern w:val="0"/>
          <w:szCs w:val="21"/>
          <w:highlight w:val="none"/>
        </w:rPr>
        <w:t>供应商提供的产品的技术参数应实质上相当于或优于本需求表中的服务内容及要求。</w:t>
      </w:r>
    </w:p>
    <w:p w14:paraId="3C8996FF">
      <w:pPr>
        <w:spacing w:line="360" w:lineRule="auto"/>
        <w:ind w:firstLine="424" w:firstLineChars="202"/>
        <w:jc w:val="left"/>
        <w:rPr>
          <w:rFonts w:ascii="宋体" w:hAnsi="宋体" w:cs="宋体"/>
          <w:color w:val="auto"/>
          <w:highlight w:val="none"/>
        </w:rPr>
      </w:pPr>
      <w:r>
        <w:rPr>
          <w:rFonts w:hint="eastAsia" w:ascii="宋体" w:hAnsi="宋体" w:cs="宋体"/>
          <w:color w:val="auto"/>
          <w:szCs w:val="21"/>
          <w:highlight w:val="none"/>
        </w:rPr>
        <w:t>4.</w:t>
      </w:r>
      <w:r>
        <w:rPr>
          <w:rFonts w:hint="eastAsia" w:ascii="宋体" w:hAnsi="宋体" w:cs="宋体"/>
          <w:color w:val="auto"/>
          <w:highlight w:val="none"/>
        </w:rPr>
        <w:t>供应商必须自行为其磋商产品侵犯他人的知识产权或者专利成果的行为承担相应法律责任。</w:t>
      </w:r>
    </w:p>
    <w:p w14:paraId="158BBA5E">
      <w:pPr>
        <w:spacing w:line="360" w:lineRule="auto"/>
        <w:ind w:firstLine="446" w:firstLineChars="202"/>
        <w:rPr>
          <w:rFonts w:ascii="宋体" w:hAnsi="宋体" w:cs="宋体"/>
          <w:b/>
          <w:bCs/>
          <w:color w:val="auto"/>
          <w:sz w:val="22"/>
          <w:szCs w:val="28"/>
          <w:highlight w:val="none"/>
        </w:rPr>
      </w:pPr>
      <w:r>
        <w:rPr>
          <w:rFonts w:hint="eastAsia" w:ascii="宋体" w:hAnsi="宋体" w:cs="宋体"/>
          <w:b/>
          <w:bCs/>
          <w:color w:val="auto"/>
          <w:sz w:val="22"/>
          <w:szCs w:val="28"/>
          <w:highlight w:val="none"/>
        </w:rPr>
        <w:t>一、采购技术需求</w:t>
      </w:r>
    </w:p>
    <w:tbl>
      <w:tblPr>
        <w:tblStyle w:val="50"/>
        <w:tblW w:w="971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4"/>
        <w:gridCol w:w="1241"/>
        <w:gridCol w:w="485"/>
        <w:gridCol w:w="265"/>
        <w:gridCol w:w="750"/>
        <w:gridCol w:w="6599"/>
      </w:tblGrid>
      <w:tr w14:paraId="79C1E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374" w:type="dxa"/>
            <w:vAlign w:val="center"/>
          </w:tcPr>
          <w:p w14:paraId="04074F0A">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序号</w:t>
            </w:r>
          </w:p>
        </w:tc>
        <w:tc>
          <w:tcPr>
            <w:tcW w:w="1241" w:type="dxa"/>
            <w:vAlign w:val="center"/>
          </w:tcPr>
          <w:p w14:paraId="1EA852AE">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标的的名称</w:t>
            </w:r>
          </w:p>
        </w:tc>
        <w:tc>
          <w:tcPr>
            <w:tcW w:w="750" w:type="dxa"/>
            <w:gridSpan w:val="2"/>
            <w:vAlign w:val="center"/>
          </w:tcPr>
          <w:p w14:paraId="354EC2B5">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数量及单位</w:t>
            </w:r>
          </w:p>
        </w:tc>
        <w:tc>
          <w:tcPr>
            <w:tcW w:w="750" w:type="dxa"/>
            <w:vAlign w:val="center"/>
          </w:tcPr>
          <w:p w14:paraId="1496F93D">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所属</w:t>
            </w:r>
          </w:p>
          <w:p w14:paraId="3C916D58">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行业</w:t>
            </w:r>
          </w:p>
        </w:tc>
        <w:tc>
          <w:tcPr>
            <w:tcW w:w="6599" w:type="dxa"/>
            <w:vAlign w:val="center"/>
          </w:tcPr>
          <w:p w14:paraId="4A368398">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服务要求</w:t>
            </w:r>
          </w:p>
        </w:tc>
      </w:tr>
      <w:tr w14:paraId="03500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5" w:hRule="atLeast"/>
          <w:jc w:val="center"/>
        </w:trPr>
        <w:tc>
          <w:tcPr>
            <w:tcW w:w="374" w:type="dxa"/>
            <w:vAlign w:val="center"/>
          </w:tcPr>
          <w:p w14:paraId="6131A547">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w:t>
            </w:r>
          </w:p>
        </w:tc>
        <w:tc>
          <w:tcPr>
            <w:tcW w:w="1241" w:type="dxa"/>
            <w:vAlign w:val="center"/>
          </w:tcPr>
          <w:p w14:paraId="2BBC988B">
            <w:pPr>
              <w:tabs>
                <w:tab w:val="left" w:pos="180"/>
                <w:tab w:val="left" w:pos="1620"/>
              </w:tabs>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大新县2024年度国土变更调查工作</w:t>
            </w:r>
          </w:p>
        </w:tc>
        <w:tc>
          <w:tcPr>
            <w:tcW w:w="750" w:type="dxa"/>
            <w:gridSpan w:val="2"/>
            <w:vAlign w:val="center"/>
          </w:tcPr>
          <w:p w14:paraId="6E153BE2">
            <w:pPr>
              <w:tabs>
                <w:tab w:val="left" w:pos="180"/>
                <w:tab w:val="left" w:pos="1620"/>
              </w:tabs>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1项</w:t>
            </w:r>
          </w:p>
        </w:tc>
        <w:tc>
          <w:tcPr>
            <w:tcW w:w="750" w:type="dxa"/>
            <w:vAlign w:val="center"/>
          </w:tcPr>
          <w:p w14:paraId="23786270">
            <w:pPr>
              <w:tabs>
                <w:tab w:val="left" w:pos="180"/>
                <w:tab w:val="left" w:pos="1620"/>
              </w:tabs>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其他未列明行业</w:t>
            </w:r>
          </w:p>
        </w:tc>
        <w:tc>
          <w:tcPr>
            <w:tcW w:w="6599" w:type="dxa"/>
            <w:vAlign w:val="center"/>
          </w:tcPr>
          <w:p w14:paraId="04369464">
            <w:pPr>
              <w:spacing w:line="360" w:lineRule="auto"/>
              <w:rPr>
                <w:rFonts w:asciiTheme="majorEastAsia" w:hAnsiTheme="majorEastAsia" w:eastAsiaTheme="majorEastAsia" w:cstheme="majorEastAsia"/>
                <w:b/>
                <w:bCs/>
                <w:color w:val="auto"/>
                <w:kern w:val="0"/>
                <w:szCs w:val="21"/>
                <w:highlight w:val="none"/>
              </w:rPr>
            </w:pPr>
            <w:r>
              <w:rPr>
                <w:rFonts w:hint="eastAsia" w:asciiTheme="majorEastAsia" w:hAnsiTheme="majorEastAsia" w:eastAsiaTheme="majorEastAsia" w:cstheme="majorEastAsia"/>
                <w:b/>
                <w:bCs/>
                <w:color w:val="auto"/>
                <w:kern w:val="0"/>
                <w:szCs w:val="21"/>
                <w:highlight w:val="none"/>
              </w:rPr>
              <w:t>一、工作范围</w:t>
            </w:r>
          </w:p>
          <w:p w14:paraId="7C72F596">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大新县辖区范围内。</w:t>
            </w:r>
          </w:p>
          <w:p w14:paraId="265BB4B3">
            <w:pPr>
              <w:pStyle w:val="145"/>
              <w:snapToGrid w:val="0"/>
              <w:spacing w:line="360" w:lineRule="auto"/>
              <w:jc w:val="both"/>
              <w:rPr>
                <w:rFonts w:hint="default" w:asciiTheme="majorEastAsia" w:hAnsiTheme="majorEastAsia" w:eastAsiaTheme="majorEastAsia" w:cstheme="majorEastAsia"/>
                <w:b/>
                <w:bCs/>
                <w:color w:val="auto"/>
                <w:sz w:val="21"/>
                <w:szCs w:val="21"/>
                <w:highlight w:val="none"/>
              </w:rPr>
            </w:pPr>
            <w:r>
              <w:rPr>
                <w:rFonts w:asciiTheme="majorEastAsia" w:hAnsiTheme="majorEastAsia" w:eastAsiaTheme="majorEastAsia" w:cstheme="majorEastAsia"/>
                <w:b/>
                <w:bCs/>
                <w:color w:val="auto"/>
                <w:sz w:val="21"/>
                <w:szCs w:val="21"/>
                <w:highlight w:val="none"/>
              </w:rPr>
              <w:t xml:space="preserve">二、总体目标 </w:t>
            </w:r>
          </w:p>
          <w:p w14:paraId="3DA28ED3">
            <w:pPr>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kern w:val="0"/>
                <w:szCs w:val="21"/>
                <w:highlight w:val="none"/>
              </w:rPr>
              <w:t>大新县2024年度日常变更调查和国土变更调查，主要目标是：通过开展2024年度日常变更调查和国土变更调查工作，及时调查举证各类专项监测和业务管理工作中涉及国土利用变化的图斑，同时在2023年度国土变更调查成果基础上，利用最新遥感影像，通过实地调查举证，掌握县2024年度国土利用变化情况，更新国土调查数据库，切实保障县国土调查成果的现势性和准确性。</w:t>
            </w:r>
          </w:p>
          <w:p w14:paraId="727F9FFC">
            <w:pPr>
              <w:pStyle w:val="145"/>
              <w:snapToGrid w:val="0"/>
              <w:spacing w:line="360" w:lineRule="auto"/>
              <w:jc w:val="both"/>
              <w:rPr>
                <w:rFonts w:hint="default" w:asciiTheme="majorEastAsia" w:hAnsiTheme="majorEastAsia" w:eastAsiaTheme="majorEastAsia" w:cstheme="majorEastAsia"/>
                <w:b/>
                <w:bCs/>
                <w:color w:val="auto"/>
                <w:sz w:val="21"/>
                <w:szCs w:val="21"/>
                <w:highlight w:val="none"/>
              </w:rPr>
            </w:pPr>
            <w:r>
              <w:rPr>
                <w:rFonts w:asciiTheme="majorEastAsia" w:hAnsiTheme="majorEastAsia" w:eastAsiaTheme="majorEastAsia" w:cstheme="majorEastAsia"/>
                <w:b/>
                <w:bCs/>
                <w:color w:val="auto"/>
                <w:sz w:val="21"/>
                <w:szCs w:val="21"/>
                <w:highlight w:val="none"/>
              </w:rPr>
              <w:t xml:space="preserve">三、工作内容 </w:t>
            </w:r>
          </w:p>
          <w:p w14:paraId="46F820CD">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以2023年度国土变更调查成果为基础，结合上半年自然资源监测工作和自然资源综合监测监管工作，统筹现有资料，分析全县地类变化情况，重点分析涉及耕地流入的地类变化情况，通过开展实地调查举证，确认国土利用现状，形成包括变化图斑矢量数据与举证数据在内的日常变更成果；同时按照国家和自治区的统一标准，利用卫星遥感、地理信息系统、互联网、云计算等技术，统筹现有资料，根据国家下发的2024年底以及最新下发卫星遥感影像和监测图斑，结合有关监测及相关自然资源管理信息，制作外业调查底图，并开展实地调查举证。通过调查全面掌握县2024年度的地类、面积、属性及相关图层属性信息的变化情况，更新县级国土调查数据库。</w:t>
            </w:r>
          </w:p>
          <w:p w14:paraId="35C48B28">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（一）工作调查底图制作。以自然资源部和区自然资源厅下发的2024年度遥感监测成果为基础，统筹现有资料，开展内业分析，补充提取变化图斑，制作2024年度国土变更外业调查工作底图。</w:t>
            </w:r>
          </w:p>
          <w:p w14:paraId="26E657EF">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二）外业调查举证。以实地现状认定地类为原则，实地逐图斑核实确认图斑地类，调绘图斑边界，记录更新图斑权属、恢复属性、城镇村、采矿用地、特殊用地、废弃、种植属性、耕地细化等各类属性信息标注的变化情况等。在开展外业调查的同时，应使用带卫星定位和方向传感器的设备，利用“互联网+”举证软件，对需举证的图斑地块拍摄包含图斑实地卫星定位坐标、拍摄方位角、拍摄时间、实地照片及举证说明等综合信息的加密举证数据包，上传至统一举证平台。</w:t>
            </w:r>
          </w:p>
          <w:p w14:paraId="1DB2C66C">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三）县级填报和提交。在"国土调查云"平台，根据外业举证照片，实时完成调查图斑地类的核实与相关属性填报，包括实地是否发生变化、实地地类、单独图层、图斑举证类型、实地情况说明等相关内容的填报；若调查图斑包含多个地类，必须依据地类分界线对图斑进行分割和填报相应的属性信息。</w:t>
            </w:r>
          </w:p>
          <w:p w14:paraId="63BE7EFC">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（四）国土调查数据库更新。 严格按照统一的2024年度国土变更调查数据更新技术的要求、数据变更方法、标准及相关质量要求，将发生变化的图斑以及各单独图层数据，以2023年度国土变更调查数据库为基础，做好范围拟合，录入相应的属性信息，采用增量更新的方式，开展2024年度变更调查数据库更新工作。</w:t>
            </w:r>
          </w:p>
          <w:p w14:paraId="315A7BCB">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（五）成果核查。根据自治区和国家级核查结果及时修正变更调查成果。</w:t>
            </w:r>
          </w:p>
          <w:p w14:paraId="5377D0EE">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（六）成果汇总分析。开展县数据汇总分析、报告编写等工作。</w:t>
            </w:r>
          </w:p>
          <w:p w14:paraId="284892C8">
            <w:pPr>
              <w:pStyle w:val="145"/>
              <w:snapToGrid w:val="0"/>
              <w:spacing w:line="360" w:lineRule="auto"/>
              <w:ind w:firstLine="420" w:firstLineChars="200"/>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（七）日常变更调查工作。</w:t>
            </w:r>
          </w:p>
          <w:p w14:paraId="5D6948C4">
            <w:pPr>
              <w:pStyle w:val="145"/>
              <w:snapToGrid w:val="0"/>
              <w:spacing w:line="360" w:lineRule="auto"/>
              <w:ind w:firstLine="420" w:firstLineChars="200"/>
              <w:jc w:val="both"/>
              <w:rPr>
                <w:rFonts w:hint="default" w:asciiTheme="majorEastAsia" w:hAnsiTheme="majorEastAsia" w:eastAsiaTheme="majorEastAsia" w:cstheme="majorEastAsia"/>
                <w:color w:val="auto"/>
                <w:sz w:val="21"/>
                <w:szCs w:val="21"/>
                <w:highlight w:val="none"/>
              </w:rPr>
            </w:pPr>
            <w:r>
              <w:rPr>
                <w:rFonts w:asciiTheme="majorEastAsia" w:hAnsiTheme="majorEastAsia" w:eastAsiaTheme="majorEastAsia" w:cstheme="majorEastAsia"/>
                <w:color w:val="auto"/>
                <w:sz w:val="21"/>
                <w:szCs w:val="21"/>
                <w:highlight w:val="none"/>
              </w:rPr>
              <w:t>（八）配合做好2024年度耕地恢复任务日常变更工作（日常数据分析及处理、相关系统的数据处理、日常技术支持、以及甲方交办其他相关事项。）。</w:t>
            </w:r>
          </w:p>
          <w:p w14:paraId="4E676400">
            <w:pPr>
              <w:keepNext/>
              <w:keepLines/>
              <w:spacing w:line="360" w:lineRule="auto"/>
              <w:ind w:firstLine="422"/>
              <w:outlineLvl w:val="1"/>
              <w:rPr>
                <w:rFonts w:asciiTheme="majorEastAsia" w:hAnsiTheme="majorEastAsia" w:eastAsiaTheme="majorEastAsia" w:cstheme="majorEastAsia"/>
                <w:b/>
                <w:bCs/>
                <w:color w:val="auto"/>
                <w:kern w:val="0"/>
                <w:szCs w:val="21"/>
                <w:highlight w:val="none"/>
              </w:rPr>
            </w:pPr>
            <w:bookmarkStart w:id="95" w:name="_Toc61625170"/>
            <w:bookmarkStart w:id="96" w:name="_Toc58491217"/>
            <w:r>
              <w:rPr>
                <w:rFonts w:hint="eastAsia" w:asciiTheme="majorEastAsia" w:hAnsiTheme="majorEastAsia" w:eastAsiaTheme="majorEastAsia" w:cstheme="majorEastAsia"/>
                <w:b/>
                <w:bCs/>
                <w:color w:val="auto"/>
                <w:kern w:val="0"/>
                <w:szCs w:val="21"/>
                <w:highlight w:val="none"/>
              </w:rPr>
              <w:t>四</w:t>
            </w:r>
            <w:r>
              <w:rPr>
                <w:rFonts w:hint="eastAsia" w:asciiTheme="majorEastAsia" w:hAnsiTheme="majorEastAsia" w:eastAsiaTheme="majorEastAsia" w:cstheme="majorEastAsia"/>
                <w:b/>
                <w:bCs/>
                <w:color w:val="auto"/>
                <w:szCs w:val="21"/>
                <w:highlight w:val="none"/>
              </w:rPr>
              <w:t>、</w:t>
            </w:r>
            <w:r>
              <w:rPr>
                <w:rFonts w:hint="eastAsia" w:asciiTheme="majorEastAsia" w:hAnsiTheme="majorEastAsia" w:eastAsiaTheme="majorEastAsia" w:cstheme="majorEastAsia"/>
                <w:b/>
                <w:bCs/>
                <w:color w:val="auto"/>
                <w:kern w:val="0"/>
                <w:szCs w:val="21"/>
                <w:highlight w:val="none"/>
              </w:rPr>
              <w:t>技术依据</w:t>
            </w:r>
            <w:bookmarkEnd w:id="95"/>
            <w:bookmarkEnd w:id="96"/>
          </w:p>
          <w:p w14:paraId="53D4CC5B">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（一）《国土变更调查技术规程（2024年度适用）》；</w:t>
            </w:r>
          </w:p>
          <w:p w14:paraId="347EC9C6">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（二）《广西壮族自治区自然资源厅办公室关于开展2024年日常变更调查工作的通知》（桂自然资办﹝2024〕47号）；</w:t>
            </w:r>
          </w:p>
          <w:p w14:paraId="15DBF147">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（三）《广西壮族自治区自然资源厅办公室关于印发2024 年日常变更调查技术方案、核查方案和监理方案的通知》（桂自然资办﹝2024〕126号）；</w:t>
            </w:r>
          </w:p>
          <w:p w14:paraId="1E969598">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（四）《广西2024年度国土变更调查实施方案》；</w:t>
            </w:r>
          </w:p>
          <w:p w14:paraId="309092C1">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（五）《第三次全国国土调查工作分类》；</w:t>
            </w:r>
          </w:p>
          <w:p w14:paraId="6341BCBD">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（六）《土地利用现状分类》GB/T21010-2017；</w:t>
            </w:r>
          </w:p>
          <w:p w14:paraId="48C11F69">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（七）《地籍调查规程》GB/T42547-2023；</w:t>
            </w:r>
          </w:p>
          <w:p w14:paraId="26B8A342">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（八）《国土调查数据库标准》TD/T1057-2020；</w:t>
            </w:r>
          </w:p>
          <w:p w14:paraId="660A739C">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（九）《国土调查数据库更新数据规范》；</w:t>
            </w:r>
          </w:p>
          <w:p w14:paraId="73C9F210">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（十）《国土调查数据库更新变更规则》；</w:t>
            </w:r>
          </w:p>
          <w:p w14:paraId="70127D27">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（十一）《国土变更调查县级数据库质量检查规则 》；</w:t>
            </w:r>
          </w:p>
          <w:p w14:paraId="005D0DBD">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（十二）《国土调查数据库更新统计报表设计及说明》；</w:t>
            </w:r>
          </w:p>
          <w:p w14:paraId="0A2F7AAB">
            <w:pPr>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（十三）其他相关技术性文件。</w:t>
            </w:r>
          </w:p>
          <w:p w14:paraId="56A85C2B">
            <w:pPr>
              <w:pStyle w:val="145"/>
              <w:snapToGrid w:val="0"/>
              <w:spacing w:line="360" w:lineRule="auto"/>
              <w:jc w:val="both"/>
              <w:rPr>
                <w:rFonts w:hint="default" w:asciiTheme="majorEastAsia" w:hAnsiTheme="majorEastAsia" w:eastAsiaTheme="majorEastAsia" w:cstheme="majorEastAsia"/>
                <w:b/>
                <w:bCs/>
                <w:color w:val="auto"/>
                <w:sz w:val="21"/>
                <w:szCs w:val="21"/>
                <w:highlight w:val="none"/>
              </w:rPr>
            </w:pPr>
            <w:r>
              <w:rPr>
                <w:rFonts w:asciiTheme="majorEastAsia" w:hAnsiTheme="majorEastAsia" w:eastAsiaTheme="majorEastAsia" w:cstheme="majorEastAsia"/>
                <w:b/>
                <w:bCs/>
                <w:color w:val="auto"/>
                <w:sz w:val="21"/>
                <w:szCs w:val="21"/>
                <w:highlight w:val="none"/>
              </w:rPr>
              <w:t>五、主要成果</w:t>
            </w:r>
          </w:p>
          <w:p w14:paraId="2347F161">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（一）外业调查成果；</w:t>
            </w:r>
          </w:p>
          <w:p w14:paraId="5595C0A7">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（二）数据库成果；</w:t>
            </w:r>
          </w:p>
          <w:p w14:paraId="001269D0">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（三）监测图斑信息核实记录表；</w:t>
            </w:r>
          </w:p>
          <w:p w14:paraId="06711D73">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（四）各类统计汇总表；</w:t>
            </w:r>
          </w:p>
          <w:p w14:paraId="2C6A5D44">
            <w:pPr>
              <w:tabs>
                <w:tab w:val="left" w:pos="180"/>
                <w:tab w:val="left" w:pos="1620"/>
              </w:tabs>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（五）文字成果。</w:t>
            </w:r>
          </w:p>
        </w:tc>
      </w:tr>
      <w:tr w14:paraId="4F233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4" w:type="dxa"/>
            <w:gridSpan w:val="6"/>
            <w:tcBorders>
              <w:top w:val="single" w:color="auto" w:sz="4" w:space="0"/>
              <w:left w:val="single" w:color="auto" w:sz="4" w:space="0"/>
              <w:bottom w:val="single" w:color="auto" w:sz="4" w:space="0"/>
              <w:right w:val="single" w:color="auto" w:sz="4" w:space="0"/>
            </w:tcBorders>
            <w:vAlign w:val="center"/>
          </w:tcPr>
          <w:p w14:paraId="1E5181EF">
            <w:pPr>
              <w:spacing w:line="360" w:lineRule="auto"/>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w:t>
            </w:r>
            <w:r>
              <w:rPr>
                <w:rFonts w:hint="eastAsia" w:asciiTheme="majorEastAsia" w:hAnsiTheme="majorEastAsia" w:eastAsiaTheme="majorEastAsia" w:cstheme="majorEastAsia"/>
                <w:b/>
                <w:color w:val="auto"/>
                <w:szCs w:val="21"/>
                <w:highlight w:val="none"/>
              </w:rPr>
              <w:t>一、商务要求</w:t>
            </w:r>
          </w:p>
        </w:tc>
      </w:tr>
      <w:tr w14:paraId="10A1D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C2A4591">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竞标报价</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6E33D1C6">
            <w:pPr>
              <w:spacing w:line="360" w:lineRule="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竞标报价包含完成本次项目采购全部服务内容及要求，并提交经验收合格的成果所需要的一切费用。采购人不另行支付任何费用。</w:t>
            </w:r>
          </w:p>
        </w:tc>
      </w:tr>
      <w:tr w14:paraId="7182A5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531F1694">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成果交付时间</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05BF0CD5">
            <w:pPr>
              <w:spacing w:line="360" w:lineRule="auto"/>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按照自然资源部和自治区自然资源厅最新的时间要求完成。</w:t>
            </w:r>
          </w:p>
        </w:tc>
      </w:tr>
      <w:tr w14:paraId="692BC0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8"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7EBC8DF4">
            <w:pPr>
              <w:spacing w:line="360" w:lineRule="auto"/>
              <w:jc w:val="center"/>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成果交付地点</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455EE23A">
            <w:pPr>
              <w:spacing w:line="360" w:lineRule="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采购人指定地点。</w:t>
            </w:r>
          </w:p>
        </w:tc>
      </w:tr>
      <w:tr w14:paraId="224EC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0" w:hRule="atLeast"/>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4374B614">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合同签订期</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4CC969D2">
            <w:pPr>
              <w:spacing w:line="360" w:lineRule="auto"/>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自成交通知书发出之日起15日内。</w:t>
            </w:r>
          </w:p>
        </w:tc>
      </w:tr>
      <w:tr w14:paraId="07EF13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661E7528">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付款条件</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2BAE23BB">
            <w:pPr>
              <w:tabs>
                <w:tab w:val="left" w:pos="5670"/>
              </w:tabs>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（一）合同签订之日起10个工作日内，采购人在供应商开具等额发票后支付合同总价的30%作为前期工作经费；</w:t>
            </w:r>
          </w:p>
          <w:p w14:paraId="0CAFF765">
            <w:pPr>
              <w:tabs>
                <w:tab w:val="left" w:pos="5670"/>
              </w:tabs>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（二）成交供应商提交日常变更成果工作后10个工作日内，采购人在供应商开具等额发票后支付总合同价20%；</w:t>
            </w:r>
          </w:p>
          <w:p w14:paraId="7A217463">
            <w:pPr>
              <w:tabs>
                <w:tab w:val="left" w:pos="5670"/>
              </w:tabs>
              <w:spacing w:line="360" w:lineRule="auto"/>
              <w:ind w:firstLine="420" w:firstLineChars="200"/>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（三）成交供应商开展年度国土变更工作后10个工作日内，采购人在供应商开具等额发票后支付总合同价的20%。</w:t>
            </w:r>
          </w:p>
          <w:p w14:paraId="11143807">
            <w:pPr>
              <w:tabs>
                <w:tab w:val="left" w:pos="5670"/>
              </w:tabs>
              <w:spacing w:line="360" w:lineRule="auto"/>
              <w:ind w:firstLine="420" w:firstLineChars="200"/>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（四）成交供应商向自治区自然资源厅上报年度国土变更成果后10个工作日内，采购人在供应商开具等额发票后支付总合同价的30%。</w:t>
            </w:r>
          </w:p>
        </w:tc>
      </w:tr>
      <w:tr w14:paraId="50C619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100" w:type="dxa"/>
            <w:gridSpan w:val="3"/>
            <w:tcBorders>
              <w:top w:val="single" w:color="auto" w:sz="4" w:space="0"/>
              <w:left w:val="single" w:color="auto" w:sz="4" w:space="0"/>
              <w:bottom w:val="single" w:color="auto" w:sz="4" w:space="0"/>
              <w:right w:val="single" w:color="auto" w:sz="4" w:space="0"/>
            </w:tcBorders>
            <w:vAlign w:val="center"/>
          </w:tcPr>
          <w:p w14:paraId="2BDFBA11">
            <w:pPr>
              <w:spacing w:line="360" w:lineRule="auto"/>
              <w:jc w:val="center"/>
              <w:rPr>
                <w:rFonts w:asciiTheme="majorEastAsia" w:hAnsiTheme="majorEastAsia" w:eastAsiaTheme="majorEastAsia" w:cstheme="majorEastAsia"/>
                <w:b/>
                <w:color w:val="auto"/>
                <w:szCs w:val="21"/>
                <w:highlight w:val="none"/>
              </w:rPr>
            </w:pPr>
            <w:r>
              <w:rPr>
                <w:rFonts w:hint="eastAsia" w:asciiTheme="majorEastAsia" w:hAnsiTheme="majorEastAsia" w:eastAsiaTheme="majorEastAsia" w:cstheme="majorEastAsia"/>
                <w:color w:val="auto"/>
                <w:szCs w:val="21"/>
                <w:highlight w:val="none"/>
              </w:rPr>
              <w:t>售后服务</w:t>
            </w:r>
          </w:p>
        </w:tc>
        <w:tc>
          <w:tcPr>
            <w:tcW w:w="7614" w:type="dxa"/>
            <w:gridSpan w:val="3"/>
            <w:tcBorders>
              <w:top w:val="single" w:color="auto" w:sz="4" w:space="0"/>
              <w:left w:val="single" w:color="auto" w:sz="4" w:space="0"/>
              <w:bottom w:val="single" w:color="auto" w:sz="4" w:space="0"/>
              <w:right w:val="single" w:color="auto" w:sz="4" w:space="0"/>
            </w:tcBorders>
            <w:vAlign w:val="center"/>
          </w:tcPr>
          <w:p w14:paraId="3856DBB1">
            <w:pPr>
              <w:widowControl/>
              <w:spacing w:line="360" w:lineRule="auto"/>
              <w:ind w:firstLine="420" w:firstLineChars="200"/>
              <w:jc w:val="left"/>
              <w:rPr>
                <w:rFonts w:asciiTheme="majorEastAsia" w:hAnsiTheme="majorEastAsia" w:eastAsiaTheme="majorEastAsia" w:cstheme="majorEastAsia"/>
                <w:color w:val="auto"/>
                <w:szCs w:val="21"/>
                <w:highlight w:val="none"/>
              </w:rPr>
            </w:pPr>
            <w:r>
              <w:rPr>
                <w:rFonts w:hint="eastAsia" w:asciiTheme="majorEastAsia" w:hAnsiTheme="majorEastAsia" w:eastAsiaTheme="majorEastAsia" w:cstheme="majorEastAsia"/>
                <w:color w:val="auto"/>
                <w:szCs w:val="21"/>
                <w:highlight w:val="none"/>
              </w:rPr>
              <w:t>成交供应商在质保期以及质保期外为用户提供广泛、及时的技术支持与售后服务，质保期为从项目验收合格之日起不少于一年。质保期内，由成交供应商原因造成的问题，所产生的费用由成交供应商承担。成交供应商须提供7*24小时的不间断的电话热线服务，在接到问题报告后24小时内到达现场。</w:t>
            </w:r>
          </w:p>
        </w:tc>
      </w:tr>
    </w:tbl>
    <w:p w14:paraId="35F575A2">
      <w:pPr>
        <w:pStyle w:val="145"/>
        <w:jc w:val="center"/>
        <w:rPr>
          <w:rFonts w:hint="default" w:ascii="宋体" w:hAnsi="宋体" w:cs="宋体"/>
          <w:color w:val="auto"/>
          <w:szCs w:val="21"/>
          <w:highlight w:val="none"/>
        </w:rPr>
        <w:sectPr>
          <w:footerReference r:id="rId6" w:type="first"/>
          <w:headerReference r:id="rId4" w:type="default"/>
          <w:footerReference r:id="rId5" w:type="default"/>
          <w:pgSz w:w="11906" w:h="16838"/>
          <w:pgMar w:top="1440" w:right="1286" w:bottom="1440" w:left="1380" w:header="851" w:footer="992" w:gutter="0"/>
          <w:pgNumType w:start="1"/>
          <w:cols w:space="720" w:num="1"/>
          <w:docGrid w:type="lines" w:linePitch="312" w:charSpace="0"/>
        </w:sectPr>
      </w:pPr>
    </w:p>
    <w:p w14:paraId="6DFF8544">
      <w:pPr>
        <w:pStyle w:val="3"/>
        <w:spacing w:line="360" w:lineRule="auto"/>
        <w:jc w:val="center"/>
        <w:rPr>
          <w:rFonts w:ascii="宋体" w:hAnsi="宋体" w:cs="宋体"/>
          <w:color w:val="auto"/>
          <w:highlight w:val="none"/>
        </w:rPr>
      </w:pPr>
      <w:bookmarkStart w:id="97" w:name="_Toc25205"/>
      <w:bookmarkStart w:id="98" w:name="_Toc19957"/>
      <w:bookmarkStart w:id="99" w:name="_Toc9877"/>
      <w:bookmarkStart w:id="100" w:name="_Toc44229896"/>
      <w:bookmarkStart w:id="101" w:name="_Toc32697"/>
      <w:r>
        <w:rPr>
          <w:rFonts w:hint="eastAsia" w:ascii="宋体" w:hAnsi="宋体" w:cs="宋体"/>
          <w:color w:val="auto"/>
          <w:highlight w:val="none"/>
        </w:rPr>
        <w:t>第四章  评审程序、评审方法和评审标准</w:t>
      </w:r>
    </w:p>
    <w:p w14:paraId="20766E5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一、评审程序和评审方法</w:t>
      </w:r>
    </w:p>
    <w:p w14:paraId="3F6C0B29">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1.资格审查</w:t>
      </w:r>
    </w:p>
    <w:p w14:paraId="4C83C329">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1.1响应文件开启后，磋商小组依法对供应商的资格证明文件进行审查。</w:t>
      </w:r>
    </w:p>
    <w:p w14:paraId="6874316C">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注：采购人或者采购代理机构在资格审查结束前，对供应商进行信用查询。</w:t>
      </w:r>
    </w:p>
    <w:p w14:paraId="5C117801">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（1）查询渠道：“信用中国”网站(www.creditchina.gov.cn) 、中国政府采购网(www.ccgp.gov.cn)。</w:t>
      </w:r>
    </w:p>
    <w:p w14:paraId="25BE987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（2）信用查询截止时点：资格审查结束前。</w:t>
      </w:r>
    </w:p>
    <w:p w14:paraId="4193E219">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查询记录和证据留存方式：在查询网站中直接打印查询记录，打印材料作为评审资料保存。</w:t>
      </w:r>
    </w:p>
    <w:p w14:paraId="0E2C0FFD">
      <w:pPr>
        <w:spacing w:line="360" w:lineRule="auto"/>
        <w:rPr>
          <w:rFonts w:ascii="宋体" w:hAnsi="宋体" w:cs="宋体"/>
          <w:color w:val="auto"/>
          <w:szCs w:val="21"/>
          <w:highlight w:val="none"/>
        </w:rPr>
      </w:pPr>
      <w:r>
        <w:rPr>
          <w:rFonts w:hint="eastAsia" w:ascii="宋体" w:hAnsi="宋体" w:cs="宋体"/>
          <w:color w:val="auto"/>
          <w:szCs w:val="21"/>
          <w:highlight w:val="none"/>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678B7E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1.2资格审查标准为本磋商文件中载明对供应商资格要求的条件。资格审查采用合格制，凡符合磋商文件规定的供应商资格要求的响应文件均通过资格审查。</w:t>
      </w:r>
    </w:p>
    <w:p w14:paraId="52D619B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1.3供应商有下列情形之一的，资格审查不通过，其响应文件按无效响应处理：</w:t>
      </w:r>
    </w:p>
    <w:p w14:paraId="4E11460E">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（1）不具备磋商文件中规定的资格要求的；</w:t>
      </w:r>
    </w:p>
    <w:p w14:paraId="1E67E81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（2）响应文件未提供任一项“供应商须知前附表”资格证明文件规定的“必须提供”的文件资料的；</w:t>
      </w:r>
    </w:p>
    <w:p w14:paraId="707978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（3）响应文件提供的资格证明文件出现任一项不符合“供应商须知前附表”资格证明文件规定的“必须提供”的文件资料要求或者无效的。</w:t>
      </w:r>
    </w:p>
    <w:p w14:paraId="22FD87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1.4通过资格审查的合格供应商不足3家的，不得进入符合性审查环节，采购人或者采购代理机构应当重新开展采购活动。</w:t>
      </w:r>
    </w:p>
    <w:p w14:paraId="405AF306">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2.符合性审查</w:t>
      </w:r>
    </w:p>
    <w:p w14:paraId="654C5F9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2.1由磋商小组对通过资格审查的合格供应商的响应文件的竞标报价、商务、技术等实质性要求进行符合性审查，以确定其是否满足磋商文件的实质性要求。</w:t>
      </w:r>
    </w:p>
    <w:p w14:paraId="15EA58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4AE6CF3">
      <w:pPr>
        <w:spacing w:line="360" w:lineRule="auto"/>
        <w:ind w:firstLine="420" w:firstLineChars="200"/>
        <w:rPr>
          <w:rFonts w:ascii="宋体" w:hAnsi="宋体" w:cs="宋体"/>
          <w:color w:val="auto"/>
          <w:spacing w:val="-6"/>
          <w:szCs w:val="21"/>
          <w:highlight w:val="none"/>
        </w:rPr>
      </w:pPr>
      <w:r>
        <w:rPr>
          <w:rFonts w:hint="eastAsia" w:ascii="宋体" w:hAnsi="宋体" w:cs="宋体"/>
          <w:color w:val="auto"/>
          <w:szCs w:val="21"/>
          <w:highlight w:val="none"/>
        </w:rPr>
        <w:t>2.3磋商小组要求供应商澄清、说明或者更正响应文件应当以书面形式作出。供应商的澄清、说明或者更正应当以书面形式按照磋商小组的要求作出明确的澄清、说明或者更正，未按磋商小组的要求作出明确澄清、说明或者更正的供应商的响应文件将按照有利于采购人的原则由磋商小组进行判定。供应商的澄清、说明或者更正必须由法定代表人或者其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pacing w:val="-6"/>
          <w:szCs w:val="21"/>
          <w:highlight w:val="none"/>
        </w:rPr>
        <w:t>。供应商为自然人的，必须由本人签字并附身份证明。</w:t>
      </w:r>
    </w:p>
    <w:p w14:paraId="39E8C692">
      <w:pPr>
        <w:spacing w:line="360" w:lineRule="auto"/>
        <w:ind w:firstLine="396" w:firstLineChars="200"/>
        <w:rPr>
          <w:rFonts w:ascii="宋体" w:hAnsi="宋体" w:cs="宋体"/>
          <w:color w:val="auto"/>
          <w:szCs w:val="21"/>
          <w:highlight w:val="none"/>
        </w:rPr>
      </w:pPr>
      <w:r>
        <w:rPr>
          <w:rFonts w:hint="eastAsia" w:ascii="宋体" w:hAnsi="宋体" w:cs="宋体"/>
          <w:color w:val="auto"/>
          <w:spacing w:val="-6"/>
          <w:szCs w:val="21"/>
          <w:highlight w:val="none"/>
        </w:rPr>
        <w:t>2.4</w:t>
      </w:r>
      <w:r>
        <w:rPr>
          <w:rFonts w:hint="eastAsia" w:ascii="宋体" w:hAnsi="宋体" w:cs="宋体"/>
          <w:color w:val="auto"/>
          <w:szCs w:val="21"/>
          <w:highlight w:val="none"/>
        </w:rPr>
        <w:t xml:space="preserve">首次响应文件报价出现前后不一致的，按照下列规定修正： </w:t>
      </w:r>
    </w:p>
    <w:p w14:paraId="64334ED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（1）响应文件中报价表内容与响应文件中相应内容不一致的，以报价表为准；</w:t>
      </w:r>
    </w:p>
    <w:p w14:paraId="00A6D2F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6A4E722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（3）单价金额小数点或者百分比有明显错位的，以报价表的总价为准，并修改单价；</w:t>
      </w:r>
    </w:p>
    <w:p w14:paraId="5FAE1A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56A205C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14:paraId="603F703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2.5商务技术报价评审</w:t>
      </w:r>
    </w:p>
    <w:p w14:paraId="00FB84B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在评审时，如发现下列情形之一的，将被视为响应文件无效处理：</w:t>
      </w:r>
    </w:p>
    <w:p w14:paraId="2D8583C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（1）商务技术评审</w:t>
      </w:r>
    </w:p>
    <w:p w14:paraId="7CBB794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1）提供响应文件正、副本数量不足；</w:t>
      </w:r>
    </w:p>
    <w:p w14:paraId="79CDCB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2）响应文件未按磋商文件要求签署、盖章；</w:t>
      </w:r>
    </w:p>
    <w:p w14:paraId="4915E6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3）委托代理人未能出具有效身份证明或者出具的身份证明与授权委托书中的信息不符； </w:t>
      </w:r>
    </w:p>
    <w:p w14:paraId="3D726D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4）提交的磋商保证金无效的或者未按照磋商文件的规定提交磋商保证金；</w:t>
      </w:r>
    </w:p>
    <w:p w14:paraId="1DCEFFA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5）响应文件未提供任一项“供应商须知前附表” 商务报价文件/技术文件中 “必须提供”或者“委托时必须提供”的文件资料；响应文件提供的商务报价文件/技术文件出现任一项不符合“供应商须知前附表” 商务报价文件/技术文件中 “必须提供”或者“委托时必须提供”文件资料要求的规定或者提供的商务报价文件/技术文件无效。</w:t>
      </w:r>
    </w:p>
    <w:p w14:paraId="750C256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6）商务条款中标“▲”的条款发生负偏离的或者允许负偏离的条款数超过“供应商须知前附表”规定项数的或者标明实质性的要求发生负偏离；</w:t>
      </w:r>
    </w:p>
    <w:p w14:paraId="0925554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7）未对竞标有效期作出响应或者响应文件承诺的竞标有效期不满足磋商文件要求；</w:t>
      </w:r>
    </w:p>
    <w:p w14:paraId="0B0C359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8）响应文件的实质性内容未使用中文表述、使用计量单位不符合磋商文件要求；</w:t>
      </w:r>
    </w:p>
    <w:p w14:paraId="31C533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9）响应文件中的文件资料因填写不齐全或者内容虚假或者出现其他情形而导致被磋商小组认定无效；</w:t>
      </w:r>
    </w:p>
    <w:p w14:paraId="3B4ADAD0">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10）响应文件含有采购人不能接受的附加条件；</w:t>
      </w:r>
    </w:p>
    <w:p w14:paraId="3EFFFA5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11）属于“供应商须知正文”第7.5条情形；</w:t>
      </w:r>
    </w:p>
    <w:p w14:paraId="09473C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12）明显不满足磋商文件要求的技术规格、安全、质量标准，或者与磋商文件中标“▲”的技术需求或者标明实质性的要求发生负偏离；</w:t>
      </w:r>
    </w:p>
    <w:p w14:paraId="7E3448C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13）技术需求允许负偏离的条款数超过“供应商须知前附表”规定项数；</w:t>
      </w:r>
    </w:p>
    <w:p w14:paraId="50637F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14）虚假竞标，或者出现其他情形而导致被磋商小组认定无效；</w:t>
      </w:r>
    </w:p>
    <w:p w14:paraId="02260AA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15）竞标技术方案不明确，磋商文件未允许但响应文件中存在一个或者一个以上备选（替代）竞标方案；</w:t>
      </w:r>
    </w:p>
    <w:p w14:paraId="72E74ED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16）未响应磋商文件实质性要求；</w:t>
      </w:r>
    </w:p>
    <w:p w14:paraId="31F525F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17）法律、法规和磋商文件规定的其他无效情形。</w:t>
      </w:r>
    </w:p>
    <w:p w14:paraId="774ED4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（2）报价评审</w:t>
      </w:r>
    </w:p>
    <w:p w14:paraId="1F13B58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 响应文件未提供“供应商须知前附表” 商务报价文件/技术文件中规定的“竞标报价表”；</w:t>
      </w:r>
    </w:p>
    <w:p w14:paraId="400FF42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2）未采用人民币报价或者未按照磋商文件标明的币种报价；</w:t>
      </w:r>
    </w:p>
    <w:p w14:paraId="22D96D2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14:paraId="04313F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竞标报价（包含首次报价、最后报价）超过所竞标分标规定的采购预算金额或者最高限价的（如本项目公布了最高限价）；竞标报价（包含首次报价、最后报价）超过磋商文件分项采购预算金额或者最高限价的（如本项目公布了最高限价）；</w:t>
      </w:r>
    </w:p>
    <w:p w14:paraId="389F02E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供应商不确认的；或者经供应商确认修正后的竞标报价（包含首次报价、最后报价）超过所竞标分标规定的采购预算金额或者最高限价（如本项目公布了最高限价）；或者经供应商确认修正后竞标报价（包含首次报价、最后报价）超过磋商文件分项采购预算金额或者最高限价的（如本项目公布了最高限价）。</w:t>
      </w:r>
    </w:p>
    <w:p w14:paraId="36BB336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2.6磋商小组对响应文件进行评审，未实质性响应磋商文件的响应文件按无效处理，由磋商小组告知有关供应商。磋商小组从符合磋商文件规定的相应资格条件的供应商名单中确定不少于3家的供应商参加磋商。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04E8E2D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2.7通过符合性审查的合格供应商不足3家的，不得进入磋商环节，采购人或者采购代理机构应当重新开展采购活动。</w:t>
      </w:r>
    </w:p>
    <w:p w14:paraId="29C04E2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3.磋商</w:t>
      </w:r>
    </w:p>
    <w:p w14:paraId="55071968">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3.磋商的程序</w:t>
      </w:r>
    </w:p>
    <w:p w14:paraId="38BEF173">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3.1磋商小组按照“供应商须知前附表”</w:t>
      </w: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确定的</w:t>
      </w:r>
      <w:r>
        <w:rPr>
          <w:rFonts w:hint="eastAsia" w:ascii="宋体" w:hAnsi="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14:paraId="5696995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14:paraId="26CD442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3.3对磋商文件作出的实质性变动是磋商文件的有效组成部分，由磋商小组及时以书面形式同时通知所有参加磋商的供应商。</w:t>
      </w:r>
    </w:p>
    <w:p w14:paraId="5DFEB58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3.4供应商必须按照磋商文件的变动情况和磋商小组的要求重新提交响应文件，并由其法定代表人或者授权代表签字或者加盖公章。由委托代理人签字的，</w:t>
      </w:r>
      <w:r>
        <w:rPr>
          <w:rFonts w:hint="eastAsia" w:ascii="宋体" w:hAnsi="宋体" w:cs="宋体"/>
          <w:bCs/>
          <w:color w:val="auto"/>
          <w:szCs w:val="21"/>
          <w:highlight w:val="none"/>
        </w:rPr>
        <w:t>若委托代理人不是响应文件中授权的委托代理人时，必须同时出示有效的法定代表人授权委托书原件</w:t>
      </w:r>
      <w:r>
        <w:rPr>
          <w:rFonts w:hint="eastAsia" w:ascii="宋体" w:hAnsi="宋体" w:cs="宋体"/>
          <w:color w:val="auto"/>
          <w:szCs w:val="21"/>
          <w:highlight w:val="none"/>
        </w:rPr>
        <w:t>。供应商为自然人的，必须由本人签字并附身份证明。参加磋商的供应商未在规定时间内重新提交响应文件的，视同退出磋商，其响应文件作无效处理。</w:t>
      </w:r>
    </w:p>
    <w:p w14:paraId="5B696EA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3.5磋商中，</w:t>
      </w:r>
      <w:r>
        <w:rPr>
          <w:rFonts w:hint="eastAsia" w:ascii="宋体" w:hAnsi="宋体" w:cs="宋体"/>
          <w:color w:val="auto"/>
          <w:spacing w:val="-6"/>
          <w:szCs w:val="21"/>
          <w:highlight w:val="none"/>
        </w:rPr>
        <w:t>磋商的任何一方不得透露与磋商有关的其他供应商的技术资料、价格和其他信息。</w:t>
      </w:r>
    </w:p>
    <w:p w14:paraId="0860A8B5">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3.6采购代理机构对磋商过程和重要磋商内容进行记录，磋商双方在记录上签字确认。</w:t>
      </w:r>
    </w:p>
    <w:p w14:paraId="2FE99680">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19磋商过程中重新提交的响应文件，供应商可以在开启前补充、修改。</w:t>
      </w:r>
    </w:p>
    <w:p w14:paraId="33ED30B6">
      <w:pPr>
        <w:widowControl/>
        <w:tabs>
          <w:tab w:val="left" w:pos="540"/>
        </w:tabs>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3.8根据《财政部关于政府采购竞争性磋商采购方式管理管理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742F6C0A">
      <w:pPr>
        <w:tabs>
          <w:tab w:val="left" w:pos="283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3.9对磋商过程提交的响应文件进行有效性、完整性和响应程度审查，通过审查的合格供应商不足3家的，除本章第3.8条的情形外，采购人或者采购代理机构应当重新开展采购活动。</w:t>
      </w:r>
    </w:p>
    <w:p w14:paraId="203CA1DE">
      <w:pPr>
        <w:spacing w:line="360" w:lineRule="auto"/>
        <w:ind w:firstLine="482" w:firstLineChars="200"/>
        <w:rPr>
          <w:rFonts w:ascii="宋体" w:hAnsi="宋体" w:cs="宋体"/>
          <w:color w:val="auto"/>
          <w:szCs w:val="21"/>
          <w:highlight w:val="none"/>
        </w:rPr>
      </w:pPr>
      <w:r>
        <w:rPr>
          <w:rFonts w:hint="eastAsia" w:ascii="宋体" w:hAnsi="宋体" w:cs="宋体"/>
          <w:b/>
          <w:bCs/>
          <w:color w:val="auto"/>
          <w:sz w:val="24"/>
          <w:highlight w:val="none"/>
        </w:rPr>
        <w:t>4. 最后报价</w:t>
      </w:r>
    </w:p>
    <w:p w14:paraId="21506B3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磋商文件能够详细列明采购标的技术、服务要求的，磋商结束后，由磋商小组要求所有继续参加磋商的供应商在规定时间内密封提交最后报价，提交最后报价的供应商不得少于3家，除本章第4.3条外，否则必须重新采购。</w:t>
      </w:r>
    </w:p>
    <w:p w14:paraId="581FCA6A">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4.2磋商文件不能详细列明采购标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14:paraId="495315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4.3 最后报价是供应商响应文件的有效组成部分。符合《政府采购竞争性磋商采购方式管理管理办法》（财库〔2014〕214号）第三条第四项“市场竞争不充分的科研项目，以及需要扶持的科技成果转化项目”和本章第3.8条情形的，提交最后报价的供应商可以为2家。</w:t>
      </w:r>
    </w:p>
    <w:p w14:paraId="23D4C2B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4.4已经提交响应文件的供应商，在提交最后报价之前，可以根据磋商情况退出磋商，退出磋商的供应商的响应文件按无效响应处理。采购人、采购代理机构将退还退出磋商的供应商的保证金。</w:t>
      </w:r>
    </w:p>
    <w:p w14:paraId="4537107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4.5供应商未在规定时间内提交最后报价的，视为退出磋商，其响应文件作无效处理。</w:t>
      </w:r>
    </w:p>
    <w:p w14:paraId="6E6859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4.6磋商小组收齐某一分标最后报价后统一开启，磋商小组对最后报价进行有效性、完整性和响应程度的审查。</w:t>
      </w:r>
    </w:p>
    <w:p w14:paraId="7EFE61D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4.7响应文件最后报价出现前后不一致的，按照本章第2.4条的规定修正。 </w:t>
      </w:r>
    </w:p>
    <w:p w14:paraId="47528D06">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4.8修正后的报价出现下列情形的，按无效响应处理：</w:t>
      </w:r>
    </w:p>
    <w:p w14:paraId="1D7FB04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（1）供应商不确认的；</w:t>
      </w:r>
    </w:p>
    <w:p w14:paraId="04E71D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（2）经供应商确认修正后的竞标报价（包含首次报价、最后报价）超过所竞标分标规定的采购预算金额或者最高限价的（如本项目公布了最高限价）；</w:t>
      </w:r>
    </w:p>
    <w:p w14:paraId="2C104C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（3）经供应商确认修正后的竞标报价（包含首次报价、最后报价）超过分项采购预算金额或者最高限价的（如本项目公布了最高限价）。</w:t>
      </w:r>
    </w:p>
    <w:p w14:paraId="1CFA67F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4.9经供应商确认修正后的最后报价作为评审及签订合同的依据。</w:t>
      </w:r>
    </w:p>
    <w:p w14:paraId="75E1C02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4.10最后报价结束后，磋商小组不得再与供应商进行任何形式的商谈。</w:t>
      </w:r>
    </w:p>
    <w:p w14:paraId="05A3B76D">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5.比较与评价</w:t>
      </w:r>
    </w:p>
    <w:p w14:paraId="4772272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5.1评审方法：综合评分法。</w:t>
      </w:r>
    </w:p>
    <w:p w14:paraId="166C74A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5.2经磋商确定最终采购需求和提交最后报价的供应商后，由磋商小组采用综合评分法对提交最后报价的供应商的响应文件和最后报价进行综合评分。</w:t>
      </w:r>
    </w:p>
    <w:p w14:paraId="69D41E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5.3评审时，磋商小组各成员应当独立对每个有效响应的文件进行评价、打分，然后汇总每个供应商每项评分因素的得分。</w:t>
      </w:r>
    </w:p>
    <w:p w14:paraId="7ED1966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（1）磋商小组按照磋商文件中规定的评审标准计算各供应商的报价得分。项目评审过程中，不得去掉最后报价中的最高报价和最低报价。</w:t>
      </w:r>
    </w:p>
    <w:p w14:paraId="569D736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（2）各供应商的得分为磋商小组所有成员的有效评分的算术平均数。</w:t>
      </w:r>
    </w:p>
    <w:p w14:paraId="6B0F1D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5.4评审价为供应商的最后报价进行政策性扣除后的价格，评审价只是作为评审时使用。最终成交供应商的成交金额等于最后报价（如有修正，以确认修正后的最后报价为准）。</w:t>
      </w:r>
    </w:p>
    <w:p w14:paraId="69318B52">
      <w:pPr>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5.5由磋商小组根据综合评分情况，按照评审得分由高到低顺序推荐3名以上成交候选供应商，并编写评</w:t>
      </w:r>
      <w:r>
        <w:rPr>
          <w:rFonts w:hint="eastAsia" w:ascii="宋体" w:hAnsi="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14:paraId="42A8FD98">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5.6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A4D274B">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二、评审标准</w:t>
      </w:r>
    </w:p>
    <w:p w14:paraId="22249BB3">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6.评审依据：磋商小组将以磋商响应文件为评审依据，对供应商的报价、商务、技术等方面内容按百分制打分。（计分方法按四舍五入取至百分位）</w:t>
      </w:r>
    </w:p>
    <w:p w14:paraId="293A7C5A">
      <w:pPr>
        <w:pStyle w:val="145"/>
        <w:ind w:firstLine="241" w:firstLineChars="100"/>
        <w:jc w:val="both"/>
        <w:rPr>
          <w:rFonts w:hint="default" w:eastAsia="宋体"/>
          <w:b/>
          <w:bCs/>
          <w:color w:val="auto"/>
          <w:highlight w:val="none"/>
        </w:rPr>
      </w:pPr>
      <w:r>
        <w:rPr>
          <w:rFonts w:eastAsia="宋体"/>
          <w:b/>
          <w:bCs/>
          <w:color w:val="auto"/>
          <w:highlight w:val="none"/>
        </w:rPr>
        <w:t>6.1价格分（满分</w:t>
      </w:r>
      <w:r>
        <w:rPr>
          <w:rFonts w:hint="default" w:eastAsia="宋体"/>
          <w:b/>
          <w:bCs/>
          <w:color w:val="auto"/>
          <w:highlight w:val="none"/>
        </w:rPr>
        <w:t>10</w:t>
      </w:r>
      <w:r>
        <w:rPr>
          <w:rFonts w:eastAsia="宋体"/>
          <w:b/>
          <w:bCs/>
          <w:color w:val="auto"/>
          <w:highlight w:val="none"/>
        </w:rPr>
        <w:t>分）</w:t>
      </w:r>
    </w:p>
    <w:tbl>
      <w:tblPr>
        <w:tblStyle w:val="50"/>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144"/>
        <w:gridCol w:w="1395"/>
        <w:gridCol w:w="5700"/>
      </w:tblGrid>
      <w:tr w14:paraId="3D6B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58" w:type="dxa"/>
            <w:vAlign w:val="center"/>
          </w:tcPr>
          <w:p w14:paraId="6F86EE45">
            <w:pPr>
              <w:adjustRightInd w:val="0"/>
              <w:snapToGrid w:val="0"/>
              <w:spacing w:line="360" w:lineRule="atLeas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序号</w:t>
            </w:r>
          </w:p>
        </w:tc>
        <w:tc>
          <w:tcPr>
            <w:tcW w:w="1144" w:type="dxa"/>
            <w:vAlign w:val="center"/>
          </w:tcPr>
          <w:p w14:paraId="768609F2">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内容</w:t>
            </w:r>
          </w:p>
        </w:tc>
        <w:tc>
          <w:tcPr>
            <w:tcW w:w="1395" w:type="dxa"/>
            <w:vAlign w:val="center"/>
          </w:tcPr>
          <w:p w14:paraId="12B7A21F">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分值</w:t>
            </w:r>
          </w:p>
        </w:tc>
        <w:tc>
          <w:tcPr>
            <w:tcW w:w="5700" w:type="dxa"/>
            <w:vAlign w:val="center"/>
          </w:tcPr>
          <w:p w14:paraId="6B8498A7">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评审标准和要求</w:t>
            </w:r>
          </w:p>
        </w:tc>
      </w:tr>
      <w:tr w14:paraId="15C79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8" w:type="dxa"/>
            <w:vAlign w:val="center"/>
          </w:tcPr>
          <w:p w14:paraId="2F752FFB">
            <w:pPr>
              <w:adjustRightInd w:val="0"/>
              <w:spacing w:line="360" w:lineRule="exac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1</w:t>
            </w:r>
          </w:p>
        </w:tc>
        <w:tc>
          <w:tcPr>
            <w:tcW w:w="1144" w:type="dxa"/>
            <w:vAlign w:val="center"/>
          </w:tcPr>
          <w:p w14:paraId="60E778C3">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价格分</w:t>
            </w:r>
          </w:p>
        </w:tc>
        <w:tc>
          <w:tcPr>
            <w:tcW w:w="1395" w:type="dxa"/>
            <w:vAlign w:val="center"/>
          </w:tcPr>
          <w:p w14:paraId="11697838">
            <w:pPr>
              <w:adjustRightIn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w:t>
            </w:r>
            <w:r>
              <w:rPr>
                <w:rFonts w:ascii="宋体" w:hAnsi="宋体" w:cs="宋体"/>
                <w:bCs/>
                <w:color w:val="auto"/>
                <w:szCs w:val="21"/>
                <w:highlight w:val="none"/>
              </w:rPr>
              <w:t>10</w:t>
            </w:r>
            <w:r>
              <w:rPr>
                <w:rFonts w:hint="eastAsia" w:ascii="宋体" w:hAnsi="宋体" w:cs="宋体"/>
                <w:bCs/>
                <w:color w:val="auto"/>
                <w:szCs w:val="21"/>
                <w:highlight w:val="none"/>
              </w:rPr>
              <w:t>分</w:t>
            </w:r>
          </w:p>
        </w:tc>
        <w:tc>
          <w:tcPr>
            <w:tcW w:w="5700" w:type="dxa"/>
            <w:vAlign w:val="center"/>
          </w:tcPr>
          <w:p w14:paraId="53B30ECC">
            <w:pPr>
              <w:spacing w:line="360" w:lineRule="auto"/>
              <w:ind w:firstLine="420" w:firstLineChars="200"/>
              <w:rPr>
                <w:color w:val="auto"/>
                <w:szCs w:val="21"/>
                <w:highlight w:val="none"/>
              </w:rPr>
            </w:pPr>
            <w:r>
              <w:rPr>
                <w:rFonts w:hint="eastAsia"/>
                <w:color w:val="auto"/>
                <w:szCs w:val="21"/>
                <w:highlight w:val="none"/>
              </w:rPr>
              <w:t>评标基准价</w:t>
            </w:r>
            <w:r>
              <w:rPr>
                <w:color w:val="auto"/>
                <w:szCs w:val="21"/>
                <w:highlight w:val="none"/>
              </w:rPr>
              <w:t>的确定方法</w:t>
            </w:r>
            <w:r>
              <w:rPr>
                <w:rFonts w:hint="eastAsia"/>
                <w:color w:val="auto"/>
                <w:szCs w:val="21"/>
                <w:highlight w:val="none"/>
              </w:rPr>
              <w:t>：</w:t>
            </w:r>
            <w:r>
              <w:rPr>
                <w:color w:val="auto"/>
                <w:szCs w:val="21"/>
                <w:highlight w:val="none"/>
              </w:rPr>
              <w:t>采用低价优先法计算，即满足磋商文件要求且最后报价最低的供应商的价格为磋商基准价，其价格分为满分</w:t>
            </w:r>
            <w:r>
              <w:rPr>
                <w:rFonts w:hint="eastAsia"/>
                <w:color w:val="auto"/>
                <w:szCs w:val="21"/>
                <w:highlight w:val="none"/>
              </w:rPr>
              <w:t>。</w:t>
            </w:r>
          </w:p>
          <w:p w14:paraId="050292D4">
            <w:pPr>
              <w:spacing w:line="360" w:lineRule="auto"/>
              <w:ind w:firstLine="420" w:firstLineChars="200"/>
              <w:rPr>
                <w:color w:val="auto"/>
                <w:szCs w:val="21"/>
                <w:highlight w:val="none"/>
              </w:rPr>
            </w:pPr>
            <w:r>
              <w:rPr>
                <w:rFonts w:hint="eastAsia"/>
                <w:color w:val="auto"/>
                <w:szCs w:val="21"/>
                <w:highlight w:val="none"/>
              </w:rPr>
              <w:t>其他供应商的价格分统一按照下列公式计算：磋商报价得分=（评审基准价/磋商报价）×价格分满分分值。</w:t>
            </w:r>
          </w:p>
          <w:p w14:paraId="578E02A0">
            <w:pPr>
              <w:spacing w:line="360" w:lineRule="auto"/>
              <w:rPr>
                <w:rFonts w:ascii="新宋体" w:hAnsi="新宋体" w:eastAsia="新宋体" w:cs="新宋体"/>
                <w:b/>
                <w:bCs/>
                <w:color w:val="auto"/>
                <w:szCs w:val="21"/>
                <w:highlight w:val="none"/>
              </w:rPr>
            </w:pPr>
            <w:r>
              <w:rPr>
                <w:rFonts w:hint="eastAsia" w:ascii="新宋体" w:hAnsi="新宋体" w:eastAsia="新宋体" w:cs="新宋体"/>
                <w:b/>
                <w:bCs/>
                <w:color w:val="auto"/>
                <w:szCs w:val="21"/>
                <w:highlight w:val="none"/>
              </w:rPr>
              <w:t>小型和微型企业最终报价扣除计算。</w:t>
            </w:r>
          </w:p>
          <w:p w14:paraId="4F284106">
            <w:pPr>
              <w:spacing w:line="360" w:lineRule="auto"/>
              <w:ind w:firstLine="420" w:firstLineChars="200"/>
              <w:rPr>
                <w:rFonts w:ascii="新宋体" w:hAnsi="新宋体" w:eastAsia="新宋体" w:cs="新宋体"/>
                <w:color w:val="auto"/>
                <w:szCs w:val="21"/>
                <w:highlight w:val="none"/>
              </w:rPr>
            </w:pPr>
            <w:r>
              <w:rPr>
                <w:rFonts w:hint="eastAsia" w:ascii="新宋体" w:hAnsi="新宋体" w:eastAsia="新宋体" w:cs="新宋体"/>
                <w:color w:val="auto"/>
                <w:szCs w:val="21"/>
                <w:highlight w:val="none"/>
              </w:rPr>
              <w:t>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10%的价格扣除，但必须提供由省级以上监狱管理局、戒毒管理局（含新疆生产建设兵团）出具的属于监狱企业的证明文件，否则评审时不予价格扣除优惠。</w:t>
            </w:r>
          </w:p>
          <w:p w14:paraId="47107536">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按照《政府采购促进中小企业发展管理办法》财库〔2020〕46号，对小型和微型企业产品的最后报价给予20%的扣除，扣除后的价格为评标报价，即评标报价=最终报价×（1-20%）；大中型企业与小型、微型企业组成联合体竞标，其中小型、微型企业的协议合同金额占到联合体协议合同总金额30%以上的，联合体最终报价给予6%的扣除，扣除后的价格为评标报价，即评标报价=最终报价×（1-6%）。</w:t>
            </w:r>
          </w:p>
          <w:p w14:paraId="6339C871">
            <w:pPr>
              <w:pStyle w:val="22"/>
              <w:spacing w:line="336" w:lineRule="auto"/>
              <w:ind w:firstLine="420"/>
              <w:rPr>
                <w:rFonts w:hAnsi="宋体" w:cs="宋体"/>
                <w:b/>
                <w:bCs/>
                <w:color w:val="auto"/>
                <w:sz w:val="21"/>
                <w:highlight w:val="none"/>
              </w:rPr>
            </w:pPr>
            <w:r>
              <w:rPr>
                <w:rFonts w:hint="eastAsia" w:hAnsi="宋体" w:cs="宋体"/>
                <w:b/>
                <w:bCs/>
                <w:color w:val="auto"/>
                <w:sz w:val="21"/>
                <w:highlight w:val="none"/>
              </w:rPr>
              <w:t>注：</w:t>
            </w:r>
          </w:p>
          <w:p w14:paraId="0A74D62D">
            <w:pPr>
              <w:pStyle w:val="22"/>
              <w:numPr>
                <w:ilvl w:val="0"/>
                <w:numId w:val="3"/>
              </w:numPr>
              <w:spacing w:line="336" w:lineRule="auto"/>
              <w:ind w:firstLine="420" w:firstLineChars="200"/>
              <w:rPr>
                <w:color w:val="auto"/>
                <w:sz w:val="21"/>
                <w:highlight w:val="none"/>
              </w:rPr>
            </w:pPr>
            <w:r>
              <w:rPr>
                <w:rFonts w:hint="eastAsia" w:hAnsi="宋体" w:cs="宋体"/>
                <w:bCs/>
                <w:color w:val="auto"/>
                <w:sz w:val="21"/>
                <w:highlight w:val="none"/>
                <w:shd w:val="clear" w:color="auto" w:fill="FFFFFF"/>
              </w:rPr>
              <w:t>供应商提供的货物、工程或者服务符合下列情形的，享受中小企业扶持政策：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w:t>
            </w:r>
            <w:r>
              <w:rPr>
                <w:rFonts w:hint="eastAsia" w:hAnsi="宋体" w:cs="宋体"/>
                <w:bCs/>
                <w:color w:val="auto"/>
                <w:sz w:val="21"/>
                <w:highlight w:val="none"/>
              </w:rPr>
              <w:t>。</w:t>
            </w:r>
          </w:p>
          <w:p w14:paraId="682E3D7E">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②按照《财政部、司法部关于政府采购支持监狱企业发展有关问题的通知》（财库〔2014〕68号）之规定，监狱企业视同小型、微型企业，享受预留份额、评审中价格扣除等政府采购政策。</w:t>
            </w:r>
          </w:p>
          <w:p w14:paraId="2C7E6A5A">
            <w:pPr>
              <w:spacing w:line="336" w:lineRule="auto"/>
              <w:ind w:firstLine="420" w:firstLineChars="200"/>
              <w:rPr>
                <w:color w:val="auto"/>
                <w:szCs w:val="21"/>
                <w:highlight w:val="none"/>
              </w:rPr>
            </w:pPr>
            <w:r>
              <w:rPr>
                <w:rFonts w:hint="eastAsia" w:ascii="宋体" w:hAnsi="宋体" w:cs="宋体"/>
                <w:color w:val="auto"/>
                <w:szCs w:val="21"/>
                <w:highlight w:val="none"/>
              </w:rPr>
              <w:t>③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1472D45B">
            <w:pPr>
              <w:spacing w:line="336" w:lineRule="auto"/>
              <w:ind w:firstLine="420" w:firstLineChars="200"/>
              <w:rPr>
                <w:color w:val="auto"/>
                <w:szCs w:val="21"/>
                <w:highlight w:val="none"/>
              </w:rPr>
            </w:pPr>
            <w:r>
              <w:rPr>
                <w:rFonts w:hint="eastAsia" w:ascii="宋体" w:hAnsi="宋体" w:cs="宋体"/>
                <w:color w:val="auto"/>
                <w:szCs w:val="21"/>
                <w:highlight w:val="none"/>
              </w:rPr>
              <w:t>除上述情况外，评标价=最后报价</w:t>
            </w:r>
          </w:p>
          <w:p w14:paraId="16E2DEBD">
            <w:pPr>
              <w:spacing w:line="360" w:lineRule="auto"/>
              <w:ind w:firstLine="420" w:firstLineChars="200"/>
              <w:rPr>
                <w:color w:val="auto"/>
                <w:highlight w:val="none"/>
              </w:rPr>
            </w:pPr>
            <w:r>
              <w:rPr>
                <w:rFonts w:hint="eastAsia" w:ascii="新宋体" w:hAnsi="新宋体" w:eastAsia="新宋体" w:cs="新宋体"/>
                <w:color w:val="auto"/>
                <w:szCs w:val="21"/>
                <w:highlight w:val="none"/>
              </w:rPr>
              <w:t>参加政府采购活动的供应商如为中小企业的必须提供《中小企业声明函》，否则不予认可。</w:t>
            </w:r>
          </w:p>
        </w:tc>
      </w:tr>
    </w:tbl>
    <w:p w14:paraId="4654A7F9">
      <w:pPr>
        <w:rPr>
          <w:b/>
          <w:bCs/>
          <w:color w:val="auto"/>
          <w:sz w:val="22"/>
          <w:szCs w:val="28"/>
          <w:highlight w:val="none"/>
        </w:rPr>
      </w:pPr>
      <w:r>
        <w:rPr>
          <w:rFonts w:hint="eastAsia"/>
          <w:b/>
          <w:bCs/>
          <w:color w:val="auto"/>
          <w:sz w:val="22"/>
          <w:szCs w:val="28"/>
          <w:highlight w:val="none"/>
        </w:rPr>
        <w:t>6.2技术分：满分</w:t>
      </w:r>
      <w:r>
        <w:rPr>
          <w:b/>
          <w:bCs/>
          <w:color w:val="auto"/>
          <w:sz w:val="22"/>
          <w:szCs w:val="28"/>
          <w:highlight w:val="none"/>
        </w:rPr>
        <w:t>7</w:t>
      </w:r>
      <w:r>
        <w:rPr>
          <w:rFonts w:hint="eastAsia"/>
          <w:b/>
          <w:bCs/>
          <w:color w:val="auto"/>
          <w:sz w:val="22"/>
          <w:szCs w:val="28"/>
          <w:highlight w:val="none"/>
          <w:lang w:val="en-US" w:eastAsia="zh-CN"/>
        </w:rPr>
        <w:t>0</w:t>
      </w:r>
      <w:r>
        <w:rPr>
          <w:rFonts w:hint="eastAsia"/>
          <w:b/>
          <w:bCs/>
          <w:color w:val="auto"/>
          <w:sz w:val="22"/>
          <w:szCs w:val="28"/>
          <w:highlight w:val="none"/>
        </w:rPr>
        <w:t>分</w:t>
      </w:r>
    </w:p>
    <w:tbl>
      <w:tblPr>
        <w:tblStyle w:val="50"/>
        <w:tblW w:w="88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1067"/>
        <w:gridCol w:w="1350"/>
        <w:gridCol w:w="5670"/>
      </w:tblGrid>
      <w:tr w14:paraId="4353A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vAlign w:val="center"/>
          </w:tcPr>
          <w:p w14:paraId="63E3EE1C">
            <w:pPr>
              <w:adjustRightInd w:val="0"/>
              <w:snapToGrid w:val="0"/>
              <w:spacing w:line="360" w:lineRule="auto"/>
              <w:jc w:val="center"/>
              <w:textAlignment w:val="baseline"/>
              <w:rPr>
                <w:rFonts w:ascii="宋体" w:hAnsi="宋体" w:cs="宋体"/>
                <w:bCs/>
                <w:color w:val="auto"/>
                <w:szCs w:val="21"/>
                <w:highlight w:val="none"/>
              </w:rPr>
            </w:pPr>
            <w:bookmarkStart w:id="102" w:name="_Toc80886939"/>
            <w:r>
              <w:rPr>
                <w:rFonts w:hint="eastAsia" w:ascii="宋体" w:hAnsi="宋体" w:cs="宋体"/>
                <w:bCs/>
                <w:color w:val="auto"/>
                <w:szCs w:val="21"/>
                <w:highlight w:val="none"/>
              </w:rPr>
              <w:t>序号</w:t>
            </w:r>
          </w:p>
        </w:tc>
        <w:tc>
          <w:tcPr>
            <w:tcW w:w="1067" w:type="dxa"/>
            <w:vAlign w:val="center"/>
          </w:tcPr>
          <w:p w14:paraId="3FDB890E">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内容</w:t>
            </w:r>
          </w:p>
        </w:tc>
        <w:tc>
          <w:tcPr>
            <w:tcW w:w="1350" w:type="dxa"/>
            <w:tcMar>
              <w:left w:w="57" w:type="dxa"/>
              <w:right w:w="57" w:type="dxa"/>
            </w:tcMar>
            <w:vAlign w:val="center"/>
          </w:tcPr>
          <w:p w14:paraId="74A50B11">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分值</w:t>
            </w:r>
          </w:p>
        </w:tc>
        <w:tc>
          <w:tcPr>
            <w:tcW w:w="5670" w:type="dxa"/>
            <w:vAlign w:val="center"/>
          </w:tcPr>
          <w:p w14:paraId="3642114D">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评审标准和要求</w:t>
            </w:r>
          </w:p>
        </w:tc>
      </w:tr>
      <w:tr w14:paraId="6370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vAlign w:val="center"/>
          </w:tcPr>
          <w:p w14:paraId="3DAB0C86">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1</w:t>
            </w:r>
          </w:p>
        </w:tc>
        <w:tc>
          <w:tcPr>
            <w:tcW w:w="1067" w:type="dxa"/>
            <w:vAlign w:val="center"/>
          </w:tcPr>
          <w:p w14:paraId="208B8AE7">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项目技术方案</w:t>
            </w:r>
          </w:p>
        </w:tc>
        <w:tc>
          <w:tcPr>
            <w:tcW w:w="1350" w:type="dxa"/>
            <w:tcMar>
              <w:left w:w="57" w:type="dxa"/>
              <w:right w:w="57" w:type="dxa"/>
            </w:tcMar>
            <w:vAlign w:val="center"/>
          </w:tcPr>
          <w:p w14:paraId="1126E06A">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w:t>
            </w:r>
            <w:r>
              <w:rPr>
                <w:rFonts w:ascii="宋体" w:hAnsi="宋体" w:cs="宋体"/>
                <w:bCs/>
                <w:color w:val="auto"/>
                <w:szCs w:val="21"/>
                <w:highlight w:val="none"/>
              </w:rPr>
              <w:t>20</w:t>
            </w:r>
            <w:r>
              <w:rPr>
                <w:rFonts w:hint="eastAsia" w:ascii="宋体" w:hAnsi="宋体" w:cs="宋体"/>
                <w:bCs/>
                <w:color w:val="auto"/>
                <w:szCs w:val="21"/>
                <w:highlight w:val="none"/>
              </w:rPr>
              <w:t>分</w:t>
            </w:r>
          </w:p>
        </w:tc>
        <w:tc>
          <w:tcPr>
            <w:tcW w:w="5670" w:type="dxa"/>
            <w:vAlign w:val="center"/>
          </w:tcPr>
          <w:p w14:paraId="50862767">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各专家对技术方案等各方面进行独立打分。</w:t>
            </w:r>
          </w:p>
          <w:p w14:paraId="22745E28">
            <w:pPr>
              <w:pStyle w:val="22"/>
              <w:spacing w:line="360" w:lineRule="auto"/>
              <w:ind w:firstLine="420" w:firstLineChars="200"/>
              <w:rPr>
                <w:rFonts w:hAnsi="宋体" w:cs="宋体"/>
                <w:color w:val="auto"/>
                <w:sz w:val="21"/>
                <w:highlight w:val="none"/>
              </w:rPr>
            </w:pPr>
            <w:r>
              <w:rPr>
                <w:rFonts w:hint="eastAsia" w:hAnsi="宋体" w:cs="宋体"/>
                <w:color w:val="auto"/>
                <w:sz w:val="21"/>
                <w:highlight w:val="none"/>
              </w:rPr>
              <w:t>优（</w:t>
            </w:r>
            <w:r>
              <w:rPr>
                <w:rFonts w:hAnsi="宋体" w:cs="宋体"/>
                <w:color w:val="auto"/>
                <w:sz w:val="21"/>
                <w:highlight w:val="none"/>
              </w:rPr>
              <w:t>20</w:t>
            </w:r>
            <w:r>
              <w:rPr>
                <w:rFonts w:hint="eastAsia" w:hAnsi="宋体" w:cs="宋体"/>
                <w:color w:val="auto"/>
                <w:sz w:val="21"/>
                <w:highlight w:val="none"/>
              </w:rPr>
              <w:t>分）</w:t>
            </w:r>
            <w:r>
              <w:rPr>
                <w:rFonts w:hint="eastAsia" w:hAnsi="宋体" w:cs="宋体"/>
                <w:color w:val="auto"/>
                <w:highlight w:val="none"/>
              </w:rPr>
              <w:t>：</w:t>
            </w:r>
            <w:r>
              <w:rPr>
                <w:rFonts w:hint="eastAsia" w:hAnsi="宋体" w:cs="宋体"/>
                <w:color w:val="auto"/>
                <w:sz w:val="21"/>
                <w:highlight w:val="none"/>
              </w:rPr>
              <w:t>项目实施方案对该项目的总体及项目实施任务、要求的理解深刻，熟悉项目整体情况，对实施任务、要求的理解把握准确；技术方案、工作技术路线和方法技术路线清晰、全面、方法可行；项目重点、难点分析准确抓住重点、难点，分析透彻；</w:t>
            </w:r>
          </w:p>
          <w:p w14:paraId="7DE51D55">
            <w:pPr>
              <w:pStyle w:val="22"/>
              <w:spacing w:line="360" w:lineRule="auto"/>
              <w:ind w:firstLine="420" w:firstLineChars="200"/>
              <w:rPr>
                <w:rFonts w:hAnsi="宋体" w:cs="宋体"/>
                <w:color w:val="auto"/>
                <w:sz w:val="21"/>
                <w:highlight w:val="none"/>
              </w:rPr>
            </w:pPr>
            <w:r>
              <w:rPr>
                <w:rFonts w:hint="eastAsia" w:hAnsi="宋体" w:cs="宋体"/>
                <w:color w:val="auto"/>
                <w:sz w:val="21"/>
                <w:highlight w:val="none"/>
              </w:rPr>
              <w:t>良（</w:t>
            </w:r>
            <w:r>
              <w:rPr>
                <w:rFonts w:hAnsi="宋体" w:cs="宋体"/>
                <w:color w:val="auto"/>
                <w:sz w:val="21"/>
                <w:highlight w:val="none"/>
              </w:rPr>
              <w:t>15</w:t>
            </w:r>
            <w:r>
              <w:rPr>
                <w:rFonts w:hint="eastAsia" w:hAnsi="宋体" w:cs="宋体"/>
                <w:color w:val="auto"/>
                <w:sz w:val="21"/>
                <w:highlight w:val="none"/>
              </w:rPr>
              <w:t>分）</w:t>
            </w:r>
            <w:r>
              <w:rPr>
                <w:rFonts w:hint="eastAsia" w:hAnsi="宋体" w:cs="宋体"/>
                <w:color w:val="auto"/>
                <w:highlight w:val="none"/>
              </w:rPr>
              <w:t>：</w:t>
            </w:r>
            <w:r>
              <w:rPr>
                <w:rFonts w:hint="eastAsia" w:hAnsi="宋体" w:cs="宋体"/>
                <w:color w:val="auto"/>
                <w:sz w:val="21"/>
                <w:highlight w:val="none"/>
              </w:rPr>
              <w:t>项目实施方案对该项目的总体及项目实施任务、要求的理解有一定的认识，对项目整体情况有一定了解，实施任务、技术方案、工作技术路线和方法方面技术路线基本合理、方法可行；</w:t>
            </w:r>
          </w:p>
          <w:p w14:paraId="515FE3BD">
            <w:pPr>
              <w:adjustRightInd w:val="0"/>
              <w:snapToGrid w:val="0"/>
              <w:spacing w:line="360" w:lineRule="auto"/>
              <w:ind w:firstLine="420" w:firstLineChars="200"/>
              <w:jc w:val="left"/>
              <w:textAlignment w:val="baseline"/>
              <w:rPr>
                <w:rFonts w:ascii="宋体" w:hAnsi="宋体" w:cs="宋体"/>
                <w:color w:val="auto"/>
                <w:szCs w:val="21"/>
                <w:highlight w:val="none"/>
              </w:rPr>
            </w:pPr>
            <w:r>
              <w:rPr>
                <w:rFonts w:hint="eastAsia" w:ascii="宋体" w:hAnsi="宋体" w:cs="宋体"/>
                <w:color w:val="auto"/>
                <w:szCs w:val="21"/>
                <w:highlight w:val="none"/>
              </w:rPr>
              <w:t>中（</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r>
              <w:rPr>
                <w:rFonts w:hint="eastAsia" w:hAnsi="宋体" w:cs="宋体"/>
                <w:color w:val="auto"/>
                <w:highlight w:val="none"/>
              </w:rPr>
              <w:t>：</w:t>
            </w:r>
            <w:r>
              <w:rPr>
                <w:rFonts w:hint="eastAsia" w:ascii="宋体" w:hAnsi="宋体" w:cs="宋体"/>
                <w:color w:val="auto"/>
                <w:szCs w:val="21"/>
                <w:highlight w:val="none"/>
              </w:rPr>
              <w:t>项目实施术方案对该项目的总体及项目实施任务、要求的理解和对项目整体情况了解不完整，实施任务、要求的理解把握基本到位；技术方案、工作技术路线和方法方面技术路线基本合理、方法可行性一般；</w:t>
            </w:r>
          </w:p>
          <w:p w14:paraId="599834B9">
            <w:pPr>
              <w:adjustRightInd w:val="0"/>
              <w:snapToGrid w:val="0"/>
              <w:spacing w:line="360" w:lineRule="auto"/>
              <w:ind w:firstLine="420" w:firstLineChars="200"/>
              <w:jc w:val="left"/>
              <w:textAlignment w:val="baseline"/>
              <w:rPr>
                <w:rFonts w:ascii="宋体" w:hAnsi="宋体" w:cs="宋体"/>
                <w:bCs/>
                <w:color w:val="auto"/>
                <w:szCs w:val="21"/>
                <w:highlight w:val="none"/>
                <w:lang w:val="zh-CN"/>
              </w:rPr>
            </w:pPr>
            <w:r>
              <w:rPr>
                <w:rFonts w:hint="eastAsia" w:ascii="宋体" w:hAnsi="宋体" w:cs="宋体"/>
                <w:color w:val="auto"/>
                <w:szCs w:val="21"/>
                <w:highlight w:val="none"/>
              </w:rPr>
              <w:t>差（3分）</w:t>
            </w:r>
            <w:r>
              <w:rPr>
                <w:rFonts w:hint="eastAsia" w:hAnsi="宋体" w:cs="宋体"/>
                <w:color w:val="auto"/>
                <w:highlight w:val="none"/>
              </w:rPr>
              <w:t>：</w:t>
            </w:r>
            <w:r>
              <w:rPr>
                <w:rFonts w:hint="eastAsia" w:ascii="宋体" w:hAnsi="宋体" w:cs="宋体"/>
                <w:color w:val="auto"/>
                <w:szCs w:val="21"/>
                <w:highlight w:val="none"/>
              </w:rPr>
              <w:t>项目实施术方案对该项目的总体及项目实施任务、要求的理解缺乏认识，对项目整体情况缺乏了解，实施任务、要求的理解把握不够准确；技术方案、工作技术路线和方法方面技术路线不够合理、方法可行性差。</w:t>
            </w:r>
          </w:p>
        </w:tc>
      </w:tr>
      <w:tr w14:paraId="58DC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14:paraId="0A3E1A75">
            <w:pPr>
              <w:adjustRightInd w:val="0"/>
              <w:snapToGrid w:val="0"/>
              <w:spacing w:line="360" w:lineRule="auto"/>
              <w:jc w:val="center"/>
              <w:textAlignment w:val="baseline"/>
              <w:rPr>
                <w:rFonts w:ascii="宋体" w:hAnsi="宋体" w:cs="宋体"/>
                <w:bCs/>
                <w:color w:val="auto"/>
                <w:szCs w:val="21"/>
                <w:highlight w:val="none"/>
              </w:rPr>
            </w:pPr>
            <w:r>
              <w:rPr>
                <w:rFonts w:ascii="宋体" w:hAnsi="宋体" w:cs="宋体"/>
                <w:bCs/>
                <w:color w:val="auto"/>
                <w:szCs w:val="21"/>
                <w:highlight w:val="none"/>
              </w:rPr>
              <w:t>2</w:t>
            </w:r>
          </w:p>
        </w:tc>
        <w:tc>
          <w:tcPr>
            <w:tcW w:w="1067" w:type="dxa"/>
            <w:tcBorders>
              <w:top w:val="single" w:color="auto" w:sz="4" w:space="0"/>
              <w:left w:val="single" w:color="auto" w:sz="4" w:space="0"/>
              <w:bottom w:val="single" w:color="auto" w:sz="4" w:space="0"/>
              <w:right w:val="single" w:color="auto" w:sz="4" w:space="0"/>
            </w:tcBorders>
            <w:vAlign w:val="center"/>
          </w:tcPr>
          <w:p w14:paraId="3DC55BA7">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项目实施管理方案和工期计划安排</w:t>
            </w:r>
          </w:p>
        </w:tc>
        <w:tc>
          <w:tcPr>
            <w:tcW w:w="1350"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14:paraId="349882BC">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c>
          <w:tcPr>
            <w:tcW w:w="5670" w:type="dxa"/>
            <w:tcBorders>
              <w:top w:val="single" w:color="auto" w:sz="4" w:space="0"/>
              <w:left w:val="single" w:color="auto" w:sz="4" w:space="0"/>
              <w:bottom w:val="single" w:color="auto" w:sz="4" w:space="0"/>
              <w:right w:val="single" w:color="auto" w:sz="4" w:space="0"/>
            </w:tcBorders>
            <w:vAlign w:val="center"/>
          </w:tcPr>
          <w:p w14:paraId="1787B02C">
            <w:pPr>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各专家对工作量及计划安排等各方面进行独立打分。</w:t>
            </w:r>
          </w:p>
          <w:p w14:paraId="21EDBA6C">
            <w:pPr>
              <w:pStyle w:val="22"/>
              <w:spacing w:line="360" w:lineRule="auto"/>
              <w:ind w:firstLine="400" w:firstLineChars="200"/>
              <w:rPr>
                <w:rFonts w:ascii="Arial" w:hAnsi="Arial" w:cs="Arial"/>
                <w:bCs/>
                <w:color w:val="auto"/>
                <w:kern w:val="2"/>
                <w:sz w:val="21"/>
                <w:highlight w:val="none"/>
              </w:rPr>
            </w:pPr>
            <w:r>
              <w:rPr>
                <w:rFonts w:hint="eastAsia" w:ascii="Arial" w:hAnsi="Arial" w:cs="Arial"/>
                <w:bCs/>
                <w:color w:val="auto"/>
                <w:highlight w:val="none"/>
              </w:rPr>
              <w:t>优</w:t>
            </w:r>
            <w:r>
              <w:rPr>
                <w:rFonts w:hint="eastAsia" w:ascii="Arial" w:hAnsi="Arial" w:cs="Arial"/>
                <w:bCs/>
                <w:color w:val="auto"/>
                <w:kern w:val="2"/>
                <w:sz w:val="21"/>
                <w:highlight w:val="none"/>
              </w:rPr>
              <w:t>（</w:t>
            </w:r>
            <w:r>
              <w:rPr>
                <w:rFonts w:ascii="Arial" w:hAnsi="Arial" w:cs="Arial"/>
                <w:bCs/>
                <w:color w:val="auto"/>
                <w:kern w:val="2"/>
                <w:sz w:val="21"/>
                <w:highlight w:val="none"/>
              </w:rPr>
              <w:t>1</w:t>
            </w:r>
            <w:r>
              <w:rPr>
                <w:rFonts w:hint="eastAsia" w:ascii="Arial" w:hAnsi="Arial" w:cs="Arial"/>
                <w:bCs/>
                <w:color w:val="auto"/>
                <w:kern w:val="2"/>
                <w:sz w:val="21"/>
                <w:highlight w:val="none"/>
                <w:lang w:val="en-US" w:eastAsia="zh-CN"/>
              </w:rPr>
              <w:t>5</w:t>
            </w:r>
            <w:r>
              <w:rPr>
                <w:rFonts w:hint="eastAsia" w:ascii="Arial" w:hAnsi="Arial" w:cs="Arial"/>
                <w:bCs/>
                <w:color w:val="auto"/>
                <w:kern w:val="2"/>
                <w:sz w:val="21"/>
                <w:highlight w:val="none"/>
              </w:rPr>
              <w:t>分）：对项目实施设置了明确的管理机构和岗位职责，科学制订了各项工作严密的计划和工期安排；有明确的相关岗位人员（岗位人员必须是拟投入本项目的技术人员），有明确的生产和技术管理机构及人员，人员配备和设备投入合理，完全满足本项目总体要求。</w:t>
            </w:r>
          </w:p>
          <w:p w14:paraId="04D8861D">
            <w:pPr>
              <w:pStyle w:val="22"/>
              <w:spacing w:line="360" w:lineRule="auto"/>
              <w:ind w:firstLine="420" w:firstLineChars="200"/>
              <w:rPr>
                <w:rFonts w:ascii="Arial" w:hAnsi="Arial" w:cs="Arial"/>
                <w:bCs/>
                <w:color w:val="auto"/>
                <w:kern w:val="2"/>
                <w:sz w:val="21"/>
                <w:highlight w:val="none"/>
              </w:rPr>
            </w:pPr>
            <w:r>
              <w:rPr>
                <w:rFonts w:hint="eastAsia" w:ascii="Arial" w:hAnsi="Arial" w:cs="Arial"/>
                <w:bCs/>
                <w:color w:val="auto"/>
                <w:kern w:val="2"/>
                <w:sz w:val="21"/>
                <w:highlight w:val="none"/>
              </w:rPr>
              <w:t>良（</w:t>
            </w:r>
            <w:r>
              <w:rPr>
                <w:rFonts w:hint="eastAsia" w:ascii="Arial" w:hAnsi="Arial" w:cs="Arial"/>
                <w:bCs/>
                <w:color w:val="auto"/>
                <w:kern w:val="2"/>
                <w:sz w:val="21"/>
                <w:highlight w:val="none"/>
                <w:lang w:val="en-US" w:eastAsia="zh-CN"/>
              </w:rPr>
              <w:t>10</w:t>
            </w:r>
            <w:r>
              <w:rPr>
                <w:rFonts w:hint="eastAsia" w:ascii="Arial" w:hAnsi="Arial" w:cs="Arial"/>
                <w:bCs/>
                <w:color w:val="auto"/>
                <w:kern w:val="2"/>
                <w:sz w:val="21"/>
                <w:highlight w:val="none"/>
              </w:rPr>
              <w:t>分）：对项目实施设置了管理机构和岗位职责，制订了良好的工作计划和工期安排；有明确的生产和技术管理机构及人员，人员配备和设备投入合理，工期保障措施满足本项目总体要求。</w:t>
            </w:r>
          </w:p>
          <w:p w14:paraId="0E099DDA">
            <w:pPr>
              <w:pStyle w:val="22"/>
              <w:spacing w:line="360" w:lineRule="auto"/>
              <w:ind w:firstLine="420" w:firstLineChars="200"/>
              <w:rPr>
                <w:rFonts w:ascii="Arial" w:hAnsi="Arial" w:cs="Arial"/>
                <w:bCs/>
                <w:color w:val="auto"/>
                <w:kern w:val="2"/>
                <w:sz w:val="21"/>
                <w:highlight w:val="none"/>
              </w:rPr>
            </w:pPr>
            <w:r>
              <w:rPr>
                <w:rFonts w:hint="eastAsia" w:ascii="Arial" w:hAnsi="Arial" w:cs="Arial"/>
                <w:bCs/>
                <w:color w:val="auto"/>
                <w:kern w:val="2"/>
                <w:sz w:val="21"/>
                <w:highlight w:val="none"/>
              </w:rPr>
              <w:t>中（</w:t>
            </w:r>
            <w:r>
              <w:rPr>
                <w:rFonts w:hint="eastAsia" w:ascii="Arial" w:hAnsi="Arial" w:cs="Arial"/>
                <w:bCs/>
                <w:color w:val="auto"/>
                <w:kern w:val="2"/>
                <w:sz w:val="21"/>
                <w:highlight w:val="none"/>
                <w:lang w:val="en-US" w:eastAsia="zh-CN"/>
              </w:rPr>
              <w:t>7</w:t>
            </w:r>
            <w:r>
              <w:rPr>
                <w:rFonts w:hint="eastAsia" w:ascii="Arial" w:hAnsi="Arial" w:cs="Arial"/>
                <w:bCs/>
                <w:color w:val="auto"/>
                <w:kern w:val="2"/>
                <w:sz w:val="21"/>
                <w:highlight w:val="none"/>
              </w:rPr>
              <w:t>分）：对项目实施设置了管理机构和岗位职责；制订了良好的工作计划和工期安排；人员配备和设备投入基本合理，工期保障措施满足本项目总体要求。</w:t>
            </w:r>
          </w:p>
          <w:p w14:paraId="36BBE7B0">
            <w:pPr>
              <w:spacing w:line="360" w:lineRule="auto"/>
              <w:ind w:firstLine="420" w:firstLineChars="200"/>
              <w:jc w:val="left"/>
              <w:rPr>
                <w:rFonts w:ascii="宋体" w:hAnsi="宋体" w:cs="宋体"/>
                <w:color w:val="auto"/>
                <w:kern w:val="0"/>
                <w:szCs w:val="21"/>
                <w:highlight w:val="none"/>
              </w:rPr>
            </w:pPr>
            <w:r>
              <w:rPr>
                <w:rFonts w:hint="eastAsia" w:ascii="Arial" w:hAnsi="Arial" w:cs="Arial"/>
                <w:bCs/>
                <w:color w:val="auto"/>
                <w:highlight w:val="none"/>
              </w:rPr>
              <w:t>差（</w:t>
            </w:r>
            <w:r>
              <w:rPr>
                <w:rFonts w:hint="eastAsia" w:ascii="Arial" w:hAnsi="Arial" w:cs="Arial"/>
                <w:bCs/>
                <w:color w:val="auto"/>
                <w:highlight w:val="none"/>
                <w:lang w:val="en-US" w:eastAsia="zh-CN"/>
              </w:rPr>
              <w:t>2</w:t>
            </w:r>
            <w:r>
              <w:rPr>
                <w:rFonts w:hint="eastAsia" w:ascii="Arial" w:hAnsi="Arial" w:cs="Arial"/>
                <w:bCs/>
                <w:color w:val="auto"/>
                <w:highlight w:val="none"/>
              </w:rPr>
              <w:t>分）：对项目实施设置了简单的管理机构和岗位职责；制定了简单合理的工期计划和安排；人员配备和设备投入基本合理，工期保障措施基本满足本项目总体要求。</w:t>
            </w:r>
          </w:p>
        </w:tc>
      </w:tr>
      <w:tr w14:paraId="4008E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214135E0">
            <w:pPr>
              <w:adjustRightInd w:val="0"/>
              <w:snapToGrid w:val="0"/>
              <w:spacing w:line="360" w:lineRule="auto"/>
              <w:jc w:val="center"/>
              <w:textAlignment w:val="baseline"/>
              <w:rPr>
                <w:rFonts w:ascii="宋体" w:hAnsi="宋体" w:cs="宋体"/>
                <w:bCs/>
                <w:color w:val="auto"/>
                <w:szCs w:val="21"/>
                <w:highlight w:val="none"/>
              </w:rPr>
            </w:pPr>
            <w:r>
              <w:rPr>
                <w:rFonts w:ascii="宋体" w:hAnsi="宋体" w:cs="宋体"/>
                <w:bCs/>
                <w:color w:val="auto"/>
                <w:szCs w:val="21"/>
                <w:highlight w:val="none"/>
              </w:rPr>
              <w:t>3</w:t>
            </w:r>
          </w:p>
        </w:tc>
        <w:tc>
          <w:tcPr>
            <w:tcW w:w="1067" w:type="dxa"/>
            <w:vAlign w:val="center"/>
          </w:tcPr>
          <w:p w14:paraId="44581ECC">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质量和保密保证措施及承诺</w:t>
            </w:r>
          </w:p>
        </w:tc>
        <w:tc>
          <w:tcPr>
            <w:tcW w:w="1350" w:type="dxa"/>
            <w:tcMar>
              <w:left w:w="57" w:type="dxa"/>
              <w:right w:w="57" w:type="dxa"/>
            </w:tcMar>
            <w:vAlign w:val="center"/>
          </w:tcPr>
          <w:p w14:paraId="5A6335F7">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20</w:t>
            </w:r>
            <w:r>
              <w:rPr>
                <w:rFonts w:hint="eastAsia" w:ascii="宋体" w:hAnsi="宋体" w:cs="宋体"/>
                <w:bCs/>
                <w:color w:val="auto"/>
                <w:szCs w:val="21"/>
                <w:highlight w:val="none"/>
              </w:rPr>
              <w:t>分</w:t>
            </w:r>
          </w:p>
        </w:tc>
        <w:tc>
          <w:tcPr>
            <w:tcW w:w="5670" w:type="dxa"/>
            <w:vAlign w:val="center"/>
          </w:tcPr>
          <w:p w14:paraId="122B03F2">
            <w:pPr>
              <w:spacing w:line="360" w:lineRule="auto"/>
              <w:jc w:val="left"/>
              <w:rPr>
                <w:rFonts w:hAnsi="宋体" w:cs="宋体"/>
                <w:color w:val="auto"/>
                <w:highlight w:val="none"/>
              </w:rPr>
            </w:pPr>
            <w:r>
              <w:rPr>
                <w:rFonts w:hint="eastAsia" w:ascii="宋体" w:hAnsi="Calibri" w:cs="宋体"/>
                <w:color w:val="auto"/>
                <w:kern w:val="0"/>
                <w:szCs w:val="21"/>
                <w:highlight w:val="none"/>
              </w:rPr>
              <w:t>各专家对</w:t>
            </w:r>
            <w:r>
              <w:rPr>
                <w:rFonts w:hint="eastAsia" w:ascii="宋体" w:hAnsi="宋体" w:cs="宋体"/>
                <w:bCs/>
                <w:color w:val="auto"/>
                <w:szCs w:val="21"/>
                <w:highlight w:val="none"/>
              </w:rPr>
              <w:t>质量保证措施、涉密管理措施</w:t>
            </w:r>
            <w:r>
              <w:rPr>
                <w:rFonts w:hint="eastAsia" w:ascii="宋体" w:hAnsi="Calibri" w:cs="宋体"/>
                <w:color w:val="auto"/>
                <w:kern w:val="0"/>
                <w:szCs w:val="21"/>
                <w:highlight w:val="none"/>
              </w:rPr>
              <w:t>程等各方面进行独立打分。</w:t>
            </w:r>
          </w:p>
          <w:p w14:paraId="356B3C1A">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rPr>
              <w:t>优（</w:t>
            </w:r>
            <w:r>
              <w:rPr>
                <w:rFonts w:hint="eastAsia" w:hAnsi="宋体" w:cs="宋体"/>
                <w:color w:val="auto"/>
                <w:highlight w:val="none"/>
                <w:lang w:val="en-US" w:eastAsia="zh-CN"/>
              </w:rPr>
              <w:t>20</w:t>
            </w:r>
            <w:r>
              <w:rPr>
                <w:rFonts w:hint="eastAsia" w:hAnsi="宋体" w:cs="宋体"/>
                <w:color w:val="auto"/>
                <w:highlight w:val="none"/>
              </w:rPr>
              <w:t>分）：</w:t>
            </w:r>
            <w:r>
              <w:rPr>
                <w:rFonts w:hint="eastAsia" w:ascii="宋体" w:hAnsi="宋体" w:cs="宋体"/>
                <w:color w:val="auto"/>
                <w:szCs w:val="21"/>
                <w:highlight w:val="none"/>
              </w:rPr>
              <w:t>投标人结合项目实际情况，针对项目特点，提出的服务的质量保证措施、</w:t>
            </w:r>
            <w:r>
              <w:rPr>
                <w:rFonts w:hint="eastAsia" w:ascii="宋体" w:hAnsi="宋体" w:cs="宋体"/>
                <w:bCs/>
                <w:color w:val="auto"/>
                <w:szCs w:val="21"/>
                <w:highlight w:val="none"/>
              </w:rPr>
              <w:t>涉密保证</w:t>
            </w:r>
            <w:r>
              <w:rPr>
                <w:rFonts w:hint="eastAsia" w:ascii="宋体" w:hAnsi="宋体" w:cs="宋体"/>
                <w:color w:val="auto"/>
                <w:szCs w:val="21"/>
                <w:highlight w:val="none"/>
              </w:rPr>
              <w:t>措施详实，各项措施方案具体，配备的涉密管理人员丰富，严格执行项目服务质量和涉密管理要求，保证项目落地进行稳定有序，可实施性强；</w:t>
            </w:r>
          </w:p>
          <w:p w14:paraId="253DD107">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rPr>
              <w:t>良（</w:t>
            </w:r>
            <w:r>
              <w:rPr>
                <w:rFonts w:hint="eastAsia" w:hAnsi="宋体" w:cs="宋体"/>
                <w:color w:val="auto"/>
                <w:highlight w:val="none"/>
                <w:lang w:val="en-US" w:eastAsia="zh-CN"/>
              </w:rPr>
              <w:t>15</w:t>
            </w:r>
            <w:r>
              <w:rPr>
                <w:rFonts w:hint="eastAsia" w:hAnsi="宋体" w:cs="宋体"/>
                <w:color w:val="auto"/>
                <w:highlight w:val="none"/>
              </w:rPr>
              <w:t>分）：</w:t>
            </w:r>
            <w:r>
              <w:rPr>
                <w:rFonts w:hint="eastAsia" w:ascii="宋体" w:hAnsi="宋体" w:cs="宋体"/>
                <w:color w:val="auto"/>
                <w:szCs w:val="21"/>
                <w:highlight w:val="none"/>
              </w:rPr>
              <w:t>投标人能结合本项目特点，提出的服务的质量保证措施、</w:t>
            </w:r>
            <w:r>
              <w:rPr>
                <w:rFonts w:hint="eastAsia" w:ascii="宋体" w:hAnsi="宋体" w:cs="宋体"/>
                <w:bCs/>
                <w:color w:val="auto"/>
                <w:szCs w:val="21"/>
                <w:highlight w:val="none"/>
              </w:rPr>
              <w:t>涉密管理</w:t>
            </w:r>
            <w:r>
              <w:rPr>
                <w:rFonts w:hint="eastAsia" w:ascii="宋体" w:hAnsi="宋体" w:cs="宋体"/>
                <w:color w:val="auto"/>
                <w:szCs w:val="21"/>
                <w:highlight w:val="none"/>
              </w:rPr>
              <w:t>措施比较完整，配备的涉密管理人员充足，保证项目服务质量和涉密资料安全有效，具有可行性；</w:t>
            </w:r>
          </w:p>
          <w:p w14:paraId="5E66BCC0">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rPr>
              <w:t>中（</w:t>
            </w:r>
            <w:r>
              <w:rPr>
                <w:rFonts w:hint="eastAsia" w:hAnsi="宋体" w:cs="宋体"/>
                <w:color w:val="auto"/>
                <w:highlight w:val="none"/>
                <w:lang w:val="en-US" w:eastAsia="zh-CN"/>
              </w:rPr>
              <w:t>8</w:t>
            </w:r>
            <w:r>
              <w:rPr>
                <w:rFonts w:hint="eastAsia" w:hAnsi="宋体" w:cs="宋体"/>
                <w:color w:val="auto"/>
                <w:highlight w:val="none"/>
              </w:rPr>
              <w:t>分）：</w:t>
            </w:r>
            <w:r>
              <w:rPr>
                <w:rFonts w:hint="eastAsia" w:ascii="宋体" w:hAnsi="宋体" w:cs="宋体"/>
                <w:color w:val="auto"/>
                <w:szCs w:val="21"/>
                <w:highlight w:val="none"/>
              </w:rPr>
              <w:t>投标人能结合项目实际情况，提出的服务的质量保证措施、</w:t>
            </w:r>
            <w:r>
              <w:rPr>
                <w:rFonts w:hint="eastAsia" w:ascii="宋体" w:hAnsi="宋体" w:cs="宋体"/>
                <w:bCs/>
                <w:color w:val="auto"/>
                <w:szCs w:val="21"/>
                <w:highlight w:val="none"/>
              </w:rPr>
              <w:t>涉密管理</w:t>
            </w:r>
            <w:r>
              <w:rPr>
                <w:rFonts w:hint="eastAsia" w:ascii="宋体" w:hAnsi="宋体" w:cs="宋体"/>
                <w:color w:val="auto"/>
                <w:szCs w:val="21"/>
                <w:highlight w:val="none"/>
              </w:rPr>
              <w:t>措施简单，能保证项目开展工作</w:t>
            </w:r>
          </w:p>
          <w:p w14:paraId="1D084977">
            <w:pPr>
              <w:spacing w:line="360" w:lineRule="auto"/>
              <w:ind w:firstLine="420" w:firstLineChars="200"/>
              <w:jc w:val="left"/>
              <w:rPr>
                <w:color w:val="auto"/>
                <w:szCs w:val="21"/>
                <w:highlight w:val="none"/>
              </w:rPr>
            </w:pPr>
            <w:r>
              <w:rPr>
                <w:rFonts w:hint="eastAsia" w:hAnsi="宋体" w:cs="宋体"/>
                <w:color w:val="auto"/>
                <w:highlight w:val="none"/>
              </w:rPr>
              <w:t>差（</w:t>
            </w:r>
            <w:r>
              <w:rPr>
                <w:rFonts w:hint="eastAsia" w:hAnsi="宋体" w:cs="宋体"/>
                <w:color w:val="auto"/>
                <w:highlight w:val="none"/>
                <w:lang w:val="en-US" w:eastAsia="zh-CN"/>
              </w:rPr>
              <w:t>3</w:t>
            </w:r>
            <w:r>
              <w:rPr>
                <w:rFonts w:hint="eastAsia" w:hAnsi="宋体" w:cs="宋体"/>
                <w:color w:val="auto"/>
                <w:highlight w:val="none"/>
              </w:rPr>
              <w:t>分）：</w:t>
            </w:r>
            <w:r>
              <w:rPr>
                <w:rFonts w:hint="eastAsia" w:ascii="宋体" w:hAnsi="宋体" w:cs="宋体"/>
                <w:color w:val="auto"/>
                <w:szCs w:val="21"/>
                <w:highlight w:val="none"/>
              </w:rPr>
              <w:t>投标人能结合项目实际情况，提出简单的服务质量保证措施、</w:t>
            </w:r>
            <w:r>
              <w:rPr>
                <w:rFonts w:hint="eastAsia" w:ascii="宋体" w:hAnsi="宋体" w:cs="宋体"/>
                <w:bCs/>
                <w:color w:val="auto"/>
                <w:szCs w:val="21"/>
                <w:highlight w:val="none"/>
              </w:rPr>
              <w:t>涉密管理方案，基本可行</w:t>
            </w:r>
            <w:r>
              <w:rPr>
                <w:rFonts w:hint="eastAsia" w:ascii="宋体" w:hAnsi="宋体" w:cs="宋体"/>
                <w:color w:val="auto"/>
                <w:szCs w:val="21"/>
                <w:highlight w:val="none"/>
              </w:rPr>
              <w:t>；</w:t>
            </w:r>
          </w:p>
        </w:tc>
      </w:tr>
      <w:tr w14:paraId="5FC46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Align w:val="center"/>
          </w:tcPr>
          <w:p w14:paraId="4CCEC4F3">
            <w:pPr>
              <w:adjustRightInd w:val="0"/>
              <w:snapToGrid w:val="0"/>
              <w:spacing w:line="360" w:lineRule="auto"/>
              <w:jc w:val="center"/>
              <w:textAlignment w:val="baseline"/>
              <w:rPr>
                <w:rFonts w:ascii="宋体" w:hAnsi="宋体" w:cs="宋体"/>
                <w:bCs/>
                <w:color w:val="auto"/>
                <w:szCs w:val="21"/>
                <w:highlight w:val="none"/>
              </w:rPr>
            </w:pPr>
            <w:r>
              <w:rPr>
                <w:rFonts w:ascii="宋体" w:hAnsi="宋体" w:cs="宋体"/>
                <w:bCs/>
                <w:color w:val="auto"/>
                <w:szCs w:val="21"/>
                <w:highlight w:val="none"/>
              </w:rPr>
              <w:t>4</w:t>
            </w:r>
          </w:p>
        </w:tc>
        <w:tc>
          <w:tcPr>
            <w:tcW w:w="1067" w:type="dxa"/>
            <w:vAlign w:val="center"/>
          </w:tcPr>
          <w:p w14:paraId="60335258">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后续服务的安排及保证措施</w:t>
            </w:r>
          </w:p>
        </w:tc>
        <w:tc>
          <w:tcPr>
            <w:tcW w:w="1350" w:type="dxa"/>
            <w:tcMar>
              <w:left w:w="57" w:type="dxa"/>
              <w:right w:w="57" w:type="dxa"/>
            </w:tcMar>
            <w:vAlign w:val="center"/>
          </w:tcPr>
          <w:p w14:paraId="17F8F06B">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w:t>
            </w:r>
            <w:r>
              <w:rPr>
                <w:rFonts w:hint="eastAsia" w:ascii="宋体" w:hAnsi="宋体" w:cs="宋体"/>
                <w:bCs/>
                <w:color w:val="auto"/>
                <w:szCs w:val="21"/>
                <w:highlight w:val="none"/>
                <w:lang w:val="en-US" w:eastAsia="zh-CN"/>
              </w:rPr>
              <w:t>15</w:t>
            </w:r>
            <w:r>
              <w:rPr>
                <w:rFonts w:hint="eastAsia" w:ascii="宋体" w:hAnsi="宋体" w:cs="宋体"/>
                <w:bCs/>
                <w:color w:val="auto"/>
                <w:szCs w:val="21"/>
                <w:highlight w:val="none"/>
              </w:rPr>
              <w:t>分</w:t>
            </w:r>
          </w:p>
        </w:tc>
        <w:tc>
          <w:tcPr>
            <w:tcW w:w="5670" w:type="dxa"/>
            <w:vAlign w:val="center"/>
          </w:tcPr>
          <w:p w14:paraId="563AE5D3">
            <w:pPr>
              <w:spacing w:line="360" w:lineRule="auto"/>
              <w:jc w:val="left"/>
              <w:rPr>
                <w:rFonts w:ascii="宋体" w:hAnsi="Calibri" w:cs="宋体"/>
                <w:color w:val="auto"/>
                <w:kern w:val="0"/>
                <w:szCs w:val="21"/>
                <w:highlight w:val="none"/>
              </w:rPr>
            </w:pPr>
            <w:r>
              <w:rPr>
                <w:rFonts w:hint="eastAsia" w:ascii="宋体" w:hAnsi="Calibri" w:cs="宋体"/>
                <w:color w:val="auto"/>
                <w:kern w:val="0"/>
                <w:szCs w:val="21"/>
                <w:highlight w:val="none"/>
              </w:rPr>
              <w:t>各专家对</w:t>
            </w:r>
            <w:r>
              <w:rPr>
                <w:rFonts w:hint="eastAsia" w:ascii="宋体" w:hAnsi="宋体" w:cs="宋体"/>
                <w:bCs/>
                <w:color w:val="auto"/>
                <w:szCs w:val="21"/>
                <w:highlight w:val="none"/>
              </w:rPr>
              <w:t>后续服务的安排及保证措施</w:t>
            </w:r>
            <w:r>
              <w:rPr>
                <w:rFonts w:hint="eastAsia" w:ascii="宋体" w:hAnsi="Calibri" w:cs="宋体"/>
                <w:color w:val="auto"/>
                <w:kern w:val="0"/>
                <w:szCs w:val="21"/>
                <w:highlight w:val="none"/>
              </w:rPr>
              <w:t>等各方面进行独立打分。</w:t>
            </w:r>
          </w:p>
          <w:p w14:paraId="4C6BBCC5">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rPr>
              <w:t>优（</w:t>
            </w:r>
            <w:r>
              <w:rPr>
                <w:rFonts w:hint="eastAsia" w:hAnsi="宋体" w:cs="宋体"/>
                <w:color w:val="auto"/>
                <w:highlight w:val="none"/>
                <w:lang w:val="en-US" w:eastAsia="zh-CN"/>
              </w:rPr>
              <w:t>15</w:t>
            </w:r>
            <w:r>
              <w:rPr>
                <w:rFonts w:hint="eastAsia" w:hAnsi="宋体" w:cs="宋体"/>
                <w:color w:val="auto"/>
                <w:highlight w:val="none"/>
              </w:rPr>
              <w:t>分）：</w:t>
            </w:r>
            <w:r>
              <w:rPr>
                <w:rFonts w:hint="eastAsia" w:ascii="宋体" w:hAnsi="宋体" w:cs="宋体"/>
                <w:color w:val="auto"/>
                <w:szCs w:val="21"/>
                <w:highlight w:val="none"/>
              </w:rPr>
              <w:t>投标人承诺在中标后负责提供后续服务</w:t>
            </w:r>
            <w:r>
              <w:rPr>
                <w:rFonts w:ascii="宋体" w:hAnsi="宋体" w:cs="宋体"/>
                <w:color w:val="auto"/>
                <w:szCs w:val="21"/>
                <w:highlight w:val="none"/>
              </w:rPr>
              <w:t>1年以上，质保期内承诺负责提供各种与项目成果使用有关的技术服务，配备常驻的后续服务技术人员，承诺应采购人需求响应时间在4</w:t>
            </w:r>
            <w:r>
              <w:rPr>
                <w:rFonts w:hint="eastAsia" w:ascii="宋体" w:hAnsi="宋体" w:cs="宋体"/>
                <w:color w:val="auto"/>
                <w:szCs w:val="21"/>
                <w:highlight w:val="none"/>
              </w:rPr>
              <w:t>小时内到达现场；售后服务方案能够响应采购文件的要求；</w:t>
            </w:r>
          </w:p>
          <w:p w14:paraId="68C1BCB2">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rPr>
              <w:t>良（</w:t>
            </w:r>
            <w:r>
              <w:rPr>
                <w:rFonts w:hint="eastAsia" w:hAnsi="宋体" w:cs="宋体"/>
                <w:color w:val="auto"/>
                <w:highlight w:val="none"/>
                <w:lang w:val="en-US" w:eastAsia="zh-CN"/>
              </w:rPr>
              <w:t>10</w:t>
            </w:r>
            <w:r>
              <w:rPr>
                <w:rFonts w:hint="eastAsia" w:hAnsi="宋体" w:cs="宋体"/>
                <w:color w:val="auto"/>
                <w:highlight w:val="none"/>
              </w:rPr>
              <w:t>分）：</w:t>
            </w:r>
            <w:r>
              <w:rPr>
                <w:rFonts w:hint="eastAsia" w:ascii="宋体" w:hAnsi="宋体" w:cs="宋体"/>
                <w:color w:val="auto"/>
                <w:szCs w:val="21"/>
                <w:highlight w:val="none"/>
              </w:rPr>
              <w:t>投标人承诺在中标后负责提供后续服务</w:t>
            </w:r>
            <w:r>
              <w:rPr>
                <w:rFonts w:ascii="宋体" w:hAnsi="宋体" w:cs="宋体"/>
                <w:color w:val="auto"/>
                <w:szCs w:val="21"/>
                <w:highlight w:val="none"/>
              </w:rPr>
              <w:t>1年以上，后续服务和其它优化措施可行，提供完整的售后服务方案</w:t>
            </w:r>
            <w:r>
              <w:rPr>
                <w:rFonts w:hint="eastAsia" w:ascii="宋体" w:hAnsi="宋体" w:cs="宋体"/>
                <w:color w:val="auto"/>
                <w:szCs w:val="21"/>
                <w:highlight w:val="none"/>
              </w:rPr>
              <w:t>并在</w:t>
            </w:r>
            <w:r>
              <w:rPr>
                <w:rFonts w:ascii="宋体" w:hAnsi="宋体" w:cs="宋体"/>
                <w:color w:val="auto"/>
                <w:szCs w:val="21"/>
                <w:highlight w:val="none"/>
              </w:rPr>
              <w:t>8</w:t>
            </w:r>
            <w:r>
              <w:rPr>
                <w:rFonts w:hint="eastAsia" w:ascii="宋体" w:hAnsi="宋体" w:cs="宋体"/>
                <w:color w:val="auto"/>
                <w:szCs w:val="21"/>
                <w:highlight w:val="none"/>
              </w:rPr>
              <w:t>小时内到达采购人指定现场，售后服务方案能够响应采购文件的要求；</w:t>
            </w:r>
          </w:p>
          <w:p w14:paraId="1690698B">
            <w:pPr>
              <w:spacing w:line="360" w:lineRule="auto"/>
              <w:ind w:firstLine="420" w:firstLineChars="200"/>
              <w:jc w:val="left"/>
              <w:rPr>
                <w:rFonts w:ascii="宋体" w:hAnsi="宋体" w:cs="宋体"/>
                <w:color w:val="auto"/>
                <w:szCs w:val="21"/>
                <w:highlight w:val="none"/>
              </w:rPr>
            </w:pPr>
            <w:r>
              <w:rPr>
                <w:rFonts w:hint="eastAsia" w:hAnsi="宋体" w:cs="宋体"/>
                <w:color w:val="auto"/>
                <w:highlight w:val="none"/>
              </w:rPr>
              <w:t>中（</w:t>
            </w:r>
            <w:r>
              <w:rPr>
                <w:rFonts w:hint="eastAsia" w:hAnsi="宋体" w:cs="宋体"/>
                <w:color w:val="auto"/>
                <w:highlight w:val="none"/>
                <w:lang w:val="en-US" w:eastAsia="zh-CN"/>
              </w:rPr>
              <w:t>7</w:t>
            </w:r>
            <w:r>
              <w:rPr>
                <w:rFonts w:hint="eastAsia" w:hAnsi="宋体" w:cs="宋体"/>
                <w:color w:val="auto"/>
                <w:highlight w:val="none"/>
              </w:rPr>
              <w:t>分）：</w:t>
            </w:r>
            <w:r>
              <w:rPr>
                <w:rFonts w:hint="eastAsia" w:ascii="宋体" w:hAnsi="宋体" w:cs="宋体"/>
                <w:color w:val="auto"/>
                <w:szCs w:val="21"/>
                <w:highlight w:val="none"/>
              </w:rPr>
              <w:t>投标人承诺在中标后能提供完整的后续服务，</w:t>
            </w:r>
            <w:r>
              <w:rPr>
                <w:rFonts w:ascii="宋体" w:hAnsi="宋体" w:cs="宋体"/>
                <w:color w:val="auto"/>
                <w:szCs w:val="21"/>
                <w:highlight w:val="none"/>
              </w:rPr>
              <w:t>12</w:t>
            </w:r>
            <w:r>
              <w:rPr>
                <w:rFonts w:hint="eastAsia" w:ascii="宋体" w:hAnsi="宋体" w:cs="宋体"/>
                <w:color w:val="auto"/>
                <w:szCs w:val="21"/>
                <w:highlight w:val="none"/>
              </w:rPr>
              <w:t>小时内到达采购人指定现场，售后服务方案基本满足采购文件的要求；</w:t>
            </w:r>
          </w:p>
          <w:p w14:paraId="5E225F1B">
            <w:pPr>
              <w:spacing w:line="360" w:lineRule="auto"/>
              <w:ind w:firstLine="420" w:firstLineChars="200"/>
              <w:jc w:val="left"/>
              <w:rPr>
                <w:color w:val="auto"/>
                <w:szCs w:val="21"/>
                <w:highlight w:val="none"/>
              </w:rPr>
            </w:pPr>
            <w:r>
              <w:rPr>
                <w:rFonts w:hint="eastAsia" w:hAnsi="宋体" w:cs="宋体"/>
                <w:color w:val="auto"/>
                <w:highlight w:val="none"/>
              </w:rPr>
              <w:t>差（</w:t>
            </w:r>
            <w:r>
              <w:rPr>
                <w:rFonts w:hint="eastAsia" w:hAnsi="宋体" w:cs="宋体"/>
                <w:color w:val="auto"/>
                <w:highlight w:val="none"/>
                <w:lang w:val="en-US" w:eastAsia="zh-CN"/>
              </w:rPr>
              <w:t>2</w:t>
            </w:r>
            <w:r>
              <w:rPr>
                <w:rFonts w:hint="eastAsia" w:hAnsi="宋体" w:cs="宋体"/>
                <w:color w:val="auto"/>
                <w:highlight w:val="none"/>
              </w:rPr>
              <w:t>分）：投标人</w:t>
            </w:r>
            <w:r>
              <w:rPr>
                <w:rFonts w:hint="eastAsia" w:ascii="宋体" w:hAnsi="宋体" w:cs="宋体"/>
                <w:color w:val="auto"/>
                <w:szCs w:val="21"/>
                <w:highlight w:val="none"/>
              </w:rPr>
              <w:t>提供的后续服务方案较差，资料归档方案简单，后续服务和保证措施较差。</w:t>
            </w:r>
          </w:p>
        </w:tc>
      </w:tr>
    </w:tbl>
    <w:p w14:paraId="37C351E4">
      <w:pPr>
        <w:jc w:val="center"/>
        <w:rPr>
          <w:b/>
          <w:bCs/>
          <w:color w:val="auto"/>
          <w:sz w:val="24"/>
          <w:szCs w:val="32"/>
          <w:highlight w:val="none"/>
        </w:rPr>
      </w:pPr>
      <w:r>
        <w:rPr>
          <w:rFonts w:hint="eastAsia"/>
          <w:b/>
          <w:bCs/>
          <w:color w:val="auto"/>
          <w:sz w:val="24"/>
          <w:szCs w:val="32"/>
          <w:highlight w:val="none"/>
        </w:rPr>
        <w:t>商务分：满分</w:t>
      </w:r>
      <w:r>
        <w:rPr>
          <w:rFonts w:hint="eastAsia"/>
          <w:b/>
          <w:bCs/>
          <w:color w:val="auto"/>
          <w:sz w:val="24"/>
          <w:szCs w:val="32"/>
          <w:highlight w:val="none"/>
          <w:lang w:val="en-US" w:eastAsia="zh-CN"/>
        </w:rPr>
        <w:t>20</w:t>
      </w:r>
      <w:r>
        <w:rPr>
          <w:rFonts w:hint="eastAsia"/>
          <w:b/>
          <w:bCs/>
          <w:color w:val="auto"/>
          <w:sz w:val="24"/>
          <w:szCs w:val="32"/>
          <w:highlight w:val="none"/>
        </w:rPr>
        <w:t>分</w:t>
      </w:r>
    </w:p>
    <w:tbl>
      <w:tblPr>
        <w:tblStyle w:val="50"/>
        <w:tblW w:w="89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848"/>
        <w:gridCol w:w="1012"/>
        <w:gridCol w:w="6350"/>
      </w:tblGrid>
      <w:tr w14:paraId="283DE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14:paraId="7D3CDF47">
            <w:pPr>
              <w:adjustRightInd w:val="0"/>
              <w:snapToGrid w:val="0"/>
              <w:spacing w:line="360" w:lineRule="atLeast"/>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序号</w:t>
            </w:r>
          </w:p>
        </w:tc>
        <w:tc>
          <w:tcPr>
            <w:tcW w:w="848" w:type="dxa"/>
            <w:vAlign w:val="center"/>
          </w:tcPr>
          <w:p w14:paraId="43B2B680">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内容</w:t>
            </w:r>
          </w:p>
        </w:tc>
        <w:tc>
          <w:tcPr>
            <w:tcW w:w="1012" w:type="dxa"/>
            <w:vAlign w:val="center"/>
          </w:tcPr>
          <w:p w14:paraId="64323F37">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分值</w:t>
            </w:r>
          </w:p>
        </w:tc>
        <w:tc>
          <w:tcPr>
            <w:tcW w:w="6350" w:type="dxa"/>
            <w:vAlign w:val="center"/>
          </w:tcPr>
          <w:p w14:paraId="79BE262E">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评审标准和要求</w:t>
            </w:r>
          </w:p>
        </w:tc>
      </w:tr>
      <w:tr w14:paraId="107DA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14:paraId="2DDCAEA3">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1</w:t>
            </w:r>
          </w:p>
        </w:tc>
        <w:tc>
          <w:tcPr>
            <w:tcW w:w="848" w:type="dxa"/>
            <w:vAlign w:val="center"/>
          </w:tcPr>
          <w:p w14:paraId="2B21C547">
            <w:pPr>
              <w:adjustRightInd w:val="0"/>
              <w:snapToGrid w:val="0"/>
              <w:spacing w:line="360" w:lineRule="auto"/>
              <w:textAlignment w:val="baseline"/>
              <w:rPr>
                <w:rFonts w:ascii="宋体" w:hAnsi="宋体" w:cs="宋体"/>
                <w:bCs/>
                <w:color w:val="auto"/>
                <w:szCs w:val="21"/>
                <w:highlight w:val="none"/>
              </w:rPr>
            </w:pPr>
            <w:r>
              <w:rPr>
                <w:rFonts w:hint="eastAsia" w:ascii="宋体" w:hAnsi="宋体" w:cs="宋体"/>
                <w:bCs/>
                <w:color w:val="auto"/>
                <w:szCs w:val="21"/>
                <w:highlight w:val="none"/>
              </w:rPr>
              <w:t>人员分</w:t>
            </w:r>
          </w:p>
        </w:tc>
        <w:tc>
          <w:tcPr>
            <w:tcW w:w="1012" w:type="dxa"/>
            <w:vAlign w:val="center"/>
          </w:tcPr>
          <w:p w14:paraId="29F0415F">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w:t>
            </w:r>
            <w:r>
              <w:rPr>
                <w:rFonts w:ascii="宋体" w:hAnsi="宋体" w:cs="宋体"/>
                <w:bCs/>
                <w:color w:val="auto"/>
                <w:szCs w:val="21"/>
                <w:highlight w:val="none"/>
              </w:rPr>
              <w:t>15</w:t>
            </w:r>
            <w:r>
              <w:rPr>
                <w:rFonts w:hint="eastAsia" w:ascii="宋体" w:hAnsi="宋体" w:cs="宋体"/>
                <w:bCs/>
                <w:color w:val="auto"/>
                <w:szCs w:val="21"/>
                <w:highlight w:val="none"/>
              </w:rPr>
              <w:t>分</w:t>
            </w:r>
          </w:p>
        </w:tc>
        <w:tc>
          <w:tcPr>
            <w:tcW w:w="6350" w:type="dxa"/>
            <w:vAlign w:val="center"/>
          </w:tcPr>
          <w:p w14:paraId="64654E40">
            <w:pPr>
              <w:pStyle w:val="22"/>
              <w:spacing w:line="40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1）在拟投入人员中具有测绘类或土地管理类高级</w:t>
            </w:r>
            <w:r>
              <w:rPr>
                <w:rFonts w:hint="eastAsia" w:hAnsi="宋体" w:cs="宋体"/>
                <w:color w:val="auto"/>
                <w:sz w:val="21"/>
                <w:highlight w:val="none"/>
                <w:lang w:val="en-US" w:eastAsia="zh-CN"/>
              </w:rPr>
              <w:t>及以上</w:t>
            </w:r>
            <w:r>
              <w:rPr>
                <w:rFonts w:hAnsi="宋体" w:cs="宋体"/>
                <w:color w:val="auto"/>
                <w:sz w:val="21"/>
                <w:highlight w:val="none"/>
              </w:rPr>
              <w:t>工程师的的</w:t>
            </w:r>
            <w:r>
              <w:rPr>
                <w:rFonts w:hint="eastAsia" w:hAnsi="宋体" w:cs="宋体"/>
                <w:color w:val="auto"/>
                <w:sz w:val="21"/>
                <w:highlight w:val="none"/>
                <w:lang w:val="en-US" w:eastAsia="zh-CN"/>
              </w:rPr>
              <w:t>每个</w:t>
            </w:r>
            <w:r>
              <w:rPr>
                <w:rFonts w:hAnsi="宋体" w:cs="宋体"/>
                <w:color w:val="auto"/>
                <w:sz w:val="21"/>
                <w:highlight w:val="none"/>
              </w:rPr>
              <w:t>得</w:t>
            </w:r>
            <w:r>
              <w:rPr>
                <w:rFonts w:hint="eastAsia" w:hAnsi="宋体" w:cs="宋体"/>
                <w:color w:val="auto"/>
                <w:sz w:val="21"/>
                <w:highlight w:val="none"/>
                <w:lang w:val="en-US" w:eastAsia="zh-CN"/>
              </w:rPr>
              <w:t>1</w:t>
            </w:r>
            <w:r>
              <w:rPr>
                <w:rFonts w:hAnsi="宋体" w:cs="宋体"/>
                <w:color w:val="auto"/>
                <w:sz w:val="21"/>
                <w:highlight w:val="none"/>
              </w:rPr>
              <w:t>分，满分5</w:t>
            </w:r>
            <w:r>
              <w:rPr>
                <w:rFonts w:hint="eastAsia" w:hAnsi="宋体" w:cs="宋体"/>
                <w:color w:val="auto"/>
                <w:sz w:val="21"/>
                <w:highlight w:val="none"/>
              </w:rPr>
              <w:t>分。</w:t>
            </w:r>
          </w:p>
          <w:p w14:paraId="547F5889">
            <w:pPr>
              <w:pStyle w:val="22"/>
              <w:spacing w:line="40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2）在拟投入人员中具有测绘类或土地管理类</w:t>
            </w:r>
            <w:r>
              <w:rPr>
                <w:rFonts w:hint="eastAsia" w:hAnsi="宋体" w:cs="宋体"/>
                <w:color w:val="auto"/>
                <w:sz w:val="21"/>
                <w:highlight w:val="none"/>
                <w:lang w:val="en-US" w:eastAsia="zh-CN"/>
              </w:rPr>
              <w:t>中级</w:t>
            </w:r>
            <w:r>
              <w:rPr>
                <w:rFonts w:hAnsi="宋体" w:cs="宋体"/>
                <w:color w:val="auto"/>
                <w:sz w:val="21"/>
                <w:highlight w:val="none"/>
              </w:rPr>
              <w:t>工程师的</w:t>
            </w:r>
            <w:r>
              <w:rPr>
                <w:rFonts w:hint="eastAsia" w:hAnsi="宋体" w:cs="宋体"/>
                <w:color w:val="auto"/>
                <w:sz w:val="21"/>
                <w:highlight w:val="none"/>
                <w:lang w:val="en-US" w:eastAsia="zh-CN"/>
              </w:rPr>
              <w:t>每个</w:t>
            </w:r>
            <w:r>
              <w:rPr>
                <w:rFonts w:hAnsi="宋体" w:cs="宋体"/>
                <w:color w:val="auto"/>
                <w:sz w:val="21"/>
                <w:highlight w:val="none"/>
              </w:rPr>
              <w:t>得0.5分，满分3</w:t>
            </w:r>
            <w:r>
              <w:rPr>
                <w:rFonts w:hint="eastAsia" w:hAnsi="宋体" w:cs="宋体"/>
                <w:color w:val="auto"/>
                <w:sz w:val="21"/>
                <w:highlight w:val="none"/>
              </w:rPr>
              <w:t>分。</w:t>
            </w:r>
          </w:p>
          <w:p w14:paraId="417C14A1">
            <w:pPr>
              <w:pStyle w:val="22"/>
              <w:spacing w:line="40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3）在拟投入人员中具有测绘地理信息主管部门颁发的涉密人员培训证书的</w:t>
            </w:r>
            <w:r>
              <w:rPr>
                <w:rFonts w:hint="eastAsia" w:hAnsi="宋体" w:cs="宋体"/>
                <w:color w:val="auto"/>
                <w:sz w:val="21"/>
                <w:highlight w:val="none"/>
                <w:lang w:val="en-US" w:eastAsia="zh-CN"/>
              </w:rPr>
              <w:t>每个</w:t>
            </w:r>
            <w:r>
              <w:rPr>
                <w:rFonts w:hAnsi="宋体" w:cs="宋体"/>
                <w:color w:val="auto"/>
                <w:sz w:val="21"/>
                <w:highlight w:val="none"/>
              </w:rPr>
              <w:t>得0.5分，满分2</w:t>
            </w:r>
            <w:r>
              <w:rPr>
                <w:rFonts w:hint="eastAsia" w:hAnsi="宋体" w:cs="宋体"/>
                <w:color w:val="auto"/>
                <w:sz w:val="21"/>
                <w:highlight w:val="none"/>
              </w:rPr>
              <w:t>分。</w:t>
            </w:r>
          </w:p>
          <w:p w14:paraId="58A668C5">
            <w:pPr>
              <w:pStyle w:val="22"/>
              <w:spacing w:line="40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4）在拟投入人员中具有注册测绘师资格的，每有1人得0.5分，满分3</w:t>
            </w:r>
            <w:r>
              <w:rPr>
                <w:rFonts w:hint="eastAsia" w:hAnsi="宋体" w:cs="宋体"/>
                <w:color w:val="auto"/>
                <w:sz w:val="21"/>
                <w:highlight w:val="none"/>
              </w:rPr>
              <w:t>分。</w:t>
            </w:r>
          </w:p>
          <w:p w14:paraId="7957B504">
            <w:pPr>
              <w:pStyle w:val="22"/>
              <w:spacing w:line="400" w:lineRule="exact"/>
              <w:ind w:firstLine="420" w:firstLineChars="200"/>
              <w:rPr>
                <w:rFonts w:hAnsi="宋体" w:cs="宋体"/>
                <w:color w:val="auto"/>
                <w:sz w:val="21"/>
                <w:highlight w:val="none"/>
              </w:rPr>
            </w:pPr>
            <w:r>
              <w:rPr>
                <w:rFonts w:hint="eastAsia" w:hAnsi="宋体" w:cs="宋体"/>
                <w:color w:val="auto"/>
                <w:sz w:val="21"/>
                <w:highlight w:val="none"/>
              </w:rPr>
              <w:t>（</w:t>
            </w:r>
            <w:r>
              <w:rPr>
                <w:rFonts w:hAnsi="宋体" w:cs="宋体"/>
                <w:color w:val="auto"/>
                <w:sz w:val="21"/>
                <w:highlight w:val="none"/>
              </w:rPr>
              <w:t>5）项目负责人为测绘类或土地管理类正高级工程师且具有注册测绘师资格的，得2</w:t>
            </w:r>
            <w:r>
              <w:rPr>
                <w:rFonts w:hint="eastAsia" w:hAnsi="宋体" w:cs="宋体"/>
                <w:color w:val="auto"/>
                <w:sz w:val="21"/>
                <w:highlight w:val="none"/>
              </w:rPr>
              <w:t>分</w:t>
            </w:r>
            <w:r>
              <w:rPr>
                <w:rFonts w:hint="eastAsia" w:hAnsi="宋体" w:cs="宋体"/>
                <w:color w:val="auto"/>
                <w:sz w:val="21"/>
                <w:highlight w:val="none"/>
                <w:lang w:eastAsia="zh-CN"/>
              </w:rPr>
              <w:t>，</w:t>
            </w:r>
            <w:r>
              <w:rPr>
                <w:rFonts w:hAnsi="宋体" w:cs="宋体"/>
                <w:color w:val="auto"/>
                <w:sz w:val="21"/>
                <w:highlight w:val="none"/>
              </w:rPr>
              <w:t>项目负责人为测绘类或土地管理类</w:t>
            </w:r>
            <w:r>
              <w:rPr>
                <w:rFonts w:hint="eastAsia" w:hAnsi="宋体" w:cs="宋体"/>
                <w:color w:val="auto"/>
                <w:sz w:val="21"/>
                <w:highlight w:val="none"/>
                <w:lang w:val="en-US" w:eastAsia="zh-CN"/>
              </w:rPr>
              <w:t>高</w:t>
            </w:r>
            <w:r>
              <w:rPr>
                <w:rFonts w:hAnsi="宋体" w:cs="宋体"/>
                <w:color w:val="auto"/>
                <w:sz w:val="21"/>
                <w:highlight w:val="none"/>
              </w:rPr>
              <w:t>级工程师且具有注册测绘师资格的，得</w:t>
            </w:r>
            <w:r>
              <w:rPr>
                <w:rFonts w:hint="eastAsia" w:hAnsi="宋体" w:cs="宋体"/>
                <w:color w:val="auto"/>
                <w:sz w:val="21"/>
                <w:highlight w:val="none"/>
                <w:lang w:val="en-US" w:eastAsia="zh-CN"/>
              </w:rPr>
              <w:t>1</w:t>
            </w:r>
            <w:r>
              <w:rPr>
                <w:rFonts w:hint="eastAsia" w:hAnsi="宋体" w:cs="宋体"/>
                <w:color w:val="auto"/>
                <w:sz w:val="21"/>
                <w:highlight w:val="none"/>
              </w:rPr>
              <w:t>分</w:t>
            </w:r>
            <w:r>
              <w:rPr>
                <w:rFonts w:hint="eastAsia" w:hAnsi="宋体" w:cs="宋体"/>
                <w:color w:val="auto"/>
                <w:sz w:val="21"/>
                <w:highlight w:val="none"/>
                <w:lang w:eastAsia="zh-CN"/>
              </w:rPr>
              <w:t>，</w:t>
            </w:r>
            <w:r>
              <w:rPr>
                <w:rFonts w:hAnsi="宋体" w:cs="宋体"/>
                <w:color w:val="auto"/>
                <w:sz w:val="21"/>
                <w:highlight w:val="none"/>
              </w:rPr>
              <w:t>项目负责</w:t>
            </w:r>
            <w:r>
              <w:rPr>
                <w:rFonts w:hint="eastAsia" w:hAnsi="宋体" w:cs="宋体"/>
                <w:color w:val="auto"/>
                <w:sz w:val="21"/>
                <w:highlight w:val="none"/>
                <w:lang w:val="en-US" w:eastAsia="zh-CN"/>
              </w:rPr>
              <w:t>0.5</w:t>
            </w:r>
            <w:r>
              <w:rPr>
                <w:rFonts w:hint="eastAsia" w:hAnsi="宋体" w:cs="宋体"/>
                <w:color w:val="auto"/>
                <w:sz w:val="21"/>
                <w:highlight w:val="none"/>
              </w:rPr>
              <w:t>分。</w:t>
            </w:r>
          </w:p>
          <w:p w14:paraId="1D85E4BC">
            <w:pPr>
              <w:pStyle w:val="22"/>
              <w:adjustRightInd w:val="0"/>
              <w:snapToGrid w:val="0"/>
              <w:spacing w:line="400" w:lineRule="exact"/>
              <w:ind w:firstLine="420" w:firstLineChars="200"/>
              <w:jc w:val="left"/>
              <w:textAlignment w:val="baseline"/>
              <w:rPr>
                <w:rFonts w:ascii="Times New Roman" w:hAnsi="Times New Roman"/>
                <w:color w:val="auto"/>
                <w:szCs w:val="24"/>
                <w:highlight w:val="none"/>
              </w:rPr>
            </w:pPr>
            <w:r>
              <w:rPr>
                <w:rFonts w:hint="eastAsia" w:hAnsi="宋体" w:cs="宋体"/>
                <w:color w:val="auto"/>
                <w:sz w:val="21"/>
                <w:highlight w:val="none"/>
              </w:rPr>
              <w:t xml:space="preserve">备注： </w:t>
            </w:r>
            <w:r>
              <w:rPr>
                <w:rFonts w:hint="eastAsia" w:hAnsi="宋体" w:cs="宋体"/>
                <w:color w:val="auto"/>
                <w:sz w:val="21"/>
                <w:highlight w:val="none"/>
                <w:lang w:val="en-US" w:eastAsia="zh-CN"/>
              </w:rPr>
              <w:t>以上人员不能重复计分，</w:t>
            </w:r>
            <w:r>
              <w:rPr>
                <w:rFonts w:hint="eastAsia" w:hAnsi="宋体" w:cs="宋体"/>
                <w:color w:val="auto"/>
                <w:sz w:val="21"/>
                <w:highlight w:val="none"/>
              </w:rPr>
              <w:t>供应商应提供技术人员的职称证书扫描件或电子证件并加盖供应商电子印章，提供的证书内容应清晰可辨，并提供投标截止时间前半年内任意一个月社保复印件或劳动合同复印件，否则视为</w:t>
            </w:r>
            <w:r>
              <w:rPr>
                <w:rFonts w:hint="eastAsia" w:hAnsi="宋体" w:cs="宋体"/>
                <w:color w:val="auto"/>
                <w:sz w:val="21"/>
                <w:highlight w:val="none"/>
                <w:lang w:val="en-US" w:eastAsia="zh-CN"/>
              </w:rPr>
              <w:t>无效</w:t>
            </w:r>
            <w:r>
              <w:rPr>
                <w:rFonts w:hint="eastAsia" w:hAnsi="宋体" w:cs="宋体"/>
                <w:color w:val="auto"/>
                <w:sz w:val="21"/>
                <w:highlight w:val="none"/>
              </w:rPr>
              <w:t>，不予计分。</w:t>
            </w:r>
          </w:p>
        </w:tc>
      </w:tr>
      <w:tr w14:paraId="2085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8" w:type="dxa"/>
            <w:vAlign w:val="center"/>
          </w:tcPr>
          <w:p w14:paraId="1D3632F0">
            <w:pPr>
              <w:adjustRightInd w:val="0"/>
              <w:snapToGrid w:val="0"/>
              <w:spacing w:line="360" w:lineRule="auto"/>
              <w:jc w:val="center"/>
              <w:textAlignment w:val="baseline"/>
              <w:rPr>
                <w:rFonts w:ascii="宋体" w:hAnsi="宋体" w:cs="宋体"/>
                <w:bCs/>
                <w:color w:val="auto"/>
                <w:szCs w:val="21"/>
                <w:highlight w:val="none"/>
              </w:rPr>
            </w:pPr>
            <w:r>
              <w:rPr>
                <w:rFonts w:ascii="宋体" w:hAnsi="宋体" w:cs="宋体"/>
                <w:bCs/>
                <w:color w:val="auto"/>
                <w:szCs w:val="21"/>
                <w:highlight w:val="none"/>
              </w:rPr>
              <w:t>2</w:t>
            </w:r>
          </w:p>
        </w:tc>
        <w:tc>
          <w:tcPr>
            <w:tcW w:w="848" w:type="dxa"/>
            <w:vAlign w:val="center"/>
          </w:tcPr>
          <w:p w14:paraId="426F0BB8">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业绩分</w:t>
            </w:r>
          </w:p>
        </w:tc>
        <w:tc>
          <w:tcPr>
            <w:tcW w:w="1012" w:type="dxa"/>
            <w:vAlign w:val="center"/>
          </w:tcPr>
          <w:p w14:paraId="0ABCBD01">
            <w:pPr>
              <w:adjustRightInd w:val="0"/>
              <w:snapToGrid w:val="0"/>
              <w:spacing w:line="360" w:lineRule="auto"/>
              <w:jc w:val="center"/>
              <w:textAlignment w:val="baseline"/>
              <w:rPr>
                <w:rFonts w:ascii="宋体" w:hAnsi="宋体" w:cs="宋体"/>
                <w:bCs/>
                <w:color w:val="auto"/>
                <w:szCs w:val="21"/>
                <w:highlight w:val="none"/>
              </w:rPr>
            </w:pPr>
            <w:r>
              <w:rPr>
                <w:rFonts w:hint="eastAsia" w:ascii="宋体" w:hAnsi="宋体" w:cs="宋体"/>
                <w:bCs/>
                <w:color w:val="auto"/>
                <w:szCs w:val="21"/>
                <w:highlight w:val="none"/>
              </w:rPr>
              <w:t>满分5分</w:t>
            </w:r>
          </w:p>
        </w:tc>
        <w:tc>
          <w:tcPr>
            <w:tcW w:w="6350" w:type="dxa"/>
            <w:vAlign w:val="center"/>
          </w:tcPr>
          <w:p w14:paraId="0E2A952A">
            <w:pPr>
              <w:adjustRightInd w:val="0"/>
              <w:snapToGrid w:val="0"/>
              <w:spacing w:line="360" w:lineRule="auto"/>
              <w:ind w:firstLine="420" w:firstLineChars="200"/>
              <w:jc w:val="left"/>
              <w:textAlignment w:val="baseline"/>
              <w:rPr>
                <w:rFonts w:ascii="宋体" w:hAnsi="宋体" w:cs="宋体"/>
                <w:bCs/>
                <w:color w:val="auto"/>
                <w:szCs w:val="21"/>
                <w:highlight w:val="none"/>
              </w:rPr>
            </w:pPr>
            <w:bookmarkStart w:id="219" w:name="_GoBack"/>
            <w:r>
              <w:rPr>
                <w:rFonts w:hint="eastAsia" w:ascii="宋体" w:hAnsi="宋体" w:cs="宋体"/>
                <w:bCs/>
                <w:color w:val="auto"/>
                <w:szCs w:val="21"/>
                <w:highlight w:val="none"/>
              </w:rPr>
              <w:t>投标人自投标截止前</w:t>
            </w:r>
            <w:r>
              <w:rPr>
                <w:rFonts w:ascii="宋体" w:hAnsi="宋体" w:cs="宋体"/>
                <w:bCs/>
                <w:color w:val="auto"/>
                <w:szCs w:val="21"/>
                <w:highlight w:val="none"/>
              </w:rPr>
              <w:t>3</w:t>
            </w:r>
            <w:r>
              <w:rPr>
                <w:rFonts w:hint="eastAsia" w:ascii="宋体" w:hAnsi="宋体" w:cs="宋体"/>
                <w:bCs/>
                <w:color w:val="auto"/>
                <w:szCs w:val="21"/>
                <w:highlight w:val="none"/>
              </w:rPr>
              <w:t>年内承接过类似服务项目的，每个有效业绩的得</w:t>
            </w:r>
            <w:r>
              <w:rPr>
                <w:rFonts w:ascii="宋体" w:hAnsi="宋体" w:cs="宋体"/>
                <w:bCs/>
                <w:color w:val="auto"/>
                <w:szCs w:val="21"/>
                <w:highlight w:val="none"/>
              </w:rPr>
              <w:t>1</w:t>
            </w:r>
            <w:r>
              <w:rPr>
                <w:rFonts w:hint="eastAsia" w:ascii="宋体" w:hAnsi="宋体" w:cs="宋体"/>
                <w:bCs/>
                <w:color w:val="auto"/>
                <w:szCs w:val="21"/>
                <w:highlight w:val="none"/>
              </w:rPr>
              <w:t>分，本项最多得5分。（必须提供中标通知书或服务合同复印件，否则不予计分。）</w:t>
            </w:r>
            <w:bookmarkEnd w:id="219"/>
          </w:p>
        </w:tc>
      </w:tr>
      <w:tr w14:paraId="750A4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908" w:type="dxa"/>
            <w:gridSpan w:val="4"/>
            <w:vAlign w:val="center"/>
          </w:tcPr>
          <w:p w14:paraId="0482EFD7">
            <w:pPr>
              <w:pStyle w:val="22"/>
              <w:snapToGrid w:val="0"/>
              <w:spacing w:line="360" w:lineRule="auto"/>
              <w:rPr>
                <w:rFonts w:hAnsi="宋体" w:cs="宋体"/>
                <w:bCs/>
                <w:color w:val="auto"/>
                <w:sz w:val="21"/>
                <w:highlight w:val="none"/>
              </w:rPr>
            </w:pPr>
            <w:r>
              <w:rPr>
                <w:rFonts w:hint="eastAsia" w:hAnsi="宋体" w:cs="宋体"/>
                <w:bCs/>
                <w:color w:val="auto"/>
                <w:sz w:val="21"/>
                <w:highlight w:val="none"/>
              </w:rPr>
              <w:t>总得分=1+2+3</w:t>
            </w:r>
          </w:p>
        </w:tc>
      </w:tr>
      <w:bookmarkEnd w:id="102"/>
    </w:tbl>
    <w:p w14:paraId="03BE38F4">
      <w:pPr>
        <w:spacing w:line="360" w:lineRule="auto"/>
        <w:rPr>
          <w:rFonts w:ascii="宋体" w:hAnsi="宋体" w:cs="宋体"/>
          <w:b/>
          <w:bCs/>
          <w:color w:val="auto"/>
          <w:sz w:val="24"/>
          <w:highlight w:val="none"/>
        </w:rPr>
      </w:pPr>
    </w:p>
    <w:p w14:paraId="400BC01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三、评标报告</w:t>
      </w:r>
    </w:p>
    <w:p w14:paraId="2BE9722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1.成交标准</w:t>
      </w:r>
    </w:p>
    <w:p w14:paraId="5150580A">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由磋商小组根据综合评分情况，按照评审得分由高到低顺序推荐3名以上成交候选供应商</w:t>
      </w:r>
      <w:r>
        <w:rPr>
          <w:rFonts w:hint="eastAsia" w:ascii="宋体" w:hAnsi="宋体" w:cs="宋体"/>
          <w:color w:val="auto"/>
          <w:highlight w:val="none"/>
        </w:rPr>
        <w:t>,并在线编写电子评审报告</w:t>
      </w:r>
      <w:r>
        <w:rPr>
          <w:rFonts w:hint="eastAsia" w:ascii="宋体" w:hAnsi="宋体"/>
          <w:bCs/>
          <w:color w:val="auto"/>
          <w:szCs w:val="21"/>
          <w:highlight w:val="none"/>
        </w:rPr>
        <w:t>。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14:paraId="73C617A7">
      <w:pPr>
        <w:pStyle w:val="60"/>
        <w:ind w:firstLine="915"/>
        <w:rPr>
          <w:color w:val="auto"/>
          <w:highlight w:val="none"/>
        </w:rPr>
      </w:pPr>
    </w:p>
    <w:p w14:paraId="2D41A10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2.评标争议事项处理</w:t>
      </w:r>
    </w:p>
    <w:p w14:paraId="5C2DB8FB">
      <w:pPr>
        <w:pStyle w:val="178"/>
        <w:spacing w:before="0"/>
        <w:ind w:firstLine="420"/>
        <w:rPr>
          <w:rFonts w:ascii="宋体" w:hAnsi="宋体" w:cs="宋体"/>
          <w:color w:val="auto"/>
          <w:kern w:val="2"/>
          <w:sz w:val="21"/>
          <w:szCs w:val="24"/>
          <w:highlight w:val="none"/>
        </w:rPr>
      </w:pPr>
      <w:r>
        <w:rPr>
          <w:rFonts w:hint="eastAsia" w:ascii="宋体" w:hAnsi="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14:paraId="2BE0CE2C">
      <w:pPr>
        <w:pStyle w:val="3"/>
        <w:spacing w:before="0" w:after="0" w:line="360" w:lineRule="auto"/>
        <w:ind w:firstLine="1928" w:firstLineChars="600"/>
        <w:rPr>
          <w:rFonts w:ascii="宋体" w:hAnsi="宋体" w:cs="宋体"/>
          <w:bCs w:val="0"/>
          <w:color w:val="auto"/>
          <w:highlight w:val="none"/>
        </w:rPr>
      </w:pPr>
      <w:r>
        <w:rPr>
          <w:rFonts w:hint="eastAsia" w:ascii="宋体" w:hAnsi="宋体" w:cs="宋体"/>
          <w:bCs w:val="0"/>
          <w:color w:val="auto"/>
          <w:highlight w:val="none"/>
        </w:rPr>
        <w:t>四、 评审过程的保密与录像</w:t>
      </w:r>
    </w:p>
    <w:p w14:paraId="796A5A71">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1.保密。</w:t>
      </w:r>
    </w:p>
    <w:p w14:paraId="427EFE49">
      <w:pPr>
        <w:widowControl/>
        <w:spacing w:line="360" w:lineRule="auto"/>
        <w:ind w:firstLine="420" w:firstLineChars="200"/>
        <w:rPr>
          <w:rFonts w:ascii="宋体" w:hAnsi="宋体" w:cs="宋体"/>
          <w:color w:val="auto"/>
          <w:highlight w:val="none"/>
        </w:rPr>
      </w:pPr>
      <w:r>
        <w:rPr>
          <w:rFonts w:hint="eastAsia" w:ascii="宋体" w:hAnsi="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14:paraId="551BE48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2.录音录像。</w:t>
      </w:r>
    </w:p>
    <w:p w14:paraId="21825D98">
      <w:pPr>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采购代理机构对评审工作现场及操作屏幕进行全过程录音录像，录音录像资料作为采购项目文件随其他文件一并存档。</w:t>
      </w:r>
    </w:p>
    <w:p w14:paraId="048D5C6E">
      <w:pPr>
        <w:pStyle w:val="3"/>
        <w:spacing w:line="360" w:lineRule="auto"/>
        <w:jc w:val="center"/>
        <w:rPr>
          <w:rFonts w:ascii="宋体" w:hAnsi="宋体" w:cs="宋体"/>
          <w:color w:val="auto"/>
          <w:highlight w:val="none"/>
        </w:rPr>
      </w:pPr>
      <w:r>
        <w:rPr>
          <w:rFonts w:hint="eastAsia" w:ascii="宋体" w:hAnsi="宋体" w:cs="宋体"/>
          <w:color w:val="auto"/>
          <w:highlight w:val="none"/>
        </w:rPr>
        <w:br w:type="page"/>
      </w:r>
      <w:bookmarkEnd w:id="97"/>
      <w:bookmarkEnd w:id="98"/>
      <w:bookmarkEnd w:id="99"/>
      <w:bookmarkEnd w:id="100"/>
      <w:bookmarkEnd w:id="101"/>
      <w:bookmarkStart w:id="103" w:name="_Toc29707"/>
      <w:bookmarkStart w:id="104" w:name="_Toc29846"/>
      <w:bookmarkStart w:id="105" w:name="_Toc27852"/>
      <w:bookmarkStart w:id="106" w:name="_Toc44229897"/>
      <w:bookmarkStart w:id="107" w:name="_Toc10156"/>
      <w:r>
        <w:rPr>
          <w:rStyle w:val="63"/>
          <w:b/>
          <w:color w:val="auto"/>
          <w:highlight w:val="none"/>
        </w:rPr>
        <w:t>第五章 响应文件格式</w:t>
      </w:r>
      <w:bookmarkEnd w:id="103"/>
      <w:bookmarkEnd w:id="104"/>
      <w:bookmarkEnd w:id="105"/>
      <w:bookmarkEnd w:id="106"/>
      <w:bookmarkEnd w:id="107"/>
    </w:p>
    <w:p w14:paraId="1D2A150E">
      <w:pPr>
        <w:spacing w:line="360" w:lineRule="auto"/>
        <w:rPr>
          <w:rFonts w:ascii="宋体" w:hAnsi="宋体" w:cs="宋体"/>
          <w:b/>
          <w:color w:val="auto"/>
          <w:sz w:val="32"/>
          <w:szCs w:val="32"/>
          <w:highlight w:val="none"/>
        </w:rPr>
      </w:pPr>
    </w:p>
    <w:p w14:paraId="353AB1F1">
      <w:pPr>
        <w:snapToGrid w:val="0"/>
        <w:spacing w:before="50" w:after="50" w:line="360" w:lineRule="auto"/>
        <w:outlineLvl w:val="1"/>
        <w:rPr>
          <w:rFonts w:ascii="宋体" w:hAnsi="宋体" w:cs="宋体"/>
          <w:b/>
          <w:bCs/>
          <w:color w:val="auto"/>
          <w:sz w:val="32"/>
          <w:szCs w:val="32"/>
          <w:highlight w:val="none"/>
        </w:rPr>
      </w:pPr>
      <w:bookmarkStart w:id="108" w:name="_Toc25240"/>
      <w:bookmarkStart w:id="109" w:name="_Toc1737"/>
      <w:bookmarkStart w:id="110" w:name="_Toc44229898"/>
      <w:bookmarkStart w:id="111" w:name="_Toc26195"/>
      <w:bookmarkStart w:id="112" w:name="_Toc29817"/>
      <w:r>
        <w:rPr>
          <w:rFonts w:hint="eastAsia" w:ascii="宋体" w:hAnsi="宋体" w:cs="宋体"/>
          <w:b/>
          <w:color w:val="auto"/>
          <w:sz w:val="32"/>
          <w:szCs w:val="32"/>
          <w:highlight w:val="none"/>
        </w:rPr>
        <w:t>（</w:t>
      </w:r>
      <w:bookmarkStart w:id="113" w:name="_Toc35611437"/>
      <w:bookmarkStart w:id="114" w:name="_Toc35611515"/>
      <w:r>
        <w:rPr>
          <w:rFonts w:hint="eastAsia" w:ascii="宋体" w:hAnsi="宋体" w:cs="宋体"/>
          <w:b/>
          <w:bCs/>
          <w:color w:val="auto"/>
          <w:sz w:val="32"/>
          <w:szCs w:val="32"/>
          <w:highlight w:val="none"/>
        </w:rPr>
        <w:t>响应文件外层包装封面格式</w:t>
      </w:r>
      <w:bookmarkEnd w:id="113"/>
      <w:bookmarkEnd w:id="114"/>
      <w:r>
        <w:rPr>
          <w:rFonts w:hint="eastAsia" w:ascii="宋体" w:hAnsi="宋体" w:cs="宋体"/>
          <w:b/>
          <w:color w:val="auto"/>
          <w:sz w:val="32"/>
          <w:szCs w:val="32"/>
          <w:highlight w:val="none"/>
        </w:rPr>
        <w:t xml:space="preserve"> ）</w:t>
      </w:r>
      <w:bookmarkEnd w:id="108"/>
      <w:bookmarkEnd w:id="109"/>
      <w:bookmarkEnd w:id="110"/>
      <w:bookmarkEnd w:id="111"/>
      <w:bookmarkEnd w:id="112"/>
    </w:p>
    <w:p w14:paraId="40586669">
      <w:pPr>
        <w:snapToGrid w:val="0"/>
        <w:spacing w:before="156" w:beforeLines="50" w:after="50" w:line="360" w:lineRule="auto"/>
        <w:rPr>
          <w:rFonts w:ascii="宋体" w:hAnsi="宋体" w:cs="宋体"/>
          <w:color w:val="auto"/>
          <w:sz w:val="24"/>
          <w:szCs w:val="20"/>
          <w:highlight w:val="none"/>
        </w:rPr>
      </w:pPr>
    </w:p>
    <w:p w14:paraId="2FAB7EE5">
      <w:pPr>
        <w:snapToGrid w:val="0"/>
        <w:spacing w:before="156" w:beforeLines="50" w:after="50" w:line="360" w:lineRule="auto"/>
        <w:jc w:val="center"/>
        <w:rPr>
          <w:rFonts w:ascii="宋体" w:hAnsi="宋体" w:cs="宋体"/>
          <w:bCs/>
          <w:color w:val="auto"/>
          <w:sz w:val="22"/>
          <w:szCs w:val="18"/>
          <w:highlight w:val="none"/>
        </w:rPr>
      </w:pPr>
    </w:p>
    <w:p w14:paraId="7F77C61B">
      <w:pPr>
        <w:snapToGrid w:val="0"/>
        <w:spacing w:before="156" w:beforeLines="50" w:after="50" w:line="360" w:lineRule="auto"/>
        <w:jc w:val="center"/>
        <w:rPr>
          <w:rFonts w:ascii="宋体" w:hAnsi="宋体" w:cs="宋体"/>
          <w:bCs/>
          <w:color w:val="auto"/>
          <w:sz w:val="40"/>
          <w:szCs w:val="40"/>
          <w:highlight w:val="none"/>
        </w:rPr>
      </w:pPr>
      <w:r>
        <w:rPr>
          <w:rFonts w:hint="eastAsia" w:ascii="宋体" w:hAnsi="宋体" w:cs="宋体"/>
          <w:bCs/>
          <w:color w:val="auto"/>
          <w:sz w:val="40"/>
          <w:szCs w:val="40"/>
          <w:highlight w:val="none"/>
        </w:rPr>
        <w:t>响  应  文  件</w:t>
      </w:r>
    </w:p>
    <w:p w14:paraId="700076F9">
      <w:pPr>
        <w:snapToGrid w:val="0"/>
        <w:spacing w:before="156" w:beforeLines="50" w:after="50" w:line="360" w:lineRule="auto"/>
        <w:rPr>
          <w:rFonts w:ascii="宋体" w:hAnsi="宋体" w:cs="宋体"/>
          <w:bCs/>
          <w:color w:val="auto"/>
          <w:sz w:val="22"/>
          <w:szCs w:val="18"/>
          <w:highlight w:val="none"/>
        </w:rPr>
      </w:pPr>
    </w:p>
    <w:p w14:paraId="71A43AE6">
      <w:pPr>
        <w:snapToGrid w:val="0"/>
        <w:spacing w:before="156" w:beforeLines="50" w:after="50" w:line="360" w:lineRule="auto"/>
        <w:rPr>
          <w:rFonts w:ascii="宋体" w:hAnsi="宋体" w:cs="宋体"/>
          <w:bCs/>
          <w:color w:val="auto"/>
          <w:sz w:val="22"/>
          <w:szCs w:val="18"/>
          <w:highlight w:val="none"/>
        </w:rPr>
      </w:pPr>
    </w:p>
    <w:p w14:paraId="7675437D">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04672E4B">
      <w:pPr>
        <w:snapToGrid w:val="0"/>
        <w:spacing w:before="156" w:beforeLines="50" w:after="50" w:line="360" w:lineRule="auto"/>
        <w:ind w:firstLine="420" w:firstLineChars="150"/>
        <w:rPr>
          <w:rFonts w:ascii="宋体" w:hAnsi="宋体" w:cs="宋体"/>
          <w:bCs/>
          <w:color w:val="auto"/>
          <w:sz w:val="28"/>
          <w:szCs w:val="28"/>
          <w:highlight w:val="none"/>
        </w:rPr>
      </w:pPr>
    </w:p>
    <w:p w14:paraId="0D3405F6">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678885DF">
      <w:pPr>
        <w:snapToGrid w:val="0"/>
        <w:spacing w:before="156" w:beforeLines="50" w:after="50" w:line="360" w:lineRule="auto"/>
        <w:ind w:firstLine="420" w:firstLineChars="150"/>
        <w:rPr>
          <w:rFonts w:ascii="宋体" w:hAnsi="宋体" w:cs="宋体"/>
          <w:bCs/>
          <w:color w:val="auto"/>
          <w:sz w:val="28"/>
          <w:szCs w:val="28"/>
          <w:highlight w:val="none"/>
        </w:rPr>
      </w:pPr>
    </w:p>
    <w:p w14:paraId="490F4DC5">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79CC5889">
      <w:pPr>
        <w:snapToGrid w:val="0"/>
        <w:spacing w:before="156" w:beforeLines="50" w:after="50" w:line="360" w:lineRule="auto"/>
        <w:rPr>
          <w:rFonts w:ascii="宋体" w:hAnsi="宋体" w:cs="宋体"/>
          <w:bCs/>
          <w:color w:val="auto"/>
          <w:sz w:val="28"/>
          <w:szCs w:val="28"/>
          <w:highlight w:val="none"/>
        </w:rPr>
      </w:pPr>
    </w:p>
    <w:p w14:paraId="55F95003">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4A4FC533">
      <w:pPr>
        <w:snapToGrid w:val="0"/>
        <w:spacing w:before="156" w:beforeLines="50" w:after="50" w:line="360" w:lineRule="auto"/>
        <w:ind w:firstLine="420" w:firstLineChars="150"/>
        <w:jc w:val="center"/>
        <w:rPr>
          <w:rFonts w:ascii="宋体" w:hAnsi="宋体" w:cs="宋体"/>
          <w:bCs/>
          <w:color w:val="auto"/>
          <w:sz w:val="28"/>
          <w:szCs w:val="28"/>
          <w:highlight w:val="none"/>
        </w:rPr>
      </w:pPr>
      <w:r>
        <w:rPr>
          <w:rFonts w:hint="eastAsia" w:ascii="宋体" w:hAnsi="宋体" w:cs="宋体"/>
          <w:bCs/>
          <w:color w:val="auto"/>
          <w:sz w:val="28"/>
          <w:szCs w:val="28"/>
          <w:highlight w:val="none"/>
        </w:rPr>
        <w:t>首次响应文件提交截止时间前不得启封</w:t>
      </w:r>
    </w:p>
    <w:p w14:paraId="7975A60A">
      <w:pPr>
        <w:snapToGrid w:val="0"/>
        <w:spacing w:before="156" w:beforeLines="50" w:after="50" w:line="360" w:lineRule="auto"/>
        <w:ind w:firstLine="645"/>
        <w:jc w:val="center"/>
        <w:rPr>
          <w:rFonts w:ascii="宋体" w:hAnsi="宋体" w:cs="宋体"/>
          <w:bCs/>
          <w:color w:val="auto"/>
          <w:sz w:val="28"/>
          <w:szCs w:val="28"/>
          <w:highlight w:val="none"/>
        </w:rPr>
      </w:pPr>
      <w:r>
        <w:rPr>
          <w:rFonts w:hint="eastAsia" w:ascii="宋体" w:hAnsi="宋体" w:cs="宋体"/>
          <w:bCs/>
          <w:color w:val="auto"/>
          <w:sz w:val="28"/>
          <w:szCs w:val="28"/>
          <w:highlight w:val="none"/>
        </w:rPr>
        <w:t>年    月    日</w:t>
      </w:r>
    </w:p>
    <w:p w14:paraId="1D58E706">
      <w:pPr>
        <w:spacing w:line="360" w:lineRule="auto"/>
        <w:rPr>
          <w:rFonts w:ascii="宋体" w:hAnsi="宋体" w:cs="宋体"/>
          <w:bCs/>
          <w:color w:val="auto"/>
          <w:sz w:val="32"/>
          <w:szCs w:val="32"/>
          <w:highlight w:val="none"/>
        </w:rPr>
      </w:pPr>
      <w:r>
        <w:rPr>
          <w:rFonts w:hint="eastAsia" w:ascii="宋体" w:hAnsi="宋体" w:cs="宋体"/>
          <w:bCs/>
          <w:color w:val="auto"/>
          <w:sz w:val="24"/>
          <w:highlight w:val="none"/>
        </w:rPr>
        <w:br w:type="page"/>
      </w:r>
      <w:r>
        <w:rPr>
          <w:rFonts w:hint="eastAsia" w:ascii="宋体" w:hAnsi="宋体" w:cs="宋体"/>
          <w:b/>
          <w:bCs/>
          <w:color w:val="auto"/>
          <w:sz w:val="32"/>
          <w:szCs w:val="32"/>
          <w:highlight w:val="none"/>
        </w:rPr>
        <w:t>（响应文件封面格式）</w:t>
      </w:r>
    </w:p>
    <w:p w14:paraId="21946B76">
      <w:pPr>
        <w:spacing w:line="360" w:lineRule="auto"/>
        <w:jc w:val="center"/>
        <w:rPr>
          <w:rFonts w:ascii="宋体" w:hAnsi="宋体" w:cs="宋体"/>
          <w:bCs/>
          <w:color w:val="auto"/>
          <w:sz w:val="24"/>
          <w:highlight w:val="none"/>
        </w:rPr>
      </w:pPr>
    </w:p>
    <w:p w14:paraId="601B0794">
      <w:pPr>
        <w:spacing w:line="360" w:lineRule="auto"/>
        <w:jc w:val="center"/>
        <w:rPr>
          <w:rFonts w:ascii="宋体" w:hAnsi="宋体" w:cs="宋体"/>
          <w:bCs/>
          <w:color w:val="auto"/>
          <w:sz w:val="24"/>
          <w:highlight w:val="none"/>
        </w:rPr>
      </w:pPr>
    </w:p>
    <w:p w14:paraId="5BF4CD82">
      <w:pPr>
        <w:spacing w:line="360" w:lineRule="auto"/>
        <w:jc w:val="center"/>
        <w:rPr>
          <w:rFonts w:ascii="宋体" w:hAnsi="宋体" w:cs="宋体"/>
          <w:bCs/>
          <w:color w:val="auto"/>
          <w:sz w:val="24"/>
          <w:highlight w:val="none"/>
        </w:rPr>
      </w:pPr>
    </w:p>
    <w:p w14:paraId="7B3EC5D3">
      <w:pPr>
        <w:spacing w:line="360" w:lineRule="auto"/>
        <w:jc w:val="center"/>
        <w:rPr>
          <w:rFonts w:ascii="宋体" w:hAnsi="宋体" w:cs="宋体"/>
          <w:bCs/>
          <w:color w:val="auto"/>
          <w:sz w:val="44"/>
          <w:szCs w:val="44"/>
          <w:highlight w:val="none"/>
        </w:rPr>
      </w:pPr>
    </w:p>
    <w:p w14:paraId="69EE6E51">
      <w:pPr>
        <w:spacing w:line="360" w:lineRule="auto"/>
        <w:jc w:val="center"/>
        <w:rPr>
          <w:rFonts w:ascii="宋体" w:hAnsi="宋体" w:cs="宋体"/>
          <w:bCs/>
          <w:color w:val="auto"/>
          <w:sz w:val="44"/>
          <w:szCs w:val="44"/>
          <w:highlight w:val="none"/>
        </w:rPr>
      </w:pPr>
    </w:p>
    <w:p w14:paraId="352F5C48">
      <w:pPr>
        <w:spacing w:line="360" w:lineRule="auto"/>
        <w:jc w:val="center"/>
        <w:rPr>
          <w:rFonts w:ascii="宋体" w:hAnsi="宋体" w:cs="宋体"/>
          <w:b/>
          <w:color w:val="auto"/>
          <w:sz w:val="32"/>
          <w:szCs w:val="32"/>
          <w:highlight w:val="none"/>
        </w:rPr>
      </w:pPr>
      <w:r>
        <w:rPr>
          <w:rFonts w:hint="eastAsia" w:ascii="宋体" w:hAnsi="宋体" w:cs="宋体"/>
          <w:bCs/>
          <w:color w:val="auto"/>
          <w:sz w:val="44"/>
          <w:szCs w:val="44"/>
          <w:highlight w:val="none"/>
        </w:rPr>
        <w:t>响  应  文  件</w:t>
      </w:r>
      <w:r>
        <w:rPr>
          <w:rFonts w:hint="eastAsia" w:ascii="宋体" w:hAnsi="宋体" w:cs="宋体"/>
          <w:b/>
          <w:color w:val="auto"/>
          <w:sz w:val="32"/>
          <w:szCs w:val="32"/>
          <w:highlight w:val="none"/>
        </w:rPr>
        <w:t xml:space="preserve"> </w:t>
      </w:r>
      <w:r>
        <w:rPr>
          <w:rFonts w:hint="eastAsia" w:ascii="宋体" w:hAnsi="宋体" w:cs="宋体"/>
          <w:color w:val="auto"/>
          <w:szCs w:val="21"/>
          <w:highlight w:val="none"/>
        </w:rPr>
        <w:t>(封面)</w:t>
      </w:r>
    </w:p>
    <w:p w14:paraId="2A2E7F7C">
      <w:pPr>
        <w:spacing w:line="360" w:lineRule="auto"/>
        <w:jc w:val="center"/>
        <w:rPr>
          <w:rFonts w:ascii="宋体" w:hAnsi="宋体" w:cs="宋体"/>
          <w:color w:val="auto"/>
          <w:szCs w:val="21"/>
          <w:highlight w:val="none"/>
        </w:rPr>
      </w:pPr>
    </w:p>
    <w:p w14:paraId="08069B77">
      <w:pPr>
        <w:spacing w:line="360" w:lineRule="auto"/>
        <w:jc w:val="center"/>
        <w:rPr>
          <w:rFonts w:ascii="宋体" w:hAnsi="宋体" w:cs="宋体"/>
          <w:color w:val="auto"/>
          <w:szCs w:val="21"/>
          <w:highlight w:val="none"/>
        </w:rPr>
      </w:pPr>
    </w:p>
    <w:p w14:paraId="2CF3B95C">
      <w:pPr>
        <w:spacing w:line="360" w:lineRule="auto"/>
        <w:jc w:val="center"/>
        <w:rPr>
          <w:rFonts w:ascii="宋体" w:hAnsi="宋体" w:cs="宋体"/>
          <w:color w:val="auto"/>
          <w:szCs w:val="21"/>
          <w:highlight w:val="none"/>
        </w:rPr>
      </w:pPr>
    </w:p>
    <w:p w14:paraId="2F08B13A">
      <w:pPr>
        <w:spacing w:line="360" w:lineRule="auto"/>
        <w:jc w:val="center"/>
        <w:rPr>
          <w:rFonts w:ascii="宋体" w:hAnsi="宋体" w:cs="宋体"/>
          <w:color w:val="auto"/>
          <w:szCs w:val="21"/>
          <w:highlight w:val="none"/>
        </w:rPr>
      </w:pPr>
    </w:p>
    <w:p w14:paraId="1BCEF3F3">
      <w:pPr>
        <w:spacing w:line="360" w:lineRule="auto"/>
        <w:jc w:val="left"/>
        <w:rPr>
          <w:rFonts w:ascii="宋体" w:hAnsi="宋体" w:cs="宋体"/>
          <w:color w:val="auto"/>
          <w:sz w:val="28"/>
          <w:szCs w:val="28"/>
          <w:highlight w:val="none"/>
        </w:rPr>
      </w:pPr>
    </w:p>
    <w:p w14:paraId="7E70E485">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项目编号：</w:t>
      </w:r>
    </w:p>
    <w:p w14:paraId="449A5B63">
      <w:pPr>
        <w:spacing w:line="360" w:lineRule="auto"/>
        <w:ind w:firstLine="560" w:firstLineChars="200"/>
        <w:jc w:val="left"/>
        <w:rPr>
          <w:rFonts w:ascii="宋体" w:hAnsi="宋体" w:cs="宋体"/>
          <w:color w:val="auto"/>
          <w:sz w:val="28"/>
          <w:szCs w:val="28"/>
          <w:highlight w:val="none"/>
          <w:u w:val="single"/>
        </w:rPr>
      </w:pPr>
    </w:p>
    <w:p w14:paraId="72DB8920">
      <w:pPr>
        <w:tabs>
          <w:tab w:val="left" w:pos="3240"/>
        </w:tabs>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项目名称：</w:t>
      </w:r>
    </w:p>
    <w:p w14:paraId="67F67528">
      <w:pPr>
        <w:tabs>
          <w:tab w:val="left" w:pos="3240"/>
        </w:tabs>
        <w:spacing w:line="360" w:lineRule="auto"/>
        <w:ind w:firstLine="560" w:firstLineChars="200"/>
        <w:jc w:val="left"/>
        <w:rPr>
          <w:rFonts w:ascii="宋体" w:hAnsi="宋体" w:cs="宋体"/>
          <w:color w:val="auto"/>
          <w:sz w:val="28"/>
          <w:szCs w:val="28"/>
          <w:highlight w:val="none"/>
          <w:u w:val="single"/>
        </w:rPr>
      </w:pPr>
    </w:p>
    <w:p w14:paraId="4BF9ABE3">
      <w:pPr>
        <w:spacing w:line="360" w:lineRule="auto"/>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所竞分标</w:t>
      </w:r>
      <w:r>
        <w:rPr>
          <w:rFonts w:hint="eastAsia" w:ascii="宋体" w:hAnsi="宋体" w:cs="宋体"/>
          <w:bCs/>
          <w:color w:val="auto"/>
          <w:sz w:val="28"/>
          <w:szCs w:val="28"/>
          <w:highlight w:val="none"/>
        </w:rPr>
        <w:t>（如有则填写，无分标时填写“无”或者留空）</w:t>
      </w:r>
      <w:r>
        <w:rPr>
          <w:rFonts w:hint="eastAsia" w:ascii="宋体" w:hAnsi="宋体" w:cs="宋体"/>
          <w:color w:val="auto"/>
          <w:sz w:val="28"/>
          <w:szCs w:val="28"/>
          <w:highlight w:val="none"/>
        </w:rPr>
        <w:t>：</w:t>
      </w:r>
    </w:p>
    <w:p w14:paraId="433527D7">
      <w:pPr>
        <w:spacing w:line="360" w:lineRule="auto"/>
        <w:ind w:firstLine="560" w:firstLineChars="200"/>
        <w:jc w:val="left"/>
        <w:rPr>
          <w:rFonts w:ascii="宋体" w:hAnsi="宋体" w:cs="宋体"/>
          <w:color w:val="auto"/>
          <w:sz w:val="28"/>
          <w:szCs w:val="28"/>
          <w:highlight w:val="none"/>
          <w:u w:val="single"/>
        </w:rPr>
      </w:pPr>
    </w:p>
    <w:p w14:paraId="6ADA13CF">
      <w:pPr>
        <w:spacing w:line="360" w:lineRule="auto"/>
        <w:ind w:firstLine="560" w:firstLineChars="200"/>
        <w:jc w:val="left"/>
        <w:rPr>
          <w:rFonts w:ascii="宋体" w:hAnsi="宋体" w:cs="宋体"/>
          <w:color w:val="auto"/>
          <w:sz w:val="28"/>
          <w:szCs w:val="28"/>
          <w:highlight w:val="none"/>
          <w:u w:val="single"/>
        </w:rPr>
      </w:pPr>
      <w:r>
        <w:rPr>
          <w:rFonts w:hint="eastAsia" w:ascii="宋体" w:hAnsi="宋体" w:cs="宋体"/>
          <w:color w:val="auto"/>
          <w:sz w:val="28"/>
          <w:szCs w:val="28"/>
          <w:highlight w:val="none"/>
        </w:rPr>
        <w:t>供应商名称：</w:t>
      </w:r>
    </w:p>
    <w:p w14:paraId="7349ADA4">
      <w:pPr>
        <w:snapToGrid w:val="0"/>
        <w:spacing w:before="156" w:beforeLines="50" w:after="50" w:line="360" w:lineRule="auto"/>
        <w:rPr>
          <w:rFonts w:ascii="宋体" w:hAnsi="宋体" w:cs="宋体"/>
          <w:color w:val="auto"/>
          <w:sz w:val="28"/>
          <w:szCs w:val="28"/>
          <w:highlight w:val="none"/>
        </w:rPr>
      </w:pPr>
    </w:p>
    <w:p w14:paraId="7836F8F3">
      <w:pPr>
        <w:snapToGrid w:val="0"/>
        <w:spacing w:before="156" w:beforeLines="50" w:after="50" w:line="360" w:lineRule="auto"/>
        <w:rPr>
          <w:rFonts w:ascii="宋体" w:hAnsi="宋体" w:cs="宋体"/>
          <w:color w:val="auto"/>
          <w:sz w:val="28"/>
          <w:szCs w:val="28"/>
          <w:highlight w:val="none"/>
        </w:rPr>
      </w:pPr>
    </w:p>
    <w:p w14:paraId="5AAABBE1">
      <w:pPr>
        <w:snapToGrid w:val="0"/>
        <w:spacing w:before="156" w:beforeLines="50" w:after="50" w:line="360" w:lineRule="auto"/>
        <w:rPr>
          <w:rFonts w:ascii="宋体" w:hAnsi="宋体" w:cs="宋体"/>
          <w:color w:val="auto"/>
          <w:sz w:val="28"/>
          <w:szCs w:val="28"/>
          <w:highlight w:val="none"/>
        </w:rPr>
      </w:pPr>
    </w:p>
    <w:p w14:paraId="3B7D613D">
      <w:pPr>
        <w:snapToGrid w:val="0"/>
        <w:spacing w:before="156" w:beforeLines="50" w:after="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329044D">
      <w:pPr>
        <w:snapToGrid w:val="0"/>
        <w:spacing w:before="156" w:beforeLines="50" w:after="50" w:line="360" w:lineRule="auto"/>
        <w:jc w:val="center"/>
        <w:rPr>
          <w:rFonts w:ascii="宋体" w:hAnsi="宋体" w:cs="宋体"/>
          <w:bCs/>
          <w:color w:val="auto"/>
          <w:sz w:val="32"/>
          <w:szCs w:val="32"/>
          <w:highlight w:val="none"/>
        </w:rPr>
      </w:pPr>
      <w:r>
        <w:rPr>
          <w:rFonts w:hint="eastAsia" w:ascii="宋体" w:hAnsi="宋体" w:cs="宋体"/>
          <w:color w:val="auto"/>
          <w:sz w:val="32"/>
          <w:szCs w:val="32"/>
          <w:highlight w:val="none"/>
        </w:rPr>
        <w:br w:type="page"/>
      </w:r>
    </w:p>
    <w:p w14:paraId="58834168">
      <w:pPr>
        <w:snapToGrid w:val="0"/>
        <w:spacing w:before="156" w:beforeLines="50" w:after="50" w:line="360" w:lineRule="auto"/>
        <w:outlineLvl w:val="1"/>
        <w:rPr>
          <w:rFonts w:ascii="宋体" w:hAnsi="宋体" w:cs="宋体"/>
          <w:b/>
          <w:bCs/>
          <w:color w:val="auto"/>
          <w:sz w:val="32"/>
          <w:szCs w:val="32"/>
          <w:highlight w:val="none"/>
        </w:rPr>
      </w:pPr>
      <w:bookmarkStart w:id="115" w:name="_Toc35611438"/>
      <w:bookmarkStart w:id="116" w:name="_Toc7837"/>
      <w:bookmarkStart w:id="117" w:name="_Toc24563"/>
      <w:bookmarkStart w:id="118" w:name="_Toc44229899"/>
      <w:bookmarkStart w:id="119" w:name="_Toc24930"/>
      <w:bookmarkStart w:id="120" w:name="_Toc35611516"/>
      <w:bookmarkStart w:id="121" w:name="_Toc31728084"/>
      <w:bookmarkStart w:id="122" w:name="_Toc11614"/>
      <w:bookmarkStart w:id="123" w:name="_Toc31723070"/>
      <w:r>
        <w:rPr>
          <w:rFonts w:hint="eastAsia" w:ascii="宋体" w:hAnsi="宋体" w:cs="宋体"/>
          <w:b/>
          <w:bCs/>
          <w:color w:val="auto"/>
          <w:sz w:val="32"/>
          <w:szCs w:val="32"/>
          <w:highlight w:val="none"/>
        </w:rPr>
        <w:t>一、资格证明文件格式</w:t>
      </w:r>
      <w:bookmarkEnd w:id="115"/>
      <w:bookmarkEnd w:id="116"/>
      <w:bookmarkEnd w:id="117"/>
      <w:bookmarkEnd w:id="118"/>
      <w:bookmarkEnd w:id="119"/>
      <w:bookmarkEnd w:id="120"/>
      <w:bookmarkEnd w:id="121"/>
      <w:bookmarkEnd w:id="122"/>
      <w:bookmarkEnd w:id="123"/>
    </w:p>
    <w:p w14:paraId="5E77F223">
      <w:pPr>
        <w:snapToGrid w:val="0"/>
        <w:spacing w:before="156" w:beforeLines="50" w:after="50" w:line="360" w:lineRule="auto"/>
        <w:jc w:val="left"/>
        <w:rPr>
          <w:rFonts w:ascii="宋体" w:hAnsi="宋体" w:cs="宋体"/>
          <w:b/>
          <w:color w:val="auto"/>
          <w:sz w:val="24"/>
          <w:highlight w:val="none"/>
        </w:rPr>
      </w:pPr>
      <w:r>
        <w:rPr>
          <w:rFonts w:hint="eastAsia" w:ascii="宋体" w:hAnsi="宋体" w:cs="宋体"/>
          <w:b/>
          <w:color w:val="auto"/>
          <w:sz w:val="32"/>
          <w:szCs w:val="32"/>
          <w:highlight w:val="none"/>
        </w:rPr>
        <w:t>1.资格证明文件封面格式：</w:t>
      </w:r>
      <w:r>
        <w:rPr>
          <w:rFonts w:hint="eastAsia" w:ascii="宋体" w:hAnsi="宋体" w:cs="宋体"/>
          <w:b/>
          <w:color w:val="auto"/>
          <w:sz w:val="24"/>
          <w:highlight w:val="none"/>
        </w:rPr>
        <w:t xml:space="preserve"> </w:t>
      </w:r>
    </w:p>
    <w:p w14:paraId="074BF8B8">
      <w:pPr>
        <w:snapToGrid w:val="0"/>
        <w:spacing w:before="156"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14:paraId="15B15807">
      <w:pPr>
        <w:snapToGrid w:val="0"/>
        <w:spacing w:before="156" w:beforeLines="50" w:after="50" w:line="360" w:lineRule="auto"/>
        <w:rPr>
          <w:rFonts w:ascii="宋体" w:hAnsi="宋体" w:cs="宋体"/>
          <w:color w:val="auto"/>
          <w:sz w:val="24"/>
          <w:szCs w:val="20"/>
          <w:highlight w:val="none"/>
        </w:rPr>
      </w:pPr>
    </w:p>
    <w:p w14:paraId="23BB8C6F">
      <w:pPr>
        <w:snapToGrid w:val="0"/>
        <w:spacing w:before="156" w:beforeLines="50" w:after="50" w:line="360" w:lineRule="auto"/>
        <w:rPr>
          <w:rFonts w:ascii="宋体" w:hAnsi="宋体" w:cs="宋体"/>
          <w:color w:val="auto"/>
          <w:sz w:val="24"/>
          <w:szCs w:val="20"/>
          <w:highlight w:val="none"/>
        </w:rPr>
      </w:pPr>
    </w:p>
    <w:p w14:paraId="0D662F61">
      <w:pPr>
        <w:snapToGrid w:val="0"/>
        <w:spacing w:before="156" w:beforeLines="50" w:after="50"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t>资  格  证  明  文  件</w:t>
      </w:r>
    </w:p>
    <w:p w14:paraId="24D5D6B9">
      <w:pPr>
        <w:snapToGrid w:val="0"/>
        <w:spacing w:before="156" w:beforeLines="50" w:after="50" w:line="360" w:lineRule="auto"/>
        <w:rPr>
          <w:rFonts w:ascii="宋体" w:hAnsi="宋体" w:cs="宋体"/>
          <w:bCs/>
          <w:color w:val="auto"/>
          <w:sz w:val="24"/>
          <w:szCs w:val="20"/>
          <w:highlight w:val="none"/>
        </w:rPr>
      </w:pPr>
    </w:p>
    <w:p w14:paraId="1421D19C">
      <w:pPr>
        <w:snapToGrid w:val="0"/>
        <w:spacing w:before="156" w:beforeLines="50" w:after="50" w:line="360" w:lineRule="auto"/>
        <w:rPr>
          <w:rFonts w:ascii="宋体" w:hAnsi="宋体" w:cs="宋体"/>
          <w:bCs/>
          <w:color w:val="auto"/>
          <w:sz w:val="24"/>
          <w:szCs w:val="20"/>
          <w:highlight w:val="none"/>
        </w:rPr>
      </w:pPr>
    </w:p>
    <w:p w14:paraId="6FF4C1EF">
      <w:pPr>
        <w:snapToGrid w:val="0"/>
        <w:spacing w:before="156" w:beforeLines="50" w:after="50" w:line="360" w:lineRule="auto"/>
        <w:rPr>
          <w:rFonts w:ascii="宋体" w:hAnsi="宋体" w:cs="宋体"/>
          <w:bCs/>
          <w:color w:val="auto"/>
          <w:sz w:val="24"/>
          <w:szCs w:val="20"/>
          <w:highlight w:val="none"/>
        </w:rPr>
      </w:pPr>
    </w:p>
    <w:p w14:paraId="76C5B806">
      <w:pPr>
        <w:snapToGrid w:val="0"/>
        <w:spacing w:before="156" w:beforeLines="50" w:after="50" w:line="360" w:lineRule="auto"/>
        <w:rPr>
          <w:rFonts w:ascii="宋体" w:hAnsi="宋体" w:cs="宋体"/>
          <w:bCs/>
          <w:color w:val="auto"/>
          <w:sz w:val="24"/>
          <w:szCs w:val="20"/>
          <w:highlight w:val="none"/>
        </w:rPr>
      </w:pPr>
    </w:p>
    <w:p w14:paraId="4F0D93EB">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4ADFD20B">
      <w:pPr>
        <w:snapToGrid w:val="0"/>
        <w:spacing w:before="156" w:beforeLines="50" w:after="50" w:line="360" w:lineRule="auto"/>
        <w:ind w:firstLine="630" w:firstLineChars="225"/>
        <w:rPr>
          <w:rFonts w:ascii="宋体" w:hAnsi="宋体" w:cs="宋体"/>
          <w:bCs/>
          <w:color w:val="auto"/>
          <w:sz w:val="28"/>
          <w:szCs w:val="28"/>
          <w:highlight w:val="none"/>
        </w:rPr>
      </w:pPr>
    </w:p>
    <w:p w14:paraId="436951B4">
      <w:pPr>
        <w:snapToGrid w:val="0"/>
        <w:spacing w:before="156"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7AE1F5F6">
      <w:pPr>
        <w:snapToGrid w:val="0"/>
        <w:spacing w:before="156"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35624889">
      <w:pPr>
        <w:snapToGrid w:val="0"/>
        <w:spacing w:before="156"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27B89B9B">
      <w:pPr>
        <w:snapToGrid w:val="0"/>
        <w:spacing w:before="156" w:beforeLines="50" w:after="50" w:line="360" w:lineRule="auto"/>
        <w:ind w:firstLine="630" w:firstLineChars="225"/>
        <w:rPr>
          <w:rFonts w:ascii="宋体" w:hAnsi="宋体" w:cs="宋体"/>
          <w:bCs/>
          <w:color w:val="auto"/>
          <w:sz w:val="28"/>
          <w:szCs w:val="28"/>
          <w:highlight w:val="none"/>
        </w:rPr>
      </w:pPr>
    </w:p>
    <w:p w14:paraId="5BAFB60D">
      <w:pPr>
        <w:pStyle w:val="7"/>
        <w:snapToGrid w:val="0"/>
        <w:spacing w:before="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5F12821B">
      <w:pPr>
        <w:pStyle w:val="7"/>
        <w:snapToGrid w:val="0"/>
        <w:spacing w:before="50" w:after="50" w:line="360" w:lineRule="auto"/>
        <w:ind w:firstLine="1280" w:firstLineChars="400"/>
        <w:rPr>
          <w:rFonts w:ascii="宋体" w:hAnsi="宋体" w:cs="宋体"/>
          <w:bCs/>
          <w:color w:val="auto"/>
          <w:sz w:val="32"/>
          <w:szCs w:val="32"/>
          <w:highlight w:val="none"/>
        </w:rPr>
      </w:pPr>
    </w:p>
    <w:p w14:paraId="7EB84719">
      <w:pPr>
        <w:snapToGrid w:val="0"/>
        <w:spacing w:before="156" w:beforeLines="50" w:after="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721D4131">
      <w:pPr>
        <w:snapToGrid w:val="0"/>
        <w:spacing w:before="156" w:beforeLines="50" w:after="50" w:line="360" w:lineRule="auto"/>
        <w:ind w:left="142"/>
        <w:jc w:val="left"/>
        <w:rPr>
          <w:rFonts w:ascii="宋体" w:hAnsi="宋体" w:cs="宋体"/>
          <w:b/>
          <w:bCs/>
          <w:color w:val="auto"/>
          <w:sz w:val="32"/>
          <w:szCs w:val="32"/>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2.资格证明文件目录</w:t>
      </w:r>
    </w:p>
    <w:p w14:paraId="7E37FC0A">
      <w:pPr>
        <w:snapToGrid w:val="0"/>
        <w:spacing w:before="156" w:beforeLines="50" w:after="50" w:line="360" w:lineRule="auto"/>
        <w:ind w:firstLine="645"/>
        <w:rPr>
          <w:rFonts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1F49DCB8">
      <w:pPr>
        <w:snapToGrid w:val="0"/>
        <w:spacing w:before="156" w:beforeLines="50" w:after="50" w:line="360" w:lineRule="auto"/>
        <w:rPr>
          <w:rFonts w:ascii="宋体" w:hAnsi="宋体" w:cs="宋体"/>
          <w:color w:val="auto"/>
          <w:sz w:val="24"/>
          <w:szCs w:val="20"/>
          <w:highlight w:val="none"/>
        </w:rPr>
      </w:pPr>
      <w:r>
        <w:rPr>
          <w:rFonts w:hint="eastAsia" w:ascii="宋体" w:hAnsi="宋体" w:cs="宋体"/>
          <w:color w:val="auto"/>
          <w:sz w:val="24"/>
          <w:szCs w:val="20"/>
          <w:highlight w:val="none"/>
        </w:rPr>
        <w:t xml:space="preserve"> </w:t>
      </w:r>
    </w:p>
    <w:p w14:paraId="0D341DF2">
      <w:pPr>
        <w:pStyle w:val="61"/>
        <w:ind w:firstLine="480"/>
        <w:rPr>
          <w:rFonts w:ascii="宋体" w:hAnsi="宋体" w:cs="宋体"/>
          <w:color w:val="auto"/>
          <w:sz w:val="24"/>
          <w:szCs w:val="20"/>
          <w:highlight w:val="none"/>
        </w:rPr>
      </w:pPr>
    </w:p>
    <w:p w14:paraId="0BD19FC7">
      <w:pPr>
        <w:pStyle w:val="61"/>
        <w:ind w:firstLine="480"/>
        <w:rPr>
          <w:rFonts w:ascii="宋体" w:hAnsi="宋体" w:cs="宋体"/>
          <w:color w:val="auto"/>
          <w:sz w:val="24"/>
          <w:szCs w:val="20"/>
          <w:highlight w:val="none"/>
        </w:rPr>
      </w:pPr>
    </w:p>
    <w:p w14:paraId="7A52A967">
      <w:pPr>
        <w:pStyle w:val="61"/>
        <w:ind w:firstLine="480"/>
        <w:rPr>
          <w:rFonts w:ascii="宋体" w:hAnsi="宋体" w:cs="宋体"/>
          <w:color w:val="auto"/>
          <w:sz w:val="24"/>
          <w:szCs w:val="20"/>
          <w:highlight w:val="none"/>
        </w:rPr>
      </w:pPr>
    </w:p>
    <w:p w14:paraId="22A567A0">
      <w:pPr>
        <w:pStyle w:val="61"/>
        <w:ind w:firstLine="480"/>
        <w:rPr>
          <w:rFonts w:ascii="宋体" w:hAnsi="宋体" w:cs="宋体"/>
          <w:color w:val="auto"/>
          <w:sz w:val="24"/>
          <w:szCs w:val="20"/>
          <w:highlight w:val="none"/>
        </w:rPr>
      </w:pPr>
    </w:p>
    <w:p w14:paraId="1B677932">
      <w:pPr>
        <w:pStyle w:val="61"/>
        <w:ind w:firstLine="480"/>
        <w:rPr>
          <w:rFonts w:ascii="宋体" w:hAnsi="宋体" w:cs="宋体"/>
          <w:color w:val="auto"/>
          <w:sz w:val="24"/>
          <w:szCs w:val="20"/>
          <w:highlight w:val="none"/>
        </w:rPr>
      </w:pPr>
    </w:p>
    <w:p w14:paraId="1FB1BF19">
      <w:pPr>
        <w:pStyle w:val="61"/>
        <w:ind w:firstLine="480"/>
        <w:rPr>
          <w:rFonts w:ascii="宋体" w:hAnsi="宋体" w:cs="宋体"/>
          <w:color w:val="auto"/>
          <w:sz w:val="24"/>
          <w:szCs w:val="20"/>
          <w:highlight w:val="none"/>
        </w:rPr>
      </w:pPr>
    </w:p>
    <w:p w14:paraId="1A7FDDCF">
      <w:pPr>
        <w:pStyle w:val="61"/>
        <w:ind w:firstLine="480"/>
        <w:rPr>
          <w:rFonts w:ascii="宋体" w:hAnsi="宋体" w:cs="宋体"/>
          <w:color w:val="auto"/>
          <w:sz w:val="24"/>
          <w:szCs w:val="20"/>
          <w:highlight w:val="none"/>
        </w:rPr>
      </w:pPr>
    </w:p>
    <w:p w14:paraId="7DBFA352">
      <w:pPr>
        <w:pStyle w:val="61"/>
        <w:ind w:firstLine="480"/>
        <w:rPr>
          <w:rFonts w:ascii="宋体" w:hAnsi="宋体" w:cs="宋体"/>
          <w:color w:val="auto"/>
          <w:sz w:val="24"/>
          <w:szCs w:val="20"/>
          <w:highlight w:val="none"/>
        </w:rPr>
      </w:pPr>
    </w:p>
    <w:p w14:paraId="45D94F24">
      <w:pPr>
        <w:pStyle w:val="61"/>
        <w:ind w:firstLine="480"/>
        <w:rPr>
          <w:rFonts w:ascii="宋体" w:hAnsi="宋体" w:cs="宋体"/>
          <w:color w:val="auto"/>
          <w:sz w:val="24"/>
          <w:szCs w:val="20"/>
          <w:highlight w:val="none"/>
        </w:rPr>
      </w:pPr>
    </w:p>
    <w:p w14:paraId="5B044437">
      <w:pPr>
        <w:pStyle w:val="61"/>
        <w:ind w:firstLine="480"/>
        <w:rPr>
          <w:rFonts w:ascii="宋体" w:hAnsi="宋体" w:cs="宋体"/>
          <w:color w:val="auto"/>
          <w:sz w:val="24"/>
          <w:szCs w:val="20"/>
          <w:highlight w:val="none"/>
        </w:rPr>
      </w:pPr>
    </w:p>
    <w:p w14:paraId="27A154E0">
      <w:pPr>
        <w:pStyle w:val="61"/>
        <w:ind w:firstLine="480"/>
        <w:rPr>
          <w:rFonts w:ascii="宋体" w:hAnsi="宋体" w:cs="宋体"/>
          <w:color w:val="auto"/>
          <w:sz w:val="24"/>
          <w:szCs w:val="20"/>
          <w:highlight w:val="none"/>
        </w:rPr>
      </w:pPr>
    </w:p>
    <w:p w14:paraId="1DAFF1D4">
      <w:pPr>
        <w:pStyle w:val="61"/>
        <w:ind w:firstLine="480"/>
        <w:rPr>
          <w:rFonts w:ascii="宋体" w:hAnsi="宋体" w:cs="宋体"/>
          <w:color w:val="auto"/>
          <w:sz w:val="24"/>
          <w:szCs w:val="20"/>
          <w:highlight w:val="none"/>
        </w:rPr>
      </w:pPr>
    </w:p>
    <w:p w14:paraId="6E54B9D6">
      <w:pPr>
        <w:pStyle w:val="61"/>
        <w:ind w:firstLine="480"/>
        <w:rPr>
          <w:rFonts w:ascii="宋体" w:hAnsi="宋体" w:cs="宋体"/>
          <w:color w:val="auto"/>
          <w:sz w:val="24"/>
          <w:szCs w:val="20"/>
          <w:highlight w:val="none"/>
        </w:rPr>
      </w:pPr>
    </w:p>
    <w:p w14:paraId="6C1A4A31">
      <w:pPr>
        <w:pStyle w:val="61"/>
        <w:ind w:firstLine="480"/>
        <w:rPr>
          <w:rFonts w:ascii="宋体" w:hAnsi="宋体" w:cs="宋体"/>
          <w:color w:val="auto"/>
          <w:sz w:val="24"/>
          <w:szCs w:val="20"/>
          <w:highlight w:val="none"/>
        </w:rPr>
      </w:pPr>
    </w:p>
    <w:p w14:paraId="6A9D2666">
      <w:pPr>
        <w:pStyle w:val="61"/>
        <w:ind w:firstLine="480"/>
        <w:rPr>
          <w:rFonts w:ascii="宋体" w:hAnsi="宋体" w:cs="宋体"/>
          <w:color w:val="auto"/>
          <w:sz w:val="24"/>
          <w:szCs w:val="20"/>
          <w:highlight w:val="none"/>
        </w:rPr>
      </w:pPr>
    </w:p>
    <w:p w14:paraId="22AD5F5A">
      <w:pPr>
        <w:pStyle w:val="61"/>
        <w:ind w:firstLine="480"/>
        <w:rPr>
          <w:rFonts w:ascii="宋体" w:hAnsi="宋体" w:cs="宋体"/>
          <w:color w:val="auto"/>
          <w:sz w:val="24"/>
          <w:szCs w:val="20"/>
          <w:highlight w:val="none"/>
        </w:rPr>
      </w:pPr>
    </w:p>
    <w:p w14:paraId="22389704">
      <w:pPr>
        <w:pStyle w:val="61"/>
        <w:ind w:firstLine="480"/>
        <w:rPr>
          <w:rFonts w:ascii="宋体" w:hAnsi="宋体" w:cs="宋体"/>
          <w:color w:val="auto"/>
          <w:sz w:val="24"/>
          <w:szCs w:val="20"/>
          <w:highlight w:val="none"/>
        </w:rPr>
      </w:pPr>
    </w:p>
    <w:p w14:paraId="47E8B3C1">
      <w:pPr>
        <w:pStyle w:val="61"/>
        <w:ind w:firstLine="480"/>
        <w:rPr>
          <w:rFonts w:ascii="宋体" w:hAnsi="宋体" w:cs="宋体"/>
          <w:color w:val="auto"/>
          <w:sz w:val="24"/>
          <w:szCs w:val="20"/>
          <w:highlight w:val="none"/>
        </w:rPr>
      </w:pPr>
    </w:p>
    <w:p w14:paraId="39BB39C3">
      <w:pPr>
        <w:pStyle w:val="61"/>
        <w:ind w:firstLine="480"/>
        <w:rPr>
          <w:rFonts w:ascii="宋体" w:hAnsi="宋体" w:cs="宋体"/>
          <w:color w:val="auto"/>
          <w:sz w:val="24"/>
          <w:szCs w:val="20"/>
          <w:highlight w:val="none"/>
        </w:rPr>
      </w:pPr>
    </w:p>
    <w:p w14:paraId="6AEE5B74">
      <w:pPr>
        <w:pStyle w:val="61"/>
        <w:ind w:firstLine="480"/>
        <w:rPr>
          <w:rFonts w:ascii="宋体" w:hAnsi="宋体" w:cs="宋体"/>
          <w:color w:val="auto"/>
          <w:sz w:val="24"/>
          <w:szCs w:val="20"/>
          <w:highlight w:val="none"/>
        </w:rPr>
      </w:pPr>
    </w:p>
    <w:p w14:paraId="5E197C04">
      <w:pPr>
        <w:pStyle w:val="61"/>
        <w:ind w:firstLine="480"/>
        <w:rPr>
          <w:rFonts w:ascii="宋体" w:hAnsi="宋体" w:cs="宋体"/>
          <w:color w:val="auto"/>
          <w:sz w:val="24"/>
          <w:szCs w:val="20"/>
          <w:highlight w:val="none"/>
        </w:rPr>
      </w:pPr>
    </w:p>
    <w:p w14:paraId="4684DE38">
      <w:pPr>
        <w:pStyle w:val="61"/>
        <w:ind w:firstLine="480"/>
        <w:rPr>
          <w:rFonts w:ascii="宋体" w:hAnsi="宋体" w:cs="宋体"/>
          <w:color w:val="auto"/>
          <w:sz w:val="24"/>
          <w:szCs w:val="20"/>
          <w:highlight w:val="none"/>
        </w:rPr>
      </w:pPr>
    </w:p>
    <w:p w14:paraId="54DCDDB3">
      <w:pPr>
        <w:pStyle w:val="61"/>
        <w:ind w:firstLine="480"/>
        <w:rPr>
          <w:rFonts w:ascii="宋体" w:hAnsi="宋体" w:cs="宋体"/>
          <w:color w:val="auto"/>
          <w:sz w:val="24"/>
          <w:szCs w:val="20"/>
          <w:highlight w:val="none"/>
        </w:rPr>
      </w:pPr>
    </w:p>
    <w:p w14:paraId="25F05E08">
      <w:pPr>
        <w:pStyle w:val="61"/>
        <w:ind w:firstLine="480"/>
        <w:rPr>
          <w:rFonts w:ascii="宋体" w:hAnsi="宋体" w:cs="宋体"/>
          <w:color w:val="auto"/>
          <w:sz w:val="24"/>
          <w:szCs w:val="20"/>
          <w:highlight w:val="none"/>
        </w:rPr>
      </w:pPr>
    </w:p>
    <w:p w14:paraId="6C4169B5">
      <w:pPr>
        <w:pStyle w:val="61"/>
        <w:ind w:firstLine="480"/>
        <w:rPr>
          <w:rFonts w:ascii="宋体" w:hAnsi="宋体" w:cs="宋体"/>
          <w:color w:val="auto"/>
          <w:sz w:val="24"/>
          <w:szCs w:val="20"/>
          <w:highlight w:val="none"/>
        </w:rPr>
      </w:pPr>
    </w:p>
    <w:p w14:paraId="6F3AFBA0">
      <w:pPr>
        <w:pStyle w:val="61"/>
        <w:ind w:firstLine="480"/>
        <w:rPr>
          <w:rFonts w:ascii="宋体" w:hAnsi="宋体" w:cs="宋体"/>
          <w:color w:val="auto"/>
          <w:sz w:val="24"/>
          <w:szCs w:val="20"/>
          <w:highlight w:val="none"/>
        </w:rPr>
      </w:pPr>
    </w:p>
    <w:p w14:paraId="3E216ACE">
      <w:pPr>
        <w:pStyle w:val="61"/>
        <w:ind w:firstLine="480"/>
        <w:rPr>
          <w:rFonts w:ascii="宋体" w:hAnsi="宋体" w:cs="宋体"/>
          <w:color w:val="auto"/>
          <w:sz w:val="24"/>
          <w:szCs w:val="20"/>
          <w:highlight w:val="none"/>
        </w:rPr>
      </w:pPr>
    </w:p>
    <w:p w14:paraId="12BA3F56">
      <w:pPr>
        <w:pStyle w:val="181"/>
        <w:spacing w:line="360" w:lineRule="auto"/>
        <w:jc w:val="center"/>
        <w:rPr>
          <w:rFonts w:ascii="宋体" w:hAnsi="宋体"/>
          <w:b/>
          <w:color w:val="auto"/>
          <w:sz w:val="24"/>
          <w:highlight w:val="none"/>
        </w:rPr>
      </w:pPr>
      <w:r>
        <w:rPr>
          <w:rFonts w:hint="eastAsia" w:ascii="宋体" w:hAnsi="宋体"/>
          <w:b/>
          <w:color w:val="auto"/>
          <w:sz w:val="24"/>
          <w:highlight w:val="none"/>
        </w:rPr>
        <w:t>附件：崇左市政府采购供应商信用承诺函；</w:t>
      </w:r>
    </w:p>
    <w:p w14:paraId="5D9DEA34">
      <w:pPr>
        <w:pStyle w:val="181"/>
        <w:spacing w:line="360" w:lineRule="auto"/>
        <w:jc w:val="center"/>
        <w:rPr>
          <w:rFonts w:ascii="宋体" w:hAnsi="宋体"/>
          <w:b/>
          <w:color w:val="auto"/>
          <w:sz w:val="24"/>
          <w:highlight w:val="none"/>
        </w:rPr>
      </w:pPr>
    </w:p>
    <w:p w14:paraId="43FD9CD2">
      <w:pPr>
        <w:widowControl/>
        <w:spacing w:line="440" w:lineRule="exact"/>
        <w:rPr>
          <w:rFonts w:ascii="宋体" w:hAnsi="宋体" w:cs="宋体"/>
          <w:color w:val="auto"/>
          <w:sz w:val="22"/>
          <w:szCs w:val="22"/>
          <w:highlight w:val="none"/>
          <w:u w:val="single"/>
        </w:rPr>
      </w:pPr>
      <w:r>
        <w:rPr>
          <w:rFonts w:hint="eastAsia" w:ascii="宋体" w:hAnsi="宋体" w:cs="宋体"/>
          <w:color w:val="auto"/>
          <w:kern w:val="0"/>
          <w:sz w:val="22"/>
          <w:szCs w:val="22"/>
          <w:highlight w:val="none"/>
          <w:lang w:bidi="ar"/>
        </w:rPr>
        <w:t>致</w:t>
      </w:r>
      <w:r>
        <w:rPr>
          <w:rFonts w:hint="eastAsia" w:ascii="宋体" w:hAnsi="宋体" w:cs="宋体"/>
          <w:color w:val="auto"/>
          <w:kern w:val="0"/>
          <w:sz w:val="22"/>
          <w:szCs w:val="22"/>
          <w:highlight w:val="none"/>
          <w:u w:val="single"/>
          <w:lang w:bidi="ar"/>
        </w:rPr>
        <w:t>（采购代理机构名称）</w:t>
      </w:r>
      <w:r>
        <w:rPr>
          <w:rFonts w:hint="eastAsia" w:ascii="宋体" w:hAnsi="宋体" w:cs="宋体"/>
          <w:color w:val="auto"/>
          <w:kern w:val="0"/>
          <w:sz w:val="22"/>
          <w:szCs w:val="22"/>
          <w:highlight w:val="none"/>
          <w:lang w:bidi="ar"/>
        </w:rPr>
        <w:t>:</w:t>
      </w:r>
    </w:p>
    <w:p w14:paraId="63855A8D">
      <w:pPr>
        <w:widowControl/>
        <w:spacing w:line="440" w:lineRule="exact"/>
        <w:ind w:firstLine="440" w:firstLineChars="200"/>
        <w:rPr>
          <w:rFonts w:ascii="宋体" w:hAnsi="宋体" w:cs="宋体"/>
          <w:color w:val="auto"/>
          <w:spacing w:val="-6"/>
          <w:sz w:val="22"/>
          <w:szCs w:val="22"/>
          <w:highlight w:val="none"/>
        </w:rPr>
      </w:pPr>
      <w:r>
        <w:rPr>
          <w:rFonts w:hint="eastAsia" w:ascii="宋体" w:hAnsi="宋体" w:cs="宋体"/>
          <w:color w:val="auto"/>
          <w:kern w:val="0"/>
          <w:sz w:val="22"/>
          <w:szCs w:val="22"/>
          <w:highlight w:val="none"/>
          <w:lang w:bidi="ar"/>
        </w:rPr>
        <w:t>我方自愿参加</w:t>
      </w:r>
      <w:r>
        <w:rPr>
          <w:rFonts w:hint="eastAsia" w:ascii="宋体" w:hAnsi="宋体" w:cs="宋体"/>
          <w:color w:val="auto"/>
          <w:kern w:val="0"/>
          <w:sz w:val="22"/>
          <w:szCs w:val="22"/>
          <w:highlight w:val="none"/>
          <w:u w:val="single"/>
          <w:lang w:bidi="ar"/>
        </w:rPr>
        <w:t xml:space="preserve"> （项目名称） 项目（项目编号：         ）</w:t>
      </w:r>
      <w:r>
        <w:rPr>
          <w:rFonts w:hint="eastAsia" w:ascii="宋体" w:hAnsi="宋体" w:cs="宋体"/>
          <w:color w:val="auto"/>
          <w:kern w:val="0"/>
          <w:sz w:val="22"/>
          <w:szCs w:val="22"/>
          <w:highlight w:val="none"/>
          <w:lang w:bidi="ar"/>
        </w:rPr>
        <w:t>的政府采购活动，严格遵守《中华人民共和国政府采购法》及相关法律法规，依法诚信经营，无条件遵守本次政府采购活动的各项规定，并郑重承诺</w:t>
      </w:r>
      <w:r>
        <w:rPr>
          <w:rFonts w:hint="eastAsia" w:ascii="宋体" w:hAnsi="宋体" w:cs="宋体"/>
          <w:color w:val="auto"/>
          <w:spacing w:val="-6"/>
          <w:kern w:val="0"/>
          <w:sz w:val="22"/>
          <w:szCs w:val="22"/>
          <w:highlight w:val="none"/>
          <w:lang w:bidi="ar"/>
        </w:rPr>
        <w:t xml:space="preserve">： </w:t>
      </w:r>
    </w:p>
    <w:p w14:paraId="23D667D9">
      <w:pPr>
        <w:widowControl/>
        <w:spacing w:line="440" w:lineRule="exact"/>
        <w:ind w:firstLine="440" w:firstLineChars="20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w:t>
      </w:r>
    </w:p>
    <w:p w14:paraId="0C51B6B5">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2.我方具有符合采购文件资格要求的财务状况报告。 </w:t>
      </w:r>
    </w:p>
    <w:p w14:paraId="38245EAF">
      <w:pPr>
        <w:widowControl/>
        <w:spacing w:line="440" w:lineRule="exact"/>
        <w:ind w:firstLine="416" w:firstLineChars="200"/>
        <w:rPr>
          <w:rFonts w:ascii="宋体" w:hAnsi="宋体" w:cs="宋体"/>
          <w:color w:val="auto"/>
          <w:spacing w:val="-17"/>
          <w:sz w:val="22"/>
          <w:szCs w:val="22"/>
          <w:highlight w:val="none"/>
        </w:rPr>
      </w:pPr>
      <w:r>
        <w:rPr>
          <w:rFonts w:hint="eastAsia" w:ascii="宋体" w:hAnsi="宋体" w:cs="宋体"/>
          <w:color w:val="auto"/>
          <w:spacing w:val="-6"/>
          <w:kern w:val="0"/>
          <w:sz w:val="22"/>
          <w:szCs w:val="22"/>
          <w:highlight w:val="none"/>
          <w:lang w:bidi="ar"/>
        </w:rPr>
        <w:t>3.我方具有符合采购文件资格要求的依法缴纳税收和社会保障资金的良好记录。</w:t>
      </w:r>
      <w:r>
        <w:rPr>
          <w:rFonts w:hint="eastAsia" w:ascii="宋体" w:hAnsi="宋体" w:cs="宋体"/>
          <w:color w:val="auto"/>
          <w:spacing w:val="-17"/>
          <w:kern w:val="0"/>
          <w:sz w:val="22"/>
          <w:szCs w:val="22"/>
          <w:highlight w:val="none"/>
          <w:lang w:bidi="ar"/>
        </w:rPr>
        <w:t xml:space="preserve"> </w:t>
      </w:r>
    </w:p>
    <w:p w14:paraId="3CBF4CF8">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4.我方具有符合采购文件资格要求履行合同所必需的设备和专业技术能力。 </w:t>
      </w:r>
    </w:p>
    <w:p w14:paraId="1440E950">
      <w:pPr>
        <w:widowControl/>
        <w:spacing w:line="440" w:lineRule="exact"/>
        <w:ind w:firstLine="440" w:firstLineChars="200"/>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5.我方参加政府采购活动前3年内在经营活动中没有重大违法记录。 </w:t>
      </w:r>
    </w:p>
    <w:p w14:paraId="7C46F4E5">
      <w:pPr>
        <w:widowControl/>
        <w:spacing w:line="440" w:lineRule="exact"/>
        <w:ind w:firstLine="440" w:firstLineChars="200"/>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我方对以上承诺内容的真实性负责。如有虚假，将依法承担相应责任。</w:t>
      </w:r>
    </w:p>
    <w:p w14:paraId="5952F734">
      <w:pPr>
        <w:widowControl/>
        <w:spacing w:line="440" w:lineRule="exact"/>
        <w:ind w:firstLine="440" w:firstLineChars="200"/>
        <w:rPr>
          <w:rFonts w:ascii="宋体" w:hAnsi="宋体" w:cs="宋体"/>
          <w:color w:val="auto"/>
          <w:kern w:val="0"/>
          <w:sz w:val="22"/>
          <w:szCs w:val="22"/>
          <w:highlight w:val="none"/>
          <w:lang w:bidi="ar"/>
        </w:rPr>
      </w:pPr>
    </w:p>
    <w:p w14:paraId="1AEEF919">
      <w:pPr>
        <w:widowControl/>
        <w:spacing w:line="440" w:lineRule="exact"/>
        <w:ind w:firstLine="440" w:firstLineChars="200"/>
        <w:rPr>
          <w:rFonts w:ascii="宋体" w:hAnsi="宋体" w:cs="宋体"/>
          <w:color w:val="auto"/>
          <w:kern w:val="0"/>
          <w:sz w:val="22"/>
          <w:szCs w:val="22"/>
          <w:highlight w:val="none"/>
          <w:lang w:bidi="ar"/>
        </w:rPr>
      </w:pPr>
    </w:p>
    <w:p w14:paraId="3E51B97C">
      <w:pPr>
        <w:widowControl/>
        <w:spacing w:line="440" w:lineRule="exact"/>
        <w:ind w:firstLine="3300" w:firstLineChars="1500"/>
        <w:jc w:val="left"/>
        <w:rPr>
          <w:rFonts w:ascii="宋体" w:hAnsi="宋体" w:cs="宋体"/>
          <w:color w:val="auto"/>
          <w:sz w:val="22"/>
          <w:szCs w:val="22"/>
          <w:highlight w:val="none"/>
        </w:rPr>
      </w:pPr>
      <w:r>
        <w:rPr>
          <w:rFonts w:hint="eastAsia" w:ascii="宋体" w:hAnsi="宋体" w:cs="宋体"/>
          <w:color w:val="auto"/>
          <w:kern w:val="0"/>
          <w:sz w:val="22"/>
          <w:szCs w:val="22"/>
          <w:highlight w:val="none"/>
          <w:lang w:bidi="ar"/>
        </w:rPr>
        <w:t xml:space="preserve">供应商名称（盖章）： </w:t>
      </w:r>
    </w:p>
    <w:p w14:paraId="03E5831B">
      <w:pPr>
        <w:tabs>
          <w:tab w:val="left" w:pos="7560"/>
        </w:tabs>
        <w:spacing w:line="440" w:lineRule="exact"/>
        <w:ind w:firstLine="3300" w:firstLineChars="1500"/>
        <w:jc w:val="left"/>
        <w:rPr>
          <w:rFonts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日期：</w:t>
      </w:r>
    </w:p>
    <w:p w14:paraId="79ABE90B">
      <w:pPr>
        <w:pStyle w:val="45"/>
        <w:widowControl/>
        <w:wordWrap w:val="0"/>
        <w:spacing w:line="560" w:lineRule="exact"/>
        <w:rPr>
          <w:rFonts w:ascii="宋体" w:hAnsi="宋体" w:cs="宋体"/>
          <w:color w:val="auto"/>
          <w:sz w:val="22"/>
          <w:szCs w:val="22"/>
          <w:highlight w:val="none"/>
          <w:lang w:bidi="ar"/>
        </w:rPr>
      </w:pPr>
    </w:p>
    <w:p w14:paraId="1377C90C">
      <w:pPr>
        <w:pStyle w:val="45"/>
        <w:widowControl/>
        <w:wordWrap w:val="0"/>
        <w:spacing w:line="400" w:lineRule="exact"/>
        <w:rPr>
          <w:rFonts w:ascii="宋体" w:hAnsi="宋体" w:cs="宋体"/>
          <w:color w:val="auto"/>
          <w:sz w:val="22"/>
          <w:szCs w:val="22"/>
          <w:highlight w:val="none"/>
        </w:rPr>
      </w:pPr>
      <w:r>
        <w:rPr>
          <w:rFonts w:hint="eastAsia" w:ascii="宋体" w:hAnsi="宋体" w:cs="宋体"/>
          <w:color w:val="auto"/>
          <w:sz w:val="22"/>
          <w:szCs w:val="22"/>
          <w:highlight w:val="none"/>
          <w:lang w:bidi="ar"/>
        </w:rPr>
        <w:t>注：1.</w:t>
      </w:r>
      <w:r>
        <w:rPr>
          <w:rFonts w:hint="eastAsia" w:ascii="宋体" w:hAnsi="宋体" w:cs="宋体"/>
          <w:color w:val="auto"/>
          <w:sz w:val="22"/>
          <w:szCs w:val="22"/>
          <w:highlight w:val="none"/>
        </w:rPr>
        <w:t>参与政府采购活动的供应商可按第1点的内容：“</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或我方属于银行、保险、石油石化、电力、电信等有行业特殊情况的法人的分支机构在参加本次政府采购活动前已取得总公司的授权。”进行承诺，也可以根据自身的真实情况选择以下2种方式进行承诺：一是“</w:t>
      </w:r>
      <w:r>
        <w:rPr>
          <w:rFonts w:hint="eastAsia" w:ascii="宋体" w:hAnsi="宋体" w:cs="宋体"/>
          <w:color w:val="auto"/>
          <w:sz w:val="22"/>
          <w:szCs w:val="22"/>
          <w:highlight w:val="none"/>
          <w:lang w:bidi="ar"/>
        </w:rPr>
        <w:t>我方</w:t>
      </w:r>
      <w:r>
        <w:rPr>
          <w:rFonts w:hint="eastAsia" w:ascii="宋体" w:hAnsi="宋体" w:cs="宋体"/>
          <w:color w:val="auto"/>
          <w:spacing w:val="6"/>
          <w:sz w:val="22"/>
          <w:szCs w:val="22"/>
          <w:highlight w:val="none"/>
        </w:rPr>
        <w:t>具有独立承担民事责任的能力”进行承诺；二是“我方属于银行、保险、石油石化、电力、电信等有行业特殊情况的法人的分支机构在参加本次政府采购活动前已取得总公司的授权”进行承诺。参加政府采购活动的供应商只要第1点承诺的内容包含有：具有独立承担民事责任的能力、在参加本次政府采购活动前已取得总公司的授权等内容的即为有效的承诺。2.第1点所指的行业特殊情况使用了“等”字表示列举未尽，即行业特殊情况包含但不限于银行、保险、石油石化、电力、电信。</w:t>
      </w:r>
    </w:p>
    <w:p w14:paraId="4239CB72">
      <w:pPr>
        <w:spacing w:line="360" w:lineRule="auto"/>
        <w:rPr>
          <w:rFonts w:ascii="宋体" w:hAnsi="宋体" w:cs="宋体"/>
          <w:color w:val="auto"/>
          <w:szCs w:val="21"/>
          <w:highlight w:val="none"/>
        </w:rPr>
      </w:pPr>
    </w:p>
    <w:p w14:paraId="1B73A147">
      <w:pPr>
        <w:spacing w:line="360" w:lineRule="auto"/>
        <w:rPr>
          <w:rFonts w:ascii="宋体" w:hAnsi="宋体" w:cs="宋体"/>
          <w:color w:val="auto"/>
          <w:szCs w:val="21"/>
          <w:highlight w:val="none"/>
        </w:rPr>
      </w:pPr>
    </w:p>
    <w:p w14:paraId="2F29AFF0">
      <w:pPr>
        <w:spacing w:line="360" w:lineRule="auto"/>
        <w:rPr>
          <w:rFonts w:ascii="宋体" w:hAnsi="宋体" w:cs="宋体"/>
          <w:color w:val="auto"/>
          <w:szCs w:val="21"/>
          <w:highlight w:val="none"/>
        </w:rPr>
      </w:pPr>
    </w:p>
    <w:p w14:paraId="4FAEB324">
      <w:pPr>
        <w:spacing w:line="360" w:lineRule="auto"/>
        <w:rPr>
          <w:rFonts w:ascii="宋体" w:hAnsi="宋体" w:cs="宋体"/>
          <w:color w:val="auto"/>
          <w:szCs w:val="21"/>
          <w:highlight w:val="none"/>
        </w:rPr>
      </w:pPr>
    </w:p>
    <w:p w14:paraId="5C8CC18E">
      <w:pPr>
        <w:spacing w:line="360" w:lineRule="auto"/>
        <w:rPr>
          <w:rFonts w:ascii="宋体" w:hAnsi="宋体" w:cs="宋体"/>
          <w:color w:val="auto"/>
          <w:szCs w:val="21"/>
          <w:highlight w:val="none"/>
        </w:rPr>
      </w:pPr>
    </w:p>
    <w:p w14:paraId="13BF84C8">
      <w:pPr>
        <w:spacing w:line="360" w:lineRule="auto"/>
        <w:jc w:val="left"/>
        <w:rPr>
          <w:rFonts w:ascii="宋体" w:hAnsi="宋体" w:cs="宋体"/>
          <w:color w:val="auto"/>
          <w:szCs w:val="21"/>
          <w:highlight w:val="none"/>
        </w:rPr>
      </w:pPr>
    </w:p>
    <w:p w14:paraId="560D4BFB">
      <w:pPr>
        <w:wordWrap w:val="0"/>
        <w:spacing w:before="156" w:beforeLines="50" w:after="50" w:line="360" w:lineRule="auto"/>
        <w:ind w:right="482" w:firstLine="210" w:firstLineChars="100"/>
        <w:contextualSpacing/>
        <w:jc w:val="center"/>
        <w:rPr>
          <w:rFonts w:ascii="宋体" w:hAnsi="宋体" w:cs="宋体"/>
          <w:color w:val="auto"/>
          <w:szCs w:val="21"/>
          <w:highlight w:val="none"/>
        </w:rPr>
      </w:pPr>
    </w:p>
    <w:p w14:paraId="04FAAA0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附件：供应商直接控股、管理关系信息表</w:t>
      </w:r>
    </w:p>
    <w:p w14:paraId="5101E0DA">
      <w:pPr>
        <w:snapToGrid w:val="0"/>
        <w:spacing w:before="156" w:beforeLines="50" w:after="50" w:line="360" w:lineRule="auto"/>
        <w:jc w:val="center"/>
        <w:rPr>
          <w:rFonts w:ascii="宋体" w:hAnsi="宋体" w:cs="宋体"/>
          <w:b/>
          <w:color w:val="auto"/>
          <w:sz w:val="24"/>
          <w:highlight w:val="none"/>
        </w:rPr>
      </w:pPr>
    </w:p>
    <w:p w14:paraId="28FCAD5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供应商直接控股股东信息表</w:t>
      </w:r>
    </w:p>
    <w:p w14:paraId="610D49B5">
      <w:pPr>
        <w:snapToGrid w:val="0"/>
        <w:spacing w:before="50" w:after="156" w:afterLines="50" w:line="360" w:lineRule="auto"/>
        <w:jc w:val="center"/>
        <w:rPr>
          <w:rFonts w:ascii="宋体" w:hAnsi="宋体" w:cs="宋体"/>
          <w:b/>
          <w:color w:val="auto"/>
          <w:szCs w:val="21"/>
          <w:highlight w:val="none"/>
        </w:rPr>
      </w:pPr>
    </w:p>
    <w:tbl>
      <w:tblPr>
        <w:tblStyle w:val="50"/>
        <w:tblW w:w="8676" w:type="dxa"/>
        <w:jc w:val="center"/>
        <w:shd w:val="clear" w:color="auto" w:fill="FBFBFB"/>
        <w:tblLayout w:type="fixed"/>
        <w:tblCellMar>
          <w:top w:w="0" w:type="dxa"/>
          <w:left w:w="0" w:type="dxa"/>
          <w:bottom w:w="0" w:type="dxa"/>
          <w:right w:w="0" w:type="dxa"/>
        </w:tblCellMar>
      </w:tblPr>
      <w:tblGrid>
        <w:gridCol w:w="880"/>
        <w:gridCol w:w="2113"/>
        <w:gridCol w:w="1228"/>
        <w:gridCol w:w="3585"/>
        <w:gridCol w:w="870"/>
      </w:tblGrid>
      <w:tr w14:paraId="15BD25F5">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239301B">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2B725A6">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直接控股股东名称</w:t>
            </w: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1098B04">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出资比例</w:t>
            </w: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B98690">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5449EA">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1F419D22">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8C8C56">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0216F77">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5855355">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F5A39AB">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4D39CD9">
            <w:pPr>
              <w:widowControl/>
              <w:spacing w:line="360" w:lineRule="auto"/>
              <w:jc w:val="center"/>
              <w:rPr>
                <w:rFonts w:ascii="宋体" w:hAnsi="宋体" w:cs="宋体"/>
                <w:color w:val="auto"/>
                <w:kern w:val="0"/>
                <w:szCs w:val="21"/>
                <w:highlight w:val="none"/>
              </w:rPr>
            </w:pPr>
          </w:p>
        </w:tc>
      </w:tr>
      <w:tr w14:paraId="064E123F">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3A52D5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420E834">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FDE578F">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80DB87">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0D57C3">
            <w:pPr>
              <w:widowControl/>
              <w:spacing w:line="360" w:lineRule="auto"/>
              <w:jc w:val="center"/>
              <w:rPr>
                <w:rFonts w:ascii="宋体" w:hAnsi="宋体" w:cs="宋体"/>
                <w:color w:val="auto"/>
                <w:kern w:val="0"/>
                <w:szCs w:val="21"/>
                <w:highlight w:val="none"/>
              </w:rPr>
            </w:pPr>
          </w:p>
        </w:tc>
      </w:tr>
      <w:tr w14:paraId="09405AFD">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EA18EC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6C08EB6">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0BA39F4">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F51B8D2">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A7BA719">
            <w:pPr>
              <w:widowControl/>
              <w:spacing w:line="360" w:lineRule="auto"/>
              <w:jc w:val="center"/>
              <w:rPr>
                <w:rFonts w:ascii="宋体" w:hAnsi="宋体" w:cs="宋体"/>
                <w:color w:val="auto"/>
                <w:kern w:val="0"/>
                <w:szCs w:val="21"/>
                <w:highlight w:val="none"/>
              </w:rPr>
            </w:pPr>
          </w:p>
        </w:tc>
      </w:tr>
      <w:tr w14:paraId="3CB8F6F3">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C7E415F">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113"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AD822C4">
            <w:pPr>
              <w:widowControl/>
              <w:spacing w:line="360" w:lineRule="auto"/>
              <w:jc w:val="center"/>
              <w:rPr>
                <w:rFonts w:ascii="宋体" w:hAnsi="宋体" w:cs="宋体"/>
                <w:color w:val="auto"/>
                <w:kern w:val="0"/>
                <w:szCs w:val="21"/>
                <w:highlight w:val="none"/>
              </w:rPr>
            </w:pPr>
          </w:p>
        </w:tc>
        <w:tc>
          <w:tcPr>
            <w:tcW w:w="122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0B48F92">
            <w:pPr>
              <w:widowControl/>
              <w:spacing w:line="360" w:lineRule="auto"/>
              <w:jc w:val="center"/>
              <w:rPr>
                <w:rFonts w:ascii="宋体" w:hAnsi="宋体" w:cs="宋体"/>
                <w:color w:val="auto"/>
                <w:kern w:val="0"/>
                <w:szCs w:val="21"/>
                <w:highlight w:val="none"/>
              </w:rPr>
            </w:pPr>
          </w:p>
        </w:tc>
        <w:tc>
          <w:tcPr>
            <w:tcW w:w="358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84F4D3">
            <w:pPr>
              <w:widowControl/>
              <w:spacing w:line="360" w:lineRule="auto"/>
              <w:jc w:val="center"/>
              <w:rPr>
                <w:rFonts w:ascii="宋体" w:hAnsi="宋体" w:cs="宋体"/>
                <w:color w:val="auto"/>
                <w:kern w:val="0"/>
                <w:szCs w:val="21"/>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0A0456AD">
            <w:pPr>
              <w:widowControl/>
              <w:spacing w:line="360" w:lineRule="auto"/>
              <w:jc w:val="center"/>
              <w:rPr>
                <w:rFonts w:ascii="宋体" w:hAnsi="宋体" w:cs="宋体"/>
                <w:color w:val="auto"/>
                <w:kern w:val="0"/>
                <w:szCs w:val="21"/>
                <w:highlight w:val="none"/>
              </w:rPr>
            </w:pPr>
          </w:p>
        </w:tc>
      </w:tr>
    </w:tbl>
    <w:p w14:paraId="6E8C916A">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64133EF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5672A7B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2.本表所指的控股关系仅限于直接控股关系，不包括间接的控股关系。公司实际控制人与公司之间的关系不属于本表所指的直接控股关系。</w:t>
      </w:r>
    </w:p>
    <w:p w14:paraId="74EE07C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3.供应商不存在直接控股股东的，则填“无”。</w:t>
      </w:r>
    </w:p>
    <w:p w14:paraId="66BA8B81">
      <w:pPr>
        <w:snapToGrid w:val="0"/>
        <w:spacing w:line="360" w:lineRule="auto"/>
        <w:jc w:val="left"/>
        <w:rPr>
          <w:rFonts w:ascii="宋体" w:hAnsi="宋体" w:cs="宋体"/>
          <w:color w:val="auto"/>
          <w:szCs w:val="21"/>
          <w:highlight w:val="none"/>
        </w:rPr>
      </w:pPr>
    </w:p>
    <w:p w14:paraId="633D9E10">
      <w:pPr>
        <w:snapToGrid w:val="0"/>
        <w:spacing w:line="360" w:lineRule="auto"/>
        <w:jc w:val="left"/>
        <w:rPr>
          <w:rFonts w:ascii="宋体" w:hAnsi="宋体" w:cs="宋体"/>
          <w:color w:val="auto"/>
          <w:szCs w:val="21"/>
          <w:highlight w:val="none"/>
        </w:rPr>
      </w:pPr>
    </w:p>
    <w:p w14:paraId="652AD42B">
      <w:pPr>
        <w:snapToGrid w:val="0"/>
        <w:spacing w:line="360" w:lineRule="auto"/>
        <w:jc w:val="left"/>
        <w:rPr>
          <w:rFonts w:ascii="宋体" w:hAnsi="宋体" w:cs="宋体"/>
          <w:color w:val="auto"/>
          <w:szCs w:val="21"/>
          <w:highlight w:val="none"/>
        </w:rPr>
      </w:pPr>
    </w:p>
    <w:p w14:paraId="1ED1F8FE">
      <w:pPr>
        <w:snapToGrid w:val="0"/>
        <w:spacing w:before="156" w:beforeLines="50" w:line="360" w:lineRule="auto"/>
        <w:ind w:right="480" w:firstLine="1680" w:firstLineChars="8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14:paraId="763BDE4E">
      <w:pPr>
        <w:snapToGrid w:val="0"/>
        <w:spacing w:before="156" w:beforeLines="50" w:after="50" w:line="360" w:lineRule="auto"/>
        <w:ind w:right="480" w:firstLine="2625" w:firstLineChars="1250"/>
        <w:rPr>
          <w:rFonts w:ascii="宋体" w:hAnsi="宋体" w:cs="宋体"/>
          <w:color w:val="auto"/>
          <w:szCs w:val="21"/>
          <w:highlight w:val="none"/>
          <w:u w:val="single"/>
        </w:rPr>
      </w:pPr>
      <w:r>
        <w:rPr>
          <w:rFonts w:hint="eastAsia" w:ascii="宋体" w:hAnsi="宋体" w:cs="宋体"/>
          <w:color w:val="auto"/>
          <w:szCs w:val="21"/>
          <w:highlight w:val="none"/>
        </w:rPr>
        <w:t>供应商（盖公章 ）：</w:t>
      </w:r>
      <w:r>
        <w:rPr>
          <w:rFonts w:hint="eastAsia" w:ascii="宋体" w:hAnsi="宋体" w:cs="宋体"/>
          <w:color w:val="auto"/>
          <w:szCs w:val="21"/>
          <w:highlight w:val="none"/>
          <w:u w:val="single"/>
        </w:rPr>
        <w:t xml:space="preserve">                              </w:t>
      </w:r>
    </w:p>
    <w:p w14:paraId="7240443B">
      <w:pPr>
        <w:snapToGrid w:val="0"/>
        <w:spacing w:before="156" w:beforeLines="50" w:after="50" w:line="360" w:lineRule="auto"/>
        <w:ind w:right="480" w:firstLine="4620" w:firstLineChars="2200"/>
        <w:rPr>
          <w:rFonts w:ascii="宋体" w:hAnsi="宋体" w:cs="宋体"/>
          <w:color w:val="auto"/>
          <w:sz w:val="22"/>
          <w:szCs w:val="22"/>
          <w:highlight w:val="none"/>
        </w:rPr>
      </w:pPr>
      <w:r>
        <w:rPr>
          <w:rFonts w:hint="eastAsia" w:ascii="宋体" w:hAnsi="宋体" w:cs="宋体"/>
          <w:color w:val="auto"/>
          <w:szCs w:val="21"/>
          <w:highlight w:val="none"/>
        </w:rPr>
        <w:t>年    月    日</w:t>
      </w:r>
    </w:p>
    <w:p w14:paraId="37D74632">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rPr>
        <w:br w:type="page"/>
      </w:r>
    </w:p>
    <w:p w14:paraId="040B3027">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供应商直接管理关系信息表</w:t>
      </w:r>
    </w:p>
    <w:p w14:paraId="3EE3B615">
      <w:pPr>
        <w:snapToGrid w:val="0"/>
        <w:spacing w:line="360" w:lineRule="auto"/>
        <w:jc w:val="center"/>
        <w:rPr>
          <w:rFonts w:ascii="宋体" w:hAnsi="宋体" w:cs="宋体"/>
          <w:b/>
          <w:color w:val="auto"/>
          <w:szCs w:val="21"/>
          <w:highlight w:val="none"/>
        </w:rPr>
      </w:pPr>
    </w:p>
    <w:tbl>
      <w:tblPr>
        <w:tblStyle w:val="50"/>
        <w:tblW w:w="8385" w:type="dxa"/>
        <w:jc w:val="center"/>
        <w:shd w:val="clear" w:color="auto" w:fill="FBFBFB"/>
        <w:tblLayout w:type="fixed"/>
        <w:tblCellMar>
          <w:top w:w="0" w:type="dxa"/>
          <w:left w:w="0" w:type="dxa"/>
          <w:bottom w:w="0" w:type="dxa"/>
          <w:right w:w="0" w:type="dxa"/>
        </w:tblCellMar>
      </w:tblPr>
      <w:tblGrid>
        <w:gridCol w:w="808"/>
        <w:gridCol w:w="2972"/>
        <w:gridCol w:w="3150"/>
        <w:gridCol w:w="1455"/>
      </w:tblGrid>
      <w:tr w14:paraId="280AF16E">
        <w:tblPrEx>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B9D709E">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525C7A9">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直接管理关系单位名称</w:t>
            </w: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62EDB7">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统一社会信用代码</w:t>
            </w: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74A012F">
            <w:pPr>
              <w:widowControl/>
              <w:spacing w:line="360" w:lineRule="auto"/>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备注</w:t>
            </w:r>
          </w:p>
        </w:tc>
      </w:tr>
      <w:tr w14:paraId="4107EFA0">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70FCA00B">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23B1A55E">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B16D634">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341E537">
            <w:pPr>
              <w:widowControl/>
              <w:spacing w:line="360" w:lineRule="auto"/>
              <w:jc w:val="center"/>
              <w:rPr>
                <w:rFonts w:ascii="宋体" w:hAnsi="宋体" w:cs="宋体"/>
                <w:color w:val="auto"/>
                <w:kern w:val="0"/>
                <w:szCs w:val="21"/>
                <w:highlight w:val="none"/>
              </w:rPr>
            </w:pPr>
          </w:p>
        </w:tc>
      </w:tr>
      <w:tr w14:paraId="6D9AA508">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3742AE98">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82E176C">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9AEBF90">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A27E26F">
            <w:pPr>
              <w:widowControl/>
              <w:spacing w:line="360" w:lineRule="auto"/>
              <w:jc w:val="center"/>
              <w:rPr>
                <w:rFonts w:ascii="宋体" w:hAnsi="宋体" w:cs="宋体"/>
                <w:color w:val="auto"/>
                <w:kern w:val="0"/>
                <w:szCs w:val="21"/>
                <w:highlight w:val="none"/>
              </w:rPr>
            </w:pPr>
          </w:p>
        </w:tc>
      </w:tr>
      <w:tr w14:paraId="43D2A50B">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1378AB3">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7D33145">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5F5A89F">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1F7368F">
            <w:pPr>
              <w:widowControl/>
              <w:spacing w:line="360" w:lineRule="auto"/>
              <w:jc w:val="center"/>
              <w:rPr>
                <w:rFonts w:ascii="宋体" w:hAnsi="宋体" w:cs="宋体"/>
                <w:color w:val="auto"/>
                <w:kern w:val="0"/>
                <w:szCs w:val="21"/>
                <w:highlight w:val="none"/>
              </w:rPr>
            </w:pPr>
          </w:p>
        </w:tc>
      </w:tr>
      <w:tr w14:paraId="0DBFB64D">
        <w:tblPrEx>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1CD4574D">
            <w:pPr>
              <w:widowControl/>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2972"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5E82114C">
            <w:pPr>
              <w:widowControl/>
              <w:spacing w:line="360" w:lineRule="auto"/>
              <w:jc w:val="center"/>
              <w:rPr>
                <w:rFonts w:ascii="宋体" w:hAnsi="宋体" w:cs="宋体"/>
                <w:color w:val="auto"/>
                <w:kern w:val="0"/>
                <w:szCs w:val="21"/>
                <w:highlight w:val="none"/>
              </w:rPr>
            </w:pPr>
          </w:p>
        </w:tc>
        <w:tc>
          <w:tcPr>
            <w:tcW w:w="3150"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6CB026D1">
            <w:pPr>
              <w:widowControl/>
              <w:spacing w:line="360" w:lineRule="auto"/>
              <w:jc w:val="center"/>
              <w:rPr>
                <w:rFonts w:ascii="宋体" w:hAnsi="宋体" w:cs="宋体"/>
                <w:color w:val="auto"/>
                <w:kern w:val="0"/>
                <w:szCs w:val="21"/>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tcMar>
              <w:top w:w="120" w:type="dxa"/>
              <w:left w:w="120" w:type="dxa"/>
              <w:bottom w:w="120" w:type="dxa"/>
              <w:right w:w="120" w:type="dxa"/>
            </w:tcMar>
            <w:vAlign w:val="center"/>
          </w:tcPr>
          <w:p w14:paraId="4ABF992B">
            <w:pPr>
              <w:widowControl/>
              <w:spacing w:line="360" w:lineRule="auto"/>
              <w:jc w:val="center"/>
              <w:rPr>
                <w:rFonts w:ascii="宋体" w:hAnsi="宋体" w:cs="宋体"/>
                <w:color w:val="auto"/>
                <w:kern w:val="0"/>
                <w:szCs w:val="21"/>
                <w:highlight w:val="none"/>
              </w:rPr>
            </w:pPr>
          </w:p>
        </w:tc>
      </w:tr>
    </w:tbl>
    <w:p w14:paraId="58A8771C">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w:t>
      </w:r>
    </w:p>
    <w:p w14:paraId="3140C797">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1.管理关系：是指不具有出资持股关系的其他单位之间存在的管理与被管理关系，如一些上下级关系的事业单位和团体组织。</w:t>
      </w:r>
    </w:p>
    <w:p w14:paraId="06E61440">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pacing w:val="-6"/>
          <w:szCs w:val="21"/>
          <w:highlight w:val="none"/>
        </w:rPr>
        <w:t>本表所指的管理关系仅限于直接管理关系，不包括间接的管理关系。</w:t>
      </w:r>
    </w:p>
    <w:p w14:paraId="5F906531">
      <w:pPr>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3.供应商不存在直接管理关系的，则填“无”。</w:t>
      </w:r>
    </w:p>
    <w:p w14:paraId="6456197E">
      <w:pPr>
        <w:snapToGrid w:val="0"/>
        <w:spacing w:line="360" w:lineRule="auto"/>
        <w:jc w:val="left"/>
        <w:rPr>
          <w:rFonts w:ascii="宋体" w:hAnsi="宋体" w:cs="宋体"/>
          <w:color w:val="auto"/>
          <w:szCs w:val="21"/>
          <w:highlight w:val="none"/>
        </w:rPr>
      </w:pPr>
    </w:p>
    <w:p w14:paraId="718C3C75">
      <w:pPr>
        <w:snapToGrid w:val="0"/>
        <w:spacing w:line="360" w:lineRule="auto"/>
        <w:jc w:val="left"/>
        <w:rPr>
          <w:rFonts w:ascii="宋体" w:hAnsi="宋体" w:cs="宋体"/>
          <w:color w:val="auto"/>
          <w:szCs w:val="21"/>
          <w:highlight w:val="none"/>
        </w:rPr>
      </w:pPr>
    </w:p>
    <w:p w14:paraId="6791908D">
      <w:pPr>
        <w:snapToGrid w:val="0"/>
        <w:spacing w:line="360" w:lineRule="auto"/>
        <w:jc w:val="left"/>
        <w:rPr>
          <w:rFonts w:ascii="宋体" w:hAnsi="宋体" w:cs="宋体"/>
          <w:color w:val="auto"/>
          <w:szCs w:val="21"/>
          <w:highlight w:val="none"/>
        </w:rPr>
      </w:pPr>
    </w:p>
    <w:p w14:paraId="1F2B8D0F">
      <w:pPr>
        <w:snapToGrid w:val="0"/>
        <w:spacing w:line="360" w:lineRule="auto"/>
        <w:jc w:val="left"/>
        <w:rPr>
          <w:rFonts w:ascii="宋体" w:hAnsi="宋体" w:cs="宋体"/>
          <w:color w:val="auto"/>
          <w:szCs w:val="21"/>
          <w:highlight w:val="none"/>
        </w:rPr>
      </w:pPr>
    </w:p>
    <w:p w14:paraId="0E1D140C">
      <w:pPr>
        <w:snapToGrid w:val="0"/>
        <w:spacing w:line="360" w:lineRule="auto"/>
        <w:jc w:val="left"/>
        <w:rPr>
          <w:rFonts w:ascii="宋体" w:hAnsi="宋体" w:cs="宋体"/>
          <w:color w:val="auto"/>
          <w:szCs w:val="21"/>
          <w:highlight w:val="none"/>
        </w:rPr>
      </w:pPr>
    </w:p>
    <w:p w14:paraId="4C1826D4">
      <w:pPr>
        <w:snapToGrid w:val="0"/>
        <w:spacing w:line="360" w:lineRule="auto"/>
        <w:jc w:val="left"/>
        <w:rPr>
          <w:rFonts w:ascii="宋体" w:hAnsi="宋体" w:cs="宋体"/>
          <w:color w:val="auto"/>
          <w:szCs w:val="21"/>
          <w:highlight w:val="none"/>
        </w:rPr>
      </w:pPr>
    </w:p>
    <w:p w14:paraId="7F15EF6D">
      <w:pPr>
        <w:snapToGrid w:val="0"/>
        <w:spacing w:before="156" w:beforeLines="50" w:line="360" w:lineRule="auto"/>
        <w:ind w:right="480" w:firstLine="1890" w:firstLineChars="900"/>
        <w:rPr>
          <w:rFonts w:ascii="宋体" w:hAnsi="宋体" w:cs="宋体"/>
          <w:color w:val="auto"/>
          <w:szCs w:val="21"/>
          <w:highlight w:val="none"/>
          <w:u w:val="single"/>
        </w:rPr>
      </w:pPr>
      <w:r>
        <w:rPr>
          <w:rFonts w:hint="eastAsia" w:ascii="宋体" w:hAnsi="宋体" w:cs="宋体"/>
          <w:color w:val="auto"/>
          <w:szCs w:val="21"/>
          <w:highlight w:val="none"/>
        </w:rPr>
        <w:t>法定代表人或者委托代理人签字：</w:t>
      </w:r>
      <w:r>
        <w:rPr>
          <w:rFonts w:hint="eastAsia" w:ascii="宋体" w:hAnsi="宋体" w:cs="宋体"/>
          <w:color w:val="auto"/>
          <w:szCs w:val="21"/>
          <w:highlight w:val="none"/>
          <w:u w:val="single"/>
        </w:rPr>
        <w:t xml:space="preserve">               </w:t>
      </w:r>
    </w:p>
    <w:p w14:paraId="03CD43BE">
      <w:pPr>
        <w:snapToGrid w:val="0"/>
        <w:spacing w:before="156" w:beforeLines="50" w:after="50" w:line="360" w:lineRule="auto"/>
        <w:ind w:right="480" w:firstLine="2940" w:firstLineChars="1400"/>
        <w:rPr>
          <w:rFonts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14:paraId="65EE55BB">
      <w:pPr>
        <w:snapToGrid w:val="0"/>
        <w:spacing w:before="156" w:beforeLines="50" w:after="50" w:line="360" w:lineRule="auto"/>
        <w:ind w:right="480" w:firstLine="210" w:firstLineChars="100"/>
        <w:jc w:val="center"/>
        <w:rPr>
          <w:rFonts w:ascii="宋体" w:hAnsi="宋体" w:cs="宋体"/>
          <w:color w:val="auto"/>
          <w:sz w:val="22"/>
          <w:szCs w:val="22"/>
          <w:highlight w:val="none"/>
        </w:rPr>
      </w:pPr>
      <w:r>
        <w:rPr>
          <w:rFonts w:hint="eastAsia" w:ascii="宋体" w:hAnsi="宋体" w:cs="宋体"/>
          <w:color w:val="auto"/>
          <w:szCs w:val="21"/>
          <w:highlight w:val="none"/>
        </w:rPr>
        <w:t xml:space="preserve">                                        年    月    日</w:t>
      </w:r>
    </w:p>
    <w:p w14:paraId="3446A713">
      <w:pPr>
        <w:spacing w:line="360" w:lineRule="auto"/>
        <w:jc w:val="center"/>
        <w:rPr>
          <w:rFonts w:ascii="宋体" w:hAnsi="宋体" w:cs="宋体"/>
          <w:b/>
          <w:color w:val="auto"/>
          <w:sz w:val="32"/>
          <w:szCs w:val="32"/>
          <w:highlight w:val="none"/>
        </w:rPr>
      </w:pPr>
      <w:r>
        <w:rPr>
          <w:rFonts w:hint="eastAsia" w:ascii="宋体" w:hAnsi="宋体" w:cs="宋体"/>
          <w:color w:val="auto"/>
          <w:sz w:val="22"/>
          <w:szCs w:val="22"/>
          <w:highlight w:val="none"/>
        </w:rPr>
        <w:br w:type="page"/>
      </w:r>
      <w:r>
        <w:rPr>
          <w:rFonts w:hint="eastAsia" w:ascii="宋体" w:hAnsi="宋体" w:cs="宋体"/>
          <w:b/>
          <w:color w:val="auto"/>
          <w:sz w:val="32"/>
          <w:szCs w:val="32"/>
          <w:highlight w:val="none"/>
        </w:rPr>
        <w:t>竞标声明</w:t>
      </w:r>
    </w:p>
    <w:p w14:paraId="4508691C">
      <w:pPr>
        <w:spacing w:line="360" w:lineRule="auto"/>
        <w:jc w:val="center"/>
        <w:rPr>
          <w:rFonts w:ascii="宋体" w:hAnsi="宋体" w:cs="宋体"/>
          <w:color w:val="auto"/>
          <w:sz w:val="24"/>
          <w:szCs w:val="20"/>
          <w:highlight w:val="none"/>
        </w:rPr>
      </w:pPr>
    </w:p>
    <w:p w14:paraId="7A242B7D">
      <w:pPr>
        <w:spacing w:before="156" w:beforeLines="50" w:after="50" w:line="360" w:lineRule="auto"/>
        <w:contextualSpacing/>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（采购代理机构名称）</w:t>
      </w:r>
      <w:r>
        <w:rPr>
          <w:rFonts w:hint="eastAsia" w:ascii="宋体" w:hAnsi="宋体" w:cs="宋体"/>
          <w:color w:val="auto"/>
          <w:szCs w:val="21"/>
          <w:highlight w:val="none"/>
        </w:rPr>
        <w:t>：</w:t>
      </w:r>
    </w:p>
    <w:p w14:paraId="0652D712">
      <w:pPr>
        <w:spacing w:before="156" w:beforeLines="50" w:after="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系中华人民共和国合法供应商，经营地址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30E0C820">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我方愿意参加贵方组织的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项目的竞标，为便于贵方公正、择优地确定成交供应商及其竞标产品和服务，我方就本次竞标有关事项郑重声明如下：</w:t>
      </w:r>
    </w:p>
    <w:p w14:paraId="54EC8616">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1.我方向贵方提交的所有响应文件、资料都是准确的和真实的。</w:t>
      </w:r>
    </w:p>
    <w:p w14:paraId="12F92EA6">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75C0D5F9">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3.在此，我方宣布同意如下：</w:t>
      </w:r>
    </w:p>
    <w:p w14:paraId="2CB18F9F">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（1）将按磋商文件的约定履行合同责任和义务；</w:t>
      </w:r>
    </w:p>
    <w:p w14:paraId="21E6E444">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（2）已详细审查全部磋商文件，包括澄清或者更正公告（如有）；</w:t>
      </w:r>
    </w:p>
    <w:p w14:paraId="15238C62">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（3）同意提供按照贵方可能要求的与磋商有关的一切数据或者资料；</w:t>
      </w:r>
    </w:p>
    <w:p w14:paraId="44D36CD3">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（4）响应磋商文件规定的竞标有效期。</w:t>
      </w:r>
    </w:p>
    <w:p w14:paraId="5C5DFD60">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4.我方承诺符合《中华人民共和国政府采购法》第二十二条规定：</w:t>
      </w:r>
    </w:p>
    <w:p w14:paraId="19EF7B3C">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（1）具有独立承担民事责任的能力；</w:t>
      </w:r>
    </w:p>
    <w:p w14:paraId="1AA6B93F">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（2）具有良好的商业信誉和健全的财务会计制度；</w:t>
      </w:r>
    </w:p>
    <w:p w14:paraId="63FB060A">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（3）具有履行合同所必需的设备和专业技术能力；</w:t>
      </w:r>
    </w:p>
    <w:p w14:paraId="5E76A5B5">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（4）有依法缴纳税收和社会保障资金的良好记录；</w:t>
      </w:r>
    </w:p>
    <w:p w14:paraId="10206F98">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（5）参加政府采购活动前三年内，在经营活动中没有重大违法记录；</w:t>
      </w:r>
    </w:p>
    <w:p w14:paraId="26A424F1">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（6）法律、行政法规规定的其他条件。</w:t>
      </w:r>
    </w:p>
    <w:p w14:paraId="79F4EFD3">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3A11DE30">
      <w:pPr>
        <w:spacing w:before="156" w:beforeLines="50"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14:paraId="5DB529DB">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内容中</w:t>
      </w:r>
      <w:r>
        <w:rPr>
          <w:rFonts w:hint="eastAsia" w:ascii="宋体" w:hAnsi="宋体" w:cs="宋体"/>
          <w:color w:val="auto"/>
          <w:szCs w:val="21"/>
          <w:highlight w:val="none"/>
        </w:rPr>
        <w:t>未</w:t>
      </w:r>
      <w:r>
        <w:rPr>
          <w:rFonts w:hint="eastAsia" w:ascii="宋体" w:hAnsi="宋体" w:cs="宋体"/>
          <w:color w:val="auto"/>
          <w:kern w:val="0"/>
          <w:szCs w:val="21"/>
          <w:highlight w:val="none"/>
        </w:rPr>
        <w:t>涉及商业秘密；</w:t>
      </w:r>
    </w:p>
    <w:p w14:paraId="756AB1F8">
      <w:pPr>
        <w:spacing w:line="360" w:lineRule="auto"/>
        <w:ind w:firstLine="420" w:firstLineChars="200"/>
        <w:contextualSpacing/>
        <w:rPr>
          <w:rFonts w:ascii="宋体" w:hAnsi="宋体" w:cs="宋体"/>
          <w:color w:val="auto"/>
          <w:szCs w:val="21"/>
          <w:highlight w:val="none"/>
        </w:rPr>
      </w:pPr>
      <w:r>
        <w:rPr>
          <w:rFonts w:hint="eastAsia" w:ascii="宋体" w:hAnsi="宋体" w:cs="宋体"/>
          <w:color w:val="auto"/>
          <w:szCs w:val="21"/>
          <w:highlight w:val="none"/>
        </w:rPr>
        <w:t>□我方本次响应文件</w:t>
      </w:r>
      <w:r>
        <w:rPr>
          <w:rFonts w:hint="eastAsia" w:ascii="宋体" w:hAnsi="宋体" w:cs="宋体"/>
          <w:color w:val="auto"/>
          <w:kern w:val="0"/>
          <w:szCs w:val="21"/>
          <w:highlight w:val="none"/>
        </w:rPr>
        <w:t>涉及商业秘密的内容有：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78805151">
      <w:pPr>
        <w:pStyle w:val="22"/>
        <w:spacing w:line="360" w:lineRule="auto"/>
        <w:ind w:firstLine="420" w:firstLineChars="200"/>
        <w:contextualSpacing/>
        <w:rPr>
          <w:rFonts w:hAnsi="宋体" w:cs="宋体"/>
          <w:color w:val="auto"/>
          <w:sz w:val="21"/>
          <w:highlight w:val="none"/>
          <w:u w:val="single"/>
        </w:rPr>
      </w:pPr>
      <w:r>
        <w:rPr>
          <w:rFonts w:hint="eastAsia" w:hAnsi="宋体" w:cs="宋体"/>
          <w:color w:val="auto"/>
          <w:sz w:val="21"/>
          <w:highlight w:val="none"/>
        </w:rPr>
        <w:t>7.与本磋商有关的一切正式往来信函请寄：</w:t>
      </w:r>
      <w:r>
        <w:rPr>
          <w:rFonts w:hint="eastAsia" w:hAnsi="宋体" w:cs="宋体"/>
          <w:color w:val="auto"/>
          <w:sz w:val="21"/>
          <w:highlight w:val="none"/>
          <w:u w:val="single"/>
        </w:rPr>
        <w:t xml:space="preserve">                  </w:t>
      </w:r>
      <w:r>
        <w:rPr>
          <w:rFonts w:hint="eastAsia" w:hAnsi="宋体" w:cs="宋体"/>
          <w:color w:val="auto"/>
          <w:sz w:val="21"/>
          <w:highlight w:val="none"/>
        </w:rPr>
        <w:t>邮政编号：</w:t>
      </w:r>
      <w:r>
        <w:rPr>
          <w:rFonts w:hint="eastAsia" w:hAnsi="宋体" w:cs="宋体"/>
          <w:color w:val="auto"/>
          <w:sz w:val="21"/>
          <w:highlight w:val="none"/>
          <w:u w:val="single"/>
        </w:rPr>
        <w:t xml:space="preserve">        </w:t>
      </w:r>
    </w:p>
    <w:p w14:paraId="6BC5DD28">
      <w:pPr>
        <w:pStyle w:val="22"/>
        <w:spacing w:line="360" w:lineRule="auto"/>
        <w:ind w:firstLine="420" w:firstLineChars="200"/>
        <w:contextualSpacing/>
        <w:rPr>
          <w:rFonts w:hAnsi="宋体" w:cs="宋体"/>
          <w:color w:val="auto"/>
          <w:sz w:val="21"/>
          <w:highlight w:val="none"/>
        </w:rPr>
      </w:pPr>
      <w:r>
        <w:rPr>
          <w:rFonts w:hint="eastAsia" w:hAnsi="宋体" w:cs="宋体"/>
          <w:color w:val="auto"/>
          <w:sz w:val="21"/>
          <w:highlight w:val="none"/>
        </w:rPr>
        <w:t>电话/传真：</w:t>
      </w:r>
      <w:r>
        <w:rPr>
          <w:rFonts w:hint="eastAsia" w:hAnsi="宋体" w:cs="宋体"/>
          <w:color w:val="auto"/>
          <w:sz w:val="21"/>
          <w:highlight w:val="none"/>
          <w:u w:val="single"/>
        </w:rPr>
        <w:t xml:space="preserve">                        </w:t>
      </w:r>
      <w:r>
        <w:rPr>
          <w:rFonts w:hint="eastAsia" w:hAnsi="宋体" w:cs="宋体"/>
          <w:color w:val="auto"/>
          <w:sz w:val="21"/>
          <w:highlight w:val="none"/>
        </w:rPr>
        <w:t xml:space="preserve"> 电子函件：</w:t>
      </w:r>
      <w:r>
        <w:rPr>
          <w:rFonts w:hint="eastAsia" w:hAnsi="宋体" w:cs="宋体"/>
          <w:color w:val="auto"/>
          <w:sz w:val="21"/>
          <w:highlight w:val="none"/>
          <w:u w:val="single"/>
        </w:rPr>
        <w:t xml:space="preserve">                            </w:t>
      </w:r>
      <w:r>
        <w:rPr>
          <w:rFonts w:hint="eastAsia" w:hAnsi="宋体" w:cs="宋体"/>
          <w:color w:val="auto"/>
          <w:sz w:val="21"/>
          <w:highlight w:val="none"/>
        </w:rPr>
        <w:t xml:space="preserve">    </w:t>
      </w:r>
    </w:p>
    <w:p w14:paraId="1EC4C15B">
      <w:pPr>
        <w:pStyle w:val="23"/>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帐号：</w:t>
      </w:r>
      <w:r>
        <w:rPr>
          <w:rFonts w:hint="eastAsia" w:ascii="宋体" w:hAnsi="宋体" w:cs="宋体"/>
          <w:color w:val="auto"/>
          <w:szCs w:val="21"/>
          <w:highlight w:val="none"/>
          <w:u w:val="single"/>
        </w:rPr>
        <w:t xml:space="preserve">                               </w:t>
      </w:r>
    </w:p>
    <w:p w14:paraId="61EEE3ED">
      <w:pPr>
        <w:pStyle w:val="23"/>
        <w:tabs>
          <w:tab w:val="left" w:pos="939"/>
        </w:tabs>
        <w:spacing w:line="360" w:lineRule="auto"/>
        <w:ind w:left="0" w:leftChars="0" w:firstLine="420" w:firstLineChars="200"/>
        <w:rPr>
          <w:rFonts w:ascii="宋体" w:hAnsi="宋体" w:cs="宋体"/>
          <w:color w:val="auto"/>
          <w:szCs w:val="21"/>
          <w:highlight w:val="none"/>
        </w:rPr>
      </w:pPr>
      <w:r>
        <w:rPr>
          <w:rFonts w:hint="eastAsia" w:ascii="宋体" w:hAnsi="宋体" w:cs="宋体"/>
          <w:color w:val="auto"/>
          <w:szCs w:val="21"/>
          <w:highlight w:val="none"/>
        </w:rPr>
        <w:t>8.以上事项如有虚假或者隐瞒，我方愿意承担一切后果，并不再寻求任何旨在减轻或者免除法律责任的辩解。</w:t>
      </w:r>
    </w:p>
    <w:p w14:paraId="79203BCE">
      <w:pPr>
        <w:pStyle w:val="23"/>
        <w:tabs>
          <w:tab w:val="left" w:pos="939"/>
        </w:tabs>
        <w:spacing w:line="360" w:lineRule="auto"/>
        <w:ind w:left="141" w:leftChars="67" w:firstLine="315" w:firstLineChars="150"/>
        <w:rPr>
          <w:rFonts w:ascii="宋体" w:hAnsi="宋体" w:cs="宋体"/>
          <w:color w:val="auto"/>
          <w:szCs w:val="21"/>
          <w:highlight w:val="none"/>
        </w:rPr>
      </w:pPr>
      <w:r>
        <w:rPr>
          <w:rFonts w:hint="eastAsia" w:ascii="宋体" w:hAnsi="宋体" w:cs="宋体"/>
          <w:color w:val="auto"/>
          <w:szCs w:val="21"/>
          <w:highlight w:val="none"/>
        </w:rPr>
        <w:t>特此承诺。</w:t>
      </w:r>
    </w:p>
    <w:p w14:paraId="31D9792C">
      <w:pPr>
        <w:spacing w:line="360" w:lineRule="auto"/>
        <w:ind w:firstLine="3780" w:firstLineChars="1800"/>
        <w:rPr>
          <w:rFonts w:ascii="宋体" w:hAnsi="宋体" w:cs="宋体"/>
          <w:color w:val="auto"/>
          <w:szCs w:val="21"/>
          <w:highlight w:val="non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E590B05">
      <w:pPr>
        <w:spacing w:line="360" w:lineRule="auto"/>
        <w:ind w:firstLine="3780" w:firstLineChars="1800"/>
        <w:rPr>
          <w:rFonts w:ascii="宋体" w:hAnsi="宋体" w:cs="宋体"/>
          <w:color w:val="auto"/>
          <w:szCs w:val="21"/>
          <w:highlight w:val="none"/>
          <w:u w:val="singl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A20B955">
      <w:pPr>
        <w:snapToGrid w:val="0"/>
        <w:spacing w:before="156" w:beforeLines="50" w:after="50" w:line="360" w:lineRule="auto"/>
        <w:ind w:right="480" w:firstLine="210" w:firstLineChars="1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03B8E221">
      <w:pPr>
        <w:pStyle w:val="7"/>
        <w:overflowPunct w:val="0"/>
        <w:spacing w:line="360" w:lineRule="auto"/>
        <w:ind w:firstLine="0"/>
        <w:jc w:val="center"/>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二</w:t>
      </w:r>
      <w:r>
        <w:rPr>
          <w:rFonts w:hint="eastAsia" w:ascii="宋体" w:hAnsi="宋体" w:cs="宋体"/>
          <w:b/>
          <w:color w:val="auto"/>
          <w:sz w:val="32"/>
          <w:szCs w:val="32"/>
          <w:highlight w:val="none"/>
        </w:rPr>
        <w:t xml:space="preserve">、商务报价文件/技术文件格式 </w:t>
      </w:r>
    </w:p>
    <w:p w14:paraId="0C79D765">
      <w:pPr>
        <w:snapToGrid w:val="0"/>
        <w:spacing w:before="156" w:beforeLines="50" w:after="50" w:line="36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t>1.商务报价文件/技术文件封面格式</w:t>
      </w:r>
    </w:p>
    <w:p w14:paraId="47CA1D4F">
      <w:pPr>
        <w:snapToGrid w:val="0"/>
        <w:spacing w:before="156" w:beforeLines="50" w:after="50" w:line="360" w:lineRule="auto"/>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正本/副本</w:t>
      </w:r>
    </w:p>
    <w:p w14:paraId="6D7797B5">
      <w:pPr>
        <w:snapToGrid w:val="0"/>
        <w:spacing w:before="156" w:beforeLines="50" w:after="50" w:line="360" w:lineRule="auto"/>
        <w:rPr>
          <w:rFonts w:ascii="宋体" w:hAnsi="宋体" w:cs="宋体"/>
          <w:color w:val="auto"/>
          <w:sz w:val="24"/>
          <w:szCs w:val="20"/>
          <w:highlight w:val="none"/>
        </w:rPr>
      </w:pPr>
    </w:p>
    <w:p w14:paraId="0B9F545D">
      <w:pPr>
        <w:snapToGrid w:val="0"/>
        <w:spacing w:before="156" w:beforeLines="50" w:after="50" w:line="360" w:lineRule="auto"/>
        <w:rPr>
          <w:rFonts w:ascii="宋体" w:hAnsi="宋体" w:cs="宋体"/>
          <w:color w:val="auto"/>
          <w:sz w:val="24"/>
          <w:szCs w:val="20"/>
          <w:highlight w:val="none"/>
        </w:rPr>
      </w:pPr>
    </w:p>
    <w:p w14:paraId="15112373">
      <w:pPr>
        <w:snapToGrid w:val="0"/>
        <w:spacing w:before="156" w:beforeLines="50" w:after="50" w:line="360" w:lineRule="auto"/>
        <w:rPr>
          <w:rFonts w:ascii="宋体" w:hAnsi="宋体" w:cs="宋体"/>
          <w:color w:val="auto"/>
          <w:sz w:val="24"/>
          <w:szCs w:val="20"/>
          <w:highlight w:val="none"/>
        </w:rPr>
      </w:pPr>
    </w:p>
    <w:p w14:paraId="0EE4B64E">
      <w:pPr>
        <w:snapToGrid w:val="0"/>
        <w:spacing w:before="156" w:beforeLines="50" w:after="50" w:line="360" w:lineRule="auto"/>
        <w:jc w:val="center"/>
        <w:rPr>
          <w:rFonts w:ascii="宋体" w:hAnsi="宋体" w:cs="宋体"/>
          <w:bCs/>
          <w:color w:val="auto"/>
          <w:sz w:val="40"/>
          <w:szCs w:val="40"/>
          <w:highlight w:val="none"/>
        </w:rPr>
      </w:pPr>
      <w:r>
        <w:rPr>
          <w:rFonts w:hint="eastAsia" w:ascii="宋体" w:hAnsi="宋体" w:cs="宋体"/>
          <w:bCs/>
          <w:color w:val="auto"/>
          <w:sz w:val="40"/>
          <w:szCs w:val="40"/>
          <w:highlight w:val="none"/>
        </w:rPr>
        <w:t>报  价  商  务  技  术  文  件</w:t>
      </w:r>
    </w:p>
    <w:p w14:paraId="3763CE26">
      <w:pPr>
        <w:snapToGrid w:val="0"/>
        <w:spacing w:before="156" w:beforeLines="50" w:after="50" w:line="360" w:lineRule="auto"/>
        <w:rPr>
          <w:rFonts w:ascii="宋体" w:hAnsi="宋体" w:cs="宋体"/>
          <w:bCs/>
          <w:color w:val="auto"/>
          <w:sz w:val="22"/>
          <w:szCs w:val="18"/>
          <w:highlight w:val="none"/>
        </w:rPr>
      </w:pPr>
    </w:p>
    <w:p w14:paraId="34454E28">
      <w:pPr>
        <w:snapToGrid w:val="0"/>
        <w:spacing w:before="156" w:beforeLines="50" w:after="50" w:line="360" w:lineRule="auto"/>
        <w:rPr>
          <w:rFonts w:ascii="宋体" w:hAnsi="宋体" w:cs="宋体"/>
          <w:bCs/>
          <w:color w:val="auto"/>
          <w:sz w:val="22"/>
          <w:szCs w:val="18"/>
          <w:highlight w:val="none"/>
        </w:rPr>
      </w:pPr>
    </w:p>
    <w:p w14:paraId="35A3AE71">
      <w:pPr>
        <w:snapToGrid w:val="0"/>
        <w:spacing w:before="156" w:beforeLines="50" w:after="50" w:line="360" w:lineRule="auto"/>
        <w:rPr>
          <w:rFonts w:ascii="宋体" w:hAnsi="宋体" w:cs="宋体"/>
          <w:bCs/>
          <w:color w:val="auto"/>
          <w:sz w:val="22"/>
          <w:szCs w:val="18"/>
          <w:highlight w:val="none"/>
        </w:rPr>
      </w:pPr>
    </w:p>
    <w:p w14:paraId="67200BC0">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项目名称：</w:t>
      </w:r>
    </w:p>
    <w:p w14:paraId="24EEF7CA">
      <w:pPr>
        <w:snapToGrid w:val="0"/>
        <w:spacing w:before="156" w:beforeLines="50" w:after="50" w:line="360" w:lineRule="auto"/>
        <w:ind w:firstLine="630" w:firstLineChars="225"/>
        <w:rPr>
          <w:rFonts w:ascii="宋体" w:hAnsi="宋体" w:cs="宋体"/>
          <w:bCs/>
          <w:color w:val="auto"/>
          <w:sz w:val="28"/>
          <w:szCs w:val="28"/>
          <w:highlight w:val="none"/>
        </w:rPr>
      </w:pPr>
    </w:p>
    <w:p w14:paraId="1E74F2A3">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项目编号：</w:t>
      </w:r>
    </w:p>
    <w:p w14:paraId="265E192A">
      <w:pPr>
        <w:snapToGrid w:val="0"/>
        <w:spacing w:before="156" w:beforeLines="50" w:after="50" w:line="360" w:lineRule="auto"/>
        <w:ind w:firstLine="630" w:firstLineChars="225"/>
        <w:rPr>
          <w:rFonts w:ascii="宋体" w:hAnsi="宋体" w:cs="宋体"/>
          <w:bCs/>
          <w:color w:val="auto"/>
          <w:sz w:val="28"/>
          <w:szCs w:val="28"/>
          <w:highlight w:val="none"/>
        </w:rPr>
      </w:pPr>
      <w:r>
        <w:rPr>
          <w:rFonts w:hint="eastAsia" w:ascii="宋体" w:hAnsi="宋体" w:cs="宋体"/>
          <w:bCs/>
          <w:color w:val="auto"/>
          <w:sz w:val="28"/>
          <w:szCs w:val="28"/>
          <w:highlight w:val="none"/>
        </w:rPr>
        <w:t xml:space="preserve"> </w:t>
      </w:r>
    </w:p>
    <w:p w14:paraId="61C3418D">
      <w:pPr>
        <w:snapToGrid w:val="0"/>
        <w:spacing w:before="156" w:beforeLines="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所竞分标（如有则填写，无分标时填写“无”或者留空）：</w:t>
      </w:r>
    </w:p>
    <w:p w14:paraId="689FDAC9">
      <w:pPr>
        <w:snapToGrid w:val="0"/>
        <w:spacing w:before="156" w:beforeLines="50" w:after="50" w:line="360" w:lineRule="auto"/>
        <w:ind w:firstLine="630" w:firstLineChars="225"/>
        <w:rPr>
          <w:rFonts w:ascii="宋体" w:hAnsi="宋体" w:cs="宋体"/>
          <w:bCs/>
          <w:color w:val="auto"/>
          <w:sz w:val="28"/>
          <w:szCs w:val="28"/>
          <w:highlight w:val="none"/>
        </w:rPr>
      </w:pPr>
    </w:p>
    <w:p w14:paraId="4A8F4876">
      <w:pPr>
        <w:pStyle w:val="7"/>
        <w:snapToGrid w:val="0"/>
        <w:spacing w:before="50" w:after="50" w:line="360" w:lineRule="auto"/>
        <w:ind w:firstLine="560" w:firstLineChars="200"/>
        <w:rPr>
          <w:rFonts w:ascii="宋体" w:hAnsi="宋体" w:cs="宋体"/>
          <w:bCs/>
          <w:color w:val="auto"/>
          <w:sz w:val="28"/>
          <w:szCs w:val="28"/>
          <w:highlight w:val="none"/>
        </w:rPr>
      </w:pPr>
      <w:r>
        <w:rPr>
          <w:rFonts w:hint="eastAsia" w:ascii="宋体" w:hAnsi="宋体" w:cs="宋体"/>
          <w:bCs/>
          <w:color w:val="auto"/>
          <w:sz w:val="28"/>
          <w:szCs w:val="28"/>
          <w:highlight w:val="none"/>
        </w:rPr>
        <w:t>供应商名称：</w:t>
      </w:r>
    </w:p>
    <w:p w14:paraId="61F2A721">
      <w:pPr>
        <w:snapToGrid w:val="0"/>
        <w:spacing w:before="156" w:beforeLines="50" w:after="50"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年    月    日</w:t>
      </w:r>
    </w:p>
    <w:p w14:paraId="03B878D0">
      <w:pPr>
        <w:snapToGrid w:val="0"/>
        <w:spacing w:before="156" w:beforeLines="50" w:after="50" w:line="360" w:lineRule="auto"/>
        <w:ind w:left="142"/>
        <w:jc w:val="left"/>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32"/>
          <w:szCs w:val="32"/>
          <w:highlight w:val="none"/>
        </w:rPr>
        <w:t>2.目录</w:t>
      </w:r>
    </w:p>
    <w:p w14:paraId="57B20108">
      <w:pPr>
        <w:snapToGrid w:val="0"/>
        <w:spacing w:before="156" w:beforeLines="50" w:after="50"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根据磋商文件规定及供应商提供的材料自行编写目录（部分格式后附）。</w:t>
      </w:r>
    </w:p>
    <w:p w14:paraId="1EC45F20">
      <w:pPr>
        <w:spacing w:line="360" w:lineRule="auto"/>
        <w:rPr>
          <w:rFonts w:ascii="宋体" w:hAnsi="宋体" w:cs="宋体"/>
          <w:color w:val="auto"/>
          <w:sz w:val="32"/>
          <w:szCs w:val="32"/>
          <w:highlight w:val="none"/>
        </w:rPr>
      </w:pPr>
    </w:p>
    <w:p w14:paraId="24E3348B">
      <w:pPr>
        <w:spacing w:line="360" w:lineRule="auto"/>
        <w:jc w:val="center"/>
        <w:rPr>
          <w:rFonts w:ascii="宋体" w:hAnsi="宋体" w:cs="宋体"/>
          <w:b/>
          <w:bCs/>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无串通竞标行为的承诺函</w:t>
      </w:r>
    </w:p>
    <w:p w14:paraId="0783AB2A">
      <w:pPr>
        <w:spacing w:line="360" w:lineRule="auto"/>
        <w:ind w:firstLine="640" w:firstLineChars="200"/>
        <w:rPr>
          <w:rFonts w:ascii="宋体" w:hAnsi="宋体" w:cs="宋体"/>
          <w:color w:val="auto"/>
          <w:sz w:val="32"/>
          <w:szCs w:val="32"/>
          <w:highlight w:val="none"/>
        </w:rPr>
      </w:pPr>
    </w:p>
    <w:p w14:paraId="1CD63612">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一、我方承诺无下列相互串通竞标的情形：</w:t>
      </w:r>
    </w:p>
    <w:p w14:paraId="416C53E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1.不同供应商的响应文件由同一单位或者个人编制；或者不同供应商报名的IP地址一致的；</w:t>
      </w:r>
    </w:p>
    <w:p w14:paraId="6D69382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2.不同供应商委托同一单位或者个人办理竞标事宜；</w:t>
      </w:r>
    </w:p>
    <w:p w14:paraId="2F3B4379">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3.不同供应商的响应文件载明的项目管理员为同一个人；</w:t>
      </w:r>
    </w:p>
    <w:p w14:paraId="349151B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4.不</w:t>
      </w:r>
      <w:r>
        <w:rPr>
          <w:rFonts w:hint="eastAsia" w:ascii="宋体" w:hAnsi="宋体" w:cs="宋体"/>
          <w:color w:val="auto"/>
          <w:spacing w:val="-6"/>
          <w:szCs w:val="21"/>
          <w:highlight w:val="none"/>
        </w:rPr>
        <w:t>同供应商的响应文件异常一致或者竞标报价呈规律性差异；</w:t>
      </w:r>
    </w:p>
    <w:p w14:paraId="4884537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5.不同供应商的响应文件相互混装；</w:t>
      </w:r>
    </w:p>
    <w:p w14:paraId="2AF42F5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6.不同供应商的磋商保证金从同一单位或者个人账户转出。</w:t>
      </w:r>
    </w:p>
    <w:p w14:paraId="2E378880">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二、我方承诺无下列恶意串通的情形：</w:t>
      </w:r>
    </w:p>
    <w:p w14:paraId="53A16A4B">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1.供应商直接或者间接从采购人或者采购代理机构处获得其他供应商的相关信息并修改其响应文件；</w:t>
      </w:r>
    </w:p>
    <w:p w14:paraId="3AF7175E">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2.供应商按照采购人或者采购代理机构的授意撤换、修改响应文件；</w:t>
      </w:r>
    </w:p>
    <w:p w14:paraId="18C538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3.供</w:t>
      </w:r>
      <w:r>
        <w:rPr>
          <w:rFonts w:hint="eastAsia" w:ascii="宋体" w:hAnsi="宋体" w:cs="宋体"/>
          <w:color w:val="auto"/>
          <w:spacing w:val="-6"/>
          <w:szCs w:val="21"/>
          <w:highlight w:val="none"/>
        </w:rPr>
        <w:t>应商之间协商报价、技术方案等响应文件的实质性内容；</w:t>
      </w:r>
    </w:p>
    <w:p w14:paraId="5F77AED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4.属于同一集团、协会、商会等组织成员的供应商按照该组织要求协同参加政府采购活动；</w:t>
      </w:r>
    </w:p>
    <w:p w14:paraId="2B36A70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5.供应商之间事先约定一致抬高或者压低竞标报价，或者在竞争性磋商项目中事先约定轮流以高价位或者低价位成交，或者事先约定由某一特定供应商成交，然后再参加竞标；</w:t>
      </w:r>
    </w:p>
    <w:p w14:paraId="7DB506A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6.供应商之间商定部分供应商放弃参加政府采购活动或者放弃成交；</w:t>
      </w:r>
    </w:p>
    <w:p w14:paraId="0ADE2E91">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7.供应商与采购人或者采购代理机构之间、供应商相互之间，为</w:t>
      </w:r>
      <w:r>
        <w:rPr>
          <w:rFonts w:hint="eastAsia" w:ascii="宋体" w:hAnsi="宋体" w:cs="宋体"/>
          <w:color w:val="auto"/>
          <w:spacing w:val="-6"/>
          <w:szCs w:val="21"/>
          <w:highlight w:val="none"/>
        </w:rPr>
        <w:t>谋求特定供应商成交或者排斥其他供应商的其他串通行为。</w:t>
      </w:r>
    </w:p>
    <w:p w14:paraId="4CC884FD">
      <w:pPr>
        <w:spacing w:line="360" w:lineRule="auto"/>
        <w:ind w:firstLine="420" w:firstLineChars="200"/>
        <w:rPr>
          <w:rFonts w:ascii="宋体" w:hAnsi="宋体" w:cs="宋体"/>
          <w:color w:val="auto"/>
          <w:szCs w:val="21"/>
          <w:highlight w:val="none"/>
        </w:rPr>
      </w:pPr>
    </w:p>
    <w:p w14:paraId="70B70671">
      <w:pPr>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以上情形一经核查属实，我方愿意承担一切后果，并不再寻求任何旨在减轻或者免除法律责任的辩解。</w:t>
      </w:r>
    </w:p>
    <w:p w14:paraId="087DCF87">
      <w:pPr>
        <w:spacing w:line="360" w:lineRule="auto"/>
        <w:rPr>
          <w:rFonts w:ascii="宋体" w:hAnsi="宋体" w:cs="宋体"/>
          <w:color w:val="auto"/>
          <w:szCs w:val="21"/>
          <w:highlight w:val="none"/>
        </w:rPr>
      </w:pPr>
    </w:p>
    <w:p w14:paraId="0A8A3D9C">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供应商（盖公章）：</w:t>
      </w:r>
    </w:p>
    <w:p w14:paraId="4CEDA706">
      <w:pPr>
        <w:spacing w:line="360" w:lineRule="auto"/>
        <w:ind w:firstLine="420" w:firstLineChars="200"/>
        <w:jc w:val="center"/>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7C69A578">
      <w:pPr>
        <w:spacing w:line="360" w:lineRule="auto"/>
        <w:jc w:val="center"/>
        <w:rPr>
          <w:rFonts w:ascii="宋体" w:hAnsi="宋体" w:cs="宋体"/>
          <w:bCs/>
          <w:color w:val="auto"/>
          <w:sz w:val="32"/>
          <w:szCs w:val="32"/>
          <w:highlight w:val="none"/>
        </w:rPr>
      </w:pPr>
      <w:r>
        <w:rPr>
          <w:rFonts w:hint="eastAsia" w:ascii="宋体" w:hAnsi="宋体" w:cs="宋体"/>
          <w:bCs/>
          <w:color w:val="auto"/>
          <w:szCs w:val="21"/>
          <w:highlight w:val="none"/>
        </w:rPr>
        <w:br w:type="page"/>
      </w:r>
      <w:r>
        <w:rPr>
          <w:rFonts w:hint="eastAsia" w:ascii="宋体" w:hAnsi="宋体" w:cs="宋体"/>
          <w:b/>
          <w:color w:val="auto"/>
          <w:sz w:val="32"/>
          <w:szCs w:val="32"/>
          <w:highlight w:val="none"/>
        </w:rPr>
        <w:t>竞  标  报  价  表</w:t>
      </w:r>
    </w:p>
    <w:p w14:paraId="3E51B5A7">
      <w:pPr>
        <w:spacing w:line="360" w:lineRule="auto"/>
        <w:jc w:val="center"/>
        <w:rPr>
          <w:rFonts w:ascii="宋体" w:hAnsi="宋体" w:cs="宋体"/>
          <w:bCs/>
          <w:color w:val="auto"/>
          <w:sz w:val="32"/>
          <w:szCs w:val="32"/>
          <w:highlight w:val="none"/>
        </w:rPr>
      </w:pPr>
    </w:p>
    <w:p w14:paraId="5BFA3D1D">
      <w:pPr>
        <w:snapToGrid w:val="0"/>
        <w:spacing w:before="50" w:after="50"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分标（如有）：</w:t>
      </w:r>
      <w:r>
        <w:rPr>
          <w:rFonts w:hint="eastAsia" w:ascii="宋体" w:hAnsi="宋体" w:cs="宋体"/>
          <w:color w:val="auto"/>
          <w:szCs w:val="21"/>
          <w:highlight w:val="none"/>
          <w:u w:val="single"/>
        </w:rPr>
        <w:t xml:space="preserve">                                         </w:t>
      </w:r>
    </w:p>
    <w:p w14:paraId="3AF31F96">
      <w:pPr>
        <w:snapToGrid w:val="0"/>
        <w:spacing w:before="50" w:after="50" w:line="360" w:lineRule="auto"/>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单位：元</w:t>
      </w:r>
    </w:p>
    <w:tbl>
      <w:tblPr>
        <w:tblStyle w:val="50"/>
        <w:tblW w:w="9456" w:type="dxa"/>
        <w:jc w:val="right"/>
        <w:tblLayout w:type="fixed"/>
        <w:tblCellMar>
          <w:top w:w="0" w:type="dxa"/>
          <w:left w:w="108" w:type="dxa"/>
          <w:bottom w:w="0" w:type="dxa"/>
          <w:right w:w="108" w:type="dxa"/>
        </w:tblCellMar>
      </w:tblPr>
      <w:tblGrid>
        <w:gridCol w:w="2537"/>
        <w:gridCol w:w="1311"/>
        <w:gridCol w:w="1046"/>
        <w:gridCol w:w="1224"/>
        <w:gridCol w:w="1541"/>
        <w:gridCol w:w="1797"/>
      </w:tblGrid>
      <w:tr w14:paraId="2D51D092">
        <w:tblPrEx>
          <w:tblCellMar>
            <w:top w:w="0" w:type="dxa"/>
            <w:left w:w="108" w:type="dxa"/>
            <w:bottom w:w="0" w:type="dxa"/>
            <w:right w:w="108" w:type="dxa"/>
          </w:tblCellMar>
        </w:tblPrEx>
        <w:trPr>
          <w:trHeight w:val="747" w:hRule="atLeast"/>
          <w:tblHeader/>
          <w:jc w:val="right"/>
        </w:trPr>
        <w:tc>
          <w:tcPr>
            <w:tcW w:w="2537" w:type="dxa"/>
            <w:tcBorders>
              <w:top w:val="single" w:color="auto" w:sz="4" w:space="0"/>
              <w:left w:val="single" w:color="auto" w:sz="4" w:space="0"/>
              <w:bottom w:val="single" w:color="auto" w:sz="4" w:space="0"/>
              <w:right w:val="single" w:color="auto" w:sz="4" w:space="0"/>
            </w:tcBorders>
            <w:vAlign w:val="center"/>
          </w:tcPr>
          <w:p w14:paraId="4BCEFFF0">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服务内容</w:t>
            </w:r>
          </w:p>
        </w:tc>
        <w:tc>
          <w:tcPr>
            <w:tcW w:w="1311" w:type="dxa"/>
            <w:tcBorders>
              <w:top w:val="single" w:color="auto" w:sz="4" w:space="0"/>
              <w:left w:val="single" w:color="auto" w:sz="4" w:space="0"/>
              <w:bottom w:val="single" w:color="auto" w:sz="4" w:space="0"/>
              <w:right w:val="single" w:color="auto" w:sz="4" w:space="0"/>
            </w:tcBorders>
            <w:vAlign w:val="center"/>
          </w:tcPr>
          <w:p w14:paraId="7974EDE9">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单位</w:t>
            </w:r>
          </w:p>
        </w:tc>
        <w:tc>
          <w:tcPr>
            <w:tcW w:w="1046" w:type="dxa"/>
            <w:tcBorders>
              <w:top w:val="single" w:color="auto" w:sz="4" w:space="0"/>
              <w:left w:val="nil"/>
              <w:bottom w:val="single" w:color="auto" w:sz="4" w:space="0"/>
              <w:right w:val="single" w:color="auto" w:sz="4" w:space="0"/>
            </w:tcBorders>
            <w:vAlign w:val="center"/>
          </w:tcPr>
          <w:p w14:paraId="6CA07596">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数量</w:t>
            </w:r>
          </w:p>
        </w:tc>
        <w:tc>
          <w:tcPr>
            <w:tcW w:w="1224" w:type="dxa"/>
            <w:tcBorders>
              <w:top w:val="single" w:color="auto" w:sz="4" w:space="0"/>
              <w:left w:val="single" w:color="auto" w:sz="4" w:space="0"/>
              <w:bottom w:val="single" w:color="auto" w:sz="4" w:space="0"/>
              <w:right w:val="single" w:color="auto" w:sz="4" w:space="0"/>
            </w:tcBorders>
            <w:vAlign w:val="center"/>
          </w:tcPr>
          <w:p w14:paraId="12472F4F">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单价（元）</w:t>
            </w:r>
          </w:p>
        </w:tc>
        <w:tc>
          <w:tcPr>
            <w:tcW w:w="1541" w:type="dxa"/>
            <w:tcBorders>
              <w:top w:val="single" w:color="auto" w:sz="4" w:space="0"/>
              <w:left w:val="single" w:color="auto" w:sz="4" w:space="0"/>
              <w:bottom w:val="single" w:color="auto" w:sz="4" w:space="0"/>
              <w:right w:val="single" w:color="auto" w:sz="4" w:space="0"/>
            </w:tcBorders>
            <w:vAlign w:val="center"/>
          </w:tcPr>
          <w:p w14:paraId="5C7EDD99">
            <w:pPr>
              <w:widowControl/>
              <w:adjustRightInd w:val="0"/>
              <w:snapToGrid w:val="0"/>
              <w:jc w:val="center"/>
              <w:rPr>
                <w:rFonts w:ascii="宋体" w:hAnsi="宋体" w:cs="宋体"/>
                <w:b/>
                <w:bCs/>
                <w:color w:val="auto"/>
                <w:kern w:val="0"/>
                <w:szCs w:val="21"/>
                <w:highlight w:val="none"/>
              </w:rPr>
            </w:pPr>
            <w:r>
              <w:rPr>
                <w:rFonts w:hint="eastAsia" w:ascii="宋体" w:hAnsi="宋体" w:cs="宋体"/>
                <w:b/>
                <w:bCs/>
                <w:color w:val="auto"/>
                <w:kern w:val="0"/>
                <w:szCs w:val="21"/>
                <w:highlight w:val="none"/>
              </w:rPr>
              <w:t>金额合计（元）</w:t>
            </w:r>
          </w:p>
        </w:tc>
        <w:tc>
          <w:tcPr>
            <w:tcW w:w="1797" w:type="dxa"/>
            <w:tcBorders>
              <w:top w:val="single" w:color="auto" w:sz="4" w:space="0"/>
              <w:left w:val="single" w:color="auto" w:sz="4" w:space="0"/>
              <w:bottom w:val="single" w:color="auto" w:sz="4" w:space="0"/>
              <w:right w:val="single" w:color="auto" w:sz="4" w:space="0"/>
            </w:tcBorders>
            <w:vAlign w:val="center"/>
          </w:tcPr>
          <w:p w14:paraId="66ABF558">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14:paraId="2EB8C021">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6FD00B7C">
            <w:pPr>
              <w:snapToGrid w:val="0"/>
              <w:spacing w:before="50" w:after="50" w:line="360" w:lineRule="auto"/>
              <w:jc w:val="center"/>
              <w:rPr>
                <w:rFonts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22481C83">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46" w:type="dxa"/>
            <w:tcBorders>
              <w:top w:val="nil"/>
              <w:left w:val="nil"/>
              <w:bottom w:val="single" w:color="auto" w:sz="4" w:space="0"/>
              <w:right w:val="single" w:color="auto" w:sz="4" w:space="0"/>
            </w:tcBorders>
            <w:vAlign w:val="center"/>
          </w:tcPr>
          <w:p w14:paraId="74DFA268">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224" w:type="dxa"/>
            <w:tcBorders>
              <w:top w:val="nil"/>
              <w:left w:val="nil"/>
              <w:bottom w:val="single" w:color="auto" w:sz="4" w:space="0"/>
              <w:right w:val="single" w:color="auto" w:sz="4" w:space="0"/>
            </w:tcBorders>
            <w:vAlign w:val="center"/>
          </w:tcPr>
          <w:p w14:paraId="2D0C792D">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41" w:type="dxa"/>
            <w:tcBorders>
              <w:top w:val="nil"/>
              <w:left w:val="nil"/>
              <w:bottom w:val="single" w:color="auto" w:sz="4" w:space="0"/>
              <w:right w:val="single" w:color="auto" w:sz="4" w:space="0"/>
            </w:tcBorders>
            <w:vAlign w:val="center"/>
          </w:tcPr>
          <w:p w14:paraId="6B778214">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797" w:type="dxa"/>
            <w:tcBorders>
              <w:top w:val="nil"/>
              <w:left w:val="nil"/>
              <w:bottom w:val="single" w:color="auto" w:sz="4" w:space="0"/>
              <w:right w:val="single" w:color="auto" w:sz="4" w:space="0"/>
            </w:tcBorders>
            <w:vAlign w:val="center"/>
          </w:tcPr>
          <w:p w14:paraId="12A7D648">
            <w:pPr>
              <w:widowControl/>
              <w:adjustRightInd w:val="0"/>
              <w:snapToGrid w:val="0"/>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10BEA5D7">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27A03872">
            <w:pPr>
              <w:snapToGrid w:val="0"/>
              <w:spacing w:before="50" w:after="50" w:line="360" w:lineRule="auto"/>
              <w:jc w:val="center"/>
              <w:rPr>
                <w:rFonts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16E26079">
            <w:pPr>
              <w:widowControl/>
              <w:adjustRightInd w:val="0"/>
              <w:snapToGrid w:val="0"/>
              <w:jc w:val="center"/>
              <w:rPr>
                <w:rFonts w:ascii="宋体" w:hAnsi="宋体" w:cs="宋体"/>
                <w:color w:val="auto"/>
                <w:kern w:val="0"/>
                <w:szCs w:val="21"/>
                <w:highlight w:val="none"/>
              </w:rPr>
            </w:pPr>
          </w:p>
        </w:tc>
        <w:tc>
          <w:tcPr>
            <w:tcW w:w="1046" w:type="dxa"/>
            <w:tcBorders>
              <w:top w:val="nil"/>
              <w:left w:val="nil"/>
              <w:bottom w:val="single" w:color="auto" w:sz="4" w:space="0"/>
              <w:right w:val="single" w:color="auto" w:sz="4" w:space="0"/>
            </w:tcBorders>
            <w:vAlign w:val="center"/>
          </w:tcPr>
          <w:p w14:paraId="00B175BA">
            <w:pPr>
              <w:widowControl/>
              <w:adjustRightInd w:val="0"/>
              <w:snapToGrid w:val="0"/>
              <w:jc w:val="center"/>
              <w:rPr>
                <w:rFonts w:ascii="宋体" w:hAnsi="宋体" w:cs="宋体"/>
                <w:color w:val="auto"/>
                <w:kern w:val="0"/>
                <w:szCs w:val="21"/>
                <w:highlight w:val="none"/>
              </w:rPr>
            </w:pPr>
          </w:p>
        </w:tc>
        <w:tc>
          <w:tcPr>
            <w:tcW w:w="1224" w:type="dxa"/>
            <w:tcBorders>
              <w:top w:val="nil"/>
              <w:left w:val="nil"/>
              <w:bottom w:val="single" w:color="auto" w:sz="4" w:space="0"/>
              <w:right w:val="single" w:color="auto" w:sz="4" w:space="0"/>
            </w:tcBorders>
            <w:vAlign w:val="center"/>
          </w:tcPr>
          <w:p w14:paraId="7F29CA10">
            <w:pPr>
              <w:widowControl/>
              <w:adjustRightInd w:val="0"/>
              <w:snapToGrid w:val="0"/>
              <w:jc w:val="center"/>
              <w:rPr>
                <w:rFonts w:ascii="宋体" w:hAnsi="宋体" w:cs="宋体"/>
                <w:color w:val="auto"/>
                <w:kern w:val="0"/>
                <w:szCs w:val="21"/>
                <w:highlight w:val="none"/>
              </w:rPr>
            </w:pPr>
          </w:p>
        </w:tc>
        <w:tc>
          <w:tcPr>
            <w:tcW w:w="1541" w:type="dxa"/>
            <w:tcBorders>
              <w:top w:val="nil"/>
              <w:left w:val="nil"/>
              <w:bottom w:val="single" w:color="auto" w:sz="4" w:space="0"/>
              <w:right w:val="single" w:color="auto" w:sz="4" w:space="0"/>
            </w:tcBorders>
            <w:vAlign w:val="center"/>
          </w:tcPr>
          <w:p w14:paraId="3C2F9C03">
            <w:pPr>
              <w:widowControl/>
              <w:adjustRightInd w:val="0"/>
              <w:snapToGrid w:val="0"/>
              <w:jc w:val="center"/>
              <w:rPr>
                <w:rFonts w:ascii="宋体" w:hAnsi="宋体" w:cs="宋体"/>
                <w:color w:val="auto"/>
                <w:kern w:val="0"/>
                <w:szCs w:val="21"/>
                <w:highlight w:val="none"/>
              </w:rPr>
            </w:pPr>
          </w:p>
        </w:tc>
        <w:tc>
          <w:tcPr>
            <w:tcW w:w="1797" w:type="dxa"/>
            <w:tcBorders>
              <w:top w:val="nil"/>
              <w:left w:val="nil"/>
              <w:bottom w:val="single" w:color="auto" w:sz="4" w:space="0"/>
              <w:right w:val="single" w:color="auto" w:sz="4" w:space="0"/>
            </w:tcBorders>
            <w:vAlign w:val="center"/>
          </w:tcPr>
          <w:p w14:paraId="0D856825">
            <w:pPr>
              <w:widowControl/>
              <w:adjustRightInd w:val="0"/>
              <w:snapToGrid w:val="0"/>
              <w:jc w:val="center"/>
              <w:rPr>
                <w:rFonts w:ascii="宋体" w:hAnsi="宋体" w:cs="宋体"/>
                <w:color w:val="auto"/>
                <w:kern w:val="0"/>
                <w:szCs w:val="21"/>
                <w:highlight w:val="none"/>
              </w:rPr>
            </w:pPr>
          </w:p>
        </w:tc>
      </w:tr>
      <w:tr w14:paraId="69BC0C56">
        <w:tblPrEx>
          <w:tblCellMar>
            <w:top w:w="0" w:type="dxa"/>
            <w:left w:w="108" w:type="dxa"/>
            <w:bottom w:w="0" w:type="dxa"/>
            <w:right w:w="108" w:type="dxa"/>
          </w:tblCellMar>
        </w:tblPrEx>
        <w:trPr>
          <w:trHeight w:val="885" w:hRule="atLeast"/>
          <w:jc w:val="right"/>
        </w:trPr>
        <w:tc>
          <w:tcPr>
            <w:tcW w:w="2537" w:type="dxa"/>
            <w:tcBorders>
              <w:top w:val="single" w:color="auto" w:sz="4" w:space="0"/>
              <w:left w:val="single" w:color="auto" w:sz="4" w:space="0"/>
              <w:bottom w:val="single" w:color="auto" w:sz="4" w:space="0"/>
              <w:right w:val="single" w:color="auto" w:sz="4" w:space="0"/>
            </w:tcBorders>
            <w:vAlign w:val="center"/>
          </w:tcPr>
          <w:p w14:paraId="06F63425">
            <w:pPr>
              <w:snapToGrid w:val="0"/>
              <w:spacing w:before="50" w:after="50" w:line="360" w:lineRule="auto"/>
              <w:jc w:val="center"/>
              <w:rPr>
                <w:rFonts w:ascii="宋体" w:hAnsi="宋体" w:cs="宋体"/>
                <w:color w:val="auto"/>
                <w:szCs w:val="21"/>
                <w:highlight w:val="none"/>
              </w:rPr>
            </w:pPr>
          </w:p>
        </w:tc>
        <w:tc>
          <w:tcPr>
            <w:tcW w:w="1311" w:type="dxa"/>
            <w:tcBorders>
              <w:top w:val="nil"/>
              <w:left w:val="nil"/>
              <w:bottom w:val="single" w:color="auto" w:sz="4" w:space="0"/>
              <w:right w:val="single" w:color="auto" w:sz="4" w:space="0"/>
            </w:tcBorders>
            <w:vAlign w:val="center"/>
          </w:tcPr>
          <w:p w14:paraId="68312C6A">
            <w:pPr>
              <w:widowControl/>
              <w:adjustRightInd w:val="0"/>
              <w:snapToGrid w:val="0"/>
              <w:jc w:val="center"/>
              <w:rPr>
                <w:rFonts w:ascii="宋体" w:hAnsi="宋体" w:cs="宋体"/>
                <w:color w:val="auto"/>
                <w:kern w:val="0"/>
                <w:szCs w:val="21"/>
                <w:highlight w:val="none"/>
              </w:rPr>
            </w:pPr>
          </w:p>
        </w:tc>
        <w:tc>
          <w:tcPr>
            <w:tcW w:w="1046" w:type="dxa"/>
            <w:tcBorders>
              <w:top w:val="nil"/>
              <w:left w:val="nil"/>
              <w:bottom w:val="single" w:color="auto" w:sz="4" w:space="0"/>
              <w:right w:val="single" w:color="auto" w:sz="4" w:space="0"/>
            </w:tcBorders>
            <w:vAlign w:val="center"/>
          </w:tcPr>
          <w:p w14:paraId="4D5B124B">
            <w:pPr>
              <w:widowControl/>
              <w:adjustRightInd w:val="0"/>
              <w:snapToGrid w:val="0"/>
              <w:jc w:val="center"/>
              <w:rPr>
                <w:rFonts w:ascii="宋体" w:hAnsi="宋体" w:cs="宋体"/>
                <w:color w:val="auto"/>
                <w:kern w:val="0"/>
                <w:szCs w:val="21"/>
                <w:highlight w:val="none"/>
              </w:rPr>
            </w:pPr>
          </w:p>
        </w:tc>
        <w:tc>
          <w:tcPr>
            <w:tcW w:w="1224" w:type="dxa"/>
            <w:tcBorders>
              <w:top w:val="nil"/>
              <w:left w:val="nil"/>
              <w:bottom w:val="single" w:color="auto" w:sz="4" w:space="0"/>
              <w:right w:val="single" w:color="auto" w:sz="4" w:space="0"/>
            </w:tcBorders>
            <w:vAlign w:val="center"/>
          </w:tcPr>
          <w:p w14:paraId="1E70E37B">
            <w:pPr>
              <w:widowControl/>
              <w:adjustRightInd w:val="0"/>
              <w:snapToGrid w:val="0"/>
              <w:jc w:val="center"/>
              <w:rPr>
                <w:rFonts w:ascii="宋体" w:hAnsi="宋体" w:cs="宋体"/>
                <w:color w:val="auto"/>
                <w:kern w:val="0"/>
                <w:szCs w:val="21"/>
                <w:highlight w:val="none"/>
              </w:rPr>
            </w:pPr>
          </w:p>
        </w:tc>
        <w:tc>
          <w:tcPr>
            <w:tcW w:w="1541" w:type="dxa"/>
            <w:tcBorders>
              <w:top w:val="nil"/>
              <w:left w:val="nil"/>
              <w:bottom w:val="single" w:color="auto" w:sz="4" w:space="0"/>
              <w:right w:val="single" w:color="auto" w:sz="4" w:space="0"/>
            </w:tcBorders>
            <w:vAlign w:val="center"/>
          </w:tcPr>
          <w:p w14:paraId="38D0A1A4">
            <w:pPr>
              <w:widowControl/>
              <w:adjustRightInd w:val="0"/>
              <w:snapToGrid w:val="0"/>
              <w:jc w:val="center"/>
              <w:rPr>
                <w:rFonts w:ascii="宋体" w:hAnsi="宋体" w:cs="宋体"/>
                <w:color w:val="auto"/>
                <w:kern w:val="0"/>
                <w:szCs w:val="21"/>
                <w:highlight w:val="none"/>
              </w:rPr>
            </w:pPr>
          </w:p>
        </w:tc>
        <w:tc>
          <w:tcPr>
            <w:tcW w:w="1797" w:type="dxa"/>
            <w:tcBorders>
              <w:top w:val="nil"/>
              <w:left w:val="nil"/>
              <w:bottom w:val="single" w:color="auto" w:sz="4" w:space="0"/>
              <w:right w:val="single" w:color="auto" w:sz="4" w:space="0"/>
            </w:tcBorders>
            <w:vAlign w:val="center"/>
          </w:tcPr>
          <w:p w14:paraId="509E6F15">
            <w:pPr>
              <w:widowControl/>
              <w:adjustRightInd w:val="0"/>
              <w:snapToGrid w:val="0"/>
              <w:jc w:val="center"/>
              <w:rPr>
                <w:rFonts w:ascii="宋体" w:hAnsi="宋体" w:cs="宋体"/>
                <w:color w:val="auto"/>
                <w:kern w:val="0"/>
                <w:szCs w:val="21"/>
                <w:highlight w:val="none"/>
              </w:rPr>
            </w:pPr>
          </w:p>
        </w:tc>
      </w:tr>
      <w:tr w14:paraId="47E680B6">
        <w:tblPrEx>
          <w:tblCellMar>
            <w:top w:w="0" w:type="dxa"/>
            <w:left w:w="108" w:type="dxa"/>
            <w:bottom w:w="0" w:type="dxa"/>
            <w:right w:w="108" w:type="dxa"/>
          </w:tblCellMar>
        </w:tblPrEx>
        <w:trPr>
          <w:trHeight w:val="525" w:hRule="atLeast"/>
          <w:jc w:val="right"/>
        </w:trPr>
        <w:tc>
          <w:tcPr>
            <w:tcW w:w="9456" w:type="dxa"/>
            <w:gridSpan w:val="6"/>
            <w:tcBorders>
              <w:top w:val="single" w:color="auto" w:sz="4" w:space="0"/>
              <w:left w:val="single" w:color="auto" w:sz="4" w:space="0"/>
              <w:bottom w:val="single" w:color="auto" w:sz="4" w:space="0"/>
              <w:right w:val="single" w:color="auto" w:sz="4" w:space="0"/>
            </w:tcBorders>
            <w:vAlign w:val="center"/>
          </w:tcPr>
          <w:p w14:paraId="29CC4954">
            <w:pPr>
              <w:widowControl/>
              <w:adjustRightInd w:val="0"/>
              <w:snapToGrid w:val="0"/>
              <w:rPr>
                <w:rFonts w:ascii="宋体" w:hAnsi="宋体" w:cs="宋体"/>
                <w:color w:val="auto"/>
                <w:kern w:val="0"/>
                <w:szCs w:val="21"/>
                <w:highlight w:val="none"/>
              </w:rPr>
            </w:pPr>
            <w:r>
              <w:rPr>
                <w:rFonts w:hint="eastAsia" w:ascii="宋体" w:hAnsi="宋体" w:cs="宋体"/>
                <w:b/>
                <w:bCs/>
                <w:color w:val="auto"/>
                <w:kern w:val="0"/>
                <w:szCs w:val="21"/>
                <w:highlight w:val="none"/>
              </w:rPr>
              <w:t>合计：</w:t>
            </w:r>
          </w:p>
        </w:tc>
      </w:tr>
      <w:tr w14:paraId="0730893B">
        <w:tblPrEx>
          <w:tblCellMar>
            <w:top w:w="0" w:type="dxa"/>
            <w:left w:w="108" w:type="dxa"/>
            <w:bottom w:w="0" w:type="dxa"/>
            <w:right w:w="108" w:type="dxa"/>
          </w:tblCellMar>
        </w:tblPrEx>
        <w:trPr>
          <w:trHeight w:val="525" w:hRule="atLeast"/>
          <w:jc w:val="right"/>
        </w:trPr>
        <w:tc>
          <w:tcPr>
            <w:tcW w:w="9456" w:type="dxa"/>
            <w:gridSpan w:val="6"/>
            <w:tcBorders>
              <w:top w:val="single" w:color="auto" w:sz="4" w:space="0"/>
              <w:left w:val="single" w:color="auto" w:sz="4" w:space="0"/>
              <w:bottom w:val="single" w:color="auto" w:sz="4" w:space="0"/>
              <w:right w:val="single" w:color="auto" w:sz="4" w:space="0"/>
            </w:tcBorders>
            <w:vAlign w:val="center"/>
          </w:tcPr>
          <w:p w14:paraId="12485862">
            <w:pPr>
              <w:widowControl/>
              <w:adjustRightInd w:val="0"/>
              <w:snapToGrid w:val="0"/>
              <w:jc w:val="left"/>
              <w:rPr>
                <w:rFonts w:ascii="宋体" w:hAnsi="宋体" w:cs="宋体"/>
                <w:color w:val="auto"/>
                <w:kern w:val="0"/>
                <w:szCs w:val="21"/>
                <w:highlight w:val="none"/>
              </w:rPr>
            </w:pPr>
            <w:r>
              <w:rPr>
                <w:rFonts w:hint="eastAsia" w:ascii="宋体" w:hAnsi="宋体" w:cs="宋体"/>
                <w:b/>
                <w:bCs/>
                <w:color w:val="auto"/>
                <w:kern w:val="0"/>
                <w:szCs w:val="21"/>
                <w:highlight w:val="none"/>
              </w:rPr>
              <w:t>服务期：</w:t>
            </w:r>
          </w:p>
        </w:tc>
      </w:tr>
    </w:tbl>
    <w:p w14:paraId="4F7BE358">
      <w:pPr>
        <w:snapToGrid w:val="0"/>
        <w:spacing w:before="50" w:after="50" w:line="360" w:lineRule="auto"/>
        <w:jc w:val="left"/>
        <w:rPr>
          <w:rFonts w:ascii="宋体" w:hAnsi="宋体" w:cs="宋体"/>
          <w:color w:val="auto"/>
          <w:szCs w:val="21"/>
          <w:highlight w:val="none"/>
        </w:rPr>
      </w:pPr>
      <w:r>
        <w:rPr>
          <w:rFonts w:hint="eastAsia" w:ascii="宋体" w:hAnsi="宋体" w:cs="宋体"/>
          <w:color w:val="auto"/>
          <w:szCs w:val="21"/>
          <w:highlight w:val="none"/>
        </w:rPr>
        <w:t xml:space="preserve">注: </w:t>
      </w:r>
    </w:p>
    <w:p w14:paraId="50444262">
      <w:pPr>
        <w:snapToGrid w:val="0"/>
        <w:spacing w:before="50" w:after="50"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1.供应商的报价表必须加盖供应商公章并由法定代表人或者委托代理人签字，</w:t>
      </w:r>
      <w:r>
        <w:rPr>
          <w:rFonts w:hint="eastAsia" w:ascii="宋体" w:hAnsi="宋体" w:cs="宋体"/>
          <w:b/>
          <w:color w:val="auto"/>
          <w:szCs w:val="21"/>
          <w:highlight w:val="none"/>
        </w:rPr>
        <w:t>否则其响应文件按无效响应处理</w:t>
      </w:r>
      <w:r>
        <w:rPr>
          <w:rFonts w:hint="eastAsia" w:ascii="宋体" w:hAnsi="宋体" w:cs="宋体"/>
          <w:color w:val="auto"/>
          <w:szCs w:val="21"/>
          <w:highlight w:val="none"/>
        </w:rPr>
        <w:t>。</w:t>
      </w:r>
    </w:p>
    <w:p w14:paraId="1B8DE5A6">
      <w:pPr>
        <w:snapToGrid w:val="0"/>
        <w:spacing w:before="50" w:after="50" w:line="360" w:lineRule="auto"/>
        <w:ind w:firstLine="420" w:firstLineChars="200"/>
        <w:jc w:val="left"/>
        <w:rPr>
          <w:rFonts w:ascii="宋体" w:hAnsi="宋体" w:cs="宋体"/>
          <w:b/>
          <w:color w:val="auto"/>
          <w:szCs w:val="21"/>
          <w:highlight w:val="none"/>
        </w:rPr>
      </w:pPr>
      <w:r>
        <w:rPr>
          <w:rFonts w:hint="eastAsia" w:ascii="宋体" w:hAnsi="宋体" w:cs="宋体"/>
          <w:bCs/>
          <w:color w:val="auto"/>
          <w:szCs w:val="21"/>
          <w:highlight w:val="none"/>
        </w:rPr>
        <w:t>2.</w:t>
      </w:r>
      <w:r>
        <w:rPr>
          <w:rFonts w:hint="eastAsia" w:ascii="宋体" w:hAnsi="宋体" w:cs="宋体"/>
          <w:color w:val="auto"/>
          <w:szCs w:val="21"/>
          <w:highlight w:val="none"/>
        </w:rPr>
        <w:t>报价一经涂改，应在涂改处加盖供应商公章或者由法定代表人或者委托代理人签字或者盖章</w:t>
      </w:r>
      <w:r>
        <w:rPr>
          <w:rFonts w:hint="eastAsia" w:ascii="宋体" w:hAnsi="宋体" w:cs="宋体"/>
          <w:b/>
          <w:color w:val="auto"/>
          <w:szCs w:val="21"/>
          <w:highlight w:val="none"/>
        </w:rPr>
        <w:t>，否则其响应文件按无效响应处理。</w:t>
      </w:r>
    </w:p>
    <w:p w14:paraId="04CC990B">
      <w:pPr>
        <w:snapToGrid w:val="0"/>
        <w:spacing w:before="50" w:after="50" w:line="360" w:lineRule="auto"/>
        <w:ind w:firstLine="420" w:firstLineChars="200"/>
        <w:rPr>
          <w:rFonts w:ascii="宋体" w:hAnsi="宋体" w:cs="宋体"/>
          <w:b/>
          <w:color w:val="auto"/>
          <w:spacing w:val="-6"/>
          <w:szCs w:val="21"/>
          <w:highlight w:val="none"/>
        </w:rPr>
      </w:pPr>
      <w:r>
        <w:rPr>
          <w:rFonts w:hint="eastAsia" w:ascii="宋体" w:hAnsi="宋体" w:cs="宋体"/>
          <w:color w:val="auto"/>
          <w:szCs w:val="21"/>
          <w:highlight w:val="none"/>
        </w:rPr>
        <w:t>3.</w:t>
      </w:r>
      <w:r>
        <w:rPr>
          <w:rFonts w:hint="eastAsia" w:ascii="宋体" w:hAnsi="宋体" w:cs="宋体"/>
          <w:color w:val="auto"/>
          <w:spacing w:val="-6"/>
          <w:szCs w:val="21"/>
          <w:highlight w:val="none"/>
        </w:rPr>
        <w:t>如有多分标，分别列明各分标的报价表，</w:t>
      </w:r>
      <w:r>
        <w:rPr>
          <w:rFonts w:hint="eastAsia" w:ascii="宋体" w:hAnsi="宋体" w:cs="宋体"/>
          <w:b/>
          <w:color w:val="auto"/>
          <w:spacing w:val="-6"/>
          <w:szCs w:val="21"/>
          <w:highlight w:val="none"/>
        </w:rPr>
        <w:t>否则其响应文件按无效响应处理。</w:t>
      </w:r>
    </w:p>
    <w:p w14:paraId="1A48A423">
      <w:pPr>
        <w:pStyle w:val="145"/>
        <w:rPr>
          <w:rFonts w:hint="default"/>
          <w:color w:val="auto"/>
          <w:highlight w:val="none"/>
        </w:rPr>
      </w:pPr>
      <w:r>
        <w:rPr>
          <w:rFonts w:ascii="宋体" w:hAnsi="宋体" w:cs="宋体"/>
          <w:b/>
          <w:color w:val="auto"/>
          <w:spacing w:val="-6"/>
          <w:szCs w:val="21"/>
          <w:highlight w:val="none"/>
        </w:rPr>
        <w:t xml:space="preserve">    4.</w:t>
      </w:r>
      <w:r>
        <w:rPr>
          <w:rFonts w:ascii="宋体" w:hAnsi="宋体" w:eastAsia="宋体" w:cs="宋体"/>
          <w:color w:val="auto"/>
          <w:kern w:val="2"/>
          <w:sz w:val="21"/>
          <w:szCs w:val="21"/>
          <w:highlight w:val="none"/>
        </w:rPr>
        <w:t>本表可根据实际情况自行拓展。</w:t>
      </w:r>
    </w:p>
    <w:p w14:paraId="43368D2B">
      <w:pPr>
        <w:snapToGrid w:val="0"/>
        <w:spacing w:before="50" w:after="50" w:line="360" w:lineRule="auto"/>
        <w:ind w:right="-817" w:rightChars="-389"/>
        <w:rPr>
          <w:rFonts w:ascii="宋体" w:hAnsi="宋体" w:cs="宋体"/>
          <w:color w:val="auto"/>
          <w:szCs w:val="21"/>
          <w:highlight w:val="none"/>
        </w:rPr>
      </w:pPr>
    </w:p>
    <w:p w14:paraId="5CC980B3">
      <w:pPr>
        <w:snapToGrid w:val="0"/>
        <w:spacing w:before="50" w:after="50"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2D56B72A">
      <w:pPr>
        <w:snapToGrid w:val="0"/>
        <w:spacing w:before="50" w:after="50"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075E07C0">
      <w:pPr>
        <w:snapToGrid w:val="0"/>
        <w:spacing w:before="50" w:after="50" w:line="360" w:lineRule="auto"/>
        <w:ind w:right="-817" w:rightChars="-389" w:firstLine="3570" w:firstLineChars="1700"/>
        <w:rPr>
          <w:rFonts w:ascii="宋体" w:hAnsi="宋体" w:cs="宋体"/>
          <w:b/>
          <w:color w:val="auto"/>
          <w:szCs w:val="21"/>
          <w:highlight w:val="none"/>
        </w:rPr>
      </w:pPr>
      <w:r>
        <w:rPr>
          <w:rFonts w:hint="eastAsia" w:ascii="宋体" w:hAnsi="宋体" w:cs="宋体"/>
          <w:color w:val="auto"/>
          <w:szCs w:val="21"/>
          <w:highlight w:val="none"/>
        </w:rPr>
        <w:t>日期：   年   月   日</w:t>
      </w:r>
    </w:p>
    <w:p w14:paraId="11E265E7">
      <w:pPr>
        <w:spacing w:before="312" w:beforeLines="100" w:after="156" w:afterLines="50" w:line="360" w:lineRule="auto"/>
        <w:ind w:left="540"/>
        <w:jc w:val="center"/>
        <w:rPr>
          <w:rFonts w:ascii="宋体" w:hAnsi="宋体" w:cs="宋体"/>
          <w:color w:val="auto"/>
          <w:sz w:val="32"/>
          <w:szCs w:val="32"/>
          <w:highlight w:val="none"/>
        </w:rPr>
      </w:pPr>
      <w:r>
        <w:rPr>
          <w:rFonts w:hint="eastAsia" w:ascii="宋体" w:hAnsi="宋体" w:cs="宋体"/>
          <w:b/>
          <w:color w:val="auto"/>
          <w:szCs w:val="21"/>
          <w:highlight w:val="none"/>
        </w:rPr>
        <w:br w:type="page"/>
      </w:r>
      <w:r>
        <w:rPr>
          <w:rFonts w:hint="eastAsia" w:ascii="宋体" w:hAnsi="宋体" w:cs="宋体"/>
          <w:b/>
          <w:color w:val="auto"/>
          <w:sz w:val="32"/>
          <w:szCs w:val="32"/>
          <w:highlight w:val="none"/>
        </w:rPr>
        <w:t>法定代表人证明书</w:t>
      </w:r>
    </w:p>
    <w:p w14:paraId="0F3C8F41">
      <w:pPr>
        <w:spacing w:line="360" w:lineRule="auto"/>
        <w:ind w:left="540"/>
        <w:rPr>
          <w:rFonts w:ascii="宋体" w:hAnsi="宋体" w:cs="宋体"/>
          <w:color w:val="auto"/>
          <w:sz w:val="32"/>
          <w:szCs w:val="32"/>
          <w:highlight w:val="none"/>
        </w:rPr>
      </w:pPr>
    </w:p>
    <w:p w14:paraId="53327C54">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供应商名称：</w:t>
      </w:r>
      <w:r>
        <w:rPr>
          <w:rFonts w:hint="eastAsia" w:ascii="宋体" w:hAnsi="宋体" w:cs="宋体"/>
          <w:color w:val="auto"/>
          <w:szCs w:val="21"/>
          <w:highlight w:val="none"/>
          <w:u w:val="single"/>
        </w:rPr>
        <w:t xml:space="preserve">                                                        </w:t>
      </w:r>
    </w:p>
    <w:p w14:paraId="49E870E2">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5F086569">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性     别：</w:t>
      </w:r>
      <w:r>
        <w:rPr>
          <w:rFonts w:hint="eastAsia" w:ascii="宋体" w:hAnsi="宋体" w:cs="宋体"/>
          <w:color w:val="auto"/>
          <w:szCs w:val="21"/>
          <w:highlight w:val="none"/>
          <w:u w:val="single"/>
        </w:rPr>
        <w:t xml:space="preserve">                </w:t>
      </w:r>
    </w:p>
    <w:p w14:paraId="5460D1EC">
      <w:pPr>
        <w:spacing w:line="360" w:lineRule="auto"/>
        <w:ind w:left="540"/>
        <w:rPr>
          <w:rFonts w:ascii="宋体" w:hAnsi="宋体" w:cs="宋体"/>
          <w:color w:val="auto"/>
          <w:szCs w:val="21"/>
          <w:highlight w:val="none"/>
          <w:u w:val="single"/>
        </w:rPr>
      </w:pPr>
      <w:r>
        <w:rPr>
          <w:rFonts w:hint="eastAsia" w:ascii="宋体" w:hAnsi="宋体" w:cs="宋体"/>
          <w:color w:val="auto"/>
          <w:szCs w:val="21"/>
          <w:highlight w:val="none"/>
        </w:rPr>
        <w:t>年    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职     务：</w:t>
      </w:r>
      <w:r>
        <w:rPr>
          <w:rFonts w:hint="eastAsia" w:ascii="宋体" w:hAnsi="宋体" w:cs="宋体"/>
          <w:color w:val="auto"/>
          <w:szCs w:val="21"/>
          <w:highlight w:val="none"/>
          <w:u w:val="single"/>
        </w:rPr>
        <w:t xml:space="preserve">                </w:t>
      </w:r>
    </w:p>
    <w:p w14:paraId="635E6CF0">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身份证号码：</w:t>
      </w:r>
      <w:r>
        <w:rPr>
          <w:rFonts w:hint="eastAsia" w:ascii="宋体" w:hAnsi="宋体" w:cs="宋体"/>
          <w:color w:val="auto"/>
          <w:szCs w:val="21"/>
          <w:highlight w:val="none"/>
          <w:u w:val="single"/>
        </w:rPr>
        <w:t xml:space="preserve">                                        </w:t>
      </w:r>
    </w:p>
    <w:p w14:paraId="2B079B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系</w:t>
      </w:r>
      <w:r>
        <w:rPr>
          <w:rFonts w:hint="eastAsia" w:ascii="宋体" w:hAnsi="宋体" w:cs="宋体"/>
          <w:color w:val="auto"/>
          <w:szCs w:val="21"/>
          <w:highlight w:val="none"/>
          <w:u w:val="single"/>
        </w:rPr>
        <w:t>（供应商名称）</w:t>
      </w:r>
      <w:r>
        <w:rPr>
          <w:rFonts w:hint="eastAsia" w:ascii="宋体" w:hAnsi="宋体" w:cs="宋体"/>
          <w:color w:val="auto"/>
          <w:szCs w:val="21"/>
          <w:highlight w:val="none"/>
        </w:rPr>
        <w:t>的法定代表人。</w:t>
      </w:r>
    </w:p>
    <w:p w14:paraId="7B019567">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特此证明。</w:t>
      </w:r>
    </w:p>
    <w:p w14:paraId="5D6787D4">
      <w:pPr>
        <w:spacing w:line="360" w:lineRule="auto"/>
        <w:ind w:left="540"/>
        <w:rPr>
          <w:rFonts w:ascii="宋体" w:hAnsi="宋体" w:cs="宋体"/>
          <w:color w:val="auto"/>
          <w:szCs w:val="21"/>
          <w:highlight w:val="none"/>
        </w:rPr>
      </w:pPr>
    </w:p>
    <w:p w14:paraId="67E78FBA">
      <w:pPr>
        <w:spacing w:line="360" w:lineRule="auto"/>
        <w:ind w:left="540"/>
        <w:rPr>
          <w:rFonts w:ascii="宋体" w:hAnsi="宋体" w:cs="宋体"/>
          <w:color w:val="auto"/>
          <w:szCs w:val="21"/>
          <w:highlight w:val="none"/>
        </w:rPr>
      </w:pPr>
    </w:p>
    <w:p w14:paraId="0D426240">
      <w:pPr>
        <w:spacing w:line="360" w:lineRule="auto"/>
        <w:ind w:left="540"/>
        <w:rPr>
          <w:rFonts w:ascii="宋体" w:hAnsi="宋体" w:cs="宋体"/>
          <w:color w:val="auto"/>
          <w:szCs w:val="21"/>
          <w:highlight w:val="none"/>
        </w:rPr>
      </w:pPr>
    </w:p>
    <w:p w14:paraId="59F05585">
      <w:pPr>
        <w:spacing w:line="360" w:lineRule="auto"/>
        <w:ind w:left="540"/>
        <w:rPr>
          <w:rFonts w:ascii="宋体" w:hAnsi="宋体" w:cs="宋体"/>
          <w:color w:val="auto"/>
          <w:szCs w:val="21"/>
          <w:highlight w:val="none"/>
        </w:rPr>
      </w:pPr>
      <w:r>
        <w:rPr>
          <w:rFonts w:hint="eastAsia" w:ascii="宋体" w:hAnsi="宋体" w:cs="宋体"/>
          <w:color w:val="auto"/>
          <w:szCs w:val="21"/>
          <w:highlight w:val="none"/>
        </w:rPr>
        <w:t>附件：法定代表人有效身份证正反面复印件</w:t>
      </w:r>
    </w:p>
    <w:p w14:paraId="2D43AAC5">
      <w:pPr>
        <w:spacing w:line="360" w:lineRule="auto"/>
        <w:ind w:left="540"/>
        <w:rPr>
          <w:rFonts w:ascii="宋体" w:hAnsi="宋体" w:cs="宋体"/>
          <w:color w:val="auto"/>
          <w:szCs w:val="21"/>
          <w:highlight w:val="none"/>
        </w:rPr>
      </w:pPr>
    </w:p>
    <w:p w14:paraId="30DD88A4">
      <w:pPr>
        <w:spacing w:line="360" w:lineRule="auto"/>
        <w:ind w:left="540"/>
        <w:jc w:val="right"/>
        <w:rPr>
          <w:rFonts w:ascii="宋体" w:hAnsi="宋体" w:cs="宋体"/>
          <w:color w:val="auto"/>
          <w:szCs w:val="21"/>
          <w:highlight w:val="none"/>
        </w:rPr>
      </w:pPr>
      <w:r>
        <w:rPr>
          <w:rFonts w:hint="eastAsia" w:ascii="宋体" w:hAnsi="宋体" w:cs="宋体"/>
          <w:color w:val="auto"/>
          <w:szCs w:val="21"/>
          <w:highlight w:val="none"/>
        </w:rPr>
        <w:t>供应商（盖公章）：</w:t>
      </w:r>
      <w:r>
        <w:rPr>
          <w:rFonts w:hint="eastAsia" w:ascii="宋体" w:hAnsi="宋体" w:cs="宋体"/>
          <w:color w:val="auto"/>
          <w:szCs w:val="21"/>
          <w:highlight w:val="none"/>
          <w:u w:val="single"/>
        </w:rPr>
        <w:t xml:space="preserve">               </w:t>
      </w:r>
    </w:p>
    <w:p w14:paraId="527CC297">
      <w:pPr>
        <w:snapToGrid w:val="0"/>
        <w:spacing w:before="156" w:beforeLines="50" w:after="50" w:line="360" w:lineRule="auto"/>
        <w:ind w:firstLine="3570" w:firstLineChars="1700"/>
        <w:rPr>
          <w:rFonts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594FE420">
      <w:pPr>
        <w:snapToGrid w:val="0"/>
        <w:spacing w:before="156" w:beforeLines="50" w:after="50" w:line="360" w:lineRule="auto"/>
        <w:jc w:val="center"/>
        <w:rPr>
          <w:rFonts w:ascii="宋体" w:hAnsi="宋体" w:cs="宋体"/>
          <w:b/>
          <w:color w:val="auto"/>
          <w:szCs w:val="21"/>
          <w:highlight w:val="none"/>
        </w:rPr>
      </w:pPr>
    </w:p>
    <w:p w14:paraId="0BE56BD6">
      <w:pPr>
        <w:snapToGrid w:val="0"/>
        <w:spacing w:before="156" w:beforeLines="50" w:after="50" w:line="360" w:lineRule="auto"/>
        <w:jc w:val="left"/>
        <w:rPr>
          <w:rFonts w:ascii="宋体" w:hAnsi="宋体" w:cs="宋体"/>
          <w:color w:val="auto"/>
          <w:szCs w:val="21"/>
          <w:highlight w:val="none"/>
        </w:rPr>
      </w:pPr>
    </w:p>
    <w:p w14:paraId="5145C3AF">
      <w:pPr>
        <w:snapToGrid w:val="0"/>
        <w:spacing w:before="156" w:beforeLines="50" w:after="50" w:line="360" w:lineRule="auto"/>
        <w:jc w:val="left"/>
        <w:rPr>
          <w:rFonts w:ascii="宋体" w:hAnsi="宋体" w:cs="宋体"/>
          <w:color w:val="auto"/>
          <w:szCs w:val="21"/>
          <w:highlight w:val="none"/>
        </w:rPr>
      </w:pPr>
      <w:r>
        <w:rPr>
          <w:rFonts w:hint="eastAsia" w:ascii="宋体" w:hAnsi="宋体" w:cs="宋体"/>
          <w:color w:val="auto"/>
          <w:szCs w:val="21"/>
          <w:highlight w:val="none"/>
        </w:rPr>
        <w:t>注：1.自然人竞标的无需提供。</w:t>
      </w:r>
    </w:p>
    <w:p w14:paraId="519B5978">
      <w:pPr>
        <w:snapToGrid w:val="0"/>
        <w:spacing w:before="156" w:beforeLines="50" w:after="50" w:line="360" w:lineRule="auto"/>
        <w:ind w:firstLine="420" w:firstLineChars="200"/>
        <w:jc w:val="left"/>
        <w:rPr>
          <w:rFonts w:ascii="宋体" w:hAnsi="宋体" w:cs="宋体"/>
          <w:b/>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53387726">
      <w:pPr>
        <w:adjustRightInd w:val="0"/>
        <w:snapToGrid w:val="0"/>
        <w:spacing w:line="360" w:lineRule="auto"/>
        <w:jc w:val="left"/>
        <w:rPr>
          <w:rFonts w:ascii="宋体" w:hAnsi="宋体" w:cs="宋体"/>
          <w:b/>
          <w:color w:val="auto"/>
          <w:szCs w:val="21"/>
          <w:highlight w:val="none"/>
        </w:rPr>
      </w:pPr>
    </w:p>
    <w:p w14:paraId="34113ABC">
      <w:pPr>
        <w:spacing w:line="360" w:lineRule="auto"/>
        <w:jc w:val="center"/>
        <w:rPr>
          <w:rFonts w:ascii="宋体" w:hAnsi="宋体" w:cs="宋体"/>
          <w:b/>
          <w:color w:val="auto"/>
          <w:sz w:val="32"/>
          <w:szCs w:val="32"/>
          <w:highlight w:val="none"/>
        </w:rPr>
      </w:pPr>
      <w:r>
        <w:rPr>
          <w:rFonts w:hint="eastAsia" w:ascii="宋体" w:hAnsi="宋体" w:cs="宋体"/>
          <w:color w:val="auto"/>
          <w:sz w:val="44"/>
          <w:szCs w:val="44"/>
          <w:highlight w:val="none"/>
        </w:rPr>
        <w:br w:type="page"/>
      </w:r>
      <w:r>
        <w:rPr>
          <w:rFonts w:hint="eastAsia" w:ascii="宋体" w:hAnsi="宋体" w:cs="宋体"/>
          <w:b/>
          <w:color w:val="auto"/>
          <w:sz w:val="32"/>
          <w:szCs w:val="32"/>
          <w:highlight w:val="none"/>
        </w:rPr>
        <w:t>法定代表人授权委托书（非联合体竞标格式）</w:t>
      </w:r>
    </w:p>
    <w:p w14:paraId="65D0E029">
      <w:pPr>
        <w:spacing w:before="312" w:beforeLines="100" w:after="156" w:afterLines="50" w:line="360" w:lineRule="auto"/>
        <w:ind w:left="540"/>
        <w:jc w:val="center"/>
        <w:rPr>
          <w:rFonts w:ascii="宋体" w:hAnsi="宋体" w:cs="宋体"/>
          <w:b/>
          <w:color w:val="auto"/>
          <w:sz w:val="32"/>
          <w:szCs w:val="32"/>
          <w:highlight w:val="none"/>
        </w:rPr>
      </w:pPr>
      <w:r>
        <w:rPr>
          <w:rFonts w:hint="eastAsia" w:ascii="宋体" w:hAnsi="宋体" w:cs="宋体"/>
          <w:b/>
          <w:color w:val="auto"/>
          <w:sz w:val="32"/>
          <w:szCs w:val="32"/>
          <w:highlight w:val="none"/>
        </w:rPr>
        <w:t>（如有委托时）</w:t>
      </w:r>
    </w:p>
    <w:p w14:paraId="0F6A701A">
      <w:pPr>
        <w:spacing w:line="360" w:lineRule="auto"/>
        <w:rPr>
          <w:rFonts w:ascii="宋体" w:hAnsi="宋体" w:cs="宋体"/>
          <w:color w:val="auto"/>
          <w:sz w:val="32"/>
          <w:szCs w:val="32"/>
          <w:highlight w:val="none"/>
        </w:rPr>
      </w:pPr>
    </w:p>
    <w:p w14:paraId="14C41FD5">
      <w:pPr>
        <w:spacing w:line="360" w:lineRule="auto"/>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（采购人名称）</w:t>
      </w:r>
      <w:r>
        <w:rPr>
          <w:rFonts w:hint="eastAsia" w:ascii="宋体" w:hAnsi="宋体" w:cs="宋体"/>
          <w:color w:val="auto"/>
          <w:szCs w:val="21"/>
          <w:highlight w:val="none"/>
        </w:rPr>
        <w:t>：</w:t>
      </w:r>
    </w:p>
    <w:p w14:paraId="4B2A02CD">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我</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系</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w:t>
      </w:r>
      <w:r>
        <w:rPr>
          <w:rFonts w:hint="eastAsia" w:ascii="宋体" w:hAnsi="宋体" w:cs="宋体"/>
          <w:color w:val="auto"/>
          <w:szCs w:val="21"/>
          <w:highlight w:val="none"/>
          <w:u w:val="single"/>
        </w:rPr>
        <w:sym w:font="Wingdings" w:char="00A8"/>
      </w:r>
      <w:r>
        <w:rPr>
          <w:rFonts w:hint="eastAsia" w:ascii="宋体" w:hAnsi="宋体" w:cs="宋体"/>
          <w:color w:val="auto"/>
          <w:szCs w:val="21"/>
          <w:highlight w:val="none"/>
          <w:u w:val="single"/>
        </w:rPr>
        <w:t>法定代表人/□负责人/□自然人本人</w:t>
      </w:r>
      <w:r>
        <w:rPr>
          <w:rFonts w:hint="eastAsia" w:ascii="宋体" w:hAnsi="宋体" w:cs="宋体"/>
          <w:color w:val="auto"/>
          <w:szCs w:val="21"/>
          <w:highlight w:val="none"/>
        </w:rPr>
        <w:t>），现授权</w:t>
      </w:r>
      <w:r>
        <w:rPr>
          <w:rFonts w:hint="eastAsia" w:ascii="宋体" w:hAnsi="宋体" w:cs="宋体"/>
          <w:color w:val="auto"/>
          <w:szCs w:val="21"/>
          <w:highlight w:val="none"/>
          <w:u w:val="single"/>
        </w:rPr>
        <w:t xml:space="preserve"> （姓名） </w:t>
      </w:r>
      <w:r>
        <w:rPr>
          <w:rFonts w:hint="eastAsia" w:ascii="宋体" w:hAnsi="宋体" w:cs="宋体"/>
          <w:color w:val="auto"/>
          <w:szCs w:val="21"/>
          <w:highlight w:val="none"/>
        </w:rPr>
        <w:t>以我方的名义参加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项目的竞标活动，并代表我方全权办理针对上述项目的所有采购程序和环节的具体事务和签署相关文件。</w:t>
      </w:r>
    </w:p>
    <w:p w14:paraId="33D411B4">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我方对委托代理人的签字事项负全部责任。</w:t>
      </w:r>
    </w:p>
    <w:p w14:paraId="764463C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本授权书自签署之日起生效，在撤销授权的书面通知以前，本授权书一直有效。委托代理人在授权书有效期内签署的所有文件不因授权的撤销而失效。</w:t>
      </w:r>
    </w:p>
    <w:p w14:paraId="42311872">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委托代理人无转委托权，特此委托。</w:t>
      </w:r>
    </w:p>
    <w:p w14:paraId="122DB1BC">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附：法定代表人身份证明书及委托代理人有效身份证正反面复印件</w:t>
      </w:r>
    </w:p>
    <w:p w14:paraId="79BB3FF5">
      <w:pPr>
        <w:spacing w:line="360" w:lineRule="auto"/>
        <w:rPr>
          <w:rFonts w:ascii="宋体" w:hAnsi="宋体" w:cs="宋体"/>
          <w:color w:val="auto"/>
          <w:szCs w:val="21"/>
          <w:highlight w:val="none"/>
        </w:rPr>
      </w:pPr>
    </w:p>
    <w:p w14:paraId="11BC3FC6">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委托代理人（签字）：         法定代表人（签字）：                    </w:t>
      </w:r>
    </w:p>
    <w:p w14:paraId="43D07A13">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委托代理人身份证号码：                              </w:t>
      </w:r>
    </w:p>
    <w:p w14:paraId="7D3F7CBE">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w:t>
      </w:r>
    </w:p>
    <w:p w14:paraId="27434422">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供应商（盖公章）：                      </w:t>
      </w:r>
    </w:p>
    <w:p w14:paraId="317091FB">
      <w:pPr>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年    月    日</w:t>
      </w:r>
    </w:p>
    <w:p w14:paraId="0D048BB9">
      <w:pPr>
        <w:spacing w:line="360" w:lineRule="auto"/>
        <w:rPr>
          <w:rFonts w:ascii="宋体" w:hAnsi="宋体" w:cs="宋体"/>
          <w:color w:val="auto"/>
          <w:szCs w:val="21"/>
          <w:highlight w:val="none"/>
        </w:rPr>
      </w:pPr>
    </w:p>
    <w:p w14:paraId="3E08C6B5">
      <w:pPr>
        <w:spacing w:line="360" w:lineRule="auto"/>
        <w:rPr>
          <w:rFonts w:ascii="宋体" w:hAnsi="宋体" w:cs="宋体"/>
          <w:color w:val="auto"/>
          <w:szCs w:val="21"/>
          <w:highlight w:val="none"/>
        </w:rPr>
      </w:pPr>
      <w:r>
        <w:rPr>
          <w:rFonts w:hint="eastAsia" w:ascii="宋体" w:hAnsi="宋体" w:cs="宋体"/>
          <w:color w:val="auto"/>
          <w:szCs w:val="21"/>
          <w:highlight w:val="none"/>
        </w:rPr>
        <w:t>注：1.法定代表人和委托代理人必须在授权委托书上亲笔签名，不得使用印章、签名章或者其他电子制版签名代替；</w:t>
      </w:r>
    </w:p>
    <w:p w14:paraId="5B7A833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15A476D1">
      <w:pPr>
        <w:spacing w:before="312" w:beforeLines="100" w:after="156" w:afterLines="50" w:line="360" w:lineRule="auto"/>
        <w:ind w:left="540"/>
        <w:jc w:val="center"/>
        <w:rPr>
          <w:rFonts w:ascii="宋体" w:hAnsi="宋体" w:cs="宋体"/>
          <w:b/>
          <w:color w:val="auto"/>
          <w:sz w:val="32"/>
          <w:szCs w:val="32"/>
          <w:highlight w:val="none"/>
        </w:rPr>
      </w:pPr>
      <w:r>
        <w:rPr>
          <w:rFonts w:hint="eastAsia" w:ascii="宋体" w:hAnsi="宋体" w:cs="宋体"/>
          <w:color w:val="auto"/>
          <w:szCs w:val="21"/>
          <w:highlight w:val="none"/>
        </w:rPr>
        <w:br w:type="page"/>
      </w:r>
      <w:r>
        <w:rPr>
          <w:rFonts w:hint="eastAsia" w:ascii="宋体" w:hAnsi="宋体" w:cs="宋体"/>
          <w:b/>
          <w:color w:val="auto"/>
          <w:sz w:val="32"/>
          <w:szCs w:val="32"/>
          <w:highlight w:val="none"/>
        </w:rPr>
        <w:t>商务条款偏离表格式</w:t>
      </w:r>
    </w:p>
    <w:p w14:paraId="4E8CA6A2">
      <w:pPr>
        <w:spacing w:before="312" w:beforeLines="100" w:after="156" w:afterLines="50" w:line="360" w:lineRule="auto"/>
        <w:ind w:left="540"/>
        <w:jc w:val="center"/>
        <w:rPr>
          <w:rFonts w:ascii="宋体" w:hAnsi="宋体" w:cs="宋体"/>
          <w:b/>
          <w:color w:val="auto"/>
          <w:sz w:val="32"/>
          <w:szCs w:val="32"/>
          <w:highlight w:val="none"/>
        </w:rPr>
      </w:pPr>
      <w:r>
        <w:rPr>
          <w:rFonts w:hint="eastAsia" w:ascii="宋体" w:hAnsi="宋体" w:cs="宋体"/>
          <w:b/>
          <w:color w:val="auto"/>
          <w:sz w:val="32"/>
          <w:szCs w:val="32"/>
          <w:highlight w:val="none"/>
        </w:rPr>
        <w:t>(注：按采购需求具体条款修改)</w:t>
      </w:r>
    </w:p>
    <w:p w14:paraId="3BA1A6E5">
      <w:pPr>
        <w:snapToGrid w:val="0"/>
        <w:spacing w:before="50" w:line="360" w:lineRule="auto"/>
        <w:jc w:val="left"/>
        <w:rPr>
          <w:rFonts w:ascii="宋体" w:hAnsi="宋体" w:cs="宋体"/>
          <w:color w:val="auto"/>
          <w:sz w:val="24"/>
          <w:highlight w:val="none"/>
        </w:rPr>
      </w:pPr>
    </w:p>
    <w:p w14:paraId="388D178B">
      <w:pPr>
        <w:pStyle w:val="22"/>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p>
    <w:p w14:paraId="1C0969E0">
      <w:pPr>
        <w:snapToGrid w:val="0"/>
        <w:spacing w:before="50" w:line="360" w:lineRule="auto"/>
        <w:jc w:val="left"/>
        <w:rPr>
          <w:rFonts w:ascii="宋体" w:hAnsi="宋体" w:cs="宋体"/>
          <w:color w:val="auto"/>
          <w:szCs w:val="21"/>
          <w:highlight w:val="none"/>
          <w:u w:val="single"/>
        </w:rPr>
      </w:pPr>
    </w:p>
    <w:tbl>
      <w:tblPr>
        <w:tblStyle w:val="50"/>
        <w:tblpPr w:leftFromText="180" w:rightFromText="180" w:vertAnchor="text" w:horzAnchor="margin" w:tblpY="-9"/>
        <w:tblOverlap w:val="never"/>
        <w:tblW w:w="818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26"/>
        <w:gridCol w:w="2637"/>
        <w:gridCol w:w="2250"/>
        <w:gridCol w:w="1775"/>
      </w:tblGrid>
      <w:tr w14:paraId="07AD8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26" w:type="dxa"/>
            <w:tcBorders>
              <w:top w:val="single" w:color="auto" w:sz="4" w:space="0"/>
              <w:left w:val="single" w:color="auto" w:sz="4" w:space="0"/>
              <w:bottom w:val="single" w:color="auto" w:sz="4" w:space="0"/>
              <w:right w:val="single" w:color="auto" w:sz="4" w:space="0"/>
            </w:tcBorders>
            <w:vAlign w:val="center"/>
          </w:tcPr>
          <w:p w14:paraId="784513DE">
            <w:pPr>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项目</w:t>
            </w:r>
          </w:p>
        </w:tc>
        <w:tc>
          <w:tcPr>
            <w:tcW w:w="2637" w:type="dxa"/>
            <w:tcBorders>
              <w:top w:val="single" w:color="auto" w:sz="4" w:space="0"/>
              <w:left w:val="single" w:color="auto" w:sz="4" w:space="0"/>
              <w:bottom w:val="single" w:color="auto" w:sz="4" w:space="0"/>
              <w:right w:val="single" w:color="auto" w:sz="4" w:space="0"/>
            </w:tcBorders>
            <w:vAlign w:val="center"/>
          </w:tcPr>
          <w:p w14:paraId="0773B767">
            <w:pPr>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磋商文件商务条款要求</w:t>
            </w:r>
          </w:p>
        </w:tc>
        <w:tc>
          <w:tcPr>
            <w:tcW w:w="2250" w:type="dxa"/>
            <w:tcBorders>
              <w:top w:val="single" w:color="auto" w:sz="4" w:space="0"/>
              <w:left w:val="single" w:color="auto" w:sz="4" w:space="0"/>
              <w:bottom w:val="single" w:color="auto" w:sz="4" w:space="0"/>
              <w:right w:val="single" w:color="auto" w:sz="4" w:space="0"/>
            </w:tcBorders>
            <w:vAlign w:val="center"/>
          </w:tcPr>
          <w:p w14:paraId="30F505B9">
            <w:pPr>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供应商的承诺</w:t>
            </w:r>
          </w:p>
        </w:tc>
        <w:tc>
          <w:tcPr>
            <w:tcW w:w="1775" w:type="dxa"/>
            <w:tcBorders>
              <w:top w:val="single" w:color="auto" w:sz="4" w:space="0"/>
              <w:left w:val="single" w:color="auto" w:sz="4" w:space="0"/>
              <w:bottom w:val="single" w:color="auto" w:sz="4" w:space="0"/>
              <w:right w:val="single" w:color="auto" w:sz="4" w:space="0"/>
            </w:tcBorders>
            <w:vAlign w:val="center"/>
          </w:tcPr>
          <w:p w14:paraId="203FBC76">
            <w:pPr>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偏离说明</w:t>
            </w:r>
          </w:p>
        </w:tc>
      </w:tr>
      <w:tr w14:paraId="60C0FD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26" w:type="dxa"/>
            <w:tcBorders>
              <w:top w:val="single" w:color="auto" w:sz="4" w:space="0"/>
              <w:left w:val="single" w:color="auto" w:sz="4" w:space="0"/>
              <w:bottom w:val="single" w:color="auto" w:sz="4" w:space="0"/>
              <w:right w:val="single" w:color="auto" w:sz="4" w:space="0"/>
            </w:tcBorders>
            <w:vAlign w:val="center"/>
          </w:tcPr>
          <w:p w14:paraId="2FF7CDB9">
            <w:pPr>
              <w:snapToGrid w:val="0"/>
              <w:spacing w:before="156" w:beforeLines="50" w:line="360" w:lineRule="auto"/>
              <w:jc w:val="center"/>
              <w:rPr>
                <w:rFonts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76269525">
            <w:pPr>
              <w:snapToGrid w:val="0"/>
              <w:spacing w:before="156"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369EF672">
            <w:pPr>
              <w:snapToGrid w:val="0"/>
              <w:spacing w:before="156" w:beforeLines="50" w:line="360" w:lineRule="auto"/>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8B53DDB">
            <w:pPr>
              <w:snapToGrid w:val="0"/>
              <w:spacing w:before="156" w:beforeLines="50" w:line="360" w:lineRule="auto"/>
              <w:jc w:val="center"/>
              <w:rPr>
                <w:rFonts w:ascii="宋体" w:hAnsi="宋体" w:cs="宋体"/>
                <w:color w:val="auto"/>
                <w:szCs w:val="21"/>
                <w:highlight w:val="none"/>
              </w:rPr>
            </w:pPr>
          </w:p>
        </w:tc>
      </w:tr>
      <w:tr w14:paraId="41114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1526" w:type="dxa"/>
            <w:tcBorders>
              <w:top w:val="single" w:color="auto" w:sz="4" w:space="0"/>
              <w:left w:val="single" w:color="auto" w:sz="4" w:space="0"/>
              <w:bottom w:val="single" w:color="auto" w:sz="4" w:space="0"/>
              <w:right w:val="single" w:color="auto" w:sz="4" w:space="0"/>
            </w:tcBorders>
            <w:vAlign w:val="center"/>
          </w:tcPr>
          <w:p w14:paraId="29F20361">
            <w:pPr>
              <w:snapToGrid w:val="0"/>
              <w:spacing w:before="156" w:beforeLines="50" w:line="360" w:lineRule="auto"/>
              <w:jc w:val="center"/>
              <w:rPr>
                <w:rFonts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3D94192D">
            <w:pPr>
              <w:snapToGrid w:val="0"/>
              <w:spacing w:before="156"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63043E9A">
            <w:pPr>
              <w:snapToGrid w:val="0"/>
              <w:spacing w:before="156" w:beforeLines="50" w:line="360" w:lineRule="auto"/>
              <w:ind w:left="43"/>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776523E3">
            <w:pPr>
              <w:snapToGrid w:val="0"/>
              <w:spacing w:before="156" w:beforeLines="50" w:line="360" w:lineRule="auto"/>
              <w:ind w:left="43"/>
              <w:jc w:val="center"/>
              <w:rPr>
                <w:rFonts w:ascii="宋体" w:hAnsi="宋体" w:cs="宋体"/>
                <w:color w:val="auto"/>
                <w:szCs w:val="21"/>
                <w:highlight w:val="none"/>
              </w:rPr>
            </w:pPr>
          </w:p>
        </w:tc>
      </w:tr>
      <w:tr w14:paraId="7EECF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526" w:type="dxa"/>
            <w:tcBorders>
              <w:top w:val="single" w:color="auto" w:sz="4" w:space="0"/>
              <w:left w:val="single" w:color="auto" w:sz="4" w:space="0"/>
              <w:bottom w:val="single" w:color="auto" w:sz="4" w:space="0"/>
              <w:right w:val="single" w:color="auto" w:sz="4" w:space="0"/>
            </w:tcBorders>
            <w:vAlign w:val="center"/>
          </w:tcPr>
          <w:p w14:paraId="377C41A8">
            <w:pPr>
              <w:snapToGrid w:val="0"/>
              <w:spacing w:before="156" w:beforeLines="50" w:line="360" w:lineRule="auto"/>
              <w:jc w:val="center"/>
              <w:rPr>
                <w:rFonts w:ascii="宋体" w:hAnsi="宋体" w:cs="宋体"/>
                <w:color w:val="auto"/>
                <w:szCs w:val="21"/>
                <w:highlight w:val="none"/>
              </w:rPr>
            </w:pPr>
          </w:p>
        </w:tc>
        <w:tc>
          <w:tcPr>
            <w:tcW w:w="2637" w:type="dxa"/>
            <w:tcBorders>
              <w:top w:val="single" w:color="auto" w:sz="4" w:space="0"/>
              <w:left w:val="single" w:color="auto" w:sz="4" w:space="0"/>
              <w:bottom w:val="single" w:color="auto" w:sz="4" w:space="0"/>
              <w:right w:val="single" w:color="auto" w:sz="4" w:space="0"/>
            </w:tcBorders>
            <w:vAlign w:val="center"/>
          </w:tcPr>
          <w:p w14:paraId="2B5347CA">
            <w:pPr>
              <w:snapToGrid w:val="0"/>
              <w:spacing w:before="156"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36817889">
            <w:pPr>
              <w:snapToGrid w:val="0"/>
              <w:spacing w:before="156" w:beforeLines="50" w:line="360" w:lineRule="auto"/>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585E83B2">
            <w:pPr>
              <w:snapToGrid w:val="0"/>
              <w:spacing w:before="156" w:beforeLines="50" w:line="360" w:lineRule="auto"/>
              <w:jc w:val="center"/>
              <w:rPr>
                <w:rFonts w:ascii="宋体" w:hAnsi="宋体" w:cs="宋体"/>
                <w:color w:val="auto"/>
                <w:szCs w:val="21"/>
                <w:highlight w:val="none"/>
              </w:rPr>
            </w:pPr>
          </w:p>
        </w:tc>
      </w:tr>
      <w:tr w14:paraId="419742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26" w:type="dxa"/>
            <w:tcBorders>
              <w:top w:val="single" w:color="auto" w:sz="4" w:space="0"/>
              <w:left w:val="single" w:color="auto" w:sz="4" w:space="0"/>
              <w:bottom w:val="single" w:color="auto" w:sz="4" w:space="0"/>
              <w:right w:val="single" w:color="auto" w:sz="4" w:space="0"/>
            </w:tcBorders>
            <w:vAlign w:val="center"/>
          </w:tcPr>
          <w:p w14:paraId="3EE584E9">
            <w:pPr>
              <w:snapToGri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rPr>
              <w:t>…</w:t>
            </w:r>
          </w:p>
        </w:tc>
        <w:tc>
          <w:tcPr>
            <w:tcW w:w="2637" w:type="dxa"/>
            <w:tcBorders>
              <w:top w:val="single" w:color="auto" w:sz="4" w:space="0"/>
              <w:left w:val="single" w:color="auto" w:sz="4" w:space="0"/>
              <w:bottom w:val="single" w:color="auto" w:sz="4" w:space="0"/>
              <w:right w:val="single" w:color="auto" w:sz="4" w:space="0"/>
            </w:tcBorders>
            <w:vAlign w:val="center"/>
          </w:tcPr>
          <w:p w14:paraId="71E695C8">
            <w:pPr>
              <w:snapToGrid w:val="0"/>
              <w:spacing w:before="156" w:beforeLines="50" w:line="360" w:lineRule="auto"/>
              <w:jc w:val="center"/>
              <w:rPr>
                <w:rFonts w:ascii="宋体" w:hAnsi="宋体" w:cs="宋体"/>
                <w:color w:val="auto"/>
                <w:szCs w:val="21"/>
                <w:highlight w:val="none"/>
              </w:rPr>
            </w:pPr>
          </w:p>
        </w:tc>
        <w:tc>
          <w:tcPr>
            <w:tcW w:w="2250" w:type="dxa"/>
            <w:tcBorders>
              <w:top w:val="single" w:color="auto" w:sz="4" w:space="0"/>
              <w:left w:val="single" w:color="auto" w:sz="4" w:space="0"/>
              <w:bottom w:val="single" w:color="auto" w:sz="4" w:space="0"/>
              <w:right w:val="single" w:color="auto" w:sz="4" w:space="0"/>
            </w:tcBorders>
            <w:vAlign w:val="center"/>
          </w:tcPr>
          <w:p w14:paraId="29214A13">
            <w:pPr>
              <w:snapToGrid w:val="0"/>
              <w:spacing w:before="156" w:beforeLines="50" w:line="360" w:lineRule="auto"/>
              <w:jc w:val="center"/>
              <w:rPr>
                <w:rFonts w:ascii="宋体" w:hAnsi="宋体" w:cs="宋体"/>
                <w:color w:val="auto"/>
                <w:szCs w:val="21"/>
                <w:highlight w:val="none"/>
              </w:rPr>
            </w:pPr>
          </w:p>
        </w:tc>
        <w:tc>
          <w:tcPr>
            <w:tcW w:w="1775" w:type="dxa"/>
            <w:tcBorders>
              <w:top w:val="single" w:color="auto" w:sz="4" w:space="0"/>
              <w:left w:val="single" w:color="auto" w:sz="4" w:space="0"/>
              <w:bottom w:val="single" w:color="auto" w:sz="4" w:space="0"/>
              <w:right w:val="single" w:color="auto" w:sz="4" w:space="0"/>
            </w:tcBorders>
            <w:vAlign w:val="center"/>
          </w:tcPr>
          <w:p w14:paraId="4EFBD80A">
            <w:pPr>
              <w:snapToGrid w:val="0"/>
              <w:spacing w:before="156" w:beforeLines="50" w:line="360" w:lineRule="auto"/>
              <w:jc w:val="center"/>
              <w:rPr>
                <w:rFonts w:ascii="宋体" w:hAnsi="宋体" w:cs="宋体"/>
                <w:color w:val="auto"/>
                <w:szCs w:val="21"/>
                <w:highlight w:val="none"/>
              </w:rPr>
            </w:pPr>
          </w:p>
        </w:tc>
      </w:tr>
    </w:tbl>
    <w:p w14:paraId="301AD16C">
      <w:pPr>
        <w:pStyle w:val="19"/>
        <w:spacing w:line="360" w:lineRule="auto"/>
        <w:rPr>
          <w:rFonts w:ascii="宋体" w:hAnsi="宋体" w:cs="宋体"/>
          <w:color w:val="auto"/>
          <w:kern w:val="0"/>
          <w:sz w:val="21"/>
          <w:szCs w:val="21"/>
          <w:highlight w:val="none"/>
        </w:rPr>
      </w:pPr>
    </w:p>
    <w:p w14:paraId="09A10C7F">
      <w:pPr>
        <w:pStyle w:val="19"/>
        <w:spacing w:line="360" w:lineRule="auto"/>
        <w:rPr>
          <w:rFonts w:ascii="宋体" w:hAnsi="宋体" w:cs="宋体"/>
          <w:color w:val="auto"/>
          <w:kern w:val="0"/>
          <w:sz w:val="21"/>
          <w:szCs w:val="21"/>
          <w:highlight w:val="none"/>
        </w:rPr>
      </w:pPr>
    </w:p>
    <w:p w14:paraId="04354B6F">
      <w:pPr>
        <w:pStyle w:val="19"/>
        <w:spacing w:line="360" w:lineRule="auto"/>
        <w:rPr>
          <w:rFonts w:ascii="宋体" w:hAnsi="宋体" w:cs="宋体"/>
          <w:color w:val="auto"/>
          <w:kern w:val="0"/>
          <w:sz w:val="21"/>
          <w:szCs w:val="21"/>
          <w:highlight w:val="none"/>
        </w:rPr>
      </w:pPr>
    </w:p>
    <w:p w14:paraId="2846F2F5">
      <w:pPr>
        <w:pStyle w:val="19"/>
        <w:spacing w:line="360" w:lineRule="auto"/>
        <w:rPr>
          <w:rFonts w:ascii="宋体" w:hAnsi="宋体" w:cs="宋体"/>
          <w:color w:val="auto"/>
          <w:kern w:val="0"/>
          <w:sz w:val="21"/>
          <w:szCs w:val="21"/>
          <w:highlight w:val="none"/>
        </w:rPr>
      </w:pPr>
    </w:p>
    <w:p w14:paraId="3A0D8265">
      <w:pPr>
        <w:pStyle w:val="19"/>
        <w:spacing w:line="360" w:lineRule="auto"/>
        <w:rPr>
          <w:rFonts w:ascii="宋体" w:hAnsi="宋体" w:cs="宋体"/>
          <w:color w:val="auto"/>
          <w:kern w:val="0"/>
          <w:sz w:val="21"/>
          <w:szCs w:val="21"/>
          <w:highlight w:val="none"/>
        </w:rPr>
      </w:pPr>
    </w:p>
    <w:p w14:paraId="33E54B36">
      <w:pPr>
        <w:pStyle w:val="19"/>
        <w:spacing w:line="360" w:lineRule="auto"/>
        <w:rPr>
          <w:rFonts w:ascii="宋体" w:hAnsi="宋体" w:cs="宋体"/>
          <w:color w:val="auto"/>
          <w:kern w:val="0"/>
          <w:sz w:val="21"/>
          <w:szCs w:val="21"/>
          <w:highlight w:val="none"/>
        </w:rPr>
      </w:pPr>
    </w:p>
    <w:p w14:paraId="23610952">
      <w:pPr>
        <w:pStyle w:val="19"/>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注：本表可根据项目情况自行扩展</w:t>
      </w:r>
    </w:p>
    <w:p w14:paraId="32140C9F">
      <w:pPr>
        <w:pStyle w:val="19"/>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 说明：应对照磋商文件“第三章 采购需求”中的商务条款逐条实质性响应，并作出偏离说明。</w:t>
      </w:r>
    </w:p>
    <w:p w14:paraId="4AF18C27">
      <w:pPr>
        <w:snapToGrid w:val="0"/>
        <w:spacing w:before="50" w:line="360" w:lineRule="auto"/>
        <w:jc w:val="left"/>
        <w:rPr>
          <w:rFonts w:ascii="宋体" w:hAnsi="宋体" w:cs="宋体"/>
          <w:color w:val="auto"/>
          <w:szCs w:val="21"/>
          <w:highlight w:val="none"/>
          <w:u w:val="single"/>
        </w:rPr>
      </w:pPr>
      <w:r>
        <w:rPr>
          <w:rFonts w:hint="eastAsia" w:ascii="宋体" w:hAnsi="宋体" w:cs="宋体"/>
          <w:color w:val="auto"/>
          <w:kern w:val="0"/>
          <w:szCs w:val="21"/>
          <w:highlight w:val="none"/>
        </w:rPr>
        <w:t>2.供应商应根据自身的承诺，对照磋商文件要求在“偏离说明”中注明“正偏离”、“负偏离”或者“无偏离”。既不属于“正偏离”也不属于“负偏离”即为“无偏离”。</w:t>
      </w:r>
    </w:p>
    <w:p w14:paraId="217E634C">
      <w:pPr>
        <w:snapToGrid w:val="0"/>
        <w:spacing w:before="50" w:after="50" w:line="360" w:lineRule="auto"/>
        <w:ind w:right="-817" w:rightChars="-389"/>
        <w:rPr>
          <w:rFonts w:ascii="宋体" w:hAnsi="宋体" w:cs="宋体"/>
          <w:color w:val="auto"/>
          <w:szCs w:val="21"/>
          <w:highlight w:val="none"/>
        </w:rPr>
      </w:pPr>
    </w:p>
    <w:p w14:paraId="0E507A3B">
      <w:pPr>
        <w:snapToGrid w:val="0"/>
        <w:spacing w:before="50" w:after="50"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31E84DDF">
      <w:pPr>
        <w:snapToGrid w:val="0"/>
        <w:spacing w:before="50" w:after="50"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3070CF6A">
      <w:pPr>
        <w:snapToGrid w:val="0"/>
        <w:spacing w:before="50" w:after="50" w:line="360" w:lineRule="auto"/>
        <w:ind w:right="-817" w:rightChars="-389" w:firstLine="3570" w:firstLineChars="1700"/>
        <w:rPr>
          <w:rFonts w:ascii="宋体" w:hAnsi="宋体" w:cs="宋体"/>
          <w:bCs/>
          <w:color w:val="auto"/>
          <w:szCs w:val="21"/>
          <w:highlight w:val="none"/>
        </w:rPr>
      </w:pPr>
      <w:r>
        <w:rPr>
          <w:rFonts w:hint="eastAsia" w:ascii="宋体" w:hAnsi="宋体" w:cs="宋体"/>
          <w:color w:val="auto"/>
          <w:szCs w:val="21"/>
          <w:highlight w:val="none"/>
        </w:rPr>
        <w:t>日期：   年   月   日</w:t>
      </w:r>
    </w:p>
    <w:p w14:paraId="2250084A">
      <w:pPr>
        <w:adjustRightInd w:val="0"/>
        <w:snapToGrid w:val="0"/>
        <w:spacing w:line="360" w:lineRule="auto"/>
        <w:ind w:firstLine="3360" w:firstLineChars="1600"/>
        <w:jc w:val="center"/>
        <w:rPr>
          <w:rFonts w:ascii="宋体" w:hAnsi="宋体" w:cs="宋体"/>
          <w:bCs/>
          <w:color w:val="auto"/>
          <w:szCs w:val="21"/>
          <w:highlight w:val="none"/>
        </w:rPr>
      </w:pPr>
    </w:p>
    <w:p w14:paraId="5D7AC0B1">
      <w:pPr>
        <w:adjustRightInd w:val="0"/>
        <w:snapToGrid w:val="0"/>
        <w:spacing w:line="360" w:lineRule="auto"/>
        <w:ind w:firstLine="3360" w:firstLineChars="1600"/>
        <w:jc w:val="center"/>
        <w:rPr>
          <w:rFonts w:ascii="宋体" w:hAnsi="宋体" w:cs="宋体"/>
          <w:bCs/>
          <w:color w:val="auto"/>
          <w:szCs w:val="21"/>
          <w:highlight w:val="none"/>
        </w:rPr>
      </w:pPr>
    </w:p>
    <w:p w14:paraId="21BC53E6">
      <w:pPr>
        <w:adjustRightInd w:val="0"/>
        <w:snapToGrid w:val="0"/>
        <w:spacing w:line="360" w:lineRule="auto"/>
        <w:ind w:firstLine="7040" w:firstLineChars="1600"/>
        <w:jc w:val="center"/>
        <w:rPr>
          <w:rFonts w:ascii="宋体" w:hAnsi="宋体" w:cs="宋体"/>
          <w:bCs/>
          <w:color w:val="auto"/>
          <w:sz w:val="44"/>
          <w:szCs w:val="44"/>
          <w:highlight w:val="none"/>
        </w:rPr>
      </w:pPr>
    </w:p>
    <w:p w14:paraId="3E141FAA">
      <w:pPr>
        <w:adjustRightInd w:val="0"/>
        <w:snapToGrid w:val="0"/>
        <w:spacing w:line="360" w:lineRule="auto"/>
        <w:rPr>
          <w:rFonts w:ascii="宋体" w:hAnsi="宋体" w:cs="宋体"/>
          <w:color w:val="auto"/>
          <w:szCs w:val="21"/>
          <w:highlight w:val="none"/>
          <w:u w:val="single"/>
        </w:rPr>
      </w:pPr>
    </w:p>
    <w:p w14:paraId="089451A4">
      <w:pPr>
        <w:adjustRightInd w:val="0"/>
        <w:snapToGrid w:val="0"/>
        <w:spacing w:line="360" w:lineRule="auto"/>
        <w:rPr>
          <w:rFonts w:ascii="宋体" w:hAnsi="宋体" w:cs="宋体"/>
          <w:color w:val="auto"/>
          <w:szCs w:val="21"/>
          <w:highlight w:val="none"/>
          <w:u w:val="single"/>
        </w:rPr>
      </w:pPr>
    </w:p>
    <w:p w14:paraId="49903CEC">
      <w:pPr>
        <w:adjustRightInd w:val="0"/>
        <w:snapToGrid w:val="0"/>
        <w:spacing w:line="360" w:lineRule="auto"/>
        <w:jc w:val="center"/>
        <w:rPr>
          <w:rFonts w:ascii="宋体" w:hAnsi="宋体" w:cs="宋体"/>
          <w:bCs/>
          <w:color w:val="auto"/>
          <w:sz w:val="44"/>
          <w:szCs w:val="44"/>
          <w:highlight w:val="none"/>
        </w:rPr>
      </w:pPr>
      <w:r>
        <w:rPr>
          <w:rFonts w:hint="eastAsia" w:ascii="宋体" w:hAnsi="宋体" w:cs="宋体"/>
          <w:bCs/>
          <w:color w:val="auto"/>
          <w:sz w:val="44"/>
          <w:szCs w:val="44"/>
          <w:highlight w:val="none"/>
        </w:rPr>
        <w:br w:type="page"/>
      </w:r>
      <w:r>
        <w:rPr>
          <w:rFonts w:hint="eastAsia" w:ascii="宋体" w:hAnsi="宋体" w:cs="宋体"/>
          <w:b/>
          <w:color w:val="auto"/>
          <w:sz w:val="32"/>
          <w:szCs w:val="32"/>
          <w:highlight w:val="none"/>
        </w:rPr>
        <w:t>技术需求偏离表</w:t>
      </w:r>
    </w:p>
    <w:p w14:paraId="423CD961">
      <w:pPr>
        <w:spacing w:line="360" w:lineRule="auto"/>
        <w:rPr>
          <w:rFonts w:ascii="宋体" w:hAnsi="宋体" w:cs="宋体"/>
          <w:color w:val="auto"/>
          <w:sz w:val="32"/>
          <w:szCs w:val="32"/>
          <w:highlight w:val="none"/>
        </w:rPr>
      </w:pPr>
    </w:p>
    <w:p w14:paraId="5758657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采购项目编号：</w:t>
      </w:r>
      <w:r>
        <w:rPr>
          <w:rFonts w:hint="eastAsia" w:ascii="宋体" w:hAnsi="宋体" w:cs="宋体"/>
          <w:color w:val="auto"/>
          <w:szCs w:val="21"/>
          <w:highlight w:val="none"/>
          <w:u w:val="single"/>
        </w:rPr>
        <w:t xml:space="preserve">                 </w:t>
      </w:r>
    </w:p>
    <w:p w14:paraId="5AA6CF20">
      <w:pPr>
        <w:spacing w:line="360" w:lineRule="auto"/>
        <w:rPr>
          <w:rFonts w:ascii="宋体" w:hAnsi="宋体" w:cs="宋体"/>
          <w:color w:val="auto"/>
          <w:szCs w:val="21"/>
          <w:highlight w:val="none"/>
        </w:rPr>
      </w:pPr>
      <w:r>
        <w:rPr>
          <w:rFonts w:hint="eastAsia" w:ascii="宋体" w:hAnsi="宋体" w:cs="宋体"/>
          <w:color w:val="auto"/>
          <w:szCs w:val="21"/>
          <w:highlight w:val="none"/>
        </w:rPr>
        <w:t>采购项目名称：</w:t>
      </w:r>
      <w:r>
        <w:rPr>
          <w:rFonts w:hint="eastAsia" w:ascii="宋体" w:hAnsi="宋体" w:cs="宋体"/>
          <w:color w:val="auto"/>
          <w:szCs w:val="21"/>
          <w:highlight w:val="none"/>
          <w:u w:val="single"/>
        </w:rPr>
        <w:t xml:space="preserve">                 </w:t>
      </w:r>
    </w:p>
    <w:p w14:paraId="69896E51">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分标号：</w:t>
      </w:r>
      <w:r>
        <w:rPr>
          <w:rFonts w:hint="eastAsia" w:ascii="宋体" w:hAnsi="宋体" w:cs="宋体"/>
          <w:color w:val="auto"/>
          <w:szCs w:val="21"/>
          <w:highlight w:val="none"/>
          <w:u w:val="single"/>
        </w:rPr>
        <w:t xml:space="preserve">                       </w:t>
      </w:r>
    </w:p>
    <w:tbl>
      <w:tblPr>
        <w:tblStyle w:val="50"/>
        <w:tblW w:w="945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1"/>
        <w:gridCol w:w="1499"/>
        <w:gridCol w:w="2611"/>
        <w:gridCol w:w="2843"/>
        <w:gridCol w:w="1552"/>
      </w:tblGrid>
      <w:tr w14:paraId="598103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3925FD08">
            <w:pPr>
              <w:pStyle w:val="21"/>
              <w:spacing w:line="360" w:lineRule="auto"/>
              <w:ind w:firstLine="0" w:firstLineChars="0"/>
              <w:jc w:val="center"/>
              <w:rPr>
                <w:rFonts w:ascii="宋体" w:hAnsi="宋体" w:eastAsia="宋体" w:cs="宋体"/>
                <w:color w:val="auto"/>
                <w:kern w:val="2"/>
                <w:sz w:val="21"/>
                <w:szCs w:val="21"/>
                <w:highlight w:val="none"/>
              </w:rPr>
            </w:pPr>
            <w:bookmarkStart w:id="124" w:name="_Toc383699906"/>
            <w:bookmarkStart w:id="125" w:name="_Toc173211900"/>
            <w:bookmarkStart w:id="126" w:name="_Toc254970588"/>
            <w:bookmarkStart w:id="127" w:name="_Toc373333689"/>
            <w:bookmarkStart w:id="128" w:name="_Toc254970729"/>
            <w:bookmarkStart w:id="129" w:name="_Toc295404981"/>
            <w:bookmarkStart w:id="130" w:name="_Toc297193185"/>
            <w:bookmarkStart w:id="131" w:name="_Toc301781611"/>
            <w:bookmarkStart w:id="132" w:name="_Toc173066401"/>
            <w:r>
              <w:rPr>
                <w:rFonts w:hint="eastAsia" w:ascii="宋体" w:hAnsi="宋体" w:eastAsia="宋体" w:cs="宋体"/>
                <w:color w:val="auto"/>
                <w:kern w:val="2"/>
                <w:sz w:val="21"/>
                <w:szCs w:val="21"/>
                <w:highlight w:val="none"/>
              </w:rPr>
              <w:t>序号</w:t>
            </w:r>
            <w:bookmarkEnd w:id="124"/>
            <w:bookmarkEnd w:id="125"/>
            <w:bookmarkEnd w:id="126"/>
            <w:bookmarkEnd w:id="127"/>
            <w:bookmarkEnd w:id="128"/>
            <w:bookmarkEnd w:id="129"/>
            <w:bookmarkEnd w:id="130"/>
            <w:bookmarkEnd w:id="131"/>
            <w:bookmarkEnd w:id="132"/>
          </w:p>
        </w:tc>
        <w:tc>
          <w:tcPr>
            <w:tcW w:w="1499" w:type="dxa"/>
            <w:tcBorders>
              <w:right w:val="single" w:color="auto" w:sz="4" w:space="0"/>
            </w:tcBorders>
            <w:vAlign w:val="center"/>
          </w:tcPr>
          <w:p w14:paraId="5F754D85">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名称</w:t>
            </w:r>
          </w:p>
        </w:tc>
        <w:tc>
          <w:tcPr>
            <w:tcW w:w="2611" w:type="dxa"/>
            <w:tcBorders>
              <w:left w:val="single" w:color="auto" w:sz="4" w:space="0"/>
            </w:tcBorders>
            <w:vAlign w:val="center"/>
          </w:tcPr>
          <w:p w14:paraId="620D16CD">
            <w:pPr>
              <w:pStyle w:val="21"/>
              <w:spacing w:line="360" w:lineRule="auto"/>
              <w:ind w:firstLine="0" w:firstLineChars="0"/>
              <w:jc w:val="center"/>
              <w:rPr>
                <w:rFonts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磋商文件技术需求</w:t>
            </w:r>
          </w:p>
        </w:tc>
        <w:tc>
          <w:tcPr>
            <w:tcW w:w="2843" w:type="dxa"/>
            <w:vAlign w:val="center"/>
          </w:tcPr>
          <w:p w14:paraId="1476EEDD">
            <w:pPr>
              <w:pStyle w:val="21"/>
              <w:spacing w:line="360" w:lineRule="auto"/>
              <w:ind w:firstLine="0" w:firstLineChars="0"/>
              <w:jc w:val="center"/>
              <w:rPr>
                <w:rFonts w:ascii="宋体" w:hAnsi="宋体" w:eastAsia="宋体" w:cs="宋体"/>
                <w:color w:val="auto"/>
                <w:kern w:val="2"/>
                <w:sz w:val="21"/>
                <w:szCs w:val="21"/>
                <w:highlight w:val="none"/>
              </w:rPr>
            </w:pPr>
            <w:bookmarkStart w:id="133" w:name="_Toc383699908"/>
            <w:bookmarkStart w:id="134" w:name="_Toc254970731"/>
            <w:bookmarkStart w:id="135" w:name="_Toc295404983"/>
            <w:bookmarkStart w:id="136" w:name="_Toc301781613"/>
            <w:bookmarkStart w:id="137" w:name="_Toc297193187"/>
            <w:bookmarkStart w:id="138" w:name="_Toc254970590"/>
            <w:bookmarkStart w:id="139" w:name="_Toc373333691"/>
            <w:bookmarkStart w:id="140" w:name="_Toc173066403"/>
            <w:bookmarkStart w:id="141" w:name="_Toc173211902"/>
            <w:r>
              <w:rPr>
                <w:rFonts w:hint="eastAsia" w:ascii="宋体" w:hAnsi="宋体" w:eastAsia="宋体" w:cs="宋体"/>
                <w:color w:val="auto"/>
                <w:kern w:val="2"/>
                <w:sz w:val="21"/>
                <w:szCs w:val="21"/>
                <w:highlight w:val="none"/>
              </w:rPr>
              <w:t>竞标响应</w:t>
            </w:r>
            <w:bookmarkEnd w:id="133"/>
            <w:bookmarkEnd w:id="134"/>
            <w:bookmarkEnd w:id="135"/>
            <w:bookmarkEnd w:id="136"/>
            <w:bookmarkEnd w:id="137"/>
            <w:bookmarkEnd w:id="138"/>
            <w:bookmarkEnd w:id="139"/>
            <w:bookmarkEnd w:id="140"/>
            <w:bookmarkEnd w:id="141"/>
          </w:p>
        </w:tc>
        <w:tc>
          <w:tcPr>
            <w:tcW w:w="1552" w:type="dxa"/>
            <w:vAlign w:val="center"/>
          </w:tcPr>
          <w:p w14:paraId="00F2793B">
            <w:pPr>
              <w:pStyle w:val="21"/>
              <w:spacing w:line="360" w:lineRule="auto"/>
              <w:ind w:firstLine="0" w:firstLineChars="0"/>
              <w:jc w:val="center"/>
              <w:rPr>
                <w:rFonts w:ascii="宋体" w:hAnsi="宋体" w:eastAsia="宋体" w:cs="宋体"/>
                <w:color w:val="auto"/>
                <w:kern w:val="2"/>
                <w:sz w:val="21"/>
                <w:szCs w:val="21"/>
                <w:highlight w:val="none"/>
              </w:rPr>
            </w:pPr>
            <w:bookmarkStart w:id="142" w:name="_Toc173066404"/>
            <w:bookmarkStart w:id="143" w:name="_Toc297193188"/>
            <w:bookmarkStart w:id="144" w:name="_Toc254970591"/>
            <w:bookmarkStart w:id="145" w:name="_Toc173211903"/>
            <w:bookmarkStart w:id="146" w:name="_Toc295404984"/>
            <w:bookmarkStart w:id="147" w:name="_Toc301781614"/>
            <w:bookmarkStart w:id="148" w:name="_Toc383699909"/>
            <w:bookmarkStart w:id="149" w:name="_Toc254970732"/>
            <w:bookmarkStart w:id="150" w:name="_Toc373333692"/>
            <w:r>
              <w:rPr>
                <w:rFonts w:hint="eastAsia" w:ascii="宋体" w:hAnsi="宋体" w:eastAsia="宋体" w:cs="宋体"/>
                <w:color w:val="auto"/>
                <w:kern w:val="2"/>
                <w:sz w:val="21"/>
                <w:szCs w:val="21"/>
                <w:highlight w:val="none"/>
              </w:rPr>
              <w:t>偏离</w:t>
            </w:r>
            <w:bookmarkEnd w:id="142"/>
            <w:bookmarkEnd w:id="143"/>
            <w:bookmarkEnd w:id="144"/>
            <w:bookmarkEnd w:id="145"/>
            <w:bookmarkEnd w:id="146"/>
            <w:bookmarkEnd w:id="147"/>
            <w:bookmarkEnd w:id="148"/>
            <w:bookmarkEnd w:id="149"/>
            <w:bookmarkEnd w:id="150"/>
            <w:bookmarkStart w:id="151" w:name="_Toc254970733"/>
            <w:bookmarkStart w:id="152" w:name="_Toc254970592"/>
            <w:bookmarkStart w:id="153" w:name="_Toc295404985"/>
            <w:bookmarkStart w:id="154" w:name="_Toc301781615"/>
            <w:bookmarkStart w:id="155" w:name="_Toc383699910"/>
            <w:bookmarkStart w:id="156" w:name="_Toc173066405"/>
            <w:bookmarkStart w:id="157" w:name="_Toc173211904"/>
            <w:bookmarkStart w:id="158" w:name="_Toc373333693"/>
            <w:bookmarkStart w:id="159" w:name="_Toc297193189"/>
            <w:r>
              <w:rPr>
                <w:rFonts w:hint="eastAsia" w:ascii="宋体" w:hAnsi="宋体" w:eastAsia="宋体" w:cs="宋体"/>
                <w:color w:val="auto"/>
                <w:kern w:val="2"/>
                <w:sz w:val="21"/>
                <w:szCs w:val="21"/>
                <w:highlight w:val="none"/>
              </w:rPr>
              <w:t>说明</w:t>
            </w:r>
            <w:bookmarkEnd w:id="151"/>
            <w:bookmarkEnd w:id="152"/>
            <w:bookmarkEnd w:id="153"/>
            <w:bookmarkEnd w:id="154"/>
            <w:bookmarkEnd w:id="155"/>
            <w:bookmarkEnd w:id="156"/>
            <w:bookmarkEnd w:id="157"/>
            <w:bookmarkEnd w:id="158"/>
            <w:bookmarkEnd w:id="159"/>
          </w:p>
        </w:tc>
      </w:tr>
      <w:tr w14:paraId="127806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01830F5C">
            <w:pPr>
              <w:pStyle w:val="21"/>
              <w:spacing w:line="360" w:lineRule="auto"/>
              <w:ind w:firstLine="0" w:firstLineChars="0"/>
              <w:jc w:val="center"/>
              <w:rPr>
                <w:rFonts w:ascii="宋体" w:hAnsi="宋体" w:eastAsia="宋体" w:cs="宋体"/>
                <w:color w:val="auto"/>
                <w:kern w:val="2"/>
                <w:sz w:val="21"/>
                <w:szCs w:val="21"/>
                <w:highlight w:val="none"/>
              </w:rPr>
            </w:pPr>
            <w:bookmarkStart w:id="160" w:name="_Toc373333694"/>
            <w:bookmarkStart w:id="161" w:name="_Toc297193190"/>
            <w:bookmarkStart w:id="162" w:name="_Toc254970593"/>
            <w:bookmarkStart w:id="163" w:name="_Toc173066406"/>
            <w:bookmarkStart w:id="164" w:name="_Toc383699911"/>
            <w:bookmarkStart w:id="165" w:name="_Toc254970734"/>
            <w:bookmarkStart w:id="166" w:name="_Toc295404986"/>
            <w:bookmarkStart w:id="167" w:name="_Toc173211905"/>
            <w:bookmarkStart w:id="168" w:name="_Toc301781616"/>
            <w:r>
              <w:rPr>
                <w:rFonts w:hint="eastAsia" w:ascii="宋体" w:hAnsi="宋体" w:eastAsia="宋体" w:cs="宋体"/>
                <w:color w:val="auto"/>
                <w:kern w:val="2"/>
                <w:sz w:val="21"/>
                <w:szCs w:val="21"/>
                <w:highlight w:val="none"/>
              </w:rPr>
              <w:t>1</w:t>
            </w:r>
            <w:bookmarkEnd w:id="160"/>
            <w:bookmarkEnd w:id="161"/>
            <w:bookmarkEnd w:id="162"/>
            <w:bookmarkEnd w:id="163"/>
            <w:bookmarkEnd w:id="164"/>
            <w:bookmarkEnd w:id="165"/>
            <w:bookmarkEnd w:id="166"/>
            <w:bookmarkEnd w:id="167"/>
            <w:bookmarkEnd w:id="168"/>
          </w:p>
        </w:tc>
        <w:tc>
          <w:tcPr>
            <w:tcW w:w="1499" w:type="dxa"/>
            <w:tcBorders>
              <w:right w:val="single" w:color="auto" w:sz="4" w:space="0"/>
            </w:tcBorders>
            <w:vAlign w:val="center"/>
          </w:tcPr>
          <w:p w14:paraId="19B3B754">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29146EA2">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17BC06CC">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53409164">
            <w:pPr>
              <w:pStyle w:val="21"/>
              <w:spacing w:line="360" w:lineRule="auto"/>
              <w:ind w:firstLine="0" w:firstLineChars="0"/>
              <w:jc w:val="center"/>
              <w:rPr>
                <w:rFonts w:ascii="宋体" w:hAnsi="宋体" w:eastAsia="宋体" w:cs="宋体"/>
                <w:color w:val="auto"/>
                <w:kern w:val="2"/>
                <w:sz w:val="21"/>
                <w:szCs w:val="21"/>
                <w:highlight w:val="none"/>
              </w:rPr>
            </w:pPr>
          </w:p>
        </w:tc>
      </w:tr>
      <w:tr w14:paraId="64A67C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B46BEDC">
            <w:pPr>
              <w:pStyle w:val="21"/>
              <w:spacing w:line="360" w:lineRule="auto"/>
              <w:ind w:firstLine="0" w:firstLineChars="0"/>
              <w:jc w:val="center"/>
              <w:rPr>
                <w:rFonts w:ascii="宋体" w:hAnsi="宋体" w:eastAsia="宋体" w:cs="宋体"/>
                <w:color w:val="auto"/>
                <w:kern w:val="2"/>
                <w:sz w:val="21"/>
                <w:szCs w:val="21"/>
                <w:highlight w:val="none"/>
              </w:rPr>
            </w:pPr>
            <w:bookmarkStart w:id="169" w:name="_Toc383699912"/>
            <w:bookmarkStart w:id="170" w:name="_Toc173066407"/>
            <w:bookmarkStart w:id="171" w:name="_Toc373333695"/>
            <w:bookmarkStart w:id="172" w:name="_Toc297193191"/>
            <w:bookmarkStart w:id="173" w:name="_Toc173211906"/>
            <w:bookmarkStart w:id="174" w:name="_Toc301781617"/>
            <w:bookmarkStart w:id="175" w:name="_Toc295404987"/>
            <w:bookmarkStart w:id="176" w:name="_Toc254970594"/>
            <w:bookmarkStart w:id="177" w:name="_Toc254970735"/>
            <w:r>
              <w:rPr>
                <w:rFonts w:hint="eastAsia" w:ascii="宋体" w:hAnsi="宋体" w:eastAsia="宋体" w:cs="宋体"/>
                <w:color w:val="auto"/>
                <w:kern w:val="2"/>
                <w:sz w:val="21"/>
                <w:szCs w:val="21"/>
                <w:highlight w:val="none"/>
              </w:rPr>
              <w:t>2</w:t>
            </w:r>
            <w:bookmarkEnd w:id="169"/>
            <w:bookmarkEnd w:id="170"/>
            <w:bookmarkEnd w:id="171"/>
            <w:bookmarkEnd w:id="172"/>
            <w:bookmarkEnd w:id="173"/>
            <w:bookmarkEnd w:id="174"/>
            <w:bookmarkEnd w:id="175"/>
            <w:bookmarkEnd w:id="176"/>
            <w:bookmarkEnd w:id="177"/>
          </w:p>
        </w:tc>
        <w:tc>
          <w:tcPr>
            <w:tcW w:w="1499" w:type="dxa"/>
            <w:tcBorders>
              <w:right w:val="single" w:color="auto" w:sz="4" w:space="0"/>
            </w:tcBorders>
            <w:vAlign w:val="center"/>
          </w:tcPr>
          <w:p w14:paraId="2B3A478B">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3B64A82B">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78BC93DD">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5A083D04">
            <w:pPr>
              <w:pStyle w:val="21"/>
              <w:spacing w:line="360" w:lineRule="auto"/>
              <w:ind w:firstLine="0" w:firstLineChars="0"/>
              <w:jc w:val="center"/>
              <w:rPr>
                <w:rFonts w:ascii="宋体" w:hAnsi="宋体" w:eastAsia="宋体" w:cs="宋体"/>
                <w:color w:val="auto"/>
                <w:kern w:val="2"/>
                <w:sz w:val="21"/>
                <w:szCs w:val="21"/>
                <w:highlight w:val="none"/>
              </w:rPr>
            </w:pPr>
          </w:p>
        </w:tc>
      </w:tr>
      <w:tr w14:paraId="7A32B7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71AADB3E">
            <w:pPr>
              <w:pStyle w:val="21"/>
              <w:spacing w:line="360" w:lineRule="auto"/>
              <w:ind w:firstLine="0" w:firstLineChars="0"/>
              <w:jc w:val="center"/>
              <w:rPr>
                <w:rFonts w:ascii="宋体" w:hAnsi="宋体" w:eastAsia="宋体" w:cs="宋体"/>
                <w:color w:val="auto"/>
                <w:kern w:val="2"/>
                <w:sz w:val="21"/>
                <w:szCs w:val="21"/>
                <w:highlight w:val="none"/>
              </w:rPr>
            </w:pPr>
            <w:bookmarkStart w:id="178" w:name="_Toc173066408"/>
            <w:bookmarkStart w:id="179" w:name="_Toc254970736"/>
            <w:bookmarkStart w:id="180" w:name="_Toc295404988"/>
            <w:bookmarkStart w:id="181" w:name="_Toc254970595"/>
            <w:bookmarkStart w:id="182" w:name="_Toc373333696"/>
            <w:bookmarkStart w:id="183" w:name="_Toc301781618"/>
            <w:bookmarkStart w:id="184" w:name="_Toc297193192"/>
            <w:bookmarkStart w:id="185" w:name="_Toc383699913"/>
            <w:bookmarkStart w:id="186" w:name="_Toc173211907"/>
            <w:r>
              <w:rPr>
                <w:rFonts w:hint="eastAsia" w:ascii="宋体" w:hAnsi="宋体" w:eastAsia="宋体" w:cs="宋体"/>
                <w:color w:val="auto"/>
                <w:kern w:val="2"/>
                <w:sz w:val="21"/>
                <w:szCs w:val="21"/>
                <w:highlight w:val="none"/>
              </w:rPr>
              <w:t>3</w:t>
            </w:r>
            <w:bookmarkEnd w:id="178"/>
            <w:bookmarkEnd w:id="179"/>
            <w:bookmarkEnd w:id="180"/>
            <w:bookmarkEnd w:id="181"/>
            <w:bookmarkEnd w:id="182"/>
            <w:bookmarkEnd w:id="183"/>
            <w:bookmarkEnd w:id="184"/>
            <w:bookmarkEnd w:id="185"/>
            <w:bookmarkEnd w:id="186"/>
          </w:p>
        </w:tc>
        <w:tc>
          <w:tcPr>
            <w:tcW w:w="1499" w:type="dxa"/>
            <w:tcBorders>
              <w:right w:val="single" w:color="auto" w:sz="4" w:space="0"/>
            </w:tcBorders>
            <w:vAlign w:val="center"/>
          </w:tcPr>
          <w:p w14:paraId="28FBD729">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156287BB">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69642566">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63632D80">
            <w:pPr>
              <w:pStyle w:val="21"/>
              <w:spacing w:line="360" w:lineRule="auto"/>
              <w:ind w:firstLine="0" w:firstLineChars="0"/>
              <w:jc w:val="center"/>
              <w:rPr>
                <w:rFonts w:ascii="宋体" w:hAnsi="宋体" w:eastAsia="宋体" w:cs="宋体"/>
                <w:color w:val="auto"/>
                <w:kern w:val="2"/>
                <w:sz w:val="21"/>
                <w:szCs w:val="21"/>
                <w:highlight w:val="none"/>
              </w:rPr>
            </w:pPr>
          </w:p>
        </w:tc>
      </w:tr>
      <w:tr w14:paraId="3A19DE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6EF8319A">
            <w:pPr>
              <w:pStyle w:val="21"/>
              <w:spacing w:line="360" w:lineRule="auto"/>
              <w:ind w:firstLine="0" w:firstLineChars="0"/>
              <w:jc w:val="center"/>
              <w:rPr>
                <w:rFonts w:ascii="宋体" w:hAnsi="宋体" w:eastAsia="宋体" w:cs="宋体"/>
                <w:color w:val="auto"/>
                <w:kern w:val="2"/>
                <w:sz w:val="21"/>
                <w:szCs w:val="21"/>
                <w:highlight w:val="none"/>
              </w:rPr>
            </w:pPr>
            <w:bookmarkStart w:id="187" w:name="_Toc295404989"/>
            <w:bookmarkStart w:id="188" w:name="_Toc173211908"/>
            <w:bookmarkStart w:id="189" w:name="_Toc173066409"/>
            <w:bookmarkStart w:id="190" w:name="_Toc383699914"/>
            <w:bookmarkStart w:id="191" w:name="_Toc297193193"/>
            <w:bookmarkStart w:id="192" w:name="_Toc301781619"/>
            <w:bookmarkStart w:id="193" w:name="_Toc254970737"/>
            <w:bookmarkStart w:id="194" w:name="_Toc254970596"/>
            <w:bookmarkStart w:id="195" w:name="_Toc373333697"/>
            <w:r>
              <w:rPr>
                <w:rFonts w:hint="eastAsia" w:ascii="宋体" w:hAnsi="宋体" w:eastAsia="宋体" w:cs="宋体"/>
                <w:color w:val="auto"/>
                <w:kern w:val="2"/>
                <w:sz w:val="21"/>
                <w:szCs w:val="21"/>
                <w:highlight w:val="none"/>
              </w:rPr>
              <w:t>4</w:t>
            </w:r>
            <w:bookmarkEnd w:id="187"/>
            <w:bookmarkEnd w:id="188"/>
            <w:bookmarkEnd w:id="189"/>
            <w:bookmarkEnd w:id="190"/>
            <w:bookmarkEnd w:id="191"/>
            <w:bookmarkEnd w:id="192"/>
            <w:bookmarkEnd w:id="193"/>
            <w:bookmarkEnd w:id="194"/>
            <w:bookmarkEnd w:id="195"/>
          </w:p>
        </w:tc>
        <w:tc>
          <w:tcPr>
            <w:tcW w:w="1499" w:type="dxa"/>
            <w:tcBorders>
              <w:right w:val="single" w:color="auto" w:sz="4" w:space="0"/>
            </w:tcBorders>
            <w:vAlign w:val="center"/>
          </w:tcPr>
          <w:p w14:paraId="3606CC15">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46948A4A">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409A02E7">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6B75AB2D">
            <w:pPr>
              <w:pStyle w:val="21"/>
              <w:spacing w:line="360" w:lineRule="auto"/>
              <w:ind w:firstLine="0" w:firstLineChars="0"/>
              <w:jc w:val="center"/>
              <w:rPr>
                <w:rFonts w:ascii="宋体" w:hAnsi="宋体" w:eastAsia="宋体" w:cs="宋体"/>
                <w:color w:val="auto"/>
                <w:kern w:val="2"/>
                <w:sz w:val="21"/>
                <w:szCs w:val="21"/>
                <w:highlight w:val="none"/>
              </w:rPr>
            </w:pPr>
          </w:p>
        </w:tc>
      </w:tr>
      <w:tr w14:paraId="340AEBA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jc w:val="center"/>
        </w:trPr>
        <w:tc>
          <w:tcPr>
            <w:tcW w:w="951" w:type="dxa"/>
            <w:vAlign w:val="center"/>
          </w:tcPr>
          <w:p w14:paraId="3A534575">
            <w:pPr>
              <w:pStyle w:val="21"/>
              <w:spacing w:line="360" w:lineRule="auto"/>
              <w:ind w:firstLine="0" w:firstLineChars="0"/>
              <w:jc w:val="center"/>
              <w:rPr>
                <w:rFonts w:ascii="宋体" w:hAnsi="宋体" w:eastAsia="宋体" w:cs="宋体"/>
                <w:color w:val="auto"/>
                <w:kern w:val="2"/>
                <w:sz w:val="21"/>
                <w:szCs w:val="21"/>
                <w:highlight w:val="none"/>
              </w:rPr>
            </w:pPr>
            <w:bookmarkStart w:id="196" w:name="_Toc373333698"/>
            <w:bookmarkStart w:id="197" w:name="_Toc254970738"/>
            <w:bookmarkStart w:id="198" w:name="_Toc173066410"/>
            <w:bookmarkStart w:id="199" w:name="_Toc173211909"/>
            <w:bookmarkStart w:id="200" w:name="_Toc301781620"/>
            <w:bookmarkStart w:id="201" w:name="_Toc295404990"/>
            <w:bookmarkStart w:id="202" w:name="_Toc383699915"/>
            <w:bookmarkStart w:id="203" w:name="_Toc297193194"/>
            <w:bookmarkStart w:id="204" w:name="_Toc254970597"/>
            <w:r>
              <w:rPr>
                <w:rFonts w:hint="eastAsia" w:ascii="宋体" w:hAnsi="宋体" w:eastAsia="宋体" w:cs="宋体"/>
                <w:color w:val="auto"/>
                <w:kern w:val="2"/>
                <w:sz w:val="21"/>
                <w:szCs w:val="21"/>
                <w:highlight w:val="none"/>
              </w:rPr>
              <w:t>5</w:t>
            </w:r>
            <w:bookmarkEnd w:id="196"/>
            <w:bookmarkEnd w:id="197"/>
            <w:bookmarkEnd w:id="198"/>
            <w:bookmarkEnd w:id="199"/>
            <w:bookmarkEnd w:id="200"/>
            <w:bookmarkEnd w:id="201"/>
            <w:bookmarkEnd w:id="202"/>
            <w:bookmarkEnd w:id="203"/>
            <w:bookmarkEnd w:id="204"/>
          </w:p>
        </w:tc>
        <w:tc>
          <w:tcPr>
            <w:tcW w:w="1499" w:type="dxa"/>
            <w:tcBorders>
              <w:right w:val="single" w:color="auto" w:sz="4" w:space="0"/>
            </w:tcBorders>
            <w:vAlign w:val="center"/>
          </w:tcPr>
          <w:p w14:paraId="68E5915B">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395AB3E1">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15774942">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vAlign w:val="center"/>
          </w:tcPr>
          <w:p w14:paraId="571518B0">
            <w:pPr>
              <w:pStyle w:val="21"/>
              <w:spacing w:line="360" w:lineRule="auto"/>
              <w:ind w:firstLine="0" w:firstLineChars="0"/>
              <w:jc w:val="center"/>
              <w:rPr>
                <w:rFonts w:ascii="宋体" w:hAnsi="宋体" w:eastAsia="宋体" w:cs="宋体"/>
                <w:color w:val="auto"/>
                <w:kern w:val="2"/>
                <w:sz w:val="21"/>
                <w:szCs w:val="21"/>
                <w:highlight w:val="none"/>
              </w:rPr>
            </w:pPr>
          </w:p>
        </w:tc>
      </w:tr>
      <w:tr w14:paraId="52C2E8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jc w:val="center"/>
        </w:trPr>
        <w:tc>
          <w:tcPr>
            <w:tcW w:w="951" w:type="dxa"/>
            <w:vAlign w:val="center"/>
          </w:tcPr>
          <w:p w14:paraId="0538530D">
            <w:pPr>
              <w:pStyle w:val="21"/>
              <w:spacing w:line="360" w:lineRule="auto"/>
              <w:ind w:firstLine="0" w:firstLineChars="0"/>
              <w:jc w:val="center"/>
              <w:rPr>
                <w:rFonts w:ascii="宋体" w:hAnsi="宋体" w:eastAsia="宋体" w:cs="宋体"/>
                <w:color w:val="auto"/>
                <w:kern w:val="2"/>
                <w:sz w:val="21"/>
                <w:szCs w:val="21"/>
                <w:highlight w:val="none"/>
              </w:rPr>
            </w:pPr>
            <w:bookmarkStart w:id="205" w:name="_Toc373333699"/>
            <w:bookmarkStart w:id="206" w:name="_Toc173066415"/>
            <w:bookmarkStart w:id="207" w:name="_Toc254970602"/>
            <w:bookmarkStart w:id="208" w:name="_Toc295404991"/>
            <w:bookmarkStart w:id="209" w:name="_Toc297193195"/>
            <w:bookmarkStart w:id="210" w:name="_Toc383699916"/>
            <w:bookmarkStart w:id="211" w:name="_Toc301781621"/>
            <w:bookmarkStart w:id="212" w:name="_Toc254970743"/>
            <w:bookmarkStart w:id="213" w:name="_Toc173211914"/>
            <w:r>
              <w:rPr>
                <w:rFonts w:hint="eastAsia" w:ascii="宋体" w:hAnsi="宋体" w:eastAsia="宋体" w:cs="宋体"/>
                <w:color w:val="auto"/>
                <w:kern w:val="2"/>
                <w:sz w:val="21"/>
                <w:szCs w:val="21"/>
                <w:highlight w:val="none"/>
              </w:rPr>
              <w:t>…</w:t>
            </w:r>
            <w:bookmarkEnd w:id="205"/>
            <w:bookmarkEnd w:id="206"/>
            <w:bookmarkEnd w:id="207"/>
            <w:bookmarkEnd w:id="208"/>
            <w:bookmarkEnd w:id="209"/>
            <w:bookmarkEnd w:id="210"/>
            <w:bookmarkEnd w:id="211"/>
            <w:bookmarkEnd w:id="212"/>
            <w:bookmarkEnd w:id="213"/>
          </w:p>
        </w:tc>
        <w:tc>
          <w:tcPr>
            <w:tcW w:w="1499" w:type="dxa"/>
            <w:tcBorders>
              <w:right w:val="single" w:color="auto" w:sz="4" w:space="0"/>
            </w:tcBorders>
            <w:vAlign w:val="center"/>
          </w:tcPr>
          <w:p w14:paraId="0DF85EDB">
            <w:pPr>
              <w:pStyle w:val="21"/>
              <w:spacing w:line="360" w:lineRule="auto"/>
              <w:ind w:firstLine="0" w:firstLineChars="0"/>
              <w:jc w:val="center"/>
              <w:rPr>
                <w:rFonts w:ascii="宋体" w:hAnsi="宋体" w:eastAsia="宋体" w:cs="宋体"/>
                <w:color w:val="auto"/>
                <w:kern w:val="2"/>
                <w:sz w:val="21"/>
                <w:szCs w:val="21"/>
                <w:highlight w:val="none"/>
              </w:rPr>
            </w:pPr>
          </w:p>
        </w:tc>
        <w:tc>
          <w:tcPr>
            <w:tcW w:w="2611" w:type="dxa"/>
            <w:tcBorders>
              <w:left w:val="single" w:color="auto" w:sz="4" w:space="0"/>
            </w:tcBorders>
            <w:vAlign w:val="center"/>
          </w:tcPr>
          <w:p w14:paraId="3538CB58">
            <w:pPr>
              <w:pStyle w:val="21"/>
              <w:spacing w:line="360" w:lineRule="auto"/>
              <w:ind w:firstLine="0" w:firstLineChars="0"/>
              <w:jc w:val="center"/>
              <w:rPr>
                <w:rFonts w:ascii="宋体" w:hAnsi="宋体" w:eastAsia="宋体" w:cs="宋体"/>
                <w:color w:val="auto"/>
                <w:kern w:val="2"/>
                <w:sz w:val="21"/>
                <w:szCs w:val="21"/>
                <w:highlight w:val="none"/>
              </w:rPr>
            </w:pPr>
          </w:p>
        </w:tc>
        <w:tc>
          <w:tcPr>
            <w:tcW w:w="2843" w:type="dxa"/>
            <w:vAlign w:val="center"/>
          </w:tcPr>
          <w:p w14:paraId="2F49DFD5">
            <w:pPr>
              <w:pStyle w:val="21"/>
              <w:spacing w:line="360" w:lineRule="auto"/>
              <w:ind w:firstLine="0" w:firstLineChars="0"/>
              <w:jc w:val="center"/>
              <w:rPr>
                <w:rFonts w:ascii="宋体" w:hAnsi="宋体" w:eastAsia="宋体" w:cs="宋体"/>
                <w:color w:val="auto"/>
                <w:kern w:val="2"/>
                <w:sz w:val="21"/>
                <w:szCs w:val="21"/>
                <w:highlight w:val="none"/>
              </w:rPr>
            </w:pPr>
          </w:p>
        </w:tc>
        <w:tc>
          <w:tcPr>
            <w:tcW w:w="1552" w:type="dxa"/>
            <w:tcBorders>
              <w:right w:val="single" w:color="auto" w:sz="4" w:space="0"/>
            </w:tcBorders>
            <w:vAlign w:val="center"/>
          </w:tcPr>
          <w:p w14:paraId="038E1A70">
            <w:pPr>
              <w:pStyle w:val="21"/>
              <w:spacing w:line="360" w:lineRule="auto"/>
              <w:ind w:firstLine="0" w:firstLineChars="0"/>
              <w:jc w:val="center"/>
              <w:rPr>
                <w:rFonts w:ascii="宋体" w:hAnsi="宋体" w:eastAsia="宋体" w:cs="宋体"/>
                <w:color w:val="auto"/>
                <w:kern w:val="2"/>
                <w:sz w:val="21"/>
                <w:szCs w:val="21"/>
                <w:highlight w:val="none"/>
              </w:rPr>
            </w:pPr>
          </w:p>
        </w:tc>
      </w:tr>
    </w:tbl>
    <w:p w14:paraId="28506FC0">
      <w:pPr>
        <w:adjustRightInd w:val="0"/>
        <w:snapToGrid w:val="0"/>
        <w:spacing w:line="360" w:lineRule="auto"/>
        <w:rPr>
          <w:rFonts w:ascii="宋体" w:hAnsi="宋体" w:cs="宋体"/>
          <w:color w:val="auto"/>
          <w:szCs w:val="21"/>
          <w:highlight w:val="none"/>
        </w:rPr>
      </w:pPr>
    </w:p>
    <w:p w14:paraId="39FD84ED">
      <w:pPr>
        <w:pStyle w:val="2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注：本表可根据项目情况自行扩展</w:t>
      </w:r>
    </w:p>
    <w:p w14:paraId="17532351">
      <w:pPr>
        <w:pStyle w:val="2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 说明：应对照磋商文件“第三章 采购需求”中的技术需求逐条实质性响应，并作出偏离说明。</w:t>
      </w:r>
    </w:p>
    <w:p w14:paraId="1C9D8A59">
      <w:pPr>
        <w:pStyle w:val="21"/>
        <w:spacing w:line="360" w:lineRule="auto"/>
        <w:ind w:firstLine="0" w:firstLineChars="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2.供应商应根据自身的承诺，对照磋商文件要求，在“偏离说明”中注明“正偏离”、“负偏离”或者“无偏离”。既不属于“正偏离”也不属于“负偏离”即为“无偏离”。</w:t>
      </w:r>
    </w:p>
    <w:p w14:paraId="57A70F1F">
      <w:pPr>
        <w:pStyle w:val="22"/>
        <w:spacing w:line="360" w:lineRule="auto"/>
        <w:rPr>
          <w:rFonts w:hAnsi="宋体" w:cs="宋体"/>
          <w:color w:val="auto"/>
          <w:sz w:val="21"/>
          <w:highlight w:val="none"/>
        </w:rPr>
      </w:pPr>
    </w:p>
    <w:p w14:paraId="1D8B4B98">
      <w:pPr>
        <w:snapToGrid w:val="0"/>
        <w:spacing w:before="50" w:after="50" w:line="360" w:lineRule="auto"/>
        <w:ind w:right="-817" w:rightChars="-389"/>
        <w:rPr>
          <w:rFonts w:ascii="宋体" w:hAnsi="宋体" w:cs="宋体"/>
          <w:color w:val="auto"/>
          <w:szCs w:val="21"/>
          <w:highlight w:val="none"/>
        </w:rPr>
      </w:pPr>
    </w:p>
    <w:p w14:paraId="04EE5967">
      <w:pPr>
        <w:snapToGrid w:val="0"/>
        <w:spacing w:before="50" w:after="50" w:line="360" w:lineRule="auto"/>
        <w:ind w:right="-817" w:rightChars="-389" w:firstLine="840" w:firstLineChars="400"/>
        <w:rPr>
          <w:rFonts w:ascii="宋体" w:hAnsi="宋体" w:cs="宋体"/>
          <w:color w:val="auto"/>
          <w:szCs w:val="21"/>
          <w:highlight w:val="none"/>
        </w:rPr>
      </w:pPr>
      <w:r>
        <w:rPr>
          <w:rFonts w:hint="eastAsia" w:ascii="宋体" w:hAnsi="宋体" w:cs="宋体"/>
          <w:color w:val="auto"/>
          <w:szCs w:val="21"/>
          <w:highlight w:val="none"/>
        </w:rPr>
        <w:t xml:space="preserve">法定代表人或者委托代理人（签字）：                    </w:t>
      </w:r>
    </w:p>
    <w:p w14:paraId="00653E77">
      <w:pPr>
        <w:snapToGrid w:val="0"/>
        <w:spacing w:before="50" w:after="50" w:line="360" w:lineRule="auto"/>
        <w:ind w:right="-817" w:rightChars="-389" w:firstLine="2310" w:firstLineChars="1100"/>
        <w:rPr>
          <w:rFonts w:ascii="宋体" w:hAnsi="宋体" w:cs="宋体"/>
          <w:color w:val="auto"/>
          <w:szCs w:val="21"/>
          <w:highlight w:val="none"/>
        </w:rPr>
      </w:pPr>
      <w:r>
        <w:rPr>
          <w:rFonts w:hint="eastAsia" w:ascii="宋体" w:hAnsi="宋体" w:cs="宋体"/>
          <w:color w:val="auto"/>
          <w:szCs w:val="21"/>
          <w:highlight w:val="none"/>
        </w:rPr>
        <w:t xml:space="preserve">供应商（盖公章）：      </w:t>
      </w:r>
    </w:p>
    <w:p w14:paraId="01A815F4">
      <w:pPr>
        <w:snapToGrid w:val="0"/>
        <w:spacing w:before="50" w:after="50" w:line="360" w:lineRule="auto"/>
        <w:ind w:right="-817" w:rightChars="-389" w:firstLine="3570" w:firstLineChars="1700"/>
        <w:rPr>
          <w:rFonts w:ascii="宋体" w:hAnsi="宋体" w:cs="宋体"/>
          <w:color w:val="auto"/>
          <w:szCs w:val="21"/>
          <w:highlight w:val="none"/>
        </w:rPr>
      </w:pPr>
      <w:r>
        <w:rPr>
          <w:rFonts w:hint="eastAsia" w:ascii="宋体" w:hAnsi="宋体" w:cs="宋体"/>
          <w:color w:val="auto"/>
          <w:szCs w:val="21"/>
          <w:highlight w:val="none"/>
        </w:rPr>
        <w:t>日期：   年   月   日</w:t>
      </w:r>
    </w:p>
    <w:p w14:paraId="22DEE811">
      <w:pPr>
        <w:snapToGrid w:val="0"/>
        <w:spacing w:before="156" w:beforeLines="50" w:after="50" w:line="360" w:lineRule="auto"/>
        <w:ind w:left="142"/>
        <w:jc w:val="left"/>
        <w:rPr>
          <w:rFonts w:ascii="宋体" w:hAnsi="宋体" w:cs="宋体"/>
          <w:b/>
          <w:color w:val="auto"/>
          <w:sz w:val="24"/>
          <w:highlight w:val="none"/>
        </w:rPr>
      </w:pPr>
      <w:r>
        <w:rPr>
          <w:rFonts w:hint="eastAsia" w:ascii="宋体" w:hAnsi="宋体" w:cs="宋体"/>
          <w:color w:val="auto"/>
          <w:szCs w:val="21"/>
          <w:highlight w:val="none"/>
        </w:rPr>
        <w:br w:type="page"/>
      </w:r>
      <w:r>
        <w:rPr>
          <w:rFonts w:hint="eastAsia" w:ascii="宋体" w:hAnsi="宋体" w:cs="宋体"/>
          <w:b/>
          <w:color w:val="auto"/>
          <w:sz w:val="24"/>
          <w:highlight w:val="none"/>
        </w:rPr>
        <w:t>项目实施人员一览表格式</w:t>
      </w:r>
    </w:p>
    <w:p w14:paraId="6CB8D0AC">
      <w:pPr>
        <w:snapToGrid w:val="0"/>
        <w:spacing w:before="156" w:beforeLines="50" w:after="50" w:line="360" w:lineRule="auto"/>
        <w:ind w:left="142"/>
        <w:jc w:val="left"/>
        <w:rPr>
          <w:rFonts w:ascii="宋体" w:hAnsi="宋体" w:cs="宋体"/>
          <w:b/>
          <w:color w:val="auto"/>
          <w:sz w:val="24"/>
          <w:highlight w:val="none"/>
        </w:rPr>
      </w:pPr>
    </w:p>
    <w:p w14:paraId="25A43482">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p>
    <w:p w14:paraId="14AA02A3">
      <w:pPr>
        <w:pStyle w:val="22"/>
        <w:spacing w:line="360" w:lineRule="auto"/>
        <w:rPr>
          <w:rFonts w:hAnsi="宋体" w:cs="宋体"/>
          <w:color w:val="auto"/>
          <w:sz w:val="21"/>
          <w:highlight w:val="none"/>
        </w:rPr>
      </w:pPr>
      <w:r>
        <w:rPr>
          <w:rFonts w:hint="eastAsia" w:hAnsi="宋体" w:cs="宋体"/>
          <w:color w:val="auto"/>
          <w:sz w:val="21"/>
          <w:highlight w:val="none"/>
        </w:rPr>
        <w:t>所竞分标：</w:t>
      </w:r>
      <w:r>
        <w:rPr>
          <w:rFonts w:hint="eastAsia" w:hAnsi="宋体" w:cs="宋体"/>
          <w:color w:val="auto"/>
          <w:sz w:val="21"/>
          <w:highlight w:val="none"/>
          <w:u w:val="single"/>
        </w:rPr>
        <w:t xml:space="preserve">     </w:t>
      </w:r>
      <w:r>
        <w:rPr>
          <w:rFonts w:hint="eastAsia" w:hAnsi="宋体" w:cs="宋体"/>
          <w:color w:val="auto"/>
          <w:sz w:val="21"/>
          <w:highlight w:val="none"/>
        </w:rPr>
        <w:t>分标</w:t>
      </w:r>
    </w:p>
    <w:tbl>
      <w:tblPr>
        <w:tblStyle w:val="50"/>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367"/>
        <w:gridCol w:w="1856"/>
        <w:gridCol w:w="2232"/>
      </w:tblGrid>
      <w:tr w14:paraId="30171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48ECB8F">
            <w:pPr>
              <w:snapToGrid w:val="0"/>
              <w:spacing w:before="50" w:after="156" w:afterLines="50" w:line="360" w:lineRule="auto"/>
              <w:jc w:val="center"/>
              <w:rPr>
                <w:rFonts w:ascii="宋体" w:hAnsi="宋体" w:cs="宋体"/>
                <w:color w:val="auto"/>
                <w:szCs w:val="16"/>
                <w:highlight w:val="none"/>
              </w:rPr>
            </w:pPr>
            <w:r>
              <w:rPr>
                <w:rFonts w:hint="eastAsia" w:ascii="宋体" w:hAnsi="宋体" w:cs="宋体"/>
                <w:color w:val="auto"/>
                <w:szCs w:val="16"/>
                <w:highlight w:val="none"/>
              </w:rPr>
              <w:t>姓名</w:t>
            </w:r>
          </w:p>
        </w:tc>
        <w:tc>
          <w:tcPr>
            <w:tcW w:w="709" w:type="dxa"/>
            <w:vAlign w:val="center"/>
          </w:tcPr>
          <w:p w14:paraId="41B3218F">
            <w:pPr>
              <w:snapToGrid w:val="0"/>
              <w:spacing w:before="50" w:after="156" w:afterLines="50" w:line="360" w:lineRule="auto"/>
              <w:jc w:val="center"/>
              <w:rPr>
                <w:rFonts w:ascii="宋体" w:hAnsi="宋体" w:cs="宋体"/>
                <w:color w:val="auto"/>
                <w:szCs w:val="16"/>
                <w:highlight w:val="none"/>
              </w:rPr>
            </w:pPr>
            <w:r>
              <w:rPr>
                <w:rFonts w:hint="eastAsia" w:ascii="宋体" w:hAnsi="宋体" w:cs="宋体"/>
                <w:color w:val="auto"/>
                <w:szCs w:val="16"/>
                <w:highlight w:val="none"/>
              </w:rPr>
              <w:t>职务</w:t>
            </w:r>
          </w:p>
        </w:tc>
        <w:tc>
          <w:tcPr>
            <w:tcW w:w="3367" w:type="dxa"/>
            <w:vAlign w:val="center"/>
          </w:tcPr>
          <w:p w14:paraId="390B6270">
            <w:pPr>
              <w:snapToGrid w:val="0"/>
              <w:spacing w:before="50" w:after="156" w:afterLines="50" w:line="360" w:lineRule="auto"/>
              <w:jc w:val="center"/>
              <w:rPr>
                <w:rFonts w:ascii="宋体" w:hAnsi="宋体" w:cs="宋体"/>
                <w:color w:val="auto"/>
                <w:szCs w:val="16"/>
                <w:highlight w:val="none"/>
              </w:rPr>
            </w:pPr>
            <w:r>
              <w:rPr>
                <w:rFonts w:hint="eastAsia" w:ascii="宋体" w:hAnsi="宋体" w:cs="宋体"/>
                <w:color w:val="auto"/>
                <w:szCs w:val="16"/>
                <w:highlight w:val="none"/>
              </w:rPr>
              <w:t>专业技术资格（职称）或者职业资格或者执业资格证或者其他证书</w:t>
            </w:r>
          </w:p>
        </w:tc>
        <w:tc>
          <w:tcPr>
            <w:tcW w:w="1856" w:type="dxa"/>
            <w:vAlign w:val="center"/>
          </w:tcPr>
          <w:p w14:paraId="79A70229">
            <w:pPr>
              <w:snapToGrid w:val="0"/>
              <w:spacing w:before="50" w:after="156" w:afterLines="50" w:line="360" w:lineRule="auto"/>
              <w:jc w:val="center"/>
              <w:rPr>
                <w:rFonts w:ascii="宋体" w:hAnsi="宋体" w:cs="宋体"/>
                <w:color w:val="auto"/>
                <w:szCs w:val="16"/>
                <w:highlight w:val="none"/>
              </w:rPr>
            </w:pPr>
            <w:r>
              <w:rPr>
                <w:rFonts w:hint="eastAsia" w:ascii="宋体" w:hAnsi="宋体" w:cs="宋体"/>
                <w:color w:val="auto"/>
                <w:szCs w:val="16"/>
                <w:highlight w:val="none"/>
              </w:rPr>
              <w:t>证书编号</w:t>
            </w:r>
          </w:p>
        </w:tc>
        <w:tc>
          <w:tcPr>
            <w:tcW w:w="2232" w:type="dxa"/>
            <w:vAlign w:val="center"/>
          </w:tcPr>
          <w:p w14:paraId="4BAF7574">
            <w:pPr>
              <w:snapToGrid w:val="0"/>
              <w:spacing w:before="50" w:after="156" w:afterLines="50" w:line="360" w:lineRule="auto"/>
              <w:jc w:val="center"/>
              <w:rPr>
                <w:rFonts w:ascii="宋体" w:hAnsi="宋体" w:cs="宋体"/>
                <w:color w:val="auto"/>
                <w:szCs w:val="16"/>
                <w:highlight w:val="none"/>
              </w:rPr>
            </w:pPr>
            <w:r>
              <w:rPr>
                <w:rFonts w:hint="eastAsia" w:ascii="宋体" w:hAnsi="宋体" w:cs="宋体"/>
                <w:color w:val="auto"/>
                <w:szCs w:val="16"/>
                <w:highlight w:val="none"/>
              </w:rPr>
              <w:t>参加本单位</w:t>
            </w:r>
          </w:p>
          <w:p w14:paraId="1A054529">
            <w:pPr>
              <w:snapToGrid w:val="0"/>
              <w:spacing w:before="50" w:after="156" w:afterLines="50" w:line="360" w:lineRule="auto"/>
              <w:jc w:val="center"/>
              <w:rPr>
                <w:rFonts w:ascii="宋体" w:hAnsi="宋体" w:cs="宋体"/>
                <w:color w:val="auto"/>
                <w:szCs w:val="16"/>
                <w:highlight w:val="none"/>
              </w:rPr>
            </w:pPr>
            <w:r>
              <w:rPr>
                <w:rFonts w:hint="eastAsia" w:ascii="宋体" w:hAnsi="宋体" w:cs="宋体"/>
                <w:color w:val="auto"/>
                <w:szCs w:val="16"/>
                <w:highlight w:val="none"/>
              </w:rPr>
              <w:t>工作时间</w:t>
            </w:r>
          </w:p>
        </w:tc>
      </w:tr>
      <w:tr w14:paraId="48236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2BCD7F5B">
            <w:pPr>
              <w:snapToGrid w:val="0"/>
              <w:spacing w:before="50" w:after="156" w:afterLines="50" w:line="360" w:lineRule="auto"/>
              <w:jc w:val="center"/>
              <w:rPr>
                <w:rFonts w:ascii="宋体" w:hAnsi="宋体" w:cs="宋体"/>
                <w:color w:val="auto"/>
                <w:szCs w:val="16"/>
                <w:highlight w:val="none"/>
              </w:rPr>
            </w:pPr>
          </w:p>
        </w:tc>
        <w:tc>
          <w:tcPr>
            <w:tcW w:w="709" w:type="dxa"/>
            <w:vAlign w:val="center"/>
          </w:tcPr>
          <w:p w14:paraId="34605943">
            <w:pPr>
              <w:snapToGrid w:val="0"/>
              <w:spacing w:before="50" w:after="156" w:afterLines="50" w:line="360" w:lineRule="auto"/>
              <w:jc w:val="center"/>
              <w:rPr>
                <w:rFonts w:ascii="宋体" w:hAnsi="宋体" w:cs="宋体"/>
                <w:color w:val="auto"/>
                <w:szCs w:val="16"/>
                <w:highlight w:val="none"/>
              </w:rPr>
            </w:pPr>
          </w:p>
        </w:tc>
        <w:tc>
          <w:tcPr>
            <w:tcW w:w="3367" w:type="dxa"/>
            <w:vAlign w:val="center"/>
          </w:tcPr>
          <w:p w14:paraId="6E980B37">
            <w:pPr>
              <w:snapToGrid w:val="0"/>
              <w:spacing w:before="50" w:after="156" w:afterLines="50" w:line="360" w:lineRule="auto"/>
              <w:jc w:val="center"/>
              <w:rPr>
                <w:rFonts w:ascii="宋体" w:hAnsi="宋体" w:cs="宋体"/>
                <w:color w:val="auto"/>
                <w:szCs w:val="16"/>
                <w:highlight w:val="none"/>
              </w:rPr>
            </w:pPr>
          </w:p>
        </w:tc>
        <w:tc>
          <w:tcPr>
            <w:tcW w:w="1856" w:type="dxa"/>
            <w:vAlign w:val="center"/>
          </w:tcPr>
          <w:p w14:paraId="30E457B3">
            <w:pPr>
              <w:snapToGrid w:val="0"/>
              <w:spacing w:before="50" w:after="156" w:afterLines="50" w:line="360" w:lineRule="auto"/>
              <w:jc w:val="center"/>
              <w:rPr>
                <w:rFonts w:ascii="宋体" w:hAnsi="宋体" w:cs="宋体"/>
                <w:color w:val="auto"/>
                <w:szCs w:val="16"/>
                <w:highlight w:val="none"/>
              </w:rPr>
            </w:pPr>
          </w:p>
        </w:tc>
        <w:tc>
          <w:tcPr>
            <w:tcW w:w="2232" w:type="dxa"/>
            <w:vAlign w:val="center"/>
          </w:tcPr>
          <w:p w14:paraId="7AD743C8">
            <w:pPr>
              <w:snapToGrid w:val="0"/>
              <w:spacing w:before="50" w:after="156" w:afterLines="50" w:line="360" w:lineRule="auto"/>
              <w:jc w:val="center"/>
              <w:rPr>
                <w:rFonts w:ascii="宋体" w:hAnsi="宋体" w:cs="宋体"/>
                <w:color w:val="auto"/>
                <w:szCs w:val="16"/>
                <w:highlight w:val="none"/>
              </w:rPr>
            </w:pPr>
          </w:p>
        </w:tc>
      </w:tr>
      <w:tr w14:paraId="5313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7AE0ED90">
            <w:pPr>
              <w:snapToGrid w:val="0"/>
              <w:spacing w:before="50" w:after="156" w:afterLines="50" w:line="360" w:lineRule="auto"/>
              <w:jc w:val="center"/>
              <w:rPr>
                <w:rFonts w:ascii="宋体" w:hAnsi="宋体" w:cs="宋体"/>
                <w:color w:val="auto"/>
                <w:szCs w:val="16"/>
                <w:highlight w:val="none"/>
              </w:rPr>
            </w:pPr>
          </w:p>
        </w:tc>
        <w:tc>
          <w:tcPr>
            <w:tcW w:w="709" w:type="dxa"/>
            <w:vAlign w:val="center"/>
          </w:tcPr>
          <w:p w14:paraId="79D34FF2">
            <w:pPr>
              <w:snapToGrid w:val="0"/>
              <w:spacing w:before="50" w:after="156" w:afterLines="50" w:line="360" w:lineRule="auto"/>
              <w:jc w:val="center"/>
              <w:rPr>
                <w:rFonts w:ascii="宋体" w:hAnsi="宋体" w:cs="宋体"/>
                <w:color w:val="auto"/>
                <w:szCs w:val="16"/>
                <w:highlight w:val="none"/>
              </w:rPr>
            </w:pPr>
          </w:p>
        </w:tc>
        <w:tc>
          <w:tcPr>
            <w:tcW w:w="3367" w:type="dxa"/>
            <w:vAlign w:val="center"/>
          </w:tcPr>
          <w:p w14:paraId="3502BE54">
            <w:pPr>
              <w:snapToGrid w:val="0"/>
              <w:spacing w:before="50" w:after="156" w:afterLines="50" w:line="360" w:lineRule="auto"/>
              <w:jc w:val="center"/>
              <w:rPr>
                <w:rFonts w:ascii="宋体" w:hAnsi="宋体" w:cs="宋体"/>
                <w:color w:val="auto"/>
                <w:szCs w:val="16"/>
                <w:highlight w:val="none"/>
              </w:rPr>
            </w:pPr>
          </w:p>
        </w:tc>
        <w:tc>
          <w:tcPr>
            <w:tcW w:w="1856" w:type="dxa"/>
            <w:vAlign w:val="center"/>
          </w:tcPr>
          <w:p w14:paraId="30330578">
            <w:pPr>
              <w:snapToGrid w:val="0"/>
              <w:spacing w:before="50" w:after="156" w:afterLines="50" w:line="360" w:lineRule="auto"/>
              <w:jc w:val="center"/>
              <w:rPr>
                <w:rFonts w:ascii="宋体" w:hAnsi="宋体" w:cs="宋体"/>
                <w:color w:val="auto"/>
                <w:szCs w:val="16"/>
                <w:highlight w:val="none"/>
              </w:rPr>
            </w:pPr>
          </w:p>
        </w:tc>
        <w:tc>
          <w:tcPr>
            <w:tcW w:w="2232" w:type="dxa"/>
            <w:vAlign w:val="center"/>
          </w:tcPr>
          <w:p w14:paraId="213FC5F5">
            <w:pPr>
              <w:snapToGrid w:val="0"/>
              <w:spacing w:before="50" w:after="156" w:afterLines="50" w:line="360" w:lineRule="auto"/>
              <w:jc w:val="center"/>
              <w:rPr>
                <w:rFonts w:ascii="宋体" w:hAnsi="宋体" w:cs="宋体"/>
                <w:color w:val="auto"/>
                <w:szCs w:val="16"/>
                <w:highlight w:val="none"/>
              </w:rPr>
            </w:pPr>
          </w:p>
        </w:tc>
      </w:tr>
      <w:tr w14:paraId="3940A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14:paraId="032AF756">
            <w:pPr>
              <w:snapToGrid w:val="0"/>
              <w:spacing w:before="50" w:after="156" w:afterLines="50" w:line="360" w:lineRule="auto"/>
              <w:jc w:val="center"/>
              <w:rPr>
                <w:rFonts w:ascii="宋体" w:hAnsi="宋体" w:cs="宋体"/>
                <w:color w:val="auto"/>
                <w:szCs w:val="16"/>
                <w:highlight w:val="none"/>
              </w:rPr>
            </w:pPr>
          </w:p>
        </w:tc>
        <w:tc>
          <w:tcPr>
            <w:tcW w:w="709" w:type="dxa"/>
            <w:vAlign w:val="center"/>
          </w:tcPr>
          <w:p w14:paraId="648A5EF8">
            <w:pPr>
              <w:snapToGrid w:val="0"/>
              <w:spacing w:before="50" w:after="156" w:afterLines="50" w:line="360" w:lineRule="auto"/>
              <w:jc w:val="center"/>
              <w:rPr>
                <w:rFonts w:ascii="宋体" w:hAnsi="宋体" w:cs="宋体"/>
                <w:color w:val="auto"/>
                <w:szCs w:val="16"/>
                <w:highlight w:val="none"/>
              </w:rPr>
            </w:pPr>
          </w:p>
        </w:tc>
        <w:tc>
          <w:tcPr>
            <w:tcW w:w="3367" w:type="dxa"/>
            <w:vAlign w:val="center"/>
          </w:tcPr>
          <w:p w14:paraId="02CAE467">
            <w:pPr>
              <w:snapToGrid w:val="0"/>
              <w:spacing w:before="50" w:after="156" w:afterLines="50" w:line="360" w:lineRule="auto"/>
              <w:jc w:val="center"/>
              <w:rPr>
                <w:rFonts w:ascii="宋体" w:hAnsi="宋体" w:cs="宋体"/>
                <w:color w:val="auto"/>
                <w:szCs w:val="16"/>
                <w:highlight w:val="none"/>
              </w:rPr>
            </w:pPr>
          </w:p>
        </w:tc>
        <w:tc>
          <w:tcPr>
            <w:tcW w:w="1856" w:type="dxa"/>
            <w:vAlign w:val="center"/>
          </w:tcPr>
          <w:p w14:paraId="7ABB418D">
            <w:pPr>
              <w:snapToGrid w:val="0"/>
              <w:spacing w:before="50" w:after="156" w:afterLines="50" w:line="360" w:lineRule="auto"/>
              <w:jc w:val="center"/>
              <w:rPr>
                <w:rFonts w:ascii="宋体" w:hAnsi="宋体" w:cs="宋体"/>
                <w:color w:val="auto"/>
                <w:szCs w:val="16"/>
                <w:highlight w:val="none"/>
              </w:rPr>
            </w:pPr>
          </w:p>
        </w:tc>
        <w:tc>
          <w:tcPr>
            <w:tcW w:w="2232" w:type="dxa"/>
            <w:vAlign w:val="center"/>
          </w:tcPr>
          <w:p w14:paraId="2D63CD60">
            <w:pPr>
              <w:snapToGrid w:val="0"/>
              <w:spacing w:before="50" w:after="156" w:afterLines="50" w:line="360" w:lineRule="auto"/>
              <w:jc w:val="center"/>
              <w:rPr>
                <w:rFonts w:ascii="宋体" w:hAnsi="宋体" w:cs="宋体"/>
                <w:color w:val="auto"/>
                <w:szCs w:val="16"/>
                <w:highlight w:val="none"/>
              </w:rPr>
            </w:pPr>
          </w:p>
        </w:tc>
      </w:tr>
    </w:tbl>
    <w:p w14:paraId="4BC01A08">
      <w:pPr>
        <w:snapToGrid w:val="0"/>
        <w:spacing w:before="50" w:after="156" w:afterLines="50" w:line="360" w:lineRule="auto"/>
        <w:jc w:val="left"/>
        <w:rPr>
          <w:rFonts w:ascii="宋体" w:hAnsi="宋体" w:cs="宋体"/>
          <w:color w:val="auto"/>
          <w:szCs w:val="16"/>
          <w:highlight w:val="none"/>
        </w:rPr>
      </w:pPr>
      <w:r>
        <w:rPr>
          <w:rFonts w:hint="eastAsia" w:ascii="宋体" w:hAnsi="宋体" w:cs="宋体"/>
          <w:color w:val="auto"/>
          <w:szCs w:val="16"/>
          <w:highlight w:val="none"/>
        </w:rPr>
        <w:t>注：</w:t>
      </w:r>
      <w:r>
        <w:rPr>
          <w:rFonts w:hint="eastAsia" w:ascii="宋体" w:hAnsi="宋体" w:cs="宋体"/>
          <w:color w:val="auto"/>
          <w:kern w:val="0"/>
          <w:szCs w:val="21"/>
          <w:highlight w:val="none"/>
        </w:rPr>
        <w:t>本表可根据项目情况自行扩展，</w:t>
      </w:r>
      <w:r>
        <w:rPr>
          <w:rFonts w:hint="eastAsia" w:ascii="宋体" w:hAnsi="宋体" w:cs="宋体"/>
          <w:color w:val="auto"/>
          <w:szCs w:val="16"/>
          <w:highlight w:val="none"/>
        </w:rPr>
        <w:t>在填写时，如本表格不适合供应商的实际情况，可根据本表格式自行制表填写。</w:t>
      </w:r>
    </w:p>
    <w:p w14:paraId="7F28C999">
      <w:pPr>
        <w:snapToGrid w:val="0"/>
        <w:spacing w:before="50" w:after="50" w:line="360" w:lineRule="auto"/>
        <w:rPr>
          <w:rFonts w:ascii="宋体" w:hAnsi="宋体" w:cs="宋体"/>
          <w:color w:val="auto"/>
          <w:spacing w:val="20"/>
          <w:szCs w:val="16"/>
          <w:highlight w:val="none"/>
          <w:u w:val="single"/>
        </w:rPr>
      </w:pPr>
      <w:r>
        <w:rPr>
          <w:rFonts w:hint="eastAsia" w:ascii="宋体" w:hAnsi="宋体" w:cs="宋体"/>
          <w:color w:val="auto"/>
          <w:szCs w:val="21"/>
          <w:highlight w:val="none"/>
        </w:rPr>
        <w:t>法定代表人或者委托代理人</w:t>
      </w:r>
      <w:r>
        <w:rPr>
          <w:rFonts w:hint="eastAsia" w:ascii="宋体" w:hAnsi="宋体" w:cs="宋体"/>
          <w:color w:val="auto"/>
          <w:spacing w:val="20"/>
          <w:szCs w:val="21"/>
          <w:highlight w:val="none"/>
        </w:rPr>
        <w:t>签字：</w:t>
      </w:r>
      <w:r>
        <w:rPr>
          <w:rFonts w:hint="eastAsia" w:ascii="宋体" w:hAnsi="宋体" w:cs="宋体"/>
          <w:color w:val="auto"/>
          <w:spacing w:val="20"/>
          <w:szCs w:val="21"/>
          <w:highlight w:val="none"/>
          <w:u w:val="single"/>
        </w:rPr>
        <w:t xml:space="preserve">        </w:t>
      </w:r>
    </w:p>
    <w:p w14:paraId="2FF9F6A4">
      <w:pPr>
        <w:snapToGrid w:val="0"/>
        <w:spacing w:before="50" w:after="156" w:afterLines="50" w:line="360" w:lineRule="auto"/>
        <w:jc w:val="left"/>
        <w:rPr>
          <w:rFonts w:ascii="宋体" w:hAnsi="宋体" w:cs="宋体"/>
          <w:color w:val="auto"/>
          <w:szCs w:val="16"/>
          <w:highlight w:val="none"/>
        </w:rPr>
      </w:pPr>
      <w:r>
        <w:rPr>
          <w:rFonts w:hint="eastAsia" w:ascii="宋体" w:hAnsi="宋体" w:cs="宋体"/>
          <w:color w:val="auto"/>
          <w:spacing w:val="20"/>
          <w:szCs w:val="21"/>
          <w:highlight w:val="none"/>
        </w:rPr>
        <w:t>供应商（盖公章）：</w:t>
      </w:r>
      <w:r>
        <w:rPr>
          <w:rFonts w:hint="eastAsia" w:ascii="宋体" w:hAnsi="宋体" w:cs="宋体"/>
          <w:color w:val="auto"/>
          <w:spacing w:val="20"/>
          <w:szCs w:val="21"/>
          <w:highlight w:val="none"/>
          <w:u w:val="single"/>
        </w:rPr>
        <w:t xml:space="preserve">            </w:t>
      </w:r>
      <w:r>
        <w:rPr>
          <w:rFonts w:hint="eastAsia" w:ascii="宋体" w:hAnsi="宋体" w:cs="宋体"/>
          <w:color w:val="auto"/>
          <w:spacing w:val="20"/>
          <w:szCs w:val="21"/>
          <w:highlight w:val="none"/>
        </w:rPr>
        <w:t xml:space="preserve">              日 期：</w:t>
      </w:r>
      <w:r>
        <w:rPr>
          <w:rFonts w:hint="eastAsia" w:ascii="宋体" w:hAnsi="宋体" w:cs="宋体"/>
          <w:color w:val="auto"/>
          <w:spacing w:val="20"/>
          <w:szCs w:val="21"/>
          <w:highlight w:val="none"/>
          <w:u w:val="single"/>
        </w:rPr>
        <w:t xml:space="preserve">         </w:t>
      </w:r>
    </w:p>
    <w:p w14:paraId="7A590E4E">
      <w:pPr>
        <w:snapToGrid w:val="0"/>
        <w:spacing w:before="50" w:after="156" w:afterLines="50" w:line="360" w:lineRule="auto"/>
        <w:jc w:val="left"/>
        <w:rPr>
          <w:rFonts w:ascii="宋体" w:hAnsi="宋体" w:cs="宋体"/>
          <w:color w:val="auto"/>
          <w:szCs w:val="16"/>
          <w:highlight w:val="none"/>
        </w:rPr>
      </w:pPr>
    </w:p>
    <w:p w14:paraId="731020B4">
      <w:pPr>
        <w:snapToGrid w:val="0"/>
        <w:spacing w:before="50" w:after="50" w:line="360" w:lineRule="auto"/>
        <w:ind w:right="-817" w:rightChars="-389" w:firstLine="4096" w:firstLineChars="1700"/>
        <w:rPr>
          <w:rFonts w:ascii="宋体" w:hAnsi="宋体" w:cs="宋体"/>
          <w:b/>
          <w:color w:val="auto"/>
          <w:sz w:val="24"/>
          <w:highlight w:val="none"/>
        </w:rPr>
      </w:pPr>
    </w:p>
    <w:p w14:paraId="3218FF40">
      <w:pPr>
        <w:spacing w:line="360" w:lineRule="auto"/>
        <w:rPr>
          <w:rFonts w:ascii="宋体" w:hAnsi="宋体" w:cs="宋体"/>
          <w:color w:val="auto"/>
          <w:szCs w:val="21"/>
          <w:highlight w:val="none"/>
        </w:rPr>
      </w:pPr>
      <w:r>
        <w:rPr>
          <w:rFonts w:hint="eastAsia" w:ascii="宋体" w:hAnsi="宋体" w:cs="宋体"/>
          <w:b/>
          <w:bCs/>
          <w:color w:val="auto"/>
          <w:szCs w:val="21"/>
          <w:highlight w:val="none"/>
        </w:rPr>
        <w:br w:type="page"/>
      </w:r>
      <w:r>
        <w:rPr>
          <w:rFonts w:hint="eastAsia" w:ascii="宋体" w:hAnsi="宋体" w:cs="宋体"/>
          <w:b/>
          <w:bCs/>
          <w:color w:val="auto"/>
          <w:sz w:val="24"/>
          <w:highlight w:val="none"/>
        </w:rPr>
        <w:t>其他文书、文件格式</w:t>
      </w:r>
    </w:p>
    <w:p w14:paraId="061AEB12">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 xml:space="preserve"> 中小企业声明函（货物）</w:t>
      </w:r>
    </w:p>
    <w:p w14:paraId="2EFD97D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 </w:t>
      </w:r>
    </w:p>
    <w:p w14:paraId="01F77E93">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1. （标的名称） ，属于（采购文件中明确的所属行业）行业；制造商为（企业名称），从业人员人，营业收入为万元，资产总额为</w:t>
      </w:r>
    </w:p>
    <w:p w14:paraId="6F6A1864">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万元1，属于（中型企业、小型企业、微型企业）； </w:t>
      </w:r>
    </w:p>
    <w:p w14:paraId="5C3278AF">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 （标的名称） ，属于（采购文件中明确的所属行业）行业；制造商为（企业名称），从业人员人，营业收入为万元，资产总额为 </w:t>
      </w:r>
    </w:p>
    <w:p w14:paraId="65ED3BAE">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万元，属于（中型企业、小型企业、微型企业）； </w:t>
      </w:r>
    </w:p>
    <w:p w14:paraId="2C005343">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p w14:paraId="1797AF4C">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4……</w:t>
      </w:r>
    </w:p>
    <w:p w14:paraId="3FF9F9B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5A4B8999">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本企业对上述声明内容的真实性负责。如有虚假，将依法承担相应责任。 </w:t>
      </w:r>
    </w:p>
    <w:p w14:paraId="20B9958A">
      <w:pPr>
        <w:widowControl/>
        <w:spacing w:line="360" w:lineRule="auto"/>
        <w:jc w:val="left"/>
        <w:rPr>
          <w:rFonts w:ascii="宋体" w:hAnsi="宋体" w:cs="宋体"/>
          <w:color w:val="auto"/>
          <w:kern w:val="0"/>
          <w:szCs w:val="21"/>
          <w:highlight w:val="none"/>
          <w:lang w:bidi="ar"/>
        </w:rPr>
      </w:pPr>
    </w:p>
    <w:p w14:paraId="29E42586">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0350F876">
      <w:pPr>
        <w:widowControl/>
        <w:spacing w:line="360" w:lineRule="auto"/>
        <w:ind w:firstLine="630" w:firstLineChars="3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日 期： </w:t>
      </w:r>
    </w:p>
    <w:p w14:paraId="745556E7">
      <w:pPr>
        <w:widowControl/>
        <w:spacing w:line="360" w:lineRule="auto"/>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367EB38B">
      <w:pPr>
        <w:widowControl/>
        <w:spacing w:line="360" w:lineRule="auto"/>
        <w:jc w:val="center"/>
        <w:rPr>
          <w:rFonts w:ascii="宋体" w:hAnsi="宋体" w:cs="宋体"/>
          <w:b/>
          <w:bCs/>
          <w:color w:val="auto"/>
          <w:kern w:val="0"/>
          <w:sz w:val="28"/>
          <w:szCs w:val="28"/>
          <w:highlight w:val="none"/>
          <w:lang w:bidi="ar"/>
        </w:rPr>
      </w:pPr>
    </w:p>
    <w:p w14:paraId="7AAE7495">
      <w:pPr>
        <w:widowControl/>
        <w:jc w:val="center"/>
        <w:rPr>
          <w:rFonts w:ascii="宋体" w:hAnsi="宋体" w:cs="宋体"/>
          <w:b/>
          <w:bCs/>
          <w:color w:val="auto"/>
          <w:kern w:val="0"/>
          <w:sz w:val="28"/>
          <w:szCs w:val="28"/>
          <w:highlight w:val="none"/>
          <w:lang w:bidi="ar"/>
        </w:rPr>
      </w:pPr>
    </w:p>
    <w:p w14:paraId="32A057A6">
      <w:pPr>
        <w:widowControl/>
        <w:jc w:val="center"/>
        <w:rPr>
          <w:rFonts w:ascii="宋体" w:hAnsi="宋体" w:cs="宋体"/>
          <w:b/>
          <w:bCs/>
          <w:color w:val="auto"/>
          <w:kern w:val="0"/>
          <w:sz w:val="28"/>
          <w:szCs w:val="28"/>
          <w:highlight w:val="none"/>
          <w:lang w:bidi="ar"/>
        </w:rPr>
      </w:pPr>
    </w:p>
    <w:p w14:paraId="0FC996F1">
      <w:pPr>
        <w:pStyle w:val="145"/>
        <w:rPr>
          <w:rFonts w:hint="default"/>
          <w:color w:val="auto"/>
          <w:highlight w:val="none"/>
        </w:rPr>
      </w:pPr>
    </w:p>
    <w:p w14:paraId="46DDA549">
      <w:pPr>
        <w:widowControl/>
        <w:jc w:val="center"/>
        <w:rPr>
          <w:rFonts w:ascii="宋体" w:hAnsi="宋体" w:cs="宋体"/>
          <w:b/>
          <w:bCs/>
          <w:color w:val="auto"/>
          <w:kern w:val="0"/>
          <w:sz w:val="28"/>
          <w:szCs w:val="28"/>
          <w:highlight w:val="none"/>
          <w:lang w:bidi="ar"/>
        </w:rPr>
      </w:pPr>
    </w:p>
    <w:p w14:paraId="6CC4F0A2">
      <w:pPr>
        <w:widowControl/>
        <w:jc w:val="center"/>
        <w:rPr>
          <w:rFonts w:ascii="宋体" w:hAnsi="宋体" w:cs="宋体"/>
          <w:b/>
          <w:bCs/>
          <w:color w:val="auto"/>
          <w:kern w:val="0"/>
          <w:sz w:val="28"/>
          <w:szCs w:val="28"/>
          <w:highlight w:val="none"/>
          <w:lang w:bidi="ar"/>
        </w:rPr>
      </w:pPr>
    </w:p>
    <w:p w14:paraId="30C32727">
      <w:pPr>
        <w:adjustRightInd w:val="0"/>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中小企业声明函（工程、服务）</w:t>
      </w:r>
    </w:p>
    <w:p w14:paraId="4F569EDB">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9C48FE9">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1. （标的名称） ，属于（采购文件中明确的所属行业）；承建（承接）企业为（企业名称），从业人员人，营业收入为 万元，资产总额为 </w:t>
      </w:r>
    </w:p>
    <w:p w14:paraId="4FE90458">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万元1，属于（中型企业、小型企业、微型企业）； </w:t>
      </w:r>
    </w:p>
    <w:p w14:paraId="0D26CAC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2. （标的名称） ，属于（采购文件中明确的所属行业）；承建（承接）企业为（企业名称），从业人员人，营业收入为 万元，资产总额为 </w:t>
      </w:r>
    </w:p>
    <w:p w14:paraId="5DC7A492">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万元，属于（中型企业、小型企业、微型企业）； </w:t>
      </w:r>
    </w:p>
    <w:p w14:paraId="41FD5CDA">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w:t>
      </w:r>
    </w:p>
    <w:p w14:paraId="653AE08E">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4.……</w:t>
      </w:r>
    </w:p>
    <w:p w14:paraId="0081E938">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kern w:val="0"/>
          <w:szCs w:val="21"/>
          <w:highlight w:val="none"/>
          <w:lang w:bidi="ar"/>
        </w:rPr>
        <w:t>以上企业，不属于大企业的分支机构，不存在控股股东为大企业的情形，也不存在与大企业的负责人为同一人的情形。</w:t>
      </w:r>
    </w:p>
    <w:p w14:paraId="7015A710">
      <w:pPr>
        <w:widowControl/>
        <w:spacing w:line="360" w:lineRule="auto"/>
        <w:ind w:firstLine="420" w:firstLineChars="200"/>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本企业对上述声明内容的真实性负责。如有虚假，将依法承担相应责任。</w:t>
      </w:r>
    </w:p>
    <w:p w14:paraId="30E909C8">
      <w:pPr>
        <w:widowControl/>
        <w:spacing w:line="360" w:lineRule="auto"/>
        <w:ind w:firstLine="420" w:firstLineChars="200"/>
        <w:jc w:val="left"/>
        <w:rPr>
          <w:rFonts w:ascii="宋体" w:hAnsi="宋体" w:cs="宋体"/>
          <w:color w:val="auto"/>
          <w:kern w:val="0"/>
          <w:szCs w:val="21"/>
          <w:highlight w:val="none"/>
          <w:lang w:bidi="ar"/>
        </w:rPr>
      </w:pPr>
    </w:p>
    <w:p w14:paraId="755868B9">
      <w:pPr>
        <w:widowControl/>
        <w:spacing w:line="360" w:lineRule="auto"/>
        <w:ind w:firstLine="420" w:firstLineChars="200"/>
        <w:jc w:val="left"/>
        <w:rPr>
          <w:rFonts w:ascii="宋体" w:hAnsi="宋体" w:cs="宋体"/>
          <w:color w:val="auto"/>
          <w:kern w:val="0"/>
          <w:szCs w:val="21"/>
          <w:highlight w:val="none"/>
          <w:lang w:bidi="ar"/>
        </w:rPr>
      </w:pPr>
    </w:p>
    <w:p w14:paraId="61CD9AB6">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企业名称（盖章）： </w:t>
      </w:r>
    </w:p>
    <w:p w14:paraId="06C32C4F">
      <w:pPr>
        <w:widowControl/>
        <w:spacing w:line="360" w:lineRule="auto"/>
        <w:jc w:val="left"/>
        <w:rPr>
          <w:rFonts w:ascii="宋体" w:hAnsi="宋体" w:cs="宋体"/>
          <w:color w:val="auto"/>
          <w:szCs w:val="21"/>
          <w:highlight w:val="none"/>
        </w:rPr>
      </w:pPr>
      <w:r>
        <w:rPr>
          <w:rFonts w:hint="eastAsia" w:ascii="宋体" w:hAnsi="宋体" w:cs="宋体"/>
          <w:color w:val="auto"/>
          <w:kern w:val="0"/>
          <w:szCs w:val="21"/>
          <w:highlight w:val="none"/>
          <w:lang w:bidi="ar"/>
        </w:rPr>
        <w:t xml:space="preserve">日 期： </w:t>
      </w:r>
    </w:p>
    <w:p w14:paraId="4EDFF148">
      <w:pPr>
        <w:widowControl/>
        <w:spacing w:line="360" w:lineRule="auto"/>
        <w:jc w:val="left"/>
        <w:rPr>
          <w:rFonts w:ascii="宋体" w:hAnsi="宋体" w:cs="宋体"/>
          <w:b/>
          <w:bCs/>
          <w:color w:val="auto"/>
          <w:szCs w:val="21"/>
          <w:highlight w:val="none"/>
        </w:rPr>
      </w:pPr>
      <w:r>
        <w:rPr>
          <w:rFonts w:hint="eastAsia" w:ascii="宋体" w:hAnsi="宋体" w:cs="宋体"/>
          <w:b/>
          <w:bCs/>
          <w:color w:val="auto"/>
          <w:kern w:val="0"/>
          <w:szCs w:val="21"/>
          <w:highlight w:val="none"/>
          <w:lang w:bidi="ar"/>
        </w:rPr>
        <w:t>1.从业人员、营业收入、资产总额填报上一年度数据，无上一年度数据的新成立企业可不填报。</w:t>
      </w:r>
    </w:p>
    <w:p w14:paraId="05FC58E7">
      <w:pPr>
        <w:spacing w:line="360" w:lineRule="auto"/>
        <w:rPr>
          <w:rFonts w:ascii="宋体" w:hAnsi="宋体" w:cs="宋体"/>
          <w:color w:val="auto"/>
          <w:szCs w:val="21"/>
          <w:highlight w:val="none"/>
        </w:rPr>
      </w:pPr>
    </w:p>
    <w:p w14:paraId="6AAB1646">
      <w:pPr>
        <w:spacing w:line="360" w:lineRule="auto"/>
        <w:rPr>
          <w:rFonts w:ascii="宋体" w:hAnsi="宋体" w:cs="宋体"/>
          <w:color w:val="auto"/>
          <w:szCs w:val="21"/>
          <w:highlight w:val="none"/>
        </w:rPr>
      </w:pPr>
    </w:p>
    <w:p w14:paraId="64A8DF6D">
      <w:pPr>
        <w:spacing w:line="360" w:lineRule="auto"/>
        <w:rPr>
          <w:rFonts w:ascii="宋体" w:hAnsi="宋体" w:cs="宋体"/>
          <w:color w:val="auto"/>
          <w:szCs w:val="21"/>
          <w:highlight w:val="none"/>
        </w:rPr>
      </w:pPr>
    </w:p>
    <w:p w14:paraId="71DABE21">
      <w:pPr>
        <w:spacing w:line="360" w:lineRule="auto"/>
        <w:rPr>
          <w:rFonts w:ascii="宋体" w:hAnsi="宋体" w:cs="宋体"/>
          <w:color w:val="auto"/>
          <w:szCs w:val="21"/>
          <w:highlight w:val="none"/>
        </w:rPr>
      </w:pPr>
    </w:p>
    <w:p w14:paraId="61DA3E73">
      <w:pPr>
        <w:spacing w:line="360" w:lineRule="auto"/>
        <w:rPr>
          <w:rFonts w:ascii="宋体" w:hAnsi="宋体" w:cs="宋体"/>
          <w:color w:val="auto"/>
          <w:sz w:val="24"/>
          <w:highlight w:val="none"/>
        </w:rPr>
      </w:pPr>
      <w:r>
        <w:rPr>
          <w:rFonts w:hint="eastAsia" w:ascii="宋体" w:hAnsi="宋体" w:cs="宋体"/>
          <w:color w:val="auto"/>
          <w:szCs w:val="21"/>
          <w:highlight w:val="none"/>
        </w:rPr>
        <w:t>注：请根据自己的真实情况出具《中小企业声明函》。依法享受中小企业优惠政策的，采购人或者采购代理机构在公告中标结果时，同时公告其《中小企业声明函》，接受社会监督。</w:t>
      </w:r>
    </w:p>
    <w:p w14:paraId="71F4616E">
      <w:pPr>
        <w:spacing w:line="360" w:lineRule="auto"/>
        <w:jc w:val="center"/>
        <w:rPr>
          <w:rFonts w:ascii="宋体" w:hAnsi="宋体" w:cs="宋体"/>
          <w:color w:val="auto"/>
          <w:sz w:val="24"/>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残疾人福利性单位声明函</w:t>
      </w:r>
    </w:p>
    <w:p w14:paraId="015B2465">
      <w:pPr>
        <w:spacing w:line="360" w:lineRule="auto"/>
        <w:rPr>
          <w:rFonts w:ascii="宋体" w:hAnsi="宋体" w:cs="宋体"/>
          <w:color w:val="auto"/>
          <w:sz w:val="24"/>
          <w:highlight w:val="none"/>
        </w:rPr>
      </w:pPr>
    </w:p>
    <w:p w14:paraId="2CD226C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单位的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项目采购活动提供本单位制造的货物（由本单位承担工程/提供服务），或者提供其他残疾人福利性单位制造的货物（不包括使用非残疾人福利性单位注册商标的货物）。</w:t>
      </w:r>
    </w:p>
    <w:p w14:paraId="2B9F23A3">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1CADC60F">
      <w:pPr>
        <w:spacing w:line="360" w:lineRule="auto"/>
        <w:rPr>
          <w:rFonts w:ascii="宋体" w:hAnsi="宋体" w:cs="宋体"/>
          <w:color w:val="auto"/>
          <w:szCs w:val="21"/>
          <w:highlight w:val="none"/>
        </w:rPr>
      </w:pPr>
    </w:p>
    <w:p w14:paraId="71654AB6">
      <w:pPr>
        <w:spacing w:line="360" w:lineRule="auto"/>
        <w:rPr>
          <w:rFonts w:ascii="宋体" w:hAnsi="宋体" w:cs="宋体"/>
          <w:color w:val="auto"/>
          <w:szCs w:val="21"/>
          <w:highlight w:val="none"/>
        </w:rPr>
      </w:pPr>
    </w:p>
    <w:p w14:paraId="1759BA6A">
      <w:pPr>
        <w:spacing w:line="360" w:lineRule="auto"/>
        <w:rPr>
          <w:rFonts w:ascii="宋体" w:hAnsi="宋体" w:cs="宋体"/>
          <w:color w:val="auto"/>
          <w:szCs w:val="21"/>
          <w:highlight w:val="none"/>
        </w:rPr>
      </w:pPr>
    </w:p>
    <w:p w14:paraId="2B49A94D">
      <w:pPr>
        <w:spacing w:line="360" w:lineRule="auto"/>
        <w:ind w:firstLine="2100" w:firstLineChars="1000"/>
        <w:rPr>
          <w:rFonts w:ascii="宋体" w:hAnsi="宋体" w:cs="宋体"/>
          <w:color w:val="auto"/>
          <w:szCs w:val="21"/>
          <w:highlight w:val="none"/>
        </w:rPr>
      </w:pPr>
      <w:r>
        <w:rPr>
          <w:rFonts w:hint="eastAsia" w:ascii="宋体" w:hAnsi="宋体" w:cs="宋体"/>
          <w:color w:val="auto"/>
          <w:szCs w:val="21"/>
          <w:highlight w:val="none"/>
        </w:rPr>
        <w:t>单位名称（盖章）：</w:t>
      </w:r>
    </w:p>
    <w:p w14:paraId="68464672">
      <w:pPr>
        <w:spacing w:line="360" w:lineRule="auto"/>
        <w:ind w:firstLine="3150" w:firstLineChars="1500"/>
        <w:rPr>
          <w:rFonts w:ascii="宋体" w:hAnsi="宋体" w:cs="宋体"/>
          <w:color w:val="auto"/>
          <w:szCs w:val="21"/>
          <w:highlight w:val="none"/>
        </w:rPr>
      </w:pPr>
      <w:r>
        <w:rPr>
          <w:rFonts w:hint="eastAsia" w:ascii="宋体" w:hAnsi="宋体" w:cs="宋体"/>
          <w:color w:val="auto"/>
          <w:szCs w:val="21"/>
          <w:highlight w:val="none"/>
        </w:rPr>
        <w:t>日  期：</w:t>
      </w:r>
    </w:p>
    <w:p w14:paraId="3DF9548B">
      <w:pPr>
        <w:spacing w:line="360" w:lineRule="auto"/>
        <w:rPr>
          <w:rFonts w:ascii="宋体" w:hAnsi="宋体" w:cs="宋体"/>
          <w:color w:val="auto"/>
          <w:szCs w:val="21"/>
          <w:highlight w:val="none"/>
        </w:rPr>
      </w:pPr>
    </w:p>
    <w:p w14:paraId="60763D29">
      <w:pPr>
        <w:spacing w:line="360" w:lineRule="auto"/>
        <w:rPr>
          <w:rFonts w:ascii="宋体" w:hAnsi="宋体" w:cs="宋体"/>
          <w:color w:val="auto"/>
          <w:szCs w:val="21"/>
          <w:highlight w:val="none"/>
        </w:rPr>
      </w:pPr>
    </w:p>
    <w:p w14:paraId="5A91912B">
      <w:pPr>
        <w:spacing w:line="360" w:lineRule="auto"/>
        <w:rPr>
          <w:rFonts w:ascii="宋体" w:hAnsi="宋体" w:cs="宋体"/>
          <w:color w:val="auto"/>
          <w:szCs w:val="21"/>
          <w:highlight w:val="none"/>
        </w:rPr>
      </w:pPr>
    </w:p>
    <w:p w14:paraId="6FC3D88F">
      <w:pPr>
        <w:spacing w:line="360" w:lineRule="auto"/>
        <w:rPr>
          <w:rFonts w:ascii="宋体" w:hAnsi="宋体" w:cs="宋体"/>
          <w:color w:val="auto"/>
          <w:szCs w:val="21"/>
          <w:highlight w:val="none"/>
        </w:rPr>
      </w:pPr>
      <w:r>
        <w:rPr>
          <w:rFonts w:hint="eastAsia" w:ascii="宋体" w:hAnsi="宋体" w:cs="宋体"/>
          <w:color w:val="auto"/>
          <w:szCs w:val="21"/>
          <w:highlight w:val="none"/>
        </w:rPr>
        <w:t>注：请根据自己的真实情况出具《残疾人福利性单位声明函》。依法享受中小企业优惠政策的，采购人或者采购代理机构在公告中标结果时，同时公告其《残疾人福利性单位声明函》，接受社会监督。</w:t>
      </w:r>
    </w:p>
    <w:p w14:paraId="2EC2E9DC">
      <w:pPr>
        <w:spacing w:line="360" w:lineRule="auto"/>
        <w:jc w:val="center"/>
        <w:rPr>
          <w:rFonts w:ascii="宋体" w:hAnsi="宋体" w:cs="宋体"/>
          <w:b/>
          <w:bCs/>
          <w:color w:val="auto"/>
          <w:sz w:val="32"/>
          <w:szCs w:val="32"/>
          <w:highlight w:val="none"/>
        </w:rPr>
      </w:pPr>
      <w:r>
        <w:rPr>
          <w:rFonts w:hint="eastAsia" w:ascii="宋体" w:hAnsi="宋体" w:cs="宋体"/>
          <w:color w:val="auto"/>
          <w:szCs w:val="21"/>
          <w:highlight w:val="none"/>
        </w:rPr>
        <w:br w:type="page"/>
      </w:r>
      <w:r>
        <w:rPr>
          <w:rFonts w:hint="eastAsia" w:ascii="宋体" w:hAnsi="宋体" w:cs="宋体"/>
          <w:b/>
          <w:bCs/>
          <w:color w:val="auto"/>
          <w:sz w:val="32"/>
          <w:szCs w:val="32"/>
          <w:highlight w:val="none"/>
        </w:rPr>
        <w:t>质疑函（格式）</w:t>
      </w:r>
    </w:p>
    <w:p w14:paraId="4C9EFB83">
      <w:pPr>
        <w:pStyle w:val="22"/>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一、质疑供应商基本信息：</w:t>
      </w:r>
    </w:p>
    <w:p w14:paraId="1D3AE012">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质疑供应商：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43BE01A">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9E5D278">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7B392141">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p>
    <w:p w14:paraId="023BA2C8">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29C47850">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2A088528">
      <w:pPr>
        <w:pStyle w:val="22"/>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二、质疑项目基本情况：</w:t>
      </w:r>
    </w:p>
    <w:p w14:paraId="2FBBDFB7">
      <w:pPr>
        <w:pStyle w:val="22"/>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27D7AF72">
      <w:pPr>
        <w:pStyle w:val="22"/>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质疑</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356FEE75">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3E7A9442">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w:t>
      </w:r>
    </w:p>
    <w:p w14:paraId="5B5E666C">
      <w:pPr>
        <w:pStyle w:val="22"/>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□采购文件   采购文件获取日期：</w:t>
      </w:r>
      <w:r>
        <w:rPr>
          <w:rFonts w:hint="eastAsia" w:hAnsi="宋体" w:cs="宋体"/>
          <w:bCs/>
          <w:color w:val="auto"/>
          <w:sz w:val="21"/>
          <w:highlight w:val="none"/>
          <w:u w:val="single"/>
        </w:rPr>
        <w:t xml:space="preserve">                                   </w:t>
      </w:r>
    </w:p>
    <w:p w14:paraId="678F7594">
      <w:pPr>
        <w:pStyle w:val="22"/>
        <w:spacing w:line="360" w:lineRule="auto"/>
        <w:ind w:left="25" w:leftChars="12" w:firstLine="308" w:firstLineChars="147"/>
        <w:rPr>
          <w:rFonts w:hAnsi="宋体" w:cs="宋体"/>
          <w:color w:val="auto"/>
          <w:sz w:val="21"/>
          <w:highlight w:val="none"/>
        </w:rPr>
      </w:pPr>
      <w:r>
        <w:rPr>
          <w:rFonts w:hint="eastAsia" w:hAnsi="宋体" w:cs="宋体"/>
          <w:color w:val="auto"/>
          <w:sz w:val="21"/>
          <w:highlight w:val="none"/>
        </w:rPr>
        <w:t xml:space="preserve">□采购过程   </w:t>
      </w:r>
    </w:p>
    <w:p w14:paraId="4133420A">
      <w:pPr>
        <w:pStyle w:val="22"/>
        <w:spacing w:line="360" w:lineRule="auto"/>
        <w:ind w:left="25" w:leftChars="12" w:firstLine="308" w:firstLineChars="147"/>
        <w:rPr>
          <w:rFonts w:hAnsi="宋体" w:cs="宋体"/>
          <w:bCs/>
          <w:color w:val="auto"/>
          <w:sz w:val="21"/>
          <w:highlight w:val="none"/>
          <w:u w:val="single"/>
        </w:rPr>
      </w:pPr>
      <w:r>
        <w:rPr>
          <w:rFonts w:hint="eastAsia" w:hAnsi="宋体" w:cs="宋体"/>
          <w:color w:val="auto"/>
          <w:sz w:val="21"/>
          <w:highlight w:val="none"/>
        </w:rPr>
        <w:t xml:space="preserve">□成交结果   </w:t>
      </w:r>
    </w:p>
    <w:p w14:paraId="19AA810F">
      <w:pPr>
        <w:pStyle w:val="22"/>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三、质疑事项具体内容</w:t>
      </w:r>
    </w:p>
    <w:p w14:paraId="2D5B8E6B">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质疑事项1：</w:t>
      </w:r>
      <w:r>
        <w:rPr>
          <w:rFonts w:hint="eastAsia" w:hAnsi="宋体" w:cs="宋体"/>
          <w:bCs/>
          <w:color w:val="auto"/>
          <w:sz w:val="21"/>
          <w:highlight w:val="none"/>
          <w:u w:val="single"/>
        </w:rPr>
        <w:t xml:space="preserve">                                                                    </w:t>
      </w:r>
    </w:p>
    <w:p w14:paraId="31E2FA6C">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事实依据：</w:t>
      </w:r>
      <w:r>
        <w:rPr>
          <w:rFonts w:hint="eastAsia" w:hAnsi="宋体" w:cs="宋体"/>
          <w:bCs/>
          <w:color w:val="auto"/>
          <w:sz w:val="21"/>
          <w:highlight w:val="none"/>
          <w:u w:val="single"/>
        </w:rPr>
        <w:t xml:space="preserve">                                                                      </w:t>
      </w:r>
    </w:p>
    <w:p w14:paraId="62240875">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法律依据：</w:t>
      </w:r>
      <w:r>
        <w:rPr>
          <w:rFonts w:hint="eastAsia" w:hAnsi="宋体" w:cs="宋体"/>
          <w:color w:val="auto"/>
          <w:sz w:val="21"/>
          <w:highlight w:val="none"/>
          <w:u w:val="single"/>
        </w:rPr>
        <w:t xml:space="preserve">                                                        </w:t>
      </w:r>
      <w:r>
        <w:rPr>
          <w:rFonts w:hint="eastAsia" w:hAnsi="宋体" w:cs="宋体"/>
          <w:bCs/>
          <w:color w:val="auto"/>
          <w:sz w:val="21"/>
          <w:highlight w:val="none"/>
          <w:u w:val="single"/>
        </w:rPr>
        <w:t xml:space="preserve">               </w:t>
      </w:r>
    </w:p>
    <w:p w14:paraId="04303BEE">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质疑事项2</w:t>
      </w:r>
    </w:p>
    <w:p w14:paraId="237374B5">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w:t>
      </w:r>
    </w:p>
    <w:p w14:paraId="678908C2">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四、与质疑事项相关的质疑请求：</w:t>
      </w:r>
    </w:p>
    <w:p w14:paraId="36463CC4">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1647E1FD">
      <w:pPr>
        <w:pStyle w:val="22"/>
        <w:spacing w:line="360" w:lineRule="auto"/>
        <w:ind w:left="25" w:leftChars="12" w:firstLine="308" w:firstLineChars="147"/>
        <w:rPr>
          <w:rFonts w:hAnsi="宋体" w:cs="宋体"/>
          <w:color w:val="auto"/>
          <w:sz w:val="21"/>
          <w:highlight w:val="none"/>
        </w:rPr>
      </w:pPr>
    </w:p>
    <w:p w14:paraId="21F40210">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72CB2128">
      <w:pPr>
        <w:pStyle w:val="22"/>
        <w:spacing w:line="360" w:lineRule="auto"/>
        <w:ind w:left="25" w:leftChars="12" w:firstLine="308" w:firstLineChars="147"/>
        <w:rPr>
          <w:rFonts w:hAnsi="宋体" w:cs="宋体"/>
          <w:color w:val="auto"/>
          <w:sz w:val="21"/>
          <w:highlight w:val="none"/>
        </w:rPr>
      </w:pPr>
    </w:p>
    <w:p w14:paraId="0444AA0D">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1B191BEB">
      <w:pPr>
        <w:pStyle w:val="22"/>
        <w:snapToGrid w:val="0"/>
        <w:spacing w:line="360" w:lineRule="auto"/>
        <w:rPr>
          <w:rFonts w:hAnsi="宋体" w:cs="宋体"/>
          <w:b/>
          <w:color w:val="auto"/>
          <w:sz w:val="24"/>
          <w:szCs w:val="24"/>
          <w:highlight w:val="none"/>
        </w:rPr>
      </w:pPr>
    </w:p>
    <w:p w14:paraId="70482247">
      <w:pPr>
        <w:pStyle w:val="22"/>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说明：</w:t>
      </w:r>
    </w:p>
    <w:p w14:paraId="1F44EA8C">
      <w:pPr>
        <w:pStyle w:val="22"/>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1.供应商提出质疑时，应提交质疑函和必要的证明材料</w:t>
      </w:r>
      <w:r>
        <w:rPr>
          <w:rFonts w:hint="eastAsia" w:hAnsi="宋体" w:cs="宋体"/>
          <w:b/>
          <w:bCs/>
          <w:color w:val="auto"/>
          <w:sz w:val="21"/>
          <w:highlight w:val="none"/>
        </w:rPr>
        <w:t>。</w:t>
      </w:r>
    </w:p>
    <w:p w14:paraId="2D16D0C4">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2DE69F0">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3.质疑函的质疑事项应具体、明确，并有必要的事实依据和法律依据。</w:t>
      </w:r>
    </w:p>
    <w:p w14:paraId="160223E2">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4.质疑函的质疑请求应与质疑事项相关。</w:t>
      </w:r>
    </w:p>
    <w:p w14:paraId="135857ED">
      <w:pPr>
        <w:pStyle w:val="22"/>
        <w:spacing w:line="360" w:lineRule="auto"/>
        <w:ind w:left="25" w:leftChars="12" w:firstLine="310" w:firstLineChars="147"/>
        <w:rPr>
          <w:rFonts w:hAnsi="宋体" w:cs="宋体"/>
          <w:b/>
          <w:color w:val="auto"/>
          <w:sz w:val="16"/>
          <w:szCs w:val="18"/>
          <w:highlight w:val="none"/>
        </w:rPr>
      </w:pPr>
      <w:r>
        <w:rPr>
          <w:rFonts w:hint="eastAsia" w:hAnsi="宋体" w:cs="宋体"/>
          <w:b/>
          <w:color w:val="auto"/>
          <w:sz w:val="21"/>
          <w:highlight w:val="none"/>
        </w:rPr>
        <w:t>5.质疑供应商为法人或者其他组织的，质疑函应由法定代表人、主要负责人，或者其授权代表签字或者盖章，并加盖公章。</w:t>
      </w:r>
    </w:p>
    <w:p w14:paraId="6B4AA212">
      <w:pPr>
        <w:pStyle w:val="22"/>
        <w:snapToGrid w:val="0"/>
        <w:spacing w:line="360" w:lineRule="auto"/>
        <w:rPr>
          <w:rFonts w:hAnsi="宋体" w:cs="宋体"/>
          <w:b/>
          <w:color w:val="auto"/>
          <w:sz w:val="21"/>
          <w:highlight w:val="none"/>
        </w:rPr>
      </w:pPr>
    </w:p>
    <w:p w14:paraId="51C77503">
      <w:pPr>
        <w:spacing w:line="360" w:lineRule="auto"/>
        <w:jc w:val="center"/>
        <w:rPr>
          <w:rFonts w:ascii="宋体" w:hAnsi="宋体" w:cs="宋体"/>
          <w:color w:val="auto"/>
          <w:sz w:val="44"/>
          <w:highlight w:val="none"/>
        </w:rPr>
      </w:pPr>
      <w:r>
        <w:rPr>
          <w:rFonts w:hint="eastAsia" w:ascii="宋体" w:hAnsi="宋体" w:cs="宋体"/>
          <w:color w:val="auto"/>
          <w:sz w:val="44"/>
          <w:highlight w:val="none"/>
        </w:rPr>
        <w:br w:type="page"/>
      </w:r>
    </w:p>
    <w:p w14:paraId="2F77A8D1">
      <w:pPr>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投诉书（格式）</w:t>
      </w:r>
    </w:p>
    <w:p w14:paraId="0E51F016">
      <w:pPr>
        <w:pStyle w:val="22"/>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一、投诉相关主体基本情况：</w:t>
      </w:r>
    </w:p>
    <w:p w14:paraId="61FA2A99">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供应商：</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58A0C9AB">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511E718B">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法定代表人/主要负责人：</w:t>
      </w:r>
      <w:r>
        <w:rPr>
          <w:rFonts w:hint="eastAsia" w:hAnsi="宋体" w:cs="宋体"/>
          <w:bCs/>
          <w:color w:val="auto"/>
          <w:sz w:val="21"/>
          <w:highlight w:val="none"/>
          <w:u w:val="single"/>
        </w:rPr>
        <w:t xml:space="preserve">                                                         </w:t>
      </w:r>
    </w:p>
    <w:p w14:paraId="3B47DDE0">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57A85F88">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授权代表：</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1C3C469A">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68FD3FB4">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被投诉人1：</w:t>
      </w:r>
    </w:p>
    <w:p w14:paraId="770DEAA8">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2918F8AD">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p>
    <w:p w14:paraId="33F5B22C">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被投诉人2：</w:t>
      </w:r>
    </w:p>
    <w:p w14:paraId="4A1DBB24">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w:t>
      </w:r>
    </w:p>
    <w:p w14:paraId="550DF8C4">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相关供应商：</w:t>
      </w:r>
      <w:r>
        <w:rPr>
          <w:rFonts w:hint="eastAsia" w:hAnsi="宋体" w:cs="宋体"/>
          <w:bCs/>
          <w:color w:val="auto"/>
          <w:sz w:val="21"/>
          <w:highlight w:val="none"/>
          <w:u w:val="single"/>
        </w:rPr>
        <w:t xml:space="preserve">                                                                       </w:t>
      </w:r>
    </w:p>
    <w:p w14:paraId="26CE3E29">
      <w:pPr>
        <w:pStyle w:val="22"/>
        <w:snapToGrid w:val="0"/>
        <w:spacing w:line="360" w:lineRule="auto"/>
        <w:ind w:firstLine="420" w:firstLineChars="200"/>
        <w:rPr>
          <w:rFonts w:hAnsi="宋体" w:cs="宋体"/>
          <w:bCs/>
          <w:color w:val="auto"/>
          <w:sz w:val="21"/>
          <w:highlight w:val="none"/>
          <w:u w:val="single"/>
        </w:rPr>
      </w:pPr>
      <w:r>
        <w:rPr>
          <w:rFonts w:hint="eastAsia" w:hAnsi="宋体" w:cs="宋体"/>
          <w:bCs/>
          <w:color w:val="auto"/>
          <w:sz w:val="21"/>
          <w:highlight w:val="none"/>
        </w:rPr>
        <w:t>地址：</w:t>
      </w:r>
      <w:r>
        <w:rPr>
          <w:rFonts w:hint="eastAsia" w:hAnsi="宋体" w:cs="宋体"/>
          <w:bCs/>
          <w:color w:val="auto"/>
          <w:sz w:val="21"/>
          <w:highlight w:val="none"/>
          <w:u w:val="single"/>
        </w:rPr>
        <w:t xml:space="preserve">                                              </w:t>
      </w:r>
      <w:r>
        <w:rPr>
          <w:rFonts w:hint="eastAsia" w:hAnsi="宋体" w:cs="宋体"/>
          <w:bCs/>
          <w:color w:val="auto"/>
          <w:sz w:val="21"/>
          <w:highlight w:val="none"/>
        </w:rPr>
        <w:t>邮编：</w:t>
      </w:r>
      <w:r>
        <w:rPr>
          <w:rFonts w:hint="eastAsia" w:hAnsi="宋体" w:cs="宋体"/>
          <w:bCs/>
          <w:color w:val="auto"/>
          <w:sz w:val="21"/>
          <w:highlight w:val="none"/>
          <w:u w:val="single"/>
        </w:rPr>
        <w:t xml:space="preserve">                         </w:t>
      </w:r>
    </w:p>
    <w:p w14:paraId="7B13055E">
      <w:pPr>
        <w:pStyle w:val="22"/>
        <w:snapToGrid w:val="0"/>
        <w:spacing w:line="360" w:lineRule="auto"/>
        <w:ind w:firstLine="420" w:firstLineChars="200"/>
        <w:rPr>
          <w:rFonts w:hAnsi="宋体" w:cs="宋体"/>
          <w:bCs/>
          <w:color w:val="auto"/>
          <w:sz w:val="21"/>
          <w:highlight w:val="none"/>
        </w:rPr>
      </w:pPr>
      <w:r>
        <w:rPr>
          <w:rFonts w:hint="eastAsia" w:hAnsi="宋体" w:cs="宋体"/>
          <w:bCs/>
          <w:color w:val="auto"/>
          <w:sz w:val="21"/>
          <w:highlight w:val="none"/>
        </w:rPr>
        <w:t>联系人：</w:t>
      </w:r>
      <w:r>
        <w:rPr>
          <w:rFonts w:hint="eastAsia" w:hAnsi="宋体" w:cs="宋体"/>
          <w:bCs/>
          <w:color w:val="auto"/>
          <w:sz w:val="21"/>
          <w:highlight w:val="none"/>
          <w:u w:val="single"/>
        </w:rPr>
        <w:t xml:space="preserve">                                            </w:t>
      </w:r>
      <w:r>
        <w:rPr>
          <w:rFonts w:hint="eastAsia" w:hAnsi="宋体" w:cs="宋体"/>
          <w:bCs/>
          <w:color w:val="auto"/>
          <w:sz w:val="21"/>
          <w:highlight w:val="none"/>
        </w:rPr>
        <w:t>联系电话：</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w:t>
      </w:r>
    </w:p>
    <w:p w14:paraId="3A5F8793">
      <w:pPr>
        <w:pStyle w:val="22"/>
        <w:snapToGrid w:val="0"/>
        <w:spacing w:line="360" w:lineRule="auto"/>
        <w:ind w:firstLine="422" w:firstLineChars="200"/>
        <w:rPr>
          <w:rFonts w:hAnsi="宋体" w:cs="宋体"/>
          <w:b/>
          <w:bCs/>
          <w:color w:val="auto"/>
          <w:sz w:val="21"/>
          <w:highlight w:val="none"/>
        </w:rPr>
      </w:pPr>
      <w:r>
        <w:rPr>
          <w:rFonts w:hint="eastAsia" w:hAnsi="宋体" w:cs="宋体"/>
          <w:b/>
          <w:bCs/>
          <w:color w:val="auto"/>
          <w:sz w:val="21"/>
          <w:highlight w:val="none"/>
        </w:rPr>
        <w:t>二、投诉项目基本情况：</w:t>
      </w:r>
    </w:p>
    <w:p w14:paraId="272FE264">
      <w:pPr>
        <w:pStyle w:val="22"/>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项目的名称：</w:t>
      </w:r>
      <w:r>
        <w:rPr>
          <w:rFonts w:hint="eastAsia" w:hAnsi="宋体" w:cs="宋体"/>
          <w:bCs/>
          <w:color w:val="auto"/>
          <w:sz w:val="21"/>
          <w:highlight w:val="none"/>
          <w:u w:val="single"/>
        </w:rPr>
        <w:t xml:space="preserve">                                                                   </w:t>
      </w:r>
    </w:p>
    <w:p w14:paraId="18397730">
      <w:pPr>
        <w:pStyle w:val="22"/>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采购</w:t>
      </w:r>
      <w:r>
        <w:rPr>
          <w:rFonts w:hint="eastAsia" w:hAnsi="宋体" w:cs="宋体"/>
          <w:color w:val="auto"/>
          <w:sz w:val="21"/>
          <w:highlight w:val="none"/>
        </w:rPr>
        <w:t>项目的编号：</w:t>
      </w:r>
      <w:r>
        <w:rPr>
          <w:rFonts w:hint="eastAsia" w:hAnsi="宋体" w:cs="宋体"/>
          <w:bCs/>
          <w:color w:val="auto"/>
          <w:sz w:val="21"/>
          <w:highlight w:val="none"/>
          <w:u w:val="single"/>
        </w:rPr>
        <w:t xml:space="preserve">                                          </w:t>
      </w:r>
    </w:p>
    <w:p w14:paraId="3699BB95">
      <w:pPr>
        <w:pStyle w:val="22"/>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采购人名称：</w:t>
      </w:r>
      <w:r>
        <w:rPr>
          <w:rFonts w:hint="eastAsia" w:hAnsi="宋体" w:cs="宋体"/>
          <w:bCs/>
          <w:color w:val="auto"/>
          <w:sz w:val="21"/>
          <w:highlight w:val="none"/>
          <w:u w:val="single"/>
        </w:rPr>
        <w:t xml:space="preserve">                                                                        </w:t>
      </w:r>
    </w:p>
    <w:p w14:paraId="2D6AD6C2">
      <w:pPr>
        <w:pStyle w:val="22"/>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代理机构名称：</w:t>
      </w:r>
      <w:r>
        <w:rPr>
          <w:rFonts w:hint="eastAsia" w:hAnsi="宋体" w:cs="宋体"/>
          <w:bCs/>
          <w:color w:val="auto"/>
          <w:sz w:val="21"/>
          <w:highlight w:val="none"/>
          <w:u w:val="single"/>
        </w:rPr>
        <w:t xml:space="preserve">                                                                      </w:t>
      </w:r>
    </w:p>
    <w:p w14:paraId="581C26D0">
      <w:pPr>
        <w:pStyle w:val="22"/>
        <w:spacing w:line="360" w:lineRule="auto"/>
        <w:ind w:left="25" w:leftChars="12" w:firstLine="413" w:firstLineChars="197"/>
        <w:rPr>
          <w:rFonts w:hAnsi="宋体" w:cs="宋体"/>
          <w:bCs/>
          <w:color w:val="auto"/>
          <w:sz w:val="21"/>
          <w:highlight w:val="none"/>
          <w:u w:val="single"/>
        </w:rPr>
      </w:pPr>
      <w:r>
        <w:rPr>
          <w:rFonts w:hint="eastAsia" w:hAnsi="宋体" w:cs="宋体"/>
          <w:bCs/>
          <w:color w:val="auto"/>
          <w:sz w:val="21"/>
          <w:highlight w:val="none"/>
        </w:rPr>
        <w:t>招标文件公告：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3D85EC85">
      <w:pPr>
        <w:pStyle w:val="22"/>
        <w:spacing w:line="360" w:lineRule="auto"/>
        <w:ind w:left="25" w:leftChars="12" w:firstLine="413" w:firstLineChars="197"/>
        <w:rPr>
          <w:rFonts w:hAnsi="宋体" w:cs="宋体"/>
          <w:b/>
          <w:color w:val="auto"/>
          <w:sz w:val="21"/>
          <w:highlight w:val="none"/>
        </w:rPr>
      </w:pPr>
      <w:r>
        <w:rPr>
          <w:rFonts w:hint="eastAsia" w:hAnsi="宋体" w:cs="宋体"/>
          <w:bCs/>
          <w:color w:val="auto"/>
          <w:sz w:val="21"/>
          <w:highlight w:val="none"/>
        </w:rPr>
        <w:t>采购结果公告：</w:t>
      </w:r>
      <w:r>
        <w:rPr>
          <w:rFonts w:hint="eastAsia" w:hAnsi="宋体" w:cs="宋体"/>
          <w:bCs/>
          <w:color w:val="auto"/>
          <w:sz w:val="21"/>
          <w:highlight w:val="none"/>
          <w:u w:val="single"/>
        </w:rPr>
        <w:t>是/否</w:t>
      </w:r>
      <w:r>
        <w:rPr>
          <w:rFonts w:hint="eastAsia" w:hAnsi="宋体" w:cs="宋体"/>
          <w:bCs/>
          <w:color w:val="auto"/>
          <w:sz w:val="21"/>
          <w:highlight w:val="none"/>
        </w:rPr>
        <w:t>公告期限：</w:t>
      </w:r>
      <w:r>
        <w:rPr>
          <w:rFonts w:hint="eastAsia" w:hAnsi="宋体" w:cs="宋体"/>
          <w:bCs/>
          <w:color w:val="auto"/>
          <w:sz w:val="21"/>
          <w:highlight w:val="none"/>
          <w:u w:val="single"/>
        </w:rPr>
        <w:t xml:space="preserve">                                                       </w:t>
      </w:r>
    </w:p>
    <w:p w14:paraId="27A10EF4">
      <w:pPr>
        <w:pStyle w:val="22"/>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三、质疑基本情况</w:t>
      </w:r>
    </w:p>
    <w:p w14:paraId="161D6811">
      <w:pPr>
        <w:pStyle w:val="22"/>
        <w:spacing w:line="360" w:lineRule="auto"/>
        <w:ind w:left="25" w:leftChars="12" w:firstLine="833" w:firstLineChars="397"/>
        <w:rPr>
          <w:rFonts w:hAnsi="宋体" w:cs="宋体"/>
          <w:color w:val="auto"/>
          <w:sz w:val="21"/>
          <w:highlight w:val="none"/>
        </w:rPr>
      </w:pPr>
      <w:r>
        <w:rPr>
          <w:rFonts w:hint="eastAsia" w:hAnsi="宋体" w:cs="宋体"/>
          <w:color w:val="auto"/>
          <w:sz w:val="21"/>
          <w:highlight w:val="none"/>
        </w:rPr>
        <w:t>投诉人于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日，向</w:t>
      </w:r>
      <w:r>
        <w:rPr>
          <w:rFonts w:hint="eastAsia" w:hAnsi="宋体" w:cs="宋体"/>
          <w:color w:val="auto"/>
          <w:sz w:val="21"/>
          <w:highlight w:val="none"/>
          <w:u w:val="single"/>
        </w:rPr>
        <w:t xml:space="preserve">            </w:t>
      </w:r>
      <w:r>
        <w:rPr>
          <w:rFonts w:hint="eastAsia" w:hAnsi="宋体" w:cs="宋体"/>
          <w:color w:val="auto"/>
          <w:sz w:val="21"/>
          <w:highlight w:val="none"/>
        </w:rPr>
        <w:t>提出质疑，质疑事项为：</w:t>
      </w:r>
      <w:r>
        <w:rPr>
          <w:rFonts w:hint="eastAsia" w:hAnsi="宋体" w:cs="宋体"/>
          <w:bCs/>
          <w:color w:val="auto"/>
          <w:sz w:val="21"/>
          <w:highlight w:val="none"/>
          <w:u w:val="single"/>
        </w:rPr>
        <w:t xml:space="preserve">                                   </w:t>
      </w:r>
      <w:r>
        <w:rPr>
          <w:rFonts w:hint="eastAsia" w:hAnsi="宋体" w:cs="宋体"/>
          <w:bCs/>
          <w:color w:val="auto"/>
          <w:sz w:val="21"/>
          <w:highlight w:val="none"/>
        </w:rPr>
        <w:t xml:space="preserve"> 采购人/代理机构于</w:t>
      </w:r>
      <w:r>
        <w:rPr>
          <w:rFonts w:hint="eastAsia" w:hAnsi="宋体" w:cs="宋体"/>
          <w:color w:val="auto"/>
          <w:sz w:val="21"/>
          <w:highlight w:val="none"/>
          <w:u w:val="single"/>
        </w:rPr>
        <w:t xml:space="preserve">      </w:t>
      </w:r>
      <w:r>
        <w:rPr>
          <w:rFonts w:hint="eastAsia" w:hAnsi="宋体" w:cs="宋体"/>
          <w:color w:val="auto"/>
          <w:sz w:val="21"/>
          <w:highlight w:val="none"/>
        </w:rPr>
        <w:t>年</w:t>
      </w:r>
      <w:r>
        <w:rPr>
          <w:rFonts w:hint="eastAsia" w:hAnsi="宋体" w:cs="宋体"/>
          <w:color w:val="auto"/>
          <w:sz w:val="21"/>
          <w:highlight w:val="none"/>
          <w:u w:val="single"/>
        </w:rPr>
        <w:t xml:space="preserve">   </w:t>
      </w:r>
      <w:r>
        <w:rPr>
          <w:rFonts w:hint="eastAsia" w:hAnsi="宋体" w:cs="宋体"/>
          <w:color w:val="auto"/>
          <w:sz w:val="21"/>
          <w:highlight w:val="none"/>
        </w:rPr>
        <w:t>月</w:t>
      </w:r>
      <w:r>
        <w:rPr>
          <w:rFonts w:hint="eastAsia" w:hAnsi="宋体" w:cs="宋体"/>
          <w:color w:val="auto"/>
          <w:sz w:val="21"/>
          <w:highlight w:val="none"/>
          <w:u w:val="single"/>
        </w:rPr>
        <w:t xml:space="preserve">   </w:t>
      </w:r>
      <w:r>
        <w:rPr>
          <w:rFonts w:hint="eastAsia" w:hAnsi="宋体" w:cs="宋体"/>
          <w:color w:val="auto"/>
          <w:sz w:val="21"/>
          <w:highlight w:val="none"/>
        </w:rPr>
        <w:t>日，</w:t>
      </w:r>
      <w:r>
        <w:rPr>
          <w:rFonts w:hint="eastAsia" w:hAnsi="宋体" w:cs="宋体"/>
          <w:bCs/>
          <w:color w:val="auto"/>
          <w:sz w:val="21"/>
          <w:highlight w:val="none"/>
        </w:rPr>
        <w:t xml:space="preserve">就质疑事项作出了答复/没有在法定期限内作出答复。                                                                                             </w:t>
      </w:r>
    </w:p>
    <w:p w14:paraId="54976775">
      <w:pPr>
        <w:pStyle w:val="22"/>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四、投诉事项具体内容</w:t>
      </w:r>
    </w:p>
    <w:p w14:paraId="0AC5874F">
      <w:pPr>
        <w:pStyle w:val="22"/>
        <w:spacing w:line="360" w:lineRule="auto"/>
        <w:ind w:left="25" w:leftChars="12" w:firstLine="413" w:firstLineChars="197"/>
        <w:rPr>
          <w:rFonts w:hAnsi="宋体" w:cs="宋体"/>
          <w:bCs/>
          <w:color w:val="auto"/>
          <w:sz w:val="21"/>
          <w:highlight w:val="none"/>
          <w:u w:val="single"/>
        </w:rPr>
      </w:pPr>
      <w:r>
        <w:rPr>
          <w:rFonts w:hint="eastAsia" w:hAnsi="宋体" w:cs="宋体"/>
          <w:color w:val="auto"/>
          <w:sz w:val="21"/>
          <w:highlight w:val="none"/>
        </w:rPr>
        <w:t>投诉事项1：</w:t>
      </w:r>
      <w:r>
        <w:rPr>
          <w:rFonts w:hint="eastAsia" w:hAnsi="宋体" w:cs="宋体"/>
          <w:bCs/>
          <w:color w:val="auto"/>
          <w:sz w:val="21"/>
          <w:highlight w:val="none"/>
          <w:u w:val="single"/>
        </w:rPr>
        <w:t xml:space="preserve">                                                                           </w:t>
      </w:r>
    </w:p>
    <w:p w14:paraId="6F91457F">
      <w:pPr>
        <w:pStyle w:val="22"/>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事实依据：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6538659D">
      <w:pPr>
        <w:pStyle w:val="22"/>
        <w:spacing w:line="360" w:lineRule="auto"/>
        <w:ind w:left="25" w:leftChars="12" w:firstLine="308" w:firstLineChars="147"/>
        <w:rPr>
          <w:rFonts w:hAnsi="宋体" w:cs="宋体"/>
          <w:bCs/>
          <w:color w:val="auto"/>
          <w:sz w:val="21"/>
          <w:highlight w:val="none"/>
          <w:u w:val="single"/>
        </w:rPr>
      </w:pPr>
      <w:r>
        <w:rPr>
          <w:rFonts w:hint="eastAsia" w:hAnsi="宋体" w:cs="宋体"/>
          <w:bCs/>
          <w:color w:val="auto"/>
          <w:sz w:val="21"/>
          <w:highlight w:val="none"/>
        </w:rPr>
        <w:t>法律依据：</w:t>
      </w:r>
      <w:r>
        <w:rPr>
          <w:rFonts w:hint="eastAsia" w:hAnsi="宋体" w:cs="宋体"/>
          <w:color w:val="auto"/>
          <w:sz w:val="21"/>
          <w:highlight w:val="none"/>
        </w:rPr>
        <w:t xml:space="preserve"> </w:t>
      </w:r>
      <w:r>
        <w:rPr>
          <w:rFonts w:hint="eastAsia" w:hAnsi="宋体" w:cs="宋体"/>
          <w:bCs/>
          <w:color w:val="auto"/>
          <w:sz w:val="21"/>
          <w:highlight w:val="none"/>
          <w:u w:val="single"/>
        </w:rPr>
        <w:t xml:space="preserve">                                                                                   </w:t>
      </w:r>
    </w:p>
    <w:p w14:paraId="1A830F7B">
      <w:pPr>
        <w:pStyle w:val="22"/>
        <w:spacing w:line="360" w:lineRule="auto"/>
        <w:ind w:left="25" w:leftChars="12" w:firstLine="413" w:firstLineChars="197"/>
        <w:rPr>
          <w:rFonts w:hAnsi="宋体" w:cs="宋体"/>
          <w:bCs/>
          <w:color w:val="auto"/>
          <w:sz w:val="21"/>
          <w:highlight w:val="none"/>
        </w:rPr>
      </w:pPr>
      <w:r>
        <w:rPr>
          <w:rFonts w:hint="eastAsia" w:hAnsi="宋体" w:cs="宋体"/>
          <w:color w:val="auto"/>
          <w:sz w:val="21"/>
          <w:highlight w:val="none"/>
        </w:rPr>
        <w:t xml:space="preserve">投诉事项2  </w:t>
      </w:r>
      <w:r>
        <w:rPr>
          <w:rFonts w:hint="eastAsia" w:hAnsi="宋体" w:cs="宋体"/>
          <w:bCs/>
          <w:color w:val="auto"/>
          <w:sz w:val="21"/>
          <w:highlight w:val="none"/>
        </w:rPr>
        <w:t xml:space="preserve">   </w:t>
      </w:r>
    </w:p>
    <w:p w14:paraId="396C005B">
      <w:pPr>
        <w:pStyle w:val="22"/>
        <w:spacing w:line="360" w:lineRule="auto"/>
        <w:ind w:left="25" w:leftChars="12" w:firstLine="413" w:firstLineChars="197"/>
        <w:rPr>
          <w:rFonts w:hAnsi="宋体" w:cs="宋体"/>
          <w:bCs/>
          <w:color w:val="auto"/>
          <w:sz w:val="21"/>
          <w:highlight w:val="none"/>
        </w:rPr>
      </w:pPr>
      <w:r>
        <w:rPr>
          <w:rFonts w:hint="eastAsia" w:hAnsi="宋体" w:cs="宋体"/>
          <w:bCs/>
          <w:color w:val="auto"/>
          <w:sz w:val="21"/>
          <w:highlight w:val="none"/>
        </w:rPr>
        <w:t>……</w:t>
      </w:r>
    </w:p>
    <w:p w14:paraId="410A8D22">
      <w:pPr>
        <w:pStyle w:val="22"/>
        <w:spacing w:line="360" w:lineRule="auto"/>
        <w:ind w:left="25" w:leftChars="12" w:firstLine="413" w:firstLineChars="196"/>
        <w:rPr>
          <w:rFonts w:hAnsi="宋体" w:cs="宋体"/>
          <w:b/>
          <w:color w:val="auto"/>
          <w:sz w:val="21"/>
          <w:highlight w:val="none"/>
        </w:rPr>
      </w:pPr>
      <w:r>
        <w:rPr>
          <w:rFonts w:hint="eastAsia" w:hAnsi="宋体" w:cs="宋体"/>
          <w:b/>
          <w:color w:val="auto"/>
          <w:sz w:val="21"/>
          <w:highlight w:val="none"/>
        </w:rPr>
        <w:t>五、与投诉事项相关的投诉请求：</w:t>
      </w:r>
    </w:p>
    <w:p w14:paraId="5F9B7C1A">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请求：</w:t>
      </w:r>
      <w:r>
        <w:rPr>
          <w:rFonts w:hint="eastAsia" w:hAnsi="宋体" w:cs="宋体"/>
          <w:bCs/>
          <w:color w:val="auto"/>
          <w:sz w:val="21"/>
          <w:highlight w:val="none"/>
          <w:u w:val="single"/>
        </w:rPr>
        <w:t xml:space="preserve">                                                                                 </w:t>
      </w:r>
    </w:p>
    <w:p w14:paraId="756B7C29">
      <w:pPr>
        <w:pStyle w:val="22"/>
        <w:spacing w:line="360" w:lineRule="auto"/>
        <w:ind w:left="25" w:leftChars="12" w:firstLine="308" w:firstLineChars="147"/>
        <w:rPr>
          <w:rFonts w:hAnsi="宋体" w:cs="宋体"/>
          <w:color w:val="auto"/>
          <w:sz w:val="21"/>
          <w:highlight w:val="none"/>
        </w:rPr>
      </w:pPr>
    </w:p>
    <w:p w14:paraId="1DAE9F16">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签字（签章）：                                       公章：</w:t>
      </w:r>
    </w:p>
    <w:p w14:paraId="62603F4F">
      <w:pPr>
        <w:pStyle w:val="22"/>
        <w:spacing w:line="360" w:lineRule="auto"/>
        <w:ind w:left="25" w:leftChars="12" w:firstLine="308" w:firstLineChars="147"/>
        <w:rPr>
          <w:rFonts w:hAnsi="宋体" w:cs="宋体"/>
          <w:color w:val="auto"/>
          <w:sz w:val="21"/>
          <w:highlight w:val="none"/>
        </w:rPr>
      </w:pPr>
    </w:p>
    <w:p w14:paraId="4B729DD1">
      <w:pPr>
        <w:pStyle w:val="22"/>
        <w:spacing w:line="360" w:lineRule="auto"/>
        <w:ind w:left="25" w:leftChars="12" w:firstLine="413" w:firstLineChars="197"/>
        <w:rPr>
          <w:rFonts w:hAnsi="宋体" w:cs="宋体"/>
          <w:color w:val="auto"/>
          <w:sz w:val="21"/>
          <w:highlight w:val="none"/>
        </w:rPr>
      </w:pPr>
      <w:r>
        <w:rPr>
          <w:rFonts w:hint="eastAsia" w:hAnsi="宋体" w:cs="宋体"/>
          <w:color w:val="auto"/>
          <w:sz w:val="21"/>
          <w:highlight w:val="none"/>
        </w:rPr>
        <w:t>日期：</w:t>
      </w:r>
    </w:p>
    <w:p w14:paraId="313B288C">
      <w:pPr>
        <w:pStyle w:val="22"/>
        <w:spacing w:line="360" w:lineRule="auto"/>
        <w:ind w:left="25" w:leftChars="12" w:firstLine="413" w:firstLineChars="197"/>
        <w:rPr>
          <w:rFonts w:hAnsi="宋体" w:cs="宋体"/>
          <w:color w:val="auto"/>
          <w:sz w:val="21"/>
          <w:highlight w:val="none"/>
        </w:rPr>
      </w:pPr>
      <w:r>
        <w:rPr>
          <w:rFonts w:hint="eastAsia" w:hAnsi="宋体" w:cs="宋体"/>
          <w:bCs/>
          <w:color w:val="auto"/>
          <w:sz w:val="21"/>
          <w:highlight w:val="none"/>
        </w:rPr>
        <w:t xml:space="preserve">                                                                                 </w:t>
      </w:r>
    </w:p>
    <w:p w14:paraId="40883557">
      <w:pPr>
        <w:pStyle w:val="22"/>
        <w:snapToGrid w:val="0"/>
        <w:spacing w:line="360" w:lineRule="auto"/>
        <w:rPr>
          <w:rFonts w:hAnsi="宋体" w:cs="宋体"/>
          <w:b/>
          <w:color w:val="auto"/>
          <w:sz w:val="21"/>
          <w:highlight w:val="none"/>
        </w:rPr>
      </w:pPr>
    </w:p>
    <w:p w14:paraId="25A548A2">
      <w:pPr>
        <w:pStyle w:val="22"/>
        <w:snapToGrid w:val="0"/>
        <w:spacing w:line="360" w:lineRule="auto"/>
        <w:rPr>
          <w:rFonts w:hAnsi="宋体" w:cs="宋体"/>
          <w:b/>
          <w:color w:val="auto"/>
          <w:sz w:val="21"/>
          <w:highlight w:val="none"/>
        </w:rPr>
      </w:pPr>
      <w:r>
        <w:rPr>
          <w:rFonts w:hint="eastAsia" w:hAnsi="宋体" w:cs="宋体"/>
          <w:b/>
          <w:color w:val="auto"/>
          <w:sz w:val="21"/>
          <w:highlight w:val="none"/>
        </w:rPr>
        <w:t>说明：</w:t>
      </w:r>
    </w:p>
    <w:p w14:paraId="1D6D2840">
      <w:pPr>
        <w:pStyle w:val="22"/>
        <w:spacing w:line="360" w:lineRule="auto"/>
        <w:ind w:left="25" w:leftChars="12" w:firstLine="310" w:firstLineChars="147"/>
        <w:rPr>
          <w:rFonts w:hAnsi="宋体" w:cs="宋体"/>
          <w:b/>
          <w:bCs/>
          <w:color w:val="auto"/>
          <w:sz w:val="21"/>
          <w:highlight w:val="none"/>
        </w:rPr>
      </w:pPr>
      <w:r>
        <w:rPr>
          <w:rFonts w:hint="eastAsia" w:hAnsi="宋体" w:cs="宋体"/>
          <w:b/>
          <w:color w:val="auto"/>
          <w:sz w:val="21"/>
          <w:highlight w:val="none"/>
        </w:rPr>
        <w:t>1.投诉人提起投诉时，应当提交投诉书和必要的证明材料，并按照被投诉人和与投诉事项有关的供应商数量提供投诉书副本</w:t>
      </w:r>
      <w:r>
        <w:rPr>
          <w:rFonts w:hint="eastAsia" w:hAnsi="宋体" w:cs="宋体"/>
          <w:b/>
          <w:bCs/>
          <w:color w:val="auto"/>
          <w:sz w:val="21"/>
          <w:highlight w:val="none"/>
        </w:rPr>
        <w:t>。</w:t>
      </w:r>
    </w:p>
    <w:p w14:paraId="0099B740">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2B2A5493">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3.投诉书应简要列明质疑事项，质疑函、质疑答复等作为附件材料提供。</w:t>
      </w:r>
    </w:p>
    <w:p w14:paraId="5B294866">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4.投诉书的投诉事项应具体、明确，并有必要的事实依据和法律依据。</w:t>
      </w:r>
    </w:p>
    <w:p w14:paraId="3017C806">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5.投诉书的投诉请求应与投诉事项相关。</w:t>
      </w:r>
    </w:p>
    <w:p w14:paraId="2B62AD70">
      <w:pPr>
        <w:pStyle w:val="22"/>
        <w:spacing w:line="360" w:lineRule="auto"/>
        <w:ind w:left="25" w:leftChars="12" w:firstLine="310" w:firstLineChars="147"/>
        <w:rPr>
          <w:rFonts w:hAnsi="宋体" w:cs="宋体"/>
          <w:b/>
          <w:color w:val="auto"/>
          <w:sz w:val="21"/>
          <w:highlight w:val="none"/>
        </w:rPr>
      </w:pPr>
      <w:r>
        <w:rPr>
          <w:rFonts w:hint="eastAsia" w:hAnsi="宋体" w:cs="宋体"/>
          <w:b/>
          <w:color w:val="auto"/>
          <w:sz w:val="21"/>
          <w:highlight w:val="none"/>
        </w:rPr>
        <w:t>6.投诉人为法人或者其他组织的，投诉书应由法定代表人、主要负责人，或者其授权代表签字或者盖章，并加盖公章。</w:t>
      </w:r>
    </w:p>
    <w:p w14:paraId="53329314">
      <w:pPr>
        <w:spacing w:line="360" w:lineRule="auto"/>
        <w:rPr>
          <w:rFonts w:ascii="宋体" w:hAnsi="宋体" w:cs="宋体"/>
          <w:color w:val="auto"/>
          <w:sz w:val="32"/>
          <w:szCs w:val="32"/>
          <w:highlight w:val="none"/>
        </w:rPr>
      </w:pPr>
    </w:p>
    <w:p w14:paraId="217126F6">
      <w:pPr>
        <w:autoSpaceDE w:val="0"/>
        <w:autoSpaceDN w:val="0"/>
        <w:spacing w:line="360" w:lineRule="auto"/>
        <w:rPr>
          <w:rFonts w:ascii="宋体" w:hAnsi="宋体" w:cs="宋体"/>
          <w:color w:val="auto"/>
          <w:szCs w:val="21"/>
          <w:highlight w:val="none"/>
        </w:rPr>
      </w:pPr>
    </w:p>
    <w:p w14:paraId="6B884E24">
      <w:pPr>
        <w:pStyle w:val="3"/>
        <w:spacing w:line="360" w:lineRule="auto"/>
        <w:jc w:val="center"/>
        <w:rPr>
          <w:rFonts w:ascii="宋体" w:hAnsi="宋体" w:cs="宋体"/>
          <w:b w:val="0"/>
          <w:color w:val="auto"/>
          <w:highlight w:val="none"/>
        </w:rPr>
      </w:pPr>
      <w:bookmarkStart w:id="214" w:name="_Toc44229900"/>
      <w:r>
        <w:rPr>
          <w:rFonts w:hint="eastAsia" w:ascii="宋体" w:hAnsi="宋体" w:cs="宋体"/>
          <w:color w:val="auto"/>
          <w:highlight w:val="none"/>
        </w:rPr>
        <w:br w:type="page"/>
      </w:r>
      <w:bookmarkStart w:id="215" w:name="_Toc31094"/>
      <w:bookmarkStart w:id="216" w:name="_Toc5634"/>
      <w:bookmarkStart w:id="217" w:name="_Toc6386"/>
      <w:bookmarkStart w:id="218" w:name="_Toc5797"/>
      <w:r>
        <w:rPr>
          <w:rStyle w:val="63"/>
          <w:b/>
          <w:color w:val="auto"/>
          <w:highlight w:val="none"/>
        </w:rPr>
        <w:t>第六章 合同文本</w:t>
      </w:r>
      <w:bookmarkEnd w:id="214"/>
      <w:bookmarkEnd w:id="215"/>
      <w:bookmarkEnd w:id="216"/>
      <w:bookmarkEnd w:id="217"/>
      <w:bookmarkEnd w:id="218"/>
    </w:p>
    <w:p w14:paraId="0A6E0D81">
      <w:pPr>
        <w:adjustRightInd w:val="0"/>
        <w:snapToGrid w:val="0"/>
        <w:spacing w:line="360" w:lineRule="auto"/>
        <w:rPr>
          <w:color w:val="auto"/>
          <w:highlight w:val="none"/>
          <w:u w:val="single"/>
        </w:rPr>
      </w:pPr>
      <w:r>
        <w:rPr>
          <w:rFonts w:hint="eastAsia" w:hAnsi="华文楷体"/>
          <w:b/>
          <w:color w:val="auto"/>
          <w:sz w:val="28"/>
          <w:highlight w:val="none"/>
        </w:rPr>
        <w:t>合同编号：</w:t>
      </w:r>
      <w:r>
        <w:rPr>
          <w:rFonts w:hint="eastAsia"/>
          <w:color w:val="auto"/>
          <w:highlight w:val="none"/>
          <w:u w:val="single"/>
        </w:rPr>
        <w:t xml:space="preserve">         </w:t>
      </w:r>
    </w:p>
    <w:p w14:paraId="0C4733A6">
      <w:pPr>
        <w:adjustRightInd w:val="0"/>
        <w:snapToGrid w:val="0"/>
        <w:spacing w:line="360" w:lineRule="auto"/>
        <w:rPr>
          <w:color w:val="auto"/>
          <w:highlight w:val="none"/>
        </w:rPr>
      </w:pPr>
    </w:p>
    <w:p w14:paraId="0A70EA2B">
      <w:pPr>
        <w:adjustRightInd w:val="0"/>
        <w:snapToGrid w:val="0"/>
        <w:spacing w:line="360" w:lineRule="auto"/>
        <w:rPr>
          <w:color w:val="auto"/>
          <w:highlight w:val="none"/>
        </w:rPr>
      </w:pPr>
    </w:p>
    <w:p w14:paraId="6DDA108D">
      <w:pPr>
        <w:adjustRightInd w:val="0"/>
        <w:snapToGrid w:val="0"/>
        <w:spacing w:line="360" w:lineRule="auto"/>
        <w:rPr>
          <w:color w:val="auto"/>
          <w:highlight w:val="none"/>
        </w:rPr>
      </w:pPr>
    </w:p>
    <w:p w14:paraId="3599C617">
      <w:pPr>
        <w:adjustRightInd w:val="0"/>
        <w:snapToGrid w:val="0"/>
        <w:spacing w:line="360" w:lineRule="auto"/>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大新县2024年度国土变更调查工作服务合同</w:t>
      </w:r>
    </w:p>
    <w:p w14:paraId="7A061AB0">
      <w:pPr>
        <w:adjustRightInd w:val="0"/>
        <w:snapToGrid w:val="0"/>
        <w:spacing w:line="360" w:lineRule="auto"/>
        <w:rPr>
          <w:b/>
          <w:color w:val="auto"/>
          <w:sz w:val="40"/>
          <w:szCs w:val="21"/>
          <w:highlight w:val="none"/>
        </w:rPr>
      </w:pPr>
    </w:p>
    <w:p w14:paraId="754DC428">
      <w:pPr>
        <w:adjustRightInd w:val="0"/>
        <w:snapToGrid w:val="0"/>
        <w:spacing w:line="360" w:lineRule="auto"/>
        <w:rPr>
          <w:b/>
          <w:color w:val="auto"/>
          <w:sz w:val="40"/>
          <w:szCs w:val="21"/>
          <w:highlight w:val="none"/>
        </w:rPr>
      </w:pPr>
    </w:p>
    <w:p w14:paraId="5726ABE8">
      <w:pPr>
        <w:adjustRightInd w:val="0"/>
        <w:snapToGrid w:val="0"/>
        <w:spacing w:line="360" w:lineRule="auto"/>
        <w:rPr>
          <w:b/>
          <w:color w:val="auto"/>
          <w:sz w:val="40"/>
          <w:szCs w:val="21"/>
          <w:highlight w:val="none"/>
        </w:rPr>
      </w:pPr>
    </w:p>
    <w:p w14:paraId="22A26566">
      <w:pPr>
        <w:adjustRightInd w:val="0"/>
        <w:snapToGrid w:val="0"/>
        <w:spacing w:line="360" w:lineRule="auto"/>
        <w:rPr>
          <w:b/>
          <w:color w:val="auto"/>
          <w:sz w:val="40"/>
          <w:szCs w:val="21"/>
          <w:highlight w:val="none"/>
        </w:rPr>
      </w:pPr>
    </w:p>
    <w:p w14:paraId="0561D684">
      <w:pPr>
        <w:adjustRightInd w:val="0"/>
        <w:snapToGrid w:val="0"/>
        <w:spacing w:line="360" w:lineRule="auto"/>
        <w:rPr>
          <w:b/>
          <w:color w:val="auto"/>
          <w:sz w:val="40"/>
          <w:szCs w:val="21"/>
          <w:highlight w:val="none"/>
        </w:rPr>
      </w:pPr>
    </w:p>
    <w:p w14:paraId="6E3481E9">
      <w:pPr>
        <w:adjustRightInd w:val="0"/>
        <w:snapToGrid w:val="0"/>
        <w:spacing w:line="360" w:lineRule="auto"/>
        <w:rPr>
          <w:b/>
          <w:color w:val="auto"/>
          <w:sz w:val="40"/>
          <w:szCs w:val="21"/>
          <w:highlight w:val="none"/>
        </w:rPr>
      </w:pPr>
    </w:p>
    <w:p w14:paraId="36292698">
      <w:pPr>
        <w:adjustRightInd w:val="0"/>
        <w:snapToGrid w:val="0"/>
        <w:spacing w:line="360" w:lineRule="auto"/>
        <w:rPr>
          <w:color w:val="auto"/>
          <w:sz w:val="24"/>
          <w:highlight w:val="none"/>
        </w:rPr>
      </w:pPr>
      <w:r>
        <w:rPr>
          <w:rFonts w:hAnsi="华文楷体"/>
          <w:color w:val="auto"/>
          <w:sz w:val="24"/>
          <w:highlight w:val="none"/>
        </w:rPr>
        <w:t>项目名称</w:t>
      </w:r>
      <w:r>
        <w:rPr>
          <w:rFonts w:hint="eastAsia" w:hAnsi="华文楷体"/>
          <w:color w:val="auto"/>
          <w:sz w:val="24"/>
          <w:highlight w:val="none"/>
        </w:rPr>
        <w:t>：</w:t>
      </w:r>
      <w:r>
        <w:rPr>
          <w:rFonts w:hint="eastAsia"/>
          <w:color w:val="auto"/>
          <w:sz w:val="24"/>
          <w:highlight w:val="none"/>
          <w:u w:val="single"/>
        </w:rPr>
        <w:t xml:space="preserve">                             </w:t>
      </w:r>
    </w:p>
    <w:p w14:paraId="15069471">
      <w:pPr>
        <w:adjustRightInd w:val="0"/>
        <w:snapToGrid w:val="0"/>
        <w:spacing w:line="360" w:lineRule="auto"/>
        <w:rPr>
          <w:b/>
          <w:color w:val="auto"/>
          <w:sz w:val="24"/>
          <w:highlight w:val="none"/>
          <w:u w:val="single"/>
        </w:rPr>
      </w:pPr>
      <w:r>
        <w:rPr>
          <w:rFonts w:hAnsi="华文楷体"/>
          <w:color w:val="auto"/>
          <w:sz w:val="24"/>
          <w:highlight w:val="none"/>
        </w:rPr>
        <w:t>委托方（甲方）：</w:t>
      </w:r>
      <w:r>
        <w:rPr>
          <w:rFonts w:hint="eastAsia"/>
          <w:b/>
          <w:color w:val="auto"/>
          <w:sz w:val="24"/>
          <w:highlight w:val="none"/>
          <w:u w:val="single"/>
        </w:rPr>
        <w:t xml:space="preserve">                          </w:t>
      </w:r>
    </w:p>
    <w:p w14:paraId="44DBC085">
      <w:pPr>
        <w:adjustRightInd w:val="0"/>
        <w:snapToGrid w:val="0"/>
        <w:spacing w:line="360" w:lineRule="auto"/>
        <w:rPr>
          <w:b/>
          <w:color w:val="auto"/>
          <w:sz w:val="24"/>
          <w:highlight w:val="none"/>
          <w:u w:val="single"/>
        </w:rPr>
      </w:pPr>
      <w:r>
        <w:rPr>
          <w:rFonts w:hAnsi="华文楷体"/>
          <w:color w:val="auto"/>
          <w:sz w:val="24"/>
          <w:highlight w:val="none"/>
        </w:rPr>
        <w:t>受托方（乙方）：</w:t>
      </w:r>
      <w:r>
        <w:rPr>
          <w:rFonts w:hint="eastAsia"/>
          <w:b/>
          <w:color w:val="auto"/>
          <w:sz w:val="24"/>
          <w:highlight w:val="none"/>
          <w:u w:val="single"/>
        </w:rPr>
        <w:t xml:space="preserve">                          </w:t>
      </w:r>
    </w:p>
    <w:p w14:paraId="362C076F">
      <w:pPr>
        <w:adjustRightInd w:val="0"/>
        <w:snapToGrid w:val="0"/>
        <w:spacing w:line="360" w:lineRule="auto"/>
        <w:rPr>
          <w:color w:val="auto"/>
          <w:sz w:val="24"/>
          <w:highlight w:val="none"/>
        </w:rPr>
      </w:pPr>
      <w:r>
        <w:rPr>
          <w:rFonts w:hAnsi="华文楷体"/>
          <w:color w:val="auto"/>
          <w:sz w:val="24"/>
          <w:highlight w:val="none"/>
        </w:rPr>
        <w:t>签订地点：</w:t>
      </w:r>
      <w:r>
        <w:rPr>
          <w:rFonts w:hint="eastAsia"/>
          <w:b/>
          <w:color w:val="auto"/>
          <w:sz w:val="24"/>
          <w:highlight w:val="none"/>
          <w:u w:val="single"/>
        </w:rPr>
        <w:t xml:space="preserve">                          </w:t>
      </w:r>
      <w:r>
        <w:rPr>
          <w:rFonts w:hint="eastAsia"/>
          <w:color w:val="auto"/>
          <w:sz w:val="24"/>
          <w:highlight w:val="none"/>
        </w:rPr>
        <w:t xml:space="preserve"> </w:t>
      </w:r>
    </w:p>
    <w:p w14:paraId="37B0B33E">
      <w:pPr>
        <w:adjustRightInd w:val="0"/>
        <w:snapToGrid w:val="0"/>
        <w:spacing w:line="360" w:lineRule="auto"/>
        <w:rPr>
          <w:rFonts w:hAnsi="华文楷体"/>
          <w:color w:val="auto"/>
          <w:sz w:val="24"/>
          <w:highlight w:val="none"/>
        </w:rPr>
      </w:pPr>
      <w:r>
        <w:rPr>
          <w:rFonts w:hint="eastAsia" w:hAnsi="华文楷体"/>
          <w:color w:val="auto"/>
          <w:sz w:val="24"/>
          <w:highlight w:val="none"/>
        </w:rPr>
        <w:t xml:space="preserve"> 签订日期：</w:t>
      </w:r>
    </w:p>
    <w:p w14:paraId="452C8234">
      <w:pPr>
        <w:pStyle w:val="20"/>
        <w:rPr>
          <w:rFonts w:hAnsi="华文楷体"/>
          <w:color w:val="auto"/>
          <w:sz w:val="24"/>
          <w:highlight w:val="none"/>
        </w:rPr>
      </w:pPr>
    </w:p>
    <w:p w14:paraId="1CEAA848">
      <w:pPr>
        <w:rPr>
          <w:rFonts w:hAnsi="华文楷体"/>
          <w:color w:val="auto"/>
          <w:sz w:val="24"/>
          <w:highlight w:val="none"/>
        </w:rPr>
      </w:pPr>
    </w:p>
    <w:p w14:paraId="1D89A322">
      <w:pPr>
        <w:pStyle w:val="20"/>
        <w:rPr>
          <w:color w:val="auto"/>
          <w:highlight w:val="none"/>
        </w:rPr>
      </w:pPr>
    </w:p>
    <w:p w14:paraId="1B68741C">
      <w:pPr>
        <w:adjustRightInd w:val="0"/>
        <w:snapToGrid w:val="0"/>
        <w:spacing w:line="360" w:lineRule="auto"/>
        <w:rPr>
          <w:color w:val="auto"/>
          <w:sz w:val="36"/>
          <w:highlight w:val="none"/>
        </w:rPr>
      </w:pPr>
    </w:p>
    <w:p w14:paraId="3F802DC2">
      <w:pPr>
        <w:adjustRightInd w:val="0"/>
        <w:snapToGrid w:val="0"/>
        <w:spacing w:line="360" w:lineRule="auto"/>
        <w:rPr>
          <w:color w:val="auto"/>
          <w:sz w:val="36"/>
          <w:highlight w:val="none"/>
        </w:rPr>
      </w:pPr>
    </w:p>
    <w:p w14:paraId="2CEA3E0F">
      <w:pPr>
        <w:pStyle w:val="31"/>
        <w:rPr>
          <w:color w:val="auto"/>
          <w:highlight w:val="none"/>
        </w:rPr>
      </w:pPr>
    </w:p>
    <w:p w14:paraId="23EF02C0">
      <w:pPr>
        <w:rPr>
          <w:color w:val="auto"/>
          <w:highlight w:val="none"/>
        </w:rPr>
      </w:pPr>
    </w:p>
    <w:p w14:paraId="7733D2E3">
      <w:pPr>
        <w:adjustRightInd w:val="0"/>
        <w:snapToGrid w:val="0"/>
        <w:spacing w:line="360" w:lineRule="auto"/>
        <w:rPr>
          <w:color w:val="auto"/>
          <w:sz w:val="36"/>
          <w:highlight w:val="none"/>
        </w:rPr>
      </w:pPr>
    </w:p>
    <w:p w14:paraId="0772C62E">
      <w:pPr>
        <w:adjustRightInd w:val="0"/>
        <w:snapToGrid w:val="0"/>
        <w:spacing w:line="360" w:lineRule="auto"/>
        <w:rPr>
          <w:color w:val="auto"/>
          <w:sz w:val="36"/>
          <w:highlight w:val="none"/>
        </w:rPr>
      </w:pPr>
    </w:p>
    <w:p w14:paraId="4E04FF24">
      <w:pPr>
        <w:adjustRightInd w:val="0"/>
        <w:snapToGrid w:val="0"/>
        <w:spacing w:line="360" w:lineRule="auto"/>
        <w:ind w:firstLine="996"/>
        <w:jc w:val="center"/>
        <w:rPr>
          <w:color w:val="auto"/>
          <w:sz w:val="6"/>
          <w:szCs w:val="21"/>
          <w:highlight w:val="none"/>
        </w:rPr>
      </w:pPr>
      <w:r>
        <w:rPr>
          <w:rFonts w:hint="eastAsia" w:hAnsi="华文楷体"/>
          <w:b/>
          <w:color w:val="auto"/>
          <w:sz w:val="36"/>
          <w:szCs w:val="21"/>
          <w:highlight w:val="none"/>
        </w:rPr>
        <w:t>合同协议书</w:t>
      </w:r>
    </w:p>
    <w:p w14:paraId="134618E7">
      <w:pPr>
        <w:adjustRightInd w:val="0"/>
        <w:snapToGrid w:val="0"/>
        <w:spacing w:line="360" w:lineRule="auto"/>
        <w:ind w:firstLine="800"/>
        <w:rPr>
          <w:color w:val="auto"/>
          <w:sz w:val="10"/>
          <w:highlight w:val="none"/>
        </w:rPr>
      </w:pPr>
    </w:p>
    <w:p w14:paraId="4F148138">
      <w:pPr>
        <w:spacing w:line="360" w:lineRule="auto"/>
        <w:ind w:right="800"/>
        <w:rPr>
          <w:rFonts w:ascii="宋体" w:hAnsi="宋体" w:cs="宋体"/>
          <w:bCs/>
          <w:color w:val="auto"/>
          <w:szCs w:val="21"/>
          <w:highlight w:val="none"/>
          <w:u w:val="singl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bCs/>
          <w:color w:val="auto"/>
          <w:szCs w:val="21"/>
          <w:highlight w:val="none"/>
        </w:rPr>
        <w:t>合同编号：</w:t>
      </w:r>
      <w:r>
        <w:rPr>
          <w:rFonts w:hint="eastAsia" w:ascii="宋体" w:hAnsi="宋体" w:cs="宋体"/>
          <w:color w:val="auto"/>
          <w:szCs w:val="21"/>
          <w:highlight w:val="none"/>
          <w:u w:val="single"/>
        </w:rPr>
        <w:t xml:space="preserve">                  </w:t>
      </w:r>
    </w:p>
    <w:p w14:paraId="6146B8F5">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采购人（甲方）：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供应商（乙方）：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3FD7772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项目编号：</w:t>
      </w:r>
      <w:r>
        <w:rPr>
          <w:rFonts w:hint="eastAsia" w:ascii="宋体" w:hAnsi="宋体" w:cs="宋体"/>
          <w:color w:val="auto"/>
          <w:szCs w:val="21"/>
          <w:highlight w:val="none"/>
          <w:u w:val="single"/>
        </w:rPr>
        <w:t xml:space="preserve">                          </w:t>
      </w:r>
    </w:p>
    <w:p w14:paraId="27632B4B">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签订地点：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签订时间：</w:t>
      </w:r>
      <w:r>
        <w:rPr>
          <w:rFonts w:hint="eastAsia" w:ascii="宋体" w:hAnsi="宋体" w:cs="宋体"/>
          <w:color w:val="auto"/>
          <w:szCs w:val="21"/>
          <w:highlight w:val="none"/>
          <w:u w:val="single"/>
        </w:rPr>
        <w:t xml:space="preserve">                        </w:t>
      </w:r>
    </w:p>
    <w:p w14:paraId="1F3061AC">
      <w:pPr>
        <w:pStyle w:val="20"/>
        <w:rPr>
          <w:color w:val="auto"/>
          <w:highlight w:val="none"/>
        </w:rPr>
      </w:pPr>
      <w:r>
        <w:rPr>
          <w:rFonts w:hint="eastAsia" w:ascii="宋体" w:hAnsi="宋体" w:cs="宋体"/>
          <w:color w:val="auto"/>
          <w:szCs w:val="21"/>
          <w:highlight w:val="none"/>
        </w:rPr>
        <w:t>中小企业预留：</w:t>
      </w:r>
      <w:r>
        <w:rPr>
          <w:rFonts w:hint="eastAsia" w:ascii="宋体" w:hAnsi="宋体" w:cs="宋体"/>
          <w:color w:val="auto"/>
          <w:szCs w:val="21"/>
          <w:highlight w:val="none"/>
          <w:u w:val="single"/>
        </w:rPr>
        <w:t xml:space="preserve"> 否   </w:t>
      </w:r>
      <w:r>
        <w:rPr>
          <w:rFonts w:hint="eastAsia" w:ascii="宋体" w:hAnsi="宋体" w:cs="宋体"/>
          <w:color w:val="auto"/>
          <w:szCs w:val="21"/>
          <w:highlight w:val="none"/>
        </w:rPr>
        <w:t xml:space="preserve">      </w:t>
      </w:r>
    </w:p>
    <w:p w14:paraId="7D11124F">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本着平等、公平、自愿、诚实守信的原则，根据《中华人民共和国民法典》《中华人民共和国测绘法》和有关法律法规，经双方协商一致签订本合同，并承诺严格履行。</w:t>
      </w:r>
    </w:p>
    <w:p w14:paraId="0F8DC2D3">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第一条  工作内容</w:t>
      </w:r>
    </w:p>
    <w:p w14:paraId="5B48757F">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以2023年度国土变更调查成果为基础，结合上半年自然资源监测工作和自然资源综合监测监管工作，统筹现有资料，分析全县地类变化情况，重点分析涉及耕地流入的地类变化情况，通过开展实地调查举证，确认国土利用现状，形成包括变化图斑矢量数据与举证数据在内的日常变更成果；同时按照国家和自治区的统一标准，利用卫星遥感、地理信息系统、互联网、云计算等技术，统筹现有资料，根据国家下发的2024年底以及最新下发卫星遥感影像和监测图斑，结合有关监测及相关自然资源管理信息，制作外业调查底图，并开展实地调查举证。通过调查全面掌握县2024年度的地类、面积、属性及相关图层属性信息的变化情况，更新县级国土调查数据库。</w:t>
      </w:r>
    </w:p>
    <w:p w14:paraId="2CD0D85B">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（一）工作调查底图制作。以自然资源部和区自然资源厅下发的2024年度遥感监测成果为基础，统筹现有资料，开展内业分析，补充提取变化图斑，制作2024年度国土变更外业调查工作底图。</w:t>
      </w:r>
    </w:p>
    <w:p w14:paraId="65677779">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二）外业调查举证。以实地现状认定地类为原则，实地逐图斑核实确认图斑地类，调绘图斑边界，记录更新图斑权属、恢复属性、城镇村、采矿用地、特殊用地、废弃、种植属性、耕地细化等各类属性信息标注的变化情况等。在开展外业调查的同时，应使用带卫星定位和方向传感器的设备，利用“互联网+”举证软件，对需举证的图斑地块拍摄包含图斑实地卫星定位坐标、拍摄方位角、拍摄时间、实地照片及举证说明等综合信息的加密举证数据包，上传至统一举证平台。</w:t>
      </w:r>
    </w:p>
    <w:p w14:paraId="2AC616C7">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三）县级填报和提交。在"国土调查云"平台，根据外业举证照片，实时完成调查图斑地类的核实与相关属性填报，包括实地是否发生变化、实地地类、单独图层、图斑举证类型、实地情况说明等相关内容的填报；若调查图斑包含多个地类，必须依据地类分界线对图斑进行分割和填报相应的属性信息。</w:t>
      </w:r>
    </w:p>
    <w:p w14:paraId="10D08A22">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（四）国土调查数据库更新。 严格按照统一的2024年度国土变更调查数据更新技术的要求、数据变更方法、标准及相关质量要求，将发生变化的图斑以及各单独图层数据，以2023年度国土变更调查数据库为基础，做好范围拟合，录入相应的属性信息，采用增量更新的方式，开展2024年度变更调查数据库更新工作。</w:t>
      </w:r>
    </w:p>
    <w:p w14:paraId="4EB323FF">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（五）成果核查。根据自治区和国家级核查结果及时修正变更调查成果。</w:t>
      </w:r>
    </w:p>
    <w:p w14:paraId="2BF37FC9">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（六）成果汇总分析。开展县数据汇总分析、报告编写等工作。</w:t>
      </w:r>
    </w:p>
    <w:p w14:paraId="2F2B0DCA">
      <w:pPr>
        <w:pStyle w:val="145"/>
        <w:snapToGrid w:val="0"/>
        <w:spacing w:line="360" w:lineRule="exact"/>
        <w:ind w:firstLine="420" w:firstLineChars="200"/>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（七）日常变更调查工作。</w:t>
      </w:r>
    </w:p>
    <w:p w14:paraId="51E333E5">
      <w:pPr>
        <w:pStyle w:val="145"/>
        <w:snapToGrid w:val="0"/>
        <w:spacing w:line="360" w:lineRule="exact"/>
        <w:ind w:firstLine="420" w:firstLineChars="200"/>
        <w:jc w:val="both"/>
        <w:rPr>
          <w:rFonts w:hint="default" w:ascii="宋体" w:hAnsi="宋体" w:eastAsia="宋体" w:cs="宋体"/>
          <w:color w:val="auto"/>
          <w:kern w:val="2"/>
          <w:sz w:val="21"/>
          <w:szCs w:val="21"/>
          <w:highlight w:val="none"/>
          <w:lang w:val="zh-CN"/>
        </w:rPr>
      </w:pPr>
      <w:r>
        <w:rPr>
          <w:rFonts w:ascii="宋体" w:hAnsi="宋体" w:eastAsia="宋体" w:cs="宋体"/>
          <w:color w:val="auto"/>
          <w:kern w:val="2"/>
          <w:sz w:val="21"/>
          <w:szCs w:val="21"/>
          <w:highlight w:val="none"/>
          <w:lang w:val="zh-CN"/>
        </w:rPr>
        <w:t>（八）配合做好2024年度耕地恢复任务日常变更工作（日常数据分析及处理、相关系统的数据处理、日常技术支持、以及甲方交办其他相关事项。）。</w:t>
      </w:r>
    </w:p>
    <w:p w14:paraId="72F74254">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第二条  技术标准和要求</w:t>
      </w:r>
    </w:p>
    <w:p w14:paraId="4A09AFD7">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（一）《国土变更调查技术规程（2024年度适用）》；</w:t>
      </w:r>
    </w:p>
    <w:p w14:paraId="4D842CA4">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（二）《广西壮族自治区自然资源厅办公室关于开展2024年日常变更调查工作的通知》（桂自然资办﹝2024〕47号）；</w:t>
      </w:r>
    </w:p>
    <w:p w14:paraId="4C76320C">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（三）《广西壮族自治区自然资源厅办公室关于印发2024 年日常变更调查技术方案、核查方案和监理方案的通知》（桂自然资办﹝2024〕126号）；</w:t>
      </w:r>
    </w:p>
    <w:p w14:paraId="657854AD">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（四）《广西2024年度国土变更调查实施方案》；</w:t>
      </w:r>
    </w:p>
    <w:p w14:paraId="12813DC5">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（五）《第三次全国国土调查工作分类》；</w:t>
      </w:r>
    </w:p>
    <w:p w14:paraId="7008083F">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（六）《土地利用现状分类》GB/T21010-2017；</w:t>
      </w:r>
    </w:p>
    <w:p w14:paraId="6F860389">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（七）《地籍调查规程》GB/T42547-2023；</w:t>
      </w:r>
    </w:p>
    <w:p w14:paraId="669D5E7D">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（八）《国土调查数据库标准》TD/T1057-2020；</w:t>
      </w:r>
    </w:p>
    <w:p w14:paraId="418C6D6B">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（九）《国土调查数据库更新数据规范》；</w:t>
      </w:r>
    </w:p>
    <w:p w14:paraId="58BF2240">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（十）《国土调查数据库更新变更规则》；</w:t>
      </w:r>
    </w:p>
    <w:p w14:paraId="1EFB5379">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（十一）《国土变更调查县级数据库质量检查规则 》；</w:t>
      </w:r>
    </w:p>
    <w:p w14:paraId="62725F36">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（十二）《国土调查数据库更新统计报表设计及说明》；</w:t>
      </w:r>
    </w:p>
    <w:p w14:paraId="776E5340">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（十三）其他相关技术性文件。</w:t>
      </w:r>
    </w:p>
    <w:p w14:paraId="68B6CF93">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第三条  甲方的职责</w:t>
      </w:r>
    </w:p>
    <w:p w14:paraId="77759853">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（一）甲方进行国土变更调查宣传工作，使群众了解该项工作的重要性和必要性，使双方的工作尽可能得到村民的支持和帮助。</w:t>
      </w:r>
    </w:p>
    <w:p w14:paraId="762CC8AF">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（二）甲方有计划地为乙方提供有关资料，并定期和不定期地在工作中实行中间质量检查和相关合同条款检查，如有违规违约的行为可按有关规定处理。</w:t>
      </w:r>
    </w:p>
    <w:p w14:paraId="74A7DA21">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（三）甲方应力所能及的给乙方正常开展工作提供工作和生活便利。</w:t>
      </w:r>
    </w:p>
    <w:p w14:paraId="6A7BD6BA">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（四）甲方根据约定及时向乙方拨付工作经费。</w:t>
      </w:r>
    </w:p>
    <w:p w14:paraId="31759E7D">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第四条  乙方的职责</w:t>
      </w:r>
    </w:p>
    <w:p w14:paraId="4D55EE8A">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（一）严格按照合同约定的技术规范、标准等要求作业，保证项目成果严格按照上级文件精神要求进行作业，确保国土变更调查成果符合自治区和国家的有关要求。</w:t>
      </w:r>
    </w:p>
    <w:p w14:paraId="4955C8CF">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（二）乙方必须确保在甲方的工期要求前完成本合同项目工作。</w:t>
      </w:r>
    </w:p>
    <w:p w14:paraId="037EC778">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三）乙方必须接受甲方对合同执行的监督检查，并应严格按质量管理方案实施项目管理。对检查发现的问题，乙方必须按甲方下达的书面意见进行整改，否则视之为违约，按合同相关条款承担违约责任，情节严重，甲方有权解除合同。</w:t>
      </w:r>
    </w:p>
    <w:p w14:paraId="4960B745">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（四）乙方必须做到安全生产，应自己负责合同执行期间施工人身、设备安全责任。</w:t>
      </w:r>
    </w:p>
    <w:p w14:paraId="49BDB40B">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（五）乙方必须按后续服务承诺对本项目提供后续服务。</w:t>
      </w:r>
    </w:p>
    <w:p w14:paraId="71077B45">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第五条  质量及工期要求</w:t>
      </w:r>
    </w:p>
    <w:p w14:paraId="3E3FD879">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（一）质量要求</w:t>
      </w:r>
    </w:p>
    <w:p w14:paraId="03D34BB9">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成果符合国家规定的标准和现行技术规范、规程的要求。</w:t>
      </w:r>
    </w:p>
    <w:p w14:paraId="3FF3E1D1">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（二）完成日期</w:t>
      </w:r>
    </w:p>
    <w:p w14:paraId="4919C63C">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按照自然资源部和自治区自然资源厅最新的时间要求完成。</w:t>
      </w:r>
    </w:p>
    <w:p w14:paraId="79C8DCC9">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第六条  合同费用</w:t>
      </w:r>
    </w:p>
    <w:p w14:paraId="2F73DD07">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根据中标价格，本合同金额为</w:t>
      </w:r>
      <w:r>
        <w:rPr>
          <w:rFonts w:hint="eastAsia" w:ascii="宋体" w:hAnsi="宋体" w:cs="宋体"/>
          <w:color w:val="auto"/>
          <w:szCs w:val="21"/>
          <w:highlight w:val="none"/>
        </w:rPr>
        <w:t>人民币（大写）     （￥        元）</w:t>
      </w:r>
      <w:r>
        <w:rPr>
          <w:rFonts w:hint="eastAsia" w:ascii="宋体" w:hAnsi="宋体" w:cs="宋体"/>
          <w:color w:val="auto"/>
          <w:szCs w:val="21"/>
          <w:highlight w:val="none"/>
          <w:lang w:val="zh-CN"/>
        </w:rPr>
        <w:t>。</w:t>
      </w:r>
    </w:p>
    <w:p w14:paraId="7DB14F72">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第七条  费用支付方式</w:t>
      </w:r>
    </w:p>
    <w:p w14:paraId="48CC235C">
      <w:pPr>
        <w:tabs>
          <w:tab w:val="left" w:pos="56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（一）合同签订之日起10个工作日内，采购人在供应商开具等额发票后支付合同总价的30%作为前期工作经费；</w:t>
      </w:r>
    </w:p>
    <w:p w14:paraId="1150E172">
      <w:pPr>
        <w:tabs>
          <w:tab w:val="left" w:pos="56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（二）成交供应商提交日常变更成果工作后10个工作日内，采购人在供应商开具等额发票后支付总合同价20%；</w:t>
      </w:r>
    </w:p>
    <w:p w14:paraId="69478156">
      <w:pPr>
        <w:tabs>
          <w:tab w:val="left" w:pos="5670"/>
        </w:tabs>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（三）成交供应商开展年度国土变更工作后10个工作日内，采购人在供应商开具等额发票后支付总合同价的20%。</w:t>
      </w:r>
    </w:p>
    <w:p w14:paraId="41808B90">
      <w:pPr>
        <w:adjustRightInd w:val="0"/>
        <w:snapToGrid w:val="0"/>
        <w:spacing w:line="440" w:lineRule="exact"/>
        <w:ind w:firstLine="468" w:firstLineChars="223"/>
        <w:rPr>
          <w:rFonts w:ascii="宋体" w:hAnsi="宋体" w:cs="宋体"/>
          <w:color w:val="auto"/>
          <w:szCs w:val="21"/>
          <w:highlight w:val="none"/>
          <w:lang w:bidi="ar"/>
        </w:rPr>
      </w:pPr>
      <w:r>
        <w:rPr>
          <w:rFonts w:hint="eastAsia" w:ascii="宋体" w:hAnsi="宋体" w:cs="宋体"/>
          <w:color w:val="auto"/>
          <w:szCs w:val="21"/>
          <w:highlight w:val="none"/>
        </w:rPr>
        <w:t>（四）成交供应商向自治区自然资源厅上报年度国土变更成果后10个工作日内，采购人在供应商开具等额发票后支付总合同价的30%。</w:t>
      </w:r>
    </w:p>
    <w:p w14:paraId="3329E81B">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第八条  提交的成果资料</w:t>
      </w:r>
    </w:p>
    <w:p w14:paraId="6ECEE975">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（一）外业调查成果；</w:t>
      </w:r>
    </w:p>
    <w:p w14:paraId="2E5A3DC5">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（二）数据库成果；</w:t>
      </w:r>
    </w:p>
    <w:p w14:paraId="373E1637">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（三）各类图斑信息核实报表；</w:t>
      </w:r>
    </w:p>
    <w:p w14:paraId="5FB05B57">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（四）各类统计汇总表；</w:t>
      </w:r>
    </w:p>
    <w:p w14:paraId="2B931CFC">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（五）文字成果。</w:t>
      </w:r>
    </w:p>
    <w:p w14:paraId="6B8A45B5">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第九条  成果的知识产权及保密</w:t>
      </w:r>
    </w:p>
    <w:p w14:paraId="1C334AE7">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本项目成果属于甲方，未经甲方同意，乙方均不得对成果资料及文件擅自修改、复制或向第三人转让或用于本合同项目外的项目。如发生以上情况，泄密方承担一切由此引起的后果并承担赔偿责任。</w:t>
      </w:r>
    </w:p>
    <w:p w14:paraId="67F4B597">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第十条  甲方的违约责任</w:t>
      </w:r>
    </w:p>
    <w:p w14:paraId="160BFA31">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（一）在合同履行期间，甲方要求终止或解除合同，乙方已开始相关工作的，甲方应根据乙方已进行的实际工作量支付编制费。</w:t>
      </w:r>
    </w:p>
    <w:p w14:paraId="079F44B7">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二）因甲方变更计划而造成返工、停工、窝工或修改报告的，甲方应按乙方实耗的工作量增加费用并顺延工期；因甲方责任造成工作的重大返工或重作，应另行增加编制费，具体费用由双方协商，同时重新协商提交成果时间。</w:t>
      </w:r>
    </w:p>
    <w:p w14:paraId="392E3A3A">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（三）甲方未按合同约定如期向乙方支付技术服务费用时，应按延误天数和当时银行贷款利率向乙方支付违约金。</w:t>
      </w:r>
    </w:p>
    <w:p w14:paraId="622CC14B">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第十一条  乙方的违约责任</w:t>
      </w:r>
    </w:p>
    <w:p w14:paraId="031356A4">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（一）在合同履行期间，如乙方擅自中途停止或解除合同应向甲方返还合同总金额的5%作为违约金。</w:t>
      </w:r>
    </w:p>
    <w:p w14:paraId="599E4CB2">
      <w:pPr>
        <w:adjustRightInd w:val="0"/>
        <w:snapToGrid w:val="0"/>
        <w:spacing w:line="440" w:lineRule="exact"/>
        <w:ind w:firstLine="468" w:firstLineChars="223"/>
        <w:rPr>
          <w:rFonts w:hint="eastAsia" w:ascii="宋体" w:hAnsi="宋体" w:cs="宋体"/>
          <w:color w:val="auto"/>
          <w:szCs w:val="21"/>
          <w:highlight w:val="none"/>
          <w:lang w:val="zh-CN"/>
        </w:rPr>
      </w:pPr>
      <w:r>
        <w:rPr>
          <w:rFonts w:hint="eastAsia" w:ascii="宋体" w:hAnsi="宋体" w:cs="宋体"/>
          <w:color w:val="auto"/>
          <w:szCs w:val="21"/>
          <w:highlight w:val="none"/>
          <w:lang w:val="zh-CN"/>
        </w:rPr>
        <w:t>（二）乙方未能按合同约定的日期提交相关服务成果时，应按延误天数和当时银行贷款利率向甲方支付违约金。</w:t>
      </w:r>
    </w:p>
    <w:p w14:paraId="64F816CF">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（三）由于乙方原因造成返工、停工、窝工或修改报告的，所产生的费用由乙方承担，如给甲方造成损失，应付给甲方损失部分费用相等的赔偿金。</w:t>
      </w:r>
    </w:p>
    <w:p w14:paraId="00972286">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第十二条  不可抗力和合同纠纷</w:t>
      </w:r>
    </w:p>
    <w:p w14:paraId="68F76985">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（一）由于不可抗力的外力因素（包括自然的和不可预见到的），造成调查变更或工期延误，其发生的有关费用由双方协商解决。</w:t>
      </w:r>
    </w:p>
    <w:p w14:paraId="75DD8EF9">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（二）本合同实施过程中的未尽事宜，双方应本着友好协商的原则加以解决，双方协商一致签订的协议具有同等法律效力。</w:t>
      </w:r>
    </w:p>
    <w:p w14:paraId="29D15263">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（三）合同发生纠纷时，双方应及时协商解决。</w:t>
      </w:r>
    </w:p>
    <w:p w14:paraId="11E7BE31">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（四）纠纷协商不成时，可向相关机构申请调解、仲裁，或向人民法院提起诉讼。</w:t>
      </w:r>
    </w:p>
    <w:p w14:paraId="1B9A917D">
      <w:pPr>
        <w:adjustRightInd w:val="0"/>
        <w:snapToGrid w:val="0"/>
        <w:spacing w:line="440" w:lineRule="exact"/>
        <w:ind w:firstLine="470" w:firstLineChars="223"/>
        <w:rPr>
          <w:rFonts w:ascii="宋体" w:hAnsi="宋体" w:cs="宋体"/>
          <w:b/>
          <w:color w:val="auto"/>
          <w:szCs w:val="21"/>
          <w:highlight w:val="none"/>
          <w:lang w:val="zh-CN"/>
        </w:rPr>
      </w:pPr>
      <w:r>
        <w:rPr>
          <w:rFonts w:hint="eastAsia" w:ascii="宋体" w:hAnsi="宋体" w:cs="宋体"/>
          <w:b/>
          <w:color w:val="auto"/>
          <w:szCs w:val="21"/>
          <w:highlight w:val="none"/>
          <w:lang w:val="zh-CN"/>
        </w:rPr>
        <w:t>第十三条  附则</w:t>
      </w:r>
    </w:p>
    <w:p w14:paraId="0F2B3CDD">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（一）本合同一经双方签字盖章即时生效，成果交接、项目款结算完毕后，本合同自行终止。</w:t>
      </w:r>
    </w:p>
    <w:p w14:paraId="356291B0">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（二）本合同一式陆份，甲、乙双方各执叁份，具有同等法律效力。</w:t>
      </w:r>
    </w:p>
    <w:p w14:paraId="06D31753">
      <w:pPr>
        <w:adjustRightInd w:val="0"/>
        <w:snapToGrid w:val="0"/>
        <w:spacing w:line="440" w:lineRule="exact"/>
        <w:ind w:firstLine="468" w:firstLineChars="223"/>
        <w:rPr>
          <w:rFonts w:ascii="宋体" w:hAnsi="宋体" w:cs="宋体"/>
          <w:color w:val="auto"/>
          <w:szCs w:val="21"/>
          <w:highlight w:val="none"/>
          <w:lang w:val="zh-CN"/>
        </w:rPr>
      </w:pPr>
      <w:r>
        <w:rPr>
          <w:rFonts w:hint="eastAsia" w:ascii="宋体" w:hAnsi="宋体" w:cs="宋体"/>
          <w:color w:val="auto"/>
          <w:szCs w:val="21"/>
          <w:highlight w:val="none"/>
          <w:lang w:val="zh-CN"/>
        </w:rPr>
        <w:t>（以下无正文）</w:t>
      </w:r>
    </w:p>
    <w:p w14:paraId="7C7A69F9">
      <w:pPr>
        <w:pStyle w:val="20"/>
        <w:rPr>
          <w:color w:val="auto"/>
          <w:highlight w:val="none"/>
          <w:lang w:val="zh-CN"/>
        </w:rPr>
      </w:pPr>
    </w:p>
    <w:p w14:paraId="73484CEE">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甲方：        （盖章）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 xml:space="preserve">乙方：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 xml:space="preserve">（盖章）                        </w:t>
      </w:r>
      <w:r>
        <w:rPr>
          <w:rFonts w:ascii="宋体" w:hAnsi="宋体" w:cs="宋体"/>
          <w:color w:val="auto"/>
          <w:spacing w:val="-10"/>
          <w:szCs w:val="21"/>
          <w:highlight w:val="none"/>
        </w:rPr>
        <w:t xml:space="preserve">               </w:t>
      </w:r>
    </w:p>
    <w:p w14:paraId="7FFDE3F6">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法定代表人：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法定代表人：</w:t>
      </w:r>
    </w:p>
    <w:p w14:paraId="3CEFD1B4">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或委托代理人：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 xml:space="preserve"> 或委托代理人：</w:t>
      </w:r>
    </w:p>
    <w:p w14:paraId="4827A990">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（签字或盖章）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 xml:space="preserve"> （签字或盖章）</w:t>
      </w:r>
    </w:p>
    <w:p w14:paraId="2D6584AB">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通信地址：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 xml:space="preserve">通信地址： </w:t>
      </w:r>
    </w:p>
    <w:p w14:paraId="19EF8A10">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电话号码：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电话号码：</w:t>
      </w:r>
    </w:p>
    <w:p w14:paraId="0B82F559">
      <w:pPr>
        <w:pStyle w:val="20"/>
        <w:rPr>
          <w:rFonts w:ascii="宋体" w:hAnsi="宋体" w:cs="宋体"/>
          <w:color w:val="auto"/>
          <w:spacing w:val="-10"/>
          <w:szCs w:val="21"/>
          <w:highlight w:val="none"/>
        </w:rPr>
      </w:pPr>
      <w:r>
        <w:rPr>
          <w:rFonts w:hint="eastAsia" w:ascii="宋体" w:hAnsi="宋体" w:cs="宋体"/>
          <w:color w:val="auto"/>
          <w:spacing w:val="-10"/>
          <w:szCs w:val="21"/>
          <w:highlight w:val="none"/>
        </w:rPr>
        <w:t xml:space="preserve">纳税人识别号：                     </w:t>
      </w:r>
      <w:r>
        <w:rPr>
          <w:rFonts w:ascii="宋体" w:hAnsi="宋体" w:cs="宋体"/>
          <w:color w:val="auto"/>
          <w:spacing w:val="-10"/>
          <w:szCs w:val="21"/>
          <w:highlight w:val="none"/>
        </w:rPr>
        <w:t xml:space="preserve">               </w:t>
      </w:r>
      <w:r>
        <w:rPr>
          <w:rFonts w:hint="eastAsia" w:ascii="宋体" w:hAnsi="宋体" w:cs="宋体"/>
          <w:color w:val="auto"/>
          <w:spacing w:val="-10"/>
          <w:szCs w:val="21"/>
          <w:highlight w:val="none"/>
        </w:rPr>
        <w:t xml:space="preserve">开户银行： </w:t>
      </w:r>
    </w:p>
    <w:p w14:paraId="360E1B48">
      <w:pPr>
        <w:pStyle w:val="20"/>
        <w:ind w:firstLine="4465" w:firstLineChars="2350"/>
        <w:rPr>
          <w:rFonts w:ascii="宋体" w:hAnsi="宋体" w:cs="宋体"/>
          <w:color w:val="auto"/>
          <w:spacing w:val="-10"/>
          <w:szCs w:val="21"/>
          <w:highlight w:val="none"/>
        </w:rPr>
      </w:pPr>
      <w:r>
        <w:rPr>
          <w:rFonts w:hint="eastAsia" w:ascii="宋体" w:hAnsi="宋体" w:cs="宋体"/>
          <w:color w:val="auto"/>
          <w:spacing w:val="-10"/>
          <w:szCs w:val="21"/>
          <w:highlight w:val="none"/>
        </w:rPr>
        <w:t>银行账号：</w:t>
      </w:r>
    </w:p>
    <w:p w14:paraId="25D4BA67">
      <w:pPr>
        <w:pStyle w:val="20"/>
        <w:ind w:firstLine="4465" w:firstLineChars="2350"/>
        <w:rPr>
          <w:rFonts w:ascii="宋体" w:hAnsi="宋体" w:cs="宋体"/>
          <w:color w:val="auto"/>
          <w:spacing w:val="-10"/>
          <w:szCs w:val="21"/>
          <w:highlight w:val="none"/>
        </w:rPr>
      </w:pPr>
      <w:r>
        <w:rPr>
          <w:rFonts w:hint="eastAsia" w:ascii="宋体" w:hAnsi="宋体" w:cs="宋体"/>
          <w:color w:val="auto"/>
          <w:spacing w:val="-10"/>
          <w:szCs w:val="21"/>
          <w:highlight w:val="none"/>
        </w:rPr>
        <w:t>纳税人识别号：</w:t>
      </w:r>
    </w:p>
    <w:p w14:paraId="0AC907D6">
      <w:pPr>
        <w:adjustRightInd w:val="0"/>
        <w:snapToGrid w:val="0"/>
        <w:spacing w:line="360" w:lineRule="auto"/>
        <w:rPr>
          <w:color w:val="auto"/>
          <w:szCs w:val="21"/>
          <w:highlight w:val="none"/>
        </w:rPr>
      </w:pPr>
      <w:r>
        <w:rPr>
          <w:rFonts w:hint="eastAsia" w:ascii="宋体" w:hAnsi="宋体" w:cs="宋体"/>
          <w:color w:val="auto"/>
          <w:spacing w:val="-10"/>
          <w:szCs w:val="21"/>
          <w:highlight w:val="none"/>
        </w:rPr>
        <w:t>日期：      年    月    日</w:t>
      </w:r>
    </w:p>
    <w:sectPr>
      <w:pgSz w:w="11906" w:h="16838"/>
      <w:pgMar w:top="1440" w:right="1286" w:bottom="1440" w:left="13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5AE89E98-B730-4DCA-B9E1-FE15938AF2A3}"/>
  </w:font>
  <w:font w:name="Arial">
    <w:panose1 w:val="020B0604020202020204"/>
    <w:charset w:val="01"/>
    <w:family w:val="swiss"/>
    <w:pitch w:val="default"/>
    <w:sig w:usb0="E0002EFF" w:usb1="C000785B" w:usb2="00000009" w:usb3="00000000" w:csb0="400001FF" w:csb1="FFFF0000"/>
    <w:embedRegular r:id="rId2" w:fontKey="{42A4BEFD-95D1-4E10-AF02-DA48AEEEF841}"/>
  </w:font>
  <w:font w:name="黑体">
    <w:panose1 w:val="02010609060101010101"/>
    <w:charset w:val="86"/>
    <w:family w:val="auto"/>
    <w:pitch w:val="default"/>
    <w:sig w:usb0="800002BF" w:usb1="38CF7CFA" w:usb2="00000016" w:usb3="00000000" w:csb0="00040001" w:csb1="00000000"/>
    <w:embedRegular r:id="rId3" w:fontKey="{0C883D18-1DEB-4B15-BC1B-0D7B95C22C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4" w:fontKey="{CBAF8D50-7291-4FA4-A2BF-0EB19E82F5CF}"/>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5" w:fontKey="{AAA4D7DA-DDA2-4AFF-9A0F-535DC78E09AD}"/>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panose1 w:val="02000000000000000000"/>
    <w:charset w:val="86"/>
    <w:family w:val="script"/>
    <w:pitch w:val="default"/>
    <w:sig w:usb0="A00002BF" w:usb1="38CF7CFA" w:usb2="00082016" w:usb3="00000000" w:csb0="00040001" w:csb1="00000000"/>
  </w:font>
  <w:font w:name="方正仿宋简体">
    <w:altName w:val="微软雅黑"/>
    <w:panose1 w:val="02000000000000000000"/>
    <w:charset w:val="86"/>
    <w:family w:val="script"/>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金山简黑体">
    <w:altName w:val="黑体"/>
    <w:panose1 w:val="00000000000000000000"/>
    <w:charset w:val="86"/>
    <w:family w:val="roman"/>
    <w:pitch w:val="default"/>
    <w:sig w:usb0="00000000" w:usb1="00000000" w:usb2="00000010"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BCD5D797-0A0A-440B-BBCC-6CFFECA7F635}"/>
  </w:font>
  <w:font w:name="MS Mincho">
    <w:panose1 w:val="02020609040205080304"/>
    <w:charset w:val="80"/>
    <w:family w:val="modern"/>
    <w:pitch w:val="default"/>
    <w:sig w:usb0="A00002BF" w:usb1="68C7FCFB" w:usb2="00000010" w:usb3="00000000" w:csb0="4002009F" w:csb1="DFD70000"/>
    <w:embedRegular r:id="rId7" w:fontKey="{952A0756-7F8B-4A4E-A29D-9291C227768C}"/>
  </w:font>
  <w:font w:name="Wingdings 2">
    <w:panose1 w:val="05020102010507070707"/>
    <w:charset w:val="02"/>
    <w:family w:val="roman"/>
    <w:pitch w:val="default"/>
    <w:sig w:usb0="00000000" w:usb1="00000000" w:usb2="00000000" w:usb3="00000000" w:csb0="80000000" w:csb1="00000000"/>
    <w:embedRegular r:id="rId8" w:fontKey="{436D7444-CEE0-4C66-BA75-87DD5CA28525}"/>
  </w:font>
  <w:font w:name="新宋体">
    <w:panose1 w:val="02010609030101010101"/>
    <w:charset w:val="86"/>
    <w:family w:val="modern"/>
    <w:pitch w:val="default"/>
    <w:sig w:usb0="00000283" w:usb1="288F0000" w:usb2="00000006" w:usb3="00000000" w:csb0="00040001" w:csb1="00000000"/>
    <w:embedRegular r:id="rId9" w:fontKey="{6F78F70A-C3B3-4B00-85E6-5023A2887152}"/>
  </w:font>
  <w:font w:name="华文楷体">
    <w:panose1 w:val="02010600040101010101"/>
    <w:charset w:val="86"/>
    <w:family w:val="auto"/>
    <w:pitch w:val="default"/>
    <w:sig w:usb0="00000287" w:usb1="080F0000" w:usb2="00000000" w:usb3="00000000" w:csb0="0004009F" w:csb1="DFD70000"/>
    <w:embedRegular r:id="rId10" w:fontKey="{37B942BB-379D-420C-A37F-904C25A45C5B}"/>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2E14A">
    <w:pPr>
      <w:pStyle w:val="3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498A992">
                          <w:pPr>
                            <w:pStyle w:val="31"/>
                            <w:jc w:val="center"/>
                          </w:pPr>
                          <w:r>
                            <w:fldChar w:fldCharType="begin"/>
                          </w:r>
                          <w:r>
                            <w:instrText xml:space="preserve"> PAGE   \* MERGEFORMAT </w:instrText>
                          </w:r>
                          <w:r>
                            <w:fldChar w:fldCharType="separate"/>
                          </w:r>
                          <w:r>
                            <w:rPr>
                              <w:lang w:val="zh-CN"/>
                            </w:rPr>
                            <w:t>52</w:t>
                          </w:r>
                          <w:r>
                            <w:fldChar w:fldCharType="end"/>
                          </w:r>
                        </w:p>
                      </w:txbxContent>
                    </wps:txbx>
                    <wps:bodyPr vert="horz" wrap="none" lIns="0" tIns="0" rIns="0" bIns="0" anchor="t" anchorCtr="0">
                      <a:spAutoFit/>
                    </wps:bodyPr>
                  </wps:wsp>
                </a:graphicData>
              </a:graphic>
            </wp:anchor>
          </w:drawing>
        </mc:Choice>
        <mc:Fallback>
          <w:pict>
            <v:shape id="文本框 614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Cj6IC/aAQAAtQMAAA4AAAAAAAAAAQAg&#10;AAAAHgEAAGRycy9lMm9Eb2MueG1sUEsFBgAAAAAGAAYAWQEAAGoFAAAAAA==&#10;">
              <v:fill on="f" focussize="0,0"/>
              <v:stroke on="f"/>
              <v:imagedata o:title=""/>
              <o:lock v:ext="edit" aspectratio="f"/>
              <v:textbox inset="0mm,0mm,0mm,0mm" style="mso-fit-shape-to-text:t;">
                <w:txbxContent>
                  <w:p w14:paraId="6498A992">
                    <w:pPr>
                      <w:pStyle w:val="31"/>
                      <w:jc w:val="center"/>
                    </w:pPr>
                    <w:r>
                      <w:fldChar w:fldCharType="begin"/>
                    </w:r>
                    <w:r>
                      <w:instrText xml:space="preserve"> PAGE   \* MERGEFORMAT </w:instrText>
                    </w:r>
                    <w:r>
                      <w:fldChar w:fldCharType="separate"/>
                    </w:r>
                    <w:r>
                      <w:rPr>
                        <w:lang w:val="zh-CN"/>
                      </w:rPr>
                      <w:t>52</w:t>
                    </w:r>
                    <w:r>
                      <w:fldChar w:fldCharType="end"/>
                    </w:r>
                  </w:p>
                </w:txbxContent>
              </v:textbox>
            </v:shape>
          </w:pict>
        </mc:Fallback>
      </mc:AlternateContent>
    </w:r>
  </w:p>
  <w:p w14:paraId="33806AEE">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84856">
    <w:pPr>
      <w:pStyle w:val="3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1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9AF04">
                          <w:pPr>
                            <w:pStyle w:val="3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文本框 614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K7dqW/FAQAAkAMAAA4AAAAAAAAAAQAgAAAAHgEAAGRycy9lMm9Eb2MueG1s&#10;UEsFBgAAAAAGAAYAWQEAAFUFAAAAAA==&#10;">
              <v:fill on="f" focussize="0,0"/>
              <v:stroke on="f"/>
              <v:imagedata o:title=""/>
              <o:lock v:ext="edit" aspectratio="f"/>
              <v:textbox inset="0mm,0mm,0mm,0mm" style="mso-fit-shape-to-text:t;">
                <w:txbxContent>
                  <w:p w14:paraId="5D79AF04">
                    <w:pPr>
                      <w:pStyle w:val="3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ABB9BF">
    <w:pPr>
      <w:pStyle w:val="3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4822">
    <w:pPr>
      <w:pStyle w:val="20"/>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63661"/>
    <w:multiLevelType w:val="singleLevel"/>
    <w:tmpl w:val="8CA63661"/>
    <w:lvl w:ilvl="0" w:tentative="0">
      <w:start w:val="1"/>
      <w:numFmt w:val="decimal"/>
      <w:suff w:val="nothing"/>
      <w:lvlText w:val="（%1）"/>
      <w:lvlJc w:val="left"/>
    </w:lvl>
  </w:abstractNum>
  <w:abstractNum w:abstractNumId="1">
    <w:nsid w:val="D0B209DB"/>
    <w:multiLevelType w:val="singleLevel"/>
    <w:tmpl w:val="D0B209DB"/>
    <w:lvl w:ilvl="0" w:tentative="0">
      <w:start w:val="1"/>
      <w:numFmt w:val="decimalEnclosedCircleChinese"/>
      <w:suff w:val="nothing"/>
      <w:lvlText w:val="%1　"/>
      <w:lvlJc w:val="left"/>
      <w:pPr>
        <w:ind w:left="0" w:firstLine="400"/>
      </w:pPr>
      <w:rPr>
        <w:rFonts w:hint="eastAsia"/>
      </w:rPr>
    </w:lvl>
  </w:abstractNum>
  <w:abstractNum w:abstractNumId="2">
    <w:nsid w:val="5C2676D2"/>
    <w:multiLevelType w:val="multilevel"/>
    <w:tmpl w:val="5C2676D2"/>
    <w:lvl w:ilvl="0" w:tentative="0">
      <w:start w:val="1"/>
      <w:numFmt w:val="chineseCountingThousand"/>
      <w:suff w:val="space"/>
      <w:lvlText w:val="第%1章"/>
      <w:lvlJc w:val="left"/>
      <w:pPr>
        <w:ind w:left="568" w:firstLine="0"/>
      </w:pPr>
      <w:rPr>
        <w:rFonts w:hint="eastAsia" w:ascii="仿宋_GB2312" w:eastAsia="仿宋_GB2312"/>
        <w:b/>
        <w:i w:val="0"/>
        <w:sz w:val="44"/>
      </w:rPr>
    </w:lvl>
    <w:lvl w:ilvl="1" w:tentative="0">
      <w:start w:val="1"/>
      <w:numFmt w:val="decimal"/>
      <w:isLgl/>
      <w:suff w:val="space"/>
      <w:lvlText w:val="%1.%2"/>
      <w:lvlJc w:val="left"/>
      <w:pPr>
        <w:ind w:left="0" w:firstLine="0"/>
      </w:pPr>
      <w:rPr>
        <w:rFonts w:hint="eastAsia"/>
        <w:bCs w:val="0"/>
        <w:i w:val="0"/>
        <w:iCs w:val="0"/>
        <w:caps w:val="0"/>
        <w:smallCaps w:val="0"/>
        <w:strike w:val="0"/>
        <w:dstrike w:val="0"/>
        <w:vanish w:val="0"/>
        <w:color w:val="000000"/>
        <w:spacing w:val="0"/>
        <w:position w:val="0"/>
        <w:u w:val="none"/>
        <w:vertAlign w:val="baseline"/>
      </w:rPr>
    </w:lvl>
    <w:lvl w:ilvl="2" w:tentative="0">
      <w:start w:val="1"/>
      <w:numFmt w:val="decimal"/>
      <w:pStyle w:val="4"/>
      <w:isLgl/>
      <w:suff w:val="space"/>
      <w:lvlText w:val="%1.%2.%3"/>
      <w:lvlJc w:val="left"/>
      <w:pPr>
        <w:ind w:left="0" w:firstLine="0"/>
      </w:pPr>
      <w:rPr>
        <w:rFonts w:hint="eastAsia"/>
        <w:bCs w:val="0"/>
        <w:i w:val="0"/>
        <w:iCs w:val="0"/>
        <w:caps w:val="0"/>
        <w:smallCaps w:val="0"/>
        <w:strike w:val="0"/>
        <w:dstrike w:val="0"/>
        <w:vanish w:val="0"/>
        <w:color w:val="000000"/>
        <w:spacing w:val="0"/>
        <w:position w:val="0"/>
        <w:sz w:val="30"/>
        <w:u w:val="none"/>
        <w:vertAlign w:val="baseline"/>
      </w:rPr>
    </w:lvl>
    <w:lvl w:ilvl="3" w:tentative="0">
      <w:start w:val="1"/>
      <w:numFmt w:val="decimal"/>
      <w:isLgl/>
      <w:suff w:val="space"/>
      <w:lvlText w:val="%1.%2.%3.%4"/>
      <w:lvlJc w:val="left"/>
      <w:pPr>
        <w:ind w:left="0" w:firstLine="0"/>
      </w:pPr>
      <w:rPr>
        <w:rFonts w:hint="eastAsia" w:ascii="仿宋_GB2312" w:eastAsia="仿宋_GB2312"/>
        <w:b/>
        <w:i w:val="0"/>
        <w:sz w:val="30"/>
      </w:rPr>
    </w:lvl>
    <w:lvl w:ilvl="4" w:tentative="0">
      <w:start w:val="1"/>
      <w:numFmt w:val="decimal"/>
      <w:isLgl/>
      <w:suff w:val="space"/>
      <w:lvlText w:val="%1.%2.%3.%4.%5"/>
      <w:lvlJc w:val="left"/>
      <w:pPr>
        <w:ind w:left="0" w:firstLine="0"/>
      </w:pPr>
      <w:rPr>
        <w:b/>
        <w:bCs w:val="0"/>
        <w:i w:val="0"/>
        <w:iCs w:val="0"/>
        <w:caps w:val="0"/>
        <w:smallCaps w:val="0"/>
        <w:strike w:val="0"/>
        <w:dstrike w:val="0"/>
        <w:vanish w:val="0"/>
        <w:color w:val="000000"/>
        <w:spacing w:val="0"/>
        <w:position w:val="0"/>
        <w:u w:val="none"/>
        <w:vertAlign w:val="baseline"/>
      </w:rPr>
    </w:lvl>
    <w:lvl w:ilvl="5" w:tentative="0">
      <w:start w:val="1"/>
      <w:numFmt w:val="decimal"/>
      <w:isLgl/>
      <w:suff w:val="space"/>
      <w:lvlText w:val="%1.%2.%3.%4.%5.%6"/>
      <w:lvlJc w:val="left"/>
      <w:pPr>
        <w:ind w:left="0" w:firstLine="0"/>
      </w:pPr>
      <w:rPr>
        <w:rFonts w:hint="eastAsia" w:ascii="仿宋_GB2312" w:eastAsia="仿宋_GB2312"/>
        <w:b/>
        <w:i w:val="0"/>
        <w:sz w:val="28"/>
      </w:rPr>
    </w:lvl>
    <w:lvl w:ilvl="6" w:tentative="0">
      <w:start w:val="1"/>
      <w:numFmt w:val="decimal"/>
      <w:isLgl/>
      <w:suff w:val="space"/>
      <w:lvlText w:val="%1.%2.%3.%4.%5.%6.%7"/>
      <w:lvlJc w:val="left"/>
      <w:pPr>
        <w:ind w:left="0" w:firstLine="0"/>
      </w:pPr>
      <w:rPr>
        <w:rFonts w:hint="eastAsia" w:ascii="仿宋_GB2312" w:eastAsia="仿宋_GB2312"/>
        <w:b/>
        <w:i w:val="0"/>
        <w:sz w:val="28"/>
      </w:rPr>
    </w:lvl>
    <w:lvl w:ilvl="7" w:tentative="0">
      <w:start w:val="1"/>
      <w:numFmt w:val="decimal"/>
      <w:isLgl/>
      <w:suff w:val="space"/>
      <w:lvlText w:val="%1.%2.%3.%4.%5.%6.%7.%8"/>
      <w:lvlJc w:val="left"/>
      <w:pPr>
        <w:ind w:left="0" w:firstLine="0"/>
      </w:pPr>
      <w:rPr>
        <w:rFonts w:hint="eastAsia" w:ascii="仿宋_GB2312" w:eastAsia="仿宋_GB2312"/>
        <w:b/>
        <w:i w:val="0"/>
        <w:sz w:val="28"/>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dit="readOnly" w:formatting="1" w:enforcement="1" w:cryptProviderType="rsaFull" w:cryptAlgorithmClass="hash" w:cryptAlgorithmType="typeAny" w:cryptAlgorithmSid="4" w:cryptSpinCount="0" w:hash="QQzqga3JKI/d2OqyXR6OmG2p9sE=" w:salt="JZ3Wqqu56FaKRNc/2jIVHg=="/>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OTJlM2JmNjM2OWEyNTEzZjNjMDdkODNhNzIwYzUifQ=="/>
  </w:docVars>
  <w:rsids>
    <w:rsidRoot w:val="00172A27"/>
    <w:rsid w:val="00000672"/>
    <w:rsid w:val="00001013"/>
    <w:rsid w:val="00001799"/>
    <w:rsid w:val="00001AF2"/>
    <w:rsid w:val="00001ECA"/>
    <w:rsid w:val="00002D29"/>
    <w:rsid w:val="00003B93"/>
    <w:rsid w:val="0000474D"/>
    <w:rsid w:val="0000513F"/>
    <w:rsid w:val="00005FDF"/>
    <w:rsid w:val="000070B3"/>
    <w:rsid w:val="000076B8"/>
    <w:rsid w:val="000109DC"/>
    <w:rsid w:val="00010D39"/>
    <w:rsid w:val="0001172C"/>
    <w:rsid w:val="00012854"/>
    <w:rsid w:val="00012EA6"/>
    <w:rsid w:val="000139CF"/>
    <w:rsid w:val="00013AA4"/>
    <w:rsid w:val="00013DFE"/>
    <w:rsid w:val="000141EA"/>
    <w:rsid w:val="00016ABC"/>
    <w:rsid w:val="000176A7"/>
    <w:rsid w:val="000177DB"/>
    <w:rsid w:val="000179C9"/>
    <w:rsid w:val="00017CCC"/>
    <w:rsid w:val="00020227"/>
    <w:rsid w:val="00020455"/>
    <w:rsid w:val="00020813"/>
    <w:rsid w:val="000220B2"/>
    <w:rsid w:val="0002264C"/>
    <w:rsid w:val="00022731"/>
    <w:rsid w:val="00022792"/>
    <w:rsid w:val="00024463"/>
    <w:rsid w:val="00025461"/>
    <w:rsid w:val="00025636"/>
    <w:rsid w:val="00025E36"/>
    <w:rsid w:val="00026855"/>
    <w:rsid w:val="00026886"/>
    <w:rsid w:val="000329E0"/>
    <w:rsid w:val="0003522D"/>
    <w:rsid w:val="000352E9"/>
    <w:rsid w:val="00035494"/>
    <w:rsid w:val="000356FF"/>
    <w:rsid w:val="00036125"/>
    <w:rsid w:val="00036A07"/>
    <w:rsid w:val="0003780B"/>
    <w:rsid w:val="00040571"/>
    <w:rsid w:val="00040973"/>
    <w:rsid w:val="0004156E"/>
    <w:rsid w:val="00041713"/>
    <w:rsid w:val="0004440C"/>
    <w:rsid w:val="00046B5E"/>
    <w:rsid w:val="000470CB"/>
    <w:rsid w:val="000500AD"/>
    <w:rsid w:val="000509D9"/>
    <w:rsid w:val="00051ACB"/>
    <w:rsid w:val="000533E7"/>
    <w:rsid w:val="00055D41"/>
    <w:rsid w:val="00057CD6"/>
    <w:rsid w:val="00060DCE"/>
    <w:rsid w:val="000610E3"/>
    <w:rsid w:val="000614F3"/>
    <w:rsid w:val="000623B4"/>
    <w:rsid w:val="00062405"/>
    <w:rsid w:val="000634A7"/>
    <w:rsid w:val="00063B0B"/>
    <w:rsid w:val="00063F81"/>
    <w:rsid w:val="00064847"/>
    <w:rsid w:val="00065297"/>
    <w:rsid w:val="00065E08"/>
    <w:rsid w:val="00066B8B"/>
    <w:rsid w:val="000673E2"/>
    <w:rsid w:val="0007063F"/>
    <w:rsid w:val="000707FD"/>
    <w:rsid w:val="00070949"/>
    <w:rsid w:val="000711E4"/>
    <w:rsid w:val="00072AED"/>
    <w:rsid w:val="00073F47"/>
    <w:rsid w:val="0007492F"/>
    <w:rsid w:val="00074ED8"/>
    <w:rsid w:val="00075B7E"/>
    <w:rsid w:val="00077ACA"/>
    <w:rsid w:val="00077C70"/>
    <w:rsid w:val="000813B5"/>
    <w:rsid w:val="00081BA3"/>
    <w:rsid w:val="00081D2E"/>
    <w:rsid w:val="00081F89"/>
    <w:rsid w:val="00082619"/>
    <w:rsid w:val="00082D02"/>
    <w:rsid w:val="00083871"/>
    <w:rsid w:val="00083B91"/>
    <w:rsid w:val="0008473C"/>
    <w:rsid w:val="0008520B"/>
    <w:rsid w:val="000860BD"/>
    <w:rsid w:val="000871B8"/>
    <w:rsid w:val="000916DA"/>
    <w:rsid w:val="00092442"/>
    <w:rsid w:val="000929EF"/>
    <w:rsid w:val="0009560F"/>
    <w:rsid w:val="0009588E"/>
    <w:rsid w:val="000959EE"/>
    <w:rsid w:val="00097183"/>
    <w:rsid w:val="000972CB"/>
    <w:rsid w:val="00097608"/>
    <w:rsid w:val="000A0368"/>
    <w:rsid w:val="000A13F3"/>
    <w:rsid w:val="000A23B1"/>
    <w:rsid w:val="000A2B0E"/>
    <w:rsid w:val="000A398F"/>
    <w:rsid w:val="000A448C"/>
    <w:rsid w:val="000A509C"/>
    <w:rsid w:val="000A6007"/>
    <w:rsid w:val="000A65A6"/>
    <w:rsid w:val="000A70E3"/>
    <w:rsid w:val="000A7275"/>
    <w:rsid w:val="000A7A12"/>
    <w:rsid w:val="000A7A72"/>
    <w:rsid w:val="000B1202"/>
    <w:rsid w:val="000B1801"/>
    <w:rsid w:val="000B1D0C"/>
    <w:rsid w:val="000B2273"/>
    <w:rsid w:val="000B2BC6"/>
    <w:rsid w:val="000B2D03"/>
    <w:rsid w:val="000B3815"/>
    <w:rsid w:val="000B3C7B"/>
    <w:rsid w:val="000B6A6B"/>
    <w:rsid w:val="000B6C95"/>
    <w:rsid w:val="000B79FC"/>
    <w:rsid w:val="000C1679"/>
    <w:rsid w:val="000C1EE3"/>
    <w:rsid w:val="000C3AE7"/>
    <w:rsid w:val="000C3CC9"/>
    <w:rsid w:val="000C6DE4"/>
    <w:rsid w:val="000C7202"/>
    <w:rsid w:val="000D0A89"/>
    <w:rsid w:val="000D1389"/>
    <w:rsid w:val="000D1798"/>
    <w:rsid w:val="000D2626"/>
    <w:rsid w:val="000D411D"/>
    <w:rsid w:val="000D4589"/>
    <w:rsid w:val="000D50C7"/>
    <w:rsid w:val="000D73DD"/>
    <w:rsid w:val="000E1C51"/>
    <w:rsid w:val="000E28AB"/>
    <w:rsid w:val="000E2E3E"/>
    <w:rsid w:val="000E3583"/>
    <w:rsid w:val="000E3AF0"/>
    <w:rsid w:val="000E4E04"/>
    <w:rsid w:val="000E6EC9"/>
    <w:rsid w:val="000E70B4"/>
    <w:rsid w:val="000E7B62"/>
    <w:rsid w:val="000F0E1E"/>
    <w:rsid w:val="000F1A1B"/>
    <w:rsid w:val="000F2A95"/>
    <w:rsid w:val="000F3281"/>
    <w:rsid w:val="000F32FD"/>
    <w:rsid w:val="000F3733"/>
    <w:rsid w:val="000F5F8B"/>
    <w:rsid w:val="000F6153"/>
    <w:rsid w:val="000F64AA"/>
    <w:rsid w:val="000F7AF4"/>
    <w:rsid w:val="000F7C33"/>
    <w:rsid w:val="000F7F0C"/>
    <w:rsid w:val="001004D6"/>
    <w:rsid w:val="00102676"/>
    <w:rsid w:val="00103646"/>
    <w:rsid w:val="00103918"/>
    <w:rsid w:val="00104897"/>
    <w:rsid w:val="00104EDE"/>
    <w:rsid w:val="00105CDA"/>
    <w:rsid w:val="00106BEE"/>
    <w:rsid w:val="00107C74"/>
    <w:rsid w:val="0011091C"/>
    <w:rsid w:val="00111266"/>
    <w:rsid w:val="001112EB"/>
    <w:rsid w:val="001127DF"/>
    <w:rsid w:val="00112E51"/>
    <w:rsid w:val="00113678"/>
    <w:rsid w:val="00113C3E"/>
    <w:rsid w:val="00115E11"/>
    <w:rsid w:val="00115EEE"/>
    <w:rsid w:val="00115F56"/>
    <w:rsid w:val="00116CA9"/>
    <w:rsid w:val="00116F38"/>
    <w:rsid w:val="001170A4"/>
    <w:rsid w:val="00117AE7"/>
    <w:rsid w:val="00117CBD"/>
    <w:rsid w:val="0012006A"/>
    <w:rsid w:val="00121979"/>
    <w:rsid w:val="00122064"/>
    <w:rsid w:val="00124341"/>
    <w:rsid w:val="00124492"/>
    <w:rsid w:val="00124B12"/>
    <w:rsid w:val="001250A0"/>
    <w:rsid w:val="00125344"/>
    <w:rsid w:val="001263B8"/>
    <w:rsid w:val="0012740F"/>
    <w:rsid w:val="00130217"/>
    <w:rsid w:val="00130783"/>
    <w:rsid w:val="00130A47"/>
    <w:rsid w:val="00132B47"/>
    <w:rsid w:val="001337F8"/>
    <w:rsid w:val="001348B4"/>
    <w:rsid w:val="001351CB"/>
    <w:rsid w:val="00135530"/>
    <w:rsid w:val="00135947"/>
    <w:rsid w:val="001359A2"/>
    <w:rsid w:val="00136020"/>
    <w:rsid w:val="00136445"/>
    <w:rsid w:val="00140132"/>
    <w:rsid w:val="00141C9C"/>
    <w:rsid w:val="0014277F"/>
    <w:rsid w:val="00142A1E"/>
    <w:rsid w:val="001434BE"/>
    <w:rsid w:val="00144050"/>
    <w:rsid w:val="0014479F"/>
    <w:rsid w:val="001452B4"/>
    <w:rsid w:val="00145320"/>
    <w:rsid w:val="001476D3"/>
    <w:rsid w:val="001509CF"/>
    <w:rsid w:val="00150D1D"/>
    <w:rsid w:val="001525AA"/>
    <w:rsid w:val="00152A87"/>
    <w:rsid w:val="00153BB5"/>
    <w:rsid w:val="00154518"/>
    <w:rsid w:val="00156359"/>
    <w:rsid w:val="00156DD6"/>
    <w:rsid w:val="0016086E"/>
    <w:rsid w:val="00160D0C"/>
    <w:rsid w:val="00161172"/>
    <w:rsid w:val="00161998"/>
    <w:rsid w:val="00161E65"/>
    <w:rsid w:val="00162597"/>
    <w:rsid w:val="001629AF"/>
    <w:rsid w:val="001629DB"/>
    <w:rsid w:val="001629FD"/>
    <w:rsid w:val="0016428A"/>
    <w:rsid w:val="001647C9"/>
    <w:rsid w:val="00165627"/>
    <w:rsid w:val="001661A3"/>
    <w:rsid w:val="00167226"/>
    <w:rsid w:val="0016782B"/>
    <w:rsid w:val="0016784D"/>
    <w:rsid w:val="00172A27"/>
    <w:rsid w:val="00173256"/>
    <w:rsid w:val="00173B0E"/>
    <w:rsid w:val="00173E03"/>
    <w:rsid w:val="0017512C"/>
    <w:rsid w:val="0017586A"/>
    <w:rsid w:val="00175BA6"/>
    <w:rsid w:val="00176CA7"/>
    <w:rsid w:val="00176F8E"/>
    <w:rsid w:val="001778C5"/>
    <w:rsid w:val="00177E56"/>
    <w:rsid w:val="00177F0A"/>
    <w:rsid w:val="00180DA0"/>
    <w:rsid w:val="00181EAD"/>
    <w:rsid w:val="00182862"/>
    <w:rsid w:val="00184F57"/>
    <w:rsid w:val="00185544"/>
    <w:rsid w:val="00185617"/>
    <w:rsid w:val="00187A14"/>
    <w:rsid w:val="0019171E"/>
    <w:rsid w:val="00192368"/>
    <w:rsid w:val="001923A0"/>
    <w:rsid w:val="001928B1"/>
    <w:rsid w:val="00193537"/>
    <w:rsid w:val="00193846"/>
    <w:rsid w:val="0019497A"/>
    <w:rsid w:val="00195424"/>
    <w:rsid w:val="001955FF"/>
    <w:rsid w:val="001963AC"/>
    <w:rsid w:val="00197EDD"/>
    <w:rsid w:val="001A01D2"/>
    <w:rsid w:val="001A02B3"/>
    <w:rsid w:val="001A049D"/>
    <w:rsid w:val="001A04BB"/>
    <w:rsid w:val="001A08D0"/>
    <w:rsid w:val="001A1B39"/>
    <w:rsid w:val="001A2120"/>
    <w:rsid w:val="001A28C6"/>
    <w:rsid w:val="001A2E69"/>
    <w:rsid w:val="001A3C34"/>
    <w:rsid w:val="001A3EDE"/>
    <w:rsid w:val="001A4222"/>
    <w:rsid w:val="001A50EA"/>
    <w:rsid w:val="001A5E24"/>
    <w:rsid w:val="001A6B27"/>
    <w:rsid w:val="001A6D8B"/>
    <w:rsid w:val="001A6DAA"/>
    <w:rsid w:val="001A7717"/>
    <w:rsid w:val="001A793A"/>
    <w:rsid w:val="001B125A"/>
    <w:rsid w:val="001B1EBA"/>
    <w:rsid w:val="001B2142"/>
    <w:rsid w:val="001B2F2B"/>
    <w:rsid w:val="001B327A"/>
    <w:rsid w:val="001B35DE"/>
    <w:rsid w:val="001B3A13"/>
    <w:rsid w:val="001B536B"/>
    <w:rsid w:val="001B59FF"/>
    <w:rsid w:val="001B6512"/>
    <w:rsid w:val="001B65D7"/>
    <w:rsid w:val="001B6752"/>
    <w:rsid w:val="001B6768"/>
    <w:rsid w:val="001B6F1F"/>
    <w:rsid w:val="001B7ECC"/>
    <w:rsid w:val="001C025B"/>
    <w:rsid w:val="001C0318"/>
    <w:rsid w:val="001C115F"/>
    <w:rsid w:val="001C25A7"/>
    <w:rsid w:val="001C318C"/>
    <w:rsid w:val="001C35C4"/>
    <w:rsid w:val="001C4287"/>
    <w:rsid w:val="001C4479"/>
    <w:rsid w:val="001C4D4C"/>
    <w:rsid w:val="001C5190"/>
    <w:rsid w:val="001C6081"/>
    <w:rsid w:val="001C7B48"/>
    <w:rsid w:val="001D0CFB"/>
    <w:rsid w:val="001D0F53"/>
    <w:rsid w:val="001D1A0D"/>
    <w:rsid w:val="001D343C"/>
    <w:rsid w:val="001D58A1"/>
    <w:rsid w:val="001D58C2"/>
    <w:rsid w:val="001D5A8A"/>
    <w:rsid w:val="001D735E"/>
    <w:rsid w:val="001D73C8"/>
    <w:rsid w:val="001D7BC6"/>
    <w:rsid w:val="001E129E"/>
    <w:rsid w:val="001E175C"/>
    <w:rsid w:val="001E1B0E"/>
    <w:rsid w:val="001E5A94"/>
    <w:rsid w:val="001F2A2E"/>
    <w:rsid w:val="001F3356"/>
    <w:rsid w:val="001F3C63"/>
    <w:rsid w:val="001F4460"/>
    <w:rsid w:val="001F711A"/>
    <w:rsid w:val="001F75B0"/>
    <w:rsid w:val="00200CE5"/>
    <w:rsid w:val="00200F7C"/>
    <w:rsid w:val="002014DB"/>
    <w:rsid w:val="00201E12"/>
    <w:rsid w:val="002033B5"/>
    <w:rsid w:val="0020382C"/>
    <w:rsid w:val="0020437A"/>
    <w:rsid w:val="0020454C"/>
    <w:rsid w:val="0020521F"/>
    <w:rsid w:val="0020532C"/>
    <w:rsid w:val="002066F4"/>
    <w:rsid w:val="002114C7"/>
    <w:rsid w:val="0021302C"/>
    <w:rsid w:val="00213B1C"/>
    <w:rsid w:val="00214063"/>
    <w:rsid w:val="00214202"/>
    <w:rsid w:val="002148E3"/>
    <w:rsid w:val="0021552D"/>
    <w:rsid w:val="002156AE"/>
    <w:rsid w:val="00215E99"/>
    <w:rsid w:val="0022054D"/>
    <w:rsid w:val="0022361D"/>
    <w:rsid w:val="00223DDB"/>
    <w:rsid w:val="00223FA4"/>
    <w:rsid w:val="00223FB0"/>
    <w:rsid w:val="00224067"/>
    <w:rsid w:val="0022421C"/>
    <w:rsid w:val="00224E83"/>
    <w:rsid w:val="00225664"/>
    <w:rsid w:val="0022663D"/>
    <w:rsid w:val="00227F2D"/>
    <w:rsid w:val="00231851"/>
    <w:rsid w:val="002319FB"/>
    <w:rsid w:val="00231B89"/>
    <w:rsid w:val="00231F11"/>
    <w:rsid w:val="00231F5E"/>
    <w:rsid w:val="002346B4"/>
    <w:rsid w:val="00234F6E"/>
    <w:rsid w:val="002355BE"/>
    <w:rsid w:val="002358EA"/>
    <w:rsid w:val="00236578"/>
    <w:rsid w:val="00236DE9"/>
    <w:rsid w:val="00237342"/>
    <w:rsid w:val="00237D5A"/>
    <w:rsid w:val="002415AE"/>
    <w:rsid w:val="00241D3C"/>
    <w:rsid w:val="00242109"/>
    <w:rsid w:val="00242692"/>
    <w:rsid w:val="00243189"/>
    <w:rsid w:val="002439AB"/>
    <w:rsid w:val="00243C19"/>
    <w:rsid w:val="00244AE8"/>
    <w:rsid w:val="00245587"/>
    <w:rsid w:val="00245F2B"/>
    <w:rsid w:val="00246E6D"/>
    <w:rsid w:val="00247F3A"/>
    <w:rsid w:val="00250122"/>
    <w:rsid w:val="00250755"/>
    <w:rsid w:val="00251043"/>
    <w:rsid w:val="00251C4A"/>
    <w:rsid w:val="0025271C"/>
    <w:rsid w:val="002533CD"/>
    <w:rsid w:val="00254EAB"/>
    <w:rsid w:val="002557AF"/>
    <w:rsid w:val="0025589C"/>
    <w:rsid w:val="00255B62"/>
    <w:rsid w:val="002566B1"/>
    <w:rsid w:val="00256F7F"/>
    <w:rsid w:val="002575E3"/>
    <w:rsid w:val="00257A74"/>
    <w:rsid w:val="002603C1"/>
    <w:rsid w:val="002609A1"/>
    <w:rsid w:val="002612B1"/>
    <w:rsid w:val="00266165"/>
    <w:rsid w:val="00266F2C"/>
    <w:rsid w:val="0027125E"/>
    <w:rsid w:val="00271767"/>
    <w:rsid w:val="00272293"/>
    <w:rsid w:val="002723C8"/>
    <w:rsid w:val="00273157"/>
    <w:rsid w:val="00273C2A"/>
    <w:rsid w:val="00273CBE"/>
    <w:rsid w:val="002746B1"/>
    <w:rsid w:val="00282D56"/>
    <w:rsid w:val="002835B0"/>
    <w:rsid w:val="00283C74"/>
    <w:rsid w:val="0028407E"/>
    <w:rsid w:val="0028410F"/>
    <w:rsid w:val="00284572"/>
    <w:rsid w:val="00285221"/>
    <w:rsid w:val="00286FB5"/>
    <w:rsid w:val="00287763"/>
    <w:rsid w:val="00290606"/>
    <w:rsid w:val="002909B2"/>
    <w:rsid w:val="00291D6D"/>
    <w:rsid w:val="00291FF1"/>
    <w:rsid w:val="00292AA2"/>
    <w:rsid w:val="00293361"/>
    <w:rsid w:val="002952B1"/>
    <w:rsid w:val="00295D11"/>
    <w:rsid w:val="00296FB6"/>
    <w:rsid w:val="002A0001"/>
    <w:rsid w:val="002A0BD9"/>
    <w:rsid w:val="002A0C3A"/>
    <w:rsid w:val="002A1130"/>
    <w:rsid w:val="002A1880"/>
    <w:rsid w:val="002A23B7"/>
    <w:rsid w:val="002A3561"/>
    <w:rsid w:val="002A3A57"/>
    <w:rsid w:val="002A4B4F"/>
    <w:rsid w:val="002A57A8"/>
    <w:rsid w:val="002A6DEF"/>
    <w:rsid w:val="002A770B"/>
    <w:rsid w:val="002B013E"/>
    <w:rsid w:val="002B058D"/>
    <w:rsid w:val="002B0C16"/>
    <w:rsid w:val="002B2AC5"/>
    <w:rsid w:val="002B3528"/>
    <w:rsid w:val="002B3539"/>
    <w:rsid w:val="002B4532"/>
    <w:rsid w:val="002B5042"/>
    <w:rsid w:val="002B69CC"/>
    <w:rsid w:val="002B6D71"/>
    <w:rsid w:val="002C0C1C"/>
    <w:rsid w:val="002C54C2"/>
    <w:rsid w:val="002C5D34"/>
    <w:rsid w:val="002C60BB"/>
    <w:rsid w:val="002C661A"/>
    <w:rsid w:val="002D0D6F"/>
    <w:rsid w:val="002D25FC"/>
    <w:rsid w:val="002D4AC6"/>
    <w:rsid w:val="002D5BF5"/>
    <w:rsid w:val="002D5EE8"/>
    <w:rsid w:val="002D7360"/>
    <w:rsid w:val="002D7648"/>
    <w:rsid w:val="002E109C"/>
    <w:rsid w:val="002E193E"/>
    <w:rsid w:val="002E1A94"/>
    <w:rsid w:val="002E1D55"/>
    <w:rsid w:val="002E26C4"/>
    <w:rsid w:val="002E30A5"/>
    <w:rsid w:val="002E47E4"/>
    <w:rsid w:val="002E4BF9"/>
    <w:rsid w:val="002E4D61"/>
    <w:rsid w:val="002E6E6C"/>
    <w:rsid w:val="002F0522"/>
    <w:rsid w:val="002F16AD"/>
    <w:rsid w:val="002F16DD"/>
    <w:rsid w:val="002F199D"/>
    <w:rsid w:val="002F213C"/>
    <w:rsid w:val="002F2453"/>
    <w:rsid w:val="002F352D"/>
    <w:rsid w:val="002F4084"/>
    <w:rsid w:val="002F4A08"/>
    <w:rsid w:val="002F4ADB"/>
    <w:rsid w:val="002F51AC"/>
    <w:rsid w:val="002F531E"/>
    <w:rsid w:val="002F548D"/>
    <w:rsid w:val="002F5ACC"/>
    <w:rsid w:val="002F6FB8"/>
    <w:rsid w:val="002F704B"/>
    <w:rsid w:val="002F72C3"/>
    <w:rsid w:val="002F768C"/>
    <w:rsid w:val="002F7D1E"/>
    <w:rsid w:val="00300201"/>
    <w:rsid w:val="0030025A"/>
    <w:rsid w:val="00302EFC"/>
    <w:rsid w:val="00303243"/>
    <w:rsid w:val="00303BCC"/>
    <w:rsid w:val="00303F2B"/>
    <w:rsid w:val="00303F8D"/>
    <w:rsid w:val="0030572D"/>
    <w:rsid w:val="0030586A"/>
    <w:rsid w:val="0030622D"/>
    <w:rsid w:val="00306811"/>
    <w:rsid w:val="00306F32"/>
    <w:rsid w:val="003074C5"/>
    <w:rsid w:val="00307A3C"/>
    <w:rsid w:val="00307FA4"/>
    <w:rsid w:val="00310290"/>
    <w:rsid w:val="00310CC1"/>
    <w:rsid w:val="00312504"/>
    <w:rsid w:val="00313026"/>
    <w:rsid w:val="00313913"/>
    <w:rsid w:val="0031421F"/>
    <w:rsid w:val="00314B31"/>
    <w:rsid w:val="00315A65"/>
    <w:rsid w:val="00317BA7"/>
    <w:rsid w:val="00320BE2"/>
    <w:rsid w:val="00321886"/>
    <w:rsid w:val="00323694"/>
    <w:rsid w:val="00323BE7"/>
    <w:rsid w:val="00324C3A"/>
    <w:rsid w:val="00324D63"/>
    <w:rsid w:val="003255AF"/>
    <w:rsid w:val="003256EB"/>
    <w:rsid w:val="003259DB"/>
    <w:rsid w:val="003314D9"/>
    <w:rsid w:val="00331653"/>
    <w:rsid w:val="00331A48"/>
    <w:rsid w:val="00331BCC"/>
    <w:rsid w:val="00333045"/>
    <w:rsid w:val="003330C9"/>
    <w:rsid w:val="0033364C"/>
    <w:rsid w:val="00334415"/>
    <w:rsid w:val="00335EA1"/>
    <w:rsid w:val="00336452"/>
    <w:rsid w:val="0033691E"/>
    <w:rsid w:val="00336A6A"/>
    <w:rsid w:val="00336CCB"/>
    <w:rsid w:val="003411D1"/>
    <w:rsid w:val="003416BA"/>
    <w:rsid w:val="00342148"/>
    <w:rsid w:val="00342F99"/>
    <w:rsid w:val="0034575A"/>
    <w:rsid w:val="00345F57"/>
    <w:rsid w:val="00350E6C"/>
    <w:rsid w:val="003518A6"/>
    <w:rsid w:val="00351E7F"/>
    <w:rsid w:val="00352953"/>
    <w:rsid w:val="00354062"/>
    <w:rsid w:val="0035459E"/>
    <w:rsid w:val="00355C0D"/>
    <w:rsid w:val="003566A9"/>
    <w:rsid w:val="00356988"/>
    <w:rsid w:val="00356CE9"/>
    <w:rsid w:val="003570BB"/>
    <w:rsid w:val="00357128"/>
    <w:rsid w:val="0035755E"/>
    <w:rsid w:val="00357A80"/>
    <w:rsid w:val="00361441"/>
    <w:rsid w:val="00361B8B"/>
    <w:rsid w:val="00363370"/>
    <w:rsid w:val="00363F39"/>
    <w:rsid w:val="0036445C"/>
    <w:rsid w:val="00364627"/>
    <w:rsid w:val="00364AB0"/>
    <w:rsid w:val="003667B0"/>
    <w:rsid w:val="003667DD"/>
    <w:rsid w:val="00366B48"/>
    <w:rsid w:val="00367764"/>
    <w:rsid w:val="00370316"/>
    <w:rsid w:val="00370DC7"/>
    <w:rsid w:val="00371332"/>
    <w:rsid w:val="00371CBD"/>
    <w:rsid w:val="00371F20"/>
    <w:rsid w:val="00372B98"/>
    <w:rsid w:val="003737B7"/>
    <w:rsid w:val="003740CC"/>
    <w:rsid w:val="003745F4"/>
    <w:rsid w:val="00374E79"/>
    <w:rsid w:val="0037529A"/>
    <w:rsid w:val="00375388"/>
    <w:rsid w:val="00375FB9"/>
    <w:rsid w:val="00376851"/>
    <w:rsid w:val="00376FA2"/>
    <w:rsid w:val="00377A3B"/>
    <w:rsid w:val="00377E3C"/>
    <w:rsid w:val="00380BBE"/>
    <w:rsid w:val="00381D70"/>
    <w:rsid w:val="0038235E"/>
    <w:rsid w:val="003829D0"/>
    <w:rsid w:val="0038444F"/>
    <w:rsid w:val="003861F0"/>
    <w:rsid w:val="0038642A"/>
    <w:rsid w:val="00387051"/>
    <w:rsid w:val="00387ECF"/>
    <w:rsid w:val="0039021B"/>
    <w:rsid w:val="00390429"/>
    <w:rsid w:val="00392CC0"/>
    <w:rsid w:val="0039366C"/>
    <w:rsid w:val="00393EC8"/>
    <w:rsid w:val="00395E42"/>
    <w:rsid w:val="00396409"/>
    <w:rsid w:val="00396A2D"/>
    <w:rsid w:val="00396FC3"/>
    <w:rsid w:val="003A0D13"/>
    <w:rsid w:val="003A1A94"/>
    <w:rsid w:val="003A204E"/>
    <w:rsid w:val="003A2D25"/>
    <w:rsid w:val="003A5728"/>
    <w:rsid w:val="003A5EE2"/>
    <w:rsid w:val="003A60E7"/>
    <w:rsid w:val="003A7092"/>
    <w:rsid w:val="003A72A1"/>
    <w:rsid w:val="003A7611"/>
    <w:rsid w:val="003A7D1F"/>
    <w:rsid w:val="003B0B6A"/>
    <w:rsid w:val="003B22F7"/>
    <w:rsid w:val="003B29CF"/>
    <w:rsid w:val="003B3A90"/>
    <w:rsid w:val="003B534F"/>
    <w:rsid w:val="003B63D5"/>
    <w:rsid w:val="003B7A79"/>
    <w:rsid w:val="003C0FE1"/>
    <w:rsid w:val="003C151A"/>
    <w:rsid w:val="003C350C"/>
    <w:rsid w:val="003C3903"/>
    <w:rsid w:val="003C3BA0"/>
    <w:rsid w:val="003C4580"/>
    <w:rsid w:val="003C5C5E"/>
    <w:rsid w:val="003C6746"/>
    <w:rsid w:val="003C7555"/>
    <w:rsid w:val="003C7898"/>
    <w:rsid w:val="003D0FF5"/>
    <w:rsid w:val="003D11A3"/>
    <w:rsid w:val="003D1537"/>
    <w:rsid w:val="003D183C"/>
    <w:rsid w:val="003D2D1B"/>
    <w:rsid w:val="003D3119"/>
    <w:rsid w:val="003D48C7"/>
    <w:rsid w:val="003D4C27"/>
    <w:rsid w:val="003D7109"/>
    <w:rsid w:val="003D7CE8"/>
    <w:rsid w:val="003E0514"/>
    <w:rsid w:val="003E1032"/>
    <w:rsid w:val="003E1904"/>
    <w:rsid w:val="003E285E"/>
    <w:rsid w:val="003E3124"/>
    <w:rsid w:val="003E3300"/>
    <w:rsid w:val="003E43D3"/>
    <w:rsid w:val="003E48E1"/>
    <w:rsid w:val="003E59BB"/>
    <w:rsid w:val="003E6225"/>
    <w:rsid w:val="003E65AC"/>
    <w:rsid w:val="003E66AE"/>
    <w:rsid w:val="003E72B9"/>
    <w:rsid w:val="003E7ED4"/>
    <w:rsid w:val="003F0E52"/>
    <w:rsid w:val="003F0F6B"/>
    <w:rsid w:val="003F1FC6"/>
    <w:rsid w:val="003F1FE3"/>
    <w:rsid w:val="003F2359"/>
    <w:rsid w:val="003F3865"/>
    <w:rsid w:val="003F3D55"/>
    <w:rsid w:val="003F44E2"/>
    <w:rsid w:val="003F4632"/>
    <w:rsid w:val="003F47BA"/>
    <w:rsid w:val="003F4FE6"/>
    <w:rsid w:val="003F6617"/>
    <w:rsid w:val="00402332"/>
    <w:rsid w:val="004025C2"/>
    <w:rsid w:val="00403195"/>
    <w:rsid w:val="004033A9"/>
    <w:rsid w:val="00403E55"/>
    <w:rsid w:val="0040407C"/>
    <w:rsid w:val="0040416C"/>
    <w:rsid w:val="00404681"/>
    <w:rsid w:val="00405AC1"/>
    <w:rsid w:val="00406923"/>
    <w:rsid w:val="0040763D"/>
    <w:rsid w:val="00410D17"/>
    <w:rsid w:val="00413442"/>
    <w:rsid w:val="00413821"/>
    <w:rsid w:val="00413BA5"/>
    <w:rsid w:val="004141A3"/>
    <w:rsid w:val="00414909"/>
    <w:rsid w:val="0041582F"/>
    <w:rsid w:val="00416112"/>
    <w:rsid w:val="00417AE0"/>
    <w:rsid w:val="00417BAA"/>
    <w:rsid w:val="0042042B"/>
    <w:rsid w:val="00420B45"/>
    <w:rsid w:val="00420D7A"/>
    <w:rsid w:val="00421257"/>
    <w:rsid w:val="00422193"/>
    <w:rsid w:val="004223DE"/>
    <w:rsid w:val="00422A10"/>
    <w:rsid w:val="00424D17"/>
    <w:rsid w:val="00425DFD"/>
    <w:rsid w:val="004263A3"/>
    <w:rsid w:val="00427713"/>
    <w:rsid w:val="00427CCC"/>
    <w:rsid w:val="0043013A"/>
    <w:rsid w:val="00430421"/>
    <w:rsid w:val="00430B4F"/>
    <w:rsid w:val="00431084"/>
    <w:rsid w:val="004310D7"/>
    <w:rsid w:val="004322D6"/>
    <w:rsid w:val="00432589"/>
    <w:rsid w:val="00432A94"/>
    <w:rsid w:val="00432C95"/>
    <w:rsid w:val="0043304F"/>
    <w:rsid w:val="004336A9"/>
    <w:rsid w:val="00433827"/>
    <w:rsid w:val="00433A40"/>
    <w:rsid w:val="00434B70"/>
    <w:rsid w:val="004360C8"/>
    <w:rsid w:val="004371D5"/>
    <w:rsid w:val="0044006B"/>
    <w:rsid w:val="0044033F"/>
    <w:rsid w:val="00440630"/>
    <w:rsid w:val="00441F0F"/>
    <w:rsid w:val="00442965"/>
    <w:rsid w:val="00443994"/>
    <w:rsid w:val="00444157"/>
    <w:rsid w:val="0044417C"/>
    <w:rsid w:val="00444DB3"/>
    <w:rsid w:val="00445617"/>
    <w:rsid w:val="00445A2F"/>
    <w:rsid w:val="00445D4F"/>
    <w:rsid w:val="0044615D"/>
    <w:rsid w:val="0044684E"/>
    <w:rsid w:val="00446F22"/>
    <w:rsid w:val="0045019F"/>
    <w:rsid w:val="004503A4"/>
    <w:rsid w:val="00450555"/>
    <w:rsid w:val="004506FA"/>
    <w:rsid w:val="00450DC6"/>
    <w:rsid w:val="004516A5"/>
    <w:rsid w:val="00451E9C"/>
    <w:rsid w:val="00452507"/>
    <w:rsid w:val="0045280F"/>
    <w:rsid w:val="004535AE"/>
    <w:rsid w:val="0045444D"/>
    <w:rsid w:val="0045463A"/>
    <w:rsid w:val="00454AC9"/>
    <w:rsid w:val="00455050"/>
    <w:rsid w:val="004554A3"/>
    <w:rsid w:val="00455A6E"/>
    <w:rsid w:val="00455EAD"/>
    <w:rsid w:val="004570A2"/>
    <w:rsid w:val="004578EB"/>
    <w:rsid w:val="00457C56"/>
    <w:rsid w:val="004604D5"/>
    <w:rsid w:val="00460697"/>
    <w:rsid w:val="0046117B"/>
    <w:rsid w:val="00464AB7"/>
    <w:rsid w:val="00467D38"/>
    <w:rsid w:val="00467EF8"/>
    <w:rsid w:val="00472429"/>
    <w:rsid w:val="004725E5"/>
    <w:rsid w:val="00472751"/>
    <w:rsid w:val="00473128"/>
    <w:rsid w:val="00475078"/>
    <w:rsid w:val="00475767"/>
    <w:rsid w:val="004779A0"/>
    <w:rsid w:val="004808E3"/>
    <w:rsid w:val="00481016"/>
    <w:rsid w:val="0048204C"/>
    <w:rsid w:val="004821BB"/>
    <w:rsid w:val="004826FE"/>
    <w:rsid w:val="004827D5"/>
    <w:rsid w:val="00482AF2"/>
    <w:rsid w:val="004830C9"/>
    <w:rsid w:val="00483347"/>
    <w:rsid w:val="00483E2E"/>
    <w:rsid w:val="00484B69"/>
    <w:rsid w:val="00485406"/>
    <w:rsid w:val="0048590F"/>
    <w:rsid w:val="00486D60"/>
    <w:rsid w:val="00491FA1"/>
    <w:rsid w:val="00492A25"/>
    <w:rsid w:val="004938A3"/>
    <w:rsid w:val="0049558B"/>
    <w:rsid w:val="00496350"/>
    <w:rsid w:val="00497802"/>
    <w:rsid w:val="0049797C"/>
    <w:rsid w:val="004A1405"/>
    <w:rsid w:val="004A1FC6"/>
    <w:rsid w:val="004A2E5F"/>
    <w:rsid w:val="004A382F"/>
    <w:rsid w:val="004A38C2"/>
    <w:rsid w:val="004A3C03"/>
    <w:rsid w:val="004A3DB7"/>
    <w:rsid w:val="004A3F75"/>
    <w:rsid w:val="004A4492"/>
    <w:rsid w:val="004A5088"/>
    <w:rsid w:val="004A5255"/>
    <w:rsid w:val="004A6CB0"/>
    <w:rsid w:val="004A70FF"/>
    <w:rsid w:val="004A7EDE"/>
    <w:rsid w:val="004B0D93"/>
    <w:rsid w:val="004B1FA4"/>
    <w:rsid w:val="004B29AC"/>
    <w:rsid w:val="004B35DF"/>
    <w:rsid w:val="004B3627"/>
    <w:rsid w:val="004B4922"/>
    <w:rsid w:val="004B57DF"/>
    <w:rsid w:val="004B5976"/>
    <w:rsid w:val="004B722E"/>
    <w:rsid w:val="004B72E8"/>
    <w:rsid w:val="004C01A5"/>
    <w:rsid w:val="004C0412"/>
    <w:rsid w:val="004C2138"/>
    <w:rsid w:val="004C3940"/>
    <w:rsid w:val="004C51FD"/>
    <w:rsid w:val="004C52AB"/>
    <w:rsid w:val="004C65A8"/>
    <w:rsid w:val="004C6689"/>
    <w:rsid w:val="004D139A"/>
    <w:rsid w:val="004D14DC"/>
    <w:rsid w:val="004D17C6"/>
    <w:rsid w:val="004D23B5"/>
    <w:rsid w:val="004D2858"/>
    <w:rsid w:val="004D2E49"/>
    <w:rsid w:val="004D35BA"/>
    <w:rsid w:val="004D38E5"/>
    <w:rsid w:val="004D3C5A"/>
    <w:rsid w:val="004D449A"/>
    <w:rsid w:val="004D4701"/>
    <w:rsid w:val="004D47C7"/>
    <w:rsid w:val="004D4F35"/>
    <w:rsid w:val="004D5D45"/>
    <w:rsid w:val="004D618D"/>
    <w:rsid w:val="004D62A9"/>
    <w:rsid w:val="004D6FC3"/>
    <w:rsid w:val="004D7476"/>
    <w:rsid w:val="004D7716"/>
    <w:rsid w:val="004E0306"/>
    <w:rsid w:val="004E0572"/>
    <w:rsid w:val="004E14E5"/>
    <w:rsid w:val="004E1641"/>
    <w:rsid w:val="004E1818"/>
    <w:rsid w:val="004E1990"/>
    <w:rsid w:val="004E25A8"/>
    <w:rsid w:val="004E3930"/>
    <w:rsid w:val="004E3ED9"/>
    <w:rsid w:val="004E5866"/>
    <w:rsid w:val="004E6097"/>
    <w:rsid w:val="004E61EF"/>
    <w:rsid w:val="004E63C6"/>
    <w:rsid w:val="004E76A7"/>
    <w:rsid w:val="004E7B03"/>
    <w:rsid w:val="004F0064"/>
    <w:rsid w:val="004F06AC"/>
    <w:rsid w:val="004F1D2A"/>
    <w:rsid w:val="004F243F"/>
    <w:rsid w:val="004F252C"/>
    <w:rsid w:val="004F36A3"/>
    <w:rsid w:val="004F3E0C"/>
    <w:rsid w:val="004F4308"/>
    <w:rsid w:val="004F7160"/>
    <w:rsid w:val="00500258"/>
    <w:rsid w:val="00500B2D"/>
    <w:rsid w:val="00501A99"/>
    <w:rsid w:val="00503180"/>
    <w:rsid w:val="005038A4"/>
    <w:rsid w:val="00505450"/>
    <w:rsid w:val="00505565"/>
    <w:rsid w:val="005100B7"/>
    <w:rsid w:val="005113C9"/>
    <w:rsid w:val="00512050"/>
    <w:rsid w:val="00512055"/>
    <w:rsid w:val="0051280C"/>
    <w:rsid w:val="00512842"/>
    <w:rsid w:val="005128BE"/>
    <w:rsid w:val="0051356F"/>
    <w:rsid w:val="00513E7C"/>
    <w:rsid w:val="005140BB"/>
    <w:rsid w:val="00514FBE"/>
    <w:rsid w:val="00514FD9"/>
    <w:rsid w:val="0051550A"/>
    <w:rsid w:val="0051608F"/>
    <w:rsid w:val="00520EF8"/>
    <w:rsid w:val="005210F7"/>
    <w:rsid w:val="00521753"/>
    <w:rsid w:val="005224EE"/>
    <w:rsid w:val="00522879"/>
    <w:rsid w:val="00523BB1"/>
    <w:rsid w:val="0052570E"/>
    <w:rsid w:val="005260CD"/>
    <w:rsid w:val="00526265"/>
    <w:rsid w:val="0052655D"/>
    <w:rsid w:val="005265E0"/>
    <w:rsid w:val="00526BC3"/>
    <w:rsid w:val="00531235"/>
    <w:rsid w:val="00531761"/>
    <w:rsid w:val="0053248F"/>
    <w:rsid w:val="0053332A"/>
    <w:rsid w:val="0053358A"/>
    <w:rsid w:val="00534668"/>
    <w:rsid w:val="00534DDD"/>
    <w:rsid w:val="00535291"/>
    <w:rsid w:val="00535A94"/>
    <w:rsid w:val="00537874"/>
    <w:rsid w:val="0053795F"/>
    <w:rsid w:val="00540511"/>
    <w:rsid w:val="00540578"/>
    <w:rsid w:val="00540808"/>
    <w:rsid w:val="0054080E"/>
    <w:rsid w:val="00540EA1"/>
    <w:rsid w:val="0054245F"/>
    <w:rsid w:val="0054358E"/>
    <w:rsid w:val="00543AF4"/>
    <w:rsid w:val="00544191"/>
    <w:rsid w:val="0054440C"/>
    <w:rsid w:val="005448EC"/>
    <w:rsid w:val="00544C0A"/>
    <w:rsid w:val="00544F39"/>
    <w:rsid w:val="00546F90"/>
    <w:rsid w:val="00547EFB"/>
    <w:rsid w:val="005522F2"/>
    <w:rsid w:val="005531DF"/>
    <w:rsid w:val="00553874"/>
    <w:rsid w:val="00554577"/>
    <w:rsid w:val="00554AD8"/>
    <w:rsid w:val="00554F78"/>
    <w:rsid w:val="00555DA1"/>
    <w:rsid w:val="00556BF7"/>
    <w:rsid w:val="00557F60"/>
    <w:rsid w:val="00561730"/>
    <w:rsid w:val="00561B97"/>
    <w:rsid w:val="005620AC"/>
    <w:rsid w:val="00562149"/>
    <w:rsid w:val="005672BD"/>
    <w:rsid w:val="00567B5D"/>
    <w:rsid w:val="00570757"/>
    <w:rsid w:val="0057216F"/>
    <w:rsid w:val="005733E7"/>
    <w:rsid w:val="00573733"/>
    <w:rsid w:val="00573F8B"/>
    <w:rsid w:val="00574554"/>
    <w:rsid w:val="00574E06"/>
    <w:rsid w:val="005751BB"/>
    <w:rsid w:val="00575A09"/>
    <w:rsid w:val="00576089"/>
    <w:rsid w:val="005764B1"/>
    <w:rsid w:val="00576852"/>
    <w:rsid w:val="00576D06"/>
    <w:rsid w:val="005779E4"/>
    <w:rsid w:val="005804B6"/>
    <w:rsid w:val="0058289C"/>
    <w:rsid w:val="005836C7"/>
    <w:rsid w:val="0058408E"/>
    <w:rsid w:val="00585374"/>
    <w:rsid w:val="005854CA"/>
    <w:rsid w:val="00585FAB"/>
    <w:rsid w:val="00590B77"/>
    <w:rsid w:val="00590D9A"/>
    <w:rsid w:val="005913A3"/>
    <w:rsid w:val="005940D4"/>
    <w:rsid w:val="00594A7B"/>
    <w:rsid w:val="0059580E"/>
    <w:rsid w:val="00595D90"/>
    <w:rsid w:val="00596A6F"/>
    <w:rsid w:val="00596FCE"/>
    <w:rsid w:val="005A11BC"/>
    <w:rsid w:val="005A1525"/>
    <w:rsid w:val="005A1E17"/>
    <w:rsid w:val="005A252B"/>
    <w:rsid w:val="005A2A8F"/>
    <w:rsid w:val="005A3204"/>
    <w:rsid w:val="005A3341"/>
    <w:rsid w:val="005A3698"/>
    <w:rsid w:val="005A3C3D"/>
    <w:rsid w:val="005A46EC"/>
    <w:rsid w:val="005A5EAE"/>
    <w:rsid w:val="005A6407"/>
    <w:rsid w:val="005A6659"/>
    <w:rsid w:val="005B07EC"/>
    <w:rsid w:val="005B2B11"/>
    <w:rsid w:val="005B32A4"/>
    <w:rsid w:val="005B338D"/>
    <w:rsid w:val="005B3BAF"/>
    <w:rsid w:val="005B4DA3"/>
    <w:rsid w:val="005B5BEE"/>
    <w:rsid w:val="005B77D2"/>
    <w:rsid w:val="005C019B"/>
    <w:rsid w:val="005C1AED"/>
    <w:rsid w:val="005C30F5"/>
    <w:rsid w:val="005C4B93"/>
    <w:rsid w:val="005C51A5"/>
    <w:rsid w:val="005C557A"/>
    <w:rsid w:val="005C5C47"/>
    <w:rsid w:val="005C61DD"/>
    <w:rsid w:val="005C6438"/>
    <w:rsid w:val="005C66E5"/>
    <w:rsid w:val="005C6B8B"/>
    <w:rsid w:val="005C727F"/>
    <w:rsid w:val="005D02E3"/>
    <w:rsid w:val="005D1F34"/>
    <w:rsid w:val="005D2C1F"/>
    <w:rsid w:val="005D34B2"/>
    <w:rsid w:val="005D3B54"/>
    <w:rsid w:val="005D40CD"/>
    <w:rsid w:val="005D6B59"/>
    <w:rsid w:val="005D784B"/>
    <w:rsid w:val="005E03E4"/>
    <w:rsid w:val="005E0454"/>
    <w:rsid w:val="005E05F6"/>
    <w:rsid w:val="005E16D4"/>
    <w:rsid w:val="005E2442"/>
    <w:rsid w:val="005E3111"/>
    <w:rsid w:val="005E3F85"/>
    <w:rsid w:val="005E4A5F"/>
    <w:rsid w:val="005E57B0"/>
    <w:rsid w:val="005E5B01"/>
    <w:rsid w:val="005E6D3B"/>
    <w:rsid w:val="005F009E"/>
    <w:rsid w:val="005F0DF1"/>
    <w:rsid w:val="005F1516"/>
    <w:rsid w:val="005F229E"/>
    <w:rsid w:val="005F2564"/>
    <w:rsid w:val="005F3822"/>
    <w:rsid w:val="005F4635"/>
    <w:rsid w:val="005F4900"/>
    <w:rsid w:val="005F4E52"/>
    <w:rsid w:val="005F6D58"/>
    <w:rsid w:val="005F7383"/>
    <w:rsid w:val="0060058E"/>
    <w:rsid w:val="00602A3C"/>
    <w:rsid w:val="00603EFD"/>
    <w:rsid w:val="0060475B"/>
    <w:rsid w:val="00604FB6"/>
    <w:rsid w:val="00605387"/>
    <w:rsid w:val="00606302"/>
    <w:rsid w:val="006076FD"/>
    <w:rsid w:val="0061143F"/>
    <w:rsid w:val="006114D8"/>
    <w:rsid w:val="00613553"/>
    <w:rsid w:val="00613601"/>
    <w:rsid w:val="00613791"/>
    <w:rsid w:val="006150D6"/>
    <w:rsid w:val="00615245"/>
    <w:rsid w:val="0061590D"/>
    <w:rsid w:val="00617EEE"/>
    <w:rsid w:val="00620A1F"/>
    <w:rsid w:val="0062169D"/>
    <w:rsid w:val="0062181E"/>
    <w:rsid w:val="00622BB7"/>
    <w:rsid w:val="00622C1E"/>
    <w:rsid w:val="00623389"/>
    <w:rsid w:val="00623DAA"/>
    <w:rsid w:val="00623FAF"/>
    <w:rsid w:val="006265C4"/>
    <w:rsid w:val="0062678A"/>
    <w:rsid w:val="006270AF"/>
    <w:rsid w:val="00634367"/>
    <w:rsid w:val="00634477"/>
    <w:rsid w:val="00640082"/>
    <w:rsid w:val="00640291"/>
    <w:rsid w:val="00640EFE"/>
    <w:rsid w:val="00641D6D"/>
    <w:rsid w:val="00641FAC"/>
    <w:rsid w:val="00643664"/>
    <w:rsid w:val="00643CAA"/>
    <w:rsid w:val="00644F16"/>
    <w:rsid w:val="006455EB"/>
    <w:rsid w:val="006456C2"/>
    <w:rsid w:val="006477F0"/>
    <w:rsid w:val="006478E4"/>
    <w:rsid w:val="0065171A"/>
    <w:rsid w:val="00652680"/>
    <w:rsid w:val="00653CDE"/>
    <w:rsid w:val="00654585"/>
    <w:rsid w:val="00655AB6"/>
    <w:rsid w:val="00656281"/>
    <w:rsid w:val="0065636A"/>
    <w:rsid w:val="00657003"/>
    <w:rsid w:val="006571DB"/>
    <w:rsid w:val="00660238"/>
    <w:rsid w:val="006602EF"/>
    <w:rsid w:val="00661277"/>
    <w:rsid w:val="006619E0"/>
    <w:rsid w:val="00663FEA"/>
    <w:rsid w:val="00664803"/>
    <w:rsid w:val="006657C5"/>
    <w:rsid w:val="006661A4"/>
    <w:rsid w:val="00666AC0"/>
    <w:rsid w:val="006670E0"/>
    <w:rsid w:val="006671B8"/>
    <w:rsid w:val="00667275"/>
    <w:rsid w:val="00667532"/>
    <w:rsid w:val="0066783E"/>
    <w:rsid w:val="00667E53"/>
    <w:rsid w:val="0067103B"/>
    <w:rsid w:val="006713AB"/>
    <w:rsid w:val="00672CA5"/>
    <w:rsid w:val="00673711"/>
    <w:rsid w:val="00673F82"/>
    <w:rsid w:val="00674F74"/>
    <w:rsid w:val="0067508F"/>
    <w:rsid w:val="00676E1F"/>
    <w:rsid w:val="00677576"/>
    <w:rsid w:val="0068051E"/>
    <w:rsid w:val="00680603"/>
    <w:rsid w:val="00680B9D"/>
    <w:rsid w:val="00681F13"/>
    <w:rsid w:val="0068231C"/>
    <w:rsid w:val="00682344"/>
    <w:rsid w:val="006827A4"/>
    <w:rsid w:val="00682F28"/>
    <w:rsid w:val="00684842"/>
    <w:rsid w:val="006859AA"/>
    <w:rsid w:val="00685BD6"/>
    <w:rsid w:val="00687116"/>
    <w:rsid w:val="006878A6"/>
    <w:rsid w:val="00687D5F"/>
    <w:rsid w:val="00690437"/>
    <w:rsid w:val="00690DC3"/>
    <w:rsid w:val="00690E65"/>
    <w:rsid w:val="006911B7"/>
    <w:rsid w:val="00691387"/>
    <w:rsid w:val="0069188E"/>
    <w:rsid w:val="00691974"/>
    <w:rsid w:val="00692BF6"/>
    <w:rsid w:val="00692CE6"/>
    <w:rsid w:val="00693186"/>
    <w:rsid w:val="00693B6C"/>
    <w:rsid w:val="006942AE"/>
    <w:rsid w:val="00695421"/>
    <w:rsid w:val="00697BD3"/>
    <w:rsid w:val="00697DFA"/>
    <w:rsid w:val="006A16D5"/>
    <w:rsid w:val="006A1772"/>
    <w:rsid w:val="006A1780"/>
    <w:rsid w:val="006A21DD"/>
    <w:rsid w:val="006A26C6"/>
    <w:rsid w:val="006A3B28"/>
    <w:rsid w:val="006A4FEE"/>
    <w:rsid w:val="006A703E"/>
    <w:rsid w:val="006A7BE3"/>
    <w:rsid w:val="006A7D32"/>
    <w:rsid w:val="006B01D1"/>
    <w:rsid w:val="006B16EA"/>
    <w:rsid w:val="006B1780"/>
    <w:rsid w:val="006B224E"/>
    <w:rsid w:val="006B376E"/>
    <w:rsid w:val="006B4589"/>
    <w:rsid w:val="006B4755"/>
    <w:rsid w:val="006B610E"/>
    <w:rsid w:val="006B6805"/>
    <w:rsid w:val="006B6DE0"/>
    <w:rsid w:val="006C16C3"/>
    <w:rsid w:val="006C2187"/>
    <w:rsid w:val="006C32F4"/>
    <w:rsid w:val="006C3C54"/>
    <w:rsid w:val="006C4B6B"/>
    <w:rsid w:val="006C4F9F"/>
    <w:rsid w:val="006C71A2"/>
    <w:rsid w:val="006C73EC"/>
    <w:rsid w:val="006D0C1D"/>
    <w:rsid w:val="006D2E9D"/>
    <w:rsid w:val="006D4A4E"/>
    <w:rsid w:val="006D4C42"/>
    <w:rsid w:val="006D5809"/>
    <w:rsid w:val="006D607E"/>
    <w:rsid w:val="006D6E12"/>
    <w:rsid w:val="006D70CB"/>
    <w:rsid w:val="006D715C"/>
    <w:rsid w:val="006D7363"/>
    <w:rsid w:val="006D774E"/>
    <w:rsid w:val="006E0754"/>
    <w:rsid w:val="006E2668"/>
    <w:rsid w:val="006E2D39"/>
    <w:rsid w:val="006E32B0"/>
    <w:rsid w:val="006E348E"/>
    <w:rsid w:val="006E396A"/>
    <w:rsid w:val="006E3D63"/>
    <w:rsid w:val="006E58BF"/>
    <w:rsid w:val="006E5DD8"/>
    <w:rsid w:val="006E5EA1"/>
    <w:rsid w:val="006E6DEE"/>
    <w:rsid w:val="006E7D4B"/>
    <w:rsid w:val="006F0760"/>
    <w:rsid w:val="006F11E2"/>
    <w:rsid w:val="006F2574"/>
    <w:rsid w:val="006F3231"/>
    <w:rsid w:val="006F3DE3"/>
    <w:rsid w:val="006F4787"/>
    <w:rsid w:val="006F61D8"/>
    <w:rsid w:val="006F62B7"/>
    <w:rsid w:val="006F62F3"/>
    <w:rsid w:val="006F70BC"/>
    <w:rsid w:val="006F7E7C"/>
    <w:rsid w:val="0070174E"/>
    <w:rsid w:val="007018DB"/>
    <w:rsid w:val="00701DE6"/>
    <w:rsid w:val="0070381B"/>
    <w:rsid w:val="0070796C"/>
    <w:rsid w:val="00710EBF"/>
    <w:rsid w:val="007110B8"/>
    <w:rsid w:val="0071209F"/>
    <w:rsid w:val="007125A2"/>
    <w:rsid w:val="00713F79"/>
    <w:rsid w:val="007148A8"/>
    <w:rsid w:val="00716AC8"/>
    <w:rsid w:val="00716E54"/>
    <w:rsid w:val="0072033C"/>
    <w:rsid w:val="00720B1B"/>
    <w:rsid w:val="00721062"/>
    <w:rsid w:val="00721E5D"/>
    <w:rsid w:val="00721ECD"/>
    <w:rsid w:val="007229D4"/>
    <w:rsid w:val="007230F8"/>
    <w:rsid w:val="007233F4"/>
    <w:rsid w:val="00724044"/>
    <w:rsid w:val="007248D3"/>
    <w:rsid w:val="00725137"/>
    <w:rsid w:val="00725378"/>
    <w:rsid w:val="00727A43"/>
    <w:rsid w:val="00727FF2"/>
    <w:rsid w:val="00730550"/>
    <w:rsid w:val="00731434"/>
    <w:rsid w:val="00731E59"/>
    <w:rsid w:val="007323E0"/>
    <w:rsid w:val="00732911"/>
    <w:rsid w:val="00733721"/>
    <w:rsid w:val="00733DE2"/>
    <w:rsid w:val="007352EA"/>
    <w:rsid w:val="0073792F"/>
    <w:rsid w:val="00740C81"/>
    <w:rsid w:val="00740DA6"/>
    <w:rsid w:val="00741B4B"/>
    <w:rsid w:val="00741D1E"/>
    <w:rsid w:val="00741DD6"/>
    <w:rsid w:val="00741EE2"/>
    <w:rsid w:val="0074207F"/>
    <w:rsid w:val="00742367"/>
    <w:rsid w:val="00742EAA"/>
    <w:rsid w:val="00743360"/>
    <w:rsid w:val="00743818"/>
    <w:rsid w:val="00743857"/>
    <w:rsid w:val="007441FB"/>
    <w:rsid w:val="00744517"/>
    <w:rsid w:val="0074522A"/>
    <w:rsid w:val="00747295"/>
    <w:rsid w:val="00747829"/>
    <w:rsid w:val="00747DE2"/>
    <w:rsid w:val="007504BF"/>
    <w:rsid w:val="007506CD"/>
    <w:rsid w:val="00751162"/>
    <w:rsid w:val="0075267F"/>
    <w:rsid w:val="007526EC"/>
    <w:rsid w:val="00753C48"/>
    <w:rsid w:val="00754250"/>
    <w:rsid w:val="00754FE4"/>
    <w:rsid w:val="00755216"/>
    <w:rsid w:val="00756236"/>
    <w:rsid w:val="00756271"/>
    <w:rsid w:val="00756348"/>
    <w:rsid w:val="00756521"/>
    <w:rsid w:val="00756AB7"/>
    <w:rsid w:val="0076106D"/>
    <w:rsid w:val="007623FB"/>
    <w:rsid w:val="00762517"/>
    <w:rsid w:val="00763240"/>
    <w:rsid w:val="0076376A"/>
    <w:rsid w:val="007648AD"/>
    <w:rsid w:val="0076504E"/>
    <w:rsid w:val="00767BFD"/>
    <w:rsid w:val="00767EA0"/>
    <w:rsid w:val="00770641"/>
    <w:rsid w:val="0077068F"/>
    <w:rsid w:val="00771EDF"/>
    <w:rsid w:val="00772A90"/>
    <w:rsid w:val="00772CC6"/>
    <w:rsid w:val="00772F8D"/>
    <w:rsid w:val="00773254"/>
    <w:rsid w:val="0077408D"/>
    <w:rsid w:val="00774270"/>
    <w:rsid w:val="007743F6"/>
    <w:rsid w:val="00775679"/>
    <w:rsid w:val="0077574F"/>
    <w:rsid w:val="00775823"/>
    <w:rsid w:val="00777B32"/>
    <w:rsid w:val="0078051E"/>
    <w:rsid w:val="00781089"/>
    <w:rsid w:val="007813F1"/>
    <w:rsid w:val="007838F3"/>
    <w:rsid w:val="007856FE"/>
    <w:rsid w:val="00785F46"/>
    <w:rsid w:val="007865F4"/>
    <w:rsid w:val="00786D5C"/>
    <w:rsid w:val="00786E96"/>
    <w:rsid w:val="00787DFF"/>
    <w:rsid w:val="00787F93"/>
    <w:rsid w:val="00791E6D"/>
    <w:rsid w:val="00791EB5"/>
    <w:rsid w:val="00793696"/>
    <w:rsid w:val="007958E0"/>
    <w:rsid w:val="00796F65"/>
    <w:rsid w:val="007A11C2"/>
    <w:rsid w:val="007A18BB"/>
    <w:rsid w:val="007A27DD"/>
    <w:rsid w:val="007A41BF"/>
    <w:rsid w:val="007A490A"/>
    <w:rsid w:val="007A7B95"/>
    <w:rsid w:val="007B0297"/>
    <w:rsid w:val="007B02FA"/>
    <w:rsid w:val="007B0F53"/>
    <w:rsid w:val="007B21AE"/>
    <w:rsid w:val="007B2570"/>
    <w:rsid w:val="007B3113"/>
    <w:rsid w:val="007B3304"/>
    <w:rsid w:val="007B7490"/>
    <w:rsid w:val="007C0525"/>
    <w:rsid w:val="007C13F7"/>
    <w:rsid w:val="007C218D"/>
    <w:rsid w:val="007C2D28"/>
    <w:rsid w:val="007C3E22"/>
    <w:rsid w:val="007C6218"/>
    <w:rsid w:val="007C6484"/>
    <w:rsid w:val="007C67C6"/>
    <w:rsid w:val="007C78BE"/>
    <w:rsid w:val="007C7E59"/>
    <w:rsid w:val="007D0476"/>
    <w:rsid w:val="007D0B91"/>
    <w:rsid w:val="007D1452"/>
    <w:rsid w:val="007D3DCB"/>
    <w:rsid w:val="007D460C"/>
    <w:rsid w:val="007D4996"/>
    <w:rsid w:val="007D4AD3"/>
    <w:rsid w:val="007D5D19"/>
    <w:rsid w:val="007D5FDC"/>
    <w:rsid w:val="007D6176"/>
    <w:rsid w:val="007D6251"/>
    <w:rsid w:val="007D6D68"/>
    <w:rsid w:val="007E150B"/>
    <w:rsid w:val="007E32DA"/>
    <w:rsid w:val="007E4998"/>
    <w:rsid w:val="007E4A9C"/>
    <w:rsid w:val="007E6914"/>
    <w:rsid w:val="007E7F78"/>
    <w:rsid w:val="007F0179"/>
    <w:rsid w:val="007F2C13"/>
    <w:rsid w:val="007F2CEC"/>
    <w:rsid w:val="007F3435"/>
    <w:rsid w:val="007F55DE"/>
    <w:rsid w:val="007F656D"/>
    <w:rsid w:val="007F762D"/>
    <w:rsid w:val="007F78F0"/>
    <w:rsid w:val="007F78FF"/>
    <w:rsid w:val="008001C5"/>
    <w:rsid w:val="00800F6C"/>
    <w:rsid w:val="00801065"/>
    <w:rsid w:val="00802C0B"/>
    <w:rsid w:val="00803525"/>
    <w:rsid w:val="008051FC"/>
    <w:rsid w:val="008055A9"/>
    <w:rsid w:val="008056C4"/>
    <w:rsid w:val="008057FD"/>
    <w:rsid w:val="00805D8B"/>
    <w:rsid w:val="00810E8E"/>
    <w:rsid w:val="00812C44"/>
    <w:rsid w:val="008135E1"/>
    <w:rsid w:val="00813779"/>
    <w:rsid w:val="00813E26"/>
    <w:rsid w:val="0081481D"/>
    <w:rsid w:val="00814BE8"/>
    <w:rsid w:val="00814F6E"/>
    <w:rsid w:val="00815B84"/>
    <w:rsid w:val="00816BE9"/>
    <w:rsid w:val="00822518"/>
    <w:rsid w:val="008226F5"/>
    <w:rsid w:val="00823FC6"/>
    <w:rsid w:val="00824161"/>
    <w:rsid w:val="00824306"/>
    <w:rsid w:val="00825C74"/>
    <w:rsid w:val="00825CFA"/>
    <w:rsid w:val="00826AB9"/>
    <w:rsid w:val="00826E0E"/>
    <w:rsid w:val="00827D11"/>
    <w:rsid w:val="00827E0F"/>
    <w:rsid w:val="00827F6E"/>
    <w:rsid w:val="00831758"/>
    <w:rsid w:val="008317D9"/>
    <w:rsid w:val="0083279F"/>
    <w:rsid w:val="008334DB"/>
    <w:rsid w:val="00833B7F"/>
    <w:rsid w:val="00834906"/>
    <w:rsid w:val="00836075"/>
    <w:rsid w:val="00836417"/>
    <w:rsid w:val="00837526"/>
    <w:rsid w:val="008375AC"/>
    <w:rsid w:val="008407A7"/>
    <w:rsid w:val="00842F7D"/>
    <w:rsid w:val="0084322B"/>
    <w:rsid w:val="00843F81"/>
    <w:rsid w:val="00844087"/>
    <w:rsid w:val="00844425"/>
    <w:rsid w:val="008448F1"/>
    <w:rsid w:val="0084519E"/>
    <w:rsid w:val="00845CAE"/>
    <w:rsid w:val="00846370"/>
    <w:rsid w:val="008477E7"/>
    <w:rsid w:val="00847C2B"/>
    <w:rsid w:val="00850272"/>
    <w:rsid w:val="008506B9"/>
    <w:rsid w:val="00851822"/>
    <w:rsid w:val="008532BF"/>
    <w:rsid w:val="008539B2"/>
    <w:rsid w:val="00853BF4"/>
    <w:rsid w:val="00854294"/>
    <w:rsid w:val="0085572E"/>
    <w:rsid w:val="0085788B"/>
    <w:rsid w:val="00857A9E"/>
    <w:rsid w:val="00857DE2"/>
    <w:rsid w:val="00862053"/>
    <w:rsid w:val="00863A8E"/>
    <w:rsid w:val="0086407F"/>
    <w:rsid w:val="008645E3"/>
    <w:rsid w:val="00864E79"/>
    <w:rsid w:val="0086661F"/>
    <w:rsid w:val="00866A0D"/>
    <w:rsid w:val="00866DB5"/>
    <w:rsid w:val="0086701D"/>
    <w:rsid w:val="0086702B"/>
    <w:rsid w:val="00867290"/>
    <w:rsid w:val="008672E2"/>
    <w:rsid w:val="0086784E"/>
    <w:rsid w:val="0087121C"/>
    <w:rsid w:val="00872084"/>
    <w:rsid w:val="00872827"/>
    <w:rsid w:val="00872A32"/>
    <w:rsid w:val="00874911"/>
    <w:rsid w:val="008754E4"/>
    <w:rsid w:val="00875DA9"/>
    <w:rsid w:val="00876EAE"/>
    <w:rsid w:val="00880106"/>
    <w:rsid w:val="00880F95"/>
    <w:rsid w:val="00882B44"/>
    <w:rsid w:val="00883398"/>
    <w:rsid w:val="008838AD"/>
    <w:rsid w:val="008864B3"/>
    <w:rsid w:val="008865E5"/>
    <w:rsid w:val="008871B0"/>
    <w:rsid w:val="00890B57"/>
    <w:rsid w:val="008916BA"/>
    <w:rsid w:val="0089217C"/>
    <w:rsid w:val="00892790"/>
    <w:rsid w:val="00893671"/>
    <w:rsid w:val="00895838"/>
    <w:rsid w:val="00895A11"/>
    <w:rsid w:val="00895A1E"/>
    <w:rsid w:val="00895A72"/>
    <w:rsid w:val="00895CDF"/>
    <w:rsid w:val="00896679"/>
    <w:rsid w:val="00896D8C"/>
    <w:rsid w:val="008A0FC9"/>
    <w:rsid w:val="008A1956"/>
    <w:rsid w:val="008A1A7C"/>
    <w:rsid w:val="008A2CE2"/>
    <w:rsid w:val="008A40D3"/>
    <w:rsid w:val="008A469C"/>
    <w:rsid w:val="008A51D1"/>
    <w:rsid w:val="008A5DCE"/>
    <w:rsid w:val="008A75D3"/>
    <w:rsid w:val="008B05DD"/>
    <w:rsid w:val="008B17E8"/>
    <w:rsid w:val="008B2E7C"/>
    <w:rsid w:val="008B45F0"/>
    <w:rsid w:val="008B4A70"/>
    <w:rsid w:val="008B502F"/>
    <w:rsid w:val="008B6DFC"/>
    <w:rsid w:val="008B7227"/>
    <w:rsid w:val="008C04E0"/>
    <w:rsid w:val="008C0A20"/>
    <w:rsid w:val="008C191C"/>
    <w:rsid w:val="008C1DA4"/>
    <w:rsid w:val="008C29B0"/>
    <w:rsid w:val="008C2CD5"/>
    <w:rsid w:val="008C3618"/>
    <w:rsid w:val="008C43AD"/>
    <w:rsid w:val="008C6118"/>
    <w:rsid w:val="008C6341"/>
    <w:rsid w:val="008C731F"/>
    <w:rsid w:val="008C74D9"/>
    <w:rsid w:val="008D19F2"/>
    <w:rsid w:val="008D3B2D"/>
    <w:rsid w:val="008D58D9"/>
    <w:rsid w:val="008D5AD4"/>
    <w:rsid w:val="008D6DD5"/>
    <w:rsid w:val="008D6E59"/>
    <w:rsid w:val="008D7155"/>
    <w:rsid w:val="008E0B29"/>
    <w:rsid w:val="008E141A"/>
    <w:rsid w:val="008E1A44"/>
    <w:rsid w:val="008E28E6"/>
    <w:rsid w:val="008E2C21"/>
    <w:rsid w:val="008E3232"/>
    <w:rsid w:val="008E3674"/>
    <w:rsid w:val="008E3B6C"/>
    <w:rsid w:val="008E562C"/>
    <w:rsid w:val="008E77D4"/>
    <w:rsid w:val="008E7ADD"/>
    <w:rsid w:val="008F091F"/>
    <w:rsid w:val="008F17B2"/>
    <w:rsid w:val="008F22B3"/>
    <w:rsid w:val="008F3275"/>
    <w:rsid w:val="008F357B"/>
    <w:rsid w:val="008F44CA"/>
    <w:rsid w:val="008F49D3"/>
    <w:rsid w:val="008F6519"/>
    <w:rsid w:val="008F7012"/>
    <w:rsid w:val="008F7ADA"/>
    <w:rsid w:val="008F7B17"/>
    <w:rsid w:val="00900042"/>
    <w:rsid w:val="0090034B"/>
    <w:rsid w:val="00902623"/>
    <w:rsid w:val="00902A67"/>
    <w:rsid w:val="00902C5E"/>
    <w:rsid w:val="00904BE4"/>
    <w:rsid w:val="0090504A"/>
    <w:rsid w:val="009051F5"/>
    <w:rsid w:val="00905221"/>
    <w:rsid w:val="00905A7C"/>
    <w:rsid w:val="00905D7E"/>
    <w:rsid w:val="00907037"/>
    <w:rsid w:val="0091112C"/>
    <w:rsid w:val="0091160A"/>
    <w:rsid w:val="00912E04"/>
    <w:rsid w:val="00913258"/>
    <w:rsid w:val="00913851"/>
    <w:rsid w:val="00913BB0"/>
    <w:rsid w:val="0091456C"/>
    <w:rsid w:val="00914C58"/>
    <w:rsid w:val="0091564D"/>
    <w:rsid w:val="009156DA"/>
    <w:rsid w:val="00915774"/>
    <w:rsid w:val="00915FDE"/>
    <w:rsid w:val="00916BC5"/>
    <w:rsid w:val="0091726A"/>
    <w:rsid w:val="00917C01"/>
    <w:rsid w:val="00917D22"/>
    <w:rsid w:val="00917E29"/>
    <w:rsid w:val="00920184"/>
    <w:rsid w:val="00920EA4"/>
    <w:rsid w:val="00921792"/>
    <w:rsid w:val="00921BEA"/>
    <w:rsid w:val="009227BE"/>
    <w:rsid w:val="009238FD"/>
    <w:rsid w:val="00923998"/>
    <w:rsid w:val="00923DB4"/>
    <w:rsid w:val="0092420B"/>
    <w:rsid w:val="0092430E"/>
    <w:rsid w:val="00925D7C"/>
    <w:rsid w:val="00926112"/>
    <w:rsid w:val="0092625F"/>
    <w:rsid w:val="00926B28"/>
    <w:rsid w:val="00926D9C"/>
    <w:rsid w:val="00927028"/>
    <w:rsid w:val="00927763"/>
    <w:rsid w:val="00927A2D"/>
    <w:rsid w:val="00927B37"/>
    <w:rsid w:val="009321B1"/>
    <w:rsid w:val="00932ED7"/>
    <w:rsid w:val="0093422D"/>
    <w:rsid w:val="0093483B"/>
    <w:rsid w:val="00934CF9"/>
    <w:rsid w:val="00934DD7"/>
    <w:rsid w:val="009369A9"/>
    <w:rsid w:val="00936CF7"/>
    <w:rsid w:val="00937783"/>
    <w:rsid w:val="00937EAD"/>
    <w:rsid w:val="00937F28"/>
    <w:rsid w:val="00940FE1"/>
    <w:rsid w:val="00942306"/>
    <w:rsid w:val="009424B8"/>
    <w:rsid w:val="00944668"/>
    <w:rsid w:val="00944DC6"/>
    <w:rsid w:val="009458B0"/>
    <w:rsid w:val="00945B52"/>
    <w:rsid w:val="00945B7A"/>
    <w:rsid w:val="00945F05"/>
    <w:rsid w:val="00946348"/>
    <w:rsid w:val="00947797"/>
    <w:rsid w:val="009478A2"/>
    <w:rsid w:val="009510B9"/>
    <w:rsid w:val="009539A6"/>
    <w:rsid w:val="00954032"/>
    <w:rsid w:val="00955FBB"/>
    <w:rsid w:val="0095694B"/>
    <w:rsid w:val="00956BD5"/>
    <w:rsid w:val="00956D84"/>
    <w:rsid w:val="009577B5"/>
    <w:rsid w:val="009608E6"/>
    <w:rsid w:val="00960F57"/>
    <w:rsid w:val="00961C90"/>
    <w:rsid w:val="00965443"/>
    <w:rsid w:val="00965954"/>
    <w:rsid w:val="00965E55"/>
    <w:rsid w:val="0096608E"/>
    <w:rsid w:val="00966522"/>
    <w:rsid w:val="00966C33"/>
    <w:rsid w:val="00970F18"/>
    <w:rsid w:val="0097124D"/>
    <w:rsid w:val="00971CF1"/>
    <w:rsid w:val="00971F5D"/>
    <w:rsid w:val="009721E9"/>
    <w:rsid w:val="00973772"/>
    <w:rsid w:val="00973F93"/>
    <w:rsid w:val="0097560A"/>
    <w:rsid w:val="00975E1E"/>
    <w:rsid w:val="00975E70"/>
    <w:rsid w:val="009761DE"/>
    <w:rsid w:val="009766FA"/>
    <w:rsid w:val="00977CD6"/>
    <w:rsid w:val="00980DF9"/>
    <w:rsid w:val="00981750"/>
    <w:rsid w:val="0098243D"/>
    <w:rsid w:val="00982D26"/>
    <w:rsid w:val="00983B6E"/>
    <w:rsid w:val="00983FE5"/>
    <w:rsid w:val="009849E9"/>
    <w:rsid w:val="009859E4"/>
    <w:rsid w:val="00985D0A"/>
    <w:rsid w:val="00986EC1"/>
    <w:rsid w:val="00987812"/>
    <w:rsid w:val="00990225"/>
    <w:rsid w:val="00992A13"/>
    <w:rsid w:val="00994AAD"/>
    <w:rsid w:val="00995150"/>
    <w:rsid w:val="00995D67"/>
    <w:rsid w:val="009A013B"/>
    <w:rsid w:val="009A02F4"/>
    <w:rsid w:val="009A06BF"/>
    <w:rsid w:val="009A0D17"/>
    <w:rsid w:val="009A2494"/>
    <w:rsid w:val="009A32B1"/>
    <w:rsid w:val="009A33A3"/>
    <w:rsid w:val="009A36F2"/>
    <w:rsid w:val="009A40C3"/>
    <w:rsid w:val="009A40D5"/>
    <w:rsid w:val="009A57D0"/>
    <w:rsid w:val="009A6559"/>
    <w:rsid w:val="009A68FC"/>
    <w:rsid w:val="009A6CE4"/>
    <w:rsid w:val="009A7514"/>
    <w:rsid w:val="009A7E7A"/>
    <w:rsid w:val="009B1584"/>
    <w:rsid w:val="009B18F0"/>
    <w:rsid w:val="009B2471"/>
    <w:rsid w:val="009B314F"/>
    <w:rsid w:val="009B439C"/>
    <w:rsid w:val="009B49A1"/>
    <w:rsid w:val="009B4A6C"/>
    <w:rsid w:val="009B4DA8"/>
    <w:rsid w:val="009B519A"/>
    <w:rsid w:val="009B620C"/>
    <w:rsid w:val="009B6753"/>
    <w:rsid w:val="009B676C"/>
    <w:rsid w:val="009B6A26"/>
    <w:rsid w:val="009C079D"/>
    <w:rsid w:val="009C0D70"/>
    <w:rsid w:val="009C13D1"/>
    <w:rsid w:val="009C2913"/>
    <w:rsid w:val="009C2BD4"/>
    <w:rsid w:val="009C5AFE"/>
    <w:rsid w:val="009C6606"/>
    <w:rsid w:val="009C6CE5"/>
    <w:rsid w:val="009C6D50"/>
    <w:rsid w:val="009C7547"/>
    <w:rsid w:val="009D05EC"/>
    <w:rsid w:val="009D18D4"/>
    <w:rsid w:val="009D2F60"/>
    <w:rsid w:val="009D3A2E"/>
    <w:rsid w:val="009D5ADE"/>
    <w:rsid w:val="009D5BAC"/>
    <w:rsid w:val="009D5C56"/>
    <w:rsid w:val="009D6265"/>
    <w:rsid w:val="009D64BD"/>
    <w:rsid w:val="009D656F"/>
    <w:rsid w:val="009D6CB1"/>
    <w:rsid w:val="009E0286"/>
    <w:rsid w:val="009E153F"/>
    <w:rsid w:val="009E1DBC"/>
    <w:rsid w:val="009E322A"/>
    <w:rsid w:val="009E393E"/>
    <w:rsid w:val="009E3CF7"/>
    <w:rsid w:val="009E3D60"/>
    <w:rsid w:val="009E444E"/>
    <w:rsid w:val="009E4968"/>
    <w:rsid w:val="009E663C"/>
    <w:rsid w:val="009E684A"/>
    <w:rsid w:val="009E6BB1"/>
    <w:rsid w:val="009E6E14"/>
    <w:rsid w:val="009F0494"/>
    <w:rsid w:val="009F0A32"/>
    <w:rsid w:val="009F0CD9"/>
    <w:rsid w:val="009F1A79"/>
    <w:rsid w:val="009F1F57"/>
    <w:rsid w:val="009F2DDD"/>
    <w:rsid w:val="009F3447"/>
    <w:rsid w:val="009F65F4"/>
    <w:rsid w:val="009F676B"/>
    <w:rsid w:val="009F6D2D"/>
    <w:rsid w:val="009F6D54"/>
    <w:rsid w:val="00A004DF"/>
    <w:rsid w:val="00A00FD5"/>
    <w:rsid w:val="00A012C0"/>
    <w:rsid w:val="00A01717"/>
    <w:rsid w:val="00A019A8"/>
    <w:rsid w:val="00A01B03"/>
    <w:rsid w:val="00A01B89"/>
    <w:rsid w:val="00A02C66"/>
    <w:rsid w:val="00A02C84"/>
    <w:rsid w:val="00A0464C"/>
    <w:rsid w:val="00A050BB"/>
    <w:rsid w:val="00A054E0"/>
    <w:rsid w:val="00A05954"/>
    <w:rsid w:val="00A05D91"/>
    <w:rsid w:val="00A0740B"/>
    <w:rsid w:val="00A07ED3"/>
    <w:rsid w:val="00A10CA8"/>
    <w:rsid w:val="00A11042"/>
    <w:rsid w:val="00A12579"/>
    <w:rsid w:val="00A133D8"/>
    <w:rsid w:val="00A15655"/>
    <w:rsid w:val="00A169CC"/>
    <w:rsid w:val="00A1740C"/>
    <w:rsid w:val="00A20069"/>
    <w:rsid w:val="00A2244D"/>
    <w:rsid w:val="00A2253D"/>
    <w:rsid w:val="00A247B8"/>
    <w:rsid w:val="00A2495A"/>
    <w:rsid w:val="00A24C7A"/>
    <w:rsid w:val="00A24D8F"/>
    <w:rsid w:val="00A25B8B"/>
    <w:rsid w:val="00A25C69"/>
    <w:rsid w:val="00A2689F"/>
    <w:rsid w:val="00A26ECA"/>
    <w:rsid w:val="00A27461"/>
    <w:rsid w:val="00A27D67"/>
    <w:rsid w:val="00A30ABC"/>
    <w:rsid w:val="00A33B74"/>
    <w:rsid w:val="00A3467F"/>
    <w:rsid w:val="00A34B4C"/>
    <w:rsid w:val="00A35030"/>
    <w:rsid w:val="00A3551A"/>
    <w:rsid w:val="00A37209"/>
    <w:rsid w:val="00A37584"/>
    <w:rsid w:val="00A376E8"/>
    <w:rsid w:val="00A37F8E"/>
    <w:rsid w:val="00A41537"/>
    <w:rsid w:val="00A41737"/>
    <w:rsid w:val="00A42B8F"/>
    <w:rsid w:val="00A42D8E"/>
    <w:rsid w:val="00A43254"/>
    <w:rsid w:val="00A43896"/>
    <w:rsid w:val="00A43A26"/>
    <w:rsid w:val="00A447A0"/>
    <w:rsid w:val="00A459F5"/>
    <w:rsid w:val="00A45FC0"/>
    <w:rsid w:val="00A464C5"/>
    <w:rsid w:val="00A47ECC"/>
    <w:rsid w:val="00A50171"/>
    <w:rsid w:val="00A504FA"/>
    <w:rsid w:val="00A5102E"/>
    <w:rsid w:val="00A5132E"/>
    <w:rsid w:val="00A51375"/>
    <w:rsid w:val="00A51533"/>
    <w:rsid w:val="00A531D4"/>
    <w:rsid w:val="00A54572"/>
    <w:rsid w:val="00A552C3"/>
    <w:rsid w:val="00A575B8"/>
    <w:rsid w:val="00A60676"/>
    <w:rsid w:val="00A61C60"/>
    <w:rsid w:val="00A61ECB"/>
    <w:rsid w:val="00A6410C"/>
    <w:rsid w:val="00A647B1"/>
    <w:rsid w:val="00A64DEF"/>
    <w:rsid w:val="00A654D2"/>
    <w:rsid w:val="00A665DF"/>
    <w:rsid w:val="00A67FCC"/>
    <w:rsid w:val="00A70AA5"/>
    <w:rsid w:val="00A70C03"/>
    <w:rsid w:val="00A71256"/>
    <w:rsid w:val="00A7217B"/>
    <w:rsid w:val="00A72DD9"/>
    <w:rsid w:val="00A73861"/>
    <w:rsid w:val="00A739A6"/>
    <w:rsid w:val="00A740ED"/>
    <w:rsid w:val="00A74C29"/>
    <w:rsid w:val="00A74C62"/>
    <w:rsid w:val="00A75EF9"/>
    <w:rsid w:val="00A8311C"/>
    <w:rsid w:val="00A835D0"/>
    <w:rsid w:val="00A84C5F"/>
    <w:rsid w:val="00A85930"/>
    <w:rsid w:val="00A863F7"/>
    <w:rsid w:val="00A86604"/>
    <w:rsid w:val="00A87519"/>
    <w:rsid w:val="00A91034"/>
    <w:rsid w:val="00A9246D"/>
    <w:rsid w:val="00A93BD0"/>
    <w:rsid w:val="00A93CC2"/>
    <w:rsid w:val="00A9542E"/>
    <w:rsid w:val="00A95F46"/>
    <w:rsid w:val="00A974CC"/>
    <w:rsid w:val="00AA2001"/>
    <w:rsid w:val="00AA2B5C"/>
    <w:rsid w:val="00AA32D2"/>
    <w:rsid w:val="00AA4016"/>
    <w:rsid w:val="00AA4C1F"/>
    <w:rsid w:val="00AA5328"/>
    <w:rsid w:val="00AA5393"/>
    <w:rsid w:val="00AA63D4"/>
    <w:rsid w:val="00AB03FD"/>
    <w:rsid w:val="00AB2000"/>
    <w:rsid w:val="00AB38CB"/>
    <w:rsid w:val="00AB3BEC"/>
    <w:rsid w:val="00AB44E4"/>
    <w:rsid w:val="00AB4AEB"/>
    <w:rsid w:val="00AB4E5F"/>
    <w:rsid w:val="00AB5352"/>
    <w:rsid w:val="00AB56AE"/>
    <w:rsid w:val="00AB62D5"/>
    <w:rsid w:val="00AB65B5"/>
    <w:rsid w:val="00AB6DCD"/>
    <w:rsid w:val="00AB6EE0"/>
    <w:rsid w:val="00AC17A2"/>
    <w:rsid w:val="00AC40B7"/>
    <w:rsid w:val="00AC531F"/>
    <w:rsid w:val="00AC5B36"/>
    <w:rsid w:val="00AC6377"/>
    <w:rsid w:val="00AC66A4"/>
    <w:rsid w:val="00AC6CB1"/>
    <w:rsid w:val="00AC7D6D"/>
    <w:rsid w:val="00AD0091"/>
    <w:rsid w:val="00AD23EF"/>
    <w:rsid w:val="00AD2662"/>
    <w:rsid w:val="00AD307B"/>
    <w:rsid w:val="00AD4014"/>
    <w:rsid w:val="00AD41B3"/>
    <w:rsid w:val="00AD69F0"/>
    <w:rsid w:val="00AD7127"/>
    <w:rsid w:val="00AD730C"/>
    <w:rsid w:val="00AE123A"/>
    <w:rsid w:val="00AE1539"/>
    <w:rsid w:val="00AE28A7"/>
    <w:rsid w:val="00AE2A98"/>
    <w:rsid w:val="00AE2CF2"/>
    <w:rsid w:val="00AE3012"/>
    <w:rsid w:val="00AE33A6"/>
    <w:rsid w:val="00AE3729"/>
    <w:rsid w:val="00AE4CCE"/>
    <w:rsid w:val="00AE5C6A"/>
    <w:rsid w:val="00AE7280"/>
    <w:rsid w:val="00AF033A"/>
    <w:rsid w:val="00AF1699"/>
    <w:rsid w:val="00AF1FD3"/>
    <w:rsid w:val="00AF2910"/>
    <w:rsid w:val="00AF34B8"/>
    <w:rsid w:val="00AF3896"/>
    <w:rsid w:val="00AF3FC2"/>
    <w:rsid w:val="00AF5921"/>
    <w:rsid w:val="00AF63F5"/>
    <w:rsid w:val="00B0098A"/>
    <w:rsid w:val="00B00A5F"/>
    <w:rsid w:val="00B029B8"/>
    <w:rsid w:val="00B02F60"/>
    <w:rsid w:val="00B032B8"/>
    <w:rsid w:val="00B04721"/>
    <w:rsid w:val="00B04B15"/>
    <w:rsid w:val="00B04B46"/>
    <w:rsid w:val="00B0534D"/>
    <w:rsid w:val="00B05685"/>
    <w:rsid w:val="00B05F9F"/>
    <w:rsid w:val="00B06368"/>
    <w:rsid w:val="00B068DA"/>
    <w:rsid w:val="00B06FC6"/>
    <w:rsid w:val="00B074C9"/>
    <w:rsid w:val="00B07D9D"/>
    <w:rsid w:val="00B11AE5"/>
    <w:rsid w:val="00B12FE6"/>
    <w:rsid w:val="00B1303F"/>
    <w:rsid w:val="00B1364A"/>
    <w:rsid w:val="00B13859"/>
    <w:rsid w:val="00B14319"/>
    <w:rsid w:val="00B14A06"/>
    <w:rsid w:val="00B158E1"/>
    <w:rsid w:val="00B16715"/>
    <w:rsid w:val="00B17455"/>
    <w:rsid w:val="00B1768E"/>
    <w:rsid w:val="00B17910"/>
    <w:rsid w:val="00B20F18"/>
    <w:rsid w:val="00B21516"/>
    <w:rsid w:val="00B21A37"/>
    <w:rsid w:val="00B21F62"/>
    <w:rsid w:val="00B22CE0"/>
    <w:rsid w:val="00B23738"/>
    <w:rsid w:val="00B23BEF"/>
    <w:rsid w:val="00B247BB"/>
    <w:rsid w:val="00B2504A"/>
    <w:rsid w:val="00B25EE6"/>
    <w:rsid w:val="00B3115A"/>
    <w:rsid w:val="00B31825"/>
    <w:rsid w:val="00B31A5C"/>
    <w:rsid w:val="00B33B06"/>
    <w:rsid w:val="00B33C19"/>
    <w:rsid w:val="00B35A15"/>
    <w:rsid w:val="00B36A99"/>
    <w:rsid w:val="00B42264"/>
    <w:rsid w:val="00B434B2"/>
    <w:rsid w:val="00B43D45"/>
    <w:rsid w:val="00B468F2"/>
    <w:rsid w:val="00B469DE"/>
    <w:rsid w:val="00B47286"/>
    <w:rsid w:val="00B50234"/>
    <w:rsid w:val="00B51BF4"/>
    <w:rsid w:val="00B52C68"/>
    <w:rsid w:val="00B5372B"/>
    <w:rsid w:val="00B542FE"/>
    <w:rsid w:val="00B55A1B"/>
    <w:rsid w:val="00B561DB"/>
    <w:rsid w:val="00B56DF9"/>
    <w:rsid w:val="00B600BD"/>
    <w:rsid w:val="00B61274"/>
    <w:rsid w:val="00B61DCE"/>
    <w:rsid w:val="00B62188"/>
    <w:rsid w:val="00B62F79"/>
    <w:rsid w:val="00B62F82"/>
    <w:rsid w:val="00B6306A"/>
    <w:rsid w:val="00B635E3"/>
    <w:rsid w:val="00B662FF"/>
    <w:rsid w:val="00B66679"/>
    <w:rsid w:val="00B67360"/>
    <w:rsid w:val="00B70145"/>
    <w:rsid w:val="00B71A92"/>
    <w:rsid w:val="00B721D8"/>
    <w:rsid w:val="00B730CA"/>
    <w:rsid w:val="00B747C5"/>
    <w:rsid w:val="00B74F2F"/>
    <w:rsid w:val="00B753ED"/>
    <w:rsid w:val="00B769BC"/>
    <w:rsid w:val="00B77349"/>
    <w:rsid w:val="00B7761E"/>
    <w:rsid w:val="00B80A3D"/>
    <w:rsid w:val="00B80B04"/>
    <w:rsid w:val="00B821E4"/>
    <w:rsid w:val="00B823E0"/>
    <w:rsid w:val="00B8260D"/>
    <w:rsid w:val="00B82B78"/>
    <w:rsid w:val="00B845B4"/>
    <w:rsid w:val="00B84662"/>
    <w:rsid w:val="00B84C74"/>
    <w:rsid w:val="00B85191"/>
    <w:rsid w:val="00B858A1"/>
    <w:rsid w:val="00B85FEC"/>
    <w:rsid w:val="00B864A3"/>
    <w:rsid w:val="00B86C2A"/>
    <w:rsid w:val="00B902A5"/>
    <w:rsid w:val="00B90420"/>
    <w:rsid w:val="00B90848"/>
    <w:rsid w:val="00B91146"/>
    <w:rsid w:val="00B913E4"/>
    <w:rsid w:val="00B91DB9"/>
    <w:rsid w:val="00B91FF3"/>
    <w:rsid w:val="00B93EFE"/>
    <w:rsid w:val="00B944B9"/>
    <w:rsid w:val="00B94956"/>
    <w:rsid w:val="00B94C7F"/>
    <w:rsid w:val="00B94E93"/>
    <w:rsid w:val="00B956B5"/>
    <w:rsid w:val="00B96DF2"/>
    <w:rsid w:val="00B96E18"/>
    <w:rsid w:val="00B96F5A"/>
    <w:rsid w:val="00BA0B39"/>
    <w:rsid w:val="00BA0CB2"/>
    <w:rsid w:val="00BA0E26"/>
    <w:rsid w:val="00BA138B"/>
    <w:rsid w:val="00BA305B"/>
    <w:rsid w:val="00BA31BF"/>
    <w:rsid w:val="00BA3FC7"/>
    <w:rsid w:val="00BA478B"/>
    <w:rsid w:val="00BA5224"/>
    <w:rsid w:val="00BA575E"/>
    <w:rsid w:val="00BA76B7"/>
    <w:rsid w:val="00BA7E3B"/>
    <w:rsid w:val="00BB078D"/>
    <w:rsid w:val="00BB079C"/>
    <w:rsid w:val="00BB0D7A"/>
    <w:rsid w:val="00BB10E1"/>
    <w:rsid w:val="00BB2471"/>
    <w:rsid w:val="00BB3035"/>
    <w:rsid w:val="00BB39C1"/>
    <w:rsid w:val="00BB3DF5"/>
    <w:rsid w:val="00BB5D16"/>
    <w:rsid w:val="00BB6180"/>
    <w:rsid w:val="00BB69E6"/>
    <w:rsid w:val="00BB7BE5"/>
    <w:rsid w:val="00BC08BD"/>
    <w:rsid w:val="00BC11E8"/>
    <w:rsid w:val="00BC1B7A"/>
    <w:rsid w:val="00BC2C17"/>
    <w:rsid w:val="00BC3ACD"/>
    <w:rsid w:val="00BC3B20"/>
    <w:rsid w:val="00BC3EE4"/>
    <w:rsid w:val="00BC588C"/>
    <w:rsid w:val="00BC6E73"/>
    <w:rsid w:val="00BC74D3"/>
    <w:rsid w:val="00BD0014"/>
    <w:rsid w:val="00BD01D8"/>
    <w:rsid w:val="00BD255F"/>
    <w:rsid w:val="00BD2895"/>
    <w:rsid w:val="00BD32A0"/>
    <w:rsid w:val="00BD4236"/>
    <w:rsid w:val="00BD483B"/>
    <w:rsid w:val="00BD5CD4"/>
    <w:rsid w:val="00BD65D9"/>
    <w:rsid w:val="00BD6DF3"/>
    <w:rsid w:val="00BD6E09"/>
    <w:rsid w:val="00BD6EF9"/>
    <w:rsid w:val="00BE0A7B"/>
    <w:rsid w:val="00BE0ACB"/>
    <w:rsid w:val="00BE2260"/>
    <w:rsid w:val="00BE3917"/>
    <w:rsid w:val="00BE50FD"/>
    <w:rsid w:val="00BE51CA"/>
    <w:rsid w:val="00BE537F"/>
    <w:rsid w:val="00BE5D77"/>
    <w:rsid w:val="00BE6D47"/>
    <w:rsid w:val="00BE7032"/>
    <w:rsid w:val="00BE7330"/>
    <w:rsid w:val="00BF01C5"/>
    <w:rsid w:val="00BF061A"/>
    <w:rsid w:val="00BF066A"/>
    <w:rsid w:val="00BF14CC"/>
    <w:rsid w:val="00BF15DC"/>
    <w:rsid w:val="00BF1821"/>
    <w:rsid w:val="00BF4342"/>
    <w:rsid w:val="00BF4704"/>
    <w:rsid w:val="00BF4FFC"/>
    <w:rsid w:val="00BF5050"/>
    <w:rsid w:val="00BF50D1"/>
    <w:rsid w:val="00BF5422"/>
    <w:rsid w:val="00BF59B1"/>
    <w:rsid w:val="00BF6A78"/>
    <w:rsid w:val="00BF7695"/>
    <w:rsid w:val="00BF79B4"/>
    <w:rsid w:val="00BF7C61"/>
    <w:rsid w:val="00C01427"/>
    <w:rsid w:val="00C014C7"/>
    <w:rsid w:val="00C0411B"/>
    <w:rsid w:val="00C047AB"/>
    <w:rsid w:val="00C058AF"/>
    <w:rsid w:val="00C124C1"/>
    <w:rsid w:val="00C128AE"/>
    <w:rsid w:val="00C12BA8"/>
    <w:rsid w:val="00C136D6"/>
    <w:rsid w:val="00C13D5B"/>
    <w:rsid w:val="00C141D7"/>
    <w:rsid w:val="00C1711B"/>
    <w:rsid w:val="00C17AE2"/>
    <w:rsid w:val="00C20140"/>
    <w:rsid w:val="00C20F27"/>
    <w:rsid w:val="00C215CF"/>
    <w:rsid w:val="00C2244B"/>
    <w:rsid w:val="00C22711"/>
    <w:rsid w:val="00C2280A"/>
    <w:rsid w:val="00C22B0D"/>
    <w:rsid w:val="00C23522"/>
    <w:rsid w:val="00C240C1"/>
    <w:rsid w:val="00C24AED"/>
    <w:rsid w:val="00C250D0"/>
    <w:rsid w:val="00C252AC"/>
    <w:rsid w:val="00C25C0F"/>
    <w:rsid w:val="00C26567"/>
    <w:rsid w:val="00C26923"/>
    <w:rsid w:val="00C27214"/>
    <w:rsid w:val="00C27597"/>
    <w:rsid w:val="00C27E5E"/>
    <w:rsid w:val="00C30382"/>
    <w:rsid w:val="00C30772"/>
    <w:rsid w:val="00C30D6F"/>
    <w:rsid w:val="00C31063"/>
    <w:rsid w:val="00C3149C"/>
    <w:rsid w:val="00C31B7E"/>
    <w:rsid w:val="00C322D1"/>
    <w:rsid w:val="00C3242A"/>
    <w:rsid w:val="00C33201"/>
    <w:rsid w:val="00C33A39"/>
    <w:rsid w:val="00C35D01"/>
    <w:rsid w:val="00C360B3"/>
    <w:rsid w:val="00C36196"/>
    <w:rsid w:val="00C37027"/>
    <w:rsid w:val="00C37B19"/>
    <w:rsid w:val="00C413CB"/>
    <w:rsid w:val="00C42752"/>
    <w:rsid w:val="00C42973"/>
    <w:rsid w:val="00C43590"/>
    <w:rsid w:val="00C5034F"/>
    <w:rsid w:val="00C50830"/>
    <w:rsid w:val="00C51452"/>
    <w:rsid w:val="00C52479"/>
    <w:rsid w:val="00C5266E"/>
    <w:rsid w:val="00C52C59"/>
    <w:rsid w:val="00C5349E"/>
    <w:rsid w:val="00C539FF"/>
    <w:rsid w:val="00C53BC0"/>
    <w:rsid w:val="00C544BD"/>
    <w:rsid w:val="00C54D3D"/>
    <w:rsid w:val="00C55A30"/>
    <w:rsid w:val="00C56384"/>
    <w:rsid w:val="00C60F8C"/>
    <w:rsid w:val="00C61794"/>
    <w:rsid w:val="00C62A48"/>
    <w:rsid w:val="00C62AC4"/>
    <w:rsid w:val="00C62B59"/>
    <w:rsid w:val="00C62F96"/>
    <w:rsid w:val="00C631E1"/>
    <w:rsid w:val="00C638D8"/>
    <w:rsid w:val="00C63D26"/>
    <w:rsid w:val="00C6540A"/>
    <w:rsid w:val="00C668A1"/>
    <w:rsid w:val="00C66F5C"/>
    <w:rsid w:val="00C67223"/>
    <w:rsid w:val="00C70679"/>
    <w:rsid w:val="00C707B8"/>
    <w:rsid w:val="00C712AC"/>
    <w:rsid w:val="00C71C15"/>
    <w:rsid w:val="00C71F3D"/>
    <w:rsid w:val="00C72F53"/>
    <w:rsid w:val="00C74035"/>
    <w:rsid w:val="00C748EA"/>
    <w:rsid w:val="00C77818"/>
    <w:rsid w:val="00C8063F"/>
    <w:rsid w:val="00C80DEB"/>
    <w:rsid w:val="00C81282"/>
    <w:rsid w:val="00C81975"/>
    <w:rsid w:val="00C83214"/>
    <w:rsid w:val="00C8329F"/>
    <w:rsid w:val="00C84F8A"/>
    <w:rsid w:val="00C85BA4"/>
    <w:rsid w:val="00C8618F"/>
    <w:rsid w:val="00C8625D"/>
    <w:rsid w:val="00C90372"/>
    <w:rsid w:val="00C9041F"/>
    <w:rsid w:val="00C912A5"/>
    <w:rsid w:val="00C9166B"/>
    <w:rsid w:val="00C91A45"/>
    <w:rsid w:val="00C91FB4"/>
    <w:rsid w:val="00C92150"/>
    <w:rsid w:val="00C92328"/>
    <w:rsid w:val="00C92D42"/>
    <w:rsid w:val="00C938C2"/>
    <w:rsid w:val="00C93F8A"/>
    <w:rsid w:val="00C94EA1"/>
    <w:rsid w:val="00C95745"/>
    <w:rsid w:val="00C95902"/>
    <w:rsid w:val="00C962E3"/>
    <w:rsid w:val="00C97549"/>
    <w:rsid w:val="00C978E2"/>
    <w:rsid w:val="00C97997"/>
    <w:rsid w:val="00CA10A2"/>
    <w:rsid w:val="00CA1D83"/>
    <w:rsid w:val="00CA25C0"/>
    <w:rsid w:val="00CA321C"/>
    <w:rsid w:val="00CA3451"/>
    <w:rsid w:val="00CA35C6"/>
    <w:rsid w:val="00CA4948"/>
    <w:rsid w:val="00CA52F9"/>
    <w:rsid w:val="00CA5368"/>
    <w:rsid w:val="00CA568B"/>
    <w:rsid w:val="00CA573A"/>
    <w:rsid w:val="00CB19FE"/>
    <w:rsid w:val="00CB2364"/>
    <w:rsid w:val="00CB304C"/>
    <w:rsid w:val="00CB3933"/>
    <w:rsid w:val="00CB53E8"/>
    <w:rsid w:val="00CB594A"/>
    <w:rsid w:val="00CB5CB2"/>
    <w:rsid w:val="00CB6979"/>
    <w:rsid w:val="00CB6DF6"/>
    <w:rsid w:val="00CB7DDE"/>
    <w:rsid w:val="00CC0A3D"/>
    <w:rsid w:val="00CC3C53"/>
    <w:rsid w:val="00CC3D24"/>
    <w:rsid w:val="00CC3F91"/>
    <w:rsid w:val="00CC4ACD"/>
    <w:rsid w:val="00CC4B0A"/>
    <w:rsid w:val="00CC544A"/>
    <w:rsid w:val="00CC57EA"/>
    <w:rsid w:val="00CC5954"/>
    <w:rsid w:val="00CC629B"/>
    <w:rsid w:val="00CC6C4E"/>
    <w:rsid w:val="00CD009D"/>
    <w:rsid w:val="00CD05A2"/>
    <w:rsid w:val="00CD29D4"/>
    <w:rsid w:val="00CD2B5C"/>
    <w:rsid w:val="00CD2FF3"/>
    <w:rsid w:val="00CD3323"/>
    <w:rsid w:val="00CD38F5"/>
    <w:rsid w:val="00CD437E"/>
    <w:rsid w:val="00CD5DAD"/>
    <w:rsid w:val="00CD72C5"/>
    <w:rsid w:val="00CD79A7"/>
    <w:rsid w:val="00CE00FC"/>
    <w:rsid w:val="00CE0789"/>
    <w:rsid w:val="00CE0E8D"/>
    <w:rsid w:val="00CE1A03"/>
    <w:rsid w:val="00CE2346"/>
    <w:rsid w:val="00CE25B2"/>
    <w:rsid w:val="00CE3529"/>
    <w:rsid w:val="00CE35C8"/>
    <w:rsid w:val="00CE3962"/>
    <w:rsid w:val="00CE4D1A"/>
    <w:rsid w:val="00CE4E8A"/>
    <w:rsid w:val="00CE5105"/>
    <w:rsid w:val="00CE56BD"/>
    <w:rsid w:val="00CE5EC0"/>
    <w:rsid w:val="00CE6F9F"/>
    <w:rsid w:val="00CE781A"/>
    <w:rsid w:val="00CE7B08"/>
    <w:rsid w:val="00CE7D52"/>
    <w:rsid w:val="00CF1D74"/>
    <w:rsid w:val="00CF2BE2"/>
    <w:rsid w:val="00CF3DEB"/>
    <w:rsid w:val="00CF55F9"/>
    <w:rsid w:val="00CF7074"/>
    <w:rsid w:val="00CF7495"/>
    <w:rsid w:val="00CF7589"/>
    <w:rsid w:val="00CF76DC"/>
    <w:rsid w:val="00CF7A7B"/>
    <w:rsid w:val="00D01CF9"/>
    <w:rsid w:val="00D0334D"/>
    <w:rsid w:val="00D0374D"/>
    <w:rsid w:val="00D06D7B"/>
    <w:rsid w:val="00D06DA5"/>
    <w:rsid w:val="00D07191"/>
    <w:rsid w:val="00D07F1D"/>
    <w:rsid w:val="00D10558"/>
    <w:rsid w:val="00D11D4D"/>
    <w:rsid w:val="00D126DC"/>
    <w:rsid w:val="00D12B03"/>
    <w:rsid w:val="00D13E70"/>
    <w:rsid w:val="00D16C58"/>
    <w:rsid w:val="00D17019"/>
    <w:rsid w:val="00D17FC8"/>
    <w:rsid w:val="00D20B44"/>
    <w:rsid w:val="00D21168"/>
    <w:rsid w:val="00D2438C"/>
    <w:rsid w:val="00D249D1"/>
    <w:rsid w:val="00D26C3F"/>
    <w:rsid w:val="00D27185"/>
    <w:rsid w:val="00D33AB3"/>
    <w:rsid w:val="00D33F24"/>
    <w:rsid w:val="00D34160"/>
    <w:rsid w:val="00D346B8"/>
    <w:rsid w:val="00D34DCA"/>
    <w:rsid w:val="00D35AC8"/>
    <w:rsid w:val="00D36F87"/>
    <w:rsid w:val="00D37E4E"/>
    <w:rsid w:val="00D417D8"/>
    <w:rsid w:val="00D41F78"/>
    <w:rsid w:val="00D42E6C"/>
    <w:rsid w:val="00D4351C"/>
    <w:rsid w:val="00D43B80"/>
    <w:rsid w:val="00D44988"/>
    <w:rsid w:val="00D451A0"/>
    <w:rsid w:val="00D45B4C"/>
    <w:rsid w:val="00D45BA4"/>
    <w:rsid w:val="00D471AF"/>
    <w:rsid w:val="00D4724F"/>
    <w:rsid w:val="00D50519"/>
    <w:rsid w:val="00D51601"/>
    <w:rsid w:val="00D51BCC"/>
    <w:rsid w:val="00D51ECB"/>
    <w:rsid w:val="00D5264C"/>
    <w:rsid w:val="00D52BBC"/>
    <w:rsid w:val="00D537FE"/>
    <w:rsid w:val="00D53CC9"/>
    <w:rsid w:val="00D54A6A"/>
    <w:rsid w:val="00D54B8F"/>
    <w:rsid w:val="00D55951"/>
    <w:rsid w:val="00D57EB6"/>
    <w:rsid w:val="00D608C0"/>
    <w:rsid w:val="00D60D6D"/>
    <w:rsid w:val="00D66D8B"/>
    <w:rsid w:val="00D70849"/>
    <w:rsid w:val="00D71471"/>
    <w:rsid w:val="00D72297"/>
    <w:rsid w:val="00D72A1C"/>
    <w:rsid w:val="00D7308F"/>
    <w:rsid w:val="00D7313E"/>
    <w:rsid w:val="00D73580"/>
    <w:rsid w:val="00D73802"/>
    <w:rsid w:val="00D73C2C"/>
    <w:rsid w:val="00D73D52"/>
    <w:rsid w:val="00D745E7"/>
    <w:rsid w:val="00D76B09"/>
    <w:rsid w:val="00D774ED"/>
    <w:rsid w:val="00D777C3"/>
    <w:rsid w:val="00D77C44"/>
    <w:rsid w:val="00D77F88"/>
    <w:rsid w:val="00D81AFA"/>
    <w:rsid w:val="00D81BA2"/>
    <w:rsid w:val="00D81EAA"/>
    <w:rsid w:val="00D81FE2"/>
    <w:rsid w:val="00D8259F"/>
    <w:rsid w:val="00D825F2"/>
    <w:rsid w:val="00D8285C"/>
    <w:rsid w:val="00D828B1"/>
    <w:rsid w:val="00D83D49"/>
    <w:rsid w:val="00D84181"/>
    <w:rsid w:val="00D84754"/>
    <w:rsid w:val="00D84F27"/>
    <w:rsid w:val="00D853F0"/>
    <w:rsid w:val="00D86D47"/>
    <w:rsid w:val="00D8710C"/>
    <w:rsid w:val="00D873C6"/>
    <w:rsid w:val="00D9074A"/>
    <w:rsid w:val="00D9099E"/>
    <w:rsid w:val="00D9193A"/>
    <w:rsid w:val="00D923B2"/>
    <w:rsid w:val="00D93E64"/>
    <w:rsid w:val="00D93F64"/>
    <w:rsid w:val="00D94CA4"/>
    <w:rsid w:val="00D95E99"/>
    <w:rsid w:val="00D961C6"/>
    <w:rsid w:val="00D965D5"/>
    <w:rsid w:val="00D97DA2"/>
    <w:rsid w:val="00DA01FD"/>
    <w:rsid w:val="00DA1A3A"/>
    <w:rsid w:val="00DA2351"/>
    <w:rsid w:val="00DA249E"/>
    <w:rsid w:val="00DA2D3D"/>
    <w:rsid w:val="00DA4C30"/>
    <w:rsid w:val="00DA793A"/>
    <w:rsid w:val="00DB145E"/>
    <w:rsid w:val="00DB1A94"/>
    <w:rsid w:val="00DB1D52"/>
    <w:rsid w:val="00DB1F62"/>
    <w:rsid w:val="00DB21E7"/>
    <w:rsid w:val="00DB2E03"/>
    <w:rsid w:val="00DB3742"/>
    <w:rsid w:val="00DB3E9B"/>
    <w:rsid w:val="00DB3F4B"/>
    <w:rsid w:val="00DB5375"/>
    <w:rsid w:val="00DB67C1"/>
    <w:rsid w:val="00DB6C0B"/>
    <w:rsid w:val="00DB70F4"/>
    <w:rsid w:val="00DB7D75"/>
    <w:rsid w:val="00DC1056"/>
    <w:rsid w:val="00DC1442"/>
    <w:rsid w:val="00DC21D8"/>
    <w:rsid w:val="00DC282A"/>
    <w:rsid w:val="00DC34DC"/>
    <w:rsid w:val="00DC3780"/>
    <w:rsid w:val="00DC3ADA"/>
    <w:rsid w:val="00DC3C9E"/>
    <w:rsid w:val="00DC3CC6"/>
    <w:rsid w:val="00DC3F55"/>
    <w:rsid w:val="00DC4782"/>
    <w:rsid w:val="00DC514A"/>
    <w:rsid w:val="00DC67B1"/>
    <w:rsid w:val="00DC70E6"/>
    <w:rsid w:val="00DC7FBC"/>
    <w:rsid w:val="00DD0019"/>
    <w:rsid w:val="00DD132B"/>
    <w:rsid w:val="00DD1725"/>
    <w:rsid w:val="00DD2159"/>
    <w:rsid w:val="00DD218B"/>
    <w:rsid w:val="00DD2A18"/>
    <w:rsid w:val="00DD3044"/>
    <w:rsid w:val="00DD38E3"/>
    <w:rsid w:val="00DD3985"/>
    <w:rsid w:val="00DD61E8"/>
    <w:rsid w:val="00DD62C0"/>
    <w:rsid w:val="00DD64DE"/>
    <w:rsid w:val="00DD7859"/>
    <w:rsid w:val="00DD7B41"/>
    <w:rsid w:val="00DE0784"/>
    <w:rsid w:val="00DE0A1D"/>
    <w:rsid w:val="00DE15B2"/>
    <w:rsid w:val="00DE1A9A"/>
    <w:rsid w:val="00DE3D2C"/>
    <w:rsid w:val="00DE5E82"/>
    <w:rsid w:val="00DE5FA6"/>
    <w:rsid w:val="00DE6792"/>
    <w:rsid w:val="00DE6AA1"/>
    <w:rsid w:val="00DE7EF7"/>
    <w:rsid w:val="00DF015B"/>
    <w:rsid w:val="00DF02EC"/>
    <w:rsid w:val="00DF10FC"/>
    <w:rsid w:val="00DF1185"/>
    <w:rsid w:val="00DF1299"/>
    <w:rsid w:val="00DF1A70"/>
    <w:rsid w:val="00DF1E5F"/>
    <w:rsid w:val="00DF23A8"/>
    <w:rsid w:val="00DF2F27"/>
    <w:rsid w:val="00DF36B6"/>
    <w:rsid w:val="00DF4296"/>
    <w:rsid w:val="00DF53F0"/>
    <w:rsid w:val="00DF5F38"/>
    <w:rsid w:val="00DF6608"/>
    <w:rsid w:val="00DF6CCC"/>
    <w:rsid w:val="00DF6D0C"/>
    <w:rsid w:val="00DF6F64"/>
    <w:rsid w:val="00DF721E"/>
    <w:rsid w:val="00DF7B8A"/>
    <w:rsid w:val="00DF7C87"/>
    <w:rsid w:val="00E009B0"/>
    <w:rsid w:val="00E00A12"/>
    <w:rsid w:val="00E00C49"/>
    <w:rsid w:val="00E0219D"/>
    <w:rsid w:val="00E04C0F"/>
    <w:rsid w:val="00E0570B"/>
    <w:rsid w:val="00E10913"/>
    <w:rsid w:val="00E10B87"/>
    <w:rsid w:val="00E121CE"/>
    <w:rsid w:val="00E1478B"/>
    <w:rsid w:val="00E14FAC"/>
    <w:rsid w:val="00E15007"/>
    <w:rsid w:val="00E16277"/>
    <w:rsid w:val="00E16EC7"/>
    <w:rsid w:val="00E17662"/>
    <w:rsid w:val="00E21951"/>
    <w:rsid w:val="00E219CE"/>
    <w:rsid w:val="00E23EC9"/>
    <w:rsid w:val="00E24071"/>
    <w:rsid w:val="00E24EBC"/>
    <w:rsid w:val="00E2522C"/>
    <w:rsid w:val="00E2552F"/>
    <w:rsid w:val="00E2599B"/>
    <w:rsid w:val="00E2710C"/>
    <w:rsid w:val="00E27428"/>
    <w:rsid w:val="00E305B4"/>
    <w:rsid w:val="00E306A4"/>
    <w:rsid w:val="00E31AFA"/>
    <w:rsid w:val="00E31CB7"/>
    <w:rsid w:val="00E324EE"/>
    <w:rsid w:val="00E33314"/>
    <w:rsid w:val="00E34DB1"/>
    <w:rsid w:val="00E35931"/>
    <w:rsid w:val="00E359FF"/>
    <w:rsid w:val="00E402C5"/>
    <w:rsid w:val="00E402F4"/>
    <w:rsid w:val="00E405F1"/>
    <w:rsid w:val="00E417DB"/>
    <w:rsid w:val="00E43054"/>
    <w:rsid w:val="00E44440"/>
    <w:rsid w:val="00E46013"/>
    <w:rsid w:val="00E47099"/>
    <w:rsid w:val="00E47284"/>
    <w:rsid w:val="00E477C3"/>
    <w:rsid w:val="00E50BA0"/>
    <w:rsid w:val="00E51E16"/>
    <w:rsid w:val="00E53730"/>
    <w:rsid w:val="00E5438D"/>
    <w:rsid w:val="00E54511"/>
    <w:rsid w:val="00E54E50"/>
    <w:rsid w:val="00E55288"/>
    <w:rsid w:val="00E57577"/>
    <w:rsid w:val="00E62043"/>
    <w:rsid w:val="00E626B9"/>
    <w:rsid w:val="00E627C9"/>
    <w:rsid w:val="00E630F3"/>
    <w:rsid w:val="00E6332F"/>
    <w:rsid w:val="00E637C9"/>
    <w:rsid w:val="00E6402D"/>
    <w:rsid w:val="00E6680A"/>
    <w:rsid w:val="00E66F0D"/>
    <w:rsid w:val="00E70615"/>
    <w:rsid w:val="00E7161E"/>
    <w:rsid w:val="00E7207B"/>
    <w:rsid w:val="00E7347A"/>
    <w:rsid w:val="00E75A47"/>
    <w:rsid w:val="00E75BB6"/>
    <w:rsid w:val="00E75D8C"/>
    <w:rsid w:val="00E777F2"/>
    <w:rsid w:val="00E802C9"/>
    <w:rsid w:val="00E80F0A"/>
    <w:rsid w:val="00E815D4"/>
    <w:rsid w:val="00E8291B"/>
    <w:rsid w:val="00E82E70"/>
    <w:rsid w:val="00E82F92"/>
    <w:rsid w:val="00E8395F"/>
    <w:rsid w:val="00E8410F"/>
    <w:rsid w:val="00E849D7"/>
    <w:rsid w:val="00E85E41"/>
    <w:rsid w:val="00E85EA1"/>
    <w:rsid w:val="00E86703"/>
    <w:rsid w:val="00E91044"/>
    <w:rsid w:val="00E910D3"/>
    <w:rsid w:val="00E92154"/>
    <w:rsid w:val="00E923CF"/>
    <w:rsid w:val="00E93685"/>
    <w:rsid w:val="00E93B65"/>
    <w:rsid w:val="00E93C8C"/>
    <w:rsid w:val="00E95111"/>
    <w:rsid w:val="00E95FDF"/>
    <w:rsid w:val="00EA14C8"/>
    <w:rsid w:val="00EA2110"/>
    <w:rsid w:val="00EA283A"/>
    <w:rsid w:val="00EA2C90"/>
    <w:rsid w:val="00EA2E07"/>
    <w:rsid w:val="00EA35AE"/>
    <w:rsid w:val="00EA48F3"/>
    <w:rsid w:val="00EA60BF"/>
    <w:rsid w:val="00EA7365"/>
    <w:rsid w:val="00EA763F"/>
    <w:rsid w:val="00EA77E9"/>
    <w:rsid w:val="00EB05D0"/>
    <w:rsid w:val="00EB1151"/>
    <w:rsid w:val="00EB1D49"/>
    <w:rsid w:val="00EB23D9"/>
    <w:rsid w:val="00EB39A0"/>
    <w:rsid w:val="00EB559F"/>
    <w:rsid w:val="00EB566C"/>
    <w:rsid w:val="00EB5F3D"/>
    <w:rsid w:val="00EC1CEB"/>
    <w:rsid w:val="00EC1DC0"/>
    <w:rsid w:val="00EC1DC2"/>
    <w:rsid w:val="00EC21EC"/>
    <w:rsid w:val="00EC24B8"/>
    <w:rsid w:val="00EC268C"/>
    <w:rsid w:val="00EC3753"/>
    <w:rsid w:val="00EC4CE9"/>
    <w:rsid w:val="00EC4E71"/>
    <w:rsid w:val="00EC5F1C"/>
    <w:rsid w:val="00ED0365"/>
    <w:rsid w:val="00ED0865"/>
    <w:rsid w:val="00ED1C60"/>
    <w:rsid w:val="00ED2EB9"/>
    <w:rsid w:val="00ED3A31"/>
    <w:rsid w:val="00ED4469"/>
    <w:rsid w:val="00ED5F23"/>
    <w:rsid w:val="00ED6DC0"/>
    <w:rsid w:val="00ED7A7A"/>
    <w:rsid w:val="00EE0327"/>
    <w:rsid w:val="00EE038C"/>
    <w:rsid w:val="00EE28C5"/>
    <w:rsid w:val="00EE2F09"/>
    <w:rsid w:val="00EE47C5"/>
    <w:rsid w:val="00EE490C"/>
    <w:rsid w:val="00EE4E57"/>
    <w:rsid w:val="00EE5738"/>
    <w:rsid w:val="00EE58BD"/>
    <w:rsid w:val="00EE5E59"/>
    <w:rsid w:val="00EE73D0"/>
    <w:rsid w:val="00EE7CB0"/>
    <w:rsid w:val="00EF08A8"/>
    <w:rsid w:val="00EF167B"/>
    <w:rsid w:val="00EF39B2"/>
    <w:rsid w:val="00EF41A8"/>
    <w:rsid w:val="00EF44FB"/>
    <w:rsid w:val="00EF5122"/>
    <w:rsid w:val="00EF5554"/>
    <w:rsid w:val="00EF5AD8"/>
    <w:rsid w:val="00EF6B90"/>
    <w:rsid w:val="00EF7807"/>
    <w:rsid w:val="00EF79F7"/>
    <w:rsid w:val="00F006C0"/>
    <w:rsid w:val="00F0125F"/>
    <w:rsid w:val="00F019AA"/>
    <w:rsid w:val="00F0267E"/>
    <w:rsid w:val="00F02686"/>
    <w:rsid w:val="00F030C0"/>
    <w:rsid w:val="00F03291"/>
    <w:rsid w:val="00F0459B"/>
    <w:rsid w:val="00F04E15"/>
    <w:rsid w:val="00F05DF3"/>
    <w:rsid w:val="00F069EA"/>
    <w:rsid w:val="00F070E5"/>
    <w:rsid w:val="00F07DDE"/>
    <w:rsid w:val="00F11675"/>
    <w:rsid w:val="00F12557"/>
    <w:rsid w:val="00F13599"/>
    <w:rsid w:val="00F13B28"/>
    <w:rsid w:val="00F156A0"/>
    <w:rsid w:val="00F15730"/>
    <w:rsid w:val="00F202C2"/>
    <w:rsid w:val="00F212F6"/>
    <w:rsid w:val="00F2134A"/>
    <w:rsid w:val="00F22756"/>
    <w:rsid w:val="00F23890"/>
    <w:rsid w:val="00F2504D"/>
    <w:rsid w:val="00F2637F"/>
    <w:rsid w:val="00F268F7"/>
    <w:rsid w:val="00F30B83"/>
    <w:rsid w:val="00F30BDB"/>
    <w:rsid w:val="00F30CF8"/>
    <w:rsid w:val="00F31EDF"/>
    <w:rsid w:val="00F32CDE"/>
    <w:rsid w:val="00F32D4C"/>
    <w:rsid w:val="00F3327E"/>
    <w:rsid w:val="00F338C3"/>
    <w:rsid w:val="00F34B14"/>
    <w:rsid w:val="00F34F58"/>
    <w:rsid w:val="00F35703"/>
    <w:rsid w:val="00F35DA7"/>
    <w:rsid w:val="00F36A6A"/>
    <w:rsid w:val="00F40101"/>
    <w:rsid w:val="00F404F7"/>
    <w:rsid w:val="00F40CCA"/>
    <w:rsid w:val="00F42D97"/>
    <w:rsid w:val="00F436B2"/>
    <w:rsid w:val="00F43813"/>
    <w:rsid w:val="00F43FEE"/>
    <w:rsid w:val="00F45A72"/>
    <w:rsid w:val="00F46723"/>
    <w:rsid w:val="00F4706D"/>
    <w:rsid w:val="00F476E1"/>
    <w:rsid w:val="00F47D1D"/>
    <w:rsid w:val="00F47F29"/>
    <w:rsid w:val="00F50016"/>
    <w:rsid w:val="00F5118A"/>
    <w:rsid w:val="00F51A21"/>
    <w:rsid w:val="00F52614"/>
    <w:rsid w:val="00F5276E"/>
    <w:rsid w:val="00F52E9F"/>
    <w:rsid w:val="00F53304"/>
    <w:rsid w:val="00F53B81"/>
    <w:rsid w:val="00F540FE"/>
    <w:rsid w:val="00F556FF"/>
    <w:rsid w:val="00F55D12"/>
    <w:rsid w:val="00F560CF"/>
    <w:rsid w:val="00F5687F"/>
    <w:rsid w:val="00F575C7"/>
    <w:rsid w:val="00F57FD0"/>
    <w:rsid w:val="00F60305"/>
    <w:rsid w:val="00F61B12"/>
    <w:rsid w:val="00F63264"/>
    <w:rsid w:val="00F634E4"/>
    <w:rsid w:val="00F6379E"/>
    <w:rsid w:val="00F65171"/>
    <w:rsid w:val="00F6560D"/>
    <w:rsid w:val="00F67844"/>
    <w:rsid w:val="00F70799"/>
    <w:rsid w:val="00F70A8B"/>
    <w:rsid w:val="00F70B8D"/>
    <w:rsid w:val="00F724FB"/>
    <w:rsid w:val="00F726B8"/>
    <w:rsid w:val="00F72A26"/>
    <w:rsid w:val="00F733C3"/>
    <w:rsid w:val="00F746A1"/>
    <w:rsid w:val="00F756DD"/>
    <w:rsid w:val="00F77F4E"/>
    <w:rsid w:val="00F80047"/>
    <w:rsid w:val="00F800C7"/>
    <w:rsid w:val="00F804B2"/>
    <w:rsid w:val="00F8104D"/>
    <w:rsid w:val="00F81587"/>
    <w:rsid w:val="00F81A5A"/>
    <w:rsid w:val="00F8288F"/>
    <w:rsid w:val="00F84802"/>
    <w:rsid w:val="00F85B72"/>
    <w:rsid w:val="00F86540"/>
    <w:rsid w:val="00F865CE"/>
    <w:rsid w:val="00F8766F"/>
    <w:rsid w:val="00F91082"/>
    <w:rsid w:val="00F91160"/>
    <w:rsid w:val="00F9116D"/>
    <w:rsid w:val="00F91A9A"/>
    <w:rsid w:val="00F923CD"/>
    <w:rsid w:val="00F93ABB"/>
    <w:rsid w:val="00F946B3"/>
    <w:rsid w:val="00F94D79"/>
    <w:rsid w:val="00F9658C"/>
    <w:rsid w:val="00F97A7F"/>
    <w:rsid w:val="00FA0889"/>
    <w:rsid w:val="00FA16E7"/>
    <w:rsid w:val="00FA31C7"/>
    <w:rsid w:val="00FA472D"/>
    <w:rsid w:val="00FA4B4F"/>
    <w:rsid w:val="00FB0CBF"/>
    <w:rsid w:val="00FB18F6"/>
    <w:rsid w:val="00FB2A52"/>
    <w:rsid w:val="00FB3F92"/>
    <w:rsid w:val="00FB52C7"/>
    <w:rsid w:val="00FB57DC"/>
    <w:rsid w:val="00FB6E19"/>
    <w:rsid w:val="00FB71F6"/>
    <w:rsid w:val="00FC0AF8"/>
    <w:rsid w:val="00FC1483"/>
    <w:rsid w:val="00FC1C47"/>
    <w:rsid w:val="00FC3102"/>
    <w:rsid w:val="00FC39ED"/>
    <w:rsid w:val="00FC4419"/>
    <w:rsid w:val="00FC47E2"/>
    <w:rsid w:val="00FC4AA5"/>
    <w:rsid w:val="00FC4B88"/>
    <w:rsid w:val="00FC4BB8"/>
    <w:rsid w:val="00FC5148"/>
    <w:rsid w:val="00FC6524"/>
    <w:rsid w:val="00FC75AC"/>
    <w:rsid w:val="00FD01BF"/>
    <w:rsid w:val="00FD0525"/>
    <w:rsid w:val="00FD0AB7"/>
    <w:rsid w:val="00FD297D"/>
    <w:rsid w:val="00FD2D13"/>
    <w:rsid w:val="00FD374D"/>
    <w:rsid w:val="00FD6071"/>
    <w:rsid w:val="00FD633B"/>
    <w:rsid w:val="00FE0794"/>
    <w:rsid w:val="00FE1041"/>
    <w:rsid w:val="00FE24CB"/>
    <w:rsid w:val="00FE323F"/>
    <w:rsid w:val="00FE3473"/>
    <w:rsid w:val="00FE4049"/>
    <w:rsid w:val="00FE4794"/>
    <w:rsid w:val="00FE480F"/>
    <w:rsid w:val="00FE4998"/>
    <w:rsid w:val="00FE54F3"/>
    <w:rsid w:val="00FE57DE"/>
    <w:rsid w:val="00FE7A68"/>
    <w:rsid w:val="00FF0231"/>
    <w:rsid w:val="00FF1C9B"/>
    <w:rsid w:val="00FF1D49"/>
    <w:rsid w:val="00FF203B"/>
    <w:rsid w:val="00FF2562"/>
    <w:rsid w:val="00FF3A41"/>
    <w:rsid w:val="00FF3E5B"/>
    <w:rsid w:val="00FF57E4"/>
    <w:rsid w:val="00FF5AF1"/>
    <w:rsid w:val="00FF6739"/>
    <w:rsid w:val="00FF78E5"/>
    <w:rsid w:val="0138198F"/>
    <w:rsid w:val="017A71AE"/>
    <w:rsid w:val="017E5995"/>
    <w:rsid w:val="018F7EF8"/>
    <w:rsid w:val="019E2D54"/>
    <w:rsid w:val="01AF3D99"/>
    <w:rsid w:val="01CD2789"/>
    <w:rsid w:val="01CD29A4"/>
    <w:rsid w:val="01D45980"/>
    <w:rsid w:val="01D91F20"/>
    <w:rsid w:val="024302DC"/>
    <w:rsid w:val="02511F9D"/>
    <w:rsid w:val="028975AE"/>
    <w:rsid w:val="03893022"/>
    <w:rsid w:val="03A314B8"/>
    <w:rsid w:val="03AF6EB8"/>
    <w:rsid w:val="03B27326"/>
    <w:rsid w:val="03CA6FDA"/>
    <w:rsid w:val="03D50A0C"/>
    <w:rsid w:val="03D82B98"/>
    <w:rsid w:val="03F83E8B"/>
    <w:rsid w:val="042F43EE"/>
    <w:rsid w:val="04480275"/>
    <w:rsid w:val="0450404A"/>
    <w:rsid w:val="04553127"/>
    <w:rsid w:val="04A3672E"/>
    <w:rsid w:val="04C0677C"/>
    <w:rsid w:val="04CE071B"/>
    <w:rsid w:val="04F84E7D"/>
    <w:rsid w:val="05181F39"/>
    <w:rsid w:val="0593076C"/>
    <w:rsid w:val="05C56868"/>
    <w:rsid w:val="0615735D"/>
    <w:rsid w:val="06244E23"/>
    <w:rsid w:val="0658588B"/>
    <w:rsid w:val="06936FD0"/>
    <w:rsid w:val="069468BC"/>
    <w:rsid w:val="075C647D"/>
    <w:rsid w:val="07703AF0"/>
    <w:rsid w:val="07721C6F"/>
    <w:rsid w:val="07B72767"/>
    <w:rsid w:val="07C03D8D"/>
    <w:rsid w:val="07CA52AE"/>
    <w:rsid w:val="07D92A0D"/>
    <w:rsid w:val="08077E72"/>
    <w:rsid w:val="0830410D"/>
    <w:rsid w:val="085426EE"/>
    <w:rsid w:val="086A0EAC"/>
    <w:rsid w:val="08882DD0"/>
    <w:rsid w:val="08CF4179"/>
    <w:rsid w:val="09691E4B"/>
    <w:rsid w:val="097062B1"/>
    <w:rsid w:val="09735318"/>
    <w:rsid w:val="09BC2609"/>
    <w:rsid w:val="09CC2AAC"/>
    <w:rsid w:val="09DF3020"/>
    <w:rsid w:val="09F95804"/>
    <w:rsid w:val="0A195DC5"/>
    <w:rsid w:val="0A217E50"/>
    <w:rsid w:val="0A631F5D"/>
    <w:rsid w:val="0A652D3E"/>
    <w:rsid w:val="0A7456FB"/>
    <w:rsid w:val="0AB72C74"/>
    <w:rsid w:val="0AB731E2"/>
    <w:rsid w:val="0B176B7F"/>
    <w:rsid w:val="0B326F2A"/>
    <w:rsid w:val="0B926361"/>
    <w:rsid w:val="0BA94EBF"/>
    <w:rsid w:val="0C1E2888"/>
    <w:rsid w:val="0C663114"/>
    <w:rsid w:val="0C6C6CF2"/>
    <w:rsid w:val="0C8B1716"/>
    <w:rsid w:val="0C92213C"/>
    <w:rsid w:val="0C9A2B3C"/>
    <w:rsid w:val="0C9D4ECA"/>
    <w:rsid w:val="0CA174B2"/>
    <w:rsid w:val="0D1317ED"/>
    <w:rsid w:val="0D267BAE"/>
    <w:rsid w:val="0D596A0A"/>
    <w:rsid w:val="0D84032B"/>
    <w:rsid w:val="0D8900E3"/>
    <w:rsid w:val="0D8F5A3B"/>
    <w:rsid w:val="0DEB39CE"/>
    <w:rsid w:val="0E3344EB"/>
    <w:rsid w:val="0E737B10"/>
    <w:rsid w:val="0E8E4C1D"/>
    <w:rsid w:val="0E9C6D49"/>
    <w:rsid w:val="0F2A74C4"/>
    <w:rsid w:val="0F351AD3"/>
    <w:rsid w:val="101C0D44"/>
    <w:rsid w:val="10A27F31"/>
    <w:rsid w:val="10D86529"/>
    <w:rsid w:val="115A5438"/>
    <w:rsid w:val="11927058"/>
    <w:rsid w:val="119753F2"/>
    <w:rsid w:val="11A6451C"/>
    <w:rsid w:val="11B62585"/>
    <w:rsid w:val="11C65BED"/>
    <w:rsid w:val="125E3DF4"/>
    <w:rsid w:val="12A036A4"/>
    <w:rsid w:val="12FB0479"/>
    <w:rsid w:val="13924D25"/>
    <w:rsid w:val="139B26F3"/>
    <w:rsid w:val="139B5C05"/>
    <w:rsid w:val="13AF4F03"/>
    <w:rsid w:val="142D2812"/>
    <w:rsid w:val="147163FD"/>
    <w:rsid w:val="14736E66"/>
    <w:rsid w:val="147F458F"/>
    <w:rsid w:val="14B06F9F"/>
    <w:rsid w:val="14E8498B"/>
    <w:rsid w:val="151436D5"/>
    <w:rsid w:val="151F179F"/>
    <w:rsid w:val="1534169A"/>
    <w:rsid w:val="15A9419A"/>
    <w:rsid w:val="15AA7228"/>
    <w:rsid w:val="15C03E03"/>
    <w:rsid w:val="15E402C0"/>
    <w:rsid w:val="161776B5"/>
    <w:rsid w:val="162A25EB"/>
    <w:rsid w:val="162B6ECF"/>
    <w:rsid w:val="163D1F20"/>
    <w:rsid w:val="16584C66"/>
    <w:rsid w:val="16640FCC"/>
    <w:rsid w:val="166A7410"/>
    <w:rsid w:val="167825AB"/>
    <w:rsid w:val="16AF0125"/>
    <w:rsid w:val="16D61AFF"/>
    <w:rsid w:val="16DE2C9D"/>
    <w:rsid w:val="16E00168"/>
    <w:rsid w:val="16F05627"/>
    <w:rsid w:val="16FD2A55"/>
    <w:rsid w:val="17067C1A"/>
    <w:rsid w:val="17076CE5"/>
    <w:rsid w:val="17366761"/>
    <w:rsid w:val="17725E03"/>
    <w:rsid w:val="177C01F0"/>
    <w:rsid w:val="17A82A05"/>
    <w:rsid w:val="17AF06CF"/>
    <w:rsid w:val="17CE6630"/>
    <w:rsid w:val="182F050C"/>
    <w:rsid w:val="18464CD2"/>
    <w:rsid w:val="184D592B"/>
    <w:rsid w:val="185334D4"/>
    <w:rsid w:val="18AA37E6"/>
    <w:rsid w:val="18C464E2"/>
    <w:rsid w:val="18CD4695"/>
    <w:rsid w:val="18E174E4"/>
    <w:rsid w:val="18E5204B"/>
    <w:rsid w:val="18ED6C20"/>
    <w:rsid w:val="18F266D1"/>
    <w:rsid w:val="18F27770"/>
    <w:rsid w:val="19355557"/>
    <w:rsid w:val="19B64958"/>
    <w:rsid w:val="1A0D0A45"/>
    <w:rsid w:val="1A605BF7"/>
    <w:rsid w:val="1A6522AE"/>
    <w:rsid w:val="1A6F32DD"/>
    <w:rsid w:val="1A762B2D"/>
    <w:rsid w:val="1A781D39"/>
    <w:rsid w:val="1AA26807"/>
    <w:rsid w:val="1AD03EF7"/>
    <w:rsid w:val="1AD73BD4"/>
    <w:rsid w:val="1AE41201"/>
    <w:rsid w:val="1AFF0AFE"/>
    <w:rsid w:val="1B4F19F8"/>
    <w:rsid w:val="1B7F617E"/>
    <w:rsid w:val="1BF04841"/>
    <w:rsid w:val="1C014B20"/>
    <w:rsid w:val="1C19367C"/>
    <w:rsid w:val="1C3E685E"/>
    <w:rsid w:val="1C6E5E68"/>
    <w:rsid w:val="1C757FFC"/>
    <w:rsid w:val="1CB9135A"/>
    <w:rsid w:val="1D7466DC"/>
    <w:rsid w:val="1D86370F"/>
    <w:rsid w:val="1D8D1E98"/>
    <w:rsid w:val="1E3A6289"/>
    <w:rsid w:val="1E4E2AE5"/>
    <w:rsid w:val="1EC60DAD"/>
    <w:rsid w:val="1ECC44FA"/>
    <w:rsid w:val="1ED13EF3"/>
    <w:rsid w:val="1ED6751F"/>
    <w:rsid w:val="1EE5130A"/>
    <w:rsid w:val="1EE726EE"/>
    <w:rsid w:val="1EFE69AB"/>
    <w:rsid w:val="1F063325"/>
    <w:rsid w:val="1F2D14A9"/>
    <w:rsid w:val="1F396EFF"/>
    <w:rsid w:val="1F43038C"/>
    <w:rsid w:val="1F4370A6"/>
    <w:rsid w:val="1FBC5DF5"/>
    <w:rsid w:val="1FD0341F"/>
    <w:rsid w:val="201C1225"/>
    <w:rsid w:val="201C6AC0"/>
    <w:rsid w:val="20766556"/>
    <w:rsid w:val="208041DD"/>
    <w:rsid w:val="20C3623F"/>
    <w:rsid w:val="210C5756"/>
    <w:rsid w:val="21512705"/>
    <w:rsid w:val="215E49C8"/>
    <w:rsid w:val="21781212"/>
    <w:rsid w:val="217B2CF9"/>
    <w:rsid w:val="21A65F45"/>
    <w:rsid w:val="21B83F86"/>
    <w:rsid w:val="221178A8"/>
    <w:rsid w:val="221213CF"/>
    <w:rsid w:val="22327A92"/>
    <w:rsid w:val="227243FA"/>
    <w:rsid w:val="22BA62D7"/>
    <w:rsid w:val="22BE79A3"/>
    <w:rsid w:val="231415A5"/>
    <w:rsid w:val="231D53A2"/>
    <w:rsid w:val="23492034"/>
    <w:rsid w:val="2360291A"/>
    <w:rsid w:val="236D5383"/>
    <w:rsid w:val="23836B6B"/>
    <w:rsid w:val="239E3746"/>
    <w:rsid w:val="23B7504C"/>
    <w:rsid w:val="23F55305"/>
    <w:rsid w:val="2435188D"/>
    <w:rsid w:val="2444568C"/>
    <w:rsid w:val="244A4D1A"/>
    <w:rsid w:val="244E6F10"/>
    <w:rsid w:val="24571307"/>
    <w:rsid w:val="24B836CF"/>
    <w:rsid w:val="25110A2A"/>
    <w:rsid w:val="256C0944"/>
    <w:rsid w:val="25756724"/>
    <w:rsid w:val="25BD16C8"/>
    <w:rsid w:val="26446DE3"/>
    <w:rsid w:val="269669E7"/>
    <w:rsid w:val="26D7699F"/>
    <w:rsid w:val="2700624D"/>
    <w:rsid w:val="275F70DD"/>
    <w:rsid w:val="278D2E02"/>
    <w:rsid w:val="278E2078"/>
    <w:rsid w:val="27A03AE4"/>
    <w:rsid w:val="27C15CA5"/>
    <w:rsid w:val="27C83903"/>
    <w:rsid w:val="27FB5266"/>
    <w:rsid w:val="282565A2"/>
    <w:rsid w:val="285459BF"/>
    <w:rsid w:val="28CD5A1E"/>
    <w:rsid w:val="29161CBC"/>
    <w:rsid w:val="292856DE"/>
    <w:rsid w:val="2936586D"/>
    <w:rsid w:val="298C78AB"/>
    <w:rsid w:val="2A0241C9"/>
    <w:rsid w:val="2A421663"/>
    <w:rsid w:val="2A461ACE"/>
    <w:rsid w:val="2B4A5AF5"/>
    <w:rsid w:val="2B774624"/>
    <w:rsid w:val="2B925891"/>
    <w:rsid w:val="2BA662DD"/>
    <w:rsid w:val="2BAE56F2"/>
    <w:rsid w:val="2BCD3115"/>
    <w:rsid w:val="2BCE7CB5"/>
    <w:rsid w:val="2BDF7923"/>
    <w:rsid w:val="2C2B66A2"/>
    <w:rsid w:val="2C6372AB"/>
    <w:rsid w:val="2C7065B0"/>
    <w:rsid w:val="2C7A72BE"/>
    <w:rsid w:val="2C9A7D75"/>
    <w:rsid w:val="2CC230BB"/>
    <w:rsid w:val="2D0213D9"/>
    <w:rsid w:val="2D3C0B18"/>
    <w:rsid w:val="2D67693D"/>
    <w:rsid w:val="2D8A2232"/>
    <w:rsid w:val="2D8C1945"/>
    <w:rsid w:val="2DB534C1"/>
    <w:rsid w:val="2DC4048B"/>
    <w:rsid w:val="2DF5773F"/>
    <w:rsid w:val="2E531569"/>
    <w:rsid w:val="2E60297C"/>
    <w:rsid w:val="2E8D0089"/>
    <w:rsid w:val="2E9976CE"/>
    <w:rsid w:val="2E9D2D1A"/>
    <w:rsid w:val="2EF108B8"/>
    <w:rsid w:val="2F0C3F6A"/>
    <w:rsid w:val="2F401D3C"/>
    <w:rsid w:val="2F5B24E1"/>
    <w:rsid w:val="2FA95C88"/>
    <w:rsid w:val="2FB4463B"/>
    <w:rsid w:val="2FB63EEE"/>
    <w:rsid w:val="30095DFF"/>
    <w:rsid w:val="3041370F"/>
    <w:rsid w:val="30446547"/>
    <w:rsid w:val="305E5BB7"/>
    <w:rsid w:val="306F3F05"/>
    <w:rsid w:val="30A302FB"/>
    <w:rsid w:val="30F249B4"/>
    <w:rsid w:val="312B50A3"/>
    <w:rsid w:val="31440F69"/>
    <w:rsid w:val="316227F8"/>
    <w:rsid w:val="316C20AF"/>
    <w:rsid w:val="316C2A87"/>
    <w:rsid w:val="31810D3B"/>
    <w:rsid w:val="31F317B4"/>
    <w:rsid w:val="31F360CC"/>
    <w:rsid w:val="320B72D5"/>
    <w:rsid w:val="32134AB8"/>
    <w:rsid w:val="32453A27"/>
    <w:rsid w:val="3263064A"/>
    <w:rsid w:val="3268664E"/>
    <w:rsid w:val="32714337"/>
    <w:rsid w:val="328672F4"/>
    <w:rsid w:val="32A43132"/>
    <w:rsid w:val="32AC0C06"/>
    <w:rsid w:val="330548B9"/>
    <w:rsid w:val="33344EF5"/>
    <w:rsid w:val="334D73EC"/>
    <w:rsid w:val="335B1B95"/>
    <w:rsid w:val="33AD0E22"/>
    <w:rsid w:val="34423301"/>
    <w:rsid w:val="347824A4"/>
    <w:rsid w:val="349B3370"/>
    <w:rsid w:val="34B365FD"/>
    <w:rsid w:val="34EC0469"/>
    <w:rsid w:val="351146C5"/>
    <w:rsid w:val="3537750C"/>
    <w:rsid w:val="3537798C"/>
    <w:rsid w:val="354016EB"/>
    <w:rsid w:val="35450A65"/>
    <w:rsid w:val="35544780"/>
    <w:rsid w:val="35636F94"/>
    <w:rsid w:val="35C13FC9"/>
    <w:rsid w:val="35E33494"/>
    <w:rsid w:val="35F83CAF"/>
    <w:rsid w:val="360C4AC7"/>
    <w:rsid w:val="364257B6"/>
    <w:rsid w:val="364D6DB7"/>
    <w:rsid w:val="366C1FFA"/>
    <w:rsid w:val="36B23480"/>
    <w:rsid w:val="36C86864"/>
    <w:rsid w:val="36D52FE3"/>
    <w:rsid w:val="36D94CEF"/>
    <w:rsid w:val="36F0250C"/>
    <w:rsid w:val="37770307"/>
    <w:rsid w:val="37847BEA"/>
    <w:rsid w:val="37872686"/>
    <w:rsid w:val="379A3AB2"/>
    <w:rsid w:val="379A790F"/>
    <w:rsid w:val="37A252E8"/>
    <w:rsid w:val="37C75CF8"/>
    <w:rsid w:val="37E2299A"/>
    <w:rsid w:val="37EA5922"/>
    <w:rsid w:val="37EF4DE8"/>
    <w:rsid w:val="37F37953"/>
    <w:rsid w:val="38276B93"/>
    <w:rsid w:val="38370423"/>
    <w:rsid w:val="384A38BC"/>
    <w:rsid w:val="385B03E8"/>
    <w:rsid w:val="38AC3431"/>
    <w:rsid w:val="392F2E16"/>
    <w:rsid w:val="399C0AF0"/>
    <w:rsid w:val="39AD422C"/>
    <w:rsid w:val="39B165E5"/>
    <w:rsid w:val="39D51149"/>
    <w:rsid w:val="39E00529"/>
    <w:rsid w:val="39F629F5"/>
    <w:rsid w:val="3A0B64A7"/>
    <w:rsid w:val="3A407E04"/>
    <w:rsid w:val="3A574DDA"/>
    <w:rsid w:val="3A880C39"/>
    <w:rsid w:val="3A8B38DB"/>
    <w:rsid w:val="3A924CCA"/>
    <w:rsid w:val="3AC151B3"/>
    <w:rsid w:val="3ACA7A7E"/>
    <w:rsid w:val="3AD3075A"/>
    <w:rsid w:val="3AE56BEF"/>
    <w:rsid w:val="3AF04325"/>
    <w:rsid w:val="3AF74C02"/>
    <w:rsid w:val="3B1A44F1"/>
    <w:rsid w:val="3B5162EB"/>
    <w:rsid w:val="3B694AC0"/>
    <w:rsid w:val="3BB94107"/>
    <w:rsid w:val="3BC57F85"/>
    <w:rsid w:val="3C0059A5"/>
    <w:rsid w:val="3C134E78"/>
    <w:rsid w:val="3C4B51A2"/>
    <w:rsid w:val="3C76321A"/>
    <w:rsid w:val="3C9A7061"/>
    <w:rsid w:val="3CC93136"/>
    <w:rsid w:val="3CE47C7E"/>
    <w:rsid w:val="3CE7140F"/>
    <w:rsid w:val="3CE75497"/>
    <w:rsid w:val="3D474EF0"/>
    <w:rsid w:val="3D534E0B"/>
    <w:rsid w:val="3D715FC1"/>
    <w:rsid w:val="3D915182"/>
    <w:rsid w:val="3D9D31FA"/>
    <w:rsid w:val="3DA52491"/>
    <w:rsid w:val="3DD85519"/>
    <w:rsid w:val="3DF6345D"/>
    <w:rsid w:val="3E353700"/>
    <w:rsid w:val="3E443562"/>
    <w:rsid w:val="3E443E21"/>
    <w:rsid w:val="3E4D4F28"/>
    <w:rsid w:val="3E9C4F94"/>
    <w:rsid w:val="3EE13701"/>
    <w:rsid w:val="3F181876"/>
    <w:rsid w:val="3F1A4BB3"/>
    <w:rsid w:val="3F487C50"/>
    <w:rsid w:val="3F6F1681"/>
    <w:rsid w:val="3F7B482B"/>
    <w:rsid w:val="3FCB0C91"/>
    <w:rsid w:val="3FF65168"/>
    <w:rsid w:val="40192BA6"/>
    <w:rsid w:val="405F7654"/>
    <w:rsid w:val="408A253D"/>
    <w:rsid w:val="408C47FB"/>
    <w:rsid w:val="40A12481"/>
    <w:rsid w:val="40E55862"/>
    <w:rsid w:val="4166744F"/>
    <w:rsid w:val="418A03D9"/>
    <w:rsid w:val="41C250E4"/>
    <w:rsid w:val="41D674D0"/>
    <w:rsid w:val="41EA2B79"/>
    <w:rsid w:val="41EC7F36"/>
    <w:rsid w:val="41F37156"/>
    <w:rsid w:val="42277524"/>
    <w:rsid w:val="42550A18"/>
    <w:rsid w:val="427D1562"/>
    <w:rsid w:val="429C2538"/>
    <w:rsid w:val="429D496A"/>
    <w:rsid w:val="42E47029"/>
    <w:rsid w:val="42EC6F95"/>
    <w:rsid w:val="42F473A1"/>
    <w:rsid w:val="430648D3"/>
    <w:rsid w:val="431B58D8"/>
    <w:rsid w:val="432301A2"/>
    <w:rsid w:val="43647E25"/>
    <w:rsid w:val="438C2802"/>
    <w:rsid w:val="43BF6237"/>
    <w:rsid w:val="43F319E1"/>
    <w:rsid w:val="441E62C0"/>
    <w:rsid w:val="442356A7"/>
    <w:rsid w:val="448D4C02"/>
    <w:rsid w:val="44962799"/>
    <w:rsid w:val="44BF364A"/>
    <w:rsid w:val="44E00644"/>
    <w:rsid w:val="45213E9F"/>
    <w:rsid w:val="45325D14"/>
    <w:rsid w:val="455306D9"/>
    <w:rsid w:val="45811C7C"/>
    <w:rsid w:val="458854C3"/>
    <w:rsid w:val="45C55D52"/>
    <w:rsid w:val="4638615B"/>
    <w:rsid w:val="468B3EFB"/>
    <w:rsid w:val="468E58AD"/>
    <w:rsid w:val="46907973"/>
    <w:rsid w:val="46D274F1"/>
    <w:rsid w:val="46DF533E"/>
    <w:rsid w:val="470A6193"/>
    <w:rsid w:val="47385210"/>
    <w:rsid w:val="473A05EB"/>
    <w:rsid w:val="473C7485"/>
    <w:rsid w:val="47D0308C"/>
    <w:rsid w:val="47DC4F5C"/>
    <w:rsid w:val="47F62F14"/>
    <w:rsid w:val="48057376"/>
    <w:rsid w:val="48947100"/>
    <w:rsid w:val="48B40671"/>
    <w:rsid w:val="49012270"/>
    <w:rsid w:val="49541BB7"/>
    <w:rsid w:val="49830203"/>
    <w:rsid w:val="499B5738"/>
    <w:rsid w:val="499E328F"/>
    <w:rsid w:val="499F244D"/>
    <w:rsid w:val="49BF4DEA"/>
    <w:rsid w:val="49DA6560"/>
    <w:rsid w:val="49F42EAF"/>
    <w:rsid w:val="4A007E14"/>
    <w:rsid w:val="4A544357"/>
    <w:rsid w:val="4A973F3F"/>
    <w:rsid w:val="4AD04FB9"/>
    <w:rsid w:val="4AF96BC7"/>
    <w:rsid w:val="4B2577B7"/>
    <w:rsid w:val="4B4160FF"/>
    <w:rsid w:val="4B862A85"/>
    <w:rsid w:val="4BCF4E7F"/>
    <w:rsid w:val="4BE51DAA"/>
    <w:rsid w:val="4BF548F5"/>
    <w:rsid w:val="4C2E22A6"/>
    <w:rsid w:val="4C453D83"/>
    <w:rsid w:val="4CAA04BA"/>
    <w:rsid w:val="4CB80598"/>
    <w:rsid w:val="4CC216AD"/>
    <w:rsid w:val="4CEF36E2"/>
    <w:rsid w:val="4CEF3FE9"/>
    <w:rsid w:val="4CEF4DC5"/>
    <w:rsid w:val="4D210555"/>
    <w:rsid w:val="4D3976A9"/>
    <w:rsid w:val="4DAE73A6"/>
    <w:rsid w:val="4E011E35"/>
    <w:rsid w:val="4E257655"/>
    <w:rsid w:val="4E44194E"/>
    <w:rsid w:val="4E88341A"/>
    <w:rsid w:val="4ED54E62"/>
    <w:rsid w:val="4F095248"/>
    <w:rsid w:val="4F372380"/>
    <w:rsid w:val="4F372FFB"/>
    <w:rsid w:val="4F7A197D"/>
    <w:rsid w:val="4F8A7C3F"/>
    <w:rsid w:val="4FFC020D"/>
    <w:rsid w:val="5064466C"/>
    <w:rsid w:val="50735AF6"/>
    <w:rsid w:val="50A86B61"/>
    <w:rsid w:val="50B72674"/>
    <w:rsid w:val="50C6158C"/>
    <w:rsid w:val="510B2BA9"/>
    <w:rsid w:val="513721FC"/>
    <w:rsid w:val="516D090A"/>
    <w:rsid w:val="518F5F2E"/>
    <w:rsid w:val="51B7743C"/>
    <w:rsid w:val="51C71D18"/>
    <w:rsid w:val="51E80643"/>
    <w:rsid w:val="51ED151D"/>
    <w:rsid w:val="523862CF"/>
    <w:rsid w:val="5239401E"/>
    <w:rsid w:val="52395ECD"/>
    <w:rsid w:val="5275657F"/>
    <w:rsid w:val="52C10D75"/>
    <w:rsid w:val="530F700F"/>
    <w:rsid w:val="531911A9"/>
    <w:rsid w:val="53C27FF8"/>
    <w:rsid w:val="53F536B4"/>
    <w:rsid w:val="53FC7D96"/>
    <w:rsid w:val="54107651"/>
    <w:rsid w:val="5423205A"/>
    <w:rsid w:val="546140E7"/>
    <w:rsid w:val="546D4C35"/>
    <w:rsid w:val="549E1A80"/>
    <w:rsid w:val="54A533F9"/>
    <w:rsid w:val="54C658F4"/>
    <w:rsid w:val="54EB7772"/>
    <w:rsid w:val="54ED2B26"/>
    <w:rsid w:val="550C4BD7"/>
    <w:rsid w:val="553C1D7E"/>
    <w:rsid w:val="554C1D56"/>
    <w:rsid w:val="55572986"/>
    <w:rsid w:val="5611758B"/>
    <w:rsid w:val="563A4971"/>
    <w:rsid w:val="565340FA"/>
    <w:rsid w:val="56AC540B"/>
    <w:rsid w:val="5707553F"/>
    <w:rsid w:val="571B5116"/>
    <w:rsid w:val="57871776"/>
    <w:rsid w:val="581B39AE"/>
    <w:rsid w:val="584A4896"/>
    <w:rsid w:val="586F4122"/>
    <w:rsid w:val="58C03568"/>
    <w:rsid w:val="58D9194D"/>
    <w:rsid w:val="58DB598B"/>
    <w:rsid w:val="58DE34F7"/>
    <w:rsid w:val="591C35AB"/>
    <w:rsid w:val="592B7B1E"/>
    <w:rsid w:val="595C23C2"/>
    <w:rsid w:val="59A122E9"/>
    <w:rsid w:val="59A33FC7"/>
    <w:rsid w:val="59E36A51"/>
    <w:rsid w:val="59E67145"/>
    <w:rsid w:val="59ED455E"/>
    <w:rsid w:val="5A09410E"/>
    <w:rsid w:val="5A2F2CC8"/>
    <w:rsid w:val="5A343378"/>
    <w:rsid w:val="5A3E565B"/>
    <w:rsid w:val="5A6337B6"/>
    <w:rsid w:val="5A69369C"/>
    <w:rsid w:val="5A922067"/>
    <w:rsid w:val="5AA25FD4"/>
    <w:rsid w:val="5AB80632"/>
    <w:rsid w:val="5ADF0C60"/>
    <w:rsid w:val="5B0950C2"/>
    <w:rsid w:val="5B177B49"/>
    <w:rsid w:val="5B745E49"/>
    <w:rsid w:val="5B915FDD"/>
    <w:rsid w:val="5BE41941"/>
    <w:rsid w:val="5C016B7E"/>
    <w:rsid w:val="5C0A6081"/>
    <w:rsid w:val="5C10702D"/>
    <w:rsid w:val="5C152601"/>
    <w:rsid w:val="5C716764"/>
    <w:rsid w:val="5C7A790A"/>
    <w:rsid w:val="5C8A1B2F"/>
    <w:rsid w:val="5CA359D5"/>
    <w:rsid w:val="5CBD0464"/>
    <w:rsid w:val="5CBF1609"/>
    <w:rsid w:val="5CDA3D88"/>
    <w:rsid w:val="5CE0289D"/>
    <w:rsid w:val="5CF9113C"/>
    <w:rsid w:val="5D3120A8"/>
    <w:rsid w:val="5D360D0A"/>
    <w:rsid w:val="5D4C0618"/>
    <w:rsid w:val="5D7A4F01"/>
    <w:rsid w:val="5D984E7B"/>
    <w:rsid w:val="5DD11902"/>
    <w:rsid w:val="5E3D73EA"/>
    <w:rsid w:val="5E724AB7"/>
    <w:rsid w:val="5E8F07C4"/>
    <w:rsid w:val="5E8F267C"/>
    <w:rsid w:val="5EC008F2"/>
    <w:rsid w:val="5EE412EC"/>
    <w:rsid w:val="5F680EF3"/>
    <w:rsid w:val="5F715A55"/>
    <w:rsid w:val="5FDC3876"/>
    <w:rsid w:val="5FE84B9D"/>
    <w:rsid w:val="5FEB5188"/>
    <w:rsid w:val="600B6E9C"/>
    <w:rsid w:val="603A2131"/>
    <w:rsid w:val="60500FCB"/>
    <w:rsid w:val="606007BB"/>
    <w:rsid w:val="60641B7D"/>
    <w:rsid w:val="608C725E"/>
    <w:rsid w:val="6092251F"/>
    <w:rsid w:val="60A2201E"/>
    <w:rsid w:val="60AC7F66"/>
    <w:rsid w:val="612B6CCB"/>
    <w:rsid w:val="612C59A5"/>
    <w:rsid w:val="6146709C"/>
    <w:rsid w:val="61932B1D"/>
    <w:rsid w:val="61BF10D9"/>
    <w:rsid w:val="61CE1DDF"/>
    <w:rsid w:val="61F66F47"/>
    <w:rsid w:val="621032ED"/>
    <w:rsid w:val="62774F24"/>
    <w:rsid w:val="62861D79"/>
    <w:rsid w:val="62A83BBE"/>
    <w:rsid w:val="62AC22DC"/>
    <w:rsid w:val="62BF71FB"/>
    <w:rsid w:val="63155591"/>
    <w:rsid w:val="63202696"/>
    <w:rsid w:val="63626E21"/>
    <w:rsid w:val="63BD1DB1"/>
    <w:rsid w:val="64182F33"/>
    <w:rsid w:val="643D7FB7"/>
    <w:rsid w:val="64E45EF7"/>
    <w:rsid w:val="64E96B0C"/>
    <w:rsid w:val="64F63195"/>
    <w:rsid w:val="653A7EB8"/>
    <w:rsid w:val="65431C0B"/>
    <w:rsid w:val="65786BF4"/>
    <w:rsid w:val="65A221F8"/>
    <w:rsid w:val="65B320EB"/>
    <w:rsid w:val="65CA29C0"/>
    <w:rsid w:val="65F9293B"/>
    <w:rsid w:val="65FB1C7A"/>
    <w:rsid w:val="663F7E38"/>
    <w:rsid w:val="664F3941"/>
    <w:rsid w:val="66661DDE"/>
    <w:rsid w:val="6691014E"/>
    <w:rsid w:val="66FB36BF"/>
    <w:rsid w:val="66FC4319"/>
    <w:rsid w:val="672F6A72"/>
    <w:rsid w:val="67475525"/>
    <w:rsid w:val="677435B2"/>
    <w:rsid w:val="6779091D"/>
    <w:rsid w:val="67BF28F6"/>
    <w:rsid w:val="67C53777"/>
    <w:rsid w:val="67EF75F1"/>
    <w:rsid w:val="682C3FCE"/>
    <w:rsid w:val="6838670D"/>
    <w:rsid w:val="6847224D"/>
    <w:rsid w:val="684B1AA6"/>
    <w:rsid w:val="68510EAF"/>
    <w:rsid w:val="68E92842"/>
    <w:rsid w:val="69124F16"/>
    <w:rsid w:val="69404730"/>
    <w:rsid w:val="69586A88"/>
    <w:rsid w:val="69CD5C14"/>
    <w:rsid w:val="69CF0D33"/>
    <w:rsid w:val="69D027BF"/>
    <w:rsid w:val="6A320C28"/>
    <w:rsid w:val="6A373470"/>
    <w:rsid w:val="6A3D2E79"/>
    <w:rsid w:val="6A64525C"/>
    <w:rsid w:val="6A8F515D"/>
    <w:rsid w:val="6AF176B5"/>
    <w:rsid w:val="6B434A4A"/>
    <w:rsid w:val="6B68057F"/>
    <w:rsid w:val="6B98376F"/>
    <w:rsid w:val="6B9946B3"/>
    <w:rsid w:val="6BA54781"/>
    <w:rsid w:val="6BC17CE5"/>
    <w:rsid w:val="6BC363C7"/>
    <w:rsid w:val="6BD91F70"/>
    <w:rsid w:val="6BDE3191"/>
    <w:rsid w:val="6BF80E4A"/>
    <w:rsid w:val="6C2D335D"/>
    <w:rsid w:val="6C7007C7"/>
    <w:rsid w:val="6D7D2057"/>
    <w:rsid w:val="6DA0340C"/>
    <w:rsid w:val="6DB43E10"/>
    <w:rsid w:val="6DB849A8"/>
    <w:rsid w:val="6DDB7C48"/>
    <w:rsid w:val="6DDE1BFF"/>
    <w:rsid w:val="6DE76850"/>
    <w:rsid w:val="6E1360BF"/>
    <w:rsid w:val="6E5D06EC"/>
    <w:rsid w:val="6EB96E0A"/>
    <w:rsid w:val="6EC3399D"/>
    <w:rsid w:val="6ED22F0F"/>
    <w:rsid w:val="6EEC7267"/>
    <w:rsid w:val="6EF868DE"/>
    <w:rsid w:val="6F1239D1"/>
    <w:rsid w:val="6F135258"/>
    <w:rsid w:val="6F1D2BBB"/>
    <w:rsid w:val="6F263B0D"/>
    <w:rsid w:val="6F663C05"/>
    <w:rsid w:val="6F83485C"/>
    <w:rsid w:val="6F992D80"/>
    <w:rsid w:val="6FB20BD4"/>
    <w:rsid w:val="6FB60E13"/>
    <w:rsid w:val="6FBA59BE"/>
    <w:rsid w:val="700A0487"/>
    <w:rsid w:val="70296B3E"/>
    <w:rsid w:val="704769F8"/>
    <w:rsid w:val="704F0913"/>
    <w:rsid w:val="70611204"/>
    <w:rsid w:val="707046AC"/>
    <w:rsid w:val="707A6EEE"/>
    <w:rsid w:val="707B5963"/>
    <w:rsid w:val="70BC7007"/>
    <w:rsid w:val="70C13E5A"/>
    <w:rsid w:val="70E7148E"/>
    <w:rsid w:val="710F1745"/>
    <w:rsid w:val="7169365F"/>
    <w:rsid w:val="716A694D"/>
    <w:rsid w:val="719A1FBD"/>
    <w:rsid w:val="71B17292"/>
    <w:rsid w:val="71E46DC2"/>
    <w:rsid w:val="721639C9"/>
    <w:rsid w:val="723840DA"/>
    <w:rsid w:val="724E32AE"/>
    <w:rsid w:val="726C1EA2"/>
    <w:rsid w:val="72764D1C"/>
    <w:rsid w:val="72985CE5"/>
    <w:rsid w:val="72D22DC0"/>
    <w:rsid w:val="72EC05E6"/>
    <w:rsid w:val="72FD7CD8"/>
    <w:rsid w:val="72FE60C8"/>
    <w:rsid w:val="73087957"/>
    <w:rsid w:val="73743E89"/>
    <w:rsid w:val="73A81DFF"/>
    <w:rsid w:val="73C31078"/>
    <w:rsid w:val="742D16B9"/>
    <w:rsid w:val="743C5421"/>
    <w:rsid w:val="743D6695"/>
    <w:rsid w:val="74FA2C30"/>
    <w:rsid w:val="754D5C4B"/>
    <w:rsid w:val="7573103D"/>
    <w:rsid w:val="75D65C1F"/>
    <w:rsid w:val="760756CF"/>
    <w:rsid w:val="76C240A7"/>
    <w:rsid w:val="775246B7"/>
    <w:rsid w:val="776123FB"/>
    <w:rsid w:val="776913AD"/>
    <w:rsid w:val="77A67BEE"/>
    <w:rsid w:val="77C366C3"/>
    <w:rsid w:val="77DF67E5"/>
    <w:rsid w:val="781E69D1"/>
    <w:rsid w:val="7856776A"/>
    <w:rsid w:val="78755594"/>
    <w:rsid w:val="795C0362"/>
    <w:rsid w:val="796A4136"/>
    <w:rsid w:val="79734650"/>
    <w:rsid w:val="799D2601"/>
    <w:rsid w:val="7A263B6B"/>
    <w:rsid w:val="7A3E6F9D"/>
    <w:rsid w:val="7A96680E"/>
    <w:rsid w:val="7AA60FB5"/>
    <w:rsid w:val="7ABD42ED"/>
    <w:rsid w:val="7AE30DA5"/>
    <w:rsid w:val="7AF46346"/>
    <w:rsid w:val="7B0F5EBF"/>
    <w:rsid w:val="7B130FB9"/>
    <w:rsid w:val="7B247FC6"/>
    <w:rsid w:val="7B2B457B"/>
    <w:rsid w:val="7B407128"/>
    <w:rsid w:val="7BBA0ACE"/>
    <w:rsid w:val="7BE0544F"/>
    <w:rsid w:val="7BF00FC8"/>
    <w:rsid w:val="7BF64EDE"/>
    <w:rsid w:val="7C400C1E"/>
    <w:rsid w:val="7C603522"/>
    <w:rsid w:val="7C611D76"/>
    <w:rsid w:val="7C7542C2"/>
    <w:rsid w:val="7D4B77BF"/>
    <w:rsid w:val="7D8B3DB8"/>
    <w:rsid w:val="7DC96AB3"/>
    <w:rsid w:val="7DD11708"/>
    <w:rsid w:val="7DD85788"/>
    <w:rsid w:val="7DFA51EE"/>
    <w:rsid w:val="7E48288A"/>
    <w:rsid w:val="7E721F94"/>
    <w:rsid w:val="7EC167BD"/>
    <w:rsid w:val="7EE36060"/>
    <w:rsid w:val="7F272D9E"/>
    <w:rsid w:val="7F3651D1"/>
    <w:rsid w:val="7F432570"/>
    <w:rsid w:val="7F4B5BF2"/>
    <w:rsid w:val="7F971A1F"/>
    <w:rsid w:val="7FA12C69"/>
    <w:rsid w:val="7FB2433B"/>
    <w:rsid w:val="7FF32C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qFormat="1" w:unhideWhenUsed="0" w:uiPriority="0" w:semiHidden="0" w:name="index 9"/>
    <w:lsdException w:qFormat="1" w:uiPriority="0" w:semiHidden="0" w:name="toc 1"/>
    <w:lsdException w:qFormat="1"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uiPriority="99" w:name="footnote text"/>
    <w:lsdException w:qFormat="1" w:unhideWhenUsed="0" w:uiPriority="99" w:semiHidden="0" w:name="annotation text"/>
    <w:lsdException w:qFormat="1"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semiHidden="0"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qFormat="1" w:unhideWhenUsed="0" w:uiPriority="0" w:semiHidden="0" w:name="List Number"/>
    <w:lsdException w:qFormat="1" w:uiPriority="99" w:semiHidden="0" w:name="List 2"/>
    <w:lsdException w:uiPriority="99" w:name="List 3"/>
    <w:lsdException w:qFormat="1"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63"/>
    <w:autoRedefine/>
    <w:qFormat/>
    <w:uiPriority w:val="9"/>
    <w:pPr>
      <w:autoSpaceDE w:val="0"/>
      <w:autoSpaceDN w:val="0"/>
      <w:adjustRightInd w:val="0"/>
      <w:ind w:left="425" w:hanging="425"/>
      <w:jc w:val="center"/>
      <w:outlineLvl w:val="0"/>
    </w:pPr>
    <w:rPr>
      <w:b/>
      <w:kern w:val="0"/>
      <w:sz w:val="28"/>
      <w:szCs w:val="20"/>
    </w:rPr>
  </w:style>
  <w:style w:type="paragraph" w:styleId="3">
    <w:name w:val="heading 2"/>
    <w:basedOn w:val="1"/>
    <w:next w:val="1"/>
    <w:link w:val="64"/>
    <w:autoRedefine/>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65"/>
    <w:autoRedefine/>
    <w:qFormat/>
    <w:uiPriority w:val="9"/>
    <w:pPr>
      <w:keepNext/>
      <w:keepLines/>
      <w:numPr>
        <w:ilvl w:val="2"/>
        <w:numId w:val="1"/>
      </w:numPr>
      <w:spacing w:before="120" w:after="120"/>
      <w:jc w:val="left"/>
      <w:outlineLvl w:val="2"/>
    </w:pPr>
    <w:rPr>
      <w:b/>
      <w:bCs/>
      <w:sz w:val="30"/>
      <w:szCs w:val="32"/>
    </w:rPr>
  </w:style>
  <w:style w:type="paragraph" w:styleId="5">
    <w:name w:val="heading 4"/>
    <w:basedOn w:val="1"/>
    <w:next w:val="1"/>
    <w:link w:val="66"/>
    <w:autoRedefine/>
    <w:qFormat/>
    <w:uiPriority w:val="9"/>
    <w:pPr>
      <w:ind w:firstLine="680"/>
      <w:outlineLvl w:val="3"/>
    </w:pPr>
    <w:rPr>
      <w:rFonts w:ascii="宋体"/>
      <w:sz w:val="28"/>
      <w:szCs w:val="20"/>
    </w:rPr>
  </w:style>
  <w:style w:type="paragraph" w:styleId="6">
    <w:name w:val="heading 5"/>
    <w:basedOn w:val="1"/>
    <w:next w:val="7"/>
    <w:link w:val="67"/>
    <w:autoRedefine/>
    <w:qFormat/>
    <w:uiPriority w:val="9"/>
    <w:pPr>
      <w:keepNext/>
      <w:keepLines/>
      <w:spacing w:before="280" w:after="290" w:line="376" w:lineRule="auto"/>
      <w:outlineLvl w:val="4"/>
    </w:pPr>
    <w:rPr>
      <w:b/>
      <w:bCs/>
      <w:sz w:val="28"/>
      <w:szCs w:val="28"/>
    </w:rPr>
  </w:style>
  <w:style w:type="paragraph" w:styleId="8">
    <w:name w:val="heading 6"/>
    <w:basedOn w:val="1"/>
    <w:next w:val="1"/>
    <w:link w:val="69"/>
    <w:autoRedefine/>
    <w:qFormat/>
    <w:uiPriority w:val="9"/>
    <w:pPr>
      <w:ind w:firstLine="680"/>
      <w:outlineLvl w:val="5"/>
    </w:pPr>
    <w:rPr>
      <w:sz w:val="28"/>
      <w:szCs w:val="20"/>
    </w:rPr>
  </w:style>
  <w:style w:type="paragraph" w:styleId="9">
    <w:name w:val="heading 7"/>
    <w:basedOn w:val="1"/>
    <w:next w:val="1"/>
    <w:link w:val="70"/>
    <w:autoRedefine/>
    <w:qFormat/>
    <w:uiPriority w:val="9"/>
    <w:pPr>
      <w:keepNext/>
      <w:keepLines/>
      <w:spacing w:before="240" w:after="64" w:line="317" w:lineRule="auto"/>
      <w:outlineLvl w:val="6"/>
    </w:pPr>
    <w:rPr>
      <w:b/>
      <w:sz w:val="24"/>
      <w:szCs w:val="20"/>
    </w:rPr>
  </w:style>
  <w:style w:type="paragraph" w:styleId="10">
    <w:name w:val="heading 8"/>
    <w:basedOn w:val="1"/>
    <w:next w:val="1"/>
    <w:link w:val="71"/>
    <w:autoRedefine/>
    <w:qFormat/>
    <w:uiPriority w:val="0"/>
    <w:pPr>
      <w:keepNext/>
      <w:keepLines/>
      <w:spacing w:before="240" w:after="64" w:line="320" w:lineRule="auto"/>
      <w:outlineLvl w:val="7"/>
    </w:pPr>
    <w:rPr>
      <w:rFonts w:ascii="等线 Light" w:hAnsi="等线 Light" w:eastAsia="等线 Light"/>
      <w:sz w:val="24"/>
    </w:rPr>
  </w:style>
  <w:style w:type="paragraph" w:styleId="11">
    <w:name w:val="heading 9"/>
    <w:basedOn w:val="1"/>
    <w:next w:val="1"/>
    <w:link w:val="72"/>
    <w:autoRedefine/>
    <w:qFormat/>
    <w:uiPriority w:val="9"/>
    <w:pPr>
      <w:keepNext/>
      <w:keepLines/>
      <w:spacing w:before="240" w:after="64" w:line="320" w:lineRule="auto"/>
      <w:outlineLvl w:val="8"/>
    </w:pPr>
    <w:rPr>
      <w:rFonts w:ascii="Cambria" w:hAnsi="Cambria"/>
      <w:i/>
      <w:iCs/>
      <w:color w:val="404040"/>
      <w:kern w:val="0"/>
      <w:sz w:val="20"/>
      <w:szCs w:val="20"/>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68"/>
    <w:autoRedefine/>
    <w:qFormat/>
    <w:uiPriority w:val="99"/>
    <w:pPr>
      <w:ind w:firstLine="420"/>
    </w:pPr>
    <w:rPr>
      <w:szCs w:val="20"/>
    </w:rPr>
  </w:style>
  <w:style w:type="paragraph" w:styleId="12">
    <w:name w:val="toc 7"/>
    <w:basedOn w:val="1"/>
    <w:next w:val="1"/>
    <w:autoRedefine/>
    <w:qFormat/>
    <w:uiPriority w:val="0"/>
    <w:pPr>
      <w:ind w:left="2520" w:leftChars="1200"/>
    </w:pPr>
    <w:rPr>
      <w:szCs w:val="20"/>
    </w:rPr>
  </w:style>
  <w:style w:type="paragraph" w:styleId="13">
    <w:name w:val="index 8"/>
    <w:basedOn w:val="1"/>
    <w:next w:val="1"/>
    <w:autoRedefine/>
    <w:qFormat/>
    <w:uiPriority w:val="0"/>
    <w:pPr>
      <w:ind w:left="2940"/>
    </w:pPr>
  </w:style>
  <w:style w:type="paragraph" w:styleId="14">
    <w:name w:val="List Number"/>
    <w:basedOn w:val="1"/>
    <w:autoRedefine/>
    <w:qFormat/>
    <w:uiPriority w:val="0"/>
    <w:pPr>
      <w:widowControl/>
      <w:tabs>
        <w:tab w:val="left" w:pos="454"/>
        <w:tab w:val="left" w:pos="720"/>
        <w:tab w:val="left" w:pos="840"/>
      </w:tabs>
      <w:spacing w:after="50" w:afterLines="50"/>
      <w:ind w:left="454" w:hanging="284"/>
      <w:jc w:val="left"/>
    </w:pPr>
    <w:rPr>
      <w:kern w:val="0"/>
      <w:sz w:val="24"/>
      <w:szCs w:val="20"/>
    </w:rPr>
  </w:style>
  <w:style w:type="paragraph" w:styleId="15">
    <w:name w:val="caption"/>
    <w:basedOn w:val="1"/>
    <w:next w:val="1"/>
    <w:autoRedefine/>
    <w:qFormat/>
    <w:uiPriority w:val="0"/>
    <w:rPr>
      <w:rFonts w:ascii="Arial" w:hAnsi="Arial" w:eastAsia="黑体"/>
      <w:sz w:val="20"/>
      <w:szCs w:val="20"/>
    </w:rPr>
  </w:style>
  <w:style w:type="paragraph" w:styleId="16">
    <w:name w:val="Document Map"/>
    <w:basedOn w:val="1"/>
    <w:link w:val="73"/>
    <w:autoRedefine/>
    <w:qFormat/>
    <w:uiPriority w:val="0"/>
    <w:pPr>
      <w:shd w:val="clear" w:color="auto" w:fill="000080"/>
    </w:pPr>
    <w:rPr>
      <w:szCs w:val="20"/>
    </w:rPr>
  </w:style>
  <w:style w:type="paragraph" w:styleId="17">
    <w:name w:val="toa heading"/>
    <w:basedOn w:val="1"/>
    <w:next w:val="1"/>
    <w:autoRedefine/>
    <w:qFormat/>
    <w:uiPriority w:val="0"/>
    <w:pPr>
      <w:spacing w:before="120" w:line="240" w:lineRule="atLeast"/>
    </w:pPr>
    <w:rPr>
      <w:rFonts w:ascii="Arial" w:hAnsi="Arial"/>
      <w:sz w:val="24"/>
      <w:szCs w:val="20"/>
    </w:rPr>
  </w:style>
  <w:style w:type="paragraph" w:styleId="18">
    <w:name w:val="annotation text"/>
    <w:basedOn w:val="1"/>
    <w:link w:val="74"/>
    <w:autoRedefine/>
    <w:qFormat/>
    <w:uiPriority w:val="99"/>
    <w:pPr>
      <w:jc w:val="left"/>
    </w:pPr>
  </w:style>
  <w:style w:type="paragraph" w:styleId="19">
    <w:name w:val="Body Text 3"/>
    <w:basedOn w:val="1"/>
    <w:link w:val="75"/>
    <w:autoRedefine/>
    <w:unhideWhenUsed/>
    <w:qFormat/>
    <w:uiPriority w:val="99"/>
    <w:pPr>
      <w:spacing w:after="120"/>
    </w:pPr>
    <w:rPr>
      <w:sz w:val="16"/>
      <w:szCs w:val="16"/>
    </w:rPr>
  </w:style>
  <w:style w:type="paragraph" w:styleId="20">
    <w:name w:val="Body Text"/>
    <w:basedOn w:val="1"/>
    <w:link w:val="76"/>
    <w:autoRedefine/>
    <w:unhideWhenUsed/>
    <w:qFormat/>
    <w:uiPriority w:val="0"/>
    <w:pPr>
      <w:spacing w:after="120"/>
    </w:pPr>
  </w:style>
  <w:style w:type="paragraph" w:styleId="21">
    <w:name w:val="Body Text Indent"/>
    <w:basedOn w:val="1"/>
    <w:next w:val="22"/>
    <w:link w:val="77"/>
    <w:autoRedefine/>
    <w:qFormat/>
    <w:uiPriority w:val="0"/>
    <w:pPr>
      <w:ind w:firstLine="830" w:firstLineChars="352"/>
    </w:pPr>
    <w:rPr>
      <w:rFonts w:ascii="仿宋_GB2312" w:eastAsia="仿宋_GB2312"/>
      <w:kern w:val="0"/>
      <w:sz w:val="32"/>
      <w:szCs w:val="20"/>
    </w:rPr>
  </w:style>
  <w:style w:type="paragraph" w:styleId="22">
    <w:name w:val="Plain Text"/>
    <w:basedOn w:val="1"/>
    <w:next w:val="5"/>
    <w:link w:val="78"/>
    <w:autoRedefine/>
    <w:qFormat/>
    <w:uiPriority w:val="0"/>
    <w:rPr>
      <w:rFonts w:ascii="宋体" w:hAnsi="Courier New"/>
      <w:kern w:val="0"/>
      <w:sz w:val="20"/>
      <w:szCs w:val="21"/>
    </w:rPr>
  </w:style>
  <w:style w:type="paragraph" w:styleId="23">
    <w:name w:val="List 2"/>
    <w:basedOn w:val="1"/>
    <w:autoRedefine/>
    <w:unhideWhenUsed/>
    <w:qFormat/>
    <w:uiPriority w:val="99"/>
    <w:pPr>
      <w:ind w:left="100" w:leftChars="200" w:hanging="200" w:hangingChars="200"/>
      <w:contextualSpacing/>
    </w:pPr>
  </w:style>
  <w:style w:type="paragraph" w:styleId="24">
    <w:name w:val="Block Text"/>
    <w:basedOn w:val="1"/>
    <w:autoRedefine/>
    <w:qFormat/>
    <w:uiPriority w:val="0"/>
    <w:pPr>
      <w:autoSpaceDE w:val="0"/>
      <w:autoSpaceDN w:val="0"/>
      <w:adjustRightInd w:val="0"/>
      <w:spacing w:line="460" w:lineRule="atLeast"/>
      <w:ind w:left="510" w:right="284"/>
    </w:pPr>
    <w:rPr>
      <w:rFonts w:ascii="宋体"/>
      <w:kern w:val="0"/>
      <w:sz w:val="32"/>
      <w:szCs w:val="20"/>
    </w:rPr>
  </w:style>
  <w:style w:type="paragraph" w:styleId="25">
    <w:name w:val="toc 5"/>
    <w:basedOn w:val="1"/>
    <w:next w:val="1"/>
    <w:autoRedefine/>
    <w:qFormat/>
    <w:uiPriority w:val="0"/>
    <w:pPr>
      <w:ind w:left="400" w:leftChars="400"/>
    </w:pPr>
    <w:rPr>
      <w:szCs w:val="20"/>
    </w:rPr>
  </w:style>
  <w:style w:type="paragraph" w:styleId="26">
    <w:name w:val="toc 3"/>
    <w:basedOn w:val="1"/>
    <w:next w:val="1"/>
    <w:autoRedefine/>
    <w:qFormat/>
    <w:uiPriority w:val="0"/>
    <w:pPr>
      <w:ind w:left="200" w:leftChars="200"/>
    </w:pPr>
    <w:rPr>
      <w:szCs w:val="20"/>
    </w:rPr>
  </w:style>
  <w:style w:type="paragraph" w:styleId="27">
    <w:name w:val="toc 8"/>
    <w:basedOn w:val="1"/>
    <w:next w:val="1"/>
    <w:autoRedefine/>
    <w:qFormat/>
    <w:uiPriority w:val="0"/>
    <w:pPr>
      <w:ind w:left="2940" w:leftChars="1400"/>
    </w:pPr>
    <w:rPr>
      <w:szCs w:val="20"/>
    </w:rPr>
  </w:style>
  <w:style w:type="paragraph" w:styleId="28">
    <w:name w:val="Date"/>
    <w:basedOn w:val="1"/>
    <w:next w:val="1"/>
    <w:link w:val="79"/>
    <w:autoRedefine/>
    <w:unhideWhenUsed/>
    <w:qFormat/>
    <w:uiPriority w:val="0"/>
    <w:pPr>
      <w:ind w:left="100" w:leftChars="2500"/>
    </w:pPr>
  </w:style>
  <w:style w:type="paragraph" w:styleId="29">
    <w:name w:val="Body Text Indent 2"/>
    <w:basedOn w:val="1"/>
    <w:link w:val="80"/>
    <w:autoRedefine/>
    <w:qFormat/>
    <w:uiPriority w:val="0"/>
    <w:pPr>
      <w:spacing w:before="50" w:line="240" w:lineRule="atLeast"/>
      <w:ind w:firstLine="482" w:firstLineChars="200"/>
    </w:pPr>
    <w:rPr>
      <w:rFonts w:ascii="宋体" w:hAnsi="宋体"/>
      <w:b/>
      <w:sz w:val="24"/>
      <w:szCs w:val="20"/>
    </w:rPr>
  </w:style>
  <w:style w:type="paragraph" w:styleId="30">
    <w:name w:val="Balloon Text"/>
    <w:basedOn w:val="1"/>
    <w:link w:val="81"/>
    <w:autoRedefine/>
    <w:qFormat/>
    <w:uiPriority w:val="0"/>
    <w:rPr>
      <w:sz w:val="18"/>
      <w:szCs w:val="18"/>
    </w:rPr>
  </w:style>
  <w:style w:type="paragraph" w:styleId="31">
    <w:name w:val="footer"/>
    <w:basedOn w:val="1"/>
    <w:next w:val="1"/>
    <w:link w:val="82"/>
    <w:autoRedefine/>
    <w:unhideWhenUsed/>
    <w:qFormat/>
    <w:uiPriority w:val="0"/>
    <w:pPr>
      <w:tabs>
        <w:tab w:val="center" w:pos="4153"/>
        <w:tab w:val="right" w:pos="8306"/>
      </w:tabs>
      <w:snapToGrid w:val="0"/>
      <w:jc w:val="left"/>
    </w:pPr>
    <w:rPr>
      <w:kern w:val="0"/>
      <w:sz w:val="18"/>
      <w:szCs w:val="18"/>
    </w:rPr>
  </w:style>
  <w:style w:type="paragraph" w:styleId="32">
    <w:name w:val="header"/>
    <w:basedOn w:val="1"/>
    <w:link w:val="83"/>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33">
    <w:name w:val="toc 1"/>
    <w:basedOn w:val="1"/>
    <w:next w:val="1"/>
    <w:autoRedefine/>
    <w:unhideWhenUsed/>
    <w:qFormat/>
    <w:uiPriority w:val="0"/>
  </w:style>
  <w:style w:type="paragraph" w:styleId="34">
    <w:name w:val="toc 4"/>
    <w:basedOn w:val="1"/>
    <w:next w:val="1"/>
    <w:autoRedefine/>
    <w:qFormat/>
    <w:uiPriority w:val="0"/>
    <w:pPr>
      <w:ind w:left="300" w:leftChars="300"/>
    </w:pPr>
    <w:rPr>
      <w:szCs w:val="20"/>
    </w:rPr>
  </w:style>
  <w:style w:type="paragraph" w:styleId="35">
    <w:name w:val="index heading"/>
    <w:basedOn w:val="1"/>
    <w:next w:val="36"/>
    <w:autoRedefine/>
    <w:qFormat/>
    <w:uiPriority w:val="0"/>
    <w:rPr>
      <w:szCs w:val="20"/>
    </w:rPr>
  </w:style>
  <w:style w:type="paragraph" w:styleId="36">
    <w:name w:val="index 1"/>
    <w:basedOn w:val="1"/>
    <w:next w:val="1"/>
    <w:autoRedefine/>
    <w:qFormat/>
    <w:uiPriority w:val="0"/>
    <w:pPr>
      <w:widowControl/>
      <w:jc w:val="left"/>
    </w:pPr>
    <w:rPr>
      <w:kern w:val="0"/>
      <w:szCs w:val="20"/>
    </w:rPr>
  </w:style>
  <w:style w:type="paragraph" w:styleId="37">
    <w:name w:val="List"/>
    <w:basedOn w:val="1"/>
    <w:autoRedefine/>
    <w:unhideWhenUsed/>
    <w:qFormat/>
    <w:uiPriority w:val="0"/>
    <w:pPr>
      <w:ind w:left="200" w:hanging="200" w:hangingChars="200"/>
    </w:pPr>
  </w:style>
  <w:style w:type="paragraph" w:styleId="38">
    <w:name w:val="toc 6"/>
    <w:basedOn w:val="1"/>
    <w:next w:val="1"/>
    <w:autoRedefine/>
    <w:qFormat/>
    <w:uiPriority w:val="0"/>
    <w:pPr>
      <w:ind w:left="500" w:leftChars="500"/>
    </w:pPr>
    <w:rPr>
      <w:szCs w:val="20"/>
    </w:rPr>
  </w:style>
  <w:style w:type="paragraph" w:styleId="39">
    <w:name w:val="Body Text Indent 3"/>
    <w:basedOn w:val="1"/>
    <w:link w:val="84"/>
    <w:autoRedefine/>
    <w:qFormat/>
    <w:uiPriority w:val="0"/>
    <w:pPr>
      <w:spacing w:after="120"/>
      <w:ind w:left="420" w:leftChars="200"/>
    </w:pPr>
    <w:rPr>
      <w:sz w:val="16"/>
      <w:szCs w:val="20"/>
    </w:rPr>
  </w:style>
  <w:style w:type="paragraph" w:styleId="40">
    <w:name w:val="index 9"/>
    <w:basedOn w:val="1"/>
    <w:next w:val="1"/>
    <w:autoRedefine/>
    <w:qFormat/>
    <w:uiPriority w:val="0"/>
    <w:pPr>
      <w:spacing w:line="240" w:lineRule="atLeast"/>
      <w:ind w:left="1600" w:leftChars="1600"/>
    </w:pPr>
    <w:rPr>
      <w:szCs w:val="20"/>
    </w:rPr>
  </w:style>
  <w:style w:type="paragraph" w:styleId="41">
    <w:name w:val="toc 2"/>
    <w:basedOn w:val="1"/>
    <w:next w:val="1"/>
    <w:autoRedefine/>
    <w:unhideWhenUsed/>
    <w:qFormat/>
    <w:uiPriority w:val="0"/>
    <w:pPr>
      <w:tabs>
        <w:tab w:val="right" w:leader="dot" w:pos="8296"/>
      </w:tabs>
      <w:ind w:left="420" w:leftChars="200"/>
    </w:pPr>
  </w:style>
  <w:style w:type="paragraph" w:styleId="42">
    <w:name w:val="toc 9"/>
    <w:basedOn w:val="1"/>
    <w:next w:val="1"/>
    <w:autoRedefine/>
    <w:qFormat/>
    <w:uiPriority w:val="0"/>
    <w:pPr>
      <w:ind w:left="3360" w:leftChars="1600"/>
    </w:pPr>
    <w:rPr>
      <w:szCs w:val="20"/>
    </w:rPr>
  </w:style>
  <w:style w:type="paragraph" w:styleId="43">
    <w:name w:val="Body Text 2"/>
    <w:basedOn w:val="1"/>
    <w:link w:val="85"/>
    <w:autoRedefine/>
    <w:qFormat/>
    <w:uiPriority w:val="0"/>
    <w:pPr>
      <w:spacing w:line="360" w:lineRule="auto"/>
    </w:pPr>
    <w:rPr>
      <w:rFonts w:ascii="宋体"/>
      <w:b/>
      <w:sz w:val="36"/>
      <w:szCs w:val="36"/>
    </w:rPr>
  </w:style>
  <w:style w:type="paragraph" w:styleId="44">
    <w:name w:val="List 4"/>
    <w:basedOn w:val="1"/>
    <w:autoRedefine/>
    <w:unhideWhenUsed/>
    <w:qFormat/>
    <w:uiPriority w:val="0"/>
    <w:pPr>
      <w:ind w:left="100" w:leftChars="600" w:hanging="200" w:hangingChars="200"/>
    </w:pPr>
  </w:style>
  <w:style w:type="paragraph" w:styleId="45">
    <w:name w:val="Normal (Web)"/>
    <w:basedOn w:val="1"/>
    <w:link w:val="86"/>
    <w:autoRedefine/>
    <w:unhideWhenUsed/>
    <w:qFormat/>
    <w:uiPriority w:val="0"/>
    <w:rPr>
      <w:rFonts w:ascii="Calibri" w:hAnsi="Calibri"/>
      <w:kern w:val="0"/>
      <w:sz w:val="24"/>
    </w:rPr>
  </w:style>
  <w:style w:type="paragraph" w:styleId="46">
    <w:name w:val="Title"/>
    <w:basedOn w:val="1"/>
    <w:next w:val="1"/>
    <w:autoRedefine/>
    <w:qFormat/>
    <w:uiPriority w:val="0"/>
    <w:pPr>
      <w:spacing w:before="240" w:after="60"/>
      <w:jc w:val="center"/>
      <w:outlineLvl w:val="0"/>
    </w:pPr>
    <w:rPr>
      <w:rFonts w:ascii="Cambria" w:hAnsi="Cambria"/>
      <w:b/>
      <w:bCs/>
      <w:sz w:val="32"/>
      <w:szCs w:val="32"/>
    </w:rPr>
  </w:style>
  <w:style w:type="paragraph" w:styleId="47">
    <w:name w:val="annotation subject"/>
    <w:basedOn w:val="18"/>
    <w:next w:val="18"/>
    <w:link w:val="87"/>
    <w:autoRedefine/>
    <w:qFormat/>
    <w:uiPriority w:val="0"/>
    <w:rPr>
      <w:b/>
      <w:bCs/>
    </w:rPr>
  </w:style>
  <w:style w:type="paragraph" w:styleId="48">
    <w:name w:val="Body Text First Indent"/>
    <w:basedOn w:val="1"/>
    <w:link w:val="88"/>
    <w:autoRedefine/>
    <w:qFormat/>
    <w:uiPriority w:val="0"/>
    <w:pPr>
      <w:tabs>
        <w:tab w:val="left" w:pos="420"/>
      </w:tabs>
      <w:ind w:firstLine="560" w:firstLineChars="200"/>
      <w:jc w:val="left"/>
    </w:pPr>
    <w:rPr>
      <w:rFonts w:ascii="Arial" w:hAnsi="Arial"/>
      <w:kern w:val="0"/>
      <w:sz w:val="20"/>
      <w:szCs w:val="20"/>
    </w:rPr>
  </w:style>
  <w:style w:type="paragraph" w:styleId="49">
    <w:name w:val="Body Text First Indent 2"/>
    <w:basedOn w:val="21"/>
    <w:link w:val="89"/>
    <w:autoRedefine/>
    <w:qFormat/>
    <w:uiPriority w:val="0"/>
    <w:pPr>
      <w:spacing w:after="120"/>
      <w:ind w:left="420" w:leftChars="200" w:firstLine="420" w:firstLineChars="200"/>
    </w:pPr>
  </w:style>
  <w:style w:type="table" w:styleId="51">
    <w:name w:val="Table Grid"/>
    <w:basedOn w:val="50"/>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autoRedefine/>
    <w:qFormat/>
    <w:uiPriority w:val="0"/>
    <w:rPr>
      <w:b/>
    </w:rPr>
  </w:style>
  <w:style w:type="character" w:styleId="54">
    <w:name w:val="endnote reference"/>
    <w:autoRedefine/>
    <w:unhideWhenUsed/>
    <w:qFormat/>
    <w:uiPriority w:val="99"/>
    <w:rPr>
      <w:vertAlign w:val="superscript"/>
    </w:rPr>
  </w:style>
  <w:style w:type="character" w:styleId="55">
    <w:name w:val="page number"/>
    <w:autoRedefine/>
    <w:qFormat/>
    <w:uiPriority w:val="0"/>
  </w:style>
  <w:style w:type="character" w:styleId="56">
    <w:name w:val="FollowedHyperlink"/>
    <w:basedOn w:val="52"/>
    <w:autoRedefine/>
    <w:unhideWhenUsed/>
    <w:qFormat/>
    <w:uiPriority w:val="99"/>
    <w:rPr>
      <w:color w:val="800080"/>
      <w:u w:val="single"/>
    </w:rPr>
  </w:style>
  <w:style w:type="character" w:styleId="57">
    <w:name w:val="Hyperlink"/>
    <w:autoRedefine/>
    <w:unhideWhenUsed/>
    <w:qFormat/>
    <w:uiPriority w:val="0"/>
    <w:rPr>
      <w:color w:val="0000FF"/>
      <w:u w:val="single"/>
    </w:rPr>
  </w:style>
  <w:style w:type="character" w:styleId="58">
    <w:name w:val="annotation reference"/>
    <w:autoRedefine/>
    <w:qFormat/>
    <w:uiPriority w:val="0"/>
    <w:rPr>
      <w:sz w:val="21"/>
      <w:szCs w:val="21"/>
    </w:rPr>
  </w:style>
  <w:style w:type="character" w:styleId="59">
    <w:name w:val="HTML Sample"/>
    <w:basedOn w:val="52"/>
    <w:autoRedefine/>
    <w:semiHidden/>
    <w:unhideWhenUsed/>
    <w:qFormat/>
    <w:uiPriority w:val="99"/>
    <w:rPr>
      <w:rFonts w:ascii="Courier New" w:hAnsi="Courier New"/>
    </w:rPr>
  </w:style>
  <w:style w:type="paragraph" w:customStyle="1" w:styleId="60">
    <w:name w:val="表格文字"/>
    <w:basedOn w:val="21"/>
    <w:next w:val="20"/>
    <w:autoRedefine/>
    <w:qFormat/>
    <w:uiPriority w:val="0"/>
    <w:pPr>
      <w:jc w:val="left"/>
    </w:pPr>
    <w:rPr>
      <w:bCs/>
      <w:spacing w:val="10"/>
      <w:sz w:val="24"/>
    </w:rPr>
  </w:style>
  <w:style w:type="paragraph" w:customStyle="1" w:styleId="61">
    <w:name w:val="BodyText1I2"/>
    <w:basedOn w:val="62"/>
    <w:autoRedefine/>
    <w:qFormat/>
    <w:uiPriority w:val="0"/>
    <w:pPr>
      <w:ind w:firstLine="200" w:firstLineChars="200"/>
    </w:pPr>
  </w:style>
  <w:style w:type="paragraph" w:customStyle="1" w:styleId="62">
    <w:name w:val="BodyTextIndent"/>
    <w:basedOn w:val="1"/>
    <w:autoRedefine/>
    <w:qFormat/>
    <w:uiPriority w:val="0"/>
    <w:pPr>
      <w:spacing w:after="120"/>
      <w:ind w:left="420" w:leftChars="200"/>
    </w:pPr>
  </w:style>
  <w:style w:type="character" w:customStyle="1" w:styleId="63">
    <w:name w:val="标题 1 字符"/>
    <w:link w:val="2"/>
    <w:autoRedefine/>
    <w:qFormat/>
    <w:uiPriority w:val="9"/>
    <w:rPr>
      <w:rFonts w:ascii="Times New Roman" w:hAnsi="Times New Roman" w:eastAsia="宋体"/>
      <w:b/>
      <w:sz w:val="28"/>
    </w:rPr>
  </w:style>
  <w:style w:type="character" w:customStyle="1" w:styleId="64">
    <w:name w:val="标题 2 字符"/>
    <w:link w:val="3"/>
    <w:autoRedefine/>
    <w:qFormat/>
    <w:uiPriority w:val="9"/>
    <w:rPr>
      <w:rFonts w:ascii="Cambria" w:hAnsi="Cambria" w:eastAsia="宋体" w:cs="Times New Roman"/>
      <w:b/>
      <w:bCs/>
      <w:kern w:val="2"/>
      <w:sz w:val="32"/>
      <w:szCs w:val="32"/>
    </w:rPr>
  </w:style>
  <w:style w:type="character" w:customStyle="1" w:styleId="65">
    <w:name w:val="标题 3 字符"/>
    <w:link w:val="4"/>
    <w:autoRedefine/>
    <w:qFormat/>
    <w:uiPriority w:val="9"/>
    <w:rPr>
      <w:b/>
      <w:bCs/>
      <w:kern w:val="2"/>
      <w:sz w:val="30"/>
      <w:szCs w:val="32"/>
    </w:rPr>
  </w:style>
  <w:style w:type="character" w:customStyle="1" w:styleId="66">
    <w:name w:val="标题 4 字符"/>
    <w:link w:val="5"/>
    <w:autoRedefine/>
    <w:qFormat/>
    <w:uiPriority w:val="9"/>
    <w:rPr>
      <w:rFonts w:ascii="宋体"/>
      <w:kern w:val="2"/>
      <w:sz w:val="28"/>
    </w:rPr>
  </w:style>
  <w:style w:type="character" w:customStyle="1" w:styleId="67">
    <w:name w:val="标题 5 字符"/>
    <w:link w:val="6"/>
    <w:autoRedefine/>
    <w:qFormat/>
    <w:uiPriority w:val="9"/>
    <w:rPr>
      <w:rFonts w:ascii="Times New Roman" w:hAnsi="Times New Roman"/>
      <w:b/>
      <w:bCs/>
      <w:kern w:val="2"/>
      <w:sz w:val="28"/>
      <w:szCs w:val="28"/>
    </w:rPr>
  </w:style>
  <w:style w:type="character" w:customStyle="1" w:styleId="68">
    <w:name w:val="正文缩进 字符"/>
    <w:link w:val="7"/>
    <w:autoRedefine/>
    <w:qFormat/>
    <w:uiPriority w:val="99"/>
    <w:rPr>
      <w:kern w:val="2"/>
      <w:sz w:val="21"/>
    </w:rPr>
  </w:style>
  <w:style w:type="character" w:customStyle="1" w:styleId="69">
    <w:name w:val="标题 6 字符"/>
    <w:link w:val="8"/>
    <w:autoRedefine/>
    <w:qFormat/>
    <w:uiPriority w:val="9"/>
    <w:rPr>
      <w:kern w:val="2"/>
      <w:sz w:val="28"/>
    </w:rPr>
  </w:style>
  <w:style w:type="character" w:customStyle="1" w:styleId="70">
    <w:name w:val="标题 7 字符"/>
    <w:link w:val="9"/>
    <w:autoRedefine/>
    <w:qFormat/>
    <w:uiPriority w:val="9"/>
    <w:rPr>
      <w:b/>
      <w:kern w:val="2"/>
      <w:sz w:val="24"/>
    </w:rPr>
  </w:style>
  <w:style w:type="character" w:customStyle="1" w:styleId="71">
    <w:name w:val="标题 8 字符"/>
    <w:link w:val="10"/>
    <w:autoRedefine/>
    <w:semiHidden/>
    <w:qFormat/>
    <w:uiPriority w:val="0"/>
    <w:rPr>
      <w:rFonts w:ascii="等线 Light" w:hAnsi="等线 Light" w:eastAsia="等线 Light" w:cs="Times New Roman"/>
      <w:kern w:val="2"/>
      <w:sz w:val="24"/>
      <w:szCs w:val="24"/>
    </w:rPr>
  </w:style>
  <w:style w:type="character" w:customStyle="1" w:styleId="72">
    <w:name w:val="标题 9 字符"/>
    <w:link w:val="11"/>
    <w:autoRedefine/>
    <w:qFormat/>
    <w:uiPriority w:val="9"/>
    <w:rPr>
      <w:rFonts w:ascii="Cambria" w:hAnsi="Cambria"/>
      <w:i/>
      <w:iCs/>
      <w:color w:val="404040"/>
    </w:rPr>
  </w:style>
  <w:style w:type="character" w:customStyle="1" w:styleId="73">
    <w:name w:val="文档结构图 字符"/>
    <w:link w:val="16"/>
    <w:autoRedefine/>
    <w:qFormat/>
    <w:uiPriority w:val="0"/>
    <w:rPr>
      <w:kern w:val="2"/>
      <w:sz w:val="21"/>
      <w:shd w:val="clear" w:color="auto" w:fill="000080"/>
    </w:rPr>
  </w:style>
  <w:style w:type="character" w:customStyle="1" w:styleId="74">
    <w:name w:val="批注文字 字符"/>
    <w:link w:val="18"/>
    <w:autoRedefine/>
    <w:qFormat/>
    <w:uiPriority w:val="99"/>
    <w:rPr>
      <w:rFonts w:ascii="Times New Roman" w:hAnsi="Times New Roman"/>
      <w:kern w:val="2"/>
      <w:sz w:val="21"/>
      <w:szCs w:val="24"/>
    </w:rPr>
  </w:style>
  <w:style w:type="character" w:customStyle="1" w:styleId="75">
    <w:name w:val="正文文本 3 字符"/>
    <w:link w:val="19"/>
    <w:autoRedefine/>
    <w:semiHidden/>
    <w:qFormat/>
    <w:uiPriority w:val="99"/>
    <w:rPr>
      <w:kern w:val="2"/>
      <w:sz w:val="16"/>
      <w:szCs w:val="16"/>
    </w:rPr>
  </w:style>
  <w:style w:type="character" w:customStyle="1" w:styleId="76">
    <w:name w:val="正文文本 字符"/>
    <w:link w:val="20"/>
    <w:autoRedefine/>
    <w:qFormat/>
    <w:uiPriority w:val="0"/>
    <w:rPr>
      <w:rFonts w:ascii="Times New Roman" w:hAnsi="Times New Roman"/>
      <w:kern w:val="2"/>
      <w:sz w:val="21"/>
      <w:szCs w:val="24"/>
    </w:rPr>
  </w:style>
  <w:style w:type="character" w:customStyle="1" w:styleId="77">
    <w:name w:val="正文文本缩进 字符"/>
    <w:link w:val="21"/>
    <w:autoRedefine/>
    <w:qFormat/>
    <w:uiPriority w:val="0"/>
    <w:rPr>
      <w:rFonts w:ascii="仿宋_GB2312" w:hAnsi="Times New Roman" w:eastAsia="仿宋_GB2312" w:cs="Times New Roman"/>
      <w:sz w:val="32"/>
      <w:szCs w:val="20"/>
    </w:rPr>
  </w:style>
  <w:style w:type="character" w:customStyle="1" w:styleId="78">
    <w:name w:val="纯文本 字符"/>
    <w:link w:val="22"/>
    <w:autoRedefine/>
    <w:qFormat/>
    <w:uiPriority w:val="0"/>
    <w:rPr>
      <w:rFonts w:ascii="宋体" w:hAnsi="Courier New" w:eastAsia="宋体" w:cs="Courier New"/>
      <w:szCs w:val="21"/>
    </w:rPr>
  </w:style>
  <w:style w:type="character" w:customStyle="1" w:styleId="79">
    <w:name w:val="日期 字符"/>
    <w:link w:val="28"/>
    <w:autoRedefine/>
    <w:qFormat/>
    <w:uiPriority w:val="0"/>
    <w:rPr>
      <w:rFonts w:ascii="Times New Roman" w:hAnsi="Times New Roman"/>
      <w:kern w:val="2"/>
      <w:sz w:val="21"/>
      <w:szCs w:val="24"/>
    </w:rPr>
  </w:style>
  <w:style w:type="character" w:customStyle="1" w:styleId="80">
    <w:name w:val="正文文本缩进 2 字符"/>
    <w:link w:val="29"/>
    <w:autoRedefine/>
    <w:qFormat/>
    <w:uiPriority w:val="0"/>
    <w:rPr>
      <w:rFonts w:ascii="宋体" w:hAnsi="宋体"/>
      <w:b/>
      <w:kern w:val="2"/>
      <w:sz w:val="24"/>
    </w:rPr>
  </w:style>
  <w:style w:type="character" w:customStyle="1" w:styleId="81">
    <w:name w:val="批注框文本 字符"/>
    <w:link w:val="30"/>
    <w:autoRedefine/>
    <w:qFormat/>
    <w:uiPriority w:val="0"/>
    <w:rPr>
      <w:kern w:val="2"/>
      <w:sz w:val="18"/>
      <w:szCs w:val="18"/>
    </w:rPr>
  </w:style>
  <w:style w:type="character" w:customStyle="1" w:styleId="82">
    <w:name w:val="页脚 字符"/>
    <w:link w:val="31"/>
    <w:autoRedefine/>
    <w:qFormat/>
    <w:uiPriority w:val="0"/>
    <w:rPr>
      <w:sz w:val="18"/>
      <w:szCs w:val="18"/>
    </w:rPr>
  </w:style>
  <w:style w:type="character" w:customStyle="1" w:styleId="83">
    <w:name w:val="页眉 字符"/>
    <w:link w:val="32"/>
    <w:autoRedefine/>
    <w:qFormat/>
    <w:uiPriority w:val="0"/>
    <w:rPr>
      <w:sz w:val="18"/>
      <w:szCs w:val="18"/>
    </w:rPr>
  </w:style>
  <w:style w:type="character" w:customStyle="1" w:styleId="84">
    <w:name w:val="正文文本缩进 3 字符"/>
    <w:link w:val="39"/>
    <w:autoRedefine/>
    <w:qFormat/>
    <w:uiPriority w:val="0"/>
    <w:rPr>
      <w:kern w:val="2"/>
      <w:sz w:val="16"/>
    </w:rPr>
  </w:style>
  <w:style w:type="character" w:customStyle="1" w:styleId="85">
    <w:name w:val="正文文本 2 字符"/>
    <w:link w:val="43"/>
    <w:autoRedefine/>
    <w:qFormat/>
    <w:uiPriority w:val="0"/>
    <w:rPr>
      <w:rFonts w:ascii="宋体"/>
      <w:b/>
      <w:kern w:val="2"/>
      <w:sz w:val="36"/>
      <w:szCs w:val="36"/>
    </w:rPr>
  </w:style>
  <w:style w:type="character" w:customStyle="1" w:styleId="86">
    <w:name w:val="普通(网站) 字符"/>
    <w:link w:val="45"/>
    <w:autoRedefine/>
    <w:qFormat/>
    <w:uiPriority w:val="0"/>
    <w:rPr>
      <w:rFonts w:ascii="Calibri" w:hAnsi="Calibri"/>
      <w:sz w:val="24"/>
      <w:szCs w:val="24"/>
    </w:rPr>
  </w:style>
  <w:style w:type="character" w:customStyle="1" w:styleId="87">
    <w:name w:val="批注主题 字符"/>
    <w:link w:val="47"/>
    <w:autoRedefine/>
    <w:qFormat/>
    <w:uiPriority w:val="0"/>
    <w:rPr>
      <w:rFonts w:ascii="Times New Roman" w:hAnsi="Times New Roman"/>
      <w:b/>
      <w:bCs/>
      <w:kern w:val="2"/>
      <w:sz w:val="21"/>
      <w:szCs w:val="24"/>
    </w:rPr>
  </w:style>
  <w:style w:type="character" w:customStyle="1" w:styleId="88">
    <w:name w:val="正文首行缩进 字符"/>
    <w:link w:val="48"/>
    <w:autoRedefine/>
    <w:qFormat/>
    <w:uiPriority w:val="0"/>
    <w:rPr>
      <w:rFonts w:ascii="Arial" w:hAnsi="Arial"/>
    </w:rPr>
  </w:style>
  <w:style w:type="character" w:customStyle="1" w:styleId="89">
    <w:name w:val="正文首行缩进 2 字符"/>
    <w:link w:val="49"/>
    <w:autoRedefine/>
    <w:qFormat/>
    <w:uiPriority w:val="0"/>
  </w:style>
  <w:style w:type="character" w:customStyle="1" w:styleId="90">
    <w:name w:val="Char Char Char Char Char"/>
    <w:link w:val="91"/>
    <w:autoRedefine/>
    <w:qFormat/>
    <w:uiPriority w:val="0"/>
    <w:rPr>
      <w:sz w:val="24"/>
    </w:rPr>
  </w:style>
  <w:style w:type="paragraph" w:customStyle="1" w:styleId="91">
    <w:name w:val="Char Char Char Char"/>
    <w:basedOn w:val="16"/>
    <w:link w:val="90"/>
    <w:autoRedefine/>
    <w:qFormat/>
    <w:uiPriority w:val="0"/>
    <w:pPr>
      <w:spacing w:line="360" w:lineRule="auto"/>
    </w:pPr>
    <w:rPr>
      <w:kern w:val="0"/>
      <w:sz w:val="24"/>
    </w:rPr>
  </w:style>
  <w:style w:type="character" w:customStyle="1" w:styleId="92">
    <w:name w:val="font71"/>
    <w:autoRedefine/>
    <w:qFormat/>
    <w:uiPriority w:val="0"/>
    <w:rPr>
      <w:rFonts w:hint="default" w:ascii="Times New Roman" w:hAnsi="Times New Roman" w:cs="Times New Roman"/>
      <w:color w:val="000000"/>
      <w:sz w:val="22"/>
      <w:szCs w:val="22"/>
      <w:u w:val="none"/>
    </w:rPr>
  </w:style>
  <w:style w:type="character" w:customStyle="1" w:styleId="93">
    <w:name w:val="列出段落 字符"/>
    <w:link w:val="94"/>
    <w:autoRedefine/>
    <w:qFormat/>
    <w:locked/>
    <w:uiPriority w:val="0"/>
    <w:rPr>
      <w:kern w:val="2"/>
      <w:sz w:val="21"/>
      <w:szCs w:val="24"/>
    </w:rPr>
  </w:style>
  <w:style w:type="paragraph" w:styleId="94">
    <w:name w:val="List Paragraph"/>
    <w:basedOn w:val="1"/>
    <w:link w:val="93"/>
    <w:autoRedefine/>
    <w:qFormat/>
    <w:uiPriority w:val="0"/>
    <w:pPr>
      <w:ind w:firstLine="420" w:firstLineChars="200"/>
    </w:pPr>
  </w:style>
  <w:style w:type="character" w:customStyle="1" w:styleId="95">
    <w:name w:val="批注文字 字符1"/>
    <w:autoRedefine/>
    <w:qFormat/>
    <w:uiPriority w:val="0"/>
    <w:rPr>
      <w:rFonts w:ascii="Times New Roman" w:hAnsi="Times New Roman"/>
      <w:kern w:val="2"/>
      <w:sz w:val="21"/>
      <w:szCs w:val="24"/>
    </w:rPr>
  </w:style>
  <w:style w:type="character" w:customStyle="1" w:styleId="96">
    <w:name w:val="超链接 New"/>
    <w:autoRedefine/>
    <w:qFormat/>
    <w:uiPriority w:val="0"/>
    <w:rPr>
      <w:color w:val="0000FF"/>
      <w:u w:val="single"/>
    </w:rPr>
  </w:style>
  <w:style w:type="character" w:customStyle="1" w:styleId="97">
    <w:name w:val="批注主题 Char1"/>
    <w:autoRedefine/>
    <w:semiHidden/>
    <w:qFormat/>
    <w:uiPriority w:val="99"/>
    <w:rPr>
      <w:rFonts w:eastAsia="宋体" w:cs="Times New Roman"/>
      <w:b/>
      <w:bCs/>
      <w:szCs w:val="20"/>
    </w:rPr>
  </w:style>
  <w:style w:type="character" w:customStyle="1" w:styleId="98">
    <w:name w:val="font101"/>
    <w:autoRedefine/>
    <w:qFormat/>
    <w:uiPriority w:val="0"/>
    <w:rPr>
      <w:rFonts w:hint="eastAsia" w:ascii="宋体" w:hAnsi="宋体" w:eastAsia="宋体" w:cs="宋体"/>
      <w:color w:val="000000"/>
      <w:sz w:val="22"/>
      <w:szCs w:val="22"/>
      <w:u w:val="none"/>
    </w:rPr>
  </w:style>
  <w:style w:type="character" w:customStyle="1" w:styleId="99">
    <w:name w:val="textcontents"/>
    <w:autoRedefine/>
    <w:qFormat/>
    <w:uiPriority w:val="0"/>
  </w:style>
  <w:style w:type="character" w:customStyle="1" w:styleId="100">
    <w:name w:val="正文首行缩进 2 Char1"/>
    <w:autoRedefine/>
    <w:semiHidden/>
    <w:qFormat/>
    <w:uiPriority w:val="99"/>
    <w:rPr>
      <w:kern w:val="2"/>
      <w:sz w:val="21"/>
      <w:szCs w:val="24"/>
    </w:rPr>
  </w:style>
  <w:style w:type="character" w:customStyle="1" w:styleId="101">
    <w:name w:val="纯文本 字符2"/>
    <w:autoRedefine/>
    <w:qFormat/>
    <w:uiPriority w:val="0"/>
    <w:rPr>
      <w:rFonts w:ascii="宋体" w:hAnsi="Courier New" w:eastAsia="宋体" w:cs="Courier New"/>
      <w:szCs w:val="21"/>
    </w:rPr>
  </w:style>
  <w:style w:type="character" w:customStyle="1" w:styleId="102">
    <w:name w:val="style1"/>
    <w:autoRedefine/>
    <w:qFormat/>
    <w:uiPriority w:val="0"/>
  </w:style>
  <w:style w:type="character" w:customStyle="1" w:styleId="103">
    <w:name w:val="medium_text1"/>
    <w:autoRedefine/>
    <w:qFormat/>
    <w:uiPriority w:val="0"/>
    <w:rPr>
      <w:sz w:val="14"/>
      <w:szCs w:val="14"/>
    </w:rPr>
  </w:style>
  <w:style w:type="character" w:customStyle="1" w:styleId="104">
    <w:name w:val="point_normal1"/>
    <w:autoRedefine/>
    <w:qFormat/>
    <w:uiPriority w:val="0"/>
    <w:rPr>
      <w:rFonts w:hint="default" w:ascii="Arial" w:hAnsi="Arial"/>
      <w:sz w:val="18"/>
    </w:rPr>
  </w:style>
  <w:style w:type="character" w:customStyle="1" w:styleId="105">
    <w:name w:val="标题 9 Char1"/>
    <w:autoRedefine/>
    <w:semiHidden/>
    <w:qFormat/>
    <w:uiPriority w:val="0"/>
    <w:rPr>
      <w:rFonts w:ascii="Cambria" w:hAnsi="Cambria" w:eastAsia="宋体" w:cs="Times New Roman"/>
      <w:kern w:val="2"/>
      <w:sz w:val="21"/>
      <w:szCs w:val="21"/>
    </w:rPr>
  </w:style>
  <w:style w:type="character" w:customStyle="1" w:styleId="106">
    <w:name w:val="apple-converted-space"/>
    <w:autoRedefine/>
    <w:qFormat/>
    <w:uiPriority w:val="0"/>
  </w:style>
  <w:style w:type="character" w:customStyle="1" w:styleId="107">
    <w:name w:val="NormalCharacter"/>
    <w:autoRedefine/>
    <w:qFormat/>
    <w:uiPriority w:val="0"/>
  </w:style>
  <w:style w:type="character" w:customStyle="1" w:styleId="108">
    <w:name w:val="apple-style-span"/>
    <w:autoRedefine/>
    <w:qFormat/>
    <w:uiPriority w:val="0"/>
  </w:style>
  <w:style w:type="character" w:customStyle="1" w:styleId="109">
    <w:name w:val="yellow_s1"/>
    <w:autoRedefine/>
    <w:qFormat/>
    <w:uiPriority w:val="0"/>
    <w:rPr>
      <w:rFonts w:hint="default" w:ascii="ˎ̥" w:hAnsi="ˎ̥"/>
      <w:b/>
      <w:color w:val="FF9900"/>
      <w:sz w:val="18"/>
      <w:u w:val="none"/>
    </w:rPr>
  </w:style>
  <w:style w:type="character" w:customStyle="1" w:styleId="110">
    <w:name w:val="批注文字 Char2"/>
    <w:autoRedefine/>
    <w:qFormat/>
    <w:uiPriority w:val="99"/>
    <w:rPr>
      <w:rFonts w:ascii="Tahoma" w:hAnsi="Tahoma" w:eastAsia="宋体"/>
      <w:kern w:val="2"/>
      <w:sz w:val="21"/>
      <w:szCs w:val="24"/>
      <w:lang w:val="en-US" w:eastAsia="zh-CN" w:bidi="ar-SA"/>
    </w:rPr>
  </w:style>
  <w:style w:type="character" w:customStyle="1" w:styleId="111">
    <w:name w:val="msonormal"/>
    <w:autoRedefine/>
    <w:qFormat/>
    <w:uiPriority w:val="0"/>
  </w:style>
  <w:style w:type="character" w:customStyle="1" w:styleId="112">
    <w:name w:val="font41"/>
    <w:autoRedefine/>
    <w:qFormat/>
    <w:uiPriority w:val="0"/>
    <w:rPr>
      <w:rFonts w:hint="eastAsia" w:ascii="宋体" w:hAnsi="宋体" w:eastAsia="宋体" w:cs="宋体"/>
      <w:b/>
      <w:color w:val="000000"/>
      <w:sz w:val="28"/>
      <w:szCs w:val="28"/>
      <w:u w:val="none"/>
    </w:rPr>
  </w:style>
  <w:style w:type="character" w:customStyle="1" w:styleId="113">
    <w:name w:val="批注文字 Char"/>
    <w:autoRedefine/>
    <w:qFormat/>
    <w:uiPriority w:val="0"/>
    <w:rPr>
      <w:rFonts w:ascii="Times New Roman" w:hAnsi="Times New Roman"/>
      <w:kern w:val="2"/>
      <w:sz w:val="21"/>
      <w:szCs w:val="24"/>
    </w:rPr>
  </w:style>
  <w:style w:type="character" w:customStyle="1" w:styleId="114">
    <w:name w:val="列出段落 Char"/>
    <w:autoRedefine/>
    <w:qFormat/>
    <w:uiPriority w:val="34"/>
    <w:rPr>
      <w:rFonts w:ascii="Calibri" w:hAnsi="Calibri" w:eastAsia="宋体" w:cs="Times New Roman"/>
    </w:rPr>
  </w:style>
  <w:style w:type="character" w:customStyle="1" w:styleId="115">
    <w:name w:val="style4"/>
    <w:autoRedefine/>
    <w:qFormat/>
    <w:uiPriority w:val="0"/>
  </w:style>
  <w:style w:type="character" w:customStyle="1" w:styleId="116">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117">
    <w:name w:val="12normal"/>
    <w:autoRedefine/>
    <w:qFormat/>
    <w:uiPriority w:val="0"/>
  </w:style>
  <w:style w:type="character" w:customStyle="1" w:styleId="118">
    <w:name w:val="style9"/>
    <w:autoRedefine/>
    <w:qFormat/>
    <w:uiPriority w:val="0"/>
  </w:style>
  <w:style w:type="character" w:customStyle="1" w:styleId="119">
    <w:name w:val="para1"/>
    <w:autoRedefine/>
    <w:qFormat/>
    <w:uiPriority w:val="0"/>
    <w:rPr>
      <w:rFonts w:hint="default" w:ascii="Arial" w:hAnsi="Arial"/>
      <w:sz w:val="18"/>
    </w:rPr>
  </w:style>
  <w:style w:type="character" w:customStyle="1" w:styleId="120">
    <w:name w:val="font141"/>
    <w:autoRedefine/>
    <w:qFormat/>
    <w:uiPriority w:val="0"/>
    <w:rPr>
      <w:rFonts w:hint="eastAsia" w:ascii="宋体" w:hAnsi="宋体" w:eastAsia="宋体" w:cs="宋体"/>
      <w:color w:val="000000"/>
      <w:sz w:val="22"/>
      <w:szCs w:val="22"/>
      <w:u w:val="none"/>
    </w:rPr>
  </w:style>
  <w:style w:type="character" w:customStyle="1" w:styleId="121">
    <w:name w:val="font31"/>
    <w:autoRedefine/>
    <w:qFormat/>
    <w:uiPriority w:val="0"/>
    <w:rPr>
      <w:rFonts w:hint="eastAsia" w:ascii="宋体" w:hAnsi="宋体" w:eastAsia="宋体" w:cs="宋体"/>
      <w:color w:val="000000"/>
      <w:sz w:val="24"/>
      <w:szCs w:val="24"/>
      <w:u w:val="none"/>
    </w:rPr>
  </w:style>
  <w:style w:type="character" w:customStyle="1" w:styleId="122">
    <w:name w:val="纯文本 Char"/>
    <w:autoRedefine/>
    <w:qFormat/>
    <w:uiPriority w:val="0"/>
    <w:rPr>
      <w:rFonts w:ascii="宋体" w:hAnsi="Courier New" w:eastAsia="宋体" w:cs="Courier New"/>
      <w:szCs w:val="21"/>
    </w:rPr>
  </w:style>
  <w:style w:type="character" w:customStyle="1" w:styleId="123">
    <w:name w:val="标题 2 Char"/>
    <w:autoRedefine/>
    <w:qFormat/>
    <w:uiPriority w:val="0"/>
    <w:rPr>
      <w:rFonts w:ascii="Cambria" w:hAnsi="Cambria" w:eastAsia="宋体" w:cs="Times New Roman"/>
      <w:b/>
      <w:bCs/>
      <w:kern w:val="2"/>
      <w:sz w:val="32"/>
      <w:szCs w:val="32"/>
    </w:rPr>
  </w:style>
  <w:style w:type="character" w:customStyle="1" w:styleId="124">
    <w:name w:val="正文文本缩进 Char1"/>
    <w:autoRedefine/>
    <w:semiHidden/>
    <w:qFormat/>
    <w:uiPriority w:val="99"/>
    <w:rPr>
      <w:rFonts w:ascii="Times New Roman" w:hAnsi="Times New Roman" w:eastAsia="宋体" w:cs="Times New Roman"/>
      <w:szCs w:val="20"/>
    </w:rPr>
  </w:style>
  <w:style w:type="character" w:customStyle="1" w:styleId="125">
    <w:name w:val="标题 8 Char"/>
    <w:autoRedefine/>
    <w:qFormat/>
    <w:uiPriority w:val="9"/>
    <w:rPr>
      <w:rFonts w:ascii="Arial" w:hAnsi="Arial" w:eastAsia="黑体"/>
      <w:kern w:val="2"/>
      <w:sz w:val="24"/>
      <w:szCs w:val="24"/>
    </w:rPr>
  </w:style>
  <w:style w:type="character" w:customStyle="1" w:styleId="126">
    <w:name w:val="Char Char Char1"/>
    <w:link w:val="127"/>
    <w:autoRedefine/>
    <w:qFormat/>
    <w:uiPriority w:val="0"/>
    <w:rPr>
      <w:rFonts w:ascii="Tahoma" w:hAnsi="Tahoma"/>
      <w:sz w:val="24"/>
      <w:szCs w:val="20"/>
    </w:rPr>
  </w:style>
  <w:style w:type="paragraph" w:customStyle="1" w:styleId="127">
    <w:name w:val="Char Char"/>
    <w:basedOn w:val="1"/>
    <w:link w:val="126"/>
    <w:autoRedefine/>
    <w:qFormat/>
    <w:uiPriority w:val="0"/>
    <w:rPr>
      <w:rFonts w:ascii="Tahoma" w:hAnsi="Tahoma"/>
      <w:kern w:val="0"/>
      <w:sz w:val="24"/>
      <w:szCs w:val="20"/>
    </w:rPr>
  </w:style>
  <w:style w:type="character" w:customStyle="1" w:styleId="128">
    <w:name w:val="font01"/>
    <w:autoRedefine/>
    <w:qFormat/>
    <w:uiPriority w:val="0"/>
    <w:rPr>
      <w:rFonts w:hint="eastAsia" w:ascii="宋体" w:hAnsi="宋体" w:eastAsia="宋体" w:cs="宋体"/>
      <w:b/>
      <w:color w:val="000000"/>
      <w:sz w:val="28"/>
      <w:szCs w:val="28"/>
      <w:u w:val="single"/>
    </w:rPr>
  </w:style>
  <w:style w:type="character" w:customStyle="1" w:styleId="129">
    <w:name w:val="font151"/>
    <w:autoRedefine/>
    <w:qFormat/>
    <w:uiPriority w:val="0"/>
    <w:rPr>
      <w:rFonts w:hint="eastAsia" w:ascii="宋体" w:hAnsi="宋体" w:eastAsia="宋体" w:cs="宋体"/>
      <w:color w:val="000000"/>
      <w:sz w:val="24"/>
      <w:szCs w:val="24"/>
      <w:u w:val="none"/>
    </w:rPr>
  </w:style>
  <w:style w:type="character" w:customStyle="1" w:styleId="130">
    <w:name w:val="font131"/>
    <w:autoRedefine/>
    <w:qFormat/>
    <w:uiPriority w:val="0"/>
    <w:rPr>
      <w:rFonts w:hint="eastAsia" w:ascii="宋体" w:hAnsi="宋体" w:eastAsia="宋体" w:cs="宋体"/>
      <w:color w:val="000000"/>
      <w:sz w:val="22"/>
      <w:szCs w:val="22"/>
      <w:u w:val="none"/>
    </w:rPr>
  </w:style>
  <w:style w:type="character" w:customStyle="1" w:styleId="131">
    <w:name w:val="纯文本 字符1"/>
    <w:autoRedefine/>
    <w:qFormat/>
    <w:uiPriority w:val="0"/>
    <w:rPr>
      <w:rFonts w:ascii="宋体" w:hAnsi="Courier New"/>
    </w:rPr>
  </w:style>
  <w:style w:type="character" w:customStyle="1" w:styleId="132">
    <w:name w:val="正文文本 Char"/>
    <w:autoRedefine/>
    <w:qFormat/>
    <w:uiPriority w:val="0"/>
    <w:rPr>
      <w:rFonts w:ascii="Times New Roman" w:hAnsi="Times New Roman"/>
      <w:kern w:val="2"/>
      <w:sz w:val="21"/>
      <w:szCs w:val="24"/>
    </w:rPr>
  </w:style>
  <w:style w:type="paragraph" w:customStyle="1" w:styleId="133">
    <w:name w:val="样式2"/>
    <w:basedOn w:val="41"/>
    <w:autoRedefine/>
    <w:qFormat/>
    <w:uiPriority w:val="0"/>
    <w:pPr>
      <w:tabs>
        <w:tab w:val="clear" w:pos="8296"/>
      </w:tabs>
      <w:ind w:left="100" w:leftChars="100"/>
    </w:pPr>
    <w:rPr>
      <w:rFonts w:hAnsi="宋体"/>
      <w:b/>
      <w:caps/>
      <w:color w:val="000000"/>
      <w:szCs w:val="20"/>
    </w:rPr>
  </w:style>
  <w:style w:type="paragraph" w:customStyle="1" w:styleId="134">
    <w:name w:val="正文_1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5">
    <w:name w:val="标题 81"/>
    <w:basedOn w:val="1"/>
    <w:next w:val="1"/>
    <w:autoRedefine/>
    <w:unhideWhenUsed/>
    <w:qFormat/>
    <w:uiPriority w:val="9"/>
    <w:pPr>
      <w:keepNext/>
      <w:keepLines/>
      <w:widowControl/>
      <w:spacing w:before="200" w:line="400" w:lineRule="exact"/>
      <w:outlineLvl w:val="7"/>
    </w:pPr>
    <w:rPr>
      <w:rFonts w:ascii="Cambria" w:hAnsi="Cambria"/>
      <w:color w:val="4F81BD"/>
      <w:kern w:val="0"/>
      <w:sz w:val="20"/>
      <w:szCs w:val="20"/>
    </w:rPr>
  </w:style>
  <w:style w:type="paragraph" w:customStyle="1" w:styleId="136">
    <w:name w:val="表内文字"/>
    <w:basedOn w:val="1"/>
    <w:autoRedefine/>
    <w:qFormat/>
    <w:uiPriority w:val="0"/>
    <w:pPr>
      <w:snapToGrid w:val="0"/>
      <w:spacing w:before="50" w:after="50"/>
      <w:jc w:val="center"/>
    </w:pPr>
    <w:rPr>
      <w:rFonts w:ascii="仿宋_GB2312" w:hAnsi="宋体" w:eastAsia="仿宋_GB2312"/>
      <w:b/>
      <w:color w:val="000000"/>
      <w:sz w:val="32"/>
      <w:szCs w:val="32"/>
    </w:rPr>
  </w:style>
  <w:style w:type="paragraph" w:styleId="137">
    <w:name w:val="No Spacing"/>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正文文本首行缩进 21"/>
    <w:basedOn w:val="139"/>
    <w:autoRedefine/>
    <w:qFormat/>
    <w:uiPriority w:val="0"/>
    <w:pPr>
      <w:ind w:firstLine="420" w:firstLineChars="200"/>
    </w:pPr>
  </w:style>
  <w:style w:type="paragraph" w:customStyle="1" w:styleId="139">
    <w:name w:val="正文文本缩进1"/>
    <w:basedOn w:val="1"/>
    <w:autoRedefine/>
    <w:qFormat/>
    <w:uiPriority w:val="0"/>
    <w:pPr>
      <w:spacing w:after="120"/>
      <w:ind w:left="420" w:leftChars="200"/>
    </w:pPr>
  </w:style>
  <w:style w:type="paragraph" w:customStyle="1" w:styleId="140">
    <w:name w:val="5"/>
    <w:basedOn w:val="1"/>
    <w:next w:val="21"/>
    <w:autoRedefine/>
    <w:qFormat/>
    <w:uiPriority w:val="0"/>
    <w:pPr>
      <w:tabs>
        <w:tab w:val="left" w:pos="0"/>
      </w:tabs>
      <w:spacing w:line="420" w:lineRule="exact"/>
      <w:ind w:firstLine="525"/>
    </w:pPr>
    <w:rPr>
      <w:rFonts w:ascii="仿宋_GB2312" w:eastAsia="仿宋_GB2312"/>
      <w:sz w:val="28"/>
      <w:szCs w:val="20"/>
    </w:rPr>
  </w:style>
  <w:style w:type="paragraph" w:customStyle="1" w:styleId="141">
    <w:name w:val="正文缩进2格"/>
    <w:basedOn w:val="1"/>
    <w:autoRedefine/>
    <w:qFormat/>
    <w:uiPriority w:val="0"/>
    <w:pPr>
      <w:spacing w:line="600" w:lineRule="exact"/>
      <w:ind w:firstLine="639" w:firstLineChars="206"/>
    </w:pPr>
    <w:rPr>
      <w:rFonts w:ascii="仿宋_GB2312" w:hAnsi="宋体" w:eastAsia="仿宋_GB2312"/>
      <w:sz w:val="31"/>
      <w:szCs w:val="20"/>
    </w:rPr>
  </w:style>
  <w:style w:type="paragraph" w:customStyle="1" w:styleId="142">
    <w:name w:val="_Style 141"/>
    <w:autoRedefine/>
    <w:qFormat/>
    <w:uiPriority w:val="0"/>
    <w:rPr>
      <w:rFonts w:ascii="Times New Roman" w:hAnsi="Times New Roman" w:eastAsia="宋体" w:cs="Times New Roman"/>
      <w:kern w:val="2"/>
      <w:sz w:val="21"/>
      <w:lang w:val="en-US" w:eastAsia="zh-CN" w:bidi="ar-SA"/>
    </w:rPr>
  </w:style>
  <w:style w:type="paragraph" w:customStyle="1" w:styleId="143">
    <w:name w:val="列出段落3"/>
    <w:basedOn w:val="1"/>
    <w:autoRedefine/>
    <w:qFormat/>
    <w:uiPriority w:val="0"/>
    <w:pPr>
      <w:ind w:firstLine="420" w:firstLineChars="200"/>
    </w:pPr>
    <w:rPr>
      <w:rFonts w:ascii="Calibri" w:hAnsi="Calibri"/>
      <w:szCs w:val="22"/>
    </w:rPr>
  </w:style>
  <w:style w:type="paragraph" w:customStyle="1" w:styleId="144">
    <w:name w:val="题注5"/>
    <w:basedOn w:val="1"/>
    <w:next w:val="15"/>
    <w:autoRedefine/>
    <w:qFormat/>
    <w:uiPriority w:val="0"/>
    <w:pPr>
      <w:jc w:val="center"/>
    </w:pPr>
    <w:rPr>
      <w:b/>
      <w:color w:val="000000"/>
      <w:sz w:val="24"/>
      <w:szCs w:val="20"/>
    </w:rPr>
  </w:style>
  <w:style w:type="paragraph" w:customStyle="1" w:styleId="145">
    <w:name w:val="Default"/>
    <w:next w:val="1"/>
    <w:autoRedefine/>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146">
    <w:name w:val="图"/>
    <w:basedOn w:val="1"/>
    <w:autoRedefine/>
    <w:qFormat/>
    <w:uiPriority w:val="0"/>
    <w:pPr>
      <w:keepNext/>
      <w:adjustRightInd w:val="0"/>
      <w:spacing w:before="60" w:after="60" w:line="300" w:lineRule="auto"/>
      <w:jc w:val="center"/>
      <w:textAlignment w:val="center"/>
    </w:pPr>
    <w:rPr>
      <w:rFonts w:ascii="Calibri" w:hAnsi="Calibri" w:cs="黑体"/>
      <w:snapToGrid w:val="0"/>
      <w:spacing w:val="20"/>
      <w:kern w:val="0"/>
      <w:sz w:val="24"/>
      <w:szCs w:val="20"/>
    </w:rPr>
  </w:style>
  <w:style w:type="paragraph" w:customStyle="1" w:styleId="147">
    <w:name w:val="_Style 332"/>
    <w:basedOn w:val="1"/>
    <w:autoRedefine/>
    <w:qFormat/>
    <w:uiPriority w:val="0"/>
    <w:rPr>
      <w:szCs w:val="20"/>
    </w:rPr>
  </w:style>
  <w:style w:type="paragraph" w:customStyle="1" w:styleId="148">
    <w:name w:val="样式3"/>
    <w:basedOn w:val="26"/>
    <w:autoRedefine/>
    <w:qFormat/>
    <w:uiPriority w:val="0"/>
    <w:pPr>
      <w:tabs>
        <w:tab w:val="right" w:leader="dot" w:pos="9288"/>
      </w:tabs>
    </w:pPr>
    <w:rPr>
      <w:rFonts w:hAnsi="宋体"/>
      <w:b/>
      <w:caps/>
      <w:color w:val="000000"/>
    </w:rPr>
  </w:style>
  <w:style w:type="paragraph" w:customStyle="1" w:styleId="149">
    <w:name w:val="样式 0正文 + 首行缩进:  2 字符1"/>
    <w:basedOn w:val="1"/>
    <w:autoRedefine/>
    <w:qFormat/>
    <w:uiPriority w:val="99"/>
    <w:pPr>
      <w:spacing w:line="360" w:lineRule="auto"/>
      <w:ind w:firstLine="200" w:firstLineChars="200"/>
    </w:pPr>
    <w:rPr>
      <w:szCs w:val="20"/>
    </w:rPr>
  </w:style>
  <w:style w:type="paragraph" w:customStyle="1" w:styleId="150">
    <w:name w:val="纯文本1"/>
    <w:basedOn w:val="1"/>
    <w:autoRedefine/>
    <w:qFormat/>
    <w:uiPriority w:val="0"/>
    <w:rPr>
      <w:rFonts w:ascii="宋体" w:hAnsi="Courier New"/>
      <w:szCs w:val="20"/>
    </w:rPr>
  </w:style>
  <w:style w:type="paragraph" w:customStyle="1" w:styleId="151">
    <w:name w:val="样式1"/>
    <w:basedOn w:val="33"/>
    <w:autoRedefine/>
    <w:qFormat/>
    <w:uiPriority w:val="0"/>
    <w:rPr>
      <w:rFonts w:hAnsi="宋体"/>
      <w:caps/>
      <w:color w:val="000000"/>
      <w:szCs w:val="20"/>
    </w:rPr>
  </w:style>
  <w:style w:type="paragraph" w:customStyle="1" w:styleId="152">
    <w:name w:val="正文内容"/>
    <w:basedOn w:val="1"/>
    <w:autoRedefine/>
    <w:qFormat/>
    <w:uiPriority w:val="0"/>
    <w:pPr>
      <w:adjustRightInd w:val="0"/>
      <w:spacing w:line="360" w:lineRule="atLeast"/>
      <w:textAlignment w:val="baseline"/>
    </w:pPr>
    <w:rPr>
      <w:rFonts w:ascii="Arial" w:hAnsi="Arial"/>
      <w:spacing w:val="-12"/>
      <w:szCs w:val="20"/>
    </w:rPr>
  </w:style>
  <w:style w:type="paragraph" w:customStyle="1" w:styleId="153">
    <w:name w:val="p0"/>
    <w:basedOn w:val="1"/>
    <w:autoRedefine/>
    <w:qFormat/>
    <w:uiPriority w:val="0"/>
    <w:pPr>
      <w:widowControl/>
    </w:pPr>
    <w:rPr>
      <w:kern w:val="0"/>
      <w:szCs w:val="21"/>
    </w:rPr>
  </w:style>
  <w:style w:type="paragraph" w:customStyle="1" w:styleId="154">
    <w:name w:val="正文文本 2 New"/>
    <w:basedOn w:val="1"/>
    <w:autoRedefine/>
    <w:qFormat/>
    <w:uiPriority w:val="0"/>
    <w:pPr>
      <w:spacing w:line="360" w:lineRule="auto"/>
    </w:pPr>
    <w:rPr>
      <w:rFonts w:ascii="宋体"/>
      <w:b/>
      <w:sz w:val="36"/>
      <w:szCs w:val="36"/>
    </w:rPr>
  </w:style>
  <w:style w:type="paragraph" w:customStyle="1" w:styleId="155">
    <w:name w:val="xl28"/>
    <w:basedOn w:val="1"/>
    <w:autoRedefine/>
    <w:qFormat/>
    <w:uiPriority w:val="0"/>
    <w:pPr>
      <w:widowControl/>
      <w:pBdr>
        <w:left w:val="single" w:color="auto" w:sz="4" w:space="0"/>
        <w:right w:val="single" w:color="auto" w:sz="4" w:space="0"/>
      </w:pBdr>
      <w:spacing w:before="100" w:beforeAutospacing="1" w:after="100" w:afterAutospacing="1" w:line="240" w:lineRule="atLeast"/>
      <w:jc w:val="center"/>
    </w:pPr>
    <w:rPr>
      <w:rFonts w:hint="eastAsia" w:ascii="方正仿宋简体" w:hAnsi="Arial Unicode MS" w:eastAsia="方正仿宋简体"/>
      <w:kern w:val="0"/>
      <w:sz w:val="24"/>
      <w:szCs w:val="20"/>
    </w:rPr>
  </w:style>
  <w:style w:type="paragraph" w:customStyle="1" w:styleId="156">
    <w:name w:val="缺省文本"/>
    <w:basedOn w:val="1"/>
    <w:autoRedefine/>
    <w:qFormat/>
    <w:uiPriority w:val="0"/>
    <w:pPr>
      <w:autoSpaceDE w:val="0"/>
      <w:autoSpaceDN w:val="0"/>
      <w:adjustRightInd w:val="0"/>
      <w:jc w:val="left"/>
    </w:pPr>
    <w:rPr>
      <w:kern w:val="0"/>
      <w:sz w:val="24"/>
      <w:szCs w:val="20"/>
    </w:rPr>
  </w:style>
  <w:style w:type="paragraph" w:customStyle="1" w:styleId="157">
    <w:name w:val="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58">
    <w:name w:val="Char Char Char Char1"/>
    <w:basedOn w:val="1"/>
    <w:autoRedefine/>
    <w:qFormat/>
    <w:uiPriority w:val="0"/>
    <w:pPr>
      <w:widowControl/>
      <w:snapToGrid w:val="0"/>
      <w:spacing w:after="160" w:line="360" w:lineRule="auto"/>
      <w:jc w:val="left"/>
    </w:pPr>
    <w:rPr>
      <w:szCs w:val="20"/>
    </w:rPr>
  </w:style>
  <w:style w:type="paragraph" w:customStyle="1" w:styleId="159">
    <w:name w:val="默认段落字体 Para Char Char Char Char Char Char Char Char Char1 Char Char Char Char"/>
    <w:basedOn w:val="1"/>
    <w:autoRedefine/>
    <w:qFormat/>
    <w:uiPriority w:val="0"/>
    <w:rPr>
      <w:rFonts w:ascii="Tahoma" w:hAnsi="Tahoma"/>
      <w:sz w:val="24"/>
      <w:szCs w:val="20"/>
    </w:rPr>
  </w:style>
  <w:style w:type="paragraph" w:customStyle="1" w:styleId="160">
    <w:name w:val="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161">
    <w:name w:val="HP Full Page"/>
    <w:autoRedefine/>
    <w:qFormat/>
    <w:uiPriority w:val="0"/>
    <w:rPr>
      <w:rFonts w:ascii="Arial" w:hAnsi="Arial" w:eastAsia="宋体" w:cs="Times New Roman"/>
      <w:sz w:val="16"/>
      <w:lang w:val="en-US" w:eastAsia="en-US" w:bidi="ar-SA"/>
    </w:rPr>
  </w:style>
  <w:style w:type="paragraph" w:customStyle="1" w:styleId="162">
    <w:name w:val="Char Char2 Char"/>
    <w:basedOn w:val="1"/>
    <w:autoRedefine/>
    <w:qFormat/>
    <w:uiPriority w:val="0"/>
    <w:rPr>
      <w:rFonts w:ascii="宋体" w:hAnsi="宋体"/>
      <w:b/>
      <w:sz w:val="28"/>
      <w:szCs w:val="20"/>
    </w:rPr>
  </w:style>
  <w:style w:type="paragraph" w:customStyle="1" w:styleId="163">
    <w:name w:val="正文列表"/>
    <w:basedOn w:val="1"/>
    <w:autoRedefine/>
    <w:qFormat/>
    <w:uiPriority w:val="0"/>
    <w:pPr>
      <w:autoSpaceDE w:val="0"/>
      <w:autoSpaceDN w:val="0"/>
      <w:adjustRightInd w:val="0"/>
      <w:jc w:val="center"/>
      <w:textAlignment w:val="baseline"/>
    </w:pPr>
    <w:rPr>
      <w:rFonts w:ascii="宋体" w:hAnsi="宋体"/>
      <w:kern w:val="0"/>
      <w:sz w:val="24"/>
      <w:szCs w:val="20"/>
    </w:rPr>
  </w:style>
  <w:style w:type="paragraph" w:customStyle="1" w:styleId="164">
    <w:name w:val="Char Char Char"/>
    <w:basedOn w:val="1"/>
    <w:autoRedefine/>
    <w:qFormat/>
    <w:uiPriority w:val="0"/>
  </w:style>
  <w:style w:type="paragraph" w:customStyle="1" w:styleId="165">
    <w:name w:val="Char Char Char Char Char Char Char"/>
    <w:basedOn w:val="1"/>
    <w:autoRedefine/>
    <w:qFormat/>
    <w:uiPriority w:val="0"/>
    <w:rPr>
      <w:szCs w:val="20"/>
    </w:rPr>
  </w:style>
  <w:style w:type="paragraph" w:customStyle="1" w:styleId="166">
    <w:name w:val="修订1"/>
    <w:autoRedefine/>
    <w:qFormat/>
    <w:uiPriority w:val="0"/>
    <w:rPr>
      <w:rFonts w:ascii="Times New Roman" w:hAnsi="Times New Roman" w:eastAsia="宋体" w:cs="Times New Roman"/>
      <w:kern w:val="2"/>
      <w:sz w:val="21"/>
      <w:lang w:val="en-US" w:eastAsia="zh-CN" w:bidi="ar-SA"/>
    </w:rPr>
  </w:style>
  <w:style w:type="paragraph" w:customStyle="1" w:styleId="167">
    <w:name w:val="Char1 Char Char Char Char Char Char"/>
    <w:basedOn w:val="1"/>
    <w:autoRedefine/>
    <w:qFormat/>
    <w:uiPriority w:val="0"/>
    <w:rPr>
      <w:rFonts w:ascii="Tahoma" w:hAnsi="Tahoma"/>
      <w:sz w:val="24"/>
      <w:szCs w:val="20"/>
    </w:rPr>
  </w:style>
  <w:style w:type="paragraph" w:customStyle="1" w:styleId="168">
    <w:name w:val="_Style 1"/>
    <w:basedOn w:val="1"/>
    <w:autoRedefine/>
    <w:qFormat/>
    <w:uiPriority w:val="0"/>
    <w:pPr>
      <w:widowControl/>
      <w:spacing w:line="400" w:lineRule="exact"/>
      <w:ind w:firstLine="420" w:firstLineChars="200"/>
    </w:pPr>
    <w:rPr>
      <w:kern w:val="0"/>
      <w:sz w:val="24"/>
    </w:rPr>
  </w:style>
  <w:style w:type="paragraph" w:customStyle="1" w:styleId="169">
    <w:name w:val="题注4"/>
    <w:basedOn w:val="1"/>
    <w:next w:val="15"/>
    <w:autoRedefine/>
    <w:qFormat/>
    <w:uiPriority w:val="0"/>
    <w:pPr>
      <w:ind w:left="-108" w:right="-108"/>
      <w:jc w:val="center"/>
    </w:pPr>
    <w:rPr>
      <w:b/>
      <w:bCs/>
      <w:color w:val="000000"/>
      <w:szCs w:val="21"/>
      <w:lang w:val="en-GB"/>
    </w:rPr>
  </w:style>
  <w:style w:type="paragraph" w:customStyle="1" w:styleId="170">
    <w:name w:val="z-Top of Form"/>
    <w:next w:val="1"/>
    <w:autoRedefine/>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71">
    <w:name w:val="Table Paragraph"/>
    <w:basedOn w:val="1"/>
    <w:autoRedefine/>
    <w:qFormat/>
    <w:uiPriority w:val="1"/>
  </w:style>
  <w:style w:type="paragraph" w:customStyle="1" w:styleId="172">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173">
    <w:name w:val="列出段落1"/>
    <w:basedOn w:val="1"/>
    <w:autoRedefine/>
    <w:qFormat/>
    <w:uiPriority w:val="1"/>
    <w:pPr>
      <w:ind w:firstLine="420" w:firstLineChars="200"/>
    </w:pPr>
    <w:rPr>
      <w:rFonts w:ascii="Calibri" w:hAnsi="Calibri"/>
      <w:szCs w:val="22"/>
    </w:rPr>
  </w:style>
  <w:style w:type="paragraph" w:customStyle="1" w:styleId="174">
    <w:name w:val="Default Paragraph Font Para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75">
    <w:name w:val="标题 91"/>
    <w:basedOn w:val="1"/>
    <w:next w:val="1"/>
    <w:autoRedefine/>
    <w:unhideWhenUsed/>
    <w:qFormat/>
    <w:uiPriority w:val="9"/>
    <w:pPr>
      <w:keepNext/>
      <w:keepLines/>
      <w:widowControl/>
      <w:spacing w:before="200" w:line="400" w:lineRule="exact"/>
      <w:outlineLvl w:val="8"/>
    </w:pPr>
    <w:rPr>
      <w:rFonts w:ascii="Cambria" w:hAnsi="Cambria"/>
      <w:i/>
      <w:iCs/>
      <w:color w:val="404040"/>
      <w:kern w:val="0"/>
      <w:sz w:val="20"/>
      <w:szCs w:val="20"/>
    </w:rPr>
  </w:style>
  <w:style w:type="paragraph" w:customStyle="1" w:styleId="176">
    <w:name w:val="纯文本2"/>
    <w:basedOn w:val="1"/>
    <w:autoRedefine/>
    <w:qFormat/>
    <w:uiPriority w:val="0"/>
    <w:pPr>
      <w:jc w:val="left"/>
    </w:pPr>
    <w:rPr>
      <w:rFonts w:ascii="宋体" w:hAnsi="Courier New" w:cs="Courier New"/>
      <w:color w:val="000000"/>
      <w:kern w:val="0"/>
      <w:sz w:val="24"/>
      <w:szCs w:val="21"/>
      <w:lang w:val="zh-CN"/>
    </w:rPr>
  </w:style>
  <w:style w:type="paragraph" w:customStyle="1" w:styleId="177">
    <w:name w:val="正文文本 (3)1"/>
    <w:basedOn w:val="1"/>
    <w:autoRedefine/>
    <w:qFormat/>
    <w:uiPriority w:val="0"/>
    <w:pPr>
      <w:shd w:val="clear" w:color="auto" w:fill="FFFFFF"/>
      <w:spacing w:line="624" w:lineRule="exact"/>
      <w:jc w:val="distribute"/>
    </w:pPr>
    <w:rPr>
      <w:rFonts w:ascii="MingLiU" w:hAnsi="Calibri" w:eastAsia="MingLiU" w:cs="MingLiU"/>
      <w:sz w:val="31"/>
      <w:szCs w:val="31"/>
    </w:rPr>
  </w:style>
  <w:style w:type="paragraph" w:customStyle="1" w:styleId="17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179">
    <w:name w:val="！正文无缩进"/>
    <w:autoRedefine/>
    <w:qFormat/>
    <w:uiPriority w:val="0"/>
    <w:rPr>
      <w:rFonts w:ascii="Times New Roman" w:hAnsi="Times New Roman" w:eastAsia="宋体" w:cs="Times New Roman"/>
      <w:kern w:val="2"/>
      <w:sz w:val="21"/>
      <w:szCs w:val="24"/>
      <w:lang w:val="en-US" w:eastAsia="zh-CN" w:bidi="ar-SA"/>
    </w:rPr>
  </w:style>
  <w:style w:type="paragraph" w:customStyle="1" w:styleId="180">
    <w:name w:val="正文文本1"/>
    <w:basedOn w:val="181"/>
    <w:next w:val="181"/>
    <w:autoRedefine/>
    <w:qFormat/>
    <w:uiPriority w:val="0"/>
    <w:rPr>
      <w:rFonts w:ascii="金山简黑体" w:hAnsi="金山简黑体" w:eastAsia="金山简黑体"/>
      <w:b/>
      <w:spacing w:val="-8"/>
      <w:sz w:val="44"/>
      <w:szCs w:val="20"/>
    </w:rPr>
  </w:style>
  <w:style w:type="paragraph" w:customStyle="1" w:styleId="181">
    <w:name w:val="正文1"/>
    <w:next w:val="180"/>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广西云龙招标有限公司</Company>
  <Pages>75</Pages>
  <Words>17124</Words>
  <Characters>18299</Characters>
  <Lines>364</Lines>
  <Paragraphs>102</Paragraphs>
  <TotalTime>35</TotalTime>
  <ScaleCrop>false</ScaleCrop>
  <LinksUpToDate>false</LinksUpToDate>
  <CharactersWithSpaces>18982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2024-06-26T07:34:00Z</dcterms:created>
  <dc:creator>唐冰</dc:creator>
  <cp:lastModifiedBy>WPS_1602497377</cp:lastModifiedBy>
  <cp:lastPrinted>2021-07-19T03:59:00Z</cp:lastPrinted>
  <dcterms:modified xsi:type="dcterms:W3CDTF">2025-03-17T11:07:06Z</dcterms:modified>
  <dc:title>竞争性谈判文件规范</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B1783B3D08194C9A8940CAEAAF07DC9D_13</vt:lpwstr>
  </property>
  <property fmtid="{D5CDD505-2E9C-101B-9397-08002B2CF9AE}" pid="4" name="KSOSaveFontToCloudKey">
    <vt:lpwstr>454588089_cloud</vt:lpwstr>
  </property>
  <property fmtid="{D5CDD505-2E9C-101B-9397-08002B2CF9AE}" pid="5" name="commondata">
    <vt:lpwstr>eyJoZGlkIjoiMDMxMGZjOWUzMGUxMmI4NzRjODAzZDBkNzM1YzcyY2UifQ==</vt:lpwstr>
  </property>
  <property fmtid="{D5CDD505-2E9C-101B-9397-08002B2CF9AE}" pid="6" name="KSOTemplateDocerSaveRecord">
    <vt:lpwstr>eyJoZGlkIjoiMGZiM2Q4ODdkZTU3MjQ0NWI4Y2JlNjJhNWEwMWU1NGYiLCJ1c2VySWQiOiIxMTMwNTMyMTQ1In0=</vt:lpwstr>
  </property>
</Properties>
</file>